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8EAFD">
      <w:pPr>
        <w:spacing w:line="360" w:lineRule="auto"/>
        <w:jc w:val="center"/>
        <w:rPr>
          <w:rFonts w:ascii="宋体" w:hAnsi="宋体" w:cs="宋体"/>
          <w:b/>
          <w:bCs/>
          <w:color w:val="auto"/>
          <w:sz w:val="48"/>
          <w:szCs w:val="48"/>
        </w:rPr>
      </w:pPr>
      <w:r>
        <w:rPr>
          <w:rFonts w:hint="eastAsia" w:ascii="宋体" w:hAnsi="宋体" w:cs="宋体"/>
          <w:b/>
          <w:bCs/>
          <w:color w:val="auto"/>
          <w:sz w:val="48"/>
          <w:szCs w:val="48"/>
        </w:rPr>
        <w:t>广西同泽工程项目管理股份有限公司</w:t>
      </w:r>
    </w:p>
    <w:p w14:paraId="1ACDD6B8">
      <w:pPr>
        <w:spacing w:line="360" w:lineRule="auto"/>
        <w:jc w:val="center"/>
        <w:rPr>
          <w:rFonts w:ascii="宋体" w:hAnsi="宋体" w:cs="宋体"/>
          <w:b/>
          <w:color w:val="auto"/>
          <w:sz w:val="36"/>
          <w:szCs w:val="36"/>
        </w:rPr>
      </w:pPr>
      <w:r>
        <w:rPr>
          <w:rFonts w:hint="eastAsia" w:ascii="宋体" w:hAnsi="宋体" w:cs="宋体"/>
          <w:color w:val="auto"/>
          <w:sz w:val="20"/>
        </w:rPr>
        <mc:AlternateContent>
          <mc:Choice Requires="wps">
            <w:drawing>
              <wp:anchor distT="0" distB="0" distL="114300" distR="114300" simplePos="0" relativeHeight="251660288" behindDoc="0" locked="0" layoutInCell="1" allowOverlap="1">
                <wp:simplePos x="0" y="0"/>
                <wp:positionH relativeFrom="column">
                  <wp:posOffset>-309245</wp:posOffset>
                </wp:positionH>
                <wp:positionV relativeFrom="paragraph">
                  <wp:posOffset>245110</wp:posOffset>
                </wp:positionV>
                <wp:extent cx="5944235" cy="8255"/>
                <wp:effectExtent l="0" t="28575" r="18415" b="39370"/>
                <wp:wrapNone/>
                <wp:docPr id="1" name="直接连接符 1"/>
                <wp:cNvGraphicFramePr/>
                <a:graphic xmlns:a="http://schemas.openxmlformats.org/drawingml/2006/main">
                  <a:graphicData uri="http://schemas.microsoft.com/office/word/2010/wordprocessingShape">
                    <wps:wsp>
                      <wps:cNvCnPr/>
                      <wps:spPr>
                        <a:xfrm flipV="1">
                          <a:off x="0" y="0"/>
                          <a:ext cx="5944235" cy="8255"/>
                        </a:xfrm>
                        <a:prstGeom prst="line">
                          <a:avLst/>
                        </a:prstGeom>
                        <a:ln w="57150" cap="flat" cmpd="thickThin">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flip:y;margin-left:-24.35pt;margin-top:19.3pt;height:0.65pt;width:468.05pt;z-index:251660288;mso-width-relative:page;mso-height-relative:page;" filled="f" stroked="t" coordsize="21600,21600" o:gfxdata="UEsDBAoAAAAAAIdO4kAAAAAAAAAAAAAAAAAEAAAAZHJzL1BLAwQUAAAACACHTuJAsqCGCdkAAAAJ&#10;AQAADwAAAGRycy9kb3ducmV2LnhtbE2Py07DMBBF90j8gzVI7Fo7tGqdNE5VISG64hGqrt1kSCLi&#10;cYjdB3w9wwqWM3N059x8fXG9OOEYOk8GkqkCgVT5uqPGwO7tYaJBhGiptr0nNPCFAdbF9VVus9qf&#10;6RVPZWwEh1DIrIE2xiGTMlQtOhumfkDi27sfnY08jo2sR3vmcNfLO6UW0tmO+ENrB7xvsfooj85A&#10;qeh5v5nttqn9fHncPCU+fPutMbc3iVqBiHiJfzD86rM6FOx08Eeqg+gNTOZ6yaiBmV6AYEDr5RzE&#10;gRdpCrLI5f8GxQ9QSwMEFAAAAAgAh07iQJ1AMhwEAgAABAQAAA4AAABkcnMvZTJvRG9jLnhtbK1T&#10;vY4TMRDukXgHyz3ZJFzgWGVzxYWjQRCJ4/qJf7IW/pPtZJOX4AWQ6KC6kp634XiMG3uX6DiaFGxh&#10;zYxnv5nvm/H8Ym802YkQlbMNnYzGlAjLHFd209CP11fPzimJCSwH7axo6EFEerF4+mTe+VpMXes0&#10;F4EgiI115xvapuTrqoqsFQbiyHlh8VK6YCChGzYVD9AhutHVdDx+UXUucB8cEzFidNlf0gExnALo&#10;pFRMLB3bGmFTjxqEhoSUYqt8pIvSrZSCpfdSRpGIbigyTeXEImiv81kt5lBvAvhWsaEFOKWFR5wM&#10;KItFj1BLSEC2Qf0DZRQLLjqZRsyZqidSFEEWk/EjbT604EXhglJHfxQ9/j9Y9m63CkRx3ARKLBgc&#10;+N2XH78+f/v98yued7ffySSL1PlYY+6lXYXBi34VMuO9DIZIrfxNxsgRZEX2ReLDUWKxT4RhcPbq&#10;7Gz6fEYJw7vz6WyWwaseJf/rQ0xvhDMkGw3VymYBoIbd25j61D8pOawt6RD05WSGA2WA6yhxDdA0&#10;HiklHOqn63YYTXRa8Suldf4xhs36Ugeyg7wY5Rs6+Sst11pCbPu8cpXToA5ua3mxWgH8teUkHTyK&#10;Z/HN0NyTEZwSLfCJZatkJlD6lEyUQ9tcRJQFHojnCfSaZ2vt+KGMosoeLkdRcVjkvH0PfbQfPt7F&#10;P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KghgnZAAAACQEAAA8AAAAAAAAAAQAgAAAAIgAAAGRy&#10;cy9kb3ducmV2LnhtbFBLAQIUABQAAAAIAIdO4kCdQDIcBAIAAAQEAAAOAAAAAAAAAAEAIAAAACgB&#10;AABkcnMvZTJvRG9jLnhtbFBLBQYAAAAABgAGAFkBAACeBQAAAAA=&#10;">
                <v:fill on="f" focussize="0,0"/>
                <v:stroke weight="4.5pt" color="#000000" linestyle="thickThin" joinstyle="round"/>
                <v:imagedata o:title=""/>
                <o:lock v:ext="edit" aspectratio="f"/>
              </v:line>
            </w:pict>
          </mc:Fallback>
        </mc:AlternateContent>
      </w:r>
      <w:r>
        <w:rPr>
          <w:rFonts w:hint="eastAsia" w:ascii="宋体" w:hAnsi="宋体" w:cs="宋体"/>
          <w:b/>
          <w:bCs/>
          <w:color w:val="auto"/>
          <w:sz w:val="10"/>
        </w:rPr>
        <w:t xml:space="preserve">                                                                         </w:t>
      </w:r>
    </w:p>
    <w:p w14:paraId="52DAF0E6">
      <w:pPr>
        <w:spacing w:line="360" w:lineRule="auto"/>
        <w:ind w:left="3087" w:leftChars="809" w:hanging="1388" w:hangingChars="432"/>
        <w:rPr>
          <w:rFonts w:ascii="宋体" w:hAnsi="宋体" w:cs="宋体"/>
          <w:b/>
          <w:color w:val="auto"/>
          <w:sz w:val="32"/>
          <w:szCs w:val="32"/>
        </w:rPr>
      </w:pPr>
    </w:p>
    <w:p w14:paraId="6C3F16CD">
      <w:pPr>
        <w:spacing w:line="360" w:lineRule="auto"/>
        <w:ind w:left="3087" w:leftChars="809" w:hanging="1388" w:hangingChars="432"/>
        <w:rPr>
          <w:rFonts w:ascii="宋体" w:hAnsi="宋体" w:cs="宋体"/>
          <w:b/>
          <w:color w:val="auto"/>
          <w:sz w:val="32"/>
          <w:szCs w:val="32"/>
        </w:rPr>
      </w:pPr>
      <w:r>
        <w:rPr>
          <w:rFonts w:hint="eastAsia" w:ascii="宋体" w:hAnsi="宋体" w:cs="宋体"/>
          <w:b/>
          <w:bCs/>
          <w:color w:val="auto"/>
          <w:sz w:val="32"/>
        </w:rPr>
        <w:drawing>
          <wp:anchor distT="0" distB="0" distL="114300" distR="114300" simplePos="0" relativeHeight="251659264" behindDoc="1" locked="0" layoutInCell="1" allowOverlap="1">
            <wp:simplePos x="0" y="0"/>
            <wp:positionH relativeFrom="column">
              <wp:posOffset>1330325</wp:posOffset>
            </wp:positionH>
            <wp:positionV relativeFrom="paragraph">
              <wp:posOffset>26035</wp:posOffset>
            </wp:positionV>
            <wp:extent cx="2680970" cy="1960880"/>
            <wp:effectExtent l="0" t="0" r="5080" b="1270"/>
            <wp:wrapTight wrapText="bothSides">
              <wp:wrapPolygon>
                <wp:start x="0" y="0"/>
                <wp:lineTo x="0" y="21404"/>
                <wp:lineTo x="21487" y="21404"/>
                <wp:lineTo x="21487" y="0"/>
                <wp:lineTo x="0" y="0"/>
              </wp:wrapPolygon>
            </wp:wrapTight>
            <wp:docPr id="2" name="图片 3"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公司logo"/>
                    <pic:cNvPicPr>
                      <a:picLocks noChangeAspect="1"/>
                    </pic:cNvPicPr>
                  </pic:nvPicPr>
                  <pic:blipFill>
                    <a:blip r:embed="rId8"/>
                    <a:stretch>
                      <a:fillRect/>
                    </a:stretch>
                  </pic:blipFill>
                  <pic:spPr>
                    <a:xfrm>
                      <a:off x="0" y="0"/>
                      <a:ext cx="2680970" cy="1960880"/>
                    </a:xfrm>
                    <a:prstGeom prst="rect">
                      <a:avLst/>
                    </a:prstGeom>
                    <a:noFill/>
                    <a:ln>
                      <a:noFill/>
                    </a:ln>
                  </pic:spPr>
                </pic:pic>
              </a:graphicData>
            </a:graphic>
          </wp:anchor>
        </w:drawing>
      </w:r>
    </w:p>
    <w:p w14:paraId="19E8640C">
      <w:pPr>
        <w:pStyle w:val="15"/>
        <w:spacing w:line="360" w:lineRule="auto"/>
        <w:rPr>
          <w:rFonts w:hAnsi="宋体" w:cs="宋体"/>
          <w:color w:val="auto"/>
          <w:sz w:val="96"/>
          <w:szCs w:val="96"/>
        </w:rPr>
      </w:pPr>
    </w:p>
    <w:p w14:paraId="4A291143">
      <w:pPr>
        <w:snapToGrid w:val="0"/>
        <w:spacing w:before="156" w:line="360" w:lineRule="auto"/>
        <w:jc w:val="center"/>
        <w:textAlignment w:val="baseline"/>
        <w:rPr>
          <w:rFonts w:ascii="宋体" w:hAnsi="宋体" w:cs="宋体"/>
          <w:color w:val="auto"/>
          <w:sz w:val="96"/>
          <w:szCs w:val="96"/>
        </w:rPr>
      </w:pPr>
    </w:p>
    <w:p w14:paraId="0940E6F3">
      <w:pPr>
        <w:snapToGrid w:val="0"/>
        <w:spacing w:before="156" w:line="360" w:lineRule="auto"/>
        <w:jc w:val="center"/>
        <w:textAlignment w:val="baseline"/>
        <w:rPr>
          <w:rFonts w:ascii="宋体" w:hAnsi="宋体" w:cs="宋体"/>
          <w:color w:val="auto"/>
          <w:sz w:val="96"/>
          <w:szCs w:val="96"/>
        </w:rPr>
      </w:pPr>
      <w:r>
        <w:rPr>
          <w:rFonts w:hint="eastAsia" w:ascii="宋体" w:hAnsi="宋体" w:cs="宋体"/>
          <w:color w:val="auto"/>
          <w:sz w:val="96"/>
          <w:szCs w:val="96"/>
        </w:rPr>
        <w:t>竞争性谈判文件</w:t>
      </w:r>
    </w:p>
    <w:p w14:paraId="0923217D">
      <w:pPr>
        <w:pStyle w:val="12"/>
        <w:spacing w:line="360" w:lineRule="auto"/>
        <w:ind w:firstLine="0" w:firstLineChars="0"/>
        <w:jc w:val="center"/>
        <w:rPr>
          <w:rFonts w:ascii="宋体" w:hAnsi="宋体" w:eastAsia="宋体" w:cs="宋体"/>
          <w:b/>
          <w:color w:val="auto"/>
          <w:sz w:val="44"/>
          <w:szCs w:val="44"/>
        </w:rPr>
      </w:pPr>
      <w:r>
        <w:rPr>
          <w:rFonts w:hint="eastAsia" w:ascii="宋体" w:hAnsi="宋体" w:eastAsia="宋体" w:cs="宋体"/>
          <w:b/>
          <w:color w:val="auto"/>
          <w:sz w:val="44"/>
          <w:szCs w:val="44"/>
        </w:rPr>
        <w:t>（货物类）</w:t>
      </w:r>
    </w:p>
    <w:p w14:paraId="2290C307">
      <w:pPr>
        <w:pStyle w:val="12"/>
        <w:spacing w:line="360" w:lineRule="auto"/>
        <w:ind w:firstLine="0" w:firstLineChars="0"/>
        <w:jc w:val="center"/>
        <w:rPr>
          <w:rFonts w:ascii="宋体" w:hAnsi="宋体" w:eastAsia="宋体" w:cs="宋体"/>
          <w:b/>
          <w:color w:val="auto"/>
          <w:sz w:val="44"/>
          <w:szCs w:val="44"/>
        </w:rPr>
      </w:pPr>
    </w:p>
    <w:p w14:paraId="3F089E44">
      <w:pPr>
        <w:pStyle w:val="12"/>
        <w:spacing w:line="360" w:lineRule="auto"/>
        <w:ind w:firstLine="1131"/>
        <w:rPr>
          <w:rFonts w:ascii="宋体" w:hAnsi="宋体" w:eastAsia="宋体" w:cs="宋体"/>
          <w:b/>
          <w:color w:val="auto"/>
          <w:szCs w:val="30"/>
        </w:rPr>
      </w:pPr>
    </w:p>
    <w:p w14:paraId="5AC516D5">
      <w:pPr>
        <w:pStyle w:val="15"/>
        <w:snapToGrid w:val="0"/>
        <w:spacing w:before="159" w:beforeLines="50" w:after="159" w:afterLines="50" w:line="360" w:lineRule="auto"/>
        <w:textAlignment w:val="baseline"/>
        <w:rPr>
          <w:rFonts w:hAnsi="宋体" w:cs="宋体"/>
          <w:b/>
          <w:bCs/>
          <w:color w:val="auto"/>
          <w:sz w:val="30"/>
          <w:szCs w:val="30"/>
        </w:rPr>
      </w:pPr>
      <w:r>
        <w:rPr>
          <w:rFonts w:hint="eastAsia" w:hAnsi="宋体" w:cs="宋体"/>
          <w:b/>
          <w:bCs/>
          <w:color w:val="auto"/>
          <w:sz w:val="30"/>
          <w:szCs w:val="30"/>
        </w:rPr>
        <w:t>项目</w:t>
      </w:r>
      <w:r>
        <w:rPr>
          <w:rFonts w:hint="eastAsia" w:hAnsi="宋体" w:cs="宋体"/>
          <w:b/>
          <w:bCs/>
          <w:color w:val="auto"/>
          <w:w w:val="95"/>
          <w:sz w:val="30"/>
          <w:szCs w:val="30"/>
        </w:rPr>
        <w:t>名称</w:t>
      </w:r>
      <w:r>
        <w:rPr>
          <w:rFonts w:hint="eastAsia" w:hAnsi="宋体" w:cs="宋体"/>
          <w:b/>
          <w:bCs/>
          <w:color w:val="auto"/>
          <w:sz w:val="30"/>
          <w:szCs w:val="30"/>
        </w:rPr>
        <w:t>：2026年学校艺体类实训室建设项目</w:t>
      </w:r>
    </w:p>
    <w:p w14:paraId="042745F9">
      <w:pPr>
        <w:pStyle w:val="15"/>
        <w:snapToGrid w:val="0"/>
        <w:spacing w:before="159" w:beforeLines="50" w:after="159" w:afterLines="50" w:line="360" w:lineRule="auto"/>
        <w:textAlignment w:val="baseline"/>
        <w:rPr>
          <w:rFonts w:hint="eastAsia" w:hAnsi="宋体" w:eastAsia="宋体" w:cs="宋体"/>
          <w:color w:val="auto"/>
          <w:lang w:eastAsia="zh-CN"/>
        </w:rPr>
      </w:pPr>
      <w:r>
        <w:rPr>
          <w:rFonts w:hint="eastAsia" w:hAnsi="宋体" w:cs="宋体"/>
          <w:b/>
          <w:bCs/>
          <w:color w:val="auto"/>
          <w:sz w:val="30"/>
          <w:szCs w:val="30"/>
        </w:rPr>
        <w:t xml:space="preserve">项目编号： </w:t>
      </w:r>
      <w:r>
        <w:rPr>
          <w:rFonts w:hint="eastAsia" w:hAnsi="宋体" w:cs="宋体"/>
          <w:b/>
          <w:bCs/>
          <w:color w:val="auto"/>
          <w:sz w:val="30"/>
          <w:szCs w:val="30"/>
          <w:lang w:eastAsia="zh-CN"/>
        </w:rPr>
        <w:t>GXZC2026-J1-002650-GXTZ</w:t>
      </w:r>
    </w:p>
    <w:p w14:paraId="379E520C">
      <w:pPr>
        <w:pStyle w:val="15"/>
        <w:snapToGrid w:val="0"/>
        <w:spacing w:before="159" w:beforeLines="50" w:after="159" w:afterLines="50" w:line="360" w:lineRule="auto"/>
        <w:textAlignment w:val="baseline"/>
        <w:rPr>
          <w:rFonts w:hAnsi="宋体" w:cs="宋体"/>
          <w:b/>
          <w:bCs/>
          <w:color w:val="auto"/>
          <w:sz w:val="30"/>
          <w:szCs w:val="30"/>
        </w:rPr>
      </w:pPr>
      <w:r>
        <w:rPr>
          <w:rFonts w:hint="eastAsia" w:hAnsi="宋体" w:cs="宋体"/>
          <w:b/>
          <w:bCs/>
          <w:color w:val="auto"/>
          <w:sz w:val="30"/>
          <w:szCs w:val="30"/>
        </w:rPr>
        <w:t>采 购 人：广西幼儿师范高等专科学校</w:t>
      </w:r>
    </w:p>
    <w:p w14:paraId="46665789">
      <w:pPr>
        <w:pStyle w:val="15"/>
        <w:snapToGrid w:val="0"/>
        <w:spacing w:before="159" w:beforeLines="50" w:after="159" w:afterLines="50" w:line="360" w:lineRule="auto"/>
        <w:textAlignment w:val="baseline"/>
        <w:rPr>
          <w:rFonts w:hAnsi="宋体" w:cs="宋体"/>
          <w:b/>
          <w:bCs/>
          <w:color w:val="auto"/>
          <w:sz w:val="30"/>
          <w:szCs w:val="30"/>
        </w:rPr>
      </w:pPr>
      <w:r>
        <w:rPr>
          <w:rFonts w:hint="eastAsia" w:hAnsi="宋体" w:cs="宋体"/>
          <w:b/>
          <w:bCs/>
          <w:color w:val="auto"/>
          <w:sz w:val="30"/>
          <w:szCs w:val="30"/>
        </w:rPr>
        <w:t>采购代理机构：广西同泽工程项目管理股份有限公司</w:t>
      </w:r>
    </w:p>
    <w:p w14:paraId="085F8907">
      <w:pPr>
        <w:pStyle w:val="15"/>
        <w:jc w:val="center"/>
        <w:rPr>
          <w:rFonts w:hAnsi="宋体" w:cs="宋体"/>
          <w:b/>
          <w:bCs/>
          <w:color w:val="auto"/>
          <w:sz w:val="72"/>
          <w:szCs w:val="72"/>
        </w:rPr>
      </w:pPr>
      <w:r>
        <w:rPr>
          <w:rFonts w:hint="eastAsia" w:hAnsi="宋体" w:cs="宋体"/>
          <w:b/>
          <w:bCs/>
          <w:color w:val="auto"/>
          <w:sz w:val="30"/>
          <w:szCs w:val="30"/>
        </w:rPr>
        <w:t>2026年0</w:t>
      </w:r>
      <w:r>
        <w:rPr>
          <w:rFonts w:hint="eastAsia" w:hAnsi="宋体" w:cs="宋体"/>
          <w:b/>
          <w:bCs/>
          <w:color w:val="auto"/>
          <w:sz w:val="30"/>
          <w:szCs w:val="30"/>
          <w:lang w:val="en-US" w:eastAsia="zh-CN"/>
        </w:rPr>
        <w:t>8</w:t>
      </w:r>
      <w:r>
        <w:rPr>
          <w:rFonts w:hint="eastAsia" w:hAnsi="宋体" w:cs="宋体"/>
          <w:b/>
          <w:bCs/>
          <w:color w:val="auto"/>
          <w:sz w:val="30"/>
          <w:szCs w:val="30"/>
        </w:rPr>
        <w:t>月</w:t>
      </w:r>
    </w:p>
    <w:p w14:paraId="27A76836">
      <w:pPr>
        <w:spacing w:line="360" w:lineRule="auto"/>
        <w:rPr>
          <w:rFonts w:ascii="宋体" w:hAnsi="宋体" w:cs="宋体"/>
          <w:b/>
          <w:color w:val="auto"/>
          <w:sz w:val="44"/>
          <w:szCs w:val="44"/>
        </w:rPr>
      </w:pPr>
    </w:p>
    <w:p w14:paraId="7E9242C9">
      <w:pPr>
        <w:spacing w:line="360" w:lineRule="auto"/>
        <w:jc w:val="center"/>
        <w:rPr>
          <w:rFonts w:ascii="宋体" w:hAnsi="宋体" w:cs="宋体"/>
          <w:b/>
          <w:color w:val="auto"/>
          <w:sz w:val="44"/>
          <w:szCs w:val="44"/>
        </w:rPr>
      </w:pPr>
      <w:r>
        <w:rPr>
          <w:rFonts w:hint="eastAsia" w:ascii="宋体" w:hAnsi="宋体" w:cs="宋体"/>
          <w:b/>
          <w:color w:val="auto"/>
          <w:sz w:val="44"/>
          <w:szCs w:val="44"/>
        </w:rPr>
        <w:t>目  录</w:t>
      </w:r>
    </w:p>
    <w:p w14:paraId="19960ED8">
      <w:pPr>
        <w:spacing w:line="400" w:lineRule="atLeast"/>
        <w:jc w:val="center"/>
        <w:rPr>
          <w:rFonts w:ascii="宋体" w:hAnsi="宋体" w:cs="宋体"/>
          <w:b/>
          <w:color w:val="auto"/>
          <w:sz w:val="28"/>
          <w:szCs w:val="28"/>
        </w:rPr>
      </w:pPr>
    </w:p>
    <w:p w14:paraId="13AAB31F">
      <w:pPr>
        <w:pStyle w:val="20"/>
        <w:tabs>
          <w:tab w:val="right" w:leader="dot" w:pos="9071"/>
        </w:tabs>
        <w:rPr>
          <w:b/>
          <w:bCs/>
          <w:color w:val="auto"/>
          <w:sz w:val="28"/>
          <w:szCs w:val="28"/>
        </w:rPr>
      </w:pPr>
      <w:r>
        <w:rPr>
          <w:rFonts w:hint="eastAsia" w:ascii="宋体" w:hAnsi="宋体" w:cs="宋体"/>
          <w:b/>
          <w:bCs/>
          <w:color w:val="auto"/>
          <w:sz w:val="28"/>
          <w:szCs w:val="28"/>
        </w:rPr>
        <w:fldChar w:fldCharType="begin"/>
      </w:r>
      <w:r>
        <w:rPr>
          <w:rFonts w:hint="eastAsia" w:ascii="宋体" w:hAnsi="宋体" w:cs="宋体"/>
          <w:b/>
          <w:bCs/>
          <w:color w:val="auto"/>
          <w:sz w:val="28"/>
          <w:szCs w:val="28"/>
        </w:rPr>
        <w:instrText xml:space="preserve"> TOC \o "1-3" \h \z \u </w:instrText>
      </w:r>
      <w:r>
        <w:rPr>
          <w:rFonts w:hint="eastAsia" w:ascii="宋体" w:hAnsi="宋体" w:cs="宋体"/>
          <w:b/>
          <w:bCs/>
          <w:color w:val="auto"/>
          <w:sz w:val="28"/>
          <w:szCs w:val="28"/>
        </w:rPr>
        <w:fldChar w:fldCharType="separate"/>
      </w:r>
      <w:r>
        <w:rPr>
          <w:color w:val="auto"/>
        </w:rPr>
        <w:fldChar w:fldCharType="begin"/>
      </w:r>
      <w:r>
        <w:rPr>
          <w:color w:val="auto"/>
        </w:rPr>
        <w:instrText xml:space="preserve"> HYPERLINK \l "_Toc31914" </w:instrText>
      </w:r>
      <w:r>
        <w:rPr>
          <w:color w:val="auto"/>
        </w:rPr>
        <w:fldChar w:fldCharType="separate"/>
      </w:r>
      <w:r>
        <w:rPr>
          <w:rFonts w:ascii="宋体" w:hAnsi="宋体" w:cs="宋体"/>
          <w:b/>
          <w:bCs/>
          <w:color w:val="auto"/>
          <w:sz w:val="28"/>
          <w:szCs w:val="28"/>
        </w:rPr>
        <w:t xml:space="preserve">第一章 </w:t>
      </w:r>
      <w:r>
        <w:rPr>
          <w:rFonts w:hint="eastAsia" w:ascii="宋体" w:hAnsi="宋体" w:cs="宋体"/>
          <w:b/>
          <w:bCs/>
          <w:color w:val="auto"/>
          <w:sz w:val="28"/>
          <w:szCs w:val="28"/>
        </w:rPr>
        <w:t>竞争性谈判公告</w:t>
      </w:r>
      <w:r>
        <w:rPr>
          <w:b/>
          <w:bCs/>
          <w:color w:val="auto"/>
          <w:sz w:val="28"/>
          <w:szCs w:val="28"/>
        </w:rPr>
        <w:tab/>
      </w:r>
      <w:r>
        <w:rPr>
          <w:b/>
          <w:bCs/>
          <w:color w:val="auto"/>
          <w:sz w:val="28"/>
          <w:szCs w:val="28"/>
        </w:rPr>
        <w:fldChar w:fldCharType="begin"/>
      </w:r>
      <w:r>
        <w:rPr>
          <w:b/>
          <w:bCs/>
          <w:color w:val="auto"/>
          <w:sz w:val="28"/>
          <w:szCs w:val="28"/>
        </w:rPr>
        <w:instrText xml:space="preserve"> PAGEREF _Toc31914 \h </w:instrText>
      </w:r>
      <w:r>
        <w:rPr>
          <w:b/>
          <w:bCs/>
          <w:color w:val="auto"/>
          <w:sz w:val="28"/>
          <w:szCs w:val="28"/>
        </w:rPr>
        <w:fldChar w:fldCharType="separate"/>
      </w:r>
      <w:r>
        <w:rPr>
          <w:b/>
          <w:bCs/>
          <w:color w:val="auto"/>
          <w:sz w:val="28"/>
          <w:szCs w:val="28"/>
        </w:rPr>
        <w:t>1</w:t>
      </w:r>
      <w:r>
        <w:rPr>
          <w:b/>
          <w:bCs/>
          <w:color w:val="auto"/>
          <w:sz w:val="28"/>
          <w:szCs w:val="28"/>
        </w:rPr>
        <w:fldChar w:fldCharType="end"/>
      </w:r>
      <w:r>
        <w:rPr>
          <w:b/>
          <w:bCs/>
          <w:color w:val="auto"/>
          <w:sz w:val="28"/>
          <w:szCs w:val="28"/>
        </w:rPr>
        <w:fldChar w:fldCharType="end"/>
      </w:r>
    </w:p>
    <w:p w14:paraId="20B33823">
      <w:pPr>
        <w:pStyle w:val="20"/>
        <w:tabs>
          <w:tab w:val="right" w:leader="dot" w:pos="9071"/>
        </w:tabs>
        <w:rPr>
          <w:b/>
          <w:bCs/>
          <w:color w:val="auto"/>
          <w:sz w:val="28"/>
          <w:szCs w:val="28"/>
        </w:rPr>
      </w:pPr>
      <w:r>
        <w:rPr>
          <w:color w:val="auto"/>
        </w:rPr>
        <w:fldChar w:fldCharType="begin"/>
      </w:r>
      <w:r>
        <w:rPr>
          <w:color w:val="auto"/>
        </w:rPr>
        <w:instrText xml:space="preserve"> HYPERLINK \l "_Toc26488" </w:instrText>
      </w:r>
      <w:r>
        <w:rPr>
          <w:color w:val="auto"/>
        </w:rPr>
        <w:fldChar w:fldCharType="separate"/>
      </w:r>
      <w:r>
        <w:rPr>
          <w:rFonts w:hint="eastAsia" w:ascii="宋体" w:hAnsi="宋体" w:cs="宋体"/>
          <w:b/>
          <w:bCs/>
          <w:color w:val="auto"/>
          <w:kern w:val="44"/>
          <w:sz w:val="28"/>
          <w:szCs w:val="28"/>
        </w:rPr>
        <w:t>第二章 供应商须知</w:t>
      </w:r>
      <w:r>
        <w:rPr>
          <w:b/>
          <w:bCs/>
          <w:color w:val="auto"/>
          <w:sz w:val="28"/>
          <w:szCs w:val="28"/>
        </w:rPr>
        <w:tab/>
      </w:r>
      <w:r>
        <w:rPr>
          <w:b/>
          <w:bCs/>
          <w:color w:val="auto"/>
          <w:sz w:val="28"/>
          <w:szCs w:val="28"/>
        </w:rPr>
        <w:fldChar w:fldCharType="begin"/>
      </w:r>
      <w:r>
        <w:rPr>
          <w:b/>
          <w:bCs/>
          <w:color w:val="auto"/>
          <w:sz w:val="28"/>
          <w:szCs w:val="28"/>
        </w:rPr>
        <w:instrText xml:space="preserve"> PAGEREF _Toc26488 \h </w:instrText>
      </w:r>
      <w:r>
        <w:rPr>
          <w:b/>
          <w:bCs/>
          <w:color w:val="auto"/>
          <w:sz w:val="28"/>
          <w:szCs w:val="28"/>
        </w:rPr>
        <w:fldChar w:fldCharType="separate"/>
      </w:r>
      <w:r>
        <w:rPr>
          <w:b/>
          <w:bCs/>
          <w:color w:val="auto"/>
          <w:sz w:val="28"/>
          <w:szCs w:val="28"/>
        </w:rPr>
        <w:t>7</w:t>
      </w:r>
      <w:r>
        <w:rPr>
          <w:b/>
          <w:bCs/>
          <w:color w:val="auto"/>
          <w:sz w:val="28"/>
          <w:szCs w:val="28"/>
        </w:rPr>
        <w:fldChar w:fldCharType="end"/>
      </w:r>
      <w:r>
        <w:rPr>
          <w:b/>
          <w:bCs/>
          <w:color w:val="auto"/>
          <w:sz w:val="28"/>
          <w:szCs w:val="28"/>
        </w:rPr>
        <w:fldChar w:fldCharType="end"/>
      </w:r>
    </w:p>
    <w:p w14:paraId="5EE624F0">
      <w:pPr>
        <w:pStyle w:val="20"/>
        <w:tabs>
          <w:tab w:val="right" w:leader="dot" w:pos="9071"/>
        </w:tabs>
        <w:rPr>
          <w:b/>
          <w:bCs/>
          <w:color w:val="auto"/>
          <w:sz w:val="28"/>
          <w:szCs w:val="28"/>
        </w:rPr>
      </w:pPr>
      <w:r>
        <w:rPr>
          <w:color w:val="auto"/>
        </w:rPr>
        <w:fldChar w:fldCharType="begin"/>
      </w:r>
      <w:r>
        <w:rPr>
          <w:color w:val="auto"/>
        </w:rPr>
        <w:instrText xml:space="preserve"> HYPERLINK \l "_Toc27583" </w:instrText>
      </w:r>
      <w:r>
        <w:rPr>
          <w:color w:val="auto"/>
        </w:rPr>
        <w:fldChar w:fldCharType="separate"/>
      </w:r>
      <w:r>
        <w:rPr>
          <w:rFonts w:hint="eastAsia" w:ascii="宋体" w:hAnsi="宋体" w:cs="宋体"/>
          <w:b/>
          <w:bCs/>
          <w:color w:val="auto"/>
          <w:sz w:val="28"/>
          <w:szCs w:val="28"/>
        </w:rPr>
        <w:t>第三章 采购需求</w:t>
      </w:r>
      <w:r>
        <w:rPr>
          <w:b/>
          <w:bCs/>
          <w:color w:val="auto"/>
          <w:sz w:val="28"/>
          <w:szCs w:val="28"/>
        </w:rPr>
        <w:tab/>
      </w:r>
      <w:r>
        <w:rPr>
          <w:b/>
          <w:bCs/>
          <w:color w:val="auto"/>
          <w:sz w:val="28"/>
          <w:szCs w:val="28"/>
        </w:rPr>
        <w:fldChar w:fldCharType="begin"/>
      </w:r>
      <w:r>
        <w:rPr>
          <w:b/>
          <w:bCs/>
          <w:color w:val="auto"/>
          <w:sz w:val="28"/>
          <w:szCs w:val="28"/>
        </w:rPr>
        <w:instrText xml:space="preserve"> PAGEREF _Toc27583 \h </w:instrText>
      </w:r>
      <w:r>
        <w:rPr>
          <w:b/>
          <w:bCs/>
          <w:color w:val="auto"/>
          <w:sz w:val="28"/>
          <w:szCs w:val="28"/>
        </w:rPr>
        <w:fldChar w:fldCharType="separate"/>
      </w:r>
      <w:r>
        <w:rPr>
          <w:b/>
          <w:bCs/>
          <w:color w:val="auto"/>
          <w:sz w:val="28"/>
          <w:szCs w:val="28"/>
        </w:rPr>
        <w:t>32</w:t>
      </w:r>
      <w:r>
        <w:rPr>
          <w:b/>
          <w:bCs/>
          <w:color w:val="auto"/>
          <w:sz w:val="28"/>
          <w:szCs w:val="28"/>
        </w:rPr>
        <w:fldChar w:fldCharType="end"/>
      </w:r>
      <w:r>
        <w:rPr>
          <w:b/>
          <w:bCs/>
          <w:color w:val="auto"/>
          <w:sz w:val="28"/>
          <w:szCs w:val="28"/>
        </w:rPr>
        <w:fldChar w:fldCharType="end"/>
      </w:r>
    </w:p>
    <w:p w14:paraId="7349B0FE">
      <w:pPr>
        <w:pStyle w:val="20"/>
        <w:tabs>
          <w:tab w:val="right" w:leader="dot" w:pos="9071"/>
        </w:tabs>
        <w:rPr>
          <w:b/>
          <w:bCs/>
          <w:color w:val="auto"/>
          <w:sz w:val="28"/>
          <w:szCs w:val="28"/>
        </w:rPr>
      </w:pPr>
      <w:r>
        <w:rPr>
          <w:color w:val="auto"/>
        </w:rPr>
        <w:fldChar w:fldCharType="begin"/>
      </w:r>
      <w:r>
        <w:rPr>
          <w:color w:val="auto"/>
        </w:rPr>
        <w:instrText xml:space="preserve"> HYPERLINK \l "_Toc3333" </w:instrText>
      </w:r>
      <w:r>
        <w:rPr>
          <w:color w:val="auto"/>
        </w:rPr>
        <w:fldChar w:fldCharType="separate"/>
      </w:r>
      <w:r>
        <w:rPr>
          <w:rFonts w:hint="eastAsia" w:ascii="宋体" w:hAnsi="宋体" w:cs="宋体"/>
          <w:b/>
          <w:bCs/>
          <w:color w:val="auto"/>
          <w:sz w:val="28"/>
          <w:szCs w:val="28"/>
        </w:rPr>
        <w:t>第四章  评审程序和评定成交的标准</w:t>
      </w:r>
      <w:r>
        <w:rPr>
          <w:b/>
          <w:bCs/>
          <w:color w:val="auto"/>
          <w:sz w:val="28"/>
          <w:szCs w:val="28"/>
        </w:rPr>
        <w:tab/>
      </w:r>
      <w:r>
        <w:rPr>
          <w:b/>
          <w:bCs/>
          <w:color w:val="auto"/>
          <w:sz w:val="28"/>
          <w:szCs w:val="28"/>
        </w:rPr>
        <w:fldChar w:fldCharType="begin"/>
      </w:r>
      <w:r>
        <w:rPr>
          <w:b/>
          <w:bCs/>
          <w:color w:val="auto"/>
          <w:sz w:val="28"/>
          <w:szCs w:val="28"/>
        </w:rPr>
        <w:instrText xml:space="preserve"> PAGEREF _Toc3333 \h </w:instrText>
      </w:r>
      <w:r>
        <w:rPr>
          <w:b/>
          <w:bCs/>
          <w:color w:val="auto"/>
          <w:sz w:val="28"/>
          <w:szCs w:val="28"/>
        </w:rPr>
        <w:fldChar w:fldCharType="separate"/>
      </w:r>
      <w:r>
        <w:rPr>
          <w:b/>
          <w:bCs/>
          <w:color w:val="auto"/>
          <w:sz w:val="28"/>
          <w:szCs w:val="28"/>
        </w:rPr>
        <w:t>96</w:t>
      </w:r>
      <w:r>
        <w:rPr>
          <w:b/>
          <w:bCs/>
          <w:color w:val="auto"/>
          <w:sz w:val="28"/>
          <w:szCs w:val="28"/>
        </w:rPr>
        <w:fldChar w:fldCharType="end"/>
      </w:r>
      <w:r>
        <w:rPr>
          <w:b/>
          <w:bCs/>
          <w:color w:val="auto"/>
          <w:sz w:val="28"/>
          <w:szCs w:val="28"/>
        </w:rPr>
        <w:fldChar w:fldCharType="end"/>
      </w:r>
    </w:p>
    <w:p w14:paraId="658507A5">
      <w:pPr>
        <w:pStyle w:val="20"/>
        <w:tabs>
          <w:tab w:val="right" w:leader="dot" w:pos="9071"/>
        </w:tabs>
        <w:rPr>
          <w:b/>
          <w:bCs/>
          <w:color w:val="auto"/>
          <w:sz w:val="28"/>
          <w:szCs w:val="28"/>
        </w:rPr>
      </w:pPr>
      <w:r>
        <w:rPr>
          <w:color w:val="auto"/>
        </w:rPr>
        <w:fldChar w:fldCharType="begin"/>
      </w:r>
      <w:r>
        <w:rPr>
          <w:color w:val="auto"/>
        </w:rPr>
        <w:instrText xml:space="preserve"> HYPERLINK \l "_Toc27214" </w:instrText>
      </w:r>
      <w:r>
        <w:rPr>
          <w:color w:val="auto"/>
        </w:rPr>
        <w:fldChar w:fldCharType="separate"/>
      </w:r>
      <w:r>
        <w:rPr>
          <w:rFonts w:hint="eastAsia" w:ascii="宋体" w:hAnsi="宋体" w:cs="宋体"/>
          <w:b/>
          <w:bCs/>
          <w:color w:val="auto"/>
          <w:sz w:val="28"/>
          <w:szCs w:val="28"/>
        </w:rPr>
        <w:t>第五章 响应文件格式</w:t>
      </w:r>
      <w:r>
        <w:rPr>
          <w:b/>
          <w:bCs/>
          <w:color w:val="auto"/>
          <w:sz w:val="28"/>
          <w:szCs w:val="28"/>
        </w:rPr>
        <w:tab/>
      </w:r>
      <w:r>
        <w:rPr>
          <w:b/>
          <w:bCs/>
          <w:color w:val="auto"/>
          <w:sz w:val="28"/>
          <w:szCs w:val="28"/>
        </w:rPr>
        <w:fldChar w:fldCharType="begin"/>
      </w:r>
      <w:r>
        <w:rPr>
          <w:b/>
          <w:bCs/>
          <w:color w:val="auto"/>
          <w:sz w:val="28"/>
          <w:szCs w:val="28"/>
        </w:rPr>
        <w:instrText xml:space="preserve"> PAGEREF _Toc27214 \h </w:instrText>
      </w:r>
      <w:r>
        <w:rPr>
          <w:b/>
          <w:bCs/>
          <w:color w:val="auto"/>
          <w:sz w:val="28"/>
          <w:szCs w:val="28"/>
        </w:rPr>
        <w:fldChar w:fldCharType="separate"/>
      </w:r>
      <w:r>
        <w:rPr>
          <w:b/>
          <w:bCs/>
          <w:color w:val="auto"/>
          <w:sz w:val="28"/>
          <w:szCs w:val="28"/>
        </w:rPr>
        <w:t>103</w:t>
      </w:r>
      <w:r>
        <w:rPr>
          <w:b/>
          <w:bCs/>
          <w:color w:val="auto"/>
          <w:sz w:val="28"/>
          <w:szCs w:val="28"/>
        </w:rPr>
        <w:fldChar w:fldCharType="end"/>
      </w:r>
      <w:r>
        <w:rPr>
          <w:b/>
          <w:bCs/>
          <w:color w:val="auto"/>
          <w:sz w:val="28"/>
          <w:szCs w:val="28"/>
        </w:rPr>
        <w:fldChar w:fldCharType="end"/>
      </w:r>
    </w:p>
    <w:p w14:paraId="39DEEE95">
      <w:pPr>
        <w:pStyle w:val="20"/>
        <w:tabs>
          <w:tab w:val="right" w:leader="dot" w:pos="9071"/>
        </w:tabs>
        <w:rPr>
          <w:b/>
          <w:bCs/>
          <w:color w:val="auto"/>
          <w:sz w:val="28"/>
          <w:szCs w:val="28"/>
        </w:rPr>
      </w:pPr>
      <w:r>
        <w:rPr>
          <w:color w:val="auto"/>
        </w:rPr>
        <w:fldChar w:fldCharType="begin"/>
      </w:r>
      <w:r>
        <w:rPr>
          <w:color w:val="auto"/>
        </w:rPr>
        <w:instrText xml:space="preserve"> HYPERLINK \l "_Toc27857" </w:instrText>
      </w:r>
      <w:r>
        <w:rPr>
          <w:color w:val="auto"/>
        </w:rPr>
        <w:fldChar w:fldCharType="separate"/>
      </w:r>
      <w:r>
        <w:rPr>
          <w:rFonts w:hint="eastAsia" w:ascii="宋体" w:hAnsi="宋体" w:cs="宋体"/>
          <w:b/>
          <w:bCs/>
          <w:color w:val="auto"/>
          <w:sz w:val="28"/>
          <w:szCs w:val="28"/>
        </w:rPr>
        <w:t>第六章 合同文本</w:t>
      </w:r>
      <w:r>
        <w:rPr>
          <w:b/>
          <w:bCs/>
          <w:color w:val="auto"/>
          <w:sz w:val="28"/>
          <w:szCs w:val="28"/>
        </w:rPr>
        <w:tab/>
      </w:r>
      <w:r>
        <w:rPr>
          <w:b/>
          <w:bCs/>
          <w:color w:val="auto"/>
          <w:sz w:val="28"/>
          <w:szCs w:val="28"/>
        </w:rPr>
        <w:fldChar w:fldCharType="begin"/>
      </w:r>
      <w:r>
        <w:rPr>
          <w:b/>
          <w:bCs/>
          <w:color w:val="auto"/>
          <w:sz w:val="28"/>
          <w:szCs w:val="28"/>
        </w:rPr>
        <w:instrText xml:space="preserve"> PAGEREF _Toc27857 \h </w:instrText>
      </w:r>
      <w:r>
        <w:rPr>
          <w:b/>
          <w:bCs/>
          <w:color w:val="auto"/>
          <w:sz w:val="28"/>
          <w:szCs w:val="28"/>
        </w:rPr>
        <w:fldChar w:fldCharType="separate"/>
      </w:r>
      <w:r>
        <w:rPr>
          <w:b/>
          <w:bCs/>
          <w:color w:val="auto"/>
          <w:sz w:val="28"/>
          <w:szCs w:val="28"/>
        </w:rPr>
        <w:t>127</w:t>
      </w:r>
      <w:r>
        <w:rPr>
          <w:b/>
          <w:bCs/>
          <w:color w:val="auto"/>
          <w:sz w:val="28"/>
          <w:szCs w:val="28"/>
        </w:rPr>
        <w:fldChar w:fldCharType="end"/>
      </w:r>
      <w:r>
        <w:rPr>
          <w:b/>
          <w:bCs/>
          <w:color w:val="auto"/>
          <w:sz w:val="28"/>
          <w:szCs w:val="28"/>
        </w:rPr>
        <w:fldChar w:fldCharType="end"/>
      </w:r>
    </w:p>
    <w:p w14:paraId="515E6FF2">
      <w:pPr>
        <w:pStyle w:val="21"/>
        <w:tabs>
          <w:tab w:val="right" w:leader="dot" w:pos="8931"/>
          <w:tab w:val="clear" w:pos="8296"/>
        </w:tabs>
        <w:snapToGrid w:val="0"/>
        <w:spacing w:line="400" w:lineRule="atLeast"/>
        <w:ind w:left="0" w:leftChars="0"/>
        <w:rPr>
          <w:rFonts w:ascii="宋体" w:hAnsi="宋体" w:cs="宋体"/>
          <w:b/>
          <w:bCs/>
          <w:color w:val="auto"/>
          <w:sz w:val="28"/>
          <w:szCs w:val="28"/>
        </w:rPr>
      </w:pPr>
      <w:r>
        <w:rPr>
          <w:rFonts w:hint="eastAsia" w:ascii="宋体" w:hAnsi="宋体" w:cs="宋体"/>
          <w:b/>
          <w:bCs/>
          <w:color w:val="auto"/>
          <w:sz w:val="28"/>
          <w:szCs w:val="28"/>
        </w:rPr>
        <w:fldChar w:fldCharType="end"/>
      </w:r>
    </w:p>
    <w:p w14:paraId="5DDF9442">
      <w:pPr>
        <w:spacing w:line="400" w:lineRule="exact"/>
        <w:jc w:val="left"/>
        <w:rPr>
          <w:rFonts w:ascii="宋体" w:hAnsi="宋体" w:cs="宋体"/>
          <w:b/>
          <w:color w:val="auto"/>
          <w:sz w:val="32"/>
          <w:szCs w:val="32"/>
        </w:rPr>
      </w:pPr>
    </w:p>
    <w:p w14:paraId="33E32D37">
      <w:pPr>
        <w:spacing w:line="400" w:lineRule="exact"/>
        <w:jc w:val="center"/>
        <w:rPr>
          <w:rFonts w:ascii="宋体" w:hAnsi="宋体" w:cs="宋体"/>
          <w:b/>
          <w:color w:val="auto"/>
          <w:sz w:val="32"/>
          <w:szCs w:val="32"/>
        </w:rPr>
      </w:pPr>
    </w:p>
    <w:p w14:paraId="593E544E">
      <w:pPr>
        <w:spacing w:line="400" w:lineRule="exact"/>
        <w:jc w:val="center"/>
        <w:rPr>
          <w:rFonts w:ascii="宋体" w:hAnsi="宋体" w:cs="宋体"/>
          <w:b/>
          <w:color w:val="auto"/>
          <w:sz w:val="32"/>
          <w:szCs w:val="32"/>
        </w:rPr>
      </w:pPr>
    </w:p>
    <w:p w14:paraId="638786B6">
      <w:pPr>
        <w:spacing w:line="400" w:lineRule="exact"/>
        <w:jc w:val="center"/>
        <w:rPr>
          <w:rFonts w:ascii="宋体" w:hAnsi="宋体" w:cs="宋体"/>
          <w:b/>
          <w:color w:val="auto"/>
          <w:sz w:val="32"/>
          <w:szCs w:val="32"/>
        </w:rPr>
      </w:pPr>
    </w:p>
    <w:p w14:paraId="40A857AD">
      <w:pPr>
        <w:spacing w:line="400" w:lineRule="exact"/>
        <w:jc w:val="center"/>
        <w:rPr>
          <w:rFonts w:ascii="宋体" w:hAnsi="宋体" w:cs="宋体"/>
          <w:b/>
          <w:color w:val="auto"/>
          <w:sz w:val="32"/>
          <w:szCs w:val="32"/>
        </w:rPr>
      </w:pPr>
    </w:p>
    <w:p w14:paraId="095281FD">
      <w:pPr>
        <w:spacing w:line="400" w:lineRule="exact"/>
        <w:rPr>
          <w:rFonts w:ascii="宋体" w:hAnsi="宋体" w:cs="宋体"/>
          <w:b/>
          <w:color w:val="auto"/>
          <w:sz w:val="32"/>
          <w:szCs w:val="32"/>
        </w:rPr>
        <w:sectPr>
          <w:headerReference r:id="rId3" w:type="default"/>
          <w:footerReference r:id="rId4" w:type="default"/>
          <w:pgSz w:w="11905" w:h="16838"/>
          <w:pgMar w:top="1417" w:right="1417" w:bottom="1417" w:left="1417" w:header="850" w:footer="992" w:gutter="0"/>
          <w:pgNumType w:start="0"/>
          <w:cols w:space="720" w:num="1"/>
          <w:titlePg/>
          <w:docGrid w:type="lines" w:linePitch="318" w:charSpace="0"/>
        </w:sectPr>
      </w:pPr>
    </w:p>
    <w:p w14:paraId="364A5A4A">
      <w:pPr>
        <w:pStyle w:val="2"/>
        <w:numPr>
          <w:ilvl w:val="0"/>
          <w:numId w:val="1"/>
        </w:numPr>
        <w:spacing w:before="0" w:after="0" w:line="240" w:lineRule="auto"/>
        <w:jc w:val="center"/>
        <w:rPr>
          <w:rFonts w:ascii="宋体" w:hAnsi="宋体" w:cs="宋体"/>
          <w:color w:val="auto"/>
        </w:rPr>
      </w:pPr>
      <w:bookmarkStart w:id="0" w:name="_Toc31914"/>
      <w:r>
        <w:rPr>
          <w:rFonts w:hint="eastAsia" w:ascii="宋体" w:hAnsi="宋体" w:cs="宋体"/>
          <w:color w:val="auto"/>
        </w:rPr>
        <w:t>竞争性谈判公告</w:t>
      </w:r>
      <w:bookmarkEnd w:id="0"/>
    </w:p>
    <w:p w14:paraId="411107DF">
      <w:pPr>
        <w:rPr>
          <w:color w:val="auto"/>
        </w:rPr>
      </w:pPr>
    </w:p>
    <w:p w14:paraId="312BB90A">
      <w:pPr>
        <w:spacing w:line="400" w:lineRule="exact"/>
        <w:jc w:val="center"/>
        <w:rPr>
          <w:rFonts w:ascii="宋体" w:hAnsi="宋体"/>
          <w:b/>
          <w:color w:val="auto"/>
          <w:sz w:val="28"/>
          <w:szCs w:val="28"/>
        </w:rPr>
      </w:pPr>
      <w:r>
        <w:rPr>
          <w:rFonts w:hint="eastAsia" w:ascii="宋体" w:hAnsi="宋体"/>
          <w:b/>
          <w:color w:val="auto"/>
          <w:sz w:val="28"/>
          <w:szCs w:val="28"/>
        </w:rPr>
        <w:t>广西同泽工程项目管理股份有限公司</w:t>
      </w:r>
    </w:p>
    <w:p w14:paraId="28F53E15">
      <w:pPr>
        <w:spacing w:line="400" w:lineRule="exact"/>
        <w:jc w:val="center"/>
        <w:rPr>
          <w:rFonts w:ascii="宋体" w:hAnsi="宋体" w:cs="宋体"/>
          <w:b/>
          <w:bCs/>
          <w:color w:val="auto"/>
          <w:sz w:val="28"/>
          <w:szCs w:val="28"/>
          <w:highlight w:val="none"/>
        </w:rPr>
      </w:pPr>
      <w:r>
        <w:rPr>
          <w:rFonts w:hint="eastAsia" w:ascii="宋体" w:hAnsi="宋体" w:cs="宋体"/>
          <w:b/>
          <w:bCs/>
          <w:color w:val="auto"/>
          <w:sz w:val="28"/>
          <w:szCs w:val="28"/>
        </w:rPr>
        <w:t>2026年学校艺</w:t>
      </w:r>
      <w:r>
        <w:rPr>
          <w:rFonts w:hint="eastAsia" w:ascii="宋体" w:hAnsi="宋体" w:cs="宋体"/>
          <w:b/>
          <w:bCs/>
          <w:color w:val="auto"/>
          <w:sz w:val="28"/>
          <w:szCs w:val="28"/>
          <w:highlight w:val="none"/>
        </w:rPr>
        <w:t>体类实训室建设项目（项目编号：</w:t>
      </w:r>
      <w:r>
        <w:rPr>
          <w:rFonts w:hint="eastAsia" w:ascii="宋体" w:hAnsi="宋体" w:cs="宋体"/>
          <w:b/>
          <w:bCs/>
          <w:color w:val="auto"/>
          <w:sz w:val="28"/>
          <w:szCs w:val="28"/>
          <w:highlight w:val="none"/>
          <w:lang w:eastAsia="zh-CN"/>
        </w:rPr>
        <w:t>GXZC2026-J1-002650-GXTZ</w:t>
      </w:r>
      <w:r>
        <w:rPr>
          <w:rFonts w:hint="eastAsia" w:ascii="宋体" w:hAnsi="宋体" w:cs="宋体"/>
          <w:b/>
          <w:bCs/>
          <w:color w:val="auto"/>
          <w:sz w:val="28"/>
          <w:szCs w:val="28"/>
          <w:highlight w:val="none"/>
        </w:rPr>
        <w:t>）</w:t>
      </w:r>
    </w:p>
    <w:p w14:paraId="50968BDB">
      <w:pPr>
        <w:spacing w:line="400" w:lineRule="exact"/>
        <w:jc w:val="center"/>
        <w:rPr>
          <w:color w:val="auto"/>
          <w:highlight w:val="none"/>
        </w:rPr>
      </w:pPr>
      <w:r>
        <w:rPr>
          <w:rFonts w:hint="eastAsia" w:ascii="宋体" w:hAnsi="宋体" w:cs="宋体"/>
          <w:b/>
          <w:color w:val="auto"/>
          <w:kern w:val="0"/>
          <w:sz w:val="28"/>
          <w:szCs w:val="28"/>
          <w:highlight w:val="none"/>
        </w:rPr>
        <w:t>竞争性谈判公告</w:t>
      </w:r>
    </w:p>
    <w:p w14:paraId="0CC839E0">
      <w:pPr>
        <w:pStyle w:val="40"/>
        <w:rPr>
          <w:color w:val="auto"/>
          <w:highlight w:val="none"/>
        </w:rPr>
      </w:pPr>
    </w:p>
    <w:p w14:paraId="2A46BDB1">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07F07CD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olor w:val="auto"/>
          <w:szCs w:val="21"/>
          <w:highlight w:val="none"/>
          <w:u w:val="single"/>
        </w:rPr>
        <w:t xml:space="preserve">2026年学校艺体类实训室建设项目 </w:t>
      </w:r>
      <w:r>
        <w:rPr>
          <w:rFonts w:hint="eastAsia" w:ascii="宋体" w:hAnsi="宋体" w:cs="宋体"/>
          <w:color w:val="auto"/>
          <w:szCs w:val="21"/>
          <w:highlight w:val="none"/>
        </w:rPr>
        <w:t>项目的潜在供应商应在广西政府采购云平台（https://www.gcy.zfcg.gxzf.gov.cn/）获取（下载）竞争性谈判采购文件，并于2026年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时00分</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5282C3CD">
      <w:pPr>
        <w:spacing w:line="360" w:lineRule="auto"/>
        <w:ind w:firstLine="316" w:firstLineChars="150"/>
        <w:rPr>
          <w:rFonts w:ascii="宋体" w:hAnsi="宋体" w:cs="宋体"/>
          <w:b/>
          <w:bCs/>
          <w:color w:val="auto"/>
          <w:szCs w:val="21"/>
          <w:highlight w:val="none"/>
        </w:rPr>
      </w:pPr>
      <w:bookmarkStart w:id="2" w:name="_Toc28359018"/>
      <w:bookmarkStart w:id="3" w:name="_Toc71366047"/>
      <w:bookmarkStart w:id="4" w:name="_Toc35393805"/>
      <w:bookmarkStart w:id="5" w:name="_Toc28359095"/>
      <w:bookmarkStart w:id="6" w:name="_Toc71365369"/>
      <w:bookmarkStart w:id="7" w:name="_Toc35393636"/>
      <w:r>
        <w:rPr>
          <w:rFonts w:hint="eastAsia" w:ascii="宋体" w:hAnsi="宋体" w:cs="宋体"/>
          <w:b/>
          <w:bCs/>
          <w:color w:val="auto"/>
          <w:szCs w:val="21"/>
          <w:highlight w:val="none"/>
        </w:rPr>
        <w:t>一、</w:t>
      </w:r>
      <w:bookmarkStart w:id="8" w:name="项目基本情况"/>
      <w:r>
        <w:rPr>
          <w:rFonts w:hint="eastAsia" w:ascii="宋体" w:hAnsi="宋体" w:cs="宋体"/>
          <w:b/>
          <w:bCs/>
          <w:color w:val="auto"/>
          <w:szCs w:val="21"/>
          <w:highlight w:val="none"/>
        </w:rPr>
        <w:t>项目基本情况</w:t>
      </w:r>
      <w:bookmarkEnd w:id="8"/>
    </w:p>
    <w:p w14:paraId="26DC37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项目名称：2026年学校艺体类实训室建设项目</w:t>
      </w:r>
    </w:p>
    <w:p w14:paraId="65BB6A3C">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GXZC2026-J1-002650-GXTZ</w:t>
      </w:r>
    </w:p>
    <w:p w14:paraId="548B054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采购计划编号：广西政采[2026]16373号-001</w:t>
      </w:r>
      <w:r>
        <w:rPr>
          <w:rFonts w:hint="eastAsia" w:ascii="宋体" w:hAnsi="宋体" w:cs="宋体"/>
          <w:color w:val="auto"/>
          <w:szCs w:val="21"/>
          <w:highlight w:val="none"/>
          <w:lang w:eastAsia="zh-CN"/>
        </w:rPr>
        <w:t>、广西政采[2026]16373号-00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广西政采[2026]16373号-00</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广西政采[2026]16373号-00</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广西政采[2026]16373号-00</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广西政采[2026]16373号-00</w:t>
      </w:r>
      <w:r>
        <w:rPr>
          <w:rFonts w:hint="eastAsia" w:ascii="宋体" w:hAnsi="宋体" w:cs="宋体"/>
          <w:color w:val="auto"/>
          <w:szCs w:val="21"/>
          <w:highlight w:val="none"/>
          <w:lang w:val="en-US" w:eastAsia="zh-CN"/>
        </w:rPr>
        <w:t>6</w:t>
      </w:r>
    </w:p>
    <w:p w14:paraId="3EDBD0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金额（人民币）：贰佰零壹万零陆佰柒拾陆元陆角（¥2010676.6），其中分标1：肆拾柒万叁仟捌佰陆拾肆元零捌分（¥473864.08），分标2：壹佰零捌万捌仟叁佰贰拾伍元整（¥1088325.00），分标3：肆拾肆万捌仟肆佰捌拾柒元伍角贰分（¥448487.52）</w:t>
      </w:r>
    </w:p>
    <w:p w14:paraId="06F276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p w14:paraId="23D371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分标1：中华书画临摹与数字化应用实训室采购项目</w:t>
      </w:r>
    </w:p>
    <w:tbl>
      <w:tblPr>
        <w:tblStyle w:val="27"/>
        <w:tblW w:w="9201" w:type="dxa"/>
        <w:jc w:val="center"/>
        <w:tblLayout w:type="fixed"/>
        <w:tblCellMar>
          <w:top w:w="0" w:type="dxa"/>
          <w:left w:w="108" w:type="dxa"/>
          <w:bottom w:w="0" w:type="dxa"/>
          <w:right w:w="108" w:type="dxa"/>
        </w:tblCellMar>
      </w:tblPr>
      <w:tblGrid>
        <w:gridCol w:w="1094"/>
        <w:gridCol w:w="2977"/>
        <w:gridCol w:w="1395"/>
        <w:gridCol w:w="1230"/>
        <w:gridCol w:w="2505"/>
      </w:tblGrid>
      <w:tr w14:paraId="1D7F8C39">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5C19F8BD">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序号</w:t>
            </w:r>
          </w:p>
        </w:tc>
        <w:tc>
          <w:tcPr>
            <w:tcW w:w="2977" w:type="dxa"/>
            <w:tcBorders>
              <w:top w:val="single" w:color="000000" w:sz="4" w:space="0"/>
              <w:left w:val="single" w:color="000000" w:sz="4" w:space="0"/>
              <w:bottom w:val="single" w:color="000000" w:sz="4" w:space="0"/>
              <w:right w:val="single" w:color="000000" w:sz="4" w:space="0"/>
            </w:tcBorders>
            <w:vAlign w:val="center"/>
          </w:tcPr>
          <w:p w14:paraId="2B2BBE7F">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标的名称</w:t>
            </w:r>
          </w:p>
        </w:tc>
        <w:tc>
          <w:tcPr>
            <w:tcW w:w="1395" w:type="dxa"/>
            <w:tcBorders>
              <w:top w:val="single" w:color="000000" w:sz="4" w:space="0"/>
              <w:left w:val="single" w:color="000000" w:sz="4" w:space="0"/>
              <w:bottom w:val="single" w:color="000000" w:sz="4" w:space="0"/>
              <w:right w:val="single" w:color="000000" w:sz="4" w:space="0"/>
            </w:tcBorders>
            <w:vAlign w:val="center"/>
          </w:tcPr>
          <w:p w14:paraId="5B1DF6D6">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数量</w:t>
            </w:r>
          </w:p>
        </w:tc>
        <w:tc>
          <w:tcPr>
            <w:tcW w:w="1230" w:type="dxa"/>
            <w:tcBorders>
              <w:top w:val="single" w:color="000000" w:sz="4" w:space="0"/>
              <w:left w:val="single" w:color="000000" w:sz="4" w:space="0"/>
              <w:bottom w:val="single" w:color="000000" w:sz="4" w:space="0"/>
              <w:right w:val="single" w:color="000000" w:sz="4" w:space="0"/>
            </w:tcBorders>
            <w:vAlign w:val="center"/>
          </w:tcPr>
          <w:p w14:paraId="3368C070">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单位</w:t>
            </w:r>
          </w:p>
        </w:tc>
        <w:tc>
          <w:tcPr>
            <w:tcW w:w="2505" w:type="dxa"/>
            <w:tcBorders>
              <w:top w:val="single" w:color="000000" w:sz="4" w:space="0"/>
              <w:left w:val="single" w:color="000000" w:sz="4" w:space="0"/>
              <w:bottom w:val="single" w:color="000000" w:sz="4" w:space="0"/>
              <w:right w:val="single" w:color="000000" w:sz="4" w:space="0"/>
            </w:tcBorders>
            <w:vAlign w:val="center"/>
          </w:tcPr>
          <w:p w14:paraId="4EE5012C">
            <w:pPr>
              <w:widowControl/>
              <w:jc w:val="center"/>
              <w:textAlignment w:val="center"/>
              <w:rPr>
                <w:rFonts w:ascii="宋体" w:hAnsi="宋体" w:cs="宋体"/>
                <w:bCs/>
                <w:color w:val="auto"/>
                <w:szCs w:val="21"/>
                <w:highlight w:val="none"/>
              </w:rPr>
            </w:pPr>
            <w:r>
              <w:rPr>
                <w:rFonts w:hint="eastAsia" w:ascii="宋体" w:hAnsi="宋体" w:cs="宋体"/>
                <w:color w:val="auto"/>
                <w:szCs w:val="21"/>
                <w:highlight w:val="none"/>
              </w:rPr>
              <w:t>简要技术需求</w:t>
            </w:r>
          </w:p>
        </w:tc>
      </w:tr>
      <w:tr w14:paraId="27168311">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60CB65A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2977" w:type="dxa"/>
            <w:tcBorders>
              <w:top w:val="single" w:color="000000" w:sz="4" w:space="0"/>
              <w:left w:val="single" w:color="000000" w:sz="4" w:space="0"/>
              <w:bottom w:val="single" w:color="000000" w:sz="4" w:space="0"/>
              <w:right w:val="single" w:color="000000" w:sz="4" w:space="0"/>
            </w:tcBorders>
            <w:vAlign w:val="center"/>
          </w:tcPr>
          <w:p w14:paraId="1AB39110">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临摹画案</w:t>
            </w:r>
          </w:p>
        </w:tc>
        <w:tc>
          <w:tcPr>
            <w:tcW w:w="1395" w:type="dxa"/>
            <w:tcBorders>
              <w:top w:val="single" w:color="000000" w:sz="4" w:space="0"/>
              <w:left w:val="single" w:color="000000" w:sz="4" w:space="0"/>
              <w:bottom w:val="single" w:color="000000" w:sz="4" w:space="0"/>
              <w:right w:val="single" w:color="000000" w:sz="4" w:space="0"/>
            </w:tcBorders>
            <w:vAlign w:val="center"/>
          </w:tcPr>
          <w:p w14:paraId="682B1B1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4</w:t>
            </w:r>
          </w:p>
        </w:tc>
        <w:tc>
          <w:tcPr>
            <w:tcW w:w="1230" w:type="dxa"/>
            <w:tcBorders>
              <w:top w:val="single" w:color="000000" w:sz="4" w:space="0"/>
              <w:left w:val="single" w:color="000000" w:sz="4" w:space="0"/>
              <w:bottom w:val="single" w:color="000000" w:sz="4" w:space="0"/>
              <w:right w:val="single" w:color="000000" w:sz="4" w:space="0"/>
            </w:tcBorders>
            <w:vAlign w:val="center"/>
          </w:tcPr>
          <w:p w14:paraId="116FA9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张</w:t>
            </w:r>
          </w:p>
        </w:tc>
        <w:tc>
          <w:tcPr>
            <w:tcW w:w="2505" w:type="dxa"/>
            <w:tcBorders>
              <w:top w:val="single" w:color="000000" w:sz="4" w:space="0"/>
              <w:left w:val="single" w:color="000000" w:sz="4" w:space="0"/>
              <w:bottom w:val="single" w:color="000000" w:sz="4" w:space="0"/>
              <w:right w:val="single" w:color="000000" w:sz="4" w:space="0"/>
            </w:tcBorders>
            <w:vAlign w:val="center"/>
          </w:tcPr>
          <w:p w14:paraId="1001663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0BB0C53">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265B06C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2977" w:type="dxa"/>
            <w:tcBorders>
              <w:top w:val="single" w:color="000000" w:sz="4" w:space="0"/>
              <w:left w:val="single" w:color="000000" w:sz="4" w:space="0"/>
              <w:bottom w:val="single" w:color="000000" w:sz="4" w:space="0"/>
              <w:right w:val="single" w:color="000000" w:sz="4" w:space="0"/>
            </w:tcBorders>
            <w:vAlign w:val="center"/>
          </w:tcPr>
          <w:p w14:paraId="0E7B9E1D">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文房四宝套装</w:t>
            </w:r>
          </w:p>
        </w:tc>
        <w:tc>
          <w:tcPr>
            <w:tcW w:w="1395" w:type="dxa"/>
            <w:tcBorders>
              <w:top w:val="single" w:color="000000" w:sz="4" w:space="0"/>
              <w:left w:val="single" w:color="000000" w:sz="4" w:space="0"/>
              <w:bottom w:val="single" w:color="000000" w:sz="4" w:space="0"/>
              <w:right w:val="single" w:color="000000" w:sz="4" w:space="0"/>
            </w:tcBorders>
            <w:vAlign w:val="center"/>
          </w:tcPr>
          <w:p w14:paraId="756990B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4</w:t>
            </w:r>
          </w:p>
        </w:tc>
        <w:tc>
          <w:tcPr>
            <w:tcW w:w="1230" w:type="dxa"/>
            <w:tcBorders>
              <w:top w:val="single" w:color="000000" w:sz="4" w:space="0"/>
              <w:left w:val="single" w:color="000000" w:sz="4" w:space="0"/>
              <w:bottom w:val="single" w:color="000000" w:sz="4" w:space="0"/>
              <w:right w:val="single" w:color="000000" w:sz="4" w:space="0"/>
            </w:tcBorders>
            <w:vAlign w:val="center"/>
          </w:tcPr>
          <w:p w14:paraId="2EEDF19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套</w:t>
            </w:r>
          </w:p>
        </w:tc>
        <w:tc>
          <w:tcPr>
            <w:tcW w:w="2505" w:type="dxa"/>
            <w:tcBorders>
              <w:top w:val="single" w:color="000000" w:sz="4" w:space="0"/>
              <w:left w:val="single" w:color="000000" w:sz="4" w:space="0"/>
              <w:bottom w:val="single" w:color="000000" w:sz="4" w:space="0"/>
              <w:right w:val="single" w:color="000000" w:sz="4" w:space="0"/>
            </w:tcBorders>
            <w:vAlign w:val="center"/>
          </w:tcPr>
          <w:p w14:paraId="6F2979B3">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594C9B3F">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6E8B547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2977" w:type="dxa"/>
            <w:tcBorders>
              <w:top w:val="single" w:color="000000" w:sz="4" w:space="0"/>
              <w:left w:val="single" w:color="000000" w:sz="4" w:space="0"/>
              <w:bottom w:val="single" w:color="000000" w:sz="4" w:space="0"/>
              <w:right w:val="single" w:color="000000" w:sz="4" w:space="0"/>
            </w:tcBorders>
            <w:vAlign w:val="center"/>
          </w:tcPr>
          <w:p w14:paraId="67A02079">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书画毡</w:t>
            </w:r>
          </w:p>
        </w:tc>
        <w:tc>
          <w:tcPr>
            <w:tcW w:w="1395" w:type="dxa"/>
            <w:tcBorders>
              <w:top w:val="single" w:color="000000" w:sz="4" w:space="0"/>
              <w:left w:val="single" w:color="000000" w:sz="4" w:space="0"/>
              <w:bottom w:val="single" w:color="000000" w:sz="4" w:space="0"/>
              <w:right w:val="single" w:color="000000" w:sz="4" w:space="0"/>
            </w:tcBorders>
            <w:vAlign w:val="center"/>
          </w:tcPr>
          <w:p w14:paraId="68CB2CA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4</w:t>
            </w:r>
          </w:p>
        </w:tc>
        <w:tc>
          <w:tcPr>
            <w:tcW w:w="1230" w:type="dxa"/>
            <w:tcBorders>
              <w:top w:val="single" w:color="000000" w:sz="4" w:space="0"/>
              <w:left w:val="single" w:color="000000" w:sz="4" w:space="0"/>
              <w:bottom w:val="single" w:color="000000" w:sz="4" w:space="0"/>
              <w:right w:val="single" w:color="000000" w:sz="4" w:space="0"/>
            </w:tcBorders>
            <w:vAlign w:val="center"/>
          </w:tcPr>
          <w:p w14:paraId="15DAE4B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块</w:t>
            </w:r>
          </w:p>
        </w:tc>
        <w:tc>
          <w:tcPr>
            <w:tcW w:w="2505" w:type="dxa"/>
            <w:tcBorders>
              <w:top w:val="single" w:color="000000" w:sz="4" w:space="0"/>
              <w:left w:val="single" w:color="000000" w:sz="4" w:space="0"/>
              <w:bottom w:val="single" w:color="000000" w:sz="4" w:space="0"/>
              <w:right w:val="single" w:color="000000" w:sz="4" w:space="0"/>
            </w:tcBorders>
            <w:vAlign w:val="center"/>
          </w:tcPr>
          <w:p w14:paraId="2FF00E1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47EDFD02">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5B8DC74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2977" w:type="dxa"/>
            <w:tcBorders>
              <w:top w:val="single" w:color="000000" w:sz="4" w:space="0"/>
              <w:left w:val="single" w:color="000000" w:sz="4" w:space="0"/>
              <w:bottom w:val="single" w:color="000000" w:sz="4" w:space="0"/>
              <w:right w:val="single" w:color="000000" w:sz="4" w:space="0"/>
            </w:tcBorders>
            <w:vAlign w:val="center"/>
          </w:tcPr>
          <w:p w14:paraId="0499A9AD">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书画临摹范本</w:t>
            </w:r>
          </w:p>
        </w:tc>
        <w:tc>
          <w:tcPr>
            <w:tcW w:w="1395" w:type="dxa"/>
            <w:tcBorders>
              <w:top w:val="single" w:color="000000" w:sz="4" w:space="0"/>
              <w:left w:val="single" w:color="000000" w:sz="4" w:space="0"/>
              <w:bottom w:val="single" w:color="000000" w:sz="4" w:space="0"/>
              <w:right w:val="single" w:color="000000" w:sz="4" w:space="0"/>
            </w:tcBorders>
            <w:vAlign w:val="center"/>
          </w:tcPr>
          <w:p w14:paraId="302FE56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50</w:t>
            </w:r>
          </w:p>
        </w:tc>
        <w:tc>
          <w:tcPr>
            <w:tcW w:w="1230" w:type="dxa"/>
            <w:tcBorders>
              <w:top w:val="single" w:color="000000" w:sz="4" w:space="0"/>
              <w:left w:val="single" w:color="000000" w:sz="4" w:space="0"/>
              <w:bottom w:val="single" w:color="000000" w:sz="4" w:space="0"/>
              <w:right w:val="single" w:color="000000" w:sz="4" w:space="0"/>
            </w:tcBorders>
            <w:vAlign w:val="center"/>
          </w:tcPr>
          <w:p w14:paraId="7CB6822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套</w:t>
            </w:r>
          </w:p>
        </w:tc>
        <w:tc>
          <w:tcPr>
            <w:tcW w:w="2505" w:type="dxa"/>
            <w:tcBorders>
              <w:top w:val="single" w:color="000000" w:sz="4" w:space="0"/>
              <w:left w:val="single" w:color="000000" w:sz="4" w:space="0"/>
              <w:bottom w:val="single" w:color="000000" w:sz="4" w:space="0"/>
              <w:right w:val="single" w:color="000000" w:sz="4" w:space="0"/>
            </w:tcBorders>
            <w:vAlign w:val="center"/>
          </w:tcPr>
          <w:p w14:paraId="159D8446">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5D89AC51">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3609E6B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2977" w:type="dxa"/>
            <w:tcBorders>
              <w:top w:val="single" w:color="000000" w:sz="4" w:space="0"/>
              <w:left w:val="single" w:color="000000" w:sz="4" w:space="0"/>
              <w:bottom w:val="single" w:color="000000" w:sz="4" w:space="0"/>
              <w:right w:val="single" w:color="000000" w:sz="4" w:space="0"/>
            </w:tcBorders>
            <w:vAlign w:val="center"/>
          </w:tcPr>
          <w:p w14:paraId="305B98E8">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数位屏</w:t>
            </w:r>
          </w:p>
        </w:tc>
        <w:tc>
          <w:tcPr>
            <w:tcW w:w="1395" w:type="dxa"/>
            <w:tcBorders>
              <w:top w:val="single" w:color="000000" w:sz="4" w:space="0"/>
              <w:left w:val="single" w:color="000000" w:sz="4" w:space="0"/>
              <w:bottom w:val="single" w:color="000000" w:sz="4" w:space="0"/>
              <w:right w:val="single" w:color="000000" w:sz="4" w:space="0"/>
            </w:tcBorders>
            <w:vAlign w:val="center"/>
          </w:tcPr>
          <w:p w14:paraId="1551F34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20</w:t>
            </w:r>
          </w:p>
        </w:tc>
        <w:tc>
          <w:tcPr>
            <w:tcW w:w="1230" w:type="dxa"/>
            <w:tcBorders>
              <w:top w:val="single" w:color="000000" w:sz="4" w:space="0"/>
              <w:left w:val="single" w:color="000000" w:sz="4" w:space="0"/>
              <w:bottom w:val="single" w:color="000000" w:sz="4" w:space="0"/>
              <w:right w:val="single" w:color="000000" w:sz="4" w:space="0"/>
            </w:tcBorders>
            <w:vAlign w:val="center"/>
          </w:tcPr>
          <w:p w14:paraId="0FC1D9D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505" w:type="dxa"/>
            <w:tcBorders>
              <w:top w:val="single" w:color="000000" w:sz="4" w:space="0"/>
              <w:left w:val="single" w:color="000000" w:sz="4" w:space="0"/>
              <w:bottom w:val="single" w:color="000000" w:sz="4" w:space="0"/>
              <w:right w:val="single" w:color="000000" w:sz="4" w:space="0"/>
            </w:tcBorders>
            <w:vAlign w:val="center"/>
          </w:tcPr>
          <w:p w14:paraId="0E81057D">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5F9C6479">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7CCCFF5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2977" w:type="dxa"/>
            <w:tcBorders>
              <w:top w:val="single" w:color="000000" w:sz="4" w:space="0"/>
              <w:left w:val="single" w:color="000000" w:sz="4" w:space="0"/>
              <w:bottom w:val="single" w:color="000000" w:sz="4" w:space="0"/>
              <w:right w:val="single" w:color="000000" w:sz="4" w:space="0"/>
            </w:tcBorders>
            <w:vAlign w:val="center"/>
          </w:tcPr>
          <w:p w14:paraId="1814B309">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图形工作站</w:t>
            </w:r>
          </w:p>
        </w:tc>
        <w:tc>
          <w:tcPr>
            <w:tcW w:w="1395" w:type="dxa"/>
            <w:tcBorders>
              <w:top w:val="single" w:color="000000" w:sz="4" w:space="0"/>
              <w:left w:val="single" w:color="000000" w:sz="4" w:space="0"/>
              <w:bottom w:val="single" w:color="000000" w:sz="4" w:space="0"/>
              <w:right w:val="single" w:color="000000" w:sz="4" w:space="0"/>
            </w:tcBorders>
            <w:vAlign w:val="center"/>
          </w:tcPr>
          <w:p w14:paraId="3F885BE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20</w:t>
            </w:r>
          </w:p>
        </w:tc>
        <w:tc>
          <w:tcPr>
            <w:tcW w:w="1230" w:type="dxa"/>
            <w:tcBorders>
              <w:top w:val="single" w:color="000000" w:sz="4" w:space="0"/>
              <w:left w:val="single" w:color="000000" w:sz="4" w:space="0"/>
              <w:bottom w:val="single" w:color="000000" w:sz="4" w:space="0"/>
              <w:right w:val="single" w:color="000000" w:sz="4" w:space="0"/>
            </w:tcBorders>
            <w:vAlign w:val="center"/>
          </w:tcPr>
          <w:p w14:paraId="6C3306E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505" w:type="dxa"/>
            <w:tcBorders>
              <w:top w:val="single" w:color="000000" w:sz="4" w:space="0"/>
              <w:left w:val="single" w:color="000000" w:sz="4" w:space="0"/>
              <w:bottom w:val="single" w:color="000000" w:sz="4" w:space="0"/>
              <w:right w:val="single" w:color="000000" w:sz="4" w:space="0"/>
            </w:tcBorders>
            <w:vAlign w:val="center"/>
          </w:tcPr>
          <w:p w14:paraId="67925A20">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66F52B9A">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6D1C44C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w:t>
            </w:r>
          </w:p>
        </w:tc>
        <w:tc>
          <w:tcPr>
            <w:tcW w:w="2977" w:type="dxa"/>
            <w:tcBorders>
              <w:top w:val="single" w:color="000000" w:sz="4" w:space="0"/>
              <w:left w:val="single" w:color="000000" w:sz="4" w:space="0"/>
              <w:bottom w:val="single" w:color="000000" w:sz="4" w:space="0"/>
              <w:right w:val="single" w:color="000000" w:sz="4" w:space="0"/>
            </w:tcBorders>
            <w:vAlign w:val="center"/>
          </w:tcPr>
          <w:p w14:paraId="40F597DA">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高清扫描仪</w:t>
            </w:r>
          </w:p>
        </w:tc>
        <w:tc>
          <w:tcPr>
            <w:tcW w:w="1395" w:type="dxa"/>
            <w:tcBorders>
              <w:top w:val="single" w:color="000000" w:sz="4" w:space="0"/>
              <w:left w:val="single" w:color="000000" w:sz="4" w:space="0"/>
              <w:bottom w:val="single" w:color="000000" w:sz="4" w:space="0"/>
              <w:right w:val="single" w:color="000000" w:sz="4" w:space="0"/>
            </w:tcBorders>
            <w:vAlign w:val="center"/>
          </w:tcPr>
          <w:p w14:paraId="7CA5E3B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30" w:type="dxa"/>
            <w:tcBorders>
              <w:top w:val="single" w:color="000000" w:sz="4" w:space="0"/>
              <w:left w:val="single" w:color="000000" w:sz="4" w:space="0"/>
              <w:bottom w:val="single" w:color="000000" w:sz="4" w:space="0"/>
              <w:right w:val="single" w:color="000000" w:sz="4" w:space="0"/>
            </w:tcBorders>
            <w:vAlign w:val="center"/>
          </w:tcPr>
          <w:p w14:paraId="4CA6EB4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505" w:type="dxa"/>
            <w:tcBorders>
              <w:top w:val="single" w:color="000000" w:sz="4" w:space="0"/>
              <w:left w:val="single" w:color="000000" w:sz="4" w:space="0"/>
              <w:bottom w:val="single" w:color="000000" w:sz="4" w:space="0"/>
              <w:right w:val="single" w:color="000000" w:sz="4" w:space="0"/>
            </w:tcBorders>
            <w:vAlign w:val="center"/>
          </w:tcPr>
          <w:p w14:paraId="1591D6A4">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1320CD99">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0E58280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2977" w:type="dxa"/>
            <w:tcBorders>
              <w:top w:val="single" w:color="000000" w:sz="4" w:space="0"/>
              <w:left w:val="single" w:color="000000" w:sz="4" w:space="0"/>
              <w:bottom w:val="single" w:color="000000" w:sz="4" w:space="0"/>
              <w:right w:val="single" w:color="000000" w:sz="4" w:space="0"/>
            </w:tcBorders>
            <w:vAlign w:val="center"/>
          </w:tcPr>
          <w:p w14:paraId="397CE1BB">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实训室配套</w:t>
            </w:r>
          </w:p>
        </w:tc>
        <w:tc>
          <w:tcPr>
            <w:tcW w:w="1395" w:type="dxa"/>
            <w:tcBorders>
              <w:top w:val="single" w:color="000000" w:sz="4" w:space="0"/>
              <w:left w:val="single" w:color="000000" w:sz="4" w:space="0"/>
              <w:bottom w:val="single" w:color="000000" w:sz="4" w:space="0"/>
              <w:right w:val="single" w:color="000000" w:sz="4" w:space="0"/>
            </w:tcBorders>
            <w:vAlign w:val="center"/>
          </w:tcPr>
          <w:p w14:paraId="5823667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30" w:type="dxa"/>
            <w:tcBorders>
              <w:top w:val="single" w:color="000000" w:sz="4" w:space="0"/>
              <w:left w:val="single" w:color="000000" w:sz="4" w:space="0"/>
              <w:bottom w:val="single" w:color="000000" w:sz="4" w:space="0"/>
              <w:right w:val="single" w:color="000000" w:sz="4" w:space="0"/>
            </w:tcBorders>
            <w:vAlign w:val="center"/>
          </w:tcPr>
          <w:p w14:paraId="68E8491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套</w:t>
            </w:r>
          </w:p>
        </w:tc>
        <w:tc>
          <w:tcPr>
            <w:tcW w:w="2505" w:type="dxa"/>
            <w:tcBorders>
              <w:top w:val="single" w:color="000000" w:sz="4" w:space="0"/>
              <w:left w:val="single" w:color="000000" w:sz="4" w:space="0"/>
              <w:bottom w:val="single" w:color="000000" w:sz="4" w:space="0"/>
              <w:right w:val="single" w:color="000000" w:sz="4" w:space="0"/>
            </w:tcBorders>
            <w:vAlign w:val="center"/>
          </w:tcPr>
          <w:p w14:paraId="3DEE487D">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1CDF89D8">
        <w:tblPrEx>
          <w:tblCellMar>
            <w:top w:w="0" w:type="dxa"/>
            <w:left w:w="108" w:type="dxa"/>
            <w:bottom w:w="0" w:type="dxa"/>
            <w:right w:w="108" w:type="dxa"/>
          </w:tblCellMar>
        </w:tblPrEx>
        <w:trPr>
          <w:trHeight w:val="594" w:hRule="atLeast"/>
          <w:jc w:val="center"/>
        </w:trPr>
        <w:tc>
          <w:tcPr>
            <w:tcW w:w="9201" w:type="dxa"/>
            <w:gridSpan w:val="5"/>
            <w:tcBorders>
              <w:top w:val="single" w:color="000000" w:sz="4" w:space="0"/>
              <w:left w:val="single" w:color="000000" w:sz="4" w:space="0"/>
              <w:bottom w:val="single" w:color="000000" w:sz="4" w:space="0"/>
              <w:right w:val="single" w:color="000000" w:sz="4" w:space="0"/>
            </w:tcBorders>
            <w:vAlign w:val="center"/>
          </w:tcPr>
          <w:p w14:paraId="39E5C11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预算合计金额（人民币大写）</w:t>
            </w:r>
            <w:r>
              <w:rPr>
                <w:rFonts w:hint="eastAsia" w:ascii="宋体" w:hAnsi="宋体" w:cs="宋体"/>
                <w:color w:val="auto"/>
                <w:szCs w:val="21"/>
                <w:highlight w:val="none"/>
                <w:u w:val="single"/>
              </w:rPr>
              <w:t xml:space="preserve"> 肆拾柒万叁仟捌佰陆拾肆元零捌分（小写）¥ 473864.08 </w:t>
            </w:r>
          </w:p>
        </w:tc>
      </w:tr>
    </w:tbl>
    <w:p w14:paraId="573BD6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合同履行期限：详见采购文件。</w:t>
      </w:r>
    </w:p>
    <w:p w14:paraId="6D1EAF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本项目是否接受联合体：否。</w:t>
      </w:r>
    </w:p>
    <w:p w14:paraId="0F03E3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分标2：研学旅行管理与服务专业虚拟仿真实训室项目</w:t>
      </w:r>
    </w:p>
    <w:tbl>
      <w:tblPr>
        <w:tblStyle w:val="27"/>
        <w:tblW w:w="8967" w:type="dxa"/>
        <w:jc w:val="center"/>
        <w:tblLayout w:type="fixed"/>
        <w:tblCellMar>
          <w:top w:w="0" w:type="dxa"/>
          <w:left w:w="108" w:type="dxa"/>
          <w:bottom w:w="0" w:type="dxa"/>
          <w:right w:w="108" w:type="dxa"/>
        </w:tblCellMar>
      </w:tblPr>
      <w:tblGrid>
        <w:gridCol w:w="1094"/>
        <w:gridCol w:w="2802"/>
        <w:gridCol w:w="1395"/>
        <w:gridCol w:w="1260"/>
        <w:gridCol w:w="2416"/>
      </w:tblGrid>
      <w:tr w14:paraId="243CE7A2">
        <w:tblPrEx>
          <w:tblCellMar>
            <w:top w:w="0" w:type="dxa"/>
            <w:left w:w="108" w:type="dxa"/>
            <w:bottom w:w="0" w:type="dxa"/>
            <w:right w:w="108" w:type="dxa"/>
          </w:tblCellMar>
        </w:tblPrEx>
        <w:trPr>
          <w:trHeight w:val="953"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08BC769E">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序号</w:t>
            </w:r>
          </w:p>
        </w:tc>
        <w:tc>
          <w:tcPr>
            <w:tcW w:w="2802" w:type="dxa"/>
            <w:tcBorders>
              <w:top w:val="single" w:color="000000" w:sz="4" w:space="0"/>
              <w:left w:val="single" w:color="000000" w:sz="4" w:space="0"/>
              <w:bottom w:val="single" w:color="000000" w:sz="4" w:space="0"/>
              <w:right w:val="single" w:color="000000" w:sz="4" w:space="0"/>
            </w:tcBorders>
            <w:vAlign w:val="center"/>
          </w:tcPr>
          <w:p w14:paraId="4FFF8E29">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标的名称</w:t>
            </w:r>
          </w:p>
        </w:tc>
        <w:tc>
          <w:tcPr>
            <w:tcW w:w="1395" w:type="dxa"/>
            <w:tcBorders>
              <w:top w:val="single" w:color="000000" w:sz="4" w:space="0"/>
              <w:left w:val="single" w:color="000000" w:sz="4" w:space="0"/>
              <w:bottom w:val="single" w:color="000000" w:sz="4" w:space="0"/>
              <w:right w:val="single" w:color="000000" w:sz="4" w:space="0"/>
            </w:tcBorders>
            <w:vAlign w:val="center"/>
          </w:tcPr>
          <w:p w14:paraId="62853B27">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数量</w:t>
            </w:r>
          </w:p>
        </w:tc>
        <w:tc>
          <w:tcPr>
            <w:tcW w:w="1260" w:type="dxa"/>
            <w:tcBorders>
              <w:top w:val="single" w:color="000000" w:sz="4" w:space="0"/>
              <w:left w:val="single" w:color="000000" w:sz="4" w:space="0"/>
              <w:bottom w:val="single" w:color="000000" w:sz="4" w:space="0"/>
              <w:right w:val="single" w:color="000000" w:sz="4" w:space="0"/>
            </w:tcBorders>
            <w:vAlign w:val="center"/>
          </w:tcPr>
          <w:p w14:paraId="453B6597">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单位</w:t>
            </w:r>
          </w:p>
        </w:tc>
        <w:tc>
          <w:tcPr>
            <w:tcW w:w="2416" w:type="dxa"/>
            <w:tcBorders>
              <w:top w:val="single" w:color="000000" w:sz="4" w:space="0"/>
              <w:left w:val="single" w:color="000000" w:sz="4" w:space="0"/>
              <w:bottom w:val="single" w:color="000000" w:sz="4" w:space="0"/>
              <w:right w:val="single" w:color="000000" w:sz="4" w:space="0"/>
            </w:tcBorders>
            <w:vAlign w:val="center"/>
          </w:tcPr>
          <w:p w14:paraId="68995CC1">
            <w:pPr>
              <w:widowControl/>
              <w:jc w:val="center"/>
              <w:textAlignment w:val="center"/>
              <w:rPr>
                <w:rFonts w:ascii="宋体" w:hAnsi="宋体" w:cs="宋体"/>
                <w:bCs/>
                <w:color w:val="auto"/>
                <w:szCs w:val="21"/>
                <w:highlight w:val="none"/>
              </w:rPr>
            </w:pPr>
            <w:r>
              <w:rPr>
                <w:rFonts w:hint="eastAsia" w:ascii="宋体" w:hAnsi="宋体" w:cs="宋体"/>
                <w:color w:val="auto"/>
                <w:szCs w:val="21"/>
                <w:highlight w:val="none"/>
              </w:rPr>
              <w:t>简要技术需求</w:t>
            </w:r>
          </w:p>
        </w:tc>
      </w:tr>
      <w:tr w14:paraId="3F171732">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6F3B724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2802" w:type="dxa"/>
            <w:tcBorders>
              <w:top w:val="single" w:color="000000" w:sz="4" w:space="0"/>
              <w:left w:val="single" w:color="000000" w:sz="4" w:space="0"/>
              <w:bottom w:val="single" w:color="000000" w:sz="4" w:space="0"/>
              <w:right w:val="single" w:color="000000" w:sz="4" w:space="0"/>
            </w:tcBorders>
            <w:vAlign w:val="center"/>
          </w:tcPr>
          <w:p w14:paraId="57403F8D">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虚拟仿真智能显示设备</w:t>
            </w:r>
          </w:p>
        </w:tc>
        <w:tc>
          <w:tcPr>
            <w:tcW w:w="1395" w:type="dxa"/>
            <w:tcBorders>
              <w:top w:val="single" w:color="000000" w:sz="4" w:space="0"/>
              <w:left w:val="single" w:color="000000" w:sz="4" w:space="0"/>
              <w:bottom w:val="single" w:color="000000" w:sz="4" w:space="0"/>
              <w:right w:val="single" w:color="000000" w:sz="4" w:space="0"/>
            </w:tcBorders>
            <w:vAlign w:val="center"/>
          </w:tcPr>
          <w:p w14:paraId="3B08868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38.5</w:t>
            </w:r>
          </w:p>
        </w:tc>
        <w:tc>
          <w:tcPr>
            <w:tcW w:w="1260" w:type="dxa"/>
            <w:tcBorders>
              <w:top w:val="single" w:color="000000" w:sz="4" w:space="0"/>
              <w:left w:val="single" w:color="000000" w:sz="4" w:space="0"/>
              <w:bottom w:val="single" w:color="000000" w:sz="4" w:space="0"/>
              <w:right w:val="single" w:color="000000" w:sz="4" w:space="0"/>
            </w:tcBorders>
            <w:vAlign w:val="center"/>
          </w:tcPr>
          <w:p w14:paraId="49A854C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平方米</w:t>
            </w:r>
          </w:p>
        </w:tc>
        <w:tc>
          <w:tcPr>
            <w:tcW w:w="2416" w:type="dxa"/>
            <w:tcBorders>
              <w:top w:val="single" w:color="000000" w:sz="4" w:space="0"/>
              <w:left w:val="single" w:color="000000" w:sz="4" w:space="0"/>
              <w:bottom w:val="single" w:color="000000" w:sz="4" w:space="0"/>
              <w:right w:val="single" w:color="000000" w:sz="4" w:space="0"/>
            </w:tcBorders>
            <w:vAlign w:val="center"/>
          </w:tcPr>
          <w:p w14:paraId="693D1B06">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17F48536">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489E33B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2802" w:type="dxa"/>
            <w:tcBorders>
              <w:top w:val="single" w:color="000000" w:sz="4" w:space="0"/>
              <w:left w:val="single" w:color="000000" w:sz="4" w:space="0"/>
              <w:bottom w:val="single" w:color="000000" w:sz="4" w:space="0"/>
              <w:right w:val="single" w:color="000000" w:sz="4" w:space="0"/>
            </w:tcBorders>
            <w:vAlign w:val="center"/>
          </w:tcPr>
          <w:p w14:paraId="5A01734F">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3D视频处理器</w:t>
            </w:r>
          </w:p>
        </w:tc>
        <w:tc>
          <w:tcPr>
            <w:tcW w:w="1395" w:type="dxa"/>
            <w:tcBorders>
              <w:top w:val="single" w:color="000000" w:sz="4" w:space="0"/>
              <w:left w:val="single" w:color="000000" w:sz="4" w:space="0"/>
              <w:bottom w:val="single" w:color="000000" w:sz="4" w:space="0"/>
              <w:right w:val="single" w:color="000000" w:sz="4" w:space="0"/>
            </w:tcBorders>
            <w:vAlign w:val="center"/>
          </w:tcPr>
          <w:p w14:paraId="1AAAB6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vAlign w:val="center"/>
          </w:tcPr>
          <w:p w14:paraId="4F5EB14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416" w:type="dxa"/>
            <w:tcBorders>
              <w:top w:val="single" w:color="000000" w:sz="4" w:space="0"/>
              <w:left w:val="single" w:color="000000" w:sz="4" w:space="0"/>
              <w:bottom w:val="single" w:color="000000" w:sz="4" w:space="0"/>
              <w:right w:val="single" w:color="000000" w:sz="4" w:space="0"/>
            </w:tcBorders>
            <w:vAlign w:val="center"/>
          </w:tcPr>
          <w:p w14:paraId="0689D57A">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810FD54">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40EEC14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2802" w:type="dxa"/>
            <w:tcBorders>
              <w:top w:val="single" w:color="000000" w:sz="4" w:space="0"/>
              <w:left w:val="single" w:color="000000" w:sz="4" w:space="0"/>
              <w:bottom w:val="single" w:color="000000" w:sz="4" w:space="0"/>
              <w:right w:val="single" w:color="000000" w:sz="4" w:space="0"/>
            </w:tcBorders>
            <w:vAlign w:val="center"/>
          </w:tcPr>
          <w:p w14:paraId="59E8B342">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专用结构</w:t>
            </w:r>
          </w:p>
        </w:tc>
        <w:tc>
          <w:tcPr>
            <w:tcW w:w="1395" w:type="dxa"/>
            <w:tcBorders>
              <w:top w:val="single" w:color="000000" w:sz="4" w:space="0"/>
              <w:left w:val="single" w:color="000000" w:sz="4" w:space="0"/>
              <w:bottom w:val="single" w:color="000000" w:sz="4" w:space="0"/>
              <w:right w:val="single" w:color="000000" w:sz="4" w:space="0"/>
            </w:tcBorders>
            <w:vAlign w:val="center"/>
          </w:tcPr>
          <w:p w14:paraId="6674206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38.5</w:t>
            </w:r>
          </w:p>
        </w:tc>
        <w:tc>
          <w:tcPr>
            <w:tcW w:w="1260" w:type="dxa"/>
            <w:tcBorders>
              <w:top w:val="single" w:color="000000" w:sz="4" w:space="0"/>
              <w:left w:val="single" w:color="000000" w:sz="4" w:space="0"/>
              <w:bottom w:val="single" w:color="000000" w:sz="4" w:space="0"/>
              <w:right w:val="single" w:color="000000" w:sz="4" w:space="0"/>
            </w:tcBorders>
            <w:vAlign w:val="center"/>
          </w:tcPr>
          <w:p w14:paraId="7812EEF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平方米</w:t>
            </w:r>
          </w:p>
        </w:tc>
        <w:tc>
          <w:tcPr>
            <w:tcW w:w="2416" w:type="dxa"/>
            <w:tcBorders>
              <w:top w:val="single" w:color="000000" w:sz="4" w:space="0"/>
              <w:left w:val="single" w:color="000000" w:sz="4" w:space="0"/>
              <w:bottom w:val="single" w:color="000000" w:sz="4" w:space="0"/>
              <w:right w:val="single" w:color="000000" w:sz="4" w:space="0"/>
            </w:tcBorders>
            <w:vAlign w:val="center"/>
          </w:tcPr>
          <w:p w14:paraId="09750628">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4B3E0D4F">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62B0B44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2802" w:type="dxa"/>
            <w:tcBorders>
              <w:top w:val="single" w:color="000000" w:sz="4" w:space="0"/>
              <w:left w:val="single" w:color="000000" w:sz="4" w:space="0"/>
              <w:bottom w:val="single" w:color="000000" w:sz="4" w:space="0"/>
              <w:right w:val="single" w:color="000000" w:sz="4" w:space="0"/>
            </w:tcBorders>
            <w:vAlign w:val="center"/>
          </w:tcPr>
          <w:p w14:paraId="26DE9658">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VR工作站</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8FDC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6E6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416" w:type="dxa"/>
            <w:tcBorders>
              <w:top w:val="single" w:color="000000" w:sz="4" w:space="0"/>
              <w:left w:val="single" w:color="000000" w:sz="4" w:space="0"/>
              <w:bottom w:val="single" w:color="000000" w:sz="4" w:space="0"/>
              <w:right w:val="single" w:color="000000" w:sz="4" w:space="0"/>
            </w:tcBorders>
            <w:vAlign w:val="center"/>
          </w:tcPr>
          <w:p w14:paraId="1A6281F5">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3BB603F6">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6163023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2802" w:type="dxa"/>
            <w:tcBorders>
              <w:top w:val="single" w:color="000000" w:sz="4" w:space="0"/>
              <w:left w:val="single" w:color="000000" w:sz="4" w:space="0"/>
              <w:bottom w:val="single" w:color="000000" w:sz="4" w:space="0"/>
              <w:right w:val="single" w:color="000000" w:sz="4" w:space="0"/>
            </w:tcBorders>
            <w:vAlign w:val="center"/>
          </w:tcPr>
          <w:p w14:paraId="003BBF30">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智能配电柜</w:t>
            </w:r>
          </w:p>
        </w:tc>
        <w:tc>
          <w:tcPr>
            <w:tcW w:w="1395" w:type="dxa"/>
            <w:tcBorders>
              <w:top w:val="single" w:color="000000" w:sz="4" w:space="0"/>
              <w:left w:val="single" w:color="000000" w:sz="4" w:space="0"/>
              <w:bottom w:val="single" w:color="000000" w:sz="4" w:space="0"/>
              <w:right w:val="single" w:color="000000" w:sz="4" w:space="0"/>
            </w:tcBorders>
            <w:vAlign w:val="center"/>
          </w:tcPr>
          <w:p w14:paraId="2F9F514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vAlign w:val="center"/>
          </w:tcPr>
          <w:p w14:paraId="20D6343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个</w:t>
            </w:r>
          </w:p>
        </w:tc>
        <w:tc>
          <w:tcPr>
            <w:tcW w:w="2416" w:type="dxa"/>
            <w:tcBorders>
              <w:top w:val="single" w:color="000000" w:sz="4" w:space="0"/>
              <w:left w:val="single" w:color="000000" w:sz="4" w:space="0"/>
              <w:bottom w:val="single" w:color="000000" w:sz="4" w:space="0"/>
              <w:right w:val="single" w:color="000000" w:sz="4" w:space="0"/>
            </w:tcBorders>
            <w:vAlign w:val="center"/>
          </w:tcPr>
          <w:p w14:paraId="2ABB66FD">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6F3F6BF2">
        <w:tblPrEx>
          <w:tblCellMar>
            <w:top w:w="0" w:type="dxa"/>
            <w:left w:w="108" w:type="dxa"/>
            <w:bottom w:w="0" w:type="dxa"/>
            <w:right w:w="108" w:type="dxa"/>
          </w:tblCellMar>
        </w:tblPrEx>
        <w:trPr>
          <w:trHeight w:val="90"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4CFDA2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2802" w:type="dxa"/>
            <w:tcBorders>
              <w:top w:val="single" w:color="000000" w:sz="4" w:space="0"/>
              <w:left w:val="single" w:color="000000" w:sz="4" w:space="0"/>
              <w:bottom w:val="single" w:color="000000" w:sz="4" w:space="0"/>
              <w:right w:val="single" w:color="000000" w:sz="4" w:space="0"/>
            </w:tcBorders>
            <w:vAlign w:val="center"/>
          </w:tcPr>
          <w:p w14:paraId="24CBD547">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中控系统</w:t>
            </w:r>
          </w:p>
        </w:tc>
        <w:tc>
          <w:tcPr>
            <w:tcW w:w="1395" w:type="dxa"/>
            <w:tcBorders>
              <w:top w:val="single" w:color="000000" w:sz="4" w:space="0"/>
              <w:left w:val="single" w:color="000000" w:sz="4" w:space="0"/>
              <w:bottom w:val="single" w:color="000000" w:sz="4" w:space="0"/>
              <w:right w:val="single" w:color="000000" w:sz="4" w:space="0"/>
            </w:tcBorders>
            <w:vAlign w:val="center"/>
          </w:tcPr>
          <w:p w14:paraId="086253A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vAlign w:val="center"/>
          </w:tcPr>
          <w:p w14:paraId="144505E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套</w:t>
            </w:r>
          </w:p>
        </w:tc>
        <w:tc>
          <w:tcPr>
            <w:tcW w:w="2416" w:type="dxa"/>
            <w:tcBorders>
              <w:top w:val="single" w:color="000000" w:sz="4" w:space="0"/>
              <w:left w:val="single" w:color="000000" w:sz="4" w:space="0"/>
              <w:bottom w:val="single" w:color="000000" w:sz="4" w:space="0"/>
              <w:right w:val="single" w:color="000000" w:sz="4" w:space="0"/>
            </w:tcBorders>
            <w:vAlign w:val="center"/>
          </w:tcPr>
          <w:p w14:paraId="26E58307">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2C954362">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3D07D5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w:t>
            </w:r>
          </w:p>
        </w:tc>
        <w:tc>
          <w:tcPr>
            <w:tcW w:w="2802" w:type="dxa"/>
            <w:tcBorders>
              <w:top w:val="single" w:color="000000" w:sz="4" w:space="0"/>
              <w:left w:val="single" w:color="000000" w:sz="4" w:space="0"/>
              <w:bottom w:val="single" w:color="000000" w:sz="4" w:space="0"/>
              <w:right w:val="single" w:color="000000" w:sz="4" w:space="0"/>
            </w:tcBorders>
            <w:vAlign w:val="center"/>
          </w:tcPr>
          <w:p w14:paraId="2EFE7CE2">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机柜</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86B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299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个</w:t>
            </w:r>
          </w:p>
        </w:tc>
        <w:tc>
          <w:tcPr>
            <w:tcW w:w="2416" w:type="dxa"/>
            <w:tcBorders>
              <w:top w:val="single" w:color="000000" w:sz="4" w:space="0"/>
              <w:left w:val="single" w:color="000000" w:sz="4" w:space="0"/>
              <w:bottom w:val="single" w:color="000000" w:sz="4" w:space="0"/>
              <w:right w:val="single" w:color="000000" w:sz="4" w:space="0"/>
            </w:tcBorders>
            <w:vAlign w:val="center"/>
          </w:tcPr>
          <w:p w14:paraId="3476F704">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664059AD">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599CE7C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2802" w:type="dxa"/>
            <w:tcBorders>
              <w:top w:val="single" w:color="000000" w:sz="4" w:space="0"/>
              <w:left w:val="single" w:color="000000" w:sz="4" w:space="0"/>
              <w:bottom w:val="single" w:color="000000" w:sz="4" w:space="0"/>
              <w:right w:val="single" w:color="000000" w:sz="4" w:space="0"/>
            </w:tcBorders>
            <w:vAlign w:val="center"/>
          </w:tcPr>
          <w:p w14:paraId="5A07C1AC">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智慧讲台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714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A2D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个</w:t>
            </w:r>
          </w:p>
        </w:tc>
        <w:tc>
          <w:tcPr>
            <w:tcW w:w="2416" w:type="dxa"/>
            <w:tcBorders>
              <w:top w:val="single" w:color="000000" w:sz="4" w:space="0"/>
              <w:left w:val="single" w:color="000000" w:sz="4" w:space="0"/>
              <w:bottom w:val="single" w:color="000000" w:sz="4" w:space="0"/>
              <w:right w:val="single" w:color="000000" w:sz="4" w:space="0"/>
            </w:tcBorders>
            <w:vAlign w:val="center"/>
          </w:tcPr>
          <w:p w14:paraId="4892768A">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4C1C2257">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379CC762">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9</w:t>
            </w:r>
          </w:p>
        </w:tc>
        <w:tc>
          <w:tcPr>
            <w:tcW w:w="2802" w:type="dxa"/>
            <w:tcBorders>
              <w:top w:val="single" w:color="000000" w:sz="4" w:space="0"/>
              <w:left w:val="single" w:color="000000" w:sz="4" w:space="0"/>
              <w:bottom w:val="single" w:color="000000" w:sz="4" w:space="0"/>
              <w:right w:val="single" w:color="000000" w:sz="4" w:space="0"/>
            </w:tcBorders>
            <w:vAlign w:val="center"/>
          </w:tcPr>
          <w:p w14:paraId="5258B789">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多功能桌椅</w:t>
            </w:r>
          </w:p>
        </w:tc>
        <w:tc>
          <w:tcPr>
            <w:tcW w:w="1395" w:type="dxa"/>
            <w:tcBorders>
              <w:top w:val="single" w:color="000000" w:sz="4" w:space="0"/>
              <w:left w:val="single" w:color="000000" w:sz="4" w:space="0"/>
              <w:bottom w:val="single" w:color="000000" w:sz="4" w:space="0"/>
              <w:right w:val="single" w:color="000000" w:sz="4" w:space="0"/>
            </w:tcBorders>
            <w:vAlign w:val="center"/>
          </w:tcPr>
          <w:p w14:paraId="1E2E93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50</w:t>
            </w:r>
          </w:p>
        </w:tc>
        <w:tc>
          <w:tcPr>
            <w:tcW w:w="1260" w:type="dxa"/>
            <w:tcBorders>
              <w:top w:val="single" w:color="000000" w:sz="4" w:space="0"/>
              <w:left w:val="single" w:color="000000" w:sz="4" w:space="0"/>
              <w:bottom w:val="single" w:color="000000" w:sz="4" w:space="0"/>
              <w:right w:val="single" w:color="000000" w:sz="4" w:space="0"/>
            </w:tcBorders>
            <w:vAlign w:val="center"/>
          </w:tcPr>
          <w:p w14:paraId="7C4BC59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张</w:t>
            </w:r>
          </w:p>
        </w:tc>
        <w:tc>
          <w:tcPr>
            <w:tcW w:w="2416" w:type="dxa"/>
            <w:tcBorders>
              <w:top w:val="single" w:color="000000" w:sz="4" w:space="0"/>
              <w:left w:val="single" w:color="000000" w:sz="4" w:space="0"/>
              <w:bottom w:val="single" w:color="000000" w:sz="4" w:space="0"/>
              <w:right w:val="single" w:color="000000" w:sz="4" w:space="0"/>
            </w:tcBorders>
            <w:vAlign w:val="center"/>
          </w:tcPr>
          <w:p w14:paraId="38F0DFD2">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23065B96">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39C07105">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10</w:t>
            </w:r>
          </w:p>
        </w:tc>
        <w:tc>
          <w:tcPr>
            <w:tcW w:w="2802" w:type="dxa"/>
            <w:tcBorders>
              <w:top w:val="single" w:color="000000" w:sz="4" w:space="0"/>
              <w:left w:val="single" w:color="000000" w:sz="4" w:space="0"/>
              <w:bottom w:val="single" w:color="000000" w:sz="4" w:space="0"/>
              <w:right w:val="single" w:color="000000" w:sz="4" w:space="0"/>
            </w:tcBorders>
            <w:vAlign w:val="center"/>
          </w:tcPr>
          <w:p w14:paraId="4406ECEC">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音箱系统</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605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B65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套</w:t>
            </w:r>
          </w:p>
        </w:tc>
        <w:tc>
          <w:tcPr>
            <w:tcW w:w="2416" w:type="dxa"/>
            <w:tcBorders>
              <w:top w:val="single" w:color="000000" w:sz="4" w:space="0"/>
              <w:left w:val="single" w:color="000000" w:sz="4" w:space="0"/>
              <w:bottom w:val="single" w:color="000000" w:sz="4" w:space="0"/>
              <w:right w:val="single" w:color="000000" w:sz="4" w:space="0"/>
            </w:tcBorders>
            <w:vAlign w:val="center"/>
          </w:tcPr>
          <w:p w14:paraId="3F2349D8">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104165B">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52B36B93">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11</w:t>
            </w:r>
          </w:p>
        </w:tc>
        <w:tc>
          <w:tcPr>
            <w:tcW w:w="2802" w:type="dxa"/>
            <w:tcBorders>
              <w:top w:val="single" w:color="000000" w:sz="4" w:space="0"/>
              <w:left w:val="single" w:color="000000" w:sz="4" w:space="0"/>
              <w:bottom w:val="single" w:color="000000" w:sz="4" w:space="0"/>
              <w:right w:val="single" w:color="000000" w:sz="4" w:space="0"/>
            </w:tcBorders>
            <w:vAlign w:val="center"/>
          </w:tcPr>
          <w:p w14:paraId="780EA50E">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数据交换机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BC0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4AF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个</w:t>
            </w:r>
          </w:p>
        </w:tc>
        <w:tc>
          <w:tcPr>
            <w:tcW w:w="2416" w:type="dxa"/>
            <w:tcBorders>
              <w:top w:val="single" w:color="000000" w:sz="4" w:space="0"/>
              <w:left w:val="single" w:color="000000" w:sz="4" w:space="0"/>
              <w:bottom w:val="single" w:color="000000" w:sz="4" w:space="0"/>
              <w:right w:val="single" w:color="000000" w:sz="4" w:space="0"/>
            </w:tcBorders>
            <w:vAlign w:val="center"/>
          </w:tcPr>
          <w:p w14:paraId="61D9FF54">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44229F91">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5DF526F8">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12</w:t>
            </w:r>
          </w:p>
        </w:tc>
        <w:tc>
          <w:tcPr>
            <w:tcW w:w="2802" w:type="dxa"/>
            <w:tcBorders>
              <w:top w:val="single" w:color="000000" w:sz="4" w:space="0"/>
              <w:left w:val="single" w:color="000000" w:sz="4" w:space="0"/>
              <w:bottom w:val="single" w:color="000000" w:sz="4" w:space="0"/>
              <w:right w:val="single" w:color="000000" w:sz="4" w:space="0"/>
            </w:tcBorders>
            <w:vAlign w:val="center"/>
          </w:tcPr>
          <w:p w14:paraId="2016CA9A">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千兆企业级路由器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4EF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37D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个</w:t>
            </w:r>
          </w:p>
        </w:tc>
        <w:tc>
          <w:tcPr>
            <w:tcW w:w="2416" w:type="dxa"/>
            <w:tcBorders>
              <w:top w:val="single" w:color="000000" w:sz="4" w:space="0"/>
              <w:left w:val="single" w:color="000000" w:sz="4" w:space="0"/>
              <w:bottom w:val="single" w:color="000000" w:sz="4" w:space="0"/>
              <w:right w:val="single" w:color="000000" w:sz="4" w:space="0"/>
            </w:tcBorders>
            <w:vAlign w:val="center"/>
          </w:tcPr>
          <w:p w14:paraId="15F3F203">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11DE889B">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4507F13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13</w:t>
            </w:r>
          </w:p>
        </w:tc>
        <w:tc>
          <w:tcPr>
            <w:tcW w:w="2802" w:type="dxa"/>
            <w:tcBorders>
              <w:top w:val="single" w:color="000000" w:sz="4" w:space="0"/>
              <w:left w:val="single" w:color="000000" w:sz="4" w:space="0"/>
              <w:bottom w:val="single" w:color="000000" w:sz="4" w:space="0"/>
              <w:right w:val="single" w:color="000000" w:sz="4" w:space="0"/>
            </w:tcBorders>
            <w:vAlign w:val="center"/>
          </w:tcPr>
          <w:p w14:paraId="122F78C9">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研学基(营)地运营与管理系统</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20A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8E7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套</w:t>
            </w:r>
          </w:p>
        </w:tc>
        <w:tc>
          <w:tcPr>
            <w:tcW w:w="2416" w:type="dxa"/>
            <w:tcBorders>
              <w:top w:val="single" w:color="000000" w:sz="4" w:space="0"/>
              <w:left w:val="single" w:color="000000" w:sz="4" w:space="0"/>
              <w:bottom w:val="single" w:color="000000" w:sz="4" w:space="0"/>
              <w:right w:val="single" w:color="000000" w:sz="4" w:space="0"/>
            </w:tcBorders>
            <w:vAlign w:val="center"/>
          </w:tcPr>
          <w:p w14:paraId="60361B6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46945786">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588B9D3F">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14</w:t>
            </w:r>
          </w:p>
        </w:tc>
        <w:tc>
          <w:tcPr>
            <w:tcW w:w="2802" w:type="dxa"/>
            <w:tcBorders>
              <w:top w:val="single" w:color="000000" w:sz="4" w:space="0"/>
              <w:left w:val="single" w:color="000000" w:sz="4" w:space="0"/>
              <w:bottom w:val="single" w:color="000000" w:sz="4" w:space="0"/>
              <w:right w:val="single" w:color="000000" w:sz="4" w:space="0"/>
            </w:tcBorders>
            <w:vAlign w:val="center"/>
          </w:tcPr>
          <w:p w14:paraId="0D7C2D70">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MR智能导游虚拟仿真综合实训平台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D47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DF3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套</w:t>
            </w:r>
          </w:p>
        </w:tc>
        <w:tc>
          <w:tcPr>
            <w:tcW w:w="2416" w:type="dxa"/>
            <w:tcBorders>
              <w:top w:val="single" w:color="000000" w:sz="4" w:space="0"/>
              <w:left w:val="single" w:color="000000" w:sz="4" w:space="0"/>
              <w:bottom w:val="single" w:color="000000" w:sz="4" w:space="0"/>
              <w:right w:val="single" w:color="000000" w:sz="4" w:space="0"/>
            </w:tcBorders>
            <w:vAlign w:val="center"/>
          </w:tcPr>
          <w:p w14:paraId="33CDD496">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6041B5EF">
        <w:tblPrEx>
          <w:tblCellMar>
            <w:top w:w="0" w:type="dxa"/>
            <w:left w:w="108" w:type="dxa"/>
            <w:bottom w:w="0" w:type="dxa"/>
            <w:right w:w="108" w:type="dxa"/>
          </w:tblCellMar>
        </w:tblPrEx>
        <w:trPr>
          <w:trHeight w:val="161" w:hRule="atLeast"/>
          <w:jc w:val="center"/>
        </w:trPr>
        <w:tc>
          <w:tcPr>
            <w:tcW w:w="1094" w:type="dxa"/>
            <w:tcBorders>
              <w:top w:val="single" w:color="000000" w:sz="4" w:space="0"/>
              <w:left w:val="single" w:color="000000" w:sz="4" w:space="0"/>
              <w:bottom w:val="single" w:color="000000" w:sz="4" w:space="0"/>
              <w:right w:val="single" w:color="000000" w:sz="4" w:space="0"/>
            </w:tcBorders>
            <w:vAlign w:val="center"/>
          </w:tcPr>
          <w:p w14:paraId="19AC937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15</w:t>
            </w:r>
          </w:p>
        </w:tc>
        <w:tc>
          <w:tcPr>
            <w:tcW w:w="2802" w:type="dxa"/>
            <w:tcBorders>
              <w:top w:val="single" w:color="000000" w:sz="4" w:space="0"/>
              <w:left w:val="single" w:color="000000" w:sz="4" w:space="0"/>
              <w:bottom w:val="single" w:color="000000" w:sz="4" w:space="0"/>
              <w:right w:val="single" w:color="000000" w:sz="4" w:space="0"/>
            </w:tcBorders>
            <w:vAlign w:val="center"/>
          </w:tcPr>
          <w:p w14:paraId="063D787E">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3D资源管理互动平台</w:t>
            </w:r>
          </w:p>
        </w:tc>
        <w:tc>
          <w:tcPr>
            <w:tcW w:w="1395" w:type="dxa"/>
            <w:tcBorders>
              <w:top w:val="single" w:color="000000" w:sz="4" w:space="0"/>
              <w:left w:val="single" w:color="000000" w:sz="4" w:space="0"/>
              <w:bottom w:val="single" w:color="000000" w:sz="4" w:space="0"/>
              <w:right w:val="single" w:color="000000" w:sz="4" w:space="0"/>
            </w:tcBorders>
            <w:vAlign w:val="center"/>
          </w:tcPr>
          <w:p w14:paraId="05769A3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000000" w:sz="4" w:space="0"/>
              <w:left w:val="single" w:color="000000" w:sz="4" w:space="0"/>
              <w:bottom w:val="single" w:color="000000" w:sz="4" w:space="0"/>
              <w:right w:val="single" w:color="000000" w:sz="4" w:space="0"/>
            </w:tcBorders>
            <w:vAlign w:val="center"/>
          </w:tcPr>
          <w:p w14:paraId="040B620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套</w:t>
            </w:r>
          </w:p>
        </w:tc>
        <w:tc>
          <w:tcPr>
            <w:tcW w:w="2416" w:type="dxa"/>
            <w:tcBorders>
              <w:top w:val="single" w:color="000000" w:sz="4" w:space="0"/>
              <w:left w:val="single" w:color="000000" w:sz="4" w:space="0"/>
              <w:bottom w:val="single" w:color="000000" w:sz="4" w:space="0"/>
              <w:right w:val="single" w:color="000000" w:sz="4" w:space="0"/>
            </w:tcBorders>
            <w:vAlign w:val="center"/>
          </w:tcPr>
          <w:p w14:paraId="54F07796">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43FBFEE7">
        <w:tblPrEx>
          <w:tblCellMar>
            <w:top w:w="0" w:type="dxa"/>
            <w:left w:w="108" w:type="dxa"/>
            <w:bottom w:w="0" w:type="dxa"/>
            <w:right w:w="108" w:type="dxa"/>
          </w:tblCellMar>
        </w:tblPrEx>
        <w:trPr>
          <w:trHeight w:val="594" w:hRule="atLeast"/>
          <w:jc w:val="center"/>
        </w:trPr>
        <w:tc>
          <w:tcPr>
            <w:tcW w:w="8967" w:type="dxa"/>
            <w:gridSpan w:val="5"/>
            <w:tcBorders>
              <w:top w:val="single" w:color="000000" w:sz="4" w:space="0"/>
              <w:left w:val="single" w:color="000000" w:sz="4" w:space="0"/>
              <w:bottom w:val="single" w:color="000000" w:sz="4" w:space="0"/>
              <w:right w:val="single" w:color="000000" w:sz="4" w:space="0"/>
            </w:tcBorders>
            <w:vAlign w:val="center"/>
          </w:tcPr>
          <w:p w14:paraId="7738F2B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预算合计金额（人民币大写）</w:t>
            </w:r>
            <w:r>
              <w:rPr>
                <w:rFonts w:hint="eastAsia" w:ascii="宋体" w:hAnsi="宋体" w:cs="宋体"/>
                <w:color w:val="auto"/>
                <w:szCs w:val="21"/>
                <w:highlight w:val="none"/>
                <w:u w:val="single"/>
              </w:rPr>
              <w:t xml:space="preserve"> 壹佰零捌万捌仟叁佰贰拾伍元整（小写）¥1088325.00 </w:t>
            </w:r>
          </w:p>
        </w:tc>
      </w:tr>
    </w:tbl>
    <w:p w14:paraId="38A125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合同履行期限：详见采购文件。</w:t>
      </w:r>
    </w:p>
    <w:p w14:paraId="0771EEC4">
      <w:pPr>
        <w:spacing w:line="360" w:lineRule="auto"/>
        <w:ind w:firstLine="315" w:firstLineChars="150"/>
        <w:rPr>
          <w:rFonts w:ascii="宋体" w:hAnsi="宋体" w:cs="宋体"/>
          <w:b/>
          <w:bCs/>
          <w:color w:val="auto"/>
          <w:szCs w:val="21"/>
          <w:highlight w:val="none"/>
        </w:rPr>
      </w:pPr>
      <w:r>
        <w:rPr>
          <w:rFonts w:hint="eastAsia" w:ascii="宋体" w:hAnsi="宋体" w:cs="宋体"/>
          <w:color w:val="auto"/>
          <w:szCs w:val="21"/>
          <w:highlight w:val="none"/>
        </w:rPr>
        <w:t>本项目是否接受联合体：否。</w:t>
      </w:r>
    </w:p>
    <w:p w14:paraId="298476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分标3：平果校区学生健身锻炼实训室项目</w:t>
      </w:r>
    </w:p>
    <w:tbl>
      <w:tblPr>
        <w:tblStyle w:val="27"/>
        <w:tblW w:w="8827" w:type="dxa"/>
        <w:jc w:val="center"/>
        <w:tblLayout w:type="fixed"/>
        <w:tblCellMar>
          <w:top w:w="0" w:type="dxa"/>
          <w:left w:w="108" w:type="dxa"/>
          <w:bottom w:w="0" w:type="dxa"/>
          <w:right w:w="108" w:type="dxa"/>
        </w:tblCellMar>
      </w:tblPr>
      <w:tblGrid>
        <w:gridCol w:w="1110"/>
        <w:gridCol w:w="2820"/>
        <w:gridCol w:w="1410"/>
        <w:gridCol w:w="1245"/>
        <w:gridCol w:w="2242"/>
      </w:tblGrid>
      <w:tr w14:paraId="101F33FC">
        <w:tblPrEx>
          <w:tblCellMar>
            <w:top w:w="0" w:type="dxa"/>
            <w:left w:w="108" w:type="dxa"/>
            <w:bottom w:w="0" w:type="dxa"/>
            <w:right w:w="108" w:type="dxa"/>
          </w:tblCellMar>
        </w:tblPrEx>
        <w:trPr>
          <w:trHeight w:val="90"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176A2DB8">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序号</w:t>
            </w:r>
          </w:p>
        </w:tc>
        <w:tc>
          <w:tcPr>
            <w:tcW w:w="2820" w:type="dxa"/>
            <w:tcBorders>
              <w:top w:val="single" w:color="000000" w:sz="4" w:space="0"/>
              <w:left w:val="single" w:color="000000" w:sz="4" w:space="0"/>
              <w:bottom w:val="single" w:color="000000" w:sz="4" w:space="0"/>
              <w:right w:val="single" w:color="000000" w:sz="4" w:space="0"/>
            </w:tcBorders>
            <w:vAlign w:val="center"/>
          </w:tcPr>
          <w:p w14:paraId="3CC032DD">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标的名称</w:t>
            </w:r>
          </w:p>
        </w:tc>
        <w:tc>
          <w:tcPr>
            <w:tcW w:w="1410" w:type="dxa"/>
            <w:tcBorders>
              <w:top w:val="single" w:color="000000" w:sz="4" w:space="0"/>
              <w:left w:val="single" w:color="000000" w:sz="4" w:space="0"/>
              <w:bottom w:val="single" w:color="000000" w:sz="4" w:space="0"/>
              <w:right w:val="single" w:color="000000" w:sz="4" w:space="0"/>
            </w:tcBorders>
            <w:vAlign w:val="center"/>
          </w:tcPr>
          <w:p w14:paraId="5370A908">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数量</w:t>
            </w:r>
          </w:p>
        </w:tc>
        <w:tc>
          <w:tcPr>
            <w:tcW w:w="1245" w:type="dxa"/>
            <w:tcBorders>
              <w:top w:val="single" w:color="000000" w:sz="4" w:space="0"/>
              <w:left w:val="single" w:color="000000" w:sz="4" w:space="0"/>
              <w:bottom w:val="single" w:color="000000" w:sz="4" w:space="0"/>
              <w:right w:val="single" w:color="000000" w:sz="4" w:space="0"/>
            </w:tcBorders>
            <w:vAlign w:val="center"/>
          </w:tcPr>
          <w:p w14:paraId="196D25D4">
            <w:pPr>
              <w:widowControl/>
              <w:jc w:val="center"/>
              <w:textAlignment w:val="center"/>
              <w:rPr>
                <w:rFonts w:ascii="宋体" w:hAnsi="宋体" w:cs="宋体"/>
                <w:bCs/>
                <w:color w:val="auto"/>
                <w:szCs w:val="21"/>
                <w:highlight w:val="none"/>
              </w:rPr>
            </w:pPr>
            <w:r>
              <w:rPr>
                <w:rFonts w:hint="eastAsia" w:ascii="宋体" w:hAnsi="宋体" w:cs="宋体"/>
                <w:bCs/>
                <w:color w:val="auto"/>
                <w:kern w:val="0"/>
                <w:szCs w:val="21"/>
                <w:highlight w:val="none"/>
                <w:lang w:bidi="ar"/>
              </w:rPr>
              <w:t>单位</w:t>
            </w:r>
          </w:p>
        </w:tc>
        <w:tc>
          <w:tcPr>
            <w:tcW w:w="2242" w:type="dxa"/>
            <w:tcBorders>
              <w:top w:val="single" w:color="000000" w:sz="4" w:space="0"/>
              <w:left w:val="single" w:color="000000" w:sz="4" w:space="0"/>
              <w:bottom w:val="single" w:color="000000" w:sz="4" w:space="0"/>
              <w:right w:val="single" w:color="000000" w:sz="4" w:space="0"/>
            </w:tcBorders>
            <w:vAlign w:val="center"/>
          </w:tcPr>
          <w:p w14:paraId="791B98BB">
            <w:pPr>
              <w:widowControl/>
              <w:jc w:val="center"/>
              <w:textAlignment w:val="center"/>
              <w:rPr>
                <w:rFonts w:ascii="宋体" w:hAnsi="宋体" w:cs="宋体"/>
                <w:bCs/>
                <w:color w:val="auto"/>
                <w:szCs w:val="21"/>
                <w:highlight w:val="none"/>
              </w:rPr>
            </w:pPr>
            <w:r>
              <w:rPr>
                <w:rFonts w:hint="eastAsia" w:ascii="宋体" w:hAnsi="宋体" w:cs="宋体"/>
                <w:color w:val="auto"/>
                <w:szCs w:val="21"/>
                <w:highlight w:val="none"/>
              </w:rPr>
              <w:t>简要技术需求</w:t>
            </w:r>
          </w:p>
        </w:tc>
      </w:tr>
      <w:tr w14:paraId="46646B9F">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0BC303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2820" w:type="dxa"/>
            <w:tcBorders>
              <w:top w:val="single" w:color="000000" w:sz="4" w:space="0"/>
              <w:left w:val="single" w:color="000000" w:sz="4" w:space="0"/>
              <w:bottom w:val="single" w:color="000000" w:sz="4" w:space="0"/>
              <w:right w:val="single" w:color="000000" w:sz="4" w:space="0"/>
            </w:tcBorders>
            <w:vAlign w:val="center"/>
          </w:tcPr>
          <w:p w14:paraId="50AC516F">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商业水阻划船器</w:t>
            </w:r>
          </w:p>
        </w:tc>
        <w:tc>
          <w:tcPr>
            <w:tcW w:w="1410" w:type="dxa"/>
            <w:tcBorders>
              <w:top w:val="single" w:color="000000" w:sz="4" w:space="0"/>
              <w:left w:val="single" w:color="000000" w:sz="4" w:space="0"/>
              <w:bottom w:val="single" w:color="000000" w:sz="4" w:space="0"/>
              <w:right w:val="single" w:color="000000" w:sz="4" w:space="0"/>
            </w:tcBorders>
            <w:vAlign w:val="center"/>
          </w:tcPr>
          <w:p w14:paraId="59E2173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2</w:t>
            </w:r>
          </w:p>
        </w:tc>
        <w:tc>
          <w:tcPr>
            <w:tcW w:w="1245" w:type="dxa"/>
            <w:tcBorders>
              <w:top w:val="single" w:color="000000" w:sz="4" w:space="0"/>
              <w:left w:val="single" w:color="000000" w:sz="4" w:space="0"/>
              <w:bottom w:val="single" w:color="000000" w:sz="4" w:space="0"/>
              <w:right w:val="single" w:color="000000" w:sz="4" w:space="0"/>
            </w:tcBorders>
            <w:vAlign w:val="center"/>
          </w:tcPr>
          <w:p w14:paraId="7201953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00ADC103">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E2E7613">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3EE53E2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2820" w:type="dxa"/>
            <w:tcBorders>
              <w:top w:val="single" w:color="000000" w:sz="4" w:space="0"/>
              <w:left w:val="single" w:color="000000" w:sz="4" w:space="0"/>
              <w:bottom w:val="single" w:color="000000" w:sz="4" w:space="0"/>
              <w:right w:val="single" w:color="000000" w:sz="4" w:space="0"/>
            </w:tcBorders>
            <w:vAlign w:val="center"/>
          </w:tcPr>
          <w:p w14:paraId="1D19071D">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商用跑步机</w:t>
            </w:r>
          </w:p>
        </w:tc>
        <w:tc>
          <w:tcPr>
            <w:tcW w:w="1410" w:type="dxa"/>
            <w:tcBorders>
              <w:top w:val="single" w:color="000000" w:sz="4" w:space="0"/>
              <w:left w:val="single" w:color="000000" w:sz="4" w:space="0"/>
              <w:bottom w:val="single" w:color="000000" w:sz="4" w:space="0"/>
              <w:right w:val="single" w:color="000000" w:sz="4" w:space="0"/>
            </w:tcBorders>
            <w:vAlign w:val="center"/>
          </w:tcPr>
          <w:p w14:paraId="080A494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3</w:t>
            </w:r>
          </w:p>
        </w:tc>
        <w:tc>
          <w:tcPr>
            <w:tcW w:w="1245" w:type="dxa"/>
            <w:tcBorders>
              <w:top w:val="single" w:color="000000" w:sz="4" w:space="0"/>
              <w:left w:val="single" w:color="000000" w:sz="4" w:space="0"/>
              <w:bottom w:val="single" w:color="000000" w:sz="4" w:space="0"/>
              <w:right w:val="single" w:color="000000" w:sz="4" w:space="0"/>
            </w:tcBorders>
            <w:vAlign w:val="center"/>
          </w:tcPr>
          <w:p w14:paraId="0A88BD3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101AC340">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BFE8F58">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015420E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2820" w:type="dxa"/>
            <w:tcBorders>
              <w:top w:val="single" w:color="000000" w:sz="4" w:space="0"/>
              <w:left w:val="single" w:color="000000" w:sz="4" w:space="0"/>
              <w:bottom w:val="single" w:color="000000" w:sz="4" w:space="0"/>
              <w:right w:val="single" w:color="000000" w:sz="4" w:space="0"/>
            </w:tcBorders>
            <w:vAlign w:val="center"/>
          </w:tcPr>
          <w:p w14:paraId="084621DA">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商用爬楼机</w:t>
            </w:r>
          </w:p>
        </w:tc>
        <w:tc>
          <w:tcPr>
            <w:tcW w:w="1410" w:type="dxa"/>
            <w:tcBorders>
              <w:top w:val="single" w:color="000000" w:sz="4" w:space="0"/>
              <w:left w:val="single" w:color="000000" w:sz="4" w:space="0"/>
              <w:bottom w:val="single" w:color="000000" w:sz="4" w:space="0"/>
              <w:right w:val="single" w:color="000000" w:sz="4" w:space="0"/>
            </w:tcBorders>
            <w:vAlign w:val="center"/>
          </w:tcPr>
          <w:p w14:paraId="3DDC036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vAlign w:val="center"/>
          </w:tcPr>
          <w:p w14:paraId="1AA8395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7723A9FB">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48A03844">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3FA4CC3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2820" w:type="dxa"/>
            <w:tcBorders>
              <w:top w:val="single" w:color="000000" w:sz="4" w:space="0"/>
              <w:left w:val="single" w:color="000000" w:sz="4" w:space="0"/>
              <w:bottom w:val="single" w:color="000000" w:sz="4" w:space="0"/>
              <w:right w:val="single" w:color="000000" w:sz="4" w:space="0"/>
            </w:tcBorders>
            <w:vAlign w:val="center"/>
          </w:tcPr>
          <w:p w14:paraId="76DA3AAF">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坐凳式爬行器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BAD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16E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3F169B3B">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63B47DC2">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4FD8084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2820" w:type="dxa"/>
            <w:tcBorders>
              <w:top w:val="single" w:color="000000" w:sz="4" w:space="0"/>
              <w:left w:val="single" w:color="000000" w:sz="4" w:space="0"/>
              <w:bottom w:val="single" w:color="000000" w:sz="4" w:space="0"/>
              <w:right w:val="single" w:color="000000" w:sz="4" w:space="0"/>
            </w:tcBorders>
            <w:vAlign w:val="center"/>
          </w:tcPr>
          <w:p w14:paraId="64ED5493">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商用助力单双杠训练器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B85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062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18C0C43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2DF9E38">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2ABEC8E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2820" w:type="dxa"/>
            <w:tcBorders>
              <w:top w:val="single" w:color="000000" w:sz="4" w:space="0"/>
              <w:left w:val="single" w:color="000000" w:sz="4" w:space="0"/>
              <w:bottom w:val="single" w:color="000000" w:sz="4" w:space="0"/>
              <w:right w:val="single" w:color="000000" w:sz="4" w:space="0"/>
            </w:tcBorders>
            <w:vAlign w:val="center"/>
          </w:tcPr>
          <w:p w14:paraId="0C299562">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商用仰卧举肩训练器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0A8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39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66A35C73">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1CA511C4">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76094C2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w:t>
            </w:r>
          </w:p>
        </w:tc>
        <w:tc>
          <w:tcPr>
            <w:tcW w:w="2820" w:type="dxa"/>
            <w:tcBorders>
              <w:top w:val="single" w:color="000000" w:sz="4" w:space="0"/>
              <w:left w:val="single" w:color="000000" w:sz="4" w:space="0"/>
              <w:bottom w:val="single" w:color="000000" w:sz="4" w:space="0"/>
              <w:right w:val="single" w:color="000000" w:sz="4" w:space="0"/>
            </w:tcBorders>
            <w:vAlign w:val="center"/>
          </w:tcPr>
          <w:p w14:paraId="1F4B78EA">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商用反飞鸟训练器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FCF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DA8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246967AC">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48EF3DD">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50C3B6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2820" w:type="dxa"/>
            <w:tcBorders>
              <w:top w:val="single" w:color="000000" w:sz="4" w:space="0"/>
              <w:left w:val="single" w:color="000000" w:sz="4" w:space="0"/>
              <w:bottom w:val="single" w:color="000000" w:sz="4" w:space="0"/>
              <w:right w:val="single" w:color="000000" w:sz="4" w:space="0"/>
            </w:tcBorders>
            <w:vAlign w:val="center"/>
          </w:tcPr>
          <w:p w14:paraId="245BBDA0">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商用坐式推胸训练器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5D2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6EC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66DDAC67">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3CF6C8AE">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1A77AC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w:t>
            </w:r>
          </w:p>
        </w:tc>
        <w:tc>
          <w:tcPr>
            <w:tcW w:w="2820" w:type="dxa"/>
            <w:tcBorders>
              <w:top w:val="single" w:color="000000" w:sz="4" w:space="0"/>
              <w:left w:val="single" w:color="000000" w:sz="4" w:space="0"/>
              <w:bottom w:val="single" w:color="000000" w:sz="4" w:space="0"/>
              <w:right w:val="single" w:color="000000" w:sz="4" w:space="0"/>
            </w:tcBorders>
            <w:vAlign w:val="center"/>
          </w:tcPr>
          <w:p w14:paraId="3A890908">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商用大飞鸟训练器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C99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82F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597FB229">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E306F3A">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0E00860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2820" w:type="dxa"/>
            <w:tcBorders>
              <w:top w:val="single" w:color="000000" w:sz="4" w:space="0"/>
              <w:left w:val="single" w:color="000000" w:sz="4" w:space="0"/>
              <w:bottom w:val="single" w:color="000000" w:sz="4" w:space="0"/>
              <w:right w:val="single" w:color="000000" w:sz="4" w:space="0"/>
            </w:tcBorders>
            <w:vAlign w:val="center"/>
          </w:tcPr>
          <w:p w14:paraId="17C1C7E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商用臀腰训练器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5F7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33D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2A30CBC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23FCF3CC">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61433E9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w:t>
            </w:r>
          </w:p>
        </w:tc>
        <w:tc>
          <w:tcPr>
            <w:tcW w:w="2820" w:type="dxa"/>
            <w:tcBorders>
              <w:top w:val="single" w:color="000000" w:sz="4" w:space="0"/>
              <w:left w:val="single" w:color="000000" w:sz="4" w:space="0"/>
              <w:bottom w:val="single" w:color="000000" w:sz="4" w:space="0"/>
              <w:right w:val="single" w:color="000000" w:sz="4" w:space="0"/>
            </w:tcBorders>
            <w:vAlign w:val="center"/>
          </w:tcPr>
          <w:p w14:paraId="594C6954">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商用坐姿划船训练器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704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B72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6A753F3E">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6A04DF6E">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5CB46396">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12</w:t>
            </w:r>
          </w:p>
        </w:tc>
        <w:tc>
          <w:tcPr>
            <w:tcW w:w="2820" w:type="dxa"/>
            <w:tcBorders>
              <w:top w:val="single" w:color="000000" w:sz="4" w:space="0"/>
              <w:left w:val="single" w:color="000000" w:sz="4" w:space="0"/>
              <w:bottom w:val="single" w:color="000000" w:sz="4" w:space="0"/>
              <w:right w:val="single" w:color="000000" w:sz="4" w:space="0"/>
            </w:tcBorders>
            <w:vAlign w:val="center"/>
          </w:tcPr>
          <w:p w14:paraId="4F680245">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商用高/低拉背训练器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【双功能】</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77C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35B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1553BD0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489428F">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624F30E7">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13</w:t>
            </w:r>
          </w:p>
        </w:tc>
        <w:tc>
          <w:tcPr>
            <w:tcW w:w="2820" w:type="dxa"/>
            <w:tcBorders>
              <w:top w:val="single" w:color="000000" w:sz="4" w:space="0"/>
              <w:left w:val="single" w:color="000000" w:sz="4" w:space="0"/>
              <w:bottom w:val="single" w:color="000000" w:sz="4" w:space="0"/>
              <w:right w:val="single" w:color="000000" w:sz="4" w:space="0"/>
            </w:tcBorders>
            <w:vAlign w:val="center"/>
          </w:tcPr>
          <w:p w14:paraId="4380F8BE">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商用伸腿/屈腿训练器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【双功能】</w:t>
            </w:r>
          </w:p>
        </w:tc>
        <w:tc>
          <w:tcPr>
            <w:tcW w:w="1410" w:type="dxa"/>
            <w:tcBorders>
              <w:top w:val="single" w:color="000000" w:sz="4" w:space="0"/>
              <w:left w:val="single" w:color="000000" w:sz="4" w:space="0"/>
              <w:bottom w:val="single" w:color="000000" w:sz="4" w:space="0"/>
              <w:right w:val="single" w:color="000000" w:sz="4" w:space="0"/>
            </w:tcBorders>
            <w:vAlign w:val="center"/>
          </w:tcPr>
          <w:p w14:paraId="4385657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vAlign w:val="center"/>
          </w:tcPr>
          <w:p w14:paraId="4FDEA34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0BD9890E">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201EEFA">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5DA61ECC">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14</w:t>
            </w:r>
          </w:p>
        </w:tc>
        <w:tc>
          <w:tcPr>
            <w:tcW w:w="2820" w:type="dxa"/>
            <w:tcBorders>
              <w:top w:val="single" w:color="000000" w:sz="4" w:space="0"/>
              <w:left w:val="single" w:color="000000" w:sz="4" w:space="0"/>
              <w:bottom w:val="single" w:color="000000" w:sz="4" w:space="0"/>
              <w:right w:val="single" w:color="000000" w:sz="4" w:space="0"/>
            </w:tcBorders>
            <w:vAlign w:val="center"/>
          </w:tcPr>
          <w:p w14:paraId="4567C3C9">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商用二头/三头肌训练器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【双功能】</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08C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76C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5EFCC7D8">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B139E86">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6D01A769">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15</w:t>
            </w:r>
          </w:p>
        </w:tc>
        <w:tc>
          <w:tcPr>
            <w:tcW w:w="2820" w:type="dxa"/>
            <w:tcBorders>
              <w:top w:val="single" w:color="000000" w:sz="4" w:space="0"/>
              <w:left w:val="single" w:color="000000" w:sz="4" w:space="0"/>
              <w:bottom w:val="single" w:color="000000" w:sz="4" w:space="0"/>
              <w:right w:val="single" w:color="000000" w:sz="4" w:space="0"/>
            </w:tcBorders>
            <w:vAlign w:val="center"/>
          </w:tcPr>
          <w:p w14:paraId="774FA1C5">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商用大腿内/外侧训练器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【双功能】</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559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AEAC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6B6800A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1798436E">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08170A7A">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16</w:t>
            </w:r>
          </w:p>
        </w:tc>
        <w:tc>
          <w:tcPr>
            <w:tcW w:w="2820" w:type="dxa"/>
            <w:tcBorders>
              <w:top w:val="single" w:color="000000" w:sz="4" w:space="0"/>
              <w:left w:val="single" w:color="000000" w:sz="4" w:space="0"/>
              <w:bottom w:val="single" w:color="000000" w:sz="4" w:space="0"/>
              <w:right w:val="single" w:color="000000" w:sz="4" w:space="0"/>
            </w:tcBorders>
            <w:vAlign w:val="center"/>
          </w:tcPr>
          <w:p w14:paraId="1C4295B2">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商用上斜飞鸟训练器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D89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1F7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5C1F2B86">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33086C60">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74DDD8BF">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17</w:t>
            </w:r>
          </w:p>
        </w:tc>
        <w:tc>
          <w:tcPr>
            <w:tcW w:w="2820" w:type="dxa"/>
            <w:tcBorders>
              <w:top w:val="single" w:color="000000" w:sz="4" w:space="0"/>
              <w:left w:val="single" w:color="000000" w:sz="4" w:space="0"/>
              <w:bottom w:val="single" w:color="000000" w:sz="4" w:space="0"/>
              <w:right w:val="single" w:color="000000" w:sz="4" w:space="0"/>
            </w:tcBorders>
            <w:vAlign w:val="center"/>
          </w:tcPr>
          <w:p w14:paraId="4A295337">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哈克斯深蹲</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79D7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39A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0FC82317">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8790B75">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754C44CA">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18</w:t>
            </w:r>
          </w:p>
        </w:tc>
        <w:tc>
          <w:tcPr>
            <w:tcW w:w="2820" w:type="dxa"/>
            <w:tcBorders>
              <w:top w:val="single" w:color="000000" w:sz="4" w:space="0"/>
              <w:left w:val="single" w:color="000000" w:sz="4" w:space="0"/>
              <w:bottom w:val="single" w:color="000000" w:sz="4" w:space="0"/>
              <w:right w:val="single" w:color="000000" w:sz="4" w:space="0"/>
            </w:tcBorders>
            <w:vAlign w:val="center"/>
          </w:tcPr>
          <w:p w14:paraId="21FFF9F6">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商用深蹲架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C1D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BC91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33196608">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B8A9983">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1103E92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19</w:t>
            </w:r>
          </w:p>
        </w:tc>
        <w:tc>
          <w:tcPr>
            <w:tcW w:w="2820" w:type="dxa"/>
            <w:tcBorders>
              <w:top w:val="single" w:color="000000" w:sz="4" w:space="0"/>
              <w:left w:val="single" w:color="000000" w:sz="4" w:space="0"/>
              <w:bottom w:val="single" w:color="000000" w:sz="4" w:space="0"/>
              <w:right w:val="single" w:color="000000" w:sz="4" w:space="0"/>
            </w:tcBorders>
            <w:vAlign w:val="center"/>
          </w:tcPr>
          <w:p w14:paraId="3F616262">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商用倒蹬顺蹬机</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5C45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F62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666C794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320333BB">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7DCB5273">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20</w:t>
            </w:r>
          </w:p>
        </w:tc>
        <w:tc>
          <w:tcPr>
            <w:tcW w:w="2820" w:type="dxa"/>
            <w:tcBorders>
              <w:top w:val="single" w:color="000000" w:sz="4" w:space="0"/>
              <w:left w:val="single" w:color="000000" w:sz="4" w:space="0"/>
              <w:bottom w:val="single" w:color="000000" w:sz="4" w:space="0"/>
              <w:right w:val="single" w:color="000000" w:sz="4" w:space="0"/>
            </w:tcBorders>
            <w:vAlign w:val="center"/>
          </w:tcPr>
          <w:p w14:paraId="5223727C">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商用史密斯机训练器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949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065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5EF04398">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3A2FA6E7">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5281EF5E">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21</w:t>
            </w:r>
          </w:p>
        </w:tc>
        <w:tc>
          <w:tcPr>
            <w:tcW w:w="2820" w:type="dxa"/>
            <w:tcBorders>
              <w:top w:val="single" w:color="000000" w:sz="4" w:space="0"/>
              <w:left w:val="single" w:color="000000" w:sz="4" w:space="0"/>
              <w:bottom w:val="single" w:color="000000" w:sz="4" w:space="0"/>
              <w:right w:val="single" w:color="000000" w:sz="4" w:space="0"/>
            </w:tcBorders>
            <w:vAlign w:val="center"/>
          </w:tcPr>
          <w:p w14:paraId="33B8267B">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商用保护架平卧推胸训练器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C9B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D21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781564F7">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4689F63">
        <w:trPr>
          <w:trHeight w:val="306"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5EF0DEC9">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22</w:t>
            </w:r>
          </w:p>
        </w:tc>
        <w:tc>
          <w:tcPr>
            <w:tcW w:w="2820" w:type="dxa"/>
            <w:tcBorders>
              <w:top w:val="single" w:color="000000" w:sz="4" w:space="0"/>
              <w:left w:val="single" w:color="000000" w:sz="4" w:space="0"/>
              <w:bottom w:val="single" w:color="000000" w:sz="4" w:space="0"/>
              <w:right w:val="single" w:color="000000" w:sz="4" w:space="0"/>
            </w:tcBorders>
            <w:vAlign w:val="center"/>
          </w:tcPr>
          <w:p w14:paraId="58FC93A8">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商用美腰机</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C9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677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15B14EC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43A4F418">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01C06CF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23</w:t>
            </w:r>
          </w:p>
        </w:tc>
        <w:tc>
          <w:tcPr>
            <w:tcW w:w="2820" w:type="dxa"/>
            <w:tcBorders>
              <w:top w:val="single" w:color="000000" w:sz="4" w:space="0"/>
              <w:left w:val="single" w:color="000000" w:sz="4" w:space="0"/>
              <w:bottom w:val="single" w:color="000000" w:sz="4" w:space="0"/>
              <w:right w:val="single" w:color="000000" w:sz="4" w:space="0"/>
            </w:tcBorders>
            <w:vAlign w:val="center"/>
          </w:tcPr>
          <w:p w14:paraId="233A7FE7">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商用罗马椅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779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93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7BF59CB9">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FF03A49">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7CE64B2E">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24</w:t>
            </w:r>
          </w:p>
        </w:tc>
        <w:tc>
          <w:tcPr>
            <w:tcW w:w="2820" w:type="dxa"/>
            <w:tcBorders>
              <w:top w:val="single" w:color="000000" w:sz="4" w:space="0"/>
              <w:left w:val="single" w:color="000000" w:sz="4" w:space="0"/>
              <w:bottom w:val="single" w:color="000000" w:sz="4" w:space="0"/>
              <w:right w:val="single" w:color="000000" w:sz="4" w:space="0"/>
            </w:tcBorders>
            <w:vAlign w:val="center"/>
          </w:tcPr>
          <w:p w14:paraId="02BA0D01">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商用训练平凳</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598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5A8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0C0DB614">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72C5A17">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0BFE3D63">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25</w:t>
            </w:r>
          </w:p>
        </w:tc>
        <w:tc>
          <w:tcPr>
            <w:tcW w:w="2820" w:type="dxa"/>
            <w:tcBorders>
              <w:top w:val="single" w:color="000000" w:sz="4" w:space="0"/>
              <w:left w:val="single" w:color="000000" w:sz="4" w:space="0"/>
              <w:bottom w:val="single" w:color="000000" w:sz="4" w:space="0"/>
              <w:right w:val="single" w:color="000000" w:sz="4" w:space="0"/>
            </w:tcBorders>
            <w:vAlign w:val="center"/>
          </w:tcPr>
          <w:p w14:paraId="1BFA8D5D">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商用训练可调椅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1A6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B58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71F4539C">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025A612">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3070D3D0">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26</w:t>
            </w:r>
          </w:p>
        </w:tc>
        <w:tc>
          <w:tcPr>
            <w:tcW w:w="2820" w:type="dxa"/>
            <w:tcBorders>
              <w:top w:val="single" w:color="000000" w:sz="4" w:space="0"/>
              <w:left w:val="single" w:color="000000" w:sz="4" w:space="0"/>
              <w:bottom w:val="single" w:color="000000" w:sz="4" w:space="0"/>
              <w:right w:val="single" w:color="000000" w:sz="4" w:space="0"/>
            </w:tcBorders>
            <w:vAlign w:val="center"/>
          </w:tcPr>
          <w:p w14:paraId="27A15F99">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商用哑铃架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08A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B3C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2AEC2FE9">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65D9D46">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73C8984B">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27</w:t>
            </w:r>
          </w:p>
        </w:tc>
        <w:tc>
          <w:tcPr>
            <w:tcW w:w="2820" w:type="dxa"/>
            <w:tcBorders>
              <w:top w:val="single" w:color="000000" w:sz="4" w:space="0"/>
              <w:left w:val="single" w:color="000000" w:sz="4" w:space="0"/>
              <w:bottom w:val="single" w:color="000000" w:sz="4" w:space="0"/>
              <w:right w:val="single" w:color="000000" w:sz="4" w:space="0"/>
            </w:tcBorders>
            <w:vAlign w:val="center"/>
          </w:tcPr>
          <w:p w14:paraId="0DB0D999">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商用哑铃</w:t>
            </w:r>
          </w:p>
        </w:tc>
        <w:tc>
          <w:tcPr>
            <w:tcW w:w="1410" w:type="dxa"/>
            <w:tcBorders>
              <w:top w:val="single" w:color="000000" w:sz="4" w:space="0"/>
              <w:left w:val="single" w:color="000000" w:sz="4" w:space="0"/>
              <w:bottom w:val="single" w:color="000000" w:sz="4" w:space="0"/>
              <w:right w:val="single" w:color="000000" w:sz="4" w:space="0"/>
            </w:tcBorders>
            <w:vAlign w:val="center"/>
          </w:tcPr>
          <w:p w14:paraId="1C051B8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vAlign w:val="center"/>
          </w:tcPr>
          <w:p w14:paraId="1F1741B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套</w:t>
            </w:r>
          </w:p>
        </w:tc>
        <w:tc>
          <w:tcPr>
            <w:tcW w:w="2242" w:type="dxa"/>
            <w:tcBorders>
              <w:top w:val="single" w:color="000000" w:sz="4" w:space="0"/>
              <w:left w:val="single" w:color="000000" w:sz="4" w:space="0"/>
              <w:bottom w:val="single" w:color="000000" w:sz="4" w:space="0"/>
              <w:right w:val="single" w:color="000000" w:sz="4" w:space="0"/>
            </w:tcBorders>
            <w:vAlign w:val="center"/>
          </w:tcPr>
          <w:p w14:paraId="68F5D4E7">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2823B670">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7B184E05">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28</w:t>
            </w:r>
          </w:p>
        </w:tc>
        <w:tc>
          <w:tcPr>
            <w:tcW w:w="2820" w:type="dxa"/>
            <w:tcBorders>
              <w:top w:val="single" w:color="000000" w:sz="4" w:space="0"/>
              <w:left w:val="single" w:color="000000" w:sz="4" w:space="0"/>
              <w:bottom w:val="single" w:color="000000" w:sz="4" w:space="0"/>
              <w:right w:val="single" w:color="000000" w:sz="4" w:space="0"/>
            </w:tcBorders>
            <w:vAlign w:val="center"/>
          </w:tcPr>
          <w:p w14:paraId="63F87139">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商用牧师椅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F23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F06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台</w:t>
            </w:r>
          </w:p>
        </w:tc>
        <w:tc>
          <w:tcPr>
            <w:tcW w:w="2242" w:type="dxa"/>
            <w:tcBorders>
              <w:top w:val="single" w:color="000000" w:sz="4" w:space="0"/>
              <w:left w:val="single" w:color="000000" w:sz="4" w:space="0"/>
              <w:bottom w:val="single" w:color="000000" w:sz="4" w:space="0"/>
              <w:right w:val="single" w:color="000000" w:sz="4" w:space="0"/>
            </w:tcBorders>
            <w:vAlign w:val="center"/>
          </w:tcPr>
          <w:p w14:paraId="6CA1C6C0">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4B5BB97F">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77F375A7">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29</w:t>
            </w:r>
          </w:p>
        </w:tc>
        <w:tc>
          <w:tcPr>
            <w:tcW w:w="2820" w:type="dxa"/>
            <w:tcBorders>
              <w:top w:val="single" w:color="000000" w:sz="4" w:space="0"/>
              <w:left w:val="single" w:color="000000" w:sz="4" w:space="0"/>
              <w:bottom w:val="single" w:color="000000" w:sz="4" w:space="0"/>
              <w:right w:val="single" w:color="000000" w:sz="4" w:space="0"/>
            </w:tcBorders>
            <w:vAlign w:val="center"/>
          </w:tcPr>
          <w:p w14:paraId="77B703A8">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曲直杆</w:t>
            </w:r>
          </w:p>
        </w:tc>
        <w:tc>
          <w:tcPr>
            <w:tcW w:w="1410" w:type="dxa"/>
            <w:tcBorders>
              <w:top w:val="single" w:color="000000" w:sz="4" w:space="0"/>
              <w:left w:val="single" w:color="000000" w:sz="4" w:space="0"/>
              <w:bottom w:val="single" w:color="000000" w:sz="4" w:space="0"/>
              <w:right w:val="single" w:color="000000" w:sz="4" w:space="0"/>
            </w:tcBorders>
            <w:vAlign w:val="center"/>
          </w:tcPr>
          <w:p w14:paraId="2111B00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vAlign w:val="center"/>
          </w:tcPr>
          <w:p w14:paraId="0B15F3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组</w:t>
            </w:r>
          </w:p>
        </w:tc>
        <w:tc>
          <w:tcPr>
            <w:tcW w:w="2242" w:type="dxa"/>
            <w:tcBorders>
              <w:top w:val="single" w:color="000000" w:sz="4" w:space="0"/>
              <w:left w:val="single" w:color="000000" w:sz="4" w:space="0"/>
              <w:bottom w:val="single" w:color="000000" w:sz="4" w:space="0"/>
              <w:right w:val="single" w:color="000000" w:sz="4" w:space="0"/>
            </w:tcBorders>
            <w:vAlign w:val="center"/>
          </w:tcPr>
          <w:p w14:paraId="16B20CDD">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296A27CE">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0FBB5F99">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30</w:t>
            </w:r>
          </w:p>
        </w:tc>
        <w:tc>
          <w:tcPr>
            <w:tcW w:w="2820" w:type="dxa"/>
            <w:tcBorders>
              <w:top w:val="single" w:color="000000" w:sz="4" w:space="0"/>
              <w:left w:val="single" w:color="000000" w:sz="4" w:space="0"/>
              <w:bottom w:val="single" w:color="000000" w:sz="4" w:space="0"/>
              <w:right w:val="single" w:color="000000" w:sz="4" w:space="0"/>
            </w:tcBorders>
            <w:vAlign w:val="center"/>
          </w:tcPr>
          <w:p w14:paraId="674DBB5A">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壶铃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6FC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735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组</w:t>
            </w:r>
          </w:p>
        </w:tc>
        <w:tc>
          <w:tcPr>
            <w:tcW w:w="2242" w:type="dxa"/>
            <w:tcBorders>
              <w:top w:val="single" w:color="000000" w:sz="4" w:space="0"/>
              <w:left w:val="single" w:color="000000" w:sz="4" w:space="0"/>
              <w:bottom w:val="single" w:color="000000" w:sz="4" w:space="0"/>
              <w:right w:val="single" w:color="000000" w:sz="4" w:space="0"/>
            </w:tcBorders>
            <w:vAlign w:val="center"/>
          </w:tcPr>
          <w:p w14:paraId="7FD2F9C3">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AE8965A">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10DB73A5">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31</w:t>
            </w:r>
          </w:p>
        </w:tc>
        <w:tc>
          <w:tcPr>
            <w:tcW w:w="2820" w:type="dxa"/>
            <w:tcBorders>
              <w:top w:val="single" w:color="000000" w:sz="4" w:space="0"/>
              <w:left w:val="single" w:color="000000" w:sz="4" w:space="0"/>
              <w:bottom w:val="single" w:color="000000" w:sz="4" w:space="0"/>
              <w:right w:val="single" w:color="000000" w:sz="4" w:space="0"/>
            </w:tcBorders>
            <w:vAlign w:val="center"/>
          </w:tcPr>
          <w:p w14:paraId="28666128">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药球</w:t>
            </w:r>
          </w:p>
        </w:tc>
        <w:tc>
          <w:tcPr>
            <w:tcW w:w="1410" w:type="dxa"/>
            <w:tcBorders>
              <w:top w:val="single" w:color="000000" w:sz="4" w:space="0"/>
              <w:left w:val="single" w:color="000000" w:sz="4" w:space="0"/>
              <w:bottom w:val="single" w:color="000000" w:sz="4" w:space="0"/>
              <w:right w:val="single" w:color="000000" w:sz="4" w:space="0"/>
            </w:tcBorders>
            <w:vAlign w:val="center"/>
          </w:tcPr>
          <w:p w14:paraId="2F6C89A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vAlign w:val="center"/>
          </w:tcPr>
          <w:p w14:paraId="3F9C2F3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组</w:t>
            </w:r>
          </w:p>
        </w:tc>
        <w:tc>
          <w:tcPr>
            <w:tcW w:w="2242" w:type="dxa"/>
            <w:tcBorders>
              <w:top w:val="single" w:color="000000" w:sz="4" w:space="0"/>
              <w:left w:val="single" w:color="000000" w:sz="4" w:space="0"/>
              <w:bottom w:val="single" w:color="000000" w:sz="4" w:space="0"/>
              <w:right w:val="single" w:color="000000" w:sz="4" w:space="0"/>
            </w:tcBorders>
            <w:vAlign w:val="center"/>
          </w:tcPr>
          <w:p w14:paraId="0A3D041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251368F3">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6D9DF55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32</w:t>
            </w:r>
          </w:p>
        </w:tc>
        <w:tc>
          <w:tcPr>
            <w:tcW w:w="2820" w:type="dxa"/>
            <w:tcBorders>
              <w:top w:val="single" w:color="000000" w:sz="4" w:space="0"/>
              <w:left w:val="single" w:color="000000" w:sz="4" w:space="0"/>
              <w:bottom w:val="single" w:color="000000" w:sz="4" w:space="0"/>
              <w:right w:val="single" w:color="000000" w:sz="4" w:space="0"/>
            </w:tcBorders>
            <w:vAlign w:val="center"/>
          </w:tcPr>
          <w:p w14:paraId="04112F5D">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杠铃杆</w:t>
            </w:r>
          </w:p>
        </w:tc>
        <w:tc>
          <w:tcPr>
            <w:tcW w:w="1410" w:type="dxa"/>
            <w:tcBorders>
              <w:top w:val="single" w:color="000000" w:sz="4" w:space="0"/>
              <w:left w:val="single" w:color="000000" w:sz="4" w:space="0"/>
              <w:bottom w:val="single" w:color="000000" w:sz="4" w:space="0"/>
              <w:right w:val="single" w:color="000000" w:sz="4" w:space="0"/>
            </w:tcBorders>
            <w:vAlign w:val="center"/>
          </w:tcPr>
          <w:p w14:paraId="7EBC2EF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6</w:t>
            </w:r>
          </w:p>
        </w:tc>
        <w:tc>
          <w:tcPr>
            <w:tcW w:w="1245" w:type="dxa"/>
            <w:tcBorders>
              <w:top w:val="single" w:color="000000" w:sz="4" w:space="0"/>
              <w:left w:val="single" w:color="000000" w:sz="4" w:space="0"/>
              <w:bottom w:val="single" w:color="000000" w:sz="4" w:space="0"/>
              <w:right w:val="single" w:color="000000" w:sz="4" w:space="0"/>
            </w:tcBorders>
            <w:vAlign w:val="center"/>
          </w:tcPr>
          <w:p w14:paraId="1AA9A7A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根</w:t>
            </w:r>
          </w:p>
        </w:tc>
        <w:tc>
          <w:tcPr>
            <w:tcW w:w="2242" w:type="dxa"/>
            <w:tcBorders>
              <w:top w:val="single" w:color="000000" w:sz="4" w:space="0"/>
              <w:left w:val="single" w:color="000000" w:sz="4" w:space="0"/>
              <w:bottom w:val="single" w:color="000000" w:sz="4" w:space="0"/>
              <w:right w:val="single" w:color="000000" w:sz="4" w:space="0"/>
            </w:tcBorders>
            <w:vAlign w:val="center"/>
          </w:tcPr>
          <w:p w14:paraId="74DF64BD">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6760C223">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71161258">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33</w:t>
            </w:r>
          </w:p>
        </w:tc>
        <w:tc>
          <w:tcPr>
            <w:tcW w:w="2820" w:type="dxa"/>
            <w:tcBorders>
              <w:top w:val="single" w:color="000000" w:sz="4" w:space="0"/>
              <w:left w:val="single" w:color="000000" w:sz="4" w:space="0"/>
              <w:bottom w:val="single" w:color="000000" w:sz="4" w:space="0"/>
              <w:right w:val="single" w:color="000000" w:sz="4" w:space="0"/>
            </w:tcBorders>
            <w:vAlign w:val="center"/>
          </w:tcPr>
          <w:p w14:paraId="451C3CA5">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商用杠铃片</w:t>
            </w:r>
          </w:p>
        </w:tc>
        <w:tc>
          <w:tcPr>
            <w:tcW w:w="1410" w:type="dxa"/>
            <w:tcBorders>
              <w:top w:val="single" w:color="000000" w:sz="4" w:space="0"/>
              <w:left w:val="single" w:color="000000" w:sz="4" w:space="0"/>
              <w:bottom w:val="single" w:color="000000" w:sz="4" w:space="0"/>
              <w:right w:val="single" w:color="000000" w:sz="4" w:space="0"/>
            </w:tcBorders>
            <w:vAlign w:val="center"/>
          </w:tcPr>
          <w:p w14:paraId="79FA471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635</w:t>
            </w:r>
          </w:p>
        </w:tc>
        <w:tc>
          <w:tcPr>
            <w:tcW w:w="1245" w:type="dxa"/>
            <w:tcBorders>
              <w:top w:val="single" w:color="000000" w:sz="4" w:space="0"/>
              <w:left w:val="single" w:color="000000" w:sz="4" w:space="0"/>
              <w:bottom w:val="single" w:color="000000" w:sz="4" w:space="0"/>
              <w:right w:val="single" w:color="000000" w:sz="4" w:space="0"/>
            </w:tcBorders>
            <w:vAlign w:val="center"/>
          </w:tcPr>
          <w:p w14:paraId="7100334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公斤</w:t>
            </w:r>
          </w:p>
        </w:tc>
        <w:tc>
          <w:tcPr>
            <w:tcW w:w="2242" w:type="dxa"/>
            <w:tcBorders>
              <w:top w:val="single" w:color="000000" w:sz="4" w:space="0"/>
              <w:left w:val="single" w:color="000000" w:sz="4" w:space="0"/>
              <w:bottom w:val="single" w:color="000000" w:sz="4" w:space="0"/>
              <w:right w:val="single" w:color="000000" w:sz="4" w:space="0"/>
            </w:tcBorders>
            <w:vAlign w:val="center"/>
          </w:tcPr>
          <w:p w14:paraId="2227B833">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63DE4F00">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1EAFE3CE">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34</w:t>
            </w:r>
          </w:p>
        </w:tc>
        <w:tc>
          <w:tcPr>
            <w:tcW w:w="2820" w:type="dxa"/>
            <w:tcBorders>
              <w:top w:val="single" w:color="000000" w:sz="4" w:space="0"/>
              <w:left w:val="single" w:color="000000" w:sz="4" w:space="0"/>
              <w:bottom w:val="single" w:color="000000" w:sz="4" w:space="0"/>
              <w:right w:val="single" w:color="000000" w:sz="4" w:space="0"/>
            </w:tcBorders>
            <w:vAlign w:val="center"/>
          </w:tcPr>
          <w:p w14:paraId="7876E09C">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地胶</w:t>
            </w:r>
          </w:p>
        </w:tc>
        <w:tc>
          <w:tcPr>
            <w:tcW w:w="1410" w:type="dxa"/>
            <w:tcBorders>
              <w:top w:val="single" w:color="000000" w:sz="4" w:space="0"/>
              <w:left w:val="single" w:color="000000" w:sz="4" w:space="0"/>
              <w:bottom w:val="single" w:color="000000" w:sz="4" w:space="0"/>
              <w:right w:val="single" w:color="000000" w:sz="4" w:space="0"/>
            </w:tcBorders>
            <w:vAlign w:val="center"/>
          </w:tcPr>
          <w:p w14:paraId="24FDFC8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170</w:t>
            </w:r>
          </w:p>
        </w:tc>
        <w:tc>
          <w:tcPr>
            <w:tcW w:w="1245" w:type="dxa"/>
            <w:tcBorders>
              <w:top w:val="single" w:color="000000" w:sz="4" w:space="0"/>
              <w:left w:val="single" w:color="000000" w:sz="4" w:space="0"/>
              <w:bottom w:val="single" w:color="000000" w:sz="4" w:space="0"/>
              <w:right w:val="single" w:color="000000" w:sz="4" w:space="0"/>
            </w:tcBorders>
            <w:vAlign w:val="center"/>
          </w:tcPr>
          <w:p w14:paraId="61B4298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平方米</w:t>
            </w:r>
          </w:p>
        </w:tc>
        <w:tc>
          <w:tcPr>
            <w:tcW w:w="2242" w:type="dxa"/>
            <w:tcBorders>
              <w:top w:val="single" w:color="000000" w:sz="4" w:space="0"/>
              <w:left w:val="single" w:color="000000" w:sz="4" w:space="0"/>
              <w:bottom w:val="single" w:color="000000" w:sz="4" w:space="0"/>
              <w:right w:val="single" w:color="000000" w:sz="4" w:space="0"/>
            </w:tcBorders>
            <w:vAlign w:val="center"/>
          </w:tcPr>
          <w:p w14:paraId="2D9D76B7">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1E0CA16E">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77AA5A28">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35</w:t>
            </w:r>
          </w:p>
        </w:tc>
        <w:tc>
          <w:tcPr>
            <w:tcW w:w="2820" w:type="dxa"/>
            <w:tcBorders>
              <w:top w:val="single" w:color="000000" w:sz="4" w:space="0"/>
              <w:left w:val="single" w:color="000000" w:sz="4" w:space="0"/>
              <w:bottom w:val="single" w:color="000000" w:sz="4" w:space="0"/>
              <w:right w:val="single" w:color="000000" w:sz="4" w:space="0"/>
            </w:tcBorders>
            <w:vAlign w:val="center"/>
          </w:tcPr>
          <w:p w14:paraId="025F5553">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地垫</w:t>
            </w:r>
          </w:p>
        </w:tc>
        <w:tc>
          <w:tcPr>
            <w:tcW w:w="1410" w:type="dxa"/>
            <w:tcBorders>
              <w:top w:val="single" w:color="000000" w:sz="4" w:space="0"/>
              <w:left w:val="single" w:color="000000" w:sz="4" w:space="0"/>
              <w:bottom w:val="single" w:color="000000" w:sz="4" w:space="0"/>
              <w:right w:val="single" w:color="000000" w:sz="4" w:space="0"/>
            </w:tcBorders>
            <w:vAlign w:val="center"/>
          </w:tcPr>
          <w:p w14:paraId="3D37332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237</w:t>
            </w:r>
          </w:p>
        </w:tc>
        <w:tc>
          <w:tcPr>
            <w:tcW w:w="1245" w:type="dxa"/>
            <w:tcBorders>
              <w:top w:val="single" w:color="000000" w:sz="4" w:space="0"/>
              <w:left w:val="single" w:color="000000" w:sz="4" w:space="0"/>
              <w:bottom w:val="single" w:color="000000" w:sz="4" w:space="0"/>
              <w:right w:val="single" w:color="000000" w:sz="4" w:space="0"/>
            </w:tcBorders>
            <w:vAlign w:val="center"/>
          </w:tcPr>
          <w:p w14:paraId="061489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平方米</w:t>
            </w:r>
          </w:p>
        </w:tc>
        <w:tc>
          <w:tcPr>
            <w:tcW w:w="2242" w:type="dxa"/>
            <w:tcBorders>
              <w:top w:val="single" w:color="000000" w:sz="4" w:space="0"/>
              <w:left w:val="single" w:color="000000" w:sz="4" w:space="0"/>
              <w:bottom w:val="single" w:color="000000" w:sz="4" w:space="0"/>
              <w:right w:val="single" w:color="000000" w:sz="4" w:space="0"/>
            </w:tcBorders>
            <w:vAlign w:val="center"/>
          </w:tcPr>
          <w:p w14:paraId="7B1B6C1E">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232A671F">
        <w:tblPrEx>
          <w:tblCellMar>
            <w:top w:w="0" w:type="dxa"/>
            <w:left w:w="108" w:type="dxa"/>
            <w:bottom w:w="0" w:type="dxa"/>
            <w:right w:w="108" w:type="dxa"/>
          </w:tblCellMar>
        </w:tblPrEx>
        <w:trPr>
          <w:trHeight w:val="35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645B7585">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36</w:t>
            </w:r>
          </w:p>
        </w:tc>
        <w:tc>
          <w:tcPr>
            <w:tcW w:w="2820" w:type="dxa"/>
            <w:tcBorders>
              <w:top w:val="single" w:color="000000" w:sz="4" w:space="0"/>
              <w:left w:val="single" w:color="000000" w:sz="4" w:space="0"/>
              <w:bottom w:val="single" w:color="000000" w:sz="4" w:space="0"/>
              <w:right w:val="single" w:color="000000" w:sz="4" w:space="0"/>
            </w:tcBorders>
            <w:vAlign w:val="center"/>
          </w:tcPr>
          <w:p w14:paraId="3C3C2AAE">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监控设备</w:t>
            </w:r>
          </w:p>
        </w:tc>
        <w:tc>
          <w:tcPr>
            <w:tcW w:w="1410" w:type="dxa"/>
            <w:tcBorders>
              <w:top w:val="single" w:color="000000" w:sz="4" w:space="0"/>
              <w:left w:val="single" w:color="000000" w:sz="4" w:space="0"/>
              <w:bottom w:val="single" w:color="000000" w:sz="4" w:space="0"/>
              <w:right w:val="single" w:color="000000" w:sz="4" w:space="0"/>
            </w:tcBorders>
            <w:vAlign w:val="center"/>
          </w:tcPr>
          <w:p w14:paraId="71CE4EE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w:t>
            </w:r>
          </w:p>
        </w:tc>
        <w:tc>
          <w:tcPr>
            <w:tcW w:w="1245" w:type="dxa"/>
            <w:tcBorders>
              <w:top w:val="single" w:color="000000" w:sz="4" w:space="0"/>
              <w:left w:val="single" w:color="000000" w:sz="4" w:space="0"/>
              <w:bottom w:val="single" w:color="000000" w:sz="4" w:space="0"/>
              <w:right w:val="single" w:color="000000" w:sz="4" w:space="0"/>
            </w:tcBorders>
            <w:vAlign w:val="center"/>
          </w:tcPr>
          <w:p w14:paraId="12B021B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套</w:t>
            </w:r>
          </w:p>
        </w:tc>
        <w:tc>
          <w:tcPr>
            <w:tcW w:w="2242" w:type="dxa"/>
            <w:tcBorders>
              <w:top w:val="single" w:color="000000" w:sz="4" w:space="0"/>
              <w:left w:val="single" w:color="000000" w:sz="4" w:space="0"/>
              <w:bottom w:val="single" w:color="000000" w:sz="4" w:space="0"/>
              <w:right w:val="single" w:color="000000" w:sz="4" w:space="0"/>
            </w:tcBorders>
            <w:vAlign w:val="center"/>
          </w:tcPr>
          <w:p w14:paraId="65C62C8D">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C73F10F">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4EEAF9EC">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37</w:t>
            </w:r>
          </w:p>
        </w:tc>
        <w:tc>
          <w:tcPr>
            <w:tcW w:w="2820" w:type="dxa"/>
            <w:tcBorders>
              <w:top w:val="single" w:color="000000" w:sz="4" w:space="0"/>
              <w:left w:val="single" w:color="000000" w:sz="4" w:space="0"/>
              <w:bottom w:val="single" w:color="000000" w:sz="4" w:space="0"/>
              <w:right w:val="single" w:color="000000" w:sz="4" w:space="0"/>
            </w:tcBorders>
            <w:vAlign w:val="center"/>
          </w:tcPr>
          <w:p w14:paraId="556A7F8C">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健身镜面</w:t>
            </w:r>
          </w:p>
        </w:tc>
        <w:tc>
          <w:tcPr>
            <w:tcW w:w="1410" w:type="dxa"/>
            <w:tcBorders>
              <w:top w:val="single" w:color="000000" w:sz="4" w:space="0"/>
              <w:left w:val="single" w:color="000000" w:sz="4" w:space="0"/>
              <w:bottom w:val="single" w:color="000000" w:sz="4" w:space="0"/>
              <w:right w:val="single" w:color="000000" w:sz="4" w:space="0"/>
            </w:tcBorders>
            <w:vAlign w:val="center"/>
          </w:tcPr>
          <w:p w14:paraId="3B9BF572">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31</w:t>
            </w:r>
          </w:p>
        </w:tc>
        <w:tc>
          <w:tcPr>
            <w:tcW w:w="1245" w:type="dxa"/>
            <w:tcBorders>
              <w:top w:val="single" w:color="000000" w:sz="4" w:space="0"/>
              <w:left w:val="single" w:color="000000" w:sz="4" w:space="0"/>
              <w:bottom w:val="single" w:color="000000" w:sz="4" w:space="0"/>
              <w:right w:val="single" w:color="000000" w:sz="4" w:space="0"/>
            </w:tcBorders>
            <w:vAlign w:val="center"/>
          </w:tcPr>
          <w:p w14:paraId="686CDBBB">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平方米</w:t>
            </w:r>
          </w:p>
        </w:tc>
        <w:tc>
          <w:tcPr>
            <w:tcW w:w="2242" w:type="dxa"/>
            <w:tcBorders>
              <w:top w:val="single" w:color="000000" w:sz="4" w:space="0"/>
              <w:left w:val="single" w:color="000000" w:sz="4" w:space="0"/>
              <w:bottom w:val="single" w:color="000000" w:sz="4" w:space="0"/>
              <w:right w:val="single" w:color="000000" w:sz="4" w:space="0"/>
            </w:tcBorders>
            <w:vAlign w:val="center"/>
          </w:tcPr>
          <w:p w14:paraId="11C03F91">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D492D02">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590927ED">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38</w:t>
            </w:r>
          </w:p>
        </w:tc>
        <w:tc>
          <w:tcPr>
            <w:tcW w:w="2820" w:type="dxa"/>
            <w:tcBorders>
              <w:top w:val="single" w:color="000000" w:sz="4" w:space="0"/>
              <w:left w:val="single" w:color="000000" w:sz="4" w:space="0"/>
              <w:bottom w:val="single" w:color="000000" w:sz="4" w:space="0"/>
              <w:right w:val="single" w:color="000000" w:sz="4" w:space="0"/>
            </w:tcBorders>
            <w:vAlign w:val="center"/>
          </w:tcPr>
          <w:p w14:paraId="0A8D219C">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玻璃</w:t>
            </w:r>
          </w:p>
        </w:tc>
        <w:tc>
          <w:tcPr>
            <w:tcW w:w="1410" w:type="dxa"/>
            <w:tcBorders>
              <w:top w:val="single" w:color="000000" w:sz="4" w:space="0"/>
              <w:left w:val="single" w:color="000000" w:sz="4" w:space="0"/>
              <w:bottom w:val="single" w:color="000000" w:sz="4" w:space="0"/>
              <w:right w:val="single" w:color="000000" w:sz="4" w:space="0"/>
            </w:tcBorders>
            <w:vAlign w:val="center"/>
          </w:tcPr>
          <w:p w14:paraId="1153CF9D">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24</w:t>
            </w:r>
          </w:p>
        </w:tc>
        <w:tc>
          <w:tcPr>
            <w:tcW w:w="1245" w:type="dxa"/>
            <w:tcBorders>
              <w:top w:val="single" w:color="000000" w:sz="4" w:space="0"/>
              <w:left w:val="single" w:color="000000" w:sz="4" w:space="0"/>
              <w:bottom w:val="single" w:color="000000" w:sz="4" w:space="0"/>
              <w:right w:val="single" w:color="000000" w:sz="4" w:space="0"/>
            </w:tcBorders>
            <w:vAlign w:val="center"/>
          </w:tcPr>
          <w:p w14:paraId="4BCB188B">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平方米</w:t>
            </w:r>
          </w:p>
        </w:tc>
        <w:tc>
          <w:tcPr>
            <w:tcW w:w="2242" w:type="dxa"/>
            <w:tcBorders>
              <w:top w:val="single" w:color="000000" w:sz="4" w:space="0"/>
              <w:left w:val="single" w:color="000000" w:sz="4" w:space="0"/>
              <w:bottom w:val="single" w:color="000000" w:sz="4" w:space="0"/>
              <w:right w:val="single" w:color="000000" w:sz="4" w:space="0"/>
            </w:tcBorders>
            <w:vAlign w:val="center"/>
          </w:tcPr>
          <w:p w14:paraId="22BA1CBB">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E7A1700">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2ED740F8">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39</w:t>
            </w:r>
          </w:p>
        </w:tc>
        <w:tc>
          <w:tcPr>
            <w:tcW w:w="2820" w:type="dxa"/>
            <w:tcBorders>
              <w:top w:val="single" w:color="000000" w:sz="4" w:space="0"/>
              <w:left w:val="single" w:color="000000" w:sz="4" w:space="0"/>
              <w:bottom w:val="single" w:color="000000" w:sz="4" w:space="0"/>
              <w:right w:val="single" w:color="000000" w:sz="4" w:space="0"/>
            </w:tcBorders>
            <w:vAlign w:val="center"/>
          </w:tcPr>
          <w:p w14:paraId="12C36A1B">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窗帘</w:t>
            </w:r>
          </w:p>
        </w:tc>
        <w:tc>
          <w:tcPr>
            <w:tcW w:w="1410" w:type="dxa"/>
            <w:tcBorders>
              <w:top w:val="single" w:color="000000" w:sz="4" w:space="0"/>
              <w:left w:val="single" w:color="000000" w:sz="4" w:space="0"/>
              <w:bottom w:val="single" w:color="000000" w:sz="4" w:space="0"/>
              <w:right w:val="single" w:color="000000" w:sz="4" w:space="0"/>
            </w:tcBorders>
            <w:vAlign w:val="center"/>
          </w:tcPr>
          <w:p w14:paraId="0ECC3AB5">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164</w:t>
            </w:r>
          </w:p>
        </w:tc>
        <w:tc>
          <w:tcPr>
            <w:tcW w:w="1245" w:type="dxa"/>
            <w:tcBorders>
              <w:top w:val="single" w:color="000000" w:sz="4" w:space="0"/>
              <w:left w:val="single" w:color="000000" w:sz="4" w:space="0"/>
              <w:bottom w:val="single" w:color="000000" w:sz="4" w:space="0"/>
              <w:right w:val="single" w:color="000000" w:sz="4" w:space="0"/>
            </w:tcBorders>
            <w:vAlign w:val="center"/>
          </w:tcPr>
          <w:p w14:paraId="43932E2F">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平方米</w:t>
            </w:r>
          </w:p>
        </w:tc>
        <w:tc>
          <w:tcPr>
            <w:tcW w:w="2242" w:type="dxa"/>
            <w:tcBorders>
              <w:top w:val="single" w:color="000000" w:sz="4" w:space="0"/>
              <w:left w:val="single" w:color="000000" w:sz="4" w:space="0"/>
              <w:bottom w:val="single" w:color="000000" w:sz="4" w:space="0"/>
              <w:right w:val="single" w:color="000000" w:sz="4" w:space="0"/>
            </w:tcBorders>
            <w:vAlign w:val="center"/>
          </w:tcPr>
          <w:p w14:paraId="2AA7591F">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0DC84FB2">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0C5502BE">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40</w:t>
            </w:r>
          </w:p>
        </w:tc>
        <w:tc>
          <w:tcPr>
            <w:tcW w:w="2820" w:type="dxa"/>
            <w:tcBorders>
              <w:top w:val="single" w:color="000000" w:sz="4" w:space="0"/>
              <w:left w:val="single" w:color="000000" w:sz="4" w:space="0"/>
              <w:bottom w:val="single" w:color="000000" w:sz="4" w:space="0"/>
              <w:right w:val="single" w:color="000000" w:sz="4" w:space="0"/>
            </w:tcBorders>
            <w:vAlign w:val="center"/>
          </w:tcPr>
          <w:p w14:paraId="64AAECE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健身灯</w:t>
            </w:r>
          </w:p>
        </w:tc>
        <w:tc>
          <w:tcPr>
            <w:tcW w:w="1410" w:type="dxa"/>
            <w:tcBorders>
              <w:top w:val="single" w:color="000000" w:sz="4" w:space="0"/>
              <w:left w:val="single" w:color="000000" w:sz="4" w:space="0"/>
              <w:bottom w:val="single" w:color="000000" w:sz="4" w:space="0"/>
              <w:right w:val="single" w:color="000000" w:sz="4" w:space="0"/>
            </w:tcBorders>
            <w:vAlign w:val="center"/>
          </w:tcPr>
          <w:p w14:paraId="3F2656A6">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45</w:t>
            </w:r>
          </w:p>
        </w:tc>
        <w:tc>
          <w:tcPr>
            <w:tcW w:w="1245" w:type="dxa"/>
            <w:tcBorders>
              <w:top w:val="single" w:color="000000" w:sz="4" w:space="0"/>
              <w:left w:val="single" w:color="000000" w:sz="4" w:space="0"/>
              <w:bottom w:val="single" w:color="000000" w:sz="4" w:space="0"/>
              <w:right w:val="single" w:color="000000" w:sz="4" w:space="0"/>
            </w:tcBorders>
            <w:vAlign w:val="center"/>
          </w:tcPr>
          <w:p w14:paraId="4ABB9815">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条</w:t>
            </w:r>
          </w:p>
        </w:tc>
        <w:tc>
          <w:tcPr>
            <w:tcW w:w="2242" w:type="dxa"/>
            <w:tcBorders>
              <w:top w:val="single" w:color="000000" w:sz="4" w:space="0"/>
              <w:left w:val="single" w:color="000000" w:sz="4" w:space="0"/>
              <w:bottom w:val="single" w:color="000000" w:sz="4" w:space="0"/>
              <w:right w:val="single" w:color="000000" w:sz="4" w:space="0"/>
            </w:tcBorders>
            <w:vAlign w:val="center"/>
          </w:tcPr>
          <w:p w14:paraId="04283C02">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1982586F">
        <w:tblPrEx>
          <w:tblCellMar>
            <w:top w:w="0" w:type="dxa"/>
            <w:left w:w="108" w:type="dxa"/>
            <w:bottom w:w="0" w:type="dxa"/>
            <w:right w:w="108" w:type="dxa"/>
          </w:tblCellMar>
        </w:tblPrEx>
        <w:trPr>
          <w:trHeight w:val="161" w:hRule="atLeast"/>
          <w:jc w:val="center"/>
        </w:trPr>
        <w:tc>
          <w:tcPr>
            <w:tcW w:w="1110" w:type="dxa"/>
            <w:tcBorders>
              <w:top w:val="single" w:color="000000" w:sz="4" w:space="0"/>
              <w:left w:val="single" w:color="000000" w:sz="4" w:space="0"/>
              <w:bottom w:val="single" w:color="000000" w:sz="4" w:space="0"/>
              <w:right w:val="single" w:color="000000" w:sz="4" w:space="0"/>
            </w:tcBorders>
            <w:vAlign w:val="center"/>
          </w:tcPr>
          <w:p w14:paraId="05A36327">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41</w:t>
            </w:r>
          </w:p>
        </w:tc>
        <w:tc>
          <w:tcPr>
            <w:tcW w:w="2820" w:type="dxa"/>
            <w:tcBorders>
              <w:top w:val="single" w:color="000000" w:sz="4" w:space="0"/>
              <w:left w:val="single" w:color="000000" w:sz="4" w:space="0"/>
              <w:bottom w:val="single" w:color="000000" w:sz="4" w:space="0"/>
              <w:right w:val="single" w:color="000000" w:sz="4" w:space="0"/>
            </w:tcBorders>
            <w:vAlign w:val="center"/>
          </w:tcPr>
          <w:p w14:paraId="0B364245">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施工</w:t>
            </w:r>
          </w:p>
        </w:tc>
        <w:tc>
          <w:tcPr>
            <w:tcW w:w="1410" w:type="dxa"/>
            <w:tcBorders>
              <w:top w:val="single" w:color="000000" w:sz="4" w:space="0"/>
              <w:left w:val="single" w:color="000000" w:sz="4" w:space="0"/>
              <w:bottom w:val="single" w:color="000000" w:sz="4" w:space="0"/>
              <w:right w:val="single" w:color="000000" w:sz="4" w:space="0"/>
            </w:tcBorders>
            <w:vAlign w:val="center"/>
          </w:tcPr>
          <w:p w14:paraId="3115586A">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245" w:type="dxa"/>
            <w:tcBorders>
              <w:top w:val="single" w:color="000000" w:sz="4" w:space="0"/>
              <w:left w:val="single" w:color="000000" w:sz="4" w:space="0"/>
              <w:bottom w:val="single" w:color="000000" w:sz="4" w:space="0"/>
              <w:right w:val="single" w:color="000000" w:sz="4" w:space="0"/>
            </w:tcBorders>
            <w:vAlign w:val="center"/>
          </w:tcPr>
          <w:p w14:paraId="57139E66">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2242" w:type="dxa"/>
            <w:tcBorders>
              <w:top w:val="single" w:color="000000" w:sz="4" w:space="0"/>
              <w:left w:val="single" w:color="000000" w:sz="4" w:space="0"/>
              <w:bottom w:val="single" w:color="000000" w:sz="4" w:space="0"/>
              <w:right w:val="single" w:color="000000" w:sz="4" w:space="0"/>
            </w:tcBorders>
            <w:vAlign w:val="center"/>
          </w:tcPr>
          <w:p w14:paraId="589C33F5">
            <w:pPr>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653CBB5E">
        <w:tblPrEx>
          <w:tblCellMar>
            <w:top w:w="0" w:type="dxa"/>
            <w:left w:w="108" w:type="dxa"/>
            <w:bottom w:w="0" w:type="dxa"/>
            <w:right w:w="108" w:type="dxa"/>
          </w:tblCellMar>
        </w:tblPrEx>
        <w:trPr>
          <w:trHeight w:val="594" w:hRule="atLeast"/>
          <w:jc w:val="center"/>
        </w:trPr>
        <w:tc>
          <w:tcPr>
            <w:tcW w:w="8827" w:type="dxa"/>
            <w:gridSpan w:val="5"/>
            <w:tcBorders>
              <w:top w:val="single" w:color="000000" w:sz="4" w:space="0"/>
              <w:left w:val="single" w:color="000000" w:sz="4" w:space="0"/>
              <w:bottom w:val="single" w:color="000000" w:sz="4" w:space="0"/>
              <w:right w:val="single" w:color="000000" w:sz="4" w:space="0"/>
            </w:tcBorders>
            <w:vAlign w:val="center"/>
          </w:tcPr>
          <w:p w14:paraId="3C1CD2C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预算合计金额（人民币大写）</w:t>
            </w:r>
            <w:r>
              <w:rPr>
                <w:rFonts w:hint="eastAsia" w:ascii="宋体" w:hAnsi="宋体" w:cs="宋体"/>
                <w:color w:val="auto"/>
                <w:szCs w:val="21"/>
                <w:highlight w:val="none"/>
                <w:u w:val="single"/>
              </w:rPr>
              <w:t xml:space="preserve"> 肆拾肆万捌仟肆佰捌拾柒元伍角贰分（小写）¥448487.52</w:t>
            </w:r>
          </w:p>
        </w:tc>
      </w:tr>
    </w:tbl>
    <w:p w14:paraId="70155F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合同履行期限：详见采购文件。</w:t>
      </w:r>
    </w:p>
    <w:p w14:paraId="2FA38F73">
      <w:pPr>
        <w:spacing w:line="360" w:lineRule="auto"/>
        <w:ind w:firstLine="315" w:firstLineChars="150"/>
        <w:rPr>
          <w:rFonts w:ascii="宋体" w:hAnsi="宋体" w:cs="宋体"/>
          <w:b/>
          <w:bCs/>
          <w:color w:val="auto"/>
          <w:szCs w:val="21"/>
          <w:highlight w:val="none"/>
        </w:rPr>
      </w:pPr>
      <w:r>
        <w:rPr>
          <w:rFonts w:hint="eastAsia" w:ascii="宋体" w:hAnsi="宋体" w:cs="宋体"/>
          <w:color w:val="auto"/>
          <w:szCs w:val="21"/>
          <w:highlight w:val="none"/>
        </w:rPr>
        <w:t>本项目是否接受联合体：否。</w:t>
      </w:r>
    </w:p>
    <w:p w14:paraId="11B5A245">
      <w:pPr>
        <w:spacing w:line="360" w:lineRule="auto"/>
        <w:ind w:firstLine="316" w:firstLineChars="150"/>
        <w:rPr>
          <w:rFonts w:ascii="宋体" w:hAnsi="宋体" w:cs="宋体"/>
          <w:b/>
          <w:bCs/>
          <w:color w:val="auto"/>
          <w:szCs w:val="21"/>
          <w:highlight w:val="none"/>
        </w:rPr>
      </w:pPr>
      <w:r>
        <w:rPr>
          <w:rFonts w:hint="eastAsia" w:ascii="宋体" w:hAnsi="宋体" w:cs="宋体"/>
          <w:b/>
          <w:bCs/>
          <w:color w:val="auto"/>
          <w:szCs w:val="21"/>
          <w:highlight w:val="none"/>
        </w:rPr>
        <w:t>二、申请人的</w:t>
      </w:r>
      <w:bookmarkStart w:id="9" w:name="资格条件"/>
      <w:r>
        <w:rPr>
          <w:rFonts w:hint="eastAsia" w:ascii="宋体" w:hAnsi="宋体" w:cs="宋体"/>
          <w:b/>
          <w:bCs/>
          <w:color w:val="auto"/>
          <w:szCs w:val="21"/>
          <w:highlight w:val="none"/>
        </w:rPr>
        <w:t>资格条件</w:t>
      </w:r>
      <w:bookmarkEnd w:id="9"/>
      <w:r>
        <w:rPr>
          <w:rFonts w:hint="eastAsia" w:ascii="宋体" w:hAnsi="宋体" w:cs="宋体"/>
          <w:b/>
          <w:bCs/>
          <w:color w:val="auto"/>
          <w:szCs w:val="21"/>
          <w:highlight w:val="none"/>
        </w:rPr>
        <w:t>：</w:t>
      </w:r>
    </w:p>
    <w:p w14:paraId="31A475BE">
      <w:pPr>
        <w:spacing w:line="360" w:lineRule="auto"/>
        <w:ind w:firstLine="420" w:firstLineChars="200"/>
        <w:rPr>
          <w:rFonts w:ascii="宋体" w:hAnsi="宋体" w:cs="宋体"/>
          <w:color w:val="auto"/>
          <w:szCs w:val="21"/>
          <w:highlight w:val="none"/>
        </w:rPr>
      </w:pPr>
      <w:bookmarkStart w:id="10" w:name="_Hlk51746371"/>
      <w:r>
        <w:rPr>
          <w:rFonts w:hint="eastAsia" w:ascii="宋体" w:hAnsi="宋体" w:cs="宋体"/>
          <w:color w:val="auto"/>
          <w:szCs w:val="21"/>
          <w:highlight w:val="none"/>
        </w:rPr>
        <w:t>1.满足《中华人民共和国政府采购法》第二十二条规定；</w:t>
      </w:r>
    </w:p>
    <w:p w14:paraId="3A1658AE">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2.落实政府采购政策需满足的资格要求：</w:t>
      </w:r>
      <w:bookmarkStart w:id="49" w:name="_GoBack"/>
      <w:r>
        <w:rPr>
          <w:rFonts w:hint="eastAsia" w:ascii="宋体" w:hAnsi="宋体" w:cs="宋体"/>
          <w:color w:val="auto"/>
          <w:szCs w:val="21"/>
          <w:highlight w:val="none"/>
        </w:rPr>
        <w:t>非</w:t>
      </w:r>
      <w:r>
        <w:rPr>
          <w:rFonts w:hint="eastAsia" w:ascii="宋体" w:hAnsi="宋体"/>
          <w:color w:val="auto"/>
          <w:szCs w:val="21"/>
          <w:highlight w:val="none"/>
        </w:rPr>
        <w:t>专门面向中小企业采购</w:t>
      </w:r>
      <w:bookmarkEnd w:id="49"/>
      <w:r>
        <w:rPr>
          <w:rFonts w:hint="eastAsia" w:ascii="宋体" w:hAnsi="宋体"/>
          <w:color w:val="auto"/>
          <w:szCs w:val="21"/>
          <w:highlight w:val="none"/>
        </w:rPr>
        <w:t>；</w:t>
      </w:r>
    </w:p>
    <w:p w14:paraId="33D47A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bookmarkEnd w:id="10"/>
      <w:r>
        <w:rPr>
          <w:rFonts w:hint="eastAsia" w:ascii="宋体" w:hAnsi="宋体" w:cs="宋体"/>
          <w:color w:val="auto"/>
          <w:szCs w:val="21"/>
          <w:highlight w:val="none"/>
        </w:rPr>
        <w:t>无。</w:t>
      </w:r>
    </w:p>
    <w:p w14:paraId="6DA93871">
      <w:pPr>
        <w:spacing w:line="360" w:lineRule="auto"/>
        <w:ind w:firstLine="316" w:firstLineChars="150"/>
        <w:rPr>
          <w:rFonts w:ascii="宋体" w:hAnsi="宋体" w:cs="宋体"/>
          <w:b/>
          <w:bCs/>
          <w:color w:val="auto"/>
          <w:szCs w:val="21"/>
          <w:highlight w:val="none"/>
        </w:rPr>
      </w:pPr>
      <w:r>
        <w:rPr>
          <w:rFonts w:hint="eastAsia" w:ascii="宋体" w:hAnsi="宋体" w:cs="宋体"/>
          <w:b/>
          <w:bCs/>
          <w:color w:val="auto"/>
          <w:szCs w:val="21"/>
          <w:highlight w:val="none"/>
        </w:rPr>
        <w:t>三、获取竞争性谈判采购文件</w:t>
      </w:r>
    </w:p>
    <w:p w14:paraId="436FE5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b/>
          <w:bCs/>
          <w:color w:val="auto"/>
          <w:szCs w:val="21"/>
          <w:highlight w:val="none"/>
        </w:rPr>
        <w:t>2026年</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18</w:t>
      </w:r>
      <w:r>
        <w:rPr>
          <w:rFonts w:hint="eastAsia" w:ascii="宋体" w:hAnsi="宋体" w:cs="宋体"/>
          <w:b/>
          <w:bCs/>
          <w:color w:val="auto"/>
          <w:szCs w:val="21"/>
          <w:highlight w:val="none"/>
        </w:rPr>
        <w:t>日至2026年</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20</w:t>
      </w:r>
      <w:r>
        <w:rPr>
          <w:rFonts w:hint="eastAsia" w:ascii="宋体" w:hAnsi="宋体" w:cs="宋体"/>
          <w:b/>
          <w:bCs/>
          <w:color w:val="auto"/>
          <w:szCs w:val="21"/>
          <w:highlight w:val="none"/>
        </w:rPr>
        <w:t>日</w:t>
      </w:r>
      <w:r>
        <w:rPr>
          <w:rFonts w:hint="eastAsia" w:ascii="宋体" w:hAnsi="宋体" w:cs="宋体"/>
          <w:color w:val="auto"/>
          <w:szCs w:val="21"/>
          <w:highlight w:val="none"/>
        </w:rPr>
        <w:t>，每天上午00:00至12:00，下午12:00至23:59（北京时间，法定节假日除外）</w:t>
      </w:r>
    </w:p>
    <w:p w14:paraId="217682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地点：广西政府采购云平台（https://www.gcy.zfcg.gxzf.gov.cn/）。</w:t>
      </w:r>
    </w:p>
    <w:p w14:paraId="7E7908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方式：网上下载。本项目不发放纸质文件，供应商应自行在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color w:val="auto"/>
          <w:szCs w:val="21"/>
          <w:highlight w:val="none"/>
        </w:rPr>
        <w:t>广西政府采购云平台（https://www.gcy.zfcg.gxzf.gov.cn/）下载竞争性谈判采购文件（操作路径：登录广西政府采购云平台-项目采购-获取采购文件-找到本项目-点击“申请获取采购文件”），电子响应文件制作需要基于广西政府采购云平台获取的竞争性谈判采购文件编制。</w:t>
      </w:r>
    </w:p>
    <w:p w14:paraId="600186A9">
      <w:pPr>
        <w:spacing w:line="360" w:lineRule="auto"/>
        <w:ind w:firstLine="735" w:firstLineChars="350"/>
        <w:rPr>
          <w:rFonts w:ascii="宋体" w:hAnsi="宋体" w:cs="宋体"/>
          <w:color w:val="auto"/>
          <w:szCs w:val="21"/>
          <w:highlight w:val="none"/>
        </w:rPr>
      </w:pPr>
      <w:r>
        <w:rPr>
          <w:rFonts w:hint="eastAsia" w:ascii="宋体" w:hAnsi="宋体" w:cs="宋体"/>
          <w:color w:val="auto"/>
          <w:szCs w:val="21"/>
          <w:highlight w:val="none"/>
        </w:rPr>
        <w:t>售价：0元。</w:t>
      </w:r>
    </w:p>
    <w:p w14:paraId="0D71F683">
      <w:pPr>
        <w:spacing w:line="360" w:lineRule="auto"/>
        <w:ind w:firstLine="316" w:firstLineChars="150"/>
        <w:rPr>
          <w:rFonts w:ascii="宋体" w:hAnsi="宋体" w:cs="宋体"/>
          <w:b/>
          <w:bCs/>
          <w:color w:val="auto"/>
          <w:szCs w:val="21"/>
          <w:highlight w:val="none"/>
        </w:rPr>
      </w:pPr>
      <w:r>
        <w:rPr>
          <w:rFonts w:hint="eastAsia" w:ascii="宋体" w:hAnsi="宋体" w:cs="宋体"/>
          <w:b/>
          <w:bCs/>
          <w:color w:val="auto"/>
          <w:szCs w:val="21"/>
          <w:highlight w:val="none"/>
        </w:rPr>
        <w:t>四、响应文件提交</w:t>
      </w:r>
    </w:p>
    <w:p w14:paraId="4B7042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1.首次响应文件提交截止时间：2026年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0分（北京时间）</w:t>
      </w:r>
    </w:p>
    <w:p w14:paraId="0AD5E6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2.地点：通过广西政府采购云平台在线提交。</w:t>
      </w:r>
    </w:p>
    <w:p w14:paraId="4DBB69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为全流程电子化项目，没有现场递交响应文件及现场开标环节，通过广西政府采购云平台（https://www.gcy.zfcg.gxzf.gov.cn/）实行在线电子投标，供应商应先安装“广西政府采购云平台投标客户端”（请自行前往广西政府采购云平台进行下载），并按照本项目采购文件和广西政府采购云平台的要求使用CA认证编制、加密响应文件后在首次响应文件提交截止时间前上传至 广西政府采购云平台，供应商在广西政府采购云平台提交电子版响应文件时，请填写参加远程开标活动经办人联系方式，如在谈判评审过程中有电子询标，应在规定的时间内对电子询标函进行澄清回复。</w:t>
      </w:r>
    </w:p>
    <w:p w14:paraId="20E4F0FC">
      <w:pPr>
        <w:spacing w:line="360" w:lineRule="auto"/>
        <w:ind w:firstLine="316" w:firstLineChars="150"/>
        <w:rPr>
          <w:rFonts w:ascii="宋体" w:hAnsi="宋体" w:cs="宋体"/>
          <w:b/>
          <w:bCs/>
          <w:color w:val="auto"/>
          <w:szCs w:val="21"/>
          <w:highlight w:val="none"/>
        </w:rPr>
      </w:pPr>
      <w:r>
        <w:rPr>
          <w:rFonts w:hint="eastAsia" w:ascii="宋体" w:hAnsi="宋体" w:cs="宋体"/>
          <w:b/>
          <w:bCs/>
          <w:color w:val="auto"/>
          <w:szCs w:val="21"/>
          <w:highlight w:val="none"/>
        </w:rPr>
        <w:t>五、开启</w:t>
      </w:r>
    </w:p>
    <w:p w14:paraId="4A581D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1.首次响应文件开启时间：2026年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0分（北京时间）</w:t>
      </w:r>
    </w:p>
    <w:p w14:paraId="35F363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2.地点：本项目将在广西政府采购云平台电子开标大厅解密、开启。</w:t>
      </w:r>
    </w:p>
    <w:p w14:paraId="60840B05">
      <w:pPr>
        <w:spacing w:line="360" w:lineRule="auto"/>
        <w:ind w:firstLine="316" w:firstLineChars="150"/>
        <w:rPr>
          <w:rFonts w:ascii="宋体" w:hAnsi="宋体" w:cs="宋体"/>
          <w:b/>
          <w:bCs/>
          <w:color w:val="auto"/>
          <w:szCs w:val="21"/>
          <w:highlight w:val="none"/>
        </w:rPr>
      </w:pPr>
      <w:r>
        <w:rPr>
          <w:rFonts w:hint="eastAsia" w:ascii="宋体" w:hAnsi="宋体" w:cs="宋体"/>
          <w:b/>
          <w:bCs/>
          <w:color w:val="auto"/>
          <w:szCs w:val="21"/>
          <w:highlight w:val="none"/>
        </w:rPr>
        <w:t>六、公告期限</w:t>
      </w:r>
    </w:p>
    <w:p w14:paraId="7DCDE8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自本公告发布之日起3个工作日。</w:t>
      </w:r>
    </w:p>
    <w:p w14:paraId="476B0F0D">
      <w:pPr>
        <w:spacing w:line="360" w:lineRule="auto"/>
        <w:ind w:firstLine="316" w:firstLineChars="150"/>
        <w:rPr>
          <w:rFonts w:ascii="宋体" w:hAnsi="宋体" w:cs="宋体"/>
          <w:b/>
          <w:bCs/>
          <w:color w:val="auto"/>
          <w:szCs w:val="21"/>
          <w:highlight w:val="none"/>
        </w:rPr>
      </w:pPr>
      <w:r>
        <w:rPr>
          <w:rFonts w:hint="eastAsia" w:ascii="宋体" w:hAnsi="宋体" w:cs="宋体"/>
          <w:b/>
          <w:bCs/>
          <w:color w:val="auto"/>
          <w:szCs w:val="21"/>
          <w:highlight w:val="none"/>
        </w:rPr>
        <w:t>七、其他补充事宜</w:t>
      </w:r>
    </w:p>
    <w:p w14:paraId="1FFF17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1.竞标保证金（须足额交纳）：分标1：4500.00元；分标2：10000元；分标3：4000元；（交纳注意事项详见供应商须知前附表）。</w:t>
      </w:r>
    </w:p>
    <w:p w14:paraId="36D206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12A13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6FCA6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4.网上查询地址：中国政府采购网（www.ccgp.gov.cn）、广西政府采购网（zfcg.gxzf.gov.cn）。</w:t>
      </w:r>
    </w:p>
    <w:p w14:paraId="69E591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5.本项目需要落实的政府采购政策：</w:t>
      </w:r>
    </w:p>
    <w:p w14:paraId="3BC316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4C1121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2978F5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613F3C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0CFF86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64825B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（6）扶持不发达地区和少数民族地区政策</w:t>
      </w:r>
    </w:p>
    <w:p w14:paraId="516326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6.谈判注意事项：</w:t>
      </w:r>
    </w:p>
    <w:p w14:paraId="6E2935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提交方式：本项目为全流程电子化政府采购项目，通过广西政府采购云平台（https://www.gcy.zfcg.gxzf.gov.cn/）实行在线电子竞争性谈判，供应商应先安装“广西政府采购云平台电子交易客户端”（请自行前往广西政府采购云平台进行下载），并按照本项目竞争性谈判采购文件和广西政府采购云平台的要求编制、加密后在首次响应文件提交截止时间前通过网络上传至广西政府采购云平台，</w:t>
      </w:r>
      <w:r>
        <w:rPr>
          <w:rFonts w:hint="eastAsia" w:ascii="宋体" w:hAnsi="宋体" w:cs="宋体"/>
          <w:b/>
          <w:color w:val="auto"/>
          <w:szCs w:val="21"/>
          <w:highlight w:val="none"/>
        </w:rPr>
        <w:t>供应商在广西政府采购云平台提交电子版响应文件时，请填写参加远程开标活动经办人联系方式。</w:t>
      </w:r>
    </w:p>
    <w:p w14:paraId="4DB825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应及时熟悉掌握电子标系统操作指南（见广西政府采购云平台电子卖场首页右上角—服务中心—帮助文档—项目采购）；及时完成CA申领和绑定（见广西壮族自治区政府采购网—办事服务—下载专区-广西政府采购云平台CA证书办理操作指南）。</w:t>
      </w:r>
    </w:p>
    <w:p w14:paraId="37EF3A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p>
    <w:p w14:paraId="64041E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（4）为确保网上操作合法、有效和安全，请供应商确保在参与电子竞争性谈判过程中能够对相关数据电文进行加密和使用电子签章，妥善保管CA数字证书并使用有效的CA数字证书参与整个采购活动。</w:t>
      </w:r>
    </w:p>
    <w:p w14:paraId="764E8A43">
      <w:pPr>
        <w:spacing w:line="360" w:lineRule="auto"/>
        <w:ind w:firstLine="422" w:firstLineChars="200"/>
        <w:rPr>
          <w:rFonts w:ascii="楷体" w:hAnsi="楷体" w:eastAsia="楷体" w:cs="宋体"/>
          <w:b/>
          <w:color w:val="auto"/>
          <w:szCs w:val="21"/>
          <w:highlight w:val="none"/>
        </w:rPr>
      </w:pPr>
      <w:r>
        <w:rPr>
          <w:rFonts w:hint="eastAsia" w:ascii="楷体" w:hAnsi="楷体" w:eastAsia="楷体" w:cs="宋体"/>
          <w:b/>
          <w:color w:val="auto"/>
          <w:szCs w:val="21"/>
          <w:highlight w:val="none"/>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74D80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7.CA证书在线解密：首次响应文件开启时，须要供应商携带制作响应文件时用来加密的有效数字证书（CA认证）登录广西政府采购云平台电子开标大厅现场按规定时间对加密的响应文件进行解密，否则后果自负。</w:t>
      </w:r>
    </w:p>
    <w:p w14:paraId="598752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8.供应商需要在具备有摄像头及语音功能且互联网网络状况良好的电脑登录广西政府采购云平台远程开标大厅参与本次谈判，否则后果自负。</w:t>
      </w:r>
    </w:p>
    <w:p w14:paraId="270E2F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9.若对项目采购电子交易系统操作有疑问，可登录广西政府采购云平台（https://www.gcy.zfcg.gxzf.gov.cn/），点击右侧咨询小采，获取采小蜜智能服务管家帮助，或拨打广西政府采购云平台服务热线</w:t>
      </w:r>
      <w:r>
        <w:rPr>
          <w:rFonts w:ascii="宋体" w:hAnsi="宋体" w:cs="宋体"/>
          <w:color w:val="auto"/>
          <w:szCs w:val="21"/>
          <w:highlight w:val="none"/>
        </w:rPr>
        <w:t>95763</w:t>
      </w:r>
      <w:r>
        <w:rPr>
          <w:rFonts w:hint="eastAsia" w:ascii="宋体" w:hAnsi="宋体" w:cs="宋体"/>
          <w:color w:val="auto"/>
          <w:szCs w:val="21"/>
          <w:highlight w:val="none"/>
        </w:rPr>
        <w:t>获取热线服务帮助。</w:t>
      </w:r>
    </w:p>
    <w:p w14:paraId="42E6D4BF">
      <w:pPr>
        <w:spacing w:line="360" w:lineRule="auto"/>
        <w:ind w:firstLine="316" w:firstLineChars="150"/>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10.本项目接受竞标人对多个分标进行投标，每个竞标人只允许中一个分标，评标顺序为：分标1—分标2—分标3，分标2成交供应商不推荐为分标1的成交供应商，分标3成交供应商不推荐为分标1、2的成交供应商。若竞标人投标多个分标的，须就不同的标段分别单独投标。</w:t>
      </w:r>
    </w:p>
    <w:p w14:paraId="02C64C09">
      <w:pPr>
        <w:spacing w:line="360" w:lineRule="auto"/>
        <w:ind w:firstLine="316" w:firstLineChars="150"/>
        <w:rPr>
          <w:rFonts w:ascii="宋体" w:hAnsi="宋体" w:cs="宋体"/>
          <w:b/>
          <w:bCs/>
          <w:color w:val="auto"/>
          <w:szCs w:val="21"/>
          <w:highlight w:val="none"/>
        </w:rPr>
      </w:pPr>
      <w:r>
        <w:rPr>
          <w:rFonts w:hint="eastAsia" w:ascii="宋体" w:hAnsi="宋体" w:cs="宋体"/>
          <w:b/>
          <w:bCs/>
          <w:color w:val="auto"/>
          <w:szCs w:val="21"/>
          <w:highlight w:val="none"/>
        </w:rPr>
        <w:t>八、凡对本次采购提出询问，请按以下方式联系。</w:t>
      </w:r>
      <w:bookmarkEnd w:id="2"/>
      <w:bookmarkEnd w:id="3"/>
      <w:bookmarkEnd w:id="4"/>
      <w:bookmarkEnd w:id="5"/>
      <w:bookmarkEnd w:id="6"/>
      <w:bookmarkEnd w:id="7"/>
    </w:p>
    <w:p w14:paraId="3EA46203">
      <w:pPr>
        <w:spacing w:line="360" w:lineRule="auto"/>
        <w:ind w:firstLine="422" w:firstLineChars="200"/>
        <w:rPr>
          <w:rFonts w:ascii="宋体" w:hAnsi="宋体" w:cs="宋体"/>
          <w:b/>
          <w:bCs/>
          <w:color w:val="auto"/>
          <w:szCs w:val="21"/>
          <w:highlight w:val="none"/>
        </w:rPr>
      </w:pPr>
      <w:bookmarkStart w:id="11" w:name="_Toc28359096"/>
      <w:bookmarkStart w:id="12" w:name="_Toc28359019"/>
      <w:bookmarkStart w:id="13" w:name="_Toc35393637"/>
      <w:bookmarkStart w:id="14" w:name="_Toc35393806"/>
      <w:r>
        <w:rPr>
          <w:rFonts w:hint="eastAsia" w:ascii="宋体" w:hAnsi="宋体" w:cs="宋体"/>
          <w:b/>
          <w:bCs/>
          <w:color w:val="auto"/>
          <w:szCs w:val="21"/>
          <w:highlight w:val="none"/>
        </w:rPr>
        <w:t>1.采购人信息</w:t>
      </w:r>
    </w:p>
    <w:p w14:paraId="63D890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称：广西幼儿师范高等专科学校</w:t>
      </w:r>
    </w:p>
    <w:p w14:paraId="0E5353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地址：南宁市民族大道77号</w:t>
      </w:r>
    </w:p>
    <w:p w14:paraId="52E208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联系人：古文             联系电话：</w:t>
      </w:r>
      <w:r>
        <w:rPr>
          <w:rFonts w:hint="eastAsia" w:ascii="宋体" w:hAnsi="宋体" w:cs="宋体"/>
          <w:color w:val="auto"/>
          <w:szCs w:val="21"/>
          <w:highlight w:val="none"/>
          <w:lang w:eastAsia="zh-CN"/>
        </w:rPr>
        <w:t>0771-5712442</w:t>
      </w:r>
      <w:r>
        <w:rPr>
          <w:rFonts w:hint="eastAsia" w:ascii="宋体" w:hAnsi="宋体" w:cs="宋体"/>
          <w:color w:val="auto"/>
          <w:szCs w:val="21"/>
          <w:highlight w:val="none"/>
        </w:rPr>
        <w:t xml:space="preserve">  </w:t>
      </w:r>
    </w:p>
    <w:p w14:paraId="1492BFE1">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2.采购代理机构信息</w:t>
      </w:r>
    </w:p>
    <w:p w14:paraId="5BFAB9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称：广西同泽工程项目管理股份有限公司</w:t>
      </w:r>
      <w:r>
        <w:rPr>
          <w:rFonts w:ascii="宋体" w:hAnsi="宋体" w:cs="宋体"/>
          <w:color w:val="auto"/>
          <w:szCs w:val="21"/>
          <w:highlight w:val="none"/>
        </w:rPr>
        <w:t xml:space="preserve"> </w:t>
      </w:r>
    </w:p>
    <w:p w14:paraId="628E07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　址：南宁市良庆区凯旋路16号裕达国际中心广东大厦18层</w:t>
      </w:r>
    </w:p>
    <w:p w14:paraId="14B77A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联系人：韦婷   联系电话：0771-8075508</w:t>
      </w:r>
      <w:r>
        <w:rPr>
          <w:rFonts w:ascii="宋体" w:hAnsi="宋体" w:cs="宋体"/>
          <w:color w:val="auto"/>
          <w:szCs w:val="21"/>
          <w:highlight w:val="none"/>
        </w:rPr>
        <w:t xml:space="preserve"> </w:t>
      </w:r>
    </w:p>
    <w:p w14:paraId="763F8C97">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3.项目联系方式</w:t>
      </w:r>
    </w:p>
    <w:p w14:paraId="6AB1DC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联系人：韦婷   联系电话：0771-8075508</w:t>
      </w:r>
      <w:r>
        <w:rPr>
          <w:rFonts w:ascii="宋体" w:hAnsi="宋体" w:cs="宋体"/>
          <w:color w:val="auto"/>
          <w:szCs w:val="21"/>
          <w:highlight w:val="none"/>
        </w:rPr>
        <w:t xml:space="preserve"> </w:t>
      </w:r>
      <w:bookmarkEnd w:id="11"/>
      <w:bookmarkEnd w:id="12"/>
      <w:bookmarkEnd w:id="13"/>
      <w:bookmarkEnd w:id="14"/>
    </w:p>
    <w:p w14:paraId="45CEF025">
      <w:pPr>
        <w:spacing w:line="360" w:lineRule="auto"/>
        <w:ind w:firstLine="4725" w:firstLineChars="2250"/>
        <w:rPr>
          <w:rFonts w:ascii="宋体" w:hAnsi="宋体" w:cs="宋体"/>
          <w:color w:val="auto"/>
          <w:szCs w:val="21"/>
          <w:highlight w:val="none"/>
        </w:rPr>
      </w:pPr>
    </w:p>
    <w:p w14:paraId="45922F7A">
      <w:pPr>
        <w:spacing w:line="360" w:lineRule="auto"/>
        <w:ind w:firstLine="4725" w:firstLineChars="2250"/>
        <w:rPr>
          <w:rFonts w:ascii="宋体" w:hAnsi="宋体" w:cs="宋体"/>
          <w:color w:val="auto"/>
          <w:szCs w:val="21"/>
          <w:highlight w:val="none"/>
        </w:rPr>
      </w:pPr>
    </w:p>
    <w:p w14:paraId="3DF3ADE2">
      <w:pPr>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广西同泽工程项目管理股份有限公司</w:t>
      </w:r>
    </w:p>
    <w:bookmarkEnd w:id="1"/>
    <w:p w14:paraId="18EB9276">
      <w:pPr>
        <w:pStyle w:val="2"/>
        <w:spacing w:before="0" w:after="0" w:line="360" w:lineRule="auto"/>
        <w:jc w:val="center"/>
        <w:rPr>
          <w:rFonts w:ascii="宋体" w:hAnsi="宋体" w:cs="宋体"/>
          <w:color w:val="auto"/>
        </w:rPr>
      </w:pPr>
      <w:r>
        <w:rPr>
          <w:rFonts w:hint="eastAsia" w:ascii="宋体" w:hAnsi="宋体" w:cs="宋体"/>
          <w:color w:val="auto"/>
          <w:sz w:val="21"/>
          <w:szCs w:val="21"/>
          <w:highlight w:val="none"/>
        </w:rPr>
        <w:t xml:space="preserve"> </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 xml:space="preserve">         </w:t>
      </w:r>
      <w:r>
        <w:rPr>
          <w:rFonts w:hint="eastAsia" w:ascii="宋体" w:hAnsi="宋体" w:cs="宋体"/>
          <w:b w:val="0"/>
          <w:bCs w:val="0"/>
          <w:color w:val="auto"/>
          <w:sz w:val="21"/>
          <w:szCs w:val="21"/>
          <w:highlight w:val="none"/>
        </w:rPr>
        <w:t xml:space="preserve"> </w:t>
      </w:r>
      <w:bookmarkStart w:id="15" w:name="_Toc26488"/>
      <w:r>
        <w:rPr>
          <w:rFonts w:hint="eastAsia" w:ascii="宋体" w:hAnsi="宋体" w:cs="宋体"/>
          <w:b w:val="0"/>
          <w:bCs w:val="0"/>
          <w:color w:val="auto"/>
          <w:sz w:val="21"/>
          <w:szCs w:val="21"/>
          <w:highlight w:val="none"/>
        </w:rPr>
        <w:t>2026年</w:t>
      </w:r>
      <w:r>
        <w:rPr>
          <w:rFonts w:hint="eastAsia" w:ascii="宋体" w:hAnsi="宋体" w:cs="宋体"/>
          <w:b w:val="0"/>
          <w:bCs w:val="0"/>
          <w:color w:val="auto"/>
          <w:sz w:val="21"/>
          <w:szCs w:val="21"/>
          <w:highlight w:val="none"/>
          <w:lang w:val="en-US" w:eastAsia="zh-CN"/>
        </w:rPr>
        <w:t>8</w:t>
      </w:r>
      <w:r>
        <w:rPr>
          <w:rFonts w:hint="eastAsia" w:ascii="宋体" w:hAnsi="宋体" w:cs="宋体"/>
          <w:b w:val="0"/>
          <w:bCs w:val="0"/>
          <w:color w:val="auto"/>
          <w:sz w:val="21"/>
          <w:szCs w:val="21"/>
          <w:highlight w:val="none"/>
        </w:rPr>
        <w:t>月</w:t>
      </w:r>
      <w:r>
        <w:rPr>
          <w:rFonts w:hint="eastAsia" w:ascii="宋体" w:hAnsi="宋体" w:cs="宋体"/>
          <w:b w:val="0"/>
          <w:bCs w:val="0"/>
          <w:color w:val="auto"/>
          <w:sz w:val="21"/>
          <w:szCs w:val="21"/>
          <w:highlight w:val="none"/>
          <w:lang w:val="en-US" w:eastAsia="zh-CN"/>
        </w:rPr>
        <w:t>17</w:t>
      </w:r>
      <w:r>
        <w:rPr>
          <w:rFonts w:hint="eastAsia" w:ascii="宋体" w:hAnsi="宋体" w:cs="宋体"/>
          <w:b w:val="0"/>
          <w:bCs w:val="0"/>
          <w:color w:val="auto"/>
          <w:sz w:val="21"/>
          <w:szCs w:val="21"/>
          <w:highlight w:val="none"/>
        </w:rPr>
        <w:t>日</w:t>
      </w:r>
      <w:r>
        <w:rPr>
          <w:rFonts w:hint="eastAsia" w:ascii="宋体" w:hAnsi="宋体" w:cs="宋体"/>
          <w:color w:val="auto"/>
          <w:sz w:val="21"/>
          <w:szCs w:val="21"/>
        </w:rPr>
        <w:br w:type="page"/>
      </w:r>
      <w:r>
        <w:rPr>
          <w:rFonts w:hint="eastAsia" w:ascii="宋体" w:hAnsi="宋体" w:cs="宋体"/>
          <w:color w:val="auto"/>
        </w:rPr>
        <w:t>第二章 供应商须知</w:t>
      </w:r>
      <w:bookmarkEnd w:id="15"/>
    </w:p>
    <w:p w14:paraId="06227F72">
      <w:pPr>
        <w:spacing w:line="400" w:lineRule="exact"/>
        <w:jc w:val="center"/>
        <w:rPr>
          <w:rFonts w:ascii="宋体" w:hAnsi="宋体" w:cs="宋体"/>
          <w:b/>
          <w:color w:val="auto"/>
          <w:sz w:val="32"/>
          <w:szCs w:val="32"/>
        </w:rPr>
      </w:pPr>
    </w:p>
    <w:p w14:paraId="72F53177">
      <w:pPr>
        <w:spacing w:line="400" w:lineRule="exact"/>
        <w:jc w:val="center"/>
        <w:rPr>
          <w:rFonts w:ascii="宋体" w:hAnsi="宋体" w:cs="宋体"/>
          <w:b/>
          <w:color w:val="auto"/>
          <w:sz w:val="32"/>
          <w:szCs w:val="32"/>
        </w:rPr>
      </w:pPr>
      <w:r>
        <w:rPr>
          <w:rFonts w:hint="eastAsia" w:ascii="宋体" w:hAnsi="宋体" w:cs="宋体"/>
          <w:b/>
          <w:color w:val="auto"/>
          <w:sz w:val="32"/>
          <w:szCs w:val="32"/>
        </w:rPr>
        <w:t>供应商须知前附表</w:t>
      </w:r>
    </w:p>
    <w:p w14:paraId="5E850455">
      <w:pPr>
        <w:spacing w:line="400" w:lineRule="exact"/>
        <w:jc w:val="center"/>
        <w:rPr>
          <w:rFonts w:ascii="宋体" w:hAnsi="宋体" w:cs="宋体"/>
          <w:b/>
          <w:color w:val="auto"/>
          <w:sz w:val="32"/>
          <w:szCs w:val="32"/>
        </w:rPr>
      </w:pPr>
    </w:p>
    <w:tbl>
      <w:tblPr>
        <w:tblStyle w:val="27"/>
        <w:tblW w:w="91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1"/>
        <w:gridCol w:w="8181"/>
      </w:tblGrid>
      <w:tr w14:paraId="586C3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17636BDF">
            <w:pPr>
              <w:spacing w:line="500" w:lineRule="exact"/>
              <w:jc w:val="center"/>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条款号</w:t>
            </w:r>
          </w:p>
        </w:tc>
        <w:tc>
          <w:tcPr>
            <w:tcW w:w="8181" w:type="dxa"/>
            <w:vAlign w:val="center"/>
          </w:tcPr>
          <w:p w14:paraId="00967B61">
            <w:pPr>
              <w:spacing w:line="500" w:lineRule="exact"/>
              <w:jc w:val="center"/>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内    容</w:t>
            </w:r>
          </w:p>
        </w:tc>
      </w:tr>
      <w:tr w14:paraId="4CB5C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4CC23156">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w:t>
            </w:r>
          </w:p>
        </w:tc>
        <w:tc>
          <w:tcPr>
            <w:tcW w:w="8181" w:type="dxa"/>
            <w:vAlign w:val="center"/>
          </w:tcPr>
          <w:p w14:paraId="66FD50AA">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供应商的资格条件：详见竞争性谈判公告</w:t>
            </w:r>
          </w:p>
        </w:tc>
      </w:tr>
      <w:tr w14:paraId="3DBDF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6B79F9F5">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5.1</w:t>
            </w:r>
          </w:p>
        </w:tc>
        <w:tc>
          <w:tcPr>
            <w:tcW w:w="8181" w:type="dxa"/>
            <w:vAlign w:val="center"/>
          </w:tcPr>
          <w:p w14:paraId="7A511F9F">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是否接受联合体参与: 详见竞争性谈判公告</w:t>
            </w:r>
          </w:p>
        </w:tc>
      </w:tr>
      <w:tr w14:paraId="05D2D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1" w:type="dxa"/>
            <w:vAlign w:val="center"/>
          </w:tcPr>
          <w:p w14:paraId="40DE7E5D">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5.2</w:t>
            </w:r>
          </w:p>
        </w:tc>
        <w:tc>
          <w:tcPr>
            <w:tcW w:w="8181" w:type="dxa"/>
            <w:vAlign w:val="center"/>
          </w:tcPr>
          <w:p w14:paraId="075CD700">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如接受联合体参与，要求如下：</w:t>
            </w:r>
          </w:p>
          <w:p w14:paraId="5075F24E">
            <w:pPr>
              <w:autoSpaceDE w:val="0"/>
              <w:autoSpaceDN w:val="0"/>
              <w:snapToGrid w:val="0"/>
              <w:spacing w:line="500" w:lineRule="exact"/>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两个以上供应商可以组成一个联合体，以一个供应商的身份共同参与竞争性谈判，联合体供应商的名称应统一按“XXX 公司与 XXX 公司的联合体”的规则填写。</w:t>
            </w:r>
            <w:r>
              <w:rPr>
                <w:rFonts w:hint="eastAsia" w:asciiTheme="minorEastAsia" w:hAnsiTheme="minorEastAsia" w:eastAsiaTheme="minorEastAsia" w:cstheme="minorEastAsia"/>
                <w:color w:val="auto"/>
                <w:szCs w:val="21"/>
              </w:rPr>
              <w:tab/>
            </w:r>
          </w:p>
          <w:p w14:paraId="79F8A301">
            <w:pPr>
              <w:autoSpaceDE w:val="0"/>
              <w:autoSpaceDN w:val="0"/>
              <w:snapToGrid w:val="0"/>
              <w:spacing w:line="500" w:lineRule="exact"/>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以联合体形式参与竞争性谈判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本项目竞争性谈判公告“申请人的资格条件”第3点 “3、本项目的特定资格要求”的要求。</w:t>
            </w:r>
          </w:p>
          <w:p w14:paraId="1FE066F3">
            <w:pPr>
              <w:autoSpaceDE w:val="0"/>
              <w:autoSpaceDN w:val="0"/>
              <w:snapToGrid w:val="0"/>
              <w:spacing w:line="500" w:lineRule="exact"/>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联合体参与竞争性谈判的，须提供《联合体参与竞争性谈判协议书》（格式后附），协议书必须明确主体方（或者牵头方）并明确约定联合体各方承担的工作和相应的责任（各方承担责任与义务的分工必须符合采购需求，否则，联合体响应无效），并将《联合体参与竞争性谈判协议书》放入响应文件。联合体各方必须共同与采购人签订采购合同，就采购合同约定的事项对采购人承担连带责任。</w:t>
            </w:r>
            <w:r>
              <w:rPr>
                <w:rFonts w:hint="eastAsia" w:asciiTheme="minorEastAsia" w:hAnsiTheme="minorEastAsia" w:eastAsiaTheme="minorEastAsia" w:cstheme="minorEastAsia"/>
                <w:color w:val="auto"/>
                <w:szCs w:val="21"/>
              </w:rPr>
              <w:tab/>
            </w:r>
          </w:p>
          <w:p w14:paraId="321F7ECD">
            <w:pPr>
              <w:autoSpaceDE w:val="0"/>
              <w:autoSpaceDN w:val="0"/>
              <w:snapToGrid w:val="0"/>
              <w:spacing w:line="500" w:lineRule="exact"/>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以联合体形式参加政府采购活动的，联合体各方不得再单独参加或者与其他供应商另外组成联合体参加同一合同项下的政府采购活动，否则与之相关的响应文件作废</w:t>
            </w:r>
            <w:r>
              <w:rPr>
                <w:rFonts w:hint="eastAsia" w:asciiTheme="minorEastAsia" w:hAnsiTheme="minorEastAsia" w:eastAsiaTheme="minorEastAsia" w:cstheme="minorEastAsia"/>
                <w:color w:val="auto"/>
                <w:szCs w:val="21"/>
              </w:rPr>
              <w:tab/>
            </w:r>
          </w:p>
          <w:p w14:paraId="3DD15FDE">
            <w:pPr>
              <w:autoSpaceDE w:val="0"/>
              <w:autoSpaceDN w:val="0"/>
              <w:snapToGrid w:val="0"/>
              <w:spacing w:line="500" w:lineRule="exact"/>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联合体中有同类资质的供应商按照联合体分工承担相同工作的，应当按照资质等级较低的供应商确定资质等级。</w:t>
            </w:r>
            <w:r>
              <w:rPr>
                <w:rFonts w:hint="eastAsia" w:asciiTheme="minorEastAsia" w:hAnsiTheme="minorEastAsia" w:eastAsiaTheme="minorEastAsia" w:cstheme="minorEastAsia"/>
                <w:color w:val="auto"/>
                <w:szCs w:val="21"/>
              </w:rPr>
              <w:tab/>
            </w:r>
            <w:r>
              <w:rPr>
                <w:rFonts w:hint="eastAsia" w:asciiTheme="minorEastAsia" w:hAnsiTheme="minorEastAsia" w:eastAsiaTheme="minorEastAsia" w:cstheme="minorEastAsia"/>
                <w:color w:val="auto"/>
                <w:szCs w:val="21"/>
              </w:rPr>
              <w:tab/>
            </w:r>
          </w:p>
          <w:p w14:paraId="3F3262BD">
            <w:pPr>
              <w:autoSpaceDE w:val="0"/>
              <w:autoSpaceDN w:val="0"/>
              <w:snapToGrid w:val="0"/>
              <w:spacing w:line="500" w:lineRule="exact"/>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6</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联合体参与竞争性谈判的业绩、履约能力按照联合体各方其中较高的一方认定并计算（竞争性谈判采购文件另有规定的除外）。</w:t>
            </w:r>
            <w:r>
              <w:rPr>
                <w:rFonts w:hint="eastAsia" w:asciiTheme="minorEastAsia" w:hAnsiTheme="minorEastAsia" w:eastAsiaTheme="minorEastAsia" w:cstheme="minorEastAsia"/>
                <w:color w:val="auto"/>
                <w:szCs w:val="21"/>
              </w:rPr>
              <w:tab/>
            </w:r>
            <w:r>
              <w:rPr>
                <w:rFonts w:hint="eastAsia" w:asciiTheme="minorEastAsia" w:hAnsiTheme="minorEastAsia" w:eastAsiaTheme="minorEastAsia" w:cstheme="minorEastAsia"/>
                <w:color w:val="auto"/>
                <w:szCs w:val="21"/>
              </w:rPr>
              <w:tab/>
            </w:r>
            <w:r>
              <w:rPr>
                <w:rFonts w:hint="eastAsia" w:asciiTheme="minorEastAsia" w:hAnsiTheme="minorEastAsia" w:eastAsiaTheme="minorEastAsia" w:cstheme="minorEastAsia"/>
                <w:color w:val="auto"/>
                <w:szCs w:val="21"/>
              </w:rPr>
              <w:tab/>
            </w:r>
          </w:p>
          <w:p w14:paraId="6C29A5D0">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联合体各方均应按照竞争性谈判采购文件的规定提交资格证明文件。</w:t>
            </w:r>
          </w:p>
        </w:tc>
      </w:tr>
      <w:tr w14:paraId="2DEA6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2" w:hRule="atLeast"/>
          <w:jc w:val="center"/>
        </w:trPr>
        <w:tc>
          <w:tcPr>
            <w:tcW w:w="991" w:type="dxa"/>
            <w:vAlign w:val="center"/>
          </w:tcPr>
          <w:p w14:paraId="752F38E5">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6.2</w:t>
            </w:r>
          </w:p>
        </w:tc>
        <w:tc>
          <w:tcPr>
            <w:tcW w:w="8181" w:type="dxa"/>
            <w:vAlign w:val="center"/>
          </w:tcPr>
          <w:p w14:paraId="28F3176C">
            <w:pPr>
              <w:pStyle w:val="9"/>
              <w:spacing w:line="500" w:lineRule="exact"/>
              <w:jc w:val="both"/>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w:char="00FE"/>
            </w:r>
            <w:r>
              <w:rPr>
                <w:rFonts w:hint="eastAsia" w:asciiTheme="minorEastAsia" w:hAnsiTheme="minorEastAsia" w:eastAsiaTheme="minorEastAsia" w:cstheme="minorEastAsia"/>
                <w:color w:val="auto"/>
                <w:szCs w:val="21"/>
              </w:rPr>
              <w:t>本项目不允许分包。</w:t>
            </w:r>
          </w:p>
          <w:p w14:paraId="7BD2B0C2">
            <w:pPr>
              <w:pStyle w:val="9"/>
              <w:spacing w:line="500" w:lineRule="exact"/>
              <w:jc w:val="both"/>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w:char="00A8"/>
            </w:r>
            <w:r>
              <w:rPr>
                <w:rFonts w:hint="eastAsia" w:asciiTheme="minorEastAsia" w:hAnsiTheme="minorEastAsia" w:eastAsiaTheme="minorEastAsia" w:cstheme="minorEastAsia"/>
                <w:color w:val="auto"/>
                <w:szCs w:val="21"/>
              </w:rPr>
              <w:t>本项目允许分包：</w:t>
            </w:r>
          </w:p>
          <w:p w14:paraId="5F441F6B">
            <w:pPr>
              <w:pStyle w:val="9"/>
              <w:spacing w:line="500" w:lineRule="exact"/>
              <w:jc w:val="both"/>
              <w:rPr>
                <w:rFonts w:asciiTheme="minorEastAsia" w:hAnsiTheme="minorEastAsia" w:eastAsiaTheme="minorEastAsia" w:cstheme="minorEastAsia"/>
                <w:color w:val="auto"/>
                <w:szCs w:val="21"/>
                <w:u w:val="single"/>
              </w:rPr>
            </w:pPr>
            <w:r>
              <w:rPr>
                <w:rFonts w:hint="eastAsia" w:asciiTheme="minorEastAsia" w:hAnsiTheme="minorEastAsia" w:eastAsiaTheme="minorEastAsia" w:cstheme="minorEastAsia"/>
                <w:color w:val="auto"/>
                <w:szCs w:val="21"/>
              </w:rPr>
              <w:t>分包内容：</w:t>
            </w:r>
            <w:r>
              <w:rPr>
                <w:rFonts w:hint="eastAsia" w:asciiTheme="minorEastAsia" w:hAnsiTheme="minorEastAsia" w:eastAsiaTheme="minorEastAsia" w:cstheme="minorEastAsia"/>
                <w:color w:val="auto"/>
                <w:szCs w:val="21"/>
                <w:u w:val="single"/>
              </w:rPr>
              <w:t>/</w:t>
            </w:r>
          </w:p>
          <w:p w14:paraId="4F8BDE9B">
            <w:pPr>
              <w:pStyle w:val="9"/>
              <w:spacing w:line="500" w:lineRule="exact"/>
              <w:jc w:val="both"/>
              <w:rPr>
                <w:rFonts w:asciiTheme="minorEastAsia" w:hAnsiTheme="minorEastAsia" w:eastAsiaTheme="minorEastAsia" w:cstheme="minorEastAsia"/>
                <w:color w:val="auto"/>
                <w:szCs w:val="21"/>
                <w:u w:val="single"/>
              </w:rPr>
            </w:pPr>
            <w:r>
              <w:rPr>
                <w:rFonts w:hint="eastAsia" w:asciiTheme="minorEastAsia" w:hAnsiTheme="minorEastAsia" w:eastAsiaTheme="minorEastAsia" w:cstheme="minorEastAsia"/>
                <w:color w:val="auto"/>
                <w:szCs w:val="21"/>
              </w:rPr>
              <w:t>分包金额或者比例：</w:t>
            </w:r>
            <w:r>
              <w:rPr>
                <w:rFonts w:hint="eastAsia" w:asciiTheme="minorEastAsia" w:hAnsiTheme="minorEastAsia" w:eastAsiaTheme="minorEastAsia" w:cstheme="minorEastAsia"/>
                <w:color w:val="auto"/>
                <w:szCs w:val="21"/>
                <w:u w:val="single"/>
              </w:rPr>
              <w:t>/</w:t>
            </w:r>
          </w:p>
        </w:tc>
      </w:tr>
      <w:tr w14:paraId="09957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991" w:type="dxa"/>
            <w:vAlign w:val="center"/>
          </w:tcPr>
          <w:p w14:paraId="7F2DF02C">
            <w:pPr>
              <w:spacing w:line="4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7.8</w:t>
            </w:r>
          </w:p>
        </w:tc>
        <w:tc>
          <w:tcPr>
            <w:tcW w:w="8181" w:type="dxa"/>
            <w:vAlign w:val="center"/>
          </w:tcPr>
          <w:p w14:paraId="5FC12BE5">
            <w:pPr>
              <w:pStyle w:val="9"/>
              <w:spacing w:line="400" w:lineRule="exact"/>
              <w:jc w:val="both"/>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是否适用支持本国产品：☑是/□否</w:t>
            </w:r>
          </w:p>
        </w:tc>
      </w:tr>
      <w:tr w14:paraId="4D3A3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Align w:val="center"/>
          </w:tcPr>
          <w:p w14:paraId="0899003C">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12.1.1</w:t>
            </w:r>
          </w:p>
        </w:tc>
        <w:tc>
          <w:tcPr>
            <w:tcW w:w="8181" w:type="dxa"/>
            <w:vAlign w:val="center"/>
          </w:tcPr>
          <w:p w14:paraId="59EC35D2">
            <w:pPr>
              <w:snapToGrid w:val="0"/>
              <w:spacing w:line="500" w:lineRule="exac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资格证明文件</w:t>
            </w:r>
          </w:p>
          <w:p w14:paraId="3690D998">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供应商为法人或者其他组织的，证明文件为其营业执照复印件（如营业执照或者事业单位法人证书或者执业许可证等）；供应商为自然人的，证明文件为其身份证复印件；（</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35135620">
            <w:pPr>
              <w:spacing w:line="500" w:lineRule="exact"/>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供应商依法缴纳税收的相关材料（截至首次响应文件提交截止之日半年内任意连续三个月的依法缴纳税收的凭据复印件；依法免税的，必须提供相应文件证明。从成立之日起到首次响应文件提交截止之日不足要求月数的，只需提供从成立之日起的依法缴纳税收相应证明文件）；（</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5E96D073">
            <w:pPr>
              <w:spacing w:line="500" w:lineRule="exact"/>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供应商依法缴纳社会保障资金的相关材料（截至首次响应文件提交截止之日半年内任意连续三个月的依法缴纳社会保障资金的缴费凭证（专用收据或者社会保险缴纳清单）复印件；依法不需要缴纳社会保障资金的，必须提供相应文件证明。从成立之日起到首次响应文件提交截止之日不足要求月数的只需提供从成立之日起一个月的依法缴纳社会保障资金的相应证明文件）；（</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4D0A307A">
            <w:pPr>
              <w:spacing w:line="500" w:lineRule="exact"/>
              <w:contextualSpacing/>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4</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供应商财务状况报告（提供2025年财务状况报告复印件，或者银行出具的资信证明（资信证明应在有效期内，未注明有效期的，银行出具时间至首次响应文件提交截止之日不超过一年）；供应商成立不满一年的应按提供首次响应文件提交截止之日上一个月的财务状况报告复印件）</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b/>
                <w:color w:val="auto"/>
                <w:szCs w:val="21"/>
              </w:rPr>
              <w:t>除自然人外必须提供，否则响应文件按无效响应处理</w:t>
            </w:r>
            <w:r>
              <w:rPr>
                <w:rFonts w:hint="eastAsia" w:asciiTheme="minorEastAsia" w:hAnsiTheme="minorEastAsia" w:eastAsiaTheme="minorEastAsia" w:cstheme="minorEastAsia"/>
                <w:bCs/>
                <w:color w:val="auto"/>
                <w:szCs w:val="21"/>
              </w:rPr>
              <w:t>）</w:t>
            </w:r>
          </w:p>
          <w:p w14:paraId="75943597">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供应商直接控股、管理关系信息表（格式后附）；（</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5EB4FDBF">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6</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参与竞争性谈判声明（格式后附）；（</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1CC8002B">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竞争性谈判公告中特定资格要求的资格证明材料；（</w:t>
            </w:r>
            <w:r>
              <w:rPr>
                <w:rFonts w:hint="eastAsia" w:asciiTheme="minorEastAsia" w:hAnsiTheme="minorEastAsia" w:eastAsiaTheme="minorEastAsia" w:cstheme="minorEastAsia"/>
                <w:b/>
                <w:bCs/>
                <w:color w:val="auto"/>
                <w:szCs w:val="21"/>
              </w:rPr>
              <w:t>公告如有则必</w:t>
            </w:r>
            <w:r>
              <w:rPr>
                <w:rFonts w:hint="eastAsia" w:asciiTheme="minorEastAsia" w:hAnsiTheme="minorEastAsia" w:eastAsiaTheme="minorEastAsia" w:cstheme="minorEastAsia"/>
                <w:b/>
                <w:color w:val="auto"/>
                <w:szCs w:val="21"/>
              </w:rPr>
              <w:t>须提供，否则响应文件按无效响应处理</w:t>
            </w:r>
            <w:r>
              <w:rPr>
                <w:rFonts w:hint="eastAsia" w:asciiTheme="minorEastAsia" w:hAnsiTheme="minorEastAsia" w:eastAsiaTheme="minorEastAsia" w:cstheme="minorEastAsia"/>
                <w:color w:val="auto"/>
                <w:szCs w:val="21"/>
              </w:rPr>
              <w:t>）</w:t>
            </w:r>
          </w:p>
          <w:p w14:paraId="4C87A337">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8</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除谈判文件规定必须提供以外，供应商认为需要提供的其他证明材料。</w:t>
            </w:r>
          </w:p>
          <w:p w14:paraId="2F3BCFB4">
            <w:pPr>
              <w:snapToGrid w:val="0"/>
              <w:spacing w:line="500" w:lineRule="exact"/>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
                <w:bCs/>
                <w:color w:val="auto"/>
                <w:szCs w:val="21"/>
              </w:rPr>
              <w:t>【注】</w:t>
            </w:r>
            <w:r>
              <w:rPr>
                <w:rFonts w:hint="eastAsia" w:asciiTheme="minorEastAsia" w:hAnsiTheme="minorEastAsia" w:eastAsiaTheme="minorEastAsia" w:cstheme="minorEastAsia"/>
                <w:bCs/>
                <w:color w:val="auto"/>
                <w:szCs w:val="21"/>
              </w:rPr>
              <w:t>1.以上标明“必须提供”的材料属于复印件的，必须加盖供应商公章，否则响应文件按无效响应处理。</w:t>
            </w:r>
          </w:p>
          <w:p w14:paraId="5DED591E">
            <w:pPr>
              <w:snapToGrid w:val="0"/>
              <w:spacing w:line="500" w:lineRule="exact"/>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2.参与竞争性谈判声明必须由法定代表人在规定签章处逐一签字并加盖供应商公章，否则响应文件按无效响应处理。</w:t>
            </w:r>
          </w:p>
          <w:p w14:paraId="0DAE6737">
            <w:pPr>
              <w:snapToGrid w:val="0"/>
              <w:spacing w:line="500" w:lineRule="exac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Cs/>
                <w:color w:val="auto"/>
                <w:szCs w:val="21"/>
              </w:rPr>
              <w:t>3.供应商直接控股、管理关系信息表必须由法定代表人或者委托代理人在规定签章处逐一签字并加盖供应商公章，否则响应文件按无效响应处理。</w:t>
            </w:r>
          </w:p>
        </w:tc>
      </w:tr>
      <w:tr w14:paraId="28C0D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Merge w:val="restart"/>
            <w:vAlign w:val="center"/>
          </w:tcPr>
          <w:p w14:paraId="41552513">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12.1.2</w:t>
            </w:r>
          </w:p>
        </w:tc>
        <w:tc>
          <w:tcPr>
            <w:tcW w:w="8181" w:type="dxa"/>
            <w:vAlign w:val="center"/>
          </w:tcPr>
          <w:p w14:paraId="4D758C7E">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Cs w:val="21"/>
              </w:rPr>
              <w:t>报价文件</w:t>
            </w:r>
          </w:p>
          <w:p w14:paraId="273507F1">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无串通参与竞争性谈判行为的承诺函（格式后附）；（</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2E2C40B2">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竞争性谈判报价表（格式后附）；（</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1509FCD4">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中小企业声明函（或残疾人福利性单位声明函或监狱企业声明函，残疾人福利性单位或监狱企业视同小微企业）或《关于符合本国产品标准的声明函》（格式后附）；</w:t>
            </w:r>
          </w:p>
          <w:p w14:paraId="196FD060">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w:t>
            </w:r>
            <w:r>
              <w:rPr>
                <w:rFonts w:hint="eastAsia" w:asciiTheme="minorEastAsia" w:hAnsiTheme="minorEastAsia" w:eastAsiaTheme="minorEastAsia" w:cstheme="minorEastAsia"/>
                <w:bCs/>
                <w:color w:val="auto"/>
                <w:szCs w:val="21"/>
              </w:rPr>
              <w:t>.供应商</w:t>
            </w:r>
            <w:r>
              <w:rPr>
                <w:rFonts w:hint="eastAsia" w:asciiTheme="minorEastAsia" w:hAnsiTheme="minorEastAsia" w:eastAsiaTheme="minorEastAsia" w:cstheme="minorEastAsia"/>
                <w:color w:val="auto"/>
                <w:szCs w:val="21"/>
              </w:rPr>
              <w:t>针对报价需要说明的其他文件和说明（格式自拟）。</w:t>
            </w:r>
          </w:p>
          <w:p w14:paraId="3E9E5281">
            <w:pPr>
              <w:spacing w:line="500" w:lineRule="exact"/>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
                <w:color w:val="auto"/>
                <w:szCs w:val="21"/>
              </w:rPr>
              <w:t>注</w:t>
            </w:r>
            <w:r>
              <w:rPr>
                <w:rFonts w:hint="eastAsia" w:asciiTheme="minorEastAsia" w:hAnsiTheme="minorEastAsia" w:eastAsiaTheme="minorEastAsia" w:cstheme="minorEastAsia"/>
                <w:color w:val="auto"/>
                <w:szCs w:val="21"/>
              </w:rPr>
              <w:t>：以上标明“必须提供”材料复印件的，必须加盖供应商公章，否则响应文件按无效响应处理。</w:t>
            </w:r>
          </w:p>
        </w:tc>
      </w:tr>
      <w:tr w14:paraId="78C38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jc w:val="center"/>
        </w:trPr>
        <w:tc>
          <w:tcPr>
            <w:tcW w:w="991" w:type="dxa"/>
            <w:vMerge w:val="continue"/>
            <w:vAlign w:val="center"/>
          </w:tcPr>
          <w:p w14:paraId="34A3AE4D">
            <w:pPr>
              <w:spacing w:line="500" w:lineRule="exact"/>
              <w:jc w:val="center"/>
              <w:rPr>
                <w:rFonts w:asciiTheme="minorEastAsia" w:hAnsiTheme="minorEastAsia" w:eastAsiaTheme="minorEastAsia" w:cstheme="minorEastAsia"/>
                <w:color w:val="auto"/>
                <w:szCs w:val="21"/>
              </w:rPr>
            </w:pPr>
          </w:p>
        </w:tc>
        <w:tc>
          <w:tcPr>
            <w:tcW w:w="8181" w:type="dxa"/>
            <w:vAlign w:val="center"/>
          </w:tcPr>
          <w:p w14:paraId="454645D9">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Cs w:val="21"/>
              </w:rPr>
              <w:t>商务技术文件</w:t>
            </w:r>
          </w:p>
          <w:p w14:paraId="2E0D1F47">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法定代表人身份证明及法定代表人有效身份证正反面复印件（格式后附）；（</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07DADDDF">
            <w:pPr>
              <w:spacing w:line="500" w:lineRule="exac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2</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授权委托书及委托代理人有效身份证正反面复印件（格式后附）；（</w:t>
            </w:r>
            <w:r>
              <w:rPr>
                <w:rFonts w:hint="eastAsia" w:asciiTheme="minorEastAsia" w:hAnsiTheme="minorEastAsia" w:eastAsiaTheme="minorEastAsia" w:cstheme="minorEastAsia"/>
                <w:b/>
                <w:color w:val="auto"/>
                <w:szCs w:val="21"/>
              </w:rPr>
              <w:t>委托时必须提供，否则响应文件按无效响应处理</w:t>
            </w:r>
            <w:r>
              <w:rPr>
                <w:rFonts w:hint="eastAsia" w:asciiTheme="minorEastAsia" w:hAnsiTheme="minorEastAsia" w:eastAsiaTheme="minorEastAsia" w:cstheme="minorEastAsia"/>
                <w:color w:val="auto"/>
                <w:szCs w:val="21"/>
              </w:rPr>
              <w:t>）</w:t>
            </w:r>
          </w:p>
          <w:p w14:paraId="306B0B75">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谈判保证金提交凭证；（</w:t>
            </w:r>
            <w:r>
              <w:rPr>
                <w:rFonts w:hint="eastAsia" w:asciiTheme="minorEastAsia" w:hAnsiTheme="minorEastAsia" w:eastAsiaTheme="minorEastAsia" w:cstheme="minorEastAsia"/>
                <w:b/>
                <w:bCs/>
                <w:color w:val="auto"/>
                <w:szCs w:val="21"/>
              </w:rPr>
              <w:t>如要求提交谈判保证金的则必须提供</w:t>
            </w:r>
            <w:r>
              <w:rPr>
                <w:rFonts w:hint="eastAsia" w:asciiTheme="minorEastAsia" w:hAnsiTheme="minorEastAsia" w:eastAsiaTheme="minorEastAsia" w:cstheme="minorEastAsia"/>
                <w:b/>
                <w:color w:val="auto"/>
                <w:szCs w:val="21"/>
              </w:rPr>
              <w:t>，否则响应文件按无效响应处理</w:t>
            </w:r>
            <w:r>
              <w:rPr>
                <w:rFonts w:hint="eastAsia" w:asciiTheme="minorEastAsia" w:hAnsiTheme="minorEastAsia" w:eastAsiaTheme="minorEastAsia" w:cstheme="minorEastAsia"/>
                <w:color w:val="auto"/>
                <w:szCs w:val="21"/>
              </w:rPr>
              <w:t>）</w:t>
            </w:r>
          </w:p>
          <w:p w14:paraId="00E7FC95">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商务要求偏离表（格式后附）；（</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176CDB88">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售后服务承诺（格式自拟）；（</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7BFE8AF7">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6</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货物配置清单（均不含报价）（格式后附）；（</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7D0DC59A">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技术偏离表（格式后附）；（</w:t>
            </w:r>
            <w:r>
              <w:rPr>
                <w:rFonts w:hint="eastAsia" w:asciiTheme="minorEastAsia" w:hAnsiTheme="minorEastAsia" w:eastAsiaTheme="minorEastAsia" w:cstheme="minorEastAsia"/>
                <w:b/>
                <w:color w:val="auto"/>
                <w:szCs w:val="21"/>
              </w:rPr>
              <w:t>必须提供，否则响应文件按无效响应处理</w:t>
            </w:r>
            <w:r>
              <w:rPr>
                <w:rFonts w:hint="eastAsia" w:asciiTheme="minorEastAsia" w:hAnsiTheme="minorEastAsia" w:eastAsiaTheme="minorEastAsia" w:cstheme="minorEastAsia"/>
                <w:color w:val="auto"/>
                <w:szCs w:val="21"/>
              </w:rPr>
              <w:t>）</w:t>
            </w:r>
          </w:p>
          <w:p w14:paraId="0425ECDF">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8</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对应采购需求的技术要求、商务要求提供的其他文件资料（格式自拟）；</w:t>
            </w:r>
          </w:p>
          <w:p w14:paraId="35C4F287">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9</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供应商认为需要提供的其他有关资料。</w:t>
            </w:r>
          </w:p>
          <w:p w14:paraId="07D50FCB">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bCs/>
                <w:color w:val="auto"/>
                <w:szCs w:val="21"/>
              </w:rPr>
              <w:t>【注】</w:t>
            </w:r>
            <w:r>
              <w:rPr>
                <w:rFonts w:hint="eastAsia" w:asciiTheme="minorEastAsia" w:hAnsiTheme="minorEastAsia" w:eastAsiaTheme="minorEastAsia" w:cstheme="minorEastAsia"/>
                <w:color w:val="auto"/>
                <w:szCs w:val="21"/>
              </w:rPr>
              <w:t>1.法定代表人授权委托书必须由法定代表人及委托代理人签字，并加盖供应商公章，否则做无效响应处理。</w:t>
            </w:r>
          </w:p>
          <w:p w14:paraId="448F51D7">
            <w:pPr>
              <w:spacing w:line="500" w:lineRule="exac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2.以上标明“必须提供”材料复印件的，必须加盖供应商公章，否则响应文件按无效响应处理。</w:t>
            </w:r>
          </w:p>
        </w:tc>
      </w:tr>
      <w:tr w14:paraId="22F19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Align w:val="center"/>
          </w:tcPr>
          <w:p w14:paraId="525EC726">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15.2</w:t>
            </w:r>
          </w:p>
        </w:tc>
        <w:tc>
          <w:tcPr>
            <w:tcW w:w="8181" w:type="dxa"/>
            <w:vAlign w:val="center"/>
          </w:tcPr>
          <w:p w14:paraId="2DD730B0">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竞争性谈判报价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税费因政策等原因发生变化的，由成交供应商承担。合同履行过程中，采购人不再支付合同以外的其他费用。（采购需求另有约定的，从其约定）</w:t>
            </w:r>
          </w:p>
        </w:tc>
      </w:tr>
      <w:tr w14:paraId="6C1EB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1DF0C01C">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16.2</w:t>
            </w:r>
          </w:p>
        </w:tc>
        <w:tc>
          <w:tcPr>
            <w:tcW w:w="8181" w:type="dxa"/>
            <w:vAlign w:val="center"/>
          </w:tcPr>
          <w:p w14:paraId="29C44A1E">
            <w:pPr>
              <w:pStyle w:val="8"/>
              <w:widowControl w:val="0"/>
              <w:tabs>
                <w:tab w:val="clear" w:pos="454"/>
              </w:tabs>
              <w:snapToGrid w:val="0"/>
              <w:spacing w:after="0" w:afterLines="0" w:line="500" w:lineRule="exact"/>
              <w:ind w:left="283" w:hanging="283" w:hangingChars="135"/>
              <w:jc w:val="both"/>
              <w:rPr>
                <w:rFonts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kern w:val="2"/>
                <w:sz w:val="21"/>
                <w:szCs w:val="21"/>
              </w:rPr>
              <w:t xml:space="preserve">竞争性谈判有效期：首次响应文件提交截止之日起60天内。 </w:t>
            </w:r>
          </w:p>
        </w:tc>
      </w:tr>
      <w:tr w14:paraId="677EC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4" w:hRule="atLeast"/>
          <w:jc w:val="center"/>
        </w:trPr>
        <w:tc>
          <w:tcPr>
            <w:tcW w:w="991" w:type="dxa"/>
            <w:vAlign w:val="center"/>
          </w:tcPr>
          <w:p w14:paraId="2BB1A95D">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17.1</w:t>
            </w:r>
          </w:p>
        </w:tc>
        <w:tc>
          <w:tcPr>
            <w:tcW w:w="8181" w:type="dxa"/>
            <w:vAlign w:val="center"/>
          </w:tcPr>
          <w:p w14:paraId="649B115D">
            <w:pPr>
              <w:autoSpaceDE w:val="0"/>
              <w:autoSpaceDN w:val="0"/>
              <w:snapToGrid w:val="0"/>
              <w:spacing w:line="500" w:lineRule="exact"/>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w:char="00A8"/>
            </w:r>
            <w:r>
              <w:rPr>
                <w:rFonts w:hint="eastAsia" w:asciiTheme="minorEastAsia" w:hAnsiTheme="minorEastAsia" w:eastAsiaTheme="minorEastAsia" w:cstheme="minorEastAsia"/>
                <w:color w:val="auto"/>
                <w:szCs w:val="21"/>
              </w:rPr>
              <w:t>本项目不收取谈判保证金。</w:t>
            </w:r>
          </w:p>
          <w:p w14:paraId="72C837FD">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w:char="00FE"/>
            </w:r>
            <w:r>
              <w:rPr>
                <w:rFonts w:hint="eastAsia" w:asciiTheme="minorEastAsia" w:hAnsiTheme="minorEastAsia" w:eastAsiaTheme="minorEastAsia" w:cstheme="minorEastAsia"/>
                <w:color w:val="auto"/>
                <w:szCs w:val="21"/>
              </w:rPr>
              <w:t>本项目收取谈判保证金。</w:t>
            </w:r>
            <w:bookmarkStart w:id="16" w:name="_Toc8224"/>
          </w:p>
          <w:p w14:paraId="1E4C7701">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谈判保证金（人民币）：详见竞争性谈判公告。</w:t>
            </w:r>
            <w:bookmarkEnd w:id="16"/>
          </w:p>
          <w:p w14:paraId="00F5D7FA">
            <w:pPr>
              <w:spacing w:line="500" w:lineRule="exact"/>
              <w:rPr>
                <w:rFonts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保证金专用银行账号：</w:t>
            </w:r>
          </w:p>
          <w:p w14:paraId="4A808D10">
            <w:pPr>
              <w:spacing w:line="500" w:lineRule="exact"/>
              <w:rPr>
                <w:rFonts w:asciiTheme="minorEastAsia" w:hAnsiTheme="minorEastAsia" w:eastAsiaTheme="minorEastAsia" w:cstheme="minorEastAsia"/>
                <w:b/>
                <w:bCs/>
                <w:color w:val="auto"/>
                <w:kern w:val="0"/>
                <w:szCs w:val="21"/>
              </w:rPr>
            </w:pPr>
            <w:r>
              <w:rPr>
                <w:rFonts w:hint="eastAsia" w:asciiTheme="minorEastAsia" w:hAnsiTheme="minorEastAsia" w:eastAsiaTheme="minorEastAsia" w:cstheme="minorEastAsia"/>
                <w:b/>
                <w:bCs/>
                <w:color w:val="auto"/>
                <w:szCs w:val="21"/>
              </w:rPr>
              <w:t>开户名称：广西同泽工程项目管理股份有限公司</w:t>
            </w:r>
          </w:p>
          <w:p w14:paraId="3A82290F">
            <w:pPr>
              <w:snapToGrid w:val="0"/>
              <w:spacing w:line="500" w:lineRule="exact"/>
              <w:rPr>
                <w:rFonts w:asciiTheme="minorEastAsia" w:hAnsiTheme="minorEastAsia" w:eastAsiaTheme="minorEastAsia" w:cstheme="minorEastAsia"/>
                <w:b/>
                <w:bCs/>
                <w:color w:val="auto"/>
                <w:kern w:val="0"/>
                <w:szCs w:val="21"/>
              </w:rPr>
            </w:pPr>
            <w:r>
              <w:rPr>
                <w:rFonts w:hint="eastAsia" w:asciiTheme="minorEastAsia" w:hAnsiTheme="minorEastAsia" w:eastAsiaTheme="minorEastAsia" w:cstheme="minorEastAsia"/>
                <w:b/>
                <w:bCs/>
                <w:color w:val="auto"/>
                <w:kern w:val="0"/>
                <w:szCs w:val="21"/>
              </w:rPr>
              <w:t>开户银行：建行广西区分行营业部本级营业厅（网银支付可选建行广西区分行营业部本级营业厅）</w:t>
            </w:r>
          </w:p>
          <w:p w14:paraId="71D615B1">
            <w:pPr>
              <w:snapToGrid w:val="0"/>
              <w:spacing w:line="500" w:lineRule="exact"/>
              <w:rPr>
                <w:rFonts w:asciiTheme="minorEastAsia" w:hAnsiTheme="minorEastAsia" w:eastAsiaTheme="minorEastAsia" w:cstheme="minorEastAsia"/>
                <w:b/>
                <w:bCs/>
                <w:color w:val="auto"/>
                <w:kern w:val="0"/>
                <w:szCs w:val="21"/>
              </w:rPr>
            </w:pPr>
            <w:r>
              <w:rPr>
                <w:rFonts w:hint="eastAsia" w:asciiTheme="minorEastAsia" w:hAnsiTheme="minorEastAsia" w:eastAsiaTheme="minorEastAsia" w:cstheme="minorEastAsia"/>
                <w:b/>
                <w:bCs/>
                <w:color w:val="auto"/>
                <w:kern w:val="0"/>
                <w:szCs w:val="21"/>
              </w:rPr>
              <w:t>银行账号：45001594151050716039</w:t>
            </w:r>
          </w:p>
          <w:p w14:paraId="35E9534F">
            <w:pPr>
              <w:snapToGrid w:val="0"/>
              <w:spacing w:line="50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谈判保证金的交纳方式：</w:t>
            </w:r>
            <w:r>
              <w:rPr>
                <w:rFonts w:hint="eastAsia" w:asciiTheme="minorEastAsia" w:hAnsiTheme="minorEastAsia" w:eastAsiaTheme="minorEastAsia" w:cstheme="minorEastAsia"/>
                <w:color w:val="auto"/>
                <w:szCs w:val="21"/>
              </w:rPr>
              <w:t>银行转账、支票、汇票、本票、保函等非现金方式</w:t>
            </w:r>
            <w:r>
              <w:rPr>
                <w:rFonts w:hint="eastAsia" w:asciiTheme="minorEastAsia" w:hAnsiTheme="minorEastAsia" w:eastAsiaTheme="minorEastAsia" w:cstheme="minorEastAsia"/>
                <w:color w:val="auto"/>
                <w:kern w:val="0"/>
                <w:szCs w:val="21"/>
              </w:rPr>
              <w:t>，禁止采用现钞方式。采用银行转账方式的，在响应文件提交截止时间前交至指定账户并且到账；采用支票、汇票、本票或者保函方式的，在响应文件提交截止时间前，供应商必须提交支票、汇票、本票或者保函原件。否则视为无效谈判保证金。</w:t>
            </w:r>
          </w:p>
          <w:p w14:paraId="64F99885">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相关要求：</w:t>
            </w:r>
          </w:p>
          <w:p w14:paraId="32E53E23">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1.谈判保证金采用银行转账交纳方式的，在响应文件提交截止时间前交至指定账户并且到账，供应商应将银行转账底单的复印件作为谈判保证金提交凭证，放置于报价商务技术文件中，</w:t>
            </w:r>
            <w:r>
              <w:rPr>
                <w:rFonts w:hint="eastAsia" w:asciiTheme="minorEastAsia" w:hAnsiTheme="minorEastAsia" w:eastAsiaTheme="minorEastAsia" w:cstheme="minorEastAsia"/>
                <w:b/>
                <w:color w:val="auto"/>
                <w:szCs w:val="21"/>
              </w:rPr>
              <w:t>否则响应文件按无效响应处理</w:t>
            </w:r>
            <w:r>
              <w:rPr>
                <w:rFonts w:hint="eastAsia" w:asciiTheme="minorEastAsia" w:hAnsiTheme="minorEastAsia" w:eastAsiaTheme="minorEastAsia" w:cstheme="minorEastAsia"/>
                <w:color w:val="auto"/>
                <w:szCs w:val="21"/>
              </w:rPr>
              <w:t>。</w:t>
            </w:r>
          </w:p>
          <w:p w14:paraId="70F71B7B">
            <w:pPr>
              <w:snapToGrid w:val="0"/>
              <w:spacing w:line="500" w:lineRule="exac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2.谈判保证金采用</w:t>
            </w:r>
            <w:r>
              <w:rPr>
                <w:rFonts w:hint="eastAsia" w:asciiTheme="minorEastAsia" w:hAnsiTheme="minorEastAsia" w:eastAsiaTheme="minorEastAsia" w:cstheme="minorEastAsia"/>
                <w:color w:val="auto"/>
                <w:kern w:val="0"/>
                <w:szCs w:val="21"/>
              </w:rPr>
              <w:t>支票、汇票、本票或者</w:t>
            </w:r>
            <w:r>
              <w:rPr>
                <w:rFonts w:hint="eastAsia" w:asciiTheme="minorEastAsia" w:hAnsiTheme="minorEastAsia" w:eastAsiaTheme="minorEastAsia" w:cstheme="minorEastAsia"/>
                <w:color w:val="auto"/>
                <w:szCs w:val="21"/>
              </w:rPr>
              <w:t>保函交纳方式的，供应商应将</w:t>
            </w:r>
            <w:r>
              <w:rPr>
                <w:rFonts w:hint="eastAsia" w:asciiTheme="minorEastAsia" w:hAnsiTheme="minorEastAsia" w:eastAsiaTheme="minorEastAsia" w:cstheme="minorEastAsia"/>
                <w:color w:val="auto"/>
                <w:kern w:val="0"/>
                <w:szCs w:val="21"/>
              </w:rPr>
              <w:t>支票、汇票、本票或者</w:t>
            </w:r>
            <w:r>
              <w:rPr>
                <w:rFonts w:hint="eastAsia" w:asciiTheme="minorEastAsia" w:hAnsiTheme="minorEastAsia" w:eastAsiaTheme="minorEastAsia" w:cstheme="minorEastAsia"/>
                <w:color w:val="auto"/>
                <w:szCs w:val="21"/>
              </w:rPr>
              <w:t>保函的复印件作为谈判保证金提交凭证，放置于报价商务技术文件中，</w:t>
            </w:r>
            <w:r>
              <w:rPr>
                <w:rFonts w:hint="eastAsia" w:asciiTheme="minorEastAsia" w:hAnsiTheme="minorEastAsia" w:eastAsiaTheme="minorEastAsia" w:cstheme="minorEastAsia"/>
                <w:b/>
                <w:color w:val="auto"/>
                <w:szCs w:val="21"/>
              </w:rPr>
              <w:t>否则响应文件按无效响应处理</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b/>
                <w:color w:val="auto"/>
                <w:szCs w:val="21"/>
              </w:rPr>
              <w:t>供应商必须在首次响应文件提交截止时间前将</w:t>
            </w:r>
            <w:r>
              <w:rPr>
                <w:rFonts w:hint="eastAsia" w:asciiTheme="minorEastAsia" w:hAnsiTheme="minorEastAsia" w:eastAsiaTheme="minorEastAsia" w:cstheme="minorEastAsia"/>
                <w:color w:val="auto"/>
                <w:kern w:val="0"/>
                <w:szCs w:val="21"/>
              </w:rPr>
              <w:t>支票、汇票、本票或者</w:t>
            </w:r>
            <w:r>
              <w:rPr>
                <w:rFonts w:hint="eastAsia" w:asciiTheme="minorEastAsia" w:hAnsiTheme="minorEastAsia" w:eastAsiaTheme="minorEastAsia" w:cstheme="minorEastAsia"/>
                <w:b/>
                <w:color w:val="auto"/>
                <w:szCs w:val="21"/>
              </w:rPr>
              <w:t>保函原件提交给采购代理机构，由采购代理机构向供应商出具回执，并妥善保管。</w:t>
            </w:r>
          </w:p>
          <w:p w14:paraId="78E19C93">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3.供应商为联合体的，可以由联合体中的一方或者多方共同交纳谈判保证金，其交纳的保证金对联合体各方均具有约束力。</w:t>
            </w:r>
          </w:p>
          <w:p w14:paraId="77E37EF2">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Cs w:val="21"/>
              </w:rPr>
              <w:t>【备注】</w:t>
            </w:r>
            <w:r>
              <w:rPr>
                <w:rFonts w:hint="eastAsia" w:asciiTheme="minorEastAsia" w:hAnsiTheme="minorEastAsia" w:eastAsiaTheme="minorEastAsia" w:cstheme="minorEastAsia"/>
                <w:color w:val="auto"/>
                <w:szCs w:val="21"/>
              </w:rPr>
              <w:t>1.首次响应文件提交截止时间后提交的，或者未足额交纳的，或者保函额度不足的，视为无效谈判保证金。</w:t>
            </w:r>
          </w:p>
          <w:p w14:paraId="5686C968">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2.供应商采用现钞方式或者从个人账户（自然人参与竞争性谈判除外）转出的谈判保证金，视为无效谈判保证金。</w:t>
            </w:r>
          </w:p>
          <w:p w14:paraId="5BA50B61">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3.保函有效期短于竞争性谈判有效期的，视为无效谈判保证金。</w:t>
            </w:r>
          </w:p>
          <w:p w14:paraId="0A322C23">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4.谈判保证金采用保函为有条件保函的，视为无效谈判保证金。</w:t>
            </w:r>
          </w:p>
        </w:tc>
      </w:tr>
      <w:tr w14:paraId="0C451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65D744D7">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18.2</w:t>
            </w:r>
          </w:p>
        </w:tc>
        <w:tc>
          <w:tcPr>
            <w:tcW w:w="8181" w:type="dxa"/>
            <w:vAlign w:val="center"/>
          </w:tcPr>
          <w:p w14:paraId="304BEF48">
            <w:pPr>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响应文件应按资格证明文件、报价商务技术文件分别编制，</w:t>
            </w:r>
            <w:r>
              <w:rPr>
                <w:rFonts w:hint="eastAsia" w:asciiTheme="minorEastAsia" w:hAnsiTheme="minorEastAsia" w:eastAsiaTheme="minorEastAsia" w:cstheme="minorEastAsia"/>
                <w:color w:val="auto"/>
                <w:szCs w:val="21"/>
                <w:lang w:bidi="ar"/>
              </w:rPr>
              <w:t>并按广西政府采购云平台的要求编制、加密、上传。</w:t>
            </w:r>
          </w:p>
        </w:tc>
      </w:tr>
      <w:tr w14:paraId="17EF8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4E00746E">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20.1</w:t>
            </w:r>
          </w:p>
        </w:tc>
        <w:tc>
          <w:tcPr>
            <w:tcW w:w="8181" w:type="dxa"/>
            <w:vAlign w:val="center"/>
          </w:tcPr>
          <w:p w14:paraId="2D2BC37C">
            <w:pPr>
              <w:spacing w:line="500" w:lineRule="exact"/>
              <w:contextualSpacing/>
              <w:rPr>
                <w:rFonts w:asciiTheme="minorEastAsia" w:hAnsiTheme="minorEastAsia" w:eastAsiaTheme="minorEastAsia" w:cstheme="minorEastAsia"/>
                <w:color w:val="auto"/>
                <w:szCs w:val="21"/>
                <w:u w:val="single"/>
              </w:rPr>
            </w:pPr>
            <w:r>
              <w:rPr>
                <w:rFonts w:hint="eastAsia" w:asciiTheme="minorEastAsia" w:hAnsiTheme="minorEastAsia" w:eastAsiaTheme="minorEastAsia" w:cstheme="minorEastAsia"/>
                <w:color w:val="auto"/>
                <w:szCs w:val="21"/>
              </w:rPr>
              <w:t>首次响应文件提交截止时间：详见竞争性谈判公告。</w:t>
            </w:r>
          </w:p>
          <w:p w14:paraId="3A1F8DFC">
            <w:pPr>
              <w:spacing w:line="500" w:lineRule="exact"/>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首次响应文件提交地点：详见竞争性谈判公告。</w:t>
            </w:r>
          </w:p>
        </w:tc>
      </w:tr>
      <w:tr w14:paraId="24393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50886D6E">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24.1</w:t>
            </w:r>
          </w:p>
        </w:tc>
        <w:tc>
          <w:tcPr>
            <w:tcW w:w="8181" w:type="dxa"/>
            <w:vAlign w:val="center"/>
          </w:tcPr>
          <w:p w14:paraId="67EB06B6">
            <w:pPr>
              <w:snapToGrid w:val="0"/>
              <w:spacing w:line="500" w:lineRule="exact"/>
              <w:rPr>
                <w:rFonts w:asciiTheme="minorEastAsia" w:hAnsiTheme="minorEastAsia" w:eastAsiaTheme="minorEastAsia" w:cstheme="minorEastAsia"/>
                <w:color w:val="auto"/>
                <w:szCs w:val="21"/>
                <w:u w:val="single"/>
              </w:rPr>
            </w:pPr>
            <w:r>
              <w:rPr>
                <w:rFonts w:hint="eastAsia" w:asciiTheme="minorEastAsia" w:hAnsiTheme="minorEastAsia" w:eastAsiaTheme="minorEastAsia" w:cstheme="minorEastAsia"/>
                <w:color w:val="auto"/>
                <w:szCs w:val="21"/>
              </w:rPr>
              <w:t>谈判小组的人数：3人。</w:t>
            </w:r>
          </w:p>
        </w:tc>
      </w:tr>
      <w:tr w14:paraId="32C6B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991" w:type="dxa"/>
            <w:vAlign w:val="center"/>
          </w:tcPr>
          <w:p w14:paraId="7CEE876D">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25.2</w:t>
            </w:r>
          </w:p>
        </w:tc>
        <w:tc>
          <w:tcPr>
            <w:tcW w:w="8181" w:type="dxa"/>
            <w:vAlign w:val="center"/>
          </w:tcPr>
          <w:p w14:paraId="2894D004">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采购代理机构将依托电子交易平台发起开始解密指令，</w:t>
            </w:r>
            <w:r>
              <w:rPr>
                <w:rFonts w:hint="eastAsia" w:asciiTheme="minorEastAsia" w:hAnsiTheme="minorEastAsia" w:eastAsiaTheme="minorEastAsia" w:cstheme="minorEastAsia"/>
                <w:b/>
                <w:color w:val="auto"/>
                <w:szCs w:val="21"/>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Theme="minorEastAsia" w:hAnsiTheme="minorEastAsia" w:eastAsiaTheme="minorEastAsia" w:cstheme="minorEastAsia"/>
                <w:b/>
                <w:bCs/>
                <w:color w:val="auto"/>
                <w:szCs w:val="21"/>
              </w:rPr>
              <w:t>响应文件未按时解密的，视为响应文件无效。</w:t>
            </w:r>
          </w:p>
        </w:tc>
      </w:tr>
      <w:tr w14:paraId="4671C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Merge w:val="restart"/>
            <w:vAlign w:val="center"/>
          </w:tcPr>
          <w:p w14:paraId="27B29FF9">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26</w:t>
            </w:r>
          </w:p>
        </w:tc>
        <w:tc>
          <w:tcPr>
            <w:tcW w:w="8181" w:type="dxa"/>
            <w:vAlign w:val="center"/>
          </w:tcPr>
          <w:p w14:paraId="2C0615CB">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商务要求评审中允许负偏离的条款数为</w:t>
            </w:r>
            <w:r>
              <w:rPr>
                <w:rFonts w:hint="eastAsia" w:asciiTheme="minorEastAsia" w:hAnsiTheme="minorEastAsia" w:eastAsiaTheme="minorEastAsia" w:cstheme="minorEastAsia"/>
                <w:color w:val="auto"/>
                <w:szCs w:val="21"/>
                <w:u w:val="single"/>
              </w:rPr>
              <w:t xml:space="preserve">  0  </w:t>
            </w:r>
            <w:r>
              <w:rPr>
                <w:rFonts w:hint="eastAsia" w:asciiTheme="minorEastAsia" w:hAnsiTheme="minorEastAsia" w:eastAsiaTheme="minorEastAsia" w:cstheme="minorEastAsia"/>
                <w:color w:val="auto"/>
                <w:szCs w:val="21"/>
              </w:rPr>
              <w:t>项。</w:t>
            </w:r>
          </w:p>
          <w:p w14:paraId="490B1D8F">
            <w:pPr>
              <w:snapToGrid w:val="0"/>
              <w:spacing w:line="500" w:lineRule="exact"/>
              <w:rPr>
                <w:rFonts w:asciiTheme="minorEastAsia" w:hAnsiTheme="minorEastAsia" w:eastAsiaTheme="minorEastAsia" w:cstheme="minorEastAsia"/>
                <w:color w:val="auto"/>
                <w:szCs w:val="21"/>
              </w:rPr>
            </w:pPr>
            <w:bookmarkStart w:id="17" w:name="负偏离的条款数"/>
            <w:r>
              <w:rPr>
                <w:rFonts w:hint="eastAsia" w:asciiTheme="minorEastAsia" w:hAnsiTheme="minorEastAsia" w:eastAsiaTheme="minorEastAsia" w:cstheme="minorEastAsia"/>
                <w:color w:val="auto"/>
                <w:szCs w:val="21"/>
                <w:highlight w:val="none"/>
              </w:rPr>
              <w:t>技术要求评审中允许负偏离的条款数为</w:t>
            </w:r>
            <w:r>
              <w:rPr>
                <w:rFonts w:hint="eastAsia" w:asciiTheme="minorEastAsia" w:hAnsiTheme="minorEastAsia" w:eastAsiaTheme="minorEastAsia" w:cstheme="minorEastAsia"/>
                <w:color w:val="auto"/>
                <w:szCs w:val="21"/>
                <w:highlight w:val="none"/>
                <w:u w:val="single"/>
              </w:rPr>
              <w:t xml:space="preserve">  2  </w:t>
            </w:r>
            <w:r>
              <w:rPr>
                <w:rFonts w:hint="eastAsia" w:asciiTheme="minorEastAsia" w:hAnsiTheme="minorEastAsia" w:eastAsiaTheme="minorEastAsia" w:cstheme="minorEastAsia"/>
                <w:color w:val="auto"/>
                <w:szCs w:val="21"/>
                <w:highlight w:val="none"/>
              </w:rPr>
              <w:t>项。</w:t>
            </w:r>
            <w:bookmarkEnd w:id="17"/>
          </w:p>
        </w:tc>
      </w:tr>
      <w:tr w14:paraId="787B3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Merge w:val="continue"/>
            <w:vAlign w:val="center"/>
          </w:tcPr>
          <w:p w14:paraId="622DC2FD">
            <w:pPr>
              <w:spacing w:line="500" w:lineRule="exact"/>
              <w:jc w:val="center"/>
              <w:rPr>
                <w:rFonts w:asciiTheme="minorEastAsia" w:hAnsiTheme="minorEastAsia" w:eastAsiaTheme="minorEastAsia" w:cstheme="minorEastAsia"/>
                <w:color w:val="auto"/>
                <w:szCs w:val="21"/>
              </w:rPr>
            </w:pPr>
          </w:p>
        </w:tc>
        <w:tc>
          <w:tcPr>
            <w:tcW w:w="8181" w:type="dxa"/>
            <w:vAlign w:val="center"/>
          </w:tcPr>
          <w:p w14:paraId="5D8B841D">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谈判的顺序：按“广西政府采购云平台”系统的编号顺序。</w:t>
            </w:r>
          </w:p>
          <w:p w14:paraId="1A52A5B4">
            <w:pPr>
              <w:snapToGrid w:val="0"/>
              <w:spacing w:line="500" w:lineRule="exac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符合谈判资格的供应商必须在接到谈判通知后规定时间内参加谈判，未在规定时间内参加谈判的视同放弃参加谈判权利，其响应文件按无效响应处理。</w:t>
            </w:r>
          </w:p>
          <w:p w14:paraId="20C2F9E1">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Cs w:val="21"/>
              </w:rPr>
              <w:t>参与谈判前，供应商法定代表人或者委托代理人必须向谈判小组出示本人有效证件原件[有效证件可以是身份证（含临时身份证明）或者护照的其中一项。</w:t>
            </w:r>
          </w:p>
        </w:tc>
      </w:tr>
      <w:tr w14:paraId="5C970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Merge w:val="continue"/>
            <w:vAlign w:val="center"/>
          </w:tcPr>
          <w:p w14:paraId="223A9DC6">
            <w:pPr>
              <w:spacing w:line="500" w:lineRule="exact"/>
              <w:jc w:val="center"/>
              <w:rPr>
                <w:rFonts w:asciiTheme="minorEastAsia" w:hAnsiTheme="minorEastAsia" w:eastAsiaTheme="minorEastAsia" w:cstheme="minorEastAsia"/>
                <w:color w:val="auto"/>
                <w:szCs w:val="21"/>
              </w:rPr>
            </w:pPr>
          </w:p>
        </w:tc>
        <w:tc>
          <w:tcPr>
            <w:tcW w:w="8181" w:type="dxa"/>
            <w:vAlign w:val="center"/>
          </w:tcPr>
          <w:p w14:paraId="5B50121B">
            <w:pPr>
              <w:spacing w:line="500" w:lineRule="exact"/>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评审价相同时，按照最后报价由低到高顺序依次推荐；最后报价相同的，按以下原则确定成交候选人的顺序：</w:t>
            </w:r>
          </w:p>
          <w:p w14:paraId="119C3E3E">
            <w:pPr>
              <w:spacing w:line="500" w:lineRule="exact"/>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依次按带“▲”的实质性要求正偏离项数多的优先、均无正偏离或者正偏离项数一致时负偏离项数少的优先、质量保证期长优先、交货期短优先、故障响应时间短优先、节能环保产品累计金额多的优先的顺序排列。</w:t>
            </w:r>
          </w:p>
          <w:p w14:paraId="1DD97819">
            <w:pPr>
              <w:spacing w:line="500" w:lineRule="exact"/>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□由谈判小组推荐代表随机抽取。</w:t>
            </w:r>
          </w:p>
        </w:tc>
      </w:tr>
      <w:tr w14:paraId="422F5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0DAB38E6">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28.1</w:t>
            </w:r>
          </w:p>
        </w:tc>
        <w:tc>
          <w:tcPr>
            <w:tcW w:w="8181" w:type="dxa"/>
            <w:vAlign w:val="center"/>
          </w:tcPr>
          <w:p w14:paraId="63B8BEC7">
            <w:pPr>
              <w:autoSpaceDE w:val="0"/>
              <w:autoSpaceDN w:val="0"/>
              <w:snapToGrid w:val="0"/>
              <w:spacing w:line="500" w:lineRule="exact"/>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w:char="00A8"/>
            </w:r>
            <w:r>
              <w:rPr>
                <w:rFonts w:hint="eastAsia" w:asciiTheme="minorEastAsia" w:hAnsiTheme="minorEastAsia" w:eastAsiaTheme="minorEastAsia" w:cstheme="minorEastAsia"/>
                <w:color w:val="auto"/>
                <w:szCs w:val="21"/>
              </w:rPr>
              <w:t>本项目不收取履约保证金。</w:t>
            </w:r>
          </w:p>
          <w:p w14:paraId="456D1DB8">
            <w:pPr>
              <w:pStyle w:val="9"/>
              <w:spacing w:line="360" w:lineRule="auto"/>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w:char="00FE"/>
            </w:r>
            <w:r>
              <w:rPr>
                <w:rFonts w:hint="eastAsia" w:asciiTheme="minorEastAsia" w:hAnsiTheme="minorEastAsia" w:eastAsiaTheme="minorEastAsia" w:cstheme="minorEastAsia"/>
                <w:color w:val="auto"/>
                <w:szCs w:val="21"/>
              </w:rPr>
              <w:t>本项目收取履约保证金：详见商务条款。</w:t>
            </w:r>
          </w:p>
          <w:p w14:paraId="0DBBE1B2">
            <w:pPr>
              <w:autoSpaceDE w:val="0"/>
              <w:autoSpaceDN w:val="0"/>
              <w:snapToGrid w:val="0"/>
              <w:spacing w:line="360" w:lineRule="auto"/>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履约保证金递交方式：详见商务条款。</w:t>
            </w:r>
          </w:p>
          <w:p w14:paraId="3B850126">
            <w:pPr>
              <w:autoSpaceDE w:val="0"/>
              <w:autoSpaceDN w:val="0"/>
              <w:snapToGrid w:val="0"/>
              <w:spacing w:line="360" w:lineRule="auto"/>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履约保证金退付方式、时间及条件详见商务条款。</w:t>
            </w:r>
          </w:p>
          <w:p w14:paraId="0762EF14">
            <w:pPr>
              <w:autoSpaceDE w:val="0"/>
              <w:autoSpaceDN w:val="0"/>
              <w:snapToGrid w:val="0"/>
              <w:spacing w:line="360" w:lineRule="auto"/>
              <w:textAlignment w:val="bottom"/>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【备注】</w:t>
            </w:r>
          </w:p>
          <w:p w14:paraId="5B5A8924">
            <w:pPr>
              <w:autoSpaceDE w:val="0"/>
              <w:autoSpaceDN w:val="0"/>
              <w:snapToGrid w:val="0"/>
              <w:spacing w:line="360" w:lineRule="auto"/>
              <w:textAlignment w:val="bottom"/>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1.根据《广西壮族自治区财政厅关于持续优化政府采购营商环境推动高质量发展的通知》（桂财采〔2024〕55号），采购文件要求中标人或者成交供应商提交履约保证金的，履约保证金数额不得超过政府采购合同金额的5%，对中小企业收取的履约保证金数额不得超过政府采购合同金额的2%。</w:t>
            </w:r>
          </w:p>
          <w:p w14:paraId="32355684">
            <w:pPr>
              <w:autoSpaceDE w:val="0"/>
              <w:autoSpaceDN w:val="0"/>
              <w:snapToGrid w:val="0"/>
              <w:spacing w:line="360" w:lineRule="auto"/>
              <w:textAlignment w:val="bottom"/>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2.履约保证金必须足额缴纳，或出具的保函额度必须足额且保函有效期不能低于合同履行期限（即签订采购合同之日起至履行完合同约定的权利及义务之日止），否则视为无效履约保证金。</w:t>
            </w:r>
          </w:p>
          <w:p w14:paraId="29AF30CE">
            <w:pPr>
              <w:autoSpaceDE w:val="0"/>
              <w:autoSpaceDN w:val="0"/>
              <w:snapToGrid w:val="0"/>
              <w:spacing w:line="360" w:lineRule="auto"/>
              <w:textAlignment w:val="bottom"/>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3.采用保函的，必须为无条件保函，否则视为无效履约保证金。</w:t>
            </w:r>
          </w:p>
          <w:p w14:paraId="2085AF1F">
            <w:pPr>
              <w:autoSpaceDE w:val="0"/>
              <w:autoSpaceDN w:val="0"/>
              <w:snapToGrid w:val="0"/>
              <w:spacing w:line="360" w:lineRule="auto"/>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Cs w:val="21"/>
              </w:rPr>
              <w:t>4.供应商为联合体的，由联合体任意一方按规定提交的履约保证金，视为有效履约保证金。</w:t>
            </w:r>
          </w:p>
        </w:tc>
      </w:tr>
      <w:tr w14:paraId="65E24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991" w:type="dxa"/>
            <w:vAlign w:val="center"/>
          </w:tcPr>
          <w:p w14:paraId="68DE7E71">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29.1</w:t>
            </w:r>
          </w:p>
        </w:tc>
        <w:tc>
          <w:tcPr>
            <w:tcW w:w="8181" w:type="dxa"/>
            <w:vAlign w:val="center"/>
          </w:tcPr>
          <w:p w14:paraId="55B0C27B">
            <w:pPr>
              <w:autoSpaceDE w:val="0"/>
              <w:autoSpaceDN w:val="0"/>
              <w:snapToGrid w:val="0"/>
              <w:spacing w:line="500" w:lineRule="exact"/>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签订合同携带的证明材料： </w:t>
            </w:r>
          </w:p>
          <w:p w14:paraId="12E9B613">
            <w:pPr>
              <w:autoSpaceDE w:val="0"/>
              <w:autoSpaceDN w:val="0"/>
              <w:snapToGrid w:val="0"/>
              <w:spacing w:line="500" w:lineRule="exact"/>
              <w:textAlignment w:val="bottom"/>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委托代理人负责签订合同的，须携带授权委托书及委托代理人身份证原件等其他资格证件。</w:t>
            </w:r>
          </w:p>
          <w:p w14:paraId="606A36ED">
            <w:pPr>
              <w:snapToGrid w:val="0"/>
              <w:spacing w:line="5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w:t>
            </w:r>
            <w:r>
              <w:rPr>
                <w:rFonts w:hint="eastAsia" w:asciiTheme="minorEastAsia" w:hAnsiTheme="minorEastAsia" w:eastAsiaTheme="minorEastAsia" w:cstheme="minorEastAsia"/>
                <w:bCs/>
                <w:color w:val="auto"/>
                <w:szCs w:val="21"/>
              </w:rPr>
              <w:t>.</w:t>
            </w:r>
            <w:r>
              <w:rPr>
                <w:rFonts w:hint="eastAsia" w:asciiTheme="minorEastAsia" w:hAnsiTheme="minorEastAsia" w:eastAsiaTheme="minorEastAsia" w:cstheme="minorEastAsia"/>
                <w:color w:val="auto"/>
                <w:szCs w:val="21"/>
              </w:rPr>
              <w:t>法定代表人负责签订合同的，须携带法定代表人身份证明原件及身份证原件等其他证明材料。</w:t>
            </w:r>
          </w:p>
        </w:tc>
      </w:tr>
      <w:tr w14:paraId="1EBAD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991" w:type="dxa"/>
            <w:vAlign w:val="center"/>
          </w:tcPr>
          <w:p w14:paraId="615446F1">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31.2</w:t>
            </w:r>
          </w:p>
        </w:tc>
        <w:tc>
          <w:tcPr>
            <w:tcW w:w="8181" w:type="dxa"/>
            <w:vAlign w:val="center"/>
          </w:tcPr>
          <w:p w14:paraId="00F384C2">
            <w:pPr>
              <w:snapToGrid w:val="0"/>
              <w:spacing w:line="500" w:lineRule="atLeas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接收质疑函方式：以纸质书面形式。</w:t>
            </w:r>
          </w:p>
          <w:p w14:paraId="01D9F58C">
            <w:pPr>
              <w:pStyle w:val="15"/>
              <w:snapToGrid w:val="0"/>
              <w:spacing w:line="500" w:lineRule="atLeast"/>
              <w:rPr>
                <w:rFonts w:hAnsi="宋体" w:cs="宋体"/>
                <w:color w:val="auto"/>
                <w:kern w:val="2"/>
                <w:sz w:val="21"/>
              </w:rPr>
            </w:pPr>
            <w:r>
              <w:rPr>
                <w:rFonts w:hint="eastAsia" w:hAnsi="宋体" w:cs="宋体"/>
                <w:color w:val="auto"/>
                <w:kern w:val="2"/>
                <w:sz w:val="21"/>
              </w:rPr>
              <w:t>质疑联系部门及联系方式：</w:t>
            </w:r>
            <w:r>
              <w:rPr>
                <w:rFonts w:hint="eastAsia" w:hAnsi="宋体" w:cs="宋体"/>
                <w:color w:val="auto"/>
                <w:kern w:val="2"/>
                <w:sz w:val="21"/>
                <w:u w:val="single"/>
              </w:rPr>
              <w:t>广西同泽工程项目管理股份有限公司</w:t>
            </w:r>
            <w:r>
              <w:rPr>
                <w:rFonts w:hint="eastAsia" w:hAnsi="宋体" w:cs="宋体"/>
                <w:color w:val="auto"/>
                <w:kern w:val="2"/>
                <w:sz w:val="21"/>
              </w:rPr>
              <w:t>，联系电话：</w:t>
            </w:r>
            <w:r>
              <w:rPr>
                <w:rFonts w:hint="eastAsia" w:hAnsi="宋体" w:cs="宋体"/>
                <w:color w:val="auto"/>
                <w:kern w:val="2"/>
                <w:sz w:val="21"/>
                <w:u w:val="single"/>
              </w:rPr>
              <w:t>0771-8075508</w:t>
            </w:r>
            <w:r>
              <w:rPr>
                <w:rFonts w:hint="eastAsia" w:hAnsi="宋体" w:cs="宋体"/>
                <w:color w:val="auto"/>
                <w:kern w:val="2"/>
                <w:sz w:val="21"/>
              </w:rPr>
              <w:t>，通讯地址：</w:t>
            </w:r>
            <w:r>
              <w:rPr>
                <w:rFonts w:hint="eastAsia" w:hAnsi="宋体" w:cs="宋体"/>
                <w:color w:val="auto"/>
                <w:kern w:val="2"/>
                <w:sz w:val="21"/>
                <w:u w:val="single"/>
              </w:rPr>
              <w:t>南宁市良庆区凯旋路16号裕达国际中心广东大厦18层</w:t>
            </w:r>
          </w:p>
          <w:p w14:paraId="532A9C37">
            <w:pPr>
              <w:pStyle w:val="15"/>
              <w:snapToGrid w:val="0"/>
              <w:spacing w:line="500" w:lineRule="atLeast"/>
              <w:rPr>
                <w:rFonts w:asciiTheme="minorEastAsia" w:hAnsiTheme="minorEastAsia" w:eastAsiaTheme="minorEastAsia" w:cstheme="minorEastAsia"/>
                <w:color w:val="auto"/>
                <w:kern w:val="2"/>
                <w:sz w:val="21"/>
              </w:rPr>
            </w:pPr>
            <w:r>
              <w:rPr>
                <w:rFonts w:hint="eastAsia" w:hAnsi="宋体" w:cs="宋体"/>
                <w:color w:val="auto"/>
                <w:sz w:val="21"/>
              </w:rPr>
              <w:t>业务时间：上午09时00分到12时00分，下午14时30分到17时30分，业务时间以外、双休日和法定节假日不办理业务。</w:t>
            </w:r>
          </w:p>
        </w:tc>
      </w:tr>
      <w:tr w14:paraId="64E54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91" w:type="dxa"/>
            <w:vAlign w:val="center"/>
          </w:tcPr>
          <w:p w14:paraId="4238F7D5">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32.1</w:t>
            </w:r>
          </w:p>
        </w:tc>
        <w:tc>
          <w:tcPr>
            <w:tcW w:w="8181" w:type="dxa"/>
            <w:vAlign w:val="center"/>
          </w:tcPr>
          <w:p w14:paraId="0FFCA8FB">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1.采购代理服务费支付方式：本项目的招标代理服务费按以下收费标准向成交供应商收取。</w:t>
            </w:r>
          </w:p>
          <w:p w14:paraId="0DE9F900">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2</w:t>
            </w:r>
            <w:r>
              <w:rPr>
                <w:rFonts w:hint="eastAsia" w:asciiTheme="minorEastAsia" w:hAnsiTheme="minorEastAsia" w:eastAsiaTheme="minorEastAsia" w:cstheme="minorEastAsia"/>
                <w:bCs/>
                <w:color w:val="auto"/>
                <w:sz w:val="21"/>
              </w:rPr>
              <w:t>.</w:t>
            </w:r>
            <w:r>
              <w:rPr>
                <w:rFonts w:hint="eastAsia" w:asciiTheme="minorEastAsia" w:hAnsiTheme="minorEastAsia" w:eastAsiaTheme="minorEastAsia" w:cstheme="minorEastAsia"/>
                <w:color w:val="auto"/>
                <w:sz w:val="21"/>
              </w:rPr>
              <w:t>采购代理服务费收取标准：</w:t>
            </w:r>
          </w:p>
          <w:p w14:paraId="071C1D6E">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以</w:t>
            </w:r>
            <w:r>
              <w:rPr>
                <w:rFonts w:hint="eastAsia" w:asciiTheme="minorEastAsia" w:hAnsiTheme="minorEastAsia" w:eastAsiaTheme="minorEastAsia" w:cstheme="minorEastAsia"/>
                <w:color w:val="auto"/>
                <w:sz w:val="21"/>
                <w:lang w:val="en-US" w:eastAsia="zh-CN"/>
              </w:rPr>
              <w:t>分标</w:t>
            </w:r>
            <w:r>
              <w:rPr>
                <w:rFonts w:hint="eastAsia" w:asciiTheme="minorEastAsia" w:hAnsiTheme="minorEastAsia" w:eastAsiaTheme="minorEastAsia" w:cstheme="minorEastAsia"/>
                <w:color w:val="auto"/>
                <w:sz w:val="21"/>
              </w:rPr>
              <w:t>成交金额为计费额，按本采购文件之供应商须知正文第32.2条规定的收费计算标准（货物类）采用差额定率累进法计算出收费基准价格，</w:t>
            </w:r>
            <w:r>
              <w:rPr>
                <w:rFonts w:hint="eastAsia" w:asciiTheme="minorEastAsia" w:hAnsiTheme="minorEastAsia" w:eastAsiaTheme="minorEastAsia" w:cstheme="minorEastAsia"/>
                <w:color w:val="auto"/>
                <w:sz w:val="21"/>
                <w:lang w:val="en-US" w:eastAsia="zh-CN"/>
              </w:rPr>
              <w:t>各分标</w:t>
            </w:r>
            <w:r>
              <w:rPr>
                <w:rFonts w:hint="eastAsia" w:asciiTheme="minorEastAsia" w:hAnsiTheme="minorEastAsia" w:eastAsiaTheme="minorEastAsia" w:cstheme="minorEastAsia"/>
                <w:color w:val="auto"/>
                <w:sz w:val="21"/>
              </w:rPr>
              <w:t>采购代理服务费收费以收费基准价格下浮20%收取。</w:t>
            </w:r>
          </w:p>
          <w:p w14:paraId="0E21027B">
            <w:pPr>
              <w:pStyle w:val="15"/>
              <w:snapToGrid w:val="0"/>
              <w:spacing w:line="500" w:lineRule="exact"/>
              <w:rPr>
                <w:rFonts w:asciiTheme="minorEastAsia" w:hAnsiTheme="minorEastAsia" w:eastAsiaTheme="minorEastAsia" w:cstheme="minorEastAsia"/>
                <w:b/>
                <w:bCs/>
                <w:color w:val="auto"/>
                <w:sz w:val="21"/>
              </w:rPr>
            </w:pPr>
            <w:r>
              <w:rPr>
                <w:rFonts w:hint="eastAsia" w:asciiTheme="minorEastAsia" w:hAnsiTheme="minorEastAsia" w:eastAsiaTheme="minorEastAsia" w:cstheme="minorEastAsia"/>
                <w:b/>
                <w:bCs/>
                <w:color w:val="auto"/>
                <w:sz w:val="21"/>
              </w:rPr>
              <w:t>3</w:t>
            </w:r>
            <w:r>
              <w:rPr>
                <w:rFonts w:hint="eastAsia" w:asciiTheme="minorEastAsia" w:hAnsiTheme="minorEastAsia" w:eastAsiaTheme="minorEastAsia" w:cstheme="minorEastAsia"/>
                <w:bCs/>
                <w:color w:val="auto"/>
                <w:sz w:val="21"/>
              </w:rPr>
              <w:t>.</w:t>
            </w:r>
            <w:r>
              <w:rPr>
                <w:rFonts w:hint="eastAsia" w:asciiTheme="minorEastAsia" w:hAnsiTheme="minorEastAsia" w:eastAsiaTheme="minorEastAsia" w:cstheme="minorEastAsia"/>
                <w:b/>
                <w:bCs/>
                <w:color w:val="auto"/>
                <w:sz w:val="21"/>
              </w:rPr>
              <w:t>采购代理服务费专用银行信息：</w:t>
            </w:r>
          </w:p>
          <w:p w14:paraId="07BFC707">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开户名称：广西同泽工程项目管理股份有限公司南宁第六分公司</w:t>
            </w:r>
          </w:p>
          <w:p w14:paraId="46366213">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开户银行：中国工商银行南宁永凯支行</w:t>
            </w:r>
          </w:p>
          <w:p w14:paraId="3D8AA864">
            <w:pPr>
              <w:pStyle w:val="15"/>
              <w:snapToGrid w:val="0"/>
              <w:spacing w:line="500" w:lineRule="exact"/>
              <w:rPr>
                <w:rFonts w:asciiTheme="minorEastAsia" w:hAnsiTheme="minorEastAsia" w:eastAsiaTheme="minorEastAsia" w:cstheme="minorEastAsia"/>
                <w:color w:val="auto"/>
                <w:sz w:val="21"/>
                <w:u w:val="single"/>
              </w:rPr>
            </w:pPr>
            <w:r>
              <w:rPr>
                <w:rFonts w:hint="eastAsia" w:asciiTheme="minorEastAsia" w:hAnsiTheme="minorEastAsia" w:eastAsiaTheme="minorEastAsia" w:cstheme="minorEastAsia"/>
                <w:color w:val="auto"/>
                <w:sz w:val="21"/>
              </w:rPr>
              <w:t>银行账号：2102112809300055568</w:t>
            </w:r>
          </w:p>
        </w:tc>
      </w:tr>
      <w:tr w14:paraId="48AE4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2" w:hRule="atLeast"/>
          <w:jc w:val="center"/>
        </w:trPr>
        <w:tc>
          <w:tcPr>
            <w:tcW w:w="991" w:type="dxa"/>
            <w:vAlign w:val="center"/>
          </w:tcPr>
          <w:p w14:paraId="4269B855">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33.1</w:t>
            </w:r>
          </w:p>
        </w:tc>
        <w:tc>
          <w:tcPr>
            <w:tcW w:w="8181" w:type="dxa"/>
            <w:vAlign w:val="center"/>
          </w:tcPr>
          <w:p w14:paraId="27513149">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解释：构成本谈判文件的各个组成文件应互为解释，互为说明；除谈判文件中有特别规定外，仅适用于竞争性谈判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tc>
      </w:tr>
      <w:tr w14:paraId="505F1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5" w:hRule="atLeast"/>
          <w:jc w:val="center"/>
        </w:trPr>
        <w:tc>
          <w:tcPr>
            <w:tcW w:w="991" w:type="dxa"/>
            <w:vAlign w:val="center"/>
          </w:tcPr>
          <w:p w14:paraId="3C9CBF53">
            <w:pPr>
              <w:spacing w:line="5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33.2</w:t>
            </w:r>
          </w:p>
        </w:tc>
        <w:tc>
          <w:tcPr>
            <w:tcW w:w="8181" w:type="dxa"/>
            <w:vAlign w:val="center"/>
          </w:tcPr>
          <w:p w14:paraId="76D1C2C3">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1.本谈判文件中描述供应商的“公章”是指根据我国对公章的管理规定，用供应商法定主体名称制作的印章或供应商通过指定电子化政府采购平台办理数字证书（CA认证）获得的以法定主体名称制作的电子印章。除本谈判文件有特殊规定外，供应商的财务章、部门章、分公司章、工会章、合同章、竞争性谈判专用章、业务专用章及银行的转账章、现金收讫章、现金付讫章等其他形式印章均不能代替公章。</w:t>
            </w:r>
          </w:p>
          <w:p w14:paraId="0972ECB0">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2.供应商为其他组织或者自然人时，本谈判文件规定的法定代表人指负责人或者自然人。本谈判文件所称负责人是指参加竞争性谈判的其他组织</w:t>
            </w:r>
            <w:r>
              <w:rPr>
                <w:rFonts w:hint="eastAsia" w:asciiTheme="minorEastAsia" w:hAnsiTheme="minorEastAsia" w:eastAsiaTheme="minorEastAsia" w:cstheme="minorEastAsia"/>
                <w:bCs/>
                <w:color w:val="auto"/>
                <w:sz w:val="21"/>
              </w:rPr>
              <w:t>营业执照或者执业许可证等证照上</w:t>
            </w:r>
            <w:r>
              <w:rPr>
                <w:rFonts w:hint="eastAsia" w:asciiTheme="minorEastAsia" w:hAnsiTheme="minorEastAsia" w:eastAsiaTheme="minorEastAsia" w:cstheme="minorEastAsia"/>
                <w:color w:val="auto"/>
                <w:sz w:val="21"/>
              </w:rPr>
              <w:t>的负责人，本谈判文件所称自然人指参与竞争性谈判的自然人本人，</w:t>
            </w:r>
            <w:r>
              <w:rPr>
                <w:rFonts w:hint="eastAsia" w:asciiTheme="minorEastAsia" w:hAnsiTheme="minorEastAsia" w:eastAsiaTheme="minorEastAsia" w:cstheme="minorEastAsia"/>
                <w:bCs/>
                <w:color w:val="auto"/>
                <w:sz w:val="21"/>
              </w:rPr>
              <w:t>且应具备独立承担民事责任能力，自然人应当为年满18岁以上成年人（十六周岁以上的未成年人，以自己的劳动收入为主要生活来源的，视为完全民事行为能力人）。</w:t>
            </w:r>
          </w:p>
          <w:p w14:paraId="064DADFE">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3.本谈判文件中描述供应商的“签字”是指供应商的法定代表人或者委托代理人在文件规定签署处签名或者指供应商通过指定电子化政府采购平台办理数字证书（CA认证）获得的以供应商法定代表人或者委托代理人姓名制作的电子印章签名的行为，私章、印鉴等其他形式均不能代替签字。</w:t>
            </w:r>
          </w:p>
          <w:p w14:paraId="4F81C0EA">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4.本谈判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6C7B7FC7">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5.自然人参与竞争性谈判的，谈判文件规定盖章的地方自然人可以加盖手指指印。</w:t>
            </w:r>
          </w:p>
          <w:p w14:paraId="591DAA96">
            <w:pPr>
              <w:pStyle w:val="15"/>
              <w:snapToGrid w:val="0"/>
              <w:spacing w:line="500" w:lineRule="exact"/>
              <w:rPr>
                <w:rFonts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6.本谈判文件所称的“以上”“以下”“以内”“届满”，包括本数；所称的“不满”“超过”“以外”，不包括本数。</w:t>
            </w:r>
          </w:p>
        </w:tc>
      </w:tr>
    </w:tbl>
    <w:p w14:paraId="0AC7A4AE">
      <w:pPr>
        <w:spacing w:line="360" w:lineRule="auto"/>
        <w:jc w:val="center"/>
        <w:rPr>
          <w:rFonts w:ascii="宋体" w:hAnsi="宋体" w:cs="宋体"/>
          <w:b/>
          <w:color w:val="auto"/>
          <w:sz w:val="36"/>
          <w:szCs w:val="36"/>
        </w:rPr>
      </w:pPr>
      <w:r>
        <w:rPr>
          <w:rFonts w:hint="eastAsia" w:ascii="宋体" w:hAnsi="宋体" w:cs="宋体"/>
          <w:b/>
          <w:color w:val="auto"/>
          <w:sz w:val="32"/>
          <w:szCs w:val="32"/>
        </w:rPr>
        <w:br w:type="page"/>
      </w:r>
      <w:r>
        <w:rPr>
          <w:rFonts w:hint="eastAsia" w:ascii="宋体" w:hAnsi="宋体" w:cs="宋体"/>
          <w:b/>
          <w:color w:val="auto"/>
          <w:sz w:val="36"/>
          <w:szCs w:val="36"/>
        </w:rPr>
        <w:t>供应商须知正文</w:t>
      </w:r>
    </w:p>
    <w:p w14:paraId="018FCE32">
      <w:pPr>
        <w:spacing w:line="360" w:lineRule="auto"/>
        <w:jc w:val="center"/>
        <w:rPr>
          <w:rFonts w:ascii="宋体" w:hAnsi="宋体" w:cs="宋体"/>
          <w:b/>
          <w:color w:val="auto"/>
          <w:sz w:val="36"/>
          <w:szCs w:val="36"/>
        </w:rPr>
      </w:pPr>
      <w:r>
        <w:rPr>
          <w:rFonts w:hint="eastAsia" w:ascii="宋体" w:hAnsi="宋体" w:cs="宋体"/>
          <w:b/>
          <w:color w:val="auto"/>
          <w:sz w:val="36"/>
          <w:szCs w:val="36"/>
        </w:rPr>
        <w:t>一、总则</w:t>
      </w:r>
    </w:p>
    <w:p w14:paraId="641BD6F3">
      <w:pPr>
        <w:spacing w:line="400" w:lineRule="exact"/>
        <w:rPr>
          <w:rFonts w:ascii="宋体" w:hAnsi="宋体" w:cs="宋体"/>
          <w:color w:val="auto"/>
          <w:szCs w:val="21"/>
        </w:rPr>
      </w:pPr>
    </w:p>
    <w:p w14:paraId="252CC10A">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1.适用范围</w:t>
      </w:r>
    </w:p>
    <w:p w14:paraId="3773BB33">
      <w:pPr>
        <w:spacing w:line="360" w:lineRule="auto"/>
        <w:ind w:firstLine="420" w:firstLineChars="200"/>
        <w:rPr>
          <w:rFonts w:ascii="宋体" w:hAnsi="宋体" w:cs="宋体"/>
          <w:color w:val="auto"/>
          <w:szCs w:val="21"/>
        </w:rPr>
      </w:pPr>
      <w:r>
        <w:rPr>
          <w:rFonts w:hint="eastAsia" w:ascii="宋体" w:hAnsi="宋体" w:cs="宋体"/>
          <w:color w:val="auto"/>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00B280DB">
      <w:pPr>
        <w:spacing w:line="360" w:lineRule="auto"/>
        <w:ind w:firstLine="420" w:firstLineChars="200"/>
        <w:rPr>
          <w:rFonts w:ascii="宋体" w:hAnsi="宋体" w:cs="宋体"/>
          <w:color w:val="auto"/>
          <w:szCs w:val="21"/>
        </w:rPr>
      </w:pPr>
      <w:r>
        <w:rPr>
          <w:rFonts w:hint="eastAsia" w:ascii="宋体" w:hAnsi="宋体" w:cs="宋体"/>
          <w:color w:val="auto"/>
          <w:szCs w:val="21"/>
        </w:rPr>
        <w:t>1.2</w:t>
      </w:r>
      <w:r>
        <w:rPr>
          <w:rFonts w:hint="eastAsia" w:ascii="宋体" w:hAnsi="宋体" w:cs="宋体"/>
          <w:color w:val="auto"/>
          <w:spacing w:val="-6"/>
          <w:szCs w:val="21"/>
        </w:rPr>
        <w:t>本竞争性谈判采购文件（以下简称谈判文件）适用于本项目的所有采购程序和环节（法律、法规另有规定的，从其规定）。</w:t>
      </w:r>
    </w:p>
    <w:p w14:paraId="0BB915C0">
      <w:pPr>
        <w:spacing w:line="360" w:lineRule="auto"/>
        <w:ind w:firstLine="482" w:firstLineChars="200"/>
        <w:rPr>
          <w:rFonts w:ascii="宋体" w:hAnsi="宋体" w:cs="宋体"/>
          <w:b/>
          <w:bCs/>
          <w:color w:val="auto"/>
          <w:sz w:val="24"/>
        </w:rPr>
      </w:pPr>
      <w:r>
        <w:rPr>
          <w:rFonts w:hint="eastAsia" w:ascii="宋体" w:hAnsi="宋体" w:cs="宋体"/>
          <w:b/>
          <w:bCs/>
          <w:color w:val="auto"/>
          <w:sz w:val="24"/>
        </w:rPr>
        <w:t>2.定义</w:t>
      </w:r>
    </w:p>
    <w:p w14:paraId="562704BD">
      <w:pPr>
        <w:spacing w:line="360" w:lineRule="auto"/>
        <w:ind w:firstLine="420" w:firstLineChars="200"/>
        <w:rPr>
          <w:rFonts w:ascii="宋体" w:hAnsi="宋体" w:cs="宋体"/>
          <w:color w:val="auto"/>
          <w:szCs w:val="21"/>
        </w:rPr>
      </w:pPr>
      <w:r>
        <w:rPr>
          <w:rFonts w:hint="eastAsia" w:ascii="宋体" w:hAnsi="宋体" w:cs="宋体"/>
          <w:color w:val="auto"/>
          <w:szCs w:val="21"/>
        </w:rPr>
        <w:t>2.1“采购人”是指依法进行采购的国家机关、事业单位、团体组织。</w:t>
      </w:r>
    </w:p>
    <w:p w14:paraId="70BFF29F">
      <w:pPr>
        <w:spacing w:line="360" w:lineRule="auto"/>
        <w:ind w:firstLine="420" w:firstLineChars="200"/>
        <w:rPr>
          <w:rFonts w:ascii="宋体" w:hAnsi="宋体" w:cs="宋体"/>
          <w:b/>
          <w:color w:val="auto"/>
          <w:szCs w:val="21"/>
        </w:rPr>
      </w:pPr>
      <w:r>
        <w:rPr>
          <w:rFonts w:hint="eastAsia" w:ascii="宋体" w:hAnsi="宋体" w:cs="宋体"/>
          <w:color w:val="auto"/>
          <w:szCs w:val="21"/>
        </w:rPr>
        <w:t>2.2“采购代理机构”</w:t>
      </w:r>
      <w:r>
        <w:rPr>
          <w:rFonts w:hint="eastAsia" w:ascii="宋体" w:hAnsi="宋体" w:cs="宋体"/>
          <w:b/>
          <w:color w:val="auto"/>
          <w:szCs w:val="21"/>
        </w:rPr>
        <w:t>是指政府采购集中采购机构和集中采购机构以外的采购代理机构。</w:t>
      </w:r>
    </w:p>
    <w:p w14:paraId="03389B1F">
      <w:pPr>
        <w:spacing w:line="360" w:lineRule="auto"/>
        <w:ind w:firstLine="420" w:firstLineChars="200"/>
        <w:rPr>
          <w:rFonts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14:paraId="4BE4FF96">
      <w:pPr>
        <w:spacing w:line="360" w:lineRule="auto"/>
        <w:ind w:firstLine="420" w:firstLineChars="200"/>
        <w:rPr>
          <w:rFonts w:ascii="宋体" w:hAnsi="宋体" w:cs="宋体"/>
          <w:color w:val="auto"/>
          <w:szCs w:val="21"/>
        </w:rPr>
      </w:pPr>
      <w:r>
        <w:rPr>
          <w:rFonts w:hint="eastAsia" w:ascii="宋体" w:hAnsi="宋体" w:cs="宋体"/>
          <w:color w:val="auto"/>
          <w:szCs w:val="21"/>
        </w:rPr>
        <w:t>2.4“货物”是指各种形态和种类的物品，包括原材料、燃料、设备、产品等。</w:t>
      </w:r>
    </w:p>
    <w:p w14:paraId="4C397A22">
      <w:pPr>
        <w:spacing w:line="360" w:lineRule="auto"/>
        <w:ind w:firstLine="420" w:firstLineChars="200"/>
        <w:rPr>
          <w:rFonts w:ascii="宋体" w:hAnsi="宋体" w:cs="宋体"/>
          <w:color w:val="auto"/>
          <w:szCs w:val="21"/>
        </w:rPr>
      </w:pPr>
      <w:r>
        <w:rPr>
          <w:rFonts w:hint="eastAsia" w:ascii="宋体" w:hAnsi="宋体" w:cs="宋体"/>
          <w:color w:val="auto"/>
          <w:szCs w:val="21"/>
        </w:rPr>
        <w:t>2.5“</w:t>
      </w:r>
      <w:r>
        <w:rPr>
          <w:rFonts w:hint="eastAsia" w:hAnsi="宋体" w:cs="宋体"/>
          <w:color w:val="auto"/>
          <w:szCs w:val="21"/>
        </w:rPr>
        <w:t>竞争性谈判</w:t>
      </w:r>
      <w:r>
        <w:rPr>
          <w:rFonts w:hint="eastAsia" w:ascii="宋体" w:hAnsi="宋体" w:cs="宋体"/>
          <w:color w:val="auto"/>
          <w:szCs w:val="21"/>
        </w:rPr>
        <w:t>”是指按照本项目竞争性谈判公告或者邀请函规定的方式供应商获取谈判文件、提交响应文件并希望获得标的的行为。</w:t>
      </w:r>
    </w:p>
    <w:p w14:paraId="12AEF5E1">
      <w:pPr>
        <w:spacing w:line="360" w:lineRule="auto"/>
        <w:ind w:firstLine="420" w:firstLineChars="200"/>
        <w:rPr>
          <w:rFonts w:ascii="宋体" w:hAnsi="宋体" w:cs="宋体"/>
          <w:color w:val="auto"/>
          <w:szCs w:val="21"/>
        </w:rPr>
      </w:pPr>
      <w:r>
        <w:rPr>
          <w:rFonts w:hint="eastAsia" w:ascii="宋体" w:hAnsi="宋体" w:cs="宋体"/>
          <w:color w:val="auto"/>
          <w:szCs w:val="21"/>
        </w:rPr>
        <w:t>2.6“售后服务” 是指包含但不限于供应商须承担的备品备件、包装、运输、装卸、保险、货到就位以及安装、调试、培训、保修和其他类似的义务。</w:t>
      </w:r>
    </w:p>
    <w:p w14:paraId="305FA7C8">
      <w:pPr>
        <w:spacing w:line="360" w:lineRule="auto"/>
        <w:ind w:firstLine="420" w:firstLineChars="200"/>
        <w:rPr>
          <w:rFonts w:ascii="宋体" w:hAnsi="宋体" w:cs="宋体"/>
          <w:color w:val="auto"/>
          <w:szCs w:val="21"/>
        </w:rPr>
      </w:pPr>
      <w:r>
        <w:rPr>
          <w:rFonts w:hint="eastAsia" w:ascii="宋体" w:hAnsi="宋体" w:cs="宋体"/>
          <w:color w:val="auto"/>
          <w:szCs w:val="21"/>
        </w:rPr>
        <w:t>2.7“书面形式”是指合同书、信件和数据电文（包括电报、电传、传真、电子数据交换和电子邮件）等可以有形地表现所载内容的形式。</w:t>
      </w:r>
    </w:p>
    <w:p w14:paraId="556B8EC7">
      <w:pPr>
        <w:spacing w:line="360" w:lineRule="auto"/>
        <w:ind w:firstLine="420" w:firstLineChars="200"/>
        <w:rPr>
          <w:rFonts w:ascii="宋体" w:hAnsi="宋体" w:cs="宋体"/>
          <w:color w:val="auto"/>
          <w:szCs w:val="21"/>
        </w:rPr>
      </w:pPr>
      <w:r>
        <w:rPr>
          <w:rFonts w:hint="eastAsia" w:ascii="宋体" w:hAnsi="宋体" w:cs="宋体"/>
          <w:color w:val="auto"/>
          <w:szCs w:val="21"/>
        </w:rPr>
        <w:t>2.8“响应文件”</w:t>
      </w:r>
      <w:r>
        <w:rPr>
          <w:rFonts w:hint="eastAsia" w:ascii="宋体" w:hAnsi="宋体" w:cs="宋体"/>
          <w:color w:val="auto"/>
          <w:spacing w:val="-6"/>
          <w:szCs w:val="21"/>
        </w:rPr>
        <w:t>是指：供应商根据本谈判文件要求，编制包含报价、技术和服务等所有内容的文件。</w:t>
      </w:r>
    </w:p>
    <w:p w14:paraId="4BFDC2D6">
      <w:pPr>
        <w:spacing w:line="360" w:lineRule="auto"/>
        <w:ind w:firstLine="420" w:firstLineChars="200"/>
        <w:rPr>
          <w:rFonts w:ascii="宋体" w:hAnsi="宋体" w:cs="宋体"/>
          <w:color w:val="auto"/>
          <w:szCs w:val="21"/>
        </w:rPr>
      </w:pPr>
      <w:r>
        <w:rPr>
          <w:rFonts w:hint="eastAsia" w:ascii="宋体" w:hAnsi="宋体" w:cs="宋体"/>
          <w:color w:val="auto"/>
          <w:szCs w:val="21"/>
        </w:rPr>
        <w:t>2.9 “实质性要求”是指采购需求中带“▲”的条款或者不能负偏离的条款或者已经指明不满足按响应文件按无效响应处理的条款。</w:t>
      </w:r>
    </w:p>
    <w:p w14:paraId="082D0138">
      <w:pPr>
        <w:spacing w:line="360" w:lineRule="auto"/>
        <w:ind w:firstLine="420" w:firstLineChars="200"/>
        <w:rPr>
          <w:rFonts w:ascii="宋体" w:hAnsi="宋体" w:cs="宋体"/>
          <w:color w:val="auto"/>
          <w:szCs w:val="21"/>
        </w:rPr>
      </w:pPr>
      <w:r>
        <w:rPr>
          <w:rFonts w:hint="eastAsia" w:ascii="宋体" w:hAnsi="宋体" w:cs="宋体"/>
          <w:color w:val="auto"/>
          <w:szCs w:val="21"/>
        </w:rPr>
        <w:t>2.10“正偏离”，是指响应文件对谈判文件“采购需求”中有关条款作出优于条款要求并有利于采购人的响应情形；</w:t>
      </w:r>
    </w:p>
    <w:p w14:paraId="2285EB84">
      <w:pPr>
        <w:spacing w:line="360" w:lineRule="auto"/>
        <w:ind w:firstLine="420" w:firstLineChars="200"/>
        <w:rPr>
          <w:rFonts w:ascii="宋体" w:hAnsi="宋体" w:cs="宋体"/>
          <w:color w:val="auto"/>
          <w:szCs w:val="21"/>
        </w:rPr>
      </w:pPr>
      <w:r>
        <w:rPr>
          <w:rFonts w:hint="eastAsia" w:ascii="宋体" w:hAnsi="宋体" w:cs="宋体"/>
          <w:color w:val="auto"/>
          <w:szCs w:val="21"/>
        </w:rPr>
        <w:t>2.11“负偏离”，是指响应文件对谈判文件“采购需求”中有关条款作出的响应不满足条款要求，导致采购人要求不能得到满足的情形。</w:t>
      </w:r>
    </w:p>
    <w:p w14:paraId="20106F2E">
      <w:pPr>
        <w:spacing w:line="360" w:lineRule="auto"/>
        <w:ind w:firstLine="420" w:firstLineChars="200"/>
        <w:rPr>
          <w:rFonts w:ascii="宋体" w:hAnsi="宋体" w:cs="宋体"/>
          <w:color w:val="auto"/>
          <w:szCs w:val="21"/>
        </w:rPr>
      </w:pPr>
      <w:r>
        <w:rPr>
          <w:rFonts w:hint="eastAsia" w:ascii="宋体" w:hAnsi="宋体" w:cs="宋体"/>
          <w:color w:val="auto"/>
          <w:szCs w:val="21"/>
        </w:rPr>
        <w:t>2.12“允许负偏离的条款”是指采购需求中的不属于“实质性要求”的条款。</w:t>
      </w:r>
    </w:p>
    <w:p w14:paraId="2D95DC0A">
      <w:pPr>
        <w:spacing w:line="360" w:lineRule="auto"/>
        <w:ind w:firstLine="420" w:firstLineChars="200"/>
        <w:rPr>
          <w:rFonts w:ascii="宋体" w:hAnsi="宋体" w:cs="宋体"/>
          <w:color w:val="auto"/>
          <w:sz w:val="24"/>
        </w:rPr>
      </w:pPr>
      <w:r>
        <w:rPr>
          <w:rFonts w:hint="eastAsia" w:ascii="宋体" w:hAnsi="宋体" w:cs="宋体"/>
          <w:color w:val="auto"/>
          <w:szCs w:val="21"/>
        </w:rPr>
        <w:t>2.13“首次报价”是指供应商提交的首次响应文件中的</w:t>
      </w:r>
      <w:r>
        <w:rPr>
          <w:rFonts w:hint="eastAsia" w:hAnsi="宋体" w:cs="宋体"/>
          <w:color w:val="auto"/>
          <w:szCs w:val="21"/>
        </w:rPr>
        <w:t>竞争性谈判</w:t>
      </w:r>
      <w:r>
        <w:rPr>
          <w:rFonts w:hint="eastAsia" w:ascii="宋体" w:hAnsi="宋体" w:cs="宋体"/>
          <w:color w:val="auto"/>
          <w:szCs w:val="21"/>
        </w:rPr>
        <w:t>报价。</w:t>
      </w:r>
    </w:p>
    <w:p w14:paraId="21E6CCC4">
      <w:pPr>
        <w:spacing w:line="360" w:lineRule="auto"/>
        <w:ind w:firstLine="482" w:firstLineChars="200"/>
        <w:contextualSpacing/>
        <w:rPr>
          <w:rFonts w:ascii="宋体" w:hAnsi="宋体" w:cs="宋体"/>
          <w:b/>
          <w:bCs/>
          <w:color w:val="auto"/>
          <w:sz w:val="32"/>
          <w:szCs w:val="32"/>
        </w:rPr>
      </w:pPr>
      <w:r>
        <w:rPr>
          <w:rFonts w:hint="eastAsia" w:ascii="宋体" w:hAnsi="宋体" w:cs="宋体"/>
          <w:b/>
          <w:bCs/>
          <w:color w:val="auto"/>
          <w:sz w:val="24"/>
        </w:rPr>
        <w:t>3.供应商的资格条件</w:t>
      </w:r>
    </w:p>
    <w:p w14:paraId="10453BFD">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供应商的资格条件详见“供应商须知前附表”。</w:t>
      </w:r>
    </w:p>
    <w:p w14:paraId="4E20CBC5">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4.竞争性谈判费用</w:t>
      </w:r>
    </w:p>
    <w:p w14:paraId="5246997A">
      <w:pPr>
        <w:spacing w:line="360" w:lineRule="auto"/>
        <w:ind w:firstLine="440" w:firstLineChars="200"/>
        <w:rPr>
          <w:rFonts w:ascii="宋体" w:hAnsi="宋体" w:cs="宋体"/>
          <w:color w:val="auto"/>
          <w:sz w:val="22"/>
          <w:szCs w:val="22"/>
        </w:rPr>
      </w:pPr>
      <w:r>
        <w:rPr>
          <w:rFonts w:hint="eastAsia" w:hAnsi="宋体" w:cs="宋体"/>
          <w:color w:val="auto"/>
          <w:sz w:val="22"/>
          <w:szCs w:val="22"/>
        </w:rPr>
        <w:t>竞争性谈判</w:t>
      </w:r>
      <w:r>
        <w:rPr>
          <w:rFonts w:hint="eastAsia" w:ascii="宋体" w:hAnsi="宋体" w:cs="宋体"/>
          <w:color w:val="auto"/>
          <w:sz w:val="22"/>
          <w:szCs w:val="22"/>
        </w:rPr>
        <w:t>费用：供应商应承担参与本次采购活动有关的所有费用，包括但不限于获取谈判文件、勘查现场、编制和提交响应文件、参加谈判与应答、签订合同等，不论</w:t>
      </w:r>
      <w:r>
        <w:rPr>
          <w:rFonts w:hint="eastAsia" w:hAnsi="宋体" w:cs="宋体"/>
          <w:color w:val="auto"/>
          <w:sz w:val="22"/>
          <w:szCs w:val="22"/>
        </w:rPr>
        <w:t>竞争性谈判</w:t>
      </w:r>
      <w:r>
        <w:rPr>
          <w:rFonts w:hint="eastAsia" w:ascii="宋体" w:hAnsi="宋体" w:cs="宋体"/>
          <w:color w:val="auto"/>
          <w:sz w:val="22"/>
          <w:szCs w:val="22"/>
        </w:rPr>
        <w:t>结果如何，均应自行承担。</w:t>
      </w:r>
    </w:p>
    <w:p w14:paraId="5EDBD6E3">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5.联合体参与竞争性谈判</w:t>
      </w:r>
    </w:p>
    <w:p w14:paraId="2E3955D5">
      <w:pPr>
        <w:spacing w:line="360" w:lineRule="auto"/>
        <w:ind w:firstLine="420" w:firstLineChars="200"/>
        <w:rPr>
          <w:rFonts w:ascii="宋体" w:hAnsi="宋体" w:cs="宋体"/>
          <w:color w:val="auto"/>
          <w:szCs w:val="21"/>
        </w:rPr>
      </w:pPr>
      <w:r>
        <w:rPr>
          <w:rFonts w:hint="eastAsia" w:ascii="宋体" w:hAnsi="宋体" w:cs="宋体"/>
          <w:color w:val="auto"/>
          <w:szCs w:val="21"/>
        </w:rPr>
        <w:t>5.1本项目是否接受联合体参与</w:t>
      </w:r>
      <w:r>
        <w:rPr>
          <w:rFonts w:hint="eastAsia" w:hAnsi="宋体" w:cs="宋体"/>
          <w:color w:val="auto"/>
          <w:szCs w:val="21"/>
        </w:rPr>
        <w:t>竞争性谈判</w:t>
      </w:r>
      <w:r>
        <w:rPr>
          <w:rFonts w:hint="eastAsia" w:ascii="宋体" w:hAnsi="宋体" w:cs="宋体"/>
          <w:color w:val="auto"/>
          <w:szCs w:val="21"/>
        </w:rPr>
        <w:t>，详见“供应商须知前附表”。</w:t>
      </w:r>
    </w:p>
    <w:p w14:paraId="195F5AFB">
      <w:pPr>
        <w:spacing w:line="360" w:lineRule="auto"/>
        <w:ind w:firstLine="420" w:firstLineChars="200"/>
        <w:rPr>
          <w:rFonts w:ascii="宋体" w:hAnsi="宋体" w:cs="宋体"/>
          <w:color w:val="auto"/>
          <w:szCs w:val="21"/>
        </w:rPr>
      </w:pPr>
      <w:r>
        <w:rPr>
          <w:rFonts w:hint="eastAsia" w:ascii="宋体" w:hAnsi="宋体" w:cs="宋体"/>
          <w:color w:val="auto"/>
          <w:szCs w:val="21"/>
        </w:rPr>
        <w:t>5.2</w:t>
      </w:r>
      <w:r>
        <w:rPr>
          <w:rFonts w:hint="eastAsia" w:ascii="宋体" w:hAnsi="宋体" w:cs="宋体"/>
          <w:bCs/>
          <w:color w:val="auto"/>
          <w:szCs w:val="21"/>
        </w:rPr>
        <w:t>如接受联合体参与</w:t>
      </w:r>
      <w:r>
        <w:rPr>
          <w:rFonts w:hint="eastAsia" w:hAnsi="宋体" w:cs="宋体"/>
          <w:color w:val="auto"/>
          <w:szCs w:val="21"/>
        </w:rPr>
        <w:t>竞争性谈判</w:t>
      </w:r>
      <w:r>
        <w:rPr>
          <w:rFonts w:hint="eastAsia" w:ascii="宋体" w:hAnsi="宋体" w:cs="宋体"/>
          <w:bCs/>
          <w:color w:val="auto"/>
          <w:szCs w:val="21"/>
        </w:rPr>
        <w:t>，</w:t>
      </w:r>
      <w:r>
        <w:rPr>
          <w:rFonts w:hint="eastAsia" w:ascii="宋体" w:hAnsi="宋体" w:cs="宋体"/>
          <w:color w:val="auto"/>
          <w:szCs w:val="21"/>
        </w:rPr>
        <w:t>具体要求详见“供应商须知前附表”。</w:t>
      </w:r>
    </w:p>
    <w:p w14:paraId="32D506B0">
      <w:pPr>
        <w:spacing w:line="360" w:lineRule="auto"/>
        <w:ind w:firstLine="420" w:firstLineChars="200"/>
        <w:rPr>
          <w:rFonts w:ascii="宋体" w:hAnsi="宋体" w:cs="宋体"/>
          <w:color w:val="auto"/>
          <w:szCs w:val="21"/>
        </w:rPr>
      </w:pPr>
      <w:r>
        <w:rPr>
          <w:rFonts w:hint="eastAsia" w:ascii="宋体" w:hAnsi="宋体" w:cs="宋体"/>
          <w:color w:val="auto"/>
          <w:szCs w:val="21"/>
        </w:rPr>
        <w:t>5.3</w:t>
      </w:r>
      <w:bookmarkStart w:id="18" w:name="_Hlk65857072"/>
      <w:r>
        <w:rPr>
          <w:rFonts w:hint="eastAsia" w:ascii="宋体" w:hAnsi="宋体" w:cs="宋体"/>
          <w:color w:val="auto"/>
          <w:szCs w:val="21"/>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8"/>
    </w:p>
    <w:p w14:paraId="223F9E57">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 xml:space="preserve">6.转包与分包 </w:t>
      </w:r>
      <w:r>
        <w:rPr>
          <w:rFonts w:hint="eastAsia" w:ascii="宋体" w:hAnsi="宋体" w:cs="宋体"/>
          <w:b/>
          <w:bCs/>
          <w:color w:val="auto"/>
          <w:sz w:val="32"/>
          <w:szCs w:val="32"/>
        </w:rPr>
        <w:t xml:space="preserve">            </w:t>
      </w:r>
    </w:p>
    <w:p w14:paraId="656A9C6A">
      <w:pPr>
        <w:pStyle w:val="6"/>
        <w:keepNext w:val="0"/>
        <w:keepLines w:val="0"/>
        <w:spacing w:before="0" w:after="0" w:line="360" w:lineRule="auto"/>
        <w:ind w:firstLine="420" w:firstLineChars="200"/>
        <w:rPr>
          <w:rFonts w:ascii="宋体" w:hAnsi="宋体" w:cs="宋体"/>
          <w:b w:val="0"/>
          <w:color w:val="auto"/>
          <w:sz w:val="21"/>
          <w:szCs w:val="21"/>
        </w:rPr>
      </w:pPr>
      <w:bookmarkStart w:id="19" w:name="_Toc254970673"/>
      <w:bookmarkStart w:id="20" w:name="_Toc254970532"/>
      <w:r>
        <w:rPr>
          <w:rFonts w:hint="eastAsia" w:ascii="宋体" w:hAnsi="宋体" w:cs="宋体"/>
          <w:b w:val="0"/>
          <w:color w:val="auto"/>
          <w:sz w:val="21"/>
          <w:szCs w:val="21"/>
        </w:rPr>
        <w:t>6.1本项目不允许转包。</w:t>
      </w:r>
    </w:p>
    <w:p w14:paraId="3DB68247">
      <w:pPr>
        <w:pStyle w:val="6"/>
        <w:keepNext w:val="0"/>
        <w:keepLines w:val="0"/>
        <w:spacing w:before="0" w:after="0" w:line="360" w:lineRule="auto"/>
        <w:ind w:firstLine="315" w:firstLineChars="150"/>
        <w:rPr>
          <w:rFonts w:ascii="宋体" w:hAnsi="宋体" w:cs="宋体"/>
          <w:b w:val="0"/>
          <w:color w:val="auto"/>
          <w:sz w:val="21"/>
          <w:szCs w:val="21"/>
        </w:rPr>
      </w:pPr>
      <w:r>
        <w:rPr>
          <w:rFonts w:hint="eastAsia" w:ascii="宋体" w:hAnsi="宋体" w:cs="宋体"/>
          <w:b w:val="0"/>
          <w:color w:val="auto"/>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1B29EDC9">
      <w:pPr>
        <w:pStyle w:val="6"/>
        <w:keepNext w:val="0"/>
        <w:keepLines w:val="0"/>
        <w:spacing w:before="0" w:after="0" w:line="360" w:lineRule="auto"/>
        <w:ind w:firstLine="315" w:firstLineChars="150"/>
        <w:rPr>
          <w:rFonts w:ascii="宋体" w:hAnsi="宋体" w:cs="宋体"/>
          <w:b w:val="0"/>
          <w:color w:val="auto"/>
          <w:sz w:val="21"/>
          <w:szCs w:val="21"/>
        </w:rPr>
      </w:pPr>
      <w:r>
        <w:rPr>
          <w:rFonts w:hint="eastAsia" w:ascii="宋体" w:hAnsi="宋体" w:cs="宋体"/>
          <w:b w:val="0"/>
          <w:color w:val="auto"/>
          <w:sz w:val="21"/>
          <w:szCs w:val="21"/>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7DD4A739">
      <w:pPr>
        <w:spacing w:line="360" w:lineRule="auto"/>
        <w:ind w:firstLine="482" w:firstLineChars="200"/>
        <w:rPr>
          <w:rFonts w:ascii="宋体" w:hAnsi="宋体" w:cs="宋体"/>
          <w:color w:val="auto"/>
          <w:sz w:val="24"/>
        </w:rPr>
      </w:pPr>
      <w:r>
        <w:rPr>
          <w:rFonts w:hint="eastAsia" w:ascii="宋体" w:hAnsi="宋体" w:cs="宋体"/>
          <w:b/>
          <w:bCs/>
          <w:color w:val="auto"/>
          <w:sz w:val="24"/>
        </w:rPr>
        <w:t>7.特别说明</w:t>
      </w:r>
      <w:bookmarkEnd w:id="19"/>
      <w:bookmarkEnd w:id="20"/>
      <w:bookmarkStart w:id="21" w:name="_8.1提供相同品牌产品且通过资格审查、符合性审查的不同投标人参加同一合"/>
      <w:bookmarkEnd w:id="21"/>
    </w:p>
    <w:p w14:paraId="47DF5FCD">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1</w:t>
      </w:r>
      <w:r>
        <w:rPr>
          <w:rFonts w:hint="eastAsia" w:ascii="宋体" w:hAnsi="宋体" w:cs="宋体"/>
          <w:color w:val="auto"/>
          <w:szCs w:val="21"/>
        </w:rPr>
        <w:t>如果本谈判文件要求提供供应商或制造商的资格、信誉、荣誉、业绩与企业认证等材料的，资格、信誉、荣誉、业绩与企业认证等必须为供应商或者制造商所拥有或自身获得 。</w:t>
      </w:r>
    </w:p>
    <w:p w14:paraId="33159214">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2</w:t>
      </w:r>
      <w:r>
        <w:rPr>
          <w:rFonts w:hint="eastAsia" w:ascii="宋体" w:hAnsi="宋体" w:cs="宋体"/>
          <w:color w:val="auto"/>
          <w:szCs w:val="21"/>
        </w:rPr>
        <w:t>供应商应仔细阅读谈判文件的所有内容，按照谈判文件的要求提交响应文件，并对所提供的全部资料的真实性承担法律责任。</w:t>
      </w:r>
    </w:p>
    <w:p w14:paraId="6C50BB2C">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3</w:t>
      </w:r>
      <w:r>
        <w:rPr>
          <w:rFonts w:hint="eastAsia" w:ascii="宋体" w:hAnsi="宋体" w:cs="宋体"/>
          <w:color w:val="auto"/>
          <w:szCs w:val="21"/>
        </w:rPr>
        <w:t>供应商在参与</w:t>
      </w:r>
      <w:r>
        <w:rPr>
          <w:rFonts w:hint="eastAsia" w:hAnsi="宋体" w:cs="宋体"/>
          <w:color w:val="auto"/>
          <w:szCs w:val="21"/>
        </w:rPr>
        <w:t>竞争性谈判</w:t>
      </w:r>
      <w:r>
        <w:rPr>
          <w:rFonts w:hint="eastAsia" w:ascii="宋体" w:hAnsi="宋体" w:cs="宋体"/>
          <w:color w:val="auto"/>
          <w:szCs w:val="21"/>
        </w:rPr>
        <w:t>活动中提供任何虚假材料,其响应文件按无效响应处理，并报监管部门查处；签订合同后发现的, 采购人有权单方解除合同，成交供应商须依法赔偿采购人，且民事赔偿并不免除违法供应商的行政与刑事责任。</w:t>
      </w:r>
    </w:p>
    <w:p w14:paraId="761AB348">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4</w:t>
      </w:r>
      <w:r>
        <w:rPr>
          <w:rFonts w:hint="eastAsia" w:ascii="宋体" w:hAnsi="宋体" w:cs="宋体"/>
          <w:color w:val="auto"/>
          <w:szCs w:val="21"/>
        </w:rPr>
        <w:t>在政府采购活动中，采购人员及相关人员与供应商有下列利害关系之一的，应当回避：</w:t>
      </w:r>
    </w:p>
    <w:p w14:paraId="65941F38">
      <w:pPr>
        <w:spacing w:line="360" w:lineRule="auto"/>
        <w:ind w:firstLine="420" w:firstLineChars="200"/>
        <w:rPr>
          <w:rFonts w:ascii="宋体" w:hAnsi="宋体" w:cs="宋体"/>
          <w:color w:val="auto"/>
          <w:szCs w:val="21"/>
        </w:rPr>
      </w:pPr>
      <w:r>
        <w:rPr>
          <w:rFonts w:hint="eastAsia" w:ascii="宋体" w:hAnsi="宋体" w:cs="宋体"/>
          <w:color w:val="auto"/>
          <w:szCs w:val="21"/>
        </w:rPr>
        <w:t>（1）参加采购活动前3年内与供应商存在劳动关系；</w:t>
      </w:r>
    </w:p>
    <w:p w14:paraId="552BF7BE">
      <w:pPr>
        <w:spacing w:line="360" w:lineRule="auto"/>
        <w:ind w:firstLine="420" w:firstLineChars="200"/>
        <w:rPr>
          <w:rFonts w:ascii="宋体" w:hAnsi="宋体" w:cs="宋体"/>
          <w:color w:val="auto"/>
          <w:szCs w:val="21"/>
        </w:rPr>
      </w:pPr>
      <w:r>
        <w:rPr>
          <w:rFonts w:hint="eastAsia" w:ascii="宋体" w:hAnsi="宋体" w:cs="宋体"/>
          <w:color w:val="auto"/>
          <w:szCs w:val="21"/>
        </w:rPr>
        <w:t>（2）参加采购活动前3年内担任供应商的董事、监事；</w:t>
      </w:r>
    </w:p>
    <w:p w14:paraId="45F29AD3">
      <w:pPr>
        <w:spacing w:line="360" w:lineRule="auto"/>
        <w:ind w:firstLine="420" w:firstLineChars="200"/>
        <w:rPr>
          <w:rFonts w:ascii="宋体" w:hAnsi="宋体" w:cs="宋体"/>
          <w:color w:val="auto"/>
          <w:szCs w:val="21"/>
        </w:rPr>
      </w:pPr>
      <w:r>
        <w:rPr>
          <w:rFonts w:hint="eastAsia" w:ascii="宋体" w:hAnsi="宋体" w:cs="宋体"/>
          <w:color w:val="auto"/>
          <w:szCs w:val="21"/>
        </w:rPr>
        <w:t>（3）参加采购活动前3年内是供应商的控股股东或者实际控制人；</w:t>
      </w:r>
    </w:p>
    <w:p w14:paraId="04E0F905">
      <w:pPr>
        <w:spacing w:line="360" w:lineRule="auto"/>
        <w:ind w:firstLine="420" w:firstLineChars="200"/>
        <w:rPr>
          <w:rFonts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14:paraId="16E9AAE1">
      <w:pPr>
        <w:spacing w:line="360" w:lineRule="auto"/>
        <w:ind w:firstLine="420" w:firstLineChars="200"/>
        <w:rPr>
          <w:rFonts w:ascii="宋体" w:hAnsi="宋体" w:cs="宋体"/>
          <w:color w:val="auto"/>
          <w:szCs w:val="21"/>
        </w:rPr>
      </w:pPr>
      <w:r>
        <w:rPr>
          <w:rFonts w:hint="eastAsia" w:ascii="宋体" w:hAnsi="宋体" w:cs="宋体"/>
          <w:color w:val="auto"/>
          <w:szCs w:val="21"/>
        </w:rPr>
        <w:t>（5）与供应商有其他可能影响政府采购活动公平、公正进行的关系。</w:t>
      </w:r>
    </w:p>
    <w:p w14:paraId="59C00C3A">
      <w:pPr>
        <w:spacing w:line="360" w:lineRule="auto"/>
        <w:ind w:firstLine="420" w:firstLineChars="200"/>
        <w:rPr>
          <w:rFonts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F2A1677">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5</w:t>
      </w:r>
      <w:r>
        <w:rPr>
          <w:rFonts w:hint="eastAsia" w:ascii="宋体" w:hAnsi="宋体" w:cs="宋体"/>
          <w:color w:val="auto"/>
          <w:szCs w:val="21"/>
        </w:rPr>
        <w:t>有下列情形之一的视为供应商相互串通参与</w:t>
      </w:r>
      <w:r>
        <w:rPr>
          <w:rFonts w:hint="eastAsia" w:hAnsi="宋体" w:cs="宋体"/>
          <w:color w:val="auto"/>
          <w:szCs w:val="21"/>
        </w:rPr>
        <w:t>竞争性谈判</w:t>
      </w:r>
      <w:r>
        <w:rPr>
          <w:rFonts w:hint="eastAsia" w:ascii="宋体" w:hAnsi="宋体" w:cs="宋体"/>
          <w:color w:val="auto"/>
          <w:szCs w:val="21"/>
        </w:rPr>
        <w:t>，响应文件将被视为无效：</w:t>
      </w:r>
    </w:p>
    <w:p w14:paraId="2838C013">
      <w:pPr>
        <w:spacing w:line="360" w:lineRule="auto"/>
        <w:ind w:firstLine="420" w:firstLineChars="200"/>
        <w:rPr>
          <w:rFonts w:ascii="宋体" w:hAnsi="宋体" w:cs="宋体"/>
          <w:color w:val="auto"/>
          <w:szCs w:val="21"/>
        </w:rPr>
      </w:pPr>
      <w:r>
        <w:rPr>
          <w:rFonts w:hint="eastAsia" w:ascii="宋体" w:hAnsi="宋体" w:cs="宋体"/>
          <w:color w:val="auto"/>
          <w:szCs w:val="21"/>
        </w:rPr>
        <w:t>（1）不同供应商的响应文件由同一单位或者个人编制；</w:t>
      </w:r>
      <w:r>
        <w:rPr>
          <w:rFonts w:hint="eastAsia" w:ascii="宋体" w:hAnsi="宋体" w:cs="宋体"/>
          <w:color w:val="auto"/>
          <w:szCs w:val="21"/>
          <w:shd w:val="clear" w:color="auto" w:fill="FFFFFF"/>
        </w:rPr>
        <w:t>或者上传提交响应文件硬件设备CPU编号、硬盘编号、网卡地址一致的情况；</w:t>
      </w:r>
    </w:p>
    <w:p w14:paraId="1B309ABC">
      <w:pPr>
        <w:spacing w:line="360" w:lineRule="auto"/>
        <w:ind w:firstLine="420" w:firstLineChars="200"/>
        <w:rPr>
          <w:rFonts w:ascii="宋体" w:hAnsi="宋体" w:cs="宋体"/>
          <w:color w:val="auto"/>
          <w:szCs w:val="21"/>
        </w:rPr>
      </w:pPr>
      <w:r>
        <w:rPr>
          <w:rFonts w:hint="eastAsia" w:ascii="宋体" w:hAnsi="宋体" w:cs="宋体"/>
          <w:color w:val="auto"/>
          <w:szCs w:val="21"/>
        </w:rPr>
        <w:t>（2）不同供应商委托同一单位或者个人办理</w:t>
      </w:r>
      <w:r>
        <w:rPr>
          <w:rFonts w:hint="eastAsia" w:hAnsi="宋体" w:cs="宋体"/>
          <w:color w:val="auto"/>
          <w:szCs w:val="21"/>
        </w:rPr>
        <w:t>竞争性谈判</w:t>
      </w:r>
      <w:r>
        <w:rPr>
          <w:rFonts w:hint="eastAsia" w:ascii="宋体" w:hAnsi="宋体" w:cs="宋体"/>
          <w:color w:val="auto"/>
          <w:szCs w:val="21"/>
        </w:rPr>
        <w:t>事宜；</w:t>
      </w:r>
    </w:p>
    <w:p w14:paraId="13CE7C90">
      <w:pPr>
        <w:spacing w:line="360" w:lineRule="auto"/>
        <w:ind w:firstLine="420" w:firstLineChars="200"/>
        <w:rPr>
          <w:rFonts w:ascii="宋体" w:hAnsi="宋体" w:cs="宋体"/>
          <w:color w:val="auto"/>
          <w:szCs w:val="21"/>
        </w:rPr>
      </w:pPr>
      <w:r>
        <w:rPr>
          <w:rFonts w:hint="eastAsia" w:ascii="宋体" w:hAnsi="宋体" w:cs="宋体"/>
          <w:color w:val="auto"/>
          <w:szCs w:val="21"/>
        </w:rPr>
        <w:t>（3）不同的供应商的响应文件载明的项目管理员为同一个人；</w:t>
      </w:r>
    </w:p>
    <w:p w14:paraId="70107657">
      <w:pPr>
        <w:spacing w:line="360" w:lineRule="auto"/>
        <w:ind w:firstLine="420" w:firstLineChars="200"/>
        <w:rPr>
          <w:rFonts w:ascii="宋体" w:hAnsi="宋体" w:cs="宋体"/>
          <w:color w:val="auto"/>
          <w:szCs w:val="21"/>
        </w:rPr>
      </w:pPr>
      <w:r>
        <w:rPr>
          <w:rFonts w:hint="eastAsia" w:ascii="宋体" w:hAnsi="宋体" w:cs="宋体"/>
          <w:color w:val="auto"/>
          <w:szCs w:val="21"/>
        </w:rPr>
        <w:t>（4）不同供应商的响应文件异常一致或者报价呈规律性差异；</w:t>
      </w:r>
    </w:p>
    <w:p w14:paraId="6D487625">
      <w:pPr>
        <w:spacing w:line="360" w:lineRule="auto"/>
        <w:ind w:firstLine="420" w:firstLineChars="200"/>
        <w:rPr>
          <w:rFonts w:ascii="宋体" w:hAnsi="宋体" w:cs="宋体"/>
          <w:color w:val="auto"/>
          <w:szCs w:val="21"/>
        </w:rPr>
      </w:pPr>
      <w:r>
        <w:rPr>
          <w:rFonts w:hint="eastAsia" w:ascii="宋体" w:hAnsi="宋体" w:cs="宋体"/>
          <w:color w:val="auto"/>
          <w:szCs w:val="21"/>
        </w:rPr>
        <w:t>（5）不同供应商的响应文件相互混装；</w:t>
      </w:r>
    </w:p>
    <w:p w14:paraId="4B045211">
      <w:pPr>
        <w:spacing w:line="360" w:lineRule="auto"/>
        <w:ind w:firstLine="420" w:firstLineChars="200"/>
        <w:rPr>
          <w:rFonts w:ascii="宋体" w:hAnsi="宋体" w:cs="宋体"/>
          <w:color w:val="auto"/>
          <w:szCs w:val="21"/>
        </w:rPr>
      </w:pPr>
      <w:r>
        <w:rPr>
          <w:rFonts w:hint="eastAsia" w:ascii="宋体" w:hAnsi="宋体" w:cs="宋体"/>
          <w:color w:val="auto"/>
          <w:szCs w:val="21"/>
        </w:rPr>
        <w:t>（6）不同供应商的谈判保证金从同一单位或者个人账户转出；</w:t>
      </w:r>
    </w:p>
    <w:p w14:paraId="399565BF">
      <w:pPr>
        <w:spacing w:line="360" w:lineRule="auto"/>
        <w:ind w:firstLine="420" w:firstLineChars="200"/>
        <w:rPr>
          <w:rFonts w:ascii="宋体" w:hAnsi="宋体" w:cs="宋体"/>
          <w:color w:val="auto"/>
          <w:szCs w:val="21"/>
        </w:rPr>
      </w:pPr>
      <w:r>
        <w:rPr>
          <w:rFonts w:hint="eastAsia" w:ascii="宋体" w:hAnsi="宋体" w:cs="宋体"/>
          <w:color w:val="auto"/>
          <w:szCs w:val="21"/>
        </w:rPr>
        <w:t>（7）供应商之间协商报价等响应文件的实质性内容；</w:t>
      </w:r>
    </w:p>
    <w:p w14:paraId="70F88EDE">
      <w:pPr>
        <w:spacing w:line="360" w:lineRule="auto"/>
        <w:ind w:firstLine="420" w:firstLineChars="200"/>
        <w:rPr>
          <w:rFonts w:ascii="宋体" w:hAnsi="宋体" w:cs="宋体"/>
          <w:color w:val="auto"/>
          <w:szCs w:val="21"/>
        </w:rPr>
      </w:pPr>
      <w:r>
        <w:rPr>
          <w:rFonts w:hint="eastAsia" w:ascii="宋体" w:hAnsi="宋体" w:cs="宋体"/>
          <w:color w:val="auto"/>
          <w:szCs w:val="21"/>
        </w:rPr>
        <w:t>（8）供应商之间约定成交供应商；</w:t>
      </w:r>
    </w:p>
    <w:p w14:paraId="24968679">
      <w:pPr>
        <w:spacing w:line="360" w:lineRule="auto"/>
        <w:ind w:firstLine="420" w:firstLineChars="200"/>
        <w:rPr>
          <w:rFonts w:ascii="宋体" w:hAnsi="宋体" w:cs="宋体"/>
          <w:color w:val="auto"/>
          <w:szCs w:val="21"/>
        </w:rPr>
      </w:pPr>
      <w:r>
        <w:rPr>
          <w:rFonts w:hint="eastAsia" w:ascii="宋体" w:hAnsi="宋体" w:cs="宋体"/>
          <w:color w:val="auto"/>
          <w:szCs w:val="21"/>
        </w:rPr>
        <w:t>（9）供应商之间约定部分供应商放弃参与竞争性谈判或者成交；</w:t>
      </w:r>
    </w:p>
    <w:p w14:paraId="31FDDE14">
      <w:pPr>
        <w:spacing w:line="360" w:lineRule="auto"/>
        <w:ind w:firstLine="420" w:firstLineChars="200"/>
        <w:rPr>
          <w:rFonts w:ascii="宋体" w:hAnsi="宋体" w:cs="宋体"/>
          <w:color w:val="auto"/>
          <w:szCs w:val="21"/>
        </w:rPr>
      </w:pPr>
      <w:r>
        <w:rPr>
          <w:rFonts w:hint="eastAsia" w:ascii="宋体" w:hAnsi="宋体" w:cs="宋体"/>
          <w:color w:val="auto"/>
          <w:szCs w:val="21"/>
        </w:rPr>
        <w:t>（10）属于同一集团、协会、商会等组织成员的供应商按照该组织要求协同参与竞争性谈判；</w:t>
      </w:r>
    </w:p>
    <w:p w14:paraId="22E24F7D">
      <w:pPr>
        <w:spacing w:line="360" w:lineRule="auto"/>
        <w:ind w:firstLine="420" w:firstLineChars="200"/>
        <w:rPr>
          <w:rFonts w:ascii="宋体" w:hAnsi="宋体" w:cs="宋体"/>
          <w:color w:val="auto"/>
          <w:szCs w:val="21"/>
        </w:rPr>
      </w:pPr>
      <w:r>
        <w:rPr>
          <w:rFonts w:hint="eastAsia" w:ascii="宋体" w:hAnsi="宋体" w:cs="宋体"/>
          <w:color w:val="auto"/>
          <w:szCs w:val="21"/>
        </w:rPr>
        <w:t>（11）供应商之间为谋取成交或者排斥特定供应商而采取的其他联合行动。</w:t>
      </w:r>
    </w:p>
    <w:p w14:paraId="54DF5706">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6</w:t>
      </w:r>
      <w:r>
        <w:rPr>
          <w:rFonts w:hint="eastAsia" w:ascii="宋体" w:hAnsi="宋体" w:cs="宋体"/>
          <w:color w:val="auto"/>
          <w:szCs w:val="21"/>
        </w:rPr>
        <w:t>供应商有下列情形之一的，属于恶意串通行为</w:t>
      </w:r>
      <w:bookmarkStart w:id="22" w:name="_Hlk54682620"/>
      <w:r>
        <w:rPr>
          <w:rFonts w:hint="eastAsia" w:ascii="宋体" w:hAnsi="宋体" w:cs="宋体"/>
          <w:color w:val="auto"/>
          <w:szCs w:val="21"/>
        </w:rPr>
        <w:t>，将报同级监督管理部门</w:t>
      </w:r>
      <w:bookmarkEnd w:id="22"/>
      <w:r>
        <w:rPr>
          <w:rFonts w:hint="eastAsia" w:ascii="宋体" w:hAnsi="宋体" w:cs="宋体"/>
          <w:color w:val="auto"/>
          <w:szCs w:val="21"/>
        </w:rPr>
        <w:t>：</w:t>
      </w:r>
    </w:p>
    <w:p w14:paraId="3C5B7EF6">
      <w:pPr>
        <w:spacing w:line="360" w:lineRule="auto"/>
        <w:ind w:firstLine="420" w:firstLineChars="200"/>
        <w:rPr>
          <w:rFonts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14:paraId="3EFCCEBA">
      <w:pPr>
        <w:spacing w:line="360" w:lineRule="auto"/>
        <w:ind w:firstLine="420" w:firstLineChars="200"/>
        <w:rPr>
          <w:rFonts w:ascii="宋体" w:hAnsi="宋体" w:cs="宋体"/>
          <w:color w:val="auto"/>
          <w:szCs w:val="21"/>
        </w:rPr>
      </w:pPr>
      <w:r>
        <w:rPr>
          <w:rFonts w:hint="eastAsia" w:ascii="宋体" w:hAnsi="宋体" w:cs="宋体"/>
          <w:color w:val="auto"/>
          <w:szCs w:val="21"/>
        </w:rPr>
        <w:t>（2）供应商按照采购人或者采购代理机构的授意撤换、修改响应文件；</w:t>
      </w:r>
    </w:p>
    <w:p w14:paraId="7EEC1D55">
      <w:pPr>
        <w:spacing w:line="360" w:lineRule="auto"/>
        <w:ind w:firstLine="420" w:firstLineChars="200"/>
        <w:rPr>
          <w:rFonts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14:paraId="393399B5">
      <w:pPr>
        <w:spacing w:line="360" w:lineRule="auto"/>
        <w:ind w:firstLine="420" w:firstLineChars="200"/>
        <w:rPr>
          <w:rFonts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334CE0F7">
      <w:pPr>
        <w:spacing w:line="360" w:lineRule="auto"/>
        <w:ind w:firstLine="420" w:firstLineChars="200"/>
        <w:rPr>
          <w:rFonts w:ascii="宋体" w:hAnsi="宋体" w:cs="宋体"/>
          <w:color w:val="auto"/>
          <w:szCs w:val="21"/>
        </w:rPr>
      </w:pPr>
      <w:r>
        <w:rPr>
          <w:rFonts w:hint="eastAsia" w:ascii="宋体" w:hAnsi="宋体" w:cs="宋体"/>
          <w:color w:val="auto"/>
          <w:szCs w:val="21"/>
        </w:rPr>
        <w:t>（5）供应商之间事先约定一致抬高或者压低报价,或者在政府采购活动中事先约定轮流以高价位或者低价位成交,或者事先约定由某一特定供应商成交,然后再参加</w:t>
      </w:r>
      <w:r>
        <w:rPr>
          <w:rFonts w:hint="eastAsia" w:hAnsi="宋体" w:cs="宋体"/>
          <w:color w:val="auto"/>
          <w:szCs w:val="21"/>
        </w:rPr>
        <w:t>竞争性谈判</w:t>
      </w:r>
      <w:r>
        <w:rPr>
          <w:rFonts w:hint="eastAsia" w:ascii="宋体" w:hAnsi="宋体" w:cs="宋体"/>
          <w:color w:val="auto"/>
          <w:szCs w:val="21"/>
        </w:rPr>
        <w:t>；</w:t>
      </w:r>
    </w:p>
    <w:p w14:paraId="2A556BD9">
      <w:pPr>
        <w:spacing w:line="360" w:lineRule="auto"/>
        <w:ind w:firstLine="420" w:firstLineChars="200"/>
        <w:rPr>
          <w:rFonts w:ascii="宋体" w:hAnsi="宋体" w:cs="宋体"/>
          <w:color w:val="auto"/>
          <w:szCs w:val="21"/>
        </w:rPr>
      </w:pPr>
      <w:r>
        <w:rPr>
          <w:rFonts w:hint="eastAsia" w:ascii="宋体" w:hAnsi="宋体" w:cs="宋体"/>
          <w:color w:val="auto"/>
          <w:szCs w:val="21"/>
        </w:rPr>
        <w:t>（6）供应商之间商定部分供应商放弃参加政府采购活动或者放弃成交；</w:t>
      </w:r>
    </w:p>
    <w:p w14:paraId="0415EB23">
      <w:pPr>
        <w:spacing w:line="360" w:lineRule="auto"/>
        <w:ind w:firstLine="420" w:firstLineChars="200"/>
        <w:rPr>
          <w:rFonts w:ascii="宋体" w:hAnsi="宋体" w:cs="宋体"/>
          <w:color w:val="auto"/>
          <w:szCs w:val="21"/>
        </w:rPr>
      </w:pPr>
      <w:r>
        <w:rPr>
          <w:rFonts w:hint="eastAsia" w:ascii="宋体" w:hAnsi="宋体" w:cs="宋体"/>
          <w:color w:val="auto"/>
          <w:szCs w:val="21"/>
        </w:rPr>
        <w:t>（7）供应商与采购人或者采购代理机构之间、供应商相互之间，为谋求特定供应商成交或者排斥其他供应商的其他串通行为。</w:t>
      </w:r>
    </w:p>
    <w:p w14:paraId="39AD58DB">
      <w:pPr>
        <w:spacing w:line="360" w:lineRule="auto"/>
        <w:ind w:firstLine="420" w:firstLineChars="200"/>
        <w:rPr>
          <w:rFonts w:ascii="宋体" w:hAnsi="宋体" w:cs="宋体"/>
          <w:color w:val="auto"/>
          <w:szCs w:val="21"/>
        </w:rPr>
      </w:pPr>
      <w:r>
        <w:rPr>
          <w:rFonts w:ascii="宋体" w:hAnsi="宋体" w:cs="宋体"/>
          <w:color w:val="auto"/>
          <w:szCs w:val="21"/>
        </w:rPr>
        <w:t>7.7</w:t>
      </w:r>
      <w:r>
        <w:rPr>
          <w:rFonts w:hint="eastAsia" w:ascii="宋体" w:hAnsi="宋体" w:cs="宋体"/>
          <w:color w:val="auto"/>
          <w:szCs w:val="21"/>
        </w:rPr>
        <w:t>单一产品采购项目，提供相同品牌产品的不同供应商参加同一合同项下</w:t>
      </w:r>
      <w:r>
        <w:rPr>
          <w:rFonts w:hint="eastAsia" w:hAnsi="宋体" w:cs="宋体"/>
          <w:color w:val="auto"/>
          <w:szCs w:val="21"/>
        </w:rPr>
        <w:t>竞争性谈判</w:t>
      </w:r>
      <w:r>
        <w:rPr>
          <w:rFonts w:hint="eastAsia" w:ascii="宋体" w:hAnsi="宋体" w:cs="宋体"/>
          <w:color w:val="auto"/>
          <w:szCs w:val="21"/>
        </w:rPr>
        <w:t>的，以其中通过资格审查、符合性审查、谈判且最后报价最低的参加报价评审；最后报价相同的，按照前附表第2</w:t>
      </w:r>
      <w:r>
        <w:rPr>
          <w:rFonts w:ascii="宋体" w:hAnsi="宋体" w:cs="宋体"/>
          <w:color w:val="auto"/>
          <w:szCs w:val="21"/>
        </w:rPr>
        <w:t>6</w:t>
      </w:r>
      <w:r>
        <w:rPr>
          <w:rFonts w:hint="eastAsia" w:ascii="宋体" w:hAnsi="宋体" w:cs="宋体"/>
          <w:color w:val="auto"/>
          <w:szCs w:val="21"/>
        </w:rPr>
        <w:t>条规定确定一个参加评审的供应商，其他响应文件作无效处理。</w:t>
      </w:r>
    </w:p>
    <w:p w14:paraId="321655A5">
      <w:pPr>
        <w:spacing w:line="360" w:lineRule="auto"/>
        <w:ind w:firstLine="420" w:firstLineChars="200"/>
        <w:rPr>
          <w:rFonts w:ascii="宋体" w:hAnsi="宋体" w:cs="宋体"/>
          <w:color w:val="auto"/>
          <w:szCs w:val="21"/>
        </w:rPr>
      </w:pPr>
      <w:r>
        <w:rPr>
          <w:rFonts w:hint="eastAsia" w:ascii="宋体" w:hAnsi="宋体" w:cs="宋体"/>
          <w:color w:val="auto"/>
          <w:szCs w:val="21"/>
        </w:rPr>
        <w:t>非单一产品采购项目，多家供应商提供的核心产品品牌相同的，按前款规定处理；多家供应商提供的所有产品品牌相同，按前款处理。</w:t>
      </w:r>
    </w:p>
    <w:p w14:paraId="0B696ED0">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7.8.对本国产品的支持政策</w:t>
      </w:r>
    </w:p>
    <w:p w14:paraId="24AFE63F">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7.8.1本国产品标准</w:t>
      </w:r>
    </w:p>
    <w:p w14:paraId="71754DC2">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“本国产品标准的产品”是指：符合《国务院办公厅关于在政府采购中实施本国产品标准及相关政策的通知》（国办发〔2025〕34号）规定的本国产品标准的产品。</w:t>
      </w:r>
    </w:p>
    <w:p w14:paraId="4D7E17FD">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本国产品标准的产品应当符合以下条件：</w:t>
      </w:r>
    </w:p>
    <w:p w14:paraId="3B63A7F7">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p>
    <w:p w14:paraId="5ADA68BB">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①为确保产品在运输或者储存期间保持某种状态而进行的操作；</w:t>
      </w:r>
    </w:p>
    <w:p w14:paraId="710A6E66">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②为产品运输或者销售进行的包装或者展示；</w:t>
      </w:r>
    </w:p>
    <w:p w14:paraId="410044CA">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③在产品或者其包装上粘贴或者印刷品牌、标志、标识以及其他用于区别的标记；</w:t>
      </w:r>
    </w:p>
    <w:p w14:paraId="6E3880CB">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④简单的上漆、磨光和分装；</w:t>
      </w:r>
    </w:p>
    <w:p w14:paraId="2B4A3DD9">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⑤其他不属于属性改变的情形；</w:t>
      </w:r>
    </w:p>
    <w:p w14:paraId="248AE92A">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中国境内生产的组件成本占比达到规定比例。</w:t>
      </w:r>
    </w:p>
    <w:p w14:paraId="064AEBB9">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①产品在中国境内生产的组件成本占比应当达到规定比例，计算公式为：产品在中国境内生产的组件成本/产品总成本≥规定比例；</w:t>
      </w:r>
    </w:p>
    <w:p w14:paraId="5175468B">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②产品在中国境内生产的组件成本，按照《中国境内生产的组件成本核算基本规则》（见第七章15.6中的附件）计算；</w:t>
      </w:r>
    </w:p>
    <w:p w14:paraId="67E2AAB4">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③中国境内生产的组件成本占比相关要求实施前，符合第（一）项条件的产品在政府采购活动中视同本国产品。</w:t>
      </w:r>
    </w:p>
    <w:p w14:paraId="19E8B0D9">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特定产品的关键组件和工序在中国境内完成。</w:t>
      </w:r>
    </w:p>
    <w:p w14:paraId="6334A822">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①对特定产品，在符合第（一）项和第（二）项条件的基础上，应当符合财政部会同有关行业主管部门确定的其关键组件、关键工序在中国境内生产、完成等要求；</w:t>
      </w:r>
    </w:p>
    <w:p w14:paraId="45F11241">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②特定产品的关键组件、关键工序符合相关要求实施前，符合第（一）项和第（二）项条件的产品在政府采购活动中视同本国产品。</w:t>
      </w:r>
    </w:p>
    <w:p w14:paraId="163ACCE7">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7.8.2本国产品标准的适用范围</w:t>
      </w:r>
    </w:p>
    <w:p w14:paraId="352C106D">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项目是否适用对本国产品的支持政策详见供应商须知前附表。</w:t>
      </w:r>
    </w:p>
    <w:p w14:paraId="7C9EDC3A">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中华人民共和国缔结或者共同参加的国际条约、协定对政府采购中本国产品政策另有规定的，按照有关条约、协定执行。</w:t>
      </w:r>
    </w:p>
    <w:p w14:paraId="5D559ACF">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7.8.3价格评审优惠既有本国产品又有非本国产品参与竞争的，依法对本国产品给予价格评审优惠，对本国产品的报价给予20%的价格扣除，用扣除后的价格参与评审。</w:t>
      </w:r>
    </w:p>
    <w:p w14:paraId="6A70C4B2">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EBB8DB8">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价格扣除比例在第四章评审方法及标准中规定。</w:t>
      </w:r>
    </w:p>
    <w:p w14:paraId="7815C981">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7.8.4政策执行要求</w:t>
      </w:r>
    </w:p>
    <w:p w14:paraId="744D928B">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7.8.4.1产品在中国境内生产的组件成本核算规则：产品在中国境内生产的组件成本，按照《中国境内生产的组件成本核算基本规则》计算。</w:t>
      </w:r>
    </w:p>
    <w:p w14:paraId="22C6CB5F">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《中国境内生产的组件成本核算基本规则》</w:t>
      </w:r>
    </w:p>
    <w:p w14:paraId="44CDFF27">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E72D11A">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1.产品的一级组件是指直接组成产品的组件。产品的二级组件是指直接组成产品一级组件的组件。一级组件不可分解的，视同二级组件。</w:t>
      </w:r>
    </w:p>
    <w:p w14:paraId="2D53C965">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2.二级组件在中国境内生产的，其全部成本计入中国境内生产的组件成本；二级组件不在中国境内生产的，其成本不计入中国境内生产的组件成本。</w:t>
      </w:r>
    </w:p>
    <w:p w14:paraId="354D6AB9">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3.产品总成本和组件成本以相关会计核算数据、采购合同、进货记录等为基础进行计算。</w:t>
      </w:r>
    </w:p>
    <w:p w14:paraId="4A2EB48A">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4.需要对成本核算规则予以进一步明确的其他有关事项，由财政部会同有关部门另行规定。</w:t>
      </w:r>
    </w:p>
    <w:p w14:paraId="066B6EDA">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7.8.4.2证明材料要求：供应商需在竞标文件中对其提供的产品出具《关于符合本国产品标准的声明函》（样式见竞标文件格式）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4EF03FDF">
      <w:pPr>
        <w:pStyle w:val="18"/>
        <w:rPr>
          <w:color w:val="auto"/>
        </w:rPr>
      </w:pPr>
    </w:p>
    <w:p w14:paraId="34668521">
      <w:pPr>
        <w:spacing w:line="360" w:lineRule="auto"/>
        <w:ind w:firstLine="477" w:firstLineChars="199"/>
        <w:jc w:val="center"/>
        <w:rPr>
          <w:rFonts w:ascii="宋体" w:hAnsi="宋体" w:cs="宋体"/>
          <w:color w:val="auto"/>
          <w:sz w:val="24"/>
          <w:szCs w:val="32"/>
        </w:rPr>
      </w:pPr>
      <w:bookmarkStart w:id="23" w:name="_Toc254970675"/>
      <w:bookmarkStart w:id="24" w:name="_Toc254970534"/>
    </w:p>
    <w:p w14:paraId="4279AD69">
      <w:pPr>
        <w:spacing w:line="360" w:lineRule="auto"/>
        <w:jc w:val="center"/>
        <w:rPr>
          <w:rFonts w:ascii="宋体" w:hAnsi="宋体" w:cs="宋体"/>
          <w:b/>
          <w:color w:val="auto"/>
          <w:sz w:val="40"/>
          <w:szCs w:val="40"/>
        </w:rPr>
      </w:pPr>
      <w:r>
        <w:rPr>
          <w:rFonts w:hint="eastAsia" w:ascii="宋体" w:hAnsi="宋体" w:cs="宋体"/>
          <w:b/>
          <w:color w:val="auto"/>
          <w:sz w:val="40"/>
          <w:szCs w:val="40"/>
        </w:rPr>
        <w:t>二、谈判文件</w:t>
      </w:r>
      <w:bookmarkEnd w:id="23"/>
      <w:bookmarkEnd w:id="24"/>
    </w:p>
    <w:p w14:paraId="1AD3C203">
      <w:pPr>
        <w:spacing w:line="360" w:lineRule="auto"/>
        <w:jc w:val="center"/>
        <w:rPr>
          <w:rFonts w:ascii="宋体" w:hAnsi="宋体" w:cs="宋体"/>
          <w:color w:val="auto"/>
          <w:sz w:val="24"/>
        </w:rPr>
      </w:pPr>
    </w:p>
    <w:p w14:paraId="522B04FB">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8.谈判文件的构成</w:t>
      </w:r>
    </w:p>
    <w:p w14:paraId="4C495A4D">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（1）竞争性谈判公告；</w:t>
      </w:r>
    </w:p>
    <w:p w14:paraId="3ED94A15">
      <w:pPr>
        <w:spacing w:line="360" w:lineRule="auto"/>
        <w:ind w:firstLine="420" w:firstLineChars="200"/>
        <w:jc w:val="left"/>
        <w:rPr>
          <w:rFonts w:ascii="宋体" w:hAnsi="宋体" w:cs="宋体"/>
          <w:color w:val="auto"/>
          <w:szCs w:val="21"/>
        </w:rPr>
      </w:pPr>
      <w:r>
        <w:rPr>
          <w:rFonts w:hint="eastAsia" w:ascii="宋体" w:hAnsi="宋体" w:cs="宋体"/>
          <w:color w:val="auto"/>
          <w:szCs w:val="21"/>
        </w:rPr>
        <w:t xml:space="preserve">（2）供应商须知； </w:t>
      </w:r>
    </w:p>
    <w:p w14:paraId="51BA08B0">
      <w:pPr>
        <w:spacing w:line="360" w:lineRule="auto"/>
        <w:ind w:firstLine="420" w:firstLineChars="200"/>
        <w:jc w:val="left"/>
        <w:rPr>
          <w:rFonts w:ascii="宋体" w:hAnsi="宋体" w:cs="宋体"/>
          <w:color w:val="auto"/>
          <w:szCs w:val="21"/>
        </w:rPr>
      </w:pPr>
      <w:r>
        <w:rPr>
          <w:rFonts w:hint="eastAsia" w:ascii="宋体" w:hAnsi="宋体" w:cs="宋体"/>
          <w:color w:val="auto"/>
          <w:szCs w:val="21"/>
        </w:rPr>
        <w:t>（3）采购需求；</w:t>
      </w:r>
    </w:p>
    <w:p w14:paraId="5928B1A2">
      <w:pPr>
        <w:spacing w:line="360" w:lineRule="auto"/>
        <w:ind w:firstLine="420" w:firstLineChars="200"/>
        <w:jc w:val="left"/>
        <w:rPr>
          <w:rFonts w:ascii="宋体" w:hAnsi="宋体" w:cs="宋体"/>
          <w:color w:val="auto"/>
          <w:szCs w:val="21"/>
        </w:rPr>
      </w:pPr>
      <w:r>
        <w:rPr>
          <w:rFonts w:hint="eastAsia" w:ascii="宋体" w:hAnsi="宋体" w:cs="宋体"/>
          <w:color w:val="auto"/>
          <w:szCs w:val="21"/>
        </w:rPr>
        <w:t>（4）响应文件格式；</w:t>
      </w:r>
    </w:p>
    <w:p w14:paraId="40FC81F6">
      <w:pPr>
        <w:spacing w:line="360" w:lineRule="auto"/>
        <w:ind w:firstLine="420" w:firstLineChars="200"/>
        <w:jc w:val="left"/>
        <w:rPr>
          <w:rFonts w:ascii="宋体" w:hAnsi="宋体" w:cs="宋体"/>
          <w:color w:val="auto"/>
          <w:szCs w:val="21"/>
        </w:rPr>
      </w:pPr>
      <w:r>
        <w:rPr>
          <w:rFonts w:hint="eastAsia" w:ascii="宋体" w:hAnsi="宋体" w:cs="宋体"/>
          <w:color w:val="auto"/>
          <w:szCs w:val="21"/>
        </w:rPr>
        <w:t>（5）合同文本；</w:t>
      </w:r>
    </w:p>
    <w:p w14:paraId="43A1120A">
      <w:pPr>
        <w:spacing w:line="360" w:lineRule="auto"/>
        <w:ind w:firstLine="420" w:firstLineChars="200"/>
        <w:jc w:val="left"/>
        <w:rPr>
          <w:rFonts w:ascii="宋体" w:hAnsi="宋体" w:cs="宋体"/>
          <w:color w:val="auto"/>
          <w:szCs w:val="21"/>
        </w:rPr>
      </w:pPr>
      <w:r>
        <w:rPr>
          <w:rFonts w:hint="eastAsia" w:ascii="宋体" w:hAnsi="宋体" w:cs="宋体"/>
          <w:color w:val="auto"/>
          <w:szCs w:val="21"/>
        </w:rPr>
        <w:t>（6）评审程序和评定成交的标准。</w:t>
      </w:r>
    </w:p>
    <w:p w14:paraId="797A0FC1">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9.供应商的询问</w:t>
      </w:r>
    </w:p>
    <w:p w14:paraId="0D8352E5">
      <w:pPr>
        <w:spacing w:line="360" w:lineRule="auto"/>
        <w:ind w:firstLine="420" w:firstLineChars="200"/>
        <w:rPr>
          <w:rFonts w:ascii="宋体" w:hAnsi="宋体" w:cs="宋体"/>
          <w:color w:val="auto"/>
          <w:szCs w:val="21"/>
        </w:rPr>
      </w:pPr>
      <w:r>
        <w:rPr>
          <w:rFonts w:hint="eastAsia" w:ascii="宋体" w:hAnsi="宋体" w:cs="宋体"/>
          <w:color w:val="auto"/>
          <w:szCs w:val="21"/>
        </w:rPr>
        <w:t>供应商应认真阅读谈判文件的采购需求，如供应商对谈判文件有疑问的，如要求采购人作出澄清或者修改的，供应商尽可能在提交首次响应文件截止之日前，以纸质书面形式向采购人、采购代理机构提出，否则，由此产生的后果由供应商自行负责。</w:t>
      </w:r>
    </w:p>
    <w:p w14:paraId="3A3E6BF2">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10.谈判文件的澄清和修改</w:t>
      </w:r>
    </w:p>
    <w:p w14:paraId="7EE6E032">
      <w:pPr>
        <w:spacing w:line="360" w:lineRule="auto"/>
        <w:ind w:firstLine="420" w:firstLineChars="200"/>
        <w:rPr>
          <w:rFonts w:ascii="宋体" w:hAnsi="宋体" w:cs="宋体"/>
          <w:color w:val="auto"/>
          <w:szCs w:val="21"/>
        </w:rPr>
      </w:pPr>
      <w:r>
        <w:rPr>
          <w:rFonts w:hint="eastAsia" w:ascii="宋体" w:hAnsi="宋体" w:cs="宋体"/>
          <w:color w:val="auto"/>
          <w:szCs w:val="21"/>
        </w:rPr>
        <w:t>10.1提交首次响应文件截止之日前，采购人、采购代理机构可以对已发出的谈判文件进行必要的澄清或者修改，澄清或者修改的内容作为谈判文件的组成部分。澄清或者修改将在原公告发布媒体上发布更正公告。澄清或者修改的内容可能影响响应文件编制的，采购人、采购代理机构或者谈判小组应当在提交首次响应文件截止之日</w:t>
      </w:r>
      <w:r>
        <w:rPr>
          <w:rFonts w:ascii="宋体" w:hAnsi="宋体" w:cs="宋体"/>
          <w:color w:val="auto"/>
          <w:szCs w:val="21"/>
        </w:rPr>
        <w:t>3个工作日前，在原公告发布媒体上发布更正公告</w:t>
      </w:r>
      <w:r>
        <w:rPr>
          <w:rFonts w:hint="eastAsia" w:ascii="宋体" w:hAnsi="宋体" w:cs="宋体"/>
          <w:color w:val="auto"/>
          <w:szCs w:val="21"/>
        </w:rPr>
        <w:t>；不足</w:t>
      </w:r>
      <w:r>
        <w:rPr>
          <w:rFonts w:ascii="宋体" w:hAnsi="宋体" w:cs="宋体"/>
          <w:color w:val="auto"/>
          <w:szCs w:val="21"/>
        </w:rPr>
        <w:t>3个工作日的，应当顺延提交首次响应文件截止</w:t>
      </w:r>
      <w:r>
        <w:rPr>
          <w:rFonts w:hint="eastAsia" w:ascii="宋体" w:hAnsi="宋体" w:cs="宋体"/>
          <w:color w:val="auto"/>
          <w:szCs w:val="21"/>
        </w:rPr>
        <w:t>时间。</w:t>
      </w:r>
    </w:p>
    <w:p w14:paraId="099BF56C">
      <w:pPr>
        <w:spacing w:line="400" w:lineRule="exact"/>
        <w:ind w:firstLine="420" w:firstLineChars="200"/>
        <w:rPr>
          <w:rFonts w:ascii="宋体" w:hAnsi="宋体" w:cs="宋体"/>
          <w:color w:val="auto"/>
          <w:szCs w:val="21"/>
        </w:rPr>
      </w:pPr>
      <w:r>
        <w:rPr>
          <w:rFonts w:hint="eastAsia" w:ascii="宋体" w:hAnsi="宋体" w:cs="宋体"/>
          <w:color w:val="auto"/>
        </w:rPr>
        <w:t>10.2采购人和采购代理机构可以视采购具体情况，变更</w:t>
      </w:r>
      <w:r>
        <w:rPr>
          <w:rFonts w:hint="eastAsia" w:ascii="宋体" w:hAnsi="宋体" w:cs="宋体"/>
          <w:color w:val="auto"/>
          <w:szCs w:val="21"/>
        </w:rPr>
        <w:t>首次响应文件提交截止时间</w:t>
      </w:r>
      <w:r>
        <w:rPr>
          <w:rFonts w:hint="eastAsia" w:ascii="宋体" w:hAnsi="宋体" w:cs="宋体"/>
          <w:color w:val="auto"/>
        </w:rPr>
        <w:t>，并</w:t>
      </w:r>
      <w:r>
        <w:rPr>
          <w:rFonts w:hint="eastAsia" w:ascii="宋体" w:hAnsi="宋体" w:cs="宋体"/>
          <w:color w:val="auto"/>
          <w:szCs w:val="21"/>
        </w:rPr>
        <w:t>在原公告发布媒体上发布更正公告。</w:t>
      </w:r>
    </w:p>
    <w:p w14:paraId="591DA583">
      <w:pPr>
        <w:spacing w:line="360" w:lineRule="auto"/>
        <w:ind w:firstLine="420" w:firstLineChars="200"/>
        <w:rPr>
          <w:rFonts w:ascii="宋体" w:hAnsi="宋体" w:cs="宋体"/>
          <w:color w:val="auto"/>
          <w:szCs w:val="21"/>
        </w:rPr>
      </w:pPr>
      <w:r>
        <w:rPr>
          <w:rFonts w:hint="eastAsia" w:ascii="宋体" w:hAnsi="宋体" w:cs="宋体"/>
          <w:color w:val="auto"/>
          <w:szCs w:val="21"/>
        </w:rPr>
        <w:t>10.3谈判文件澄清、答复、修改、补充的内容为谈判文件的组成部分。当谈判文件与谈判文件的澄清、答复、修改、补充通知就同一内容的表述不一致时，以最后发出的文件为准。</w:t>
      </w:r>
    </w:p>
    <w:p w14:paraId="5CF8154F">
      <w:pPr>
        <w:spacing w:line="360" w:lineRule="auto"/>
        <w:ind w:firstLine="420" w:firstLineChars="200"/>
        <w:rPr>
          <w:rFonts w:ascii="宋体" w:hAnsi="宋体" w:cs="宋体"/>
          <w:color w:val="auto"/>
          <w:szCs w:val="21"/>
        </w:rPr>
      </w:pPr>
      <w:r>
        <w:rPr>
          <w:rFonts w:hint="eastAsia" w:ascii="宋体" w:hAnsi="宋体" w:cs="宋体"/>
          <w:color w:val="auto"/>
          <w:szCs w:val="21"/>
        </w:rPr>
        <w:t>10.4响应文件未按谈判文件的澄清、修改后的内容编制的，其响应文件作无效响应处理。</w:t>
      </w:r>
    </w:p>
    <w:p w14:paraId="421B3E83">
      <w:pPr>
        <w:spacing w:line="360" w:lineRule="auto"/>
        <w:ind w:firstLine="480" w:firstLineChars="200"/>
        <w:rPr>
          <w:rFonts w:ascii="宋体" w:hAnsi="宋体" w:cs="宋体"/>
          <w:color w:val="auto"/>
          <w:sz w:val="24"/>
        </w:rPr>
      </w:pPr>
    </w:p>
    <w:p w14:paraId="363D2B37">
      <w:pPr>
        <w:spacing w:line="360" w:lineRule="auto"/>
        <w:rPr>
          <w:rFonts w:ascii="宋体" w:hAnsi="宋体" w:cs="宋体"/>
          <w:color w:val="auto"/>
          <w:sz w:val="24"/>
        </w:rPr>
      </w:pPr>
    </w:p>
    <w:p w14:paraId="03330FAB">
      <w:pPr>
        <w:spacing w:line="360" w:lineRule="auto"/>
        <w:jc w:val="center"/>
        <w:rPr>
          <w:rFonts w:ascii="宋体" w:hAnsi="宋体" w:cs="宋体"/>
          <w:b/>
          <w:color w:val="auto"/>
          <w:sz w:val="24"/>
        </w:rPr>
      </w:pPr>
      <w:r>
        <w:rPr>
          <w:rFonts w:hint="eastAsia" w:ascii="宋体" w:hAnsi="宋体" w:cs="宋体"/>
          <w:b/>
          <w:color w:val="auto"/>
          <w:sz w:val="40"/>
          <w:szCs w:val="40"/>
        </w:rPr>
        <w:t>三、响应文件的编制</w:t>
      </w:r>
    </w:p>
    <w:p w14:paraId="62B1C0B8">
      <w:pPr>
        <w:spacing w:line="360" w:lineRule="auto"/>
        <w:rPr>
          <w:rFonts w:ascii="宋体" w:hAnsi="宋体" w:cs="宋体"/>
          <w:color w:val="auto"/>
          <w:sz w:val="24"/>
        </w:rPr>
      </w:pPr>
    </w:p>
    <w:p w14:paraId="3130FDAB">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11.响应文件的编制原则</w:t>
      </w:r>
    </w:p>
    <w:p w14:paraId="14B25C58">
      <w:pPr>
        <w:spacing w:line="360" w:lineRule="auto"/>
        <w:ind w:firstLine="420" w:firstLineChars="200"/>
        <w:rPr>
          <w:rFonts w:ascii="宋体" w:hAnsi="宋体" w:cs="宋体"/>
          <w:color w:val="auto"/>
          <w:szCs w:val="21"/>
        </w:rPr>
      </w:pPr>
      <w:r>
        <w:rPr>
          <w:rFonts w:hint="eastAsia" w:ascii="宋体" w:hAnsi="宋体" w:cs="宋体"/>
          <w:color w:val="auto"/>
          <w:szCs w:val="21"/>
        </w:rPr>
        <w:t>供应商必须按照谈判文件的要求编制响应文件，并对其提交的响应文件的真实性、合法性承担法律责任。响应文件必须对谈判文件作出实质性响应。</w:t>
      </w:r>
    </w:p>
    <w:p w14:paraId="44662707">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12.响应文件的组成</w:t>
      </w:r>
    </w:p>
    <w:p w14:paraId="42393C1D">
      <w:pPr>
        <w:spacing w:line="360" w:lineRule="auto"/>
        <w:ind w:firstLine="420" w:firstLineChars="200"/>
        <w:rPr>
          <w:rFonts w:ascii="宋体" w:hAnsi="宋体" w:cs="宋体"/>
          <w:color w:val="auto"/>
          <w:szCs w:val="21"/>
        </w:rPr>
      </w:pPr>
      <w:r>
        <w:rPr>
          <w:rFonts w:hint="eastAsia" w:ascii="宋体" w:hAnsi="宋体" w:cs="宋体"/>
          <w:color w:val="auto"/>
          <w:szCs w:val="21"/>
        </w:rPr>
        <w:t>12.1响应文件由资格证明文件、报价商务技术文件两部分组成。</w:t>
      </w:r>
    </w:p>
    <w:p w14:paraId="6A3C939C">
      <w:pPr>
        <w:spacing w:line="360" w:lineRule="auto"/>
        <w:ind w:firstLine="420" w:firstLineChars="200"/>
        <w:rPr>
          <w:rFonts w:ascii="宋体" w:hAnsi="宋体" w:cs="宋体"/>
          <w:color w:val="auto"/>
          <w:szCs w:val="21"/>
        </w:rPr>
      </w:pPr>
      <w:r>
        <w:rPr>
          <w:rFonts w:hint="eastAsia" w:ascii="宋体" w:hAnsi="宋体" w:cs="宋体"/>
          <w:color w:val="auto"/>
          <w:szCs w:val="21"/>
        </w:rPr>
        <w:t>12.1.1资格证明文件：详见“供应商须知前附表”</w:t>
      </w:r>
    </w:p>
    <w:p w14:paraId="3CD78939">
      <w:pPr>
        <w:spacing w:line="360" w:lineRule="auto"/>
        <w:ind w:firstLine="420" w:firstLineChars="200"/>
        <w:rPr>
          <w:rFonts w:ascii="宋体" w:hAnsi="宋体" w:cs="宋体"/>
          <w:color w:val="auto"/>
          <w:szCs w:val="21"/>
        </w:rPr>
      </w:pPr>
      <w:r>
        <w:rPr>
          <w:rFonts w:hint="eastAsia" w:ascii="宋体" w:hAnsi="宋体" w:cs="宋体"/>
          <w:color w:val="auto"/>
          <w:szCs w:val="21"/>
        </w:rPr>
        <w:t>12.1.2报价商务技术文件：详见“供应商须知前附表”</w:t>
      </w:r>
    </w:p>
    <w:p w14:paraId="209FC6E6">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13.计量单位</w:t>
      </w:r>
    </w:p>
    <w:p w14:paraId="4C6B34F4">
      <w:pPr>
        <w:spacing w:line="360" w:lineRule="auto"/>
        <w:ind w:firstLine="420" w:firstLineChars="200"/>
        <w:rPr>
          <w:rFonts w:ascii="宋体" w:hAnsi="宋体" w:cs="宋体"/>
          <w:color w:val="auto"/>
          <w:szCs w:val="21"/>
        </w:rPr>
      </w:pPr>
      <w:r>
        <w:rPr>
          <w:rFonts w:hint="eastAsia" w:ascii="宋体" w:hAnsi="宋体" w:cs="宋体"/>
          <w:color w:val="auto"/>
          <w:szCs w:val="21"/>
        </w:rPr>
        <w:t>谈判文件已有明确规定的，使用谈判文件规定的计量单位；谈判文件没有规定的，应采用中华人民共和国法定计量单位，货币种类为人民币，否则视同未响应。</w:t>
      </w:r>
    </w:p>
    <w:p w14:paraId="579B417E">
      <w:pPr>
        <w:spacing w:line="360" w:lineRule="auto"/>
        <w:ind w:firstLine="482" w:firstLineChars="200"/>
        <w:rPr>
          <w:rFonts w:ascii="宋体" w:hAnsi="宋体" w:cs="宋体"/>
          <w:b/>
          <w:bCs/>
          <w:color w:val="auto"/>
          <w:sz w:val="24"/>
        </w:rPr>
      </w:pPr>
      <w:r>
        <w:rPr>
          <w:rFonts w:hint="eastAsia" w:ascii="宋体" w:hAnsi="宋体" w:cs="宋体"/>
          <w:b/>
          <w:bCs/>
          <w:color w:val="auto"/>
          <w:sz w:val="24"/>
        </w:rPr>
        <w:t>14.竞争性谈判的风险</w:t>
      </w:r>
    </w:p>
    <w:p w14:paraId="4F632909">
      <w:pPr>
        <w:spacing w:line="360" w:lineRule="auto"/>
        <w:ind w:firstLine="420" w:firstLineChars="200"/>
        <w:rPr>
          <w:rFonts w:ascii="宋体" w:hAnsi="宋体" w:cs="宋体"/>
          <w:color w:val="auto"/>
          <w:szCs w:val="21"/>
        </w:rPr>
      </w:pPr>
      <w:r>
        <w:rPr>
          <w:rFonts w:hint="eastAsia" w:ascii="宋体" w:hAnsi="宋体" w:cs="宋体"/>
          <w:color w:val="auto"/>
          <w:szCs w:val="21"/>
        </w:rPr>
        <w:t>供应商没有按照谈判文件要求提供全部资料，或者供应商没有对谈判文件在各方面作出实质性响应可能导致其响应文件按无效响应处理，是供应商应当考虑的风险。</w:t>
      </w:r>
    </w:p>
    <w:p w14:paraId="40A0DC02">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15.竞争性谈判报价</w:t>
      </w:r>
    </w:p>
    <w:p w14:paraId="30F6C24E">
      <w:pPr>
        <w:spacing w:line="360" w:lineRule="auto"/>
        <w:ind w:firstLine="420" w:firstLineChars="200"/>
        <w:rPr>
          <w:rFonts w:ascii="宋体" w:hAnsi="宋体" w:cs="宋体"/>
          <w:color w:val="auto"/>
          <w:szCs w:val="21"/>
        </w:rPr>
      </w:pPr>
      <w:r>
        <w:rPr>
          <w:rFonts w:hint="eastAsia" w:ascii="宋体" w:hAnsi="宋体" w:cs="宋体"/>
          <w:color w:val="auto"/>
          <w:szCs w:val="21"/>
        </w:rPr>
        <w:t>15.1</w:t>
      </w:r>
      <w:r>
        <w:rPr>
          <w:rFonts w:hint="eastAsia" w:hAnsi="宋体" w:cs="宋体"/>
          <w:color w:val="auto"/>
          <w:szCs w:val="21"/>
        </w:rPr>
        <w:t>竞争性谈判</w:t>
      </w:r>
      <w:r>
        <w:rPr>
          <w:rFonts w:hint="eastAsia" w:ascii="宋体" w:hAnsi="宋体" w:cs="宋体"/>
          <w:color w:val="auto"/>
          <w:szCs w:val="21"/>
        </w:rPr>
        <w:t>报价应按谈判文件中“</w:t>
      </w:r>
      <w:r>
        <w:rPr>
          <w:rFonts w:hint="eastAsia" w:hAnsi="宋体" w:cs="宋体"/>
          <w:color w:val="auto"/>
          <w:szCs w:val="21"/>
        </w:rPr>
        <w:t>竞争性谈判</w:t>
      </w:r>
      <w:r>
        <w:rPr>
          <w:rFonts w:hint="eastAsia" w:ascii="宋体" w:hAnsi="宋体" w:cs="宋体"/>
          <w:color w:val="auto"/>
          <w:szCs w:val="21"/>
        </w:rPr>
        <w:t>报价表”格式填写。</w:t>
      </w:r>
    </w:p>
    <w:p w14:paraId="2D5FB001">
      <w:pPr>
        <w:spacing w:line="360" w:lineRule="auto"/>
        <w:ind w:firstLine="420" w:firstLineChars="200"/>
        <w:rPr>
          <w:rFonts w:ascii="宋体" w:hAnsi="宋体" w:cs="宋体"/>
          <w:color w:val="auto"/>
          <w:szCs w:val="21"/>
        </w:rPr>
      </w:pPr>
      <w:r>
        <w:rPr>
          <w:rFonts w:hint="eastAsia" w:ascii="宋体" w:hAnsi="宋体" w:cs="宋体"/>
          <w:color w:val="auto"/>
          <w:szCs w:val="21"/>
        </w:rPr>
        <w:t>15.2</w:t>
      </w:r>
      <w:r>
        <w:rPr>
          <w:rFonts w:hint="eastAsia" w:hAnsi="宋体" w:cs="宋体"/>
          <w:color w:val="auto"/>
          <w:szCs w:val="21"/>
        </w:rPr>
        <w:t>竞争性谈判</w:t>
      </w:r>
      <w:r>
        <w:rPr>
          <w:rFonts w:hint="eastAsia" w:ascii="宋体" w:hAnsi="宋体" w:cs="宋体"/>
          <w:color w:val="auto"/>
          <w:szCs w:val="21"/>
        </w:rPr>
        <w:t>报价的内容详见“供应商须知前附表”。</w:t>
      </w:r>
    </w:p>
    <w:p w14:paraId="7060708B">
      <w:pPr>
        <w:spacing w:line="360" w:lineRule="auto"/>
        <w:ind w:firstLine="420" w:firstLineChars="200"/>
        <w:rPr>
          <w:rFonts w:ascii="宋体" w:hAnsi="宋体" w:cs="宋体"/>
          <w:color w:val="auto"/>
          <w:szCs w:val="21"/>
        </w:rPr>
      </w:pPr>
      <w:r>
        <w:rPr>
          <w:rFonts w:hint="eastAsia" w:ascii="宋体" w:hAnsi="宋体" w:cs="宋体"/>
          <w:color w:val="auto"/>
          <w:szCs w:val="21"/>
        </w:rPr>
        <w:t>15.3</w:t>
      </w:r>
      <w:r>
        <w:rPr>
          <w:rFonts w:hint="eastAsia" w:hAnsi="宋体" w:cs="宋体"/>
          <w:color w:val="auto"/>
          <w:szCs w:val="21"/>
        </w:rPr>
        <w:t>竞争性谈判</w:t>
      </w:r>
      <w:r>
        <w:rPr>
          <w:rFonts w:hint="eastAsia" w:ascii="宋体" w:hAnsi="宋体" w:cs="宋体"/>
          <w:color w:val="auto"/>
          <w:szCs w:val="21"/>
        </w:rPr>
        <w:t>报价要求</w:t>
      </w:r>
    </w:p>
    <w:p w14:paraId="34339C5A">
      <w:pPr>
        <w:spacing w:line="360" w:lineRule="auto"/>
        <w:ind w:firstLine="420" w:firstLineChars="200"/>
        <w:rPr>
          <w:rFonts w:ascii="宋体" w:hAnsi="宋体" w:cs="宋体"/>
          <w:color w:val="auto"/>
          <w:szCs w:val="21"/>
        </w:rPr>
      </w:pPr>
      <w:r>
        <w:rPr>
          <w:rFonts w:hint="eastAsia" w:ascii="宋体" w:hAnsi="宋体" w:cs="宋体"/>
          <w:color w:val="auto"/>
          <w:szCs w:val="21"/>
        </w:rPr>
        <w:t>15.3.1供应商的</w:t>
      </w:r>
      <w:r>
        <w:rPr>
          <w:rFonts w:hint="eastAsia" w:hAnsi="宋体" w:cs="宋体"/>
          <w:color w:val="auto"/>
          <w:szCs w:val="21"/>
        </w:rPr>
        <w:t>竞争性谈判</w:t>
      </w:r>
      <w:r>
        <w:rPr>
          <w:rFonts w:hint="eastAsia" w:ascii="宋体" w:hAnsi="宋体" w:cs="宋体"/>
          <w:color w:val="auto"/>
          <w:szCs w:val="21"/>
        </w:rPr>
        <w:t>报价应符合以下要求，否则响应文件按无效响应处理：</w:t>
      </w:r>
    </w:p>
    <w:p w14:paraId="131708B9">
      <w:pPr>
        <w:spacing w:line="360" w:lineRule="auto"/>
        <w:ind w:firstLine="420" w:firstLineChars="200"/>
        <w:rPr>
          <w:rFonts w:ascii="宋体" w:hAnsi="宋体" w:cs="宋体"/>
          <w:color w:val="auto"/>
          <w:szCs w:val="21"/>
        </w:rPr>
      </w:pPr>
      <w:r>
        <w:rPr>
          <w:rFonts w:hint="eastAsia" w:ascii="宋体" w:hAnsi="宋体" w:cs="宋体"/>
          <w:color w:val="auto"/>
          <w:szCs w:val="21"/>
        </w:rPr>
        <w:t>（1）供应商必须就“采购需求”中所需</w:t>
      </w:r>
      <w:r>
        <w:rPr>
          <w:rFonts w:hint="eastAsia" w:hAnsi="宋体" w:cs="宋体"/>
          <w:color w:val="auto"/>
          <w:szCs w:val="21"/>
        </w:rPr>
        <w:t>竞争性谈判</w:t>
      </w:r>
      <w:r>
        <w:rPr>
          <w:rFonts w:hint="eastAsia" w:ascii="宋体" w:hAnsi="宋体" w:cs="宋体"/>
          <w:color w:val="auto"/>
          <w:szCs w:val="21"/>
        </w:rPr>
        <w:t>的每个分标的全部内容分别作完整唯一总价报价，不得存在漏项报价；</w:t>
      </w:r>
    </w:p>
    <w:p w14:paraId="0C19DCE2">
      <w:pPr>
        <w:spacing w:line="360" w:lineRule="auto"/>
        <w:ind w:firstLine="420" w:firstLineChars="200"/>
        <w:rPr>
          <w:rFonts w:ascii="宋体" w:hAnsi="宋体" w:cs="宋体"/>
          <w:color w:val="auto"/>
          <w:szCs w:val="21"/>
        </w:rPr>
      </w:pPr>
      <w:r>
        <w:rPr>
          <w:rFonts w:hint="eastAsia" w:ascii="宋体" w:hAnsi="宋体" w:cs="宋体"/>
          <w:color w:val="auto"/>
          <w:szCs w:val="21"/>
        </w:rPr>
        <w:t>（2）供应商必须就所需</w:t>
      </w:r>
      <w:r>
        <w:rPr>
          <w:rFonts w:hint="eastAsia" w:hAnsi="宋体" w:cs="宋体"/>
          <w:color w:val="auto"/>
          <w:szCs w:val="21"/>
        </w:rPr>
        <w:t>竞争性谈判</w:t>
      </w:r>
      <w:r>
        <w:rPr>
          <w:rFonts w:hint="eastAsia" w:ascii="宋体" w:hAnsi="宋体" w:cs="宋体"/>
          <w:color w:val="auto"/>
          <w:szCs w:val="21"/>
        </w:rPr>
        <w:t>的分标的单项内容作唯一报价。</w:t>
      </w:r>
    </w:p>
    <w:p w14:paraId="6B8FB041">
      <w:pPr>
        <w:spacing w:line="360" w:lineRule="auto"/>
        <w:ind w:firstLine="420" w:firstLineChars="200"/>
        <w:rPr>
          <w:rFonts w:ascii="宋体" w:hAnsi="宋体" w:cs="宋体"/>
          <w:color w:val="auto"/>
          <w:szCs w:val="21"/>
        </w:rPr>
      </w:pPr>
      <w:r>
        <w:rPr>
          <w:rFonts w:hint="eastAsia" w:ascii="宋体" w:hAnsi="宋体" w:cs="宋体"/>
          <w:color w:val="auto"/>
          <w:szCs w:val="21"/>
        </w:rPr>
        <w:t>15.3.2</w:t>
      </w:r>
      <w:r>
        <w:rPr>
          <w:rFonts w:hint="eastAsia" w:hAnsi="宋体" w:cs="宋体"/>
          <w:color w:val="auto"/>
          <w:szCs w:val="21"/>
        </w:rPr>
        <w:t>竞争性谈判</w:t>
      </w:r>
      <w:r>
        <w:rPr>
          <w:rFonts w:hint="eastAsia" w:ascii="宋体" w:hAnsi="宋体" w:cs="宋体"/>
          <w:color w:val="auto"/>
          <w:szCs w:val="21"/>
        </w:rPr>
        <w:t>报价（包含首次报价、最后报价）超过所参与</w:t>
      </w:r>
      <w:r>
        <w:rPr>
          <w:rFonts w:hint="eastAsia" w:hAnsi="宋体" w:cs="宋体"/>
          <w:color w:val="auto"/>
          <w:szCs w:val="21"/>
        </w:rPr>
        <w:t>竞争性谈判</w:t>
      </w:r>
      <w:r>
        <w:rPr>
          <w:rFonts w:hint="eastAsia" w:ascii="宋体" w:hAnsi="宋体" w:cs="宋体"/>
          <w:color w:val="auto"/>
          <w:szCs w:val="21"/>
        </w:rPr>
        <w:t>分标规定的采购预算金额或者最高限价的，其响应文件将按无效响应处理。</w:t>
      </w:r>
    </w:p>
    <w:p w14:paraId="2E0EF49D">
      <w:pPr>
        <w:spacing w:line="360" w:lineRule="auto"/>
        <w:ind w:firstLine="420" w:firstLineChars="200"/>
        <w:rPr>
          <w:rFonts w:ascii="宋体" w:hAnsi="宋体" w:cs="宋体"/>
          <w:color w:val="auto"/>
          <w:szCs w:val="21"/>
        </w:rPr>
      </w:pPr>
      <w:r>
        <w:rPr>
          <w:rFonts w:ascii="宋体" w:hAnsi="宋体" w:cs="宋体"/>
          <w:color w:val="auto"/>
          <w:szCs w:val="21"/>
        </w:rPr>
        <w:t>15.3.3</w:t>
      </w:r>
      <w:r>
        <w:rPr>
          <w:rFonts w:hint="eastAsia" w:hAnsi="宋体" w:cs="宋体"/>
          <w:color w:val="auto"/>
          <w:szCs w:val="21"/>
        </w:rPr>
        <w:t>竞争性谈判</w:t>
      </w:r>
      <w:r>
        <w:rPr>
          <w:rFonts w:hint="eastAsia" w:ascii="宋体" w:hAnsi="宋体" w:cs="宋体"/>
          <w:color w:val="auto"/>
          <w:szCs w:val="21"/>
        </w:rPr>
        <w:t>报价（包含首次报价、最后报价）超过分项采购预算金额或者最高限价的，其响应文件将作无效处理。</w:t>
      </w:r>
    </w:p>
    <w:p w14:paraId="7AC4CBF6">
      <w:pPr>
        <w:spacing w:line="360" w:lineRule="auto"/>
        <w:ind w:firstLine="482" w:firstLineChars="200"/>
        <w:rPr>
          <w:rFonts w:ascii="宋体" w:hAnsi="宋体" w:cs="宋体"/>
          <w:b/>
          <w:bCs/>
          <w:color w:val="auto"/>
          <w:sz w:val="24"/>
        </w:rPr>
      </w:pPr>
      <w:r>
        <w:rPr>
          <w:rFonts w:hint="eastAsia" w:ascii="宋体" w:hAnsi="宋体" w:cs="宋体"/>
          <w:b/>
          <w:bCs/>
          <w:color w:val="auto"/>
          <w:sz w:val="24"/>
        </w:rPr>
        <w:t>16.竞争性谈判有效期</w:t>
      </w:r>
    </w:p>
    <w:p w14:paraId="143271B7">
      <w:pPr>
        <w:spacing w:line="360" w:lineRule="auto"/>
        <w:ind w:firstLine="420" w:firstLineChars="200"/>
        <w:rPr>
          <w:rFonts w:ascii="宋体" w:hAnsi="宋体" w:cs="宋体"/>
          <w:color w:val="auto"/>
          <w:szCs w:val="21"/>
        </w:rPr>
      </w:pPr>
      <w:r>
        <w:rPr>
          <w:rFonts w:hint="eastAsia" w:ascii="宋体" w:hAnsi="宋体" w:cs="宋体"/>
          <w:color w:val="auto"/>
          <w:szCs w:val="21"/>
        </w:rPr>
        <w:t>16.1</w:t>
      </w:r>
      <w:r>
        <w:rPr>
          <w:rFonts w:hint="eastAsia" w:hAnsi="宋体" w:cs="宋体"/>
          <w:color w:val="auto"/>
          <w:szCs w:val="21"/>
        </w:rPr>
        <w:t>竞争性谈判</w:t>
      </w:r>
      <w:r>
        <w:rPr>
          <w:rFonts w:hint="eastAsia" w:ascii="宋体" w:hAnsi="宋体" w:cs="宋体"/>
          <w:color w:val="auto"/>
          <w:szCs w:val="21"/>
        </w:rPr>
        <w:t>有效期是指为保证采购人有足够的时间在提交响应文件后完成评审、确定成交供应商、合同签订等工作而要求供应商提交的响应文件在一定时间内保持有效的期限。</w:t>
      </w:r>
    </w:p>
    <w:p w14:paraId="5AE61814">
      <w:pPr>
        <w:spacing w:line="360" w:lineRule="auto"/>
        <w:ind w:firstLine="420" w:firstLineChars="200"/>
        <w:rPr>
          <w:rFonts w:ascii="宋体" w:hAnsi="宋体" w:cs="宋体"/>
          <w:color w:val="auto"/>
          <w:szCs w:val="21"/>
        </w:rPr>
      </w:pPr>
      <w:r>
        <w:rPr>
          <w:rFonts w:hint="eastAsia" w:ascii="宋体" w:hAnsi="宋体" w:cs="宋体"/>
          <w:color w:val="auto"/>
          <w:szCs w:val="21"/>
        </w:rPr>
        <w:t>16.2</w:t>
      </w:r>
      <w:r>
        <w:rPr>
          <w:rFonts w:hint="eastAsia" w:hAnsi="宋体" w:cs="宋体"/>
          <w:color w:val="auto"/>
          <w:szCs w:val="21"/>
        </w:rPr>
        <w:t>竞争性谈判</w:t>
      </w:r>
      <w:r>
        <w:rPr>
          <w:rFonts w:hint="eastAsia" w:ascii="宋体" w:hAnsi="宋体" w:cs="宋体"/>
          <w:color w:val="auto"/>
          <w:szCs w:val="21"/>
        </w:rPr>
        <w:t>有效期应由供应商按“供应商须知前附表”规定的期限作出响应。</w:t>
      </w:r>
    </w:p>
    <w:p w14:paraId="2E19D818">
      <w:pPr>
        <w:spacing w:line="360" w:lineRule="auto"/>
        <w:ind w:firstLine="420" w:firstLineChars="200"/>
        <w:rPr>
          <w:rFonts w:ascii="宋体" w:hAnsi="宋体" w:cs="宋体"/>
          <w:color w:val="auto"/>
          <w:szCs w:val="21"/>
        </w:rPr>
      </w:pPr>
      <w:r>
        <w:rPr>
          <w:rFonts w:hint="eastAsia" w:ascii="宋体" w:hAnsi="宋体" w:cs="宋体"/>
          <w:color w:val="auto"/>
          <w:szCs w:val="21"/>
        </w:rPr>
        <w:t>16.3供应商的响应文件在</w:t>
      </w:r>
      <w:r>
        <w:rPr>
          <w:rFonts w:hint="eastAsia" w:hAnsi="宋体" w:cs="宋体"/>
          <w:color w:val="auto"/>
          <w:szCs w:val="21"/>
        </w:rPr>
        <w:t>竞争性谈判</w:t>
      </w:r>
      <w:r>
        <w:rPr>
          <w:rFonts w:hint="eastAsia" w:ascii="宋体" w:hAnsi="宋体" w:cs="宋体"/>
          <w:color w:val="auto"/>
          <w:szCs w:val="21"/>
        </w:rPr>
        <w:t>有效期内均保持有效。</w:t>
      </w:r>
    </w:p>
    <w:p w14:paraId="3F91EBA2">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17.谈判保证金</w:t>
      </w:r>
    </w:p>
    <w:p w14:paraId="549C016C">
      <w:pPr>
        <w:spacing w:line="360" w:lineRule="auto"/>
        <w:ind w:firstLine="420" w:firstLineChars="200"/>
        <w:rPr>
          <w:rFonts w:ascii="宋体" w:hAnsi="宋体" w:cs="宋体"/>
          <w:color w:val="auto"/>
          <w:szCs w:val="21"/>
        </w:rPr>
      </w:pPr>
      <w:r>
        <w:rPr>
          <w:rFonts w:hint="eastAsia" w:ascii="宋体" w:hAnsi="宋体" w:cs="宋体"/>
          <w:color w:val="auto"/>
          <w:szCs w:val="21"/>
        </w:rPr>
        <w:t>17.1供应商须按“供应商须知前附表”的规定提交谈判保证金。</w:t>
      </w:r>
    </w:p>
    <w:p w14:paraId="61B9EF18">
      <w:pPr>
        <w:spacing w:line="360" w:lineRule="auto"/>
        <w:ind w:firstLine="420" w:firstLineChars="200"/>
        <w:rPr>
          <w:rFonts w:ascii="宋体" w:hAnsi="宋体" w:cs="宋体"/>
          <w:color w:val="auto"/>
          <w:szCs w:val="21"/>
        </w:rPr>
      </w:pPr>
      <w:r>
        <w:rPr>
          <w:rFonts w:hint="eastAsia" w:ascii="宋体" w:hAnsi="宋体" w:cs="宋体"/>
          <w:color w:val="auto"/>
          <w:szCs w:val="21"/>
        </w:rPr>
        <w:t>17.2谈判保证金的退还</w:t>
      </w:r>
    </w:p>
    <w:p w14:paraId="29DD0FCC">
      <w:pPr>
        <w:spacing w:line="360" w:lineRule="auto"/>
        <w:ind w:firstLine="420" w:firstLineChars="200"/>
        <w:rPr>
          <w:rFonts w:ascii="宋体" w:hAnsi="宋体" w:cs="宋体"/>
          <w:color w:val="auto"/>
          <w:szCs w:val="21"/>
        </w:rPr>
      </w:pPr>
      <w:r>
        <w:rPr>
          <w:rFonts w:hint="eastAsia" w:ascii="宋体" w:hAnsi="宋体" w:cs="宋体"/>
          <w:color w:val="auto"/>
          <w:szCs w:val="21"/>
        </w:rPr>
        <w:t>未</w:t>
      </w:r>
      <w:r>
        <w:rPr>
          <w:rFonts w:hint="eastAsia" w:ascii="宋体" w:hAnsi="宋体" w:cs="宋体"/>
          <w:color w:val="auto"/>
          <w:spacing w:val="-6"/>
          <w:szCs w:val="21"/>
        </w:rPr>
        <w:t>成交</w:t>
      </w:r>
      <w:r>
        <w:rPr>
          <w:rFonts w:hint="eastAsia" w:ascii="宋体" w:hAnsi="宋体" w:cs="宋体"/>
          <w:color w:val="auto"/>
          <w:szCs w:val="21"/>
        </w:rPr>
        <w:t xml:space="preserve">供应商的谈判保证金自成交通知书发出之日起5个工作日内退还；成交供应商的谈判保证金自签订合同之日起5个工作日内退还。 </w:t>
      </w:r>
    </w:p>
    <w:p w14:paraId="6E733EA3">
      <w:pPr>
        <w:spacing w:line="360" w:lineRule="auto"/>
        <w:ind w:firstLine="420" w:firstLineChars="200"/>
        <w:rPr>
          <w:rFonts w:ascii="宋体" w:hAnsi="宋体" w:cs="宋体"/>
          <w:color w:val="auto"/>
          <w:szCs w:val="21"/>
        </w:rPr>
      </w:pPr>
      <w:r>
        <w:rPr>
          <w:rFonts w:hint="eastAsia" w:ascii="宋体" w:hAnsi="宋体" w:cs="宋体"/>
          <w:color w:val="auto"/>
          <w:szCs w:val="21"/>
        </w:rPr>
        <w:t>17.3谈判保证金不计息。</w:t>
      </w:r>
    </w:p>
    <w:p w14:paraId="107AA09B">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17.4供应商有下列情形之一的，谈判保证金将不予退还： </w:t>
      </w:r>
    </w:p>
    <w:p w14:paraId="02A1CBB1">
      <w:pPr>
        <w:spacing w:line="360" w:lineRule="auto"/>
        <w:ind w:firstLine="420" w:firstLineChars="200"/>
        <w:rPr>
          <w:rFonts w:ascii="宋体" w:hAnsi="宋体" w:cs="宋体"/>
          <w:color w:val="auto"/>
          <w:szCs w:val="21"/>
        </w:rPr>
      </w:pPr>
      <w:r>
        <w:rPr>
          <w:rFonts w:hint="eastAsia" w:ascii="宋体" w:hAnsi="宋体" w:cs="宋体"/>
          <w:color w:val="auto"/>
          <w:szCs w:val="21"/>
        </w:rPr>
        <w:t>（1）供应商在提交首次响应文件截止时间后撤回响应文件的，但在提交最后报价之前退出谈判的情况除外；</w:t>
      </w:r>
    </w:p>
    <w:p w14:paraId="27935C59">
      <w:pPr>
        <w:spacing w:line="360" w:lineRule="auto"/>
        <w:ind w:firstLine="420" w:firstLineChars="200"/>
        <w:rPr>
          <w:rFonts w:ascii="宋体" w:hAnsi="宋体" w:cs="宋体"/>
          <w:color w:val="auto"/>
          <w:szCs w:val="21"/>
        </w:rPr>
      </w:pPr>
      <w:r>
        <w:rPr>
          <w:rFonts w:hint="eastAsia" w:ascii="宋体" w:hAnsi="宋体" w:cs="宋体"/>
          <w:color w:val="auto"/>
          <w:szCs w:val="21"/>
        </w:rPr>
        <w:t>（2）未按规定提交履约保证金的；</w:t>
      </w:r>
    </w:p>
    <w:p w14:paraId="580755AA">
      <w:pPr>
        <w:spacing w:line="360" w:lineRule="auto"/>
        <w:ind w:firstLine="420" w:firstLineChars="200"/>
        <w:rPr>
          <w:rFonts w:ascii="宋体" w:hAnsi="宋体" w:cs="宋体"/>
          <w:color w:val="auto"/>
          <w:szCs w:val="21"/>
        </w:rPr>
      </w:pPr>
      <w:r>
        <w:rPr>
          <w:rFonts w:hint="eastAsia" w:ascii="宋体" w:hAnsi="宋体" w:cs="宋体"/>
          <w:color w:val="auto"/>
          <w:szCs w:val="21"/>
        </w:rPr>
        <w:t>（3）供应商在响应文件中提供虚假材料的；</w:t>
      </w:r>
    </w:p>
    <w:p w14:paraId="1D76707E">
      <w:pPr>
        <w:spacing w:line="360" w:lineRule="auto"/>
        <w:ind w:firstLine="420" w:firstLineChars="200"/>
        <w:rPr>
          <w:rFonts w:ascii="宋体" w:hAnsi="宋体" w:cs="宋体"/>
          <w:color w:val="auto"/>
          <w:szCs w:val="21"/>
        </w:rPr>
      </w:pPr>
      <w:r>
        <w:rPr>
          <w:rFonts w:hint="eastAsia" w:ascii="宋体" w:hAnsi="宋体" w:cs="宋体"/>
          <w:color w:val="auto"/>
          <w:szCs w:val="21"/>
        </w:rPr>
        <w:t>（4）除因不可抗力或者谈判文件认可的情形以外，成交供应商不与采购人签订合同的；</w:t>
      </w:r>
    </w:p>
    <w:p w14:paraId="2237CA26">
      <w:pPr>
        <w:spacing w:line="360" w:lineRule="auto"/>
        <w:ind w:firstLine="420" w:firstLineChars="200"/>
        <w:rPr>
          <w:rFonts w:ascii="宋体" w:hAnsi="宋体" w:cs="宋体"/>
          <w:color w:val="auto"/>
          <w:szCs w:val="21"/>
        </w:rPr>
      </w:pPr>
      <w:r>
        <w:rPr>
          <w:rFonts w:hint="eastAsia" w:ascii="宋体" w:hAnsi="宋体" w:cs="宋体"/>
          <w:color w:val="auto"/>
          <w:szCs w:val="21"/>
        </w:rPr>
        <w:t>（5）供应商与采购人、其他供应商或者采购代理机构恶意串通的；</w:t>
      </w:r>
    </w:p>
    <w:p w14:paraId="18F6EC28">
      <w:pPr>
        <w:spacing w:line="360" w:lineRule="auto"/>
        <w:ind w:firstLine="420" w:firstLineChars="200"/>
        <w:rPr>
          <w:rFonts w:ascii="宋体" w:hAnsi="宋体" w:cs="宋体"/>
          <w:color w:val="auto"/>
          <w:szCs w:val="21"/>
        </w:rPr>
      </w:pPr>
      <w:r>
        <w:rPr>
          <w:rFonts w:hint="eastAsia" w:ascii="宋体" w:hAnsi="宋体" w:cs="宋体"/>
          <w:color w:val="auto"/>
          <w:szCs w:val="21"/>
        </w:rPr>
        <w:t>（6）法律法规规定的其他情形。</w:t>
      </w:r>
    </w:p>
    <w:p w14:paraId="758F72D6">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18.响应文件编制的要求</w:t>
      </w:r>
    </w:p>
    <w:p w14:paraId="5D96E5A5">
      <w:pPr>
        <w:spacing w:line="360" w:lineRule="auto"/>
        <w:ind w:firstLine="420" w:firstLineChars="200"/>
        <w:rPr>
          <w:rFonts w:ascii="宋体" w:hAnsi="宋体" w:cs="宋体"/>
          <w:color w:val="auto"/>
          <w:szCs w:val="21"/>
        </w:rPr>
      </w:pPr>
      <w:r>
        <w:rPr>
          <w:rFonts w:hint="eastAsia" w:ascii="宋体" w:hAnsi="宋体" w:cs="宋体"/>
          <w:color w:val="auto"/>
          <w:szCs w:val="21"/>
        </w:rPr>
        <w:t>18.1供应商应按本谈判文件规定的格式和顺序编制、装订响应文件并标注页码，响应文件内容</w:t>
      </w:r>
      <w:r>
        <w:rPr>
          <w:rFonts w:hint="eastAsia" w:ascii="宋体" w:hAnsi="宋体" w:cs="宋体"/>
          <w:color w:val="auto"/>
          <w:spacing w:val="-6"/>
          <w:szCs w:val="21"/>
        </w:rPr>
        <w:t>不完整、编排混乱导致响应文件被误读、漏读或者查找不到相关内容的，</w:t>
      </w:r>
      <w:r>
        <w:rPr>
          <w:rFonts w:hint="eastAsia" w:ascii="宋体" w:hAnsi="宋体" w:cs="宋体"/>
          <w:color w:val="auto"/>
        </w:rPr>
        <w:t>由此引发的</w:t>
      </w:r>
      <w:r>
        <w:rPr>
          <w:rFonts w:hint="eastAsia" w:ascii="宋体" w:hAnsi="宋体" w:cs="宋体"/>
          <w:color w:val="auto"/>
          <w:spacing w:val="-6"/>
          <w:szCs w:val="21"/>
        </w:rPr>
        <w:t>后果由供应商承担。</w:t>
      </w:r>
    </w:p>
    <w:p w14:paraId="18589EED">
      <w:pPr>
        <w:spacing w:line="360" w:lineRule="auto"/>
        <w:ind w:firstLine="420" w:firstLineChars="200"/>
        <w:rPr>
          <w:rFonts w:ascii="宋体" w:hAnsi="宋体" w:cs="宋体"/>
          <w:color w:val="auto"/>
          <w:szCs w:val="21"/>
        </w:rPr>
      </w:pPr>
      <w:r>
        <w:rPr>
          <w:rFonts w:hint="eastAsia" w:ascii="宋体" w:hAnsi="宋体" w:cs="宋体"/>
          <w:color w:val="auto"/>
          <w:szCs w:val="21"/>
        </w:rPr>
        <w:t>18.2响应文件应按资格证明文件、报价商务技术文件分别编制电子文件，</w:t>
      </w:r>
      <w:r>
        <w:rPr>
          <w:rFonts w:hint="eastAsia" w:ascii="宋体" w:hAnsi="宋体" w:cs="宋体"/>
          <w:color w:val="auto"/>
          <w:szCs w:val="21"/>
          <w:lang w:bidi="ar"/>
        </w:rPr>
        <w:t>并按广西政府采购云平台的要求编制、加密、上传。</w:t>
      </w:r>
    </w:p>
    <w:p w14:paraId="5D82970F">
      <w:pPr>
        <w:spacing w:line="360" w:lineRule="auto"/>
        <w:ind w:firstLine="420" w:firstLineChars="200"/>
        <w:rPr>
          <w:rFonts w:ascii="宋体" w:hAnsi="宋体" w:cs="宋体"/>
          <w:color w:val="auto"/>
          <w:szCs w:val="21"/>
        </w:rPr>
      </w:pPr>
      <w:r>
        <w:rPr>
          <w:rFonts w:hint="eastAsia" w:ascii="宋体" w:hAnsi="宋体" w:cs="宋体"/>
          <w:color w:val="auto"/>
          <w:szCs w:val="21"/>
        </w:rPr>
        <w:t>18.</w:t>
      </w:r>
      <w:bookmarkStart w:id="25" w:name="_Hlk65832699"/>
      <w:r>
        <w:rPr>
          <w:rFonts w:hint="eastAsia" w:ascii="宋体" w:hAnsi="宋体" w:cs="宋体"/>
          <w:color w:val="auto"/>
          <w:szCs w:val="21"/>
        </w:rPr>
        <w:t>3响应文件须由供应商在规定位置盖公章并签字</w:t>
      </w:r>
      <w:bookmarkStart w:id="26" w:name="_Hlk65832569"/>
      <w:r>
        <w:rPr>
          <w:rFonts w:hint="eastAsia" w:ascii="宋体" w:hAnsi="宋体" w:cs="宋体"/>
          <w:color w:val="auto"/>
          <w:szCs w:val="21"/>
        </w:rPr>
        <w:t>（具体以供应商须知前附表或响应文件格式规定为准）</w:t>
      </w:r>
      <w:bookmarkEnd w:id="25"/>
      <w:bookmarkEnd w:id="26"/>
      <w:r>
        <w:rPr>
          <w:rFonts w:hint="eastAsia" w:ascii="宋体" w:hAnsi="宋体" w:cs="宋体"/>
          <w:color w:val="auto"/>
          <w:szCs w:val="21"/>
        </w:rPr>
        <w:t>，否则其响应文件按无效响应处理。</w:t>
      </w:r>
    </w:p>
    <w:p w14:paraId="1C33E5A1">
      <w:pPr>
        <w:spacing w:line="360" w:lineRule="auto"/>
        <w:ind w:firstLine="420" w:firstLineChars="200"/>
        <w:rPr>
          <w:rFonts w:ascii="宋体" w:hAnsi="宋体" w:cs="宋体"/>
          <w:color w:val="auto"/>
          <w:szCs w:val="21"/>
        </w:rPr>
      </w:pPr>
      <w:r>
        <w:rPr>
          <w:rFonts w:hint="eastAsia" w:ascii="宋体" w:hAnsi="宋体" w:cs="宋体"/>
          <w:color w:val="auto"/>
          <w:szCs w:val="21"/>
        </w:rPr>
        <w:t>18.4响应文件中标注的供应商名称应与营业执照（事业单位法人证书、执业许可证、自然人身份证）及公章一致，否则其响应文件按无效响应处理。</w:t>
      </w:r>
    </w:p>
    <w:p w14:paraId="72A0AEEC">
      <w:pPr>
        <w:spacing w:line="360" w:lineRule="auto"/>
        <w:ind w:firstLine="420" w:firstLineChars="200"/>
        <w:rPr>
          <w:rFonts w:ascii="宋体" w:hAnsi="宋体" w:cs="宋体"/>
          <w:color w:val="auto"/>
          <w:szCs w:val="21"/>
        </w:rPr>
      </w:pPr>
      <w:r>
        <w:rPr>
          <w:rFonts w:hint="eastAsia" w:ascii="宋体" w:hAnsi="宋体" w:cs="宋体"/>
          <w:color w:val="auto"/>
          <w:szCs w:val="21"/>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2DB940F1">
      <w:pPr>
        <w:spacing w:line="360" w:lineRule="auto"/>
        <w:ind w:firstLine="482" w:firstLineChars="200"/>
        <w:rPr>
          <w:rFonts w:ascii="宋体" w:hAnsi="宋体" w:cs="宋体"/>
          <w:b/>
          <w:bCs/>
          <w:color w:val="auto"/>
          <w:sz w:val="32"/>
          <w:szCs w:val="32"/>
        </w:rPr>
      </w:pPr>
      <w:r>
        <w:rPr>
          <w:rFonts w:hint="eastAsia" w:ascii="宋体" w:hAnsi="宋体" w:cs="宋体"/>
          <w:b/>
          <w:color w:val="auto"/>
          <w:sz w:val="24"/>
        </w:rPr>
        <w:t>19.响应文件的加密、解密</w:t>
      </w:r>
    </w:p>
    <w:p w14:paraId="5126C5A5">
      <w:pPr>
        <w:spacing w:line="360" w:lineRule="auto"/>
        <w:ind w:firstLine="420" w:firstLineChars="200"/>
        <w:rPr>
          <w:rFonts w:ascii="宋体" w:hAnsi="宋体" w:cs="宋体"/>
          <w:color w:val="auto"/>
          <w:szCs w:val="21"/>
        </w:rPr>
      </w:pPr>
      <w:r>
        <w:rPr>
          <w:rFonts w:hint="eastAsia" w:ascii="宋体" w:hAnsi="宋体" w:cs="宋体"/>
          <w:color w:val="auto"/>
          <w:szCs w:val="21"/>
        </w:rPr>
        <w:t>19.1电子响应文件编制完成后，供应商应按广西政府采购云平台的要求进行加密，并在规定时间内解密，否则，由此产生的后果由供应商自行负责。</w:t>
      </w:r>
    </w:p>
    <w:p w14:paraId="2B5E8C57">
      <w:pPr>
        <w:pStyle w:val="40"/>
        <w:ind w:firstLine="420" w:firstLineChars="200"/>
        <w:rPr>
          <w:color w:val="auto"/>
          <w:sz w:val="18"/>
          <w:szCs w:val="20"/>
        </w:rPr>
      </w:pPr>
      <w:r>
        <w:rPr>
          <w:rFonts w:hint="eastAsia" w:ascii="宋体" w:hAnsi="宋体" w:cs="宋体"/>
          <w:color w:val="auto"/>
          <w:szCs w:val="20"/>
        </w:rPr>
        <w:t>19.</w:t>
      </w:r>
      <w:r>
        <w:rPr>
          <w:rFonts w:ascii="宋体" w:hAnsi="宋体" w:cs="宋体"/>
          <w:color w:val="auto"/>
          <w:szCs w:val="20"/>
        </w:rPr>
        <w:t>2</w:t>
      </w:r>
      <w:r>
        <w:rPr>
          <w:rFonts w:hint="eastAsia" w:ascii="宋体" w:hAnsi="宋体" w:cs="宋体"/>
          <w:color w:val="auto"/>
          <w:szCs w:val="20"/>
        </w:rPr>
        <w:t>本项目不接受电子备份响应文件。</w:t>
      </w:r>
    </w:p>
    <w:p w14:paraId="071D35B9">
      <w:pPr>
        <w:spacing w:line="360" w:lineRule="auto"/>
        <w:ind w:firstLine="482" w:firstLineChars="200"/>
        <w:rPr>
          <w:rFonts w:ascii="宋体" w:hAnsi="宋体" w:cs="宋体"/>
          <w:b/>
          <w:bCs/>
          <w:color w:val="auto"/>
          <w:sz w:val="24"/>
        </w:rPr>
      </w:pPr>
      <w:r>
        <w:rPr>
          <w:rFonts w:hint="eastAsia" w:ascii="宋体" w:hAnsi="宋体" w:cs="宋体"/>
          <w:b/>
          <w:bCs/>
          <w:color w:val="auto"/>
          <w:sz w:val="24"/>
        </w:rPr>
        <w:t>20.响应文件的提交</w:t>
      </w:r>
    </w:p>
    <w:p w14:paraId="3B0A4460">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20.1供应商必须在“供应商须知前附表”规定的时间和地点提交响应文件。</w:t>
      </w:r>
    </w:p>
    <w:p w14:paraId="1449CFEE">
      <w:pPr>
        <w:widowControl/>
        <w:spacing w:line="360" w:lineRule="auto"/>
        <w:ind w:firstLine="420" w:firstLineChars="200"/>
        <w:rPr>
          <w:rFonts w:ascii="宋体" w:hAnsi="宋体" w:cs="宋体"/>
          <w:b/>
          <w:color w:val="auto"/>
          <w:szCs w:val="21"/>
          <w:lang w:bidi="ar"/>
        </w:rPr>
      </w:pPr>
      <w:r>
        <w:rPr>
          <w:rFonts w:hint="eastAsia" w:ascii="宋体" w:hAnsi="宋体" w:cs="宋体"/>
          <w:color w:val="auto"/>
          <w:szCs w:val="21"/>
        </w:rPr>
        <w:t>20.</w:t>
      </w:r>
      <w:r>
        <w:rPr>
          <w:rFonts w:ascii="宋体" w:hAnsi="宋体" w:cs="宋体"/>
          <w:color w:val="auto"/>
          <w:szCs w:val="21"/>
        </w:rPr>
        <w:t>2</w:t>
      </w:r>
      <w:r>
        <w:rPr>
          <w:rFonts w:hint="eastAsia" w:ascii="宋体" w:hAnsi="宋体" w:cs="宋体"/>
          <w:color w:val="auto"/>
          <w:szCs w:val="21"/>
          <w:lang w:bidi="ar"/>
        </w:rPr>
        <w:t>本项目为全流程电子化政府采购项目，通过广西政府采购云平台（https://www.gcy.zfcg.gxzf.gov.cn/）实行在线电子竞争性谈判，供应商应先安装“广西政府采购云平台电子交易客户端”（请自行前往广西政府采购云平台进行下载），并按照本项目竞争性谈判文件和广西政府采购云平台的要求编制、加密后在首次响应文件提交截止时间前通过网络上传至广西政府采购云平台，</w:t>
      </w:r>
      <w:r>
        <w:rPr>
          <w:rFonts w:hint="eastAsia" w:ascii="宋体" w:hAnsi="宋体" w:cs="宋体"/>
          <w:b/>
          <w:color w:val="auto"/>
          <w:szCs w:val="21"/>
          <w:lang w:bidi="ar"/>
        </w:rPr>
        <w:t>供应商在广西政府采购云平台提交电子版响应文件时，请填写参加远程开标活动经办人联系方式。</w:t>
      </w:r>
    </w:p>
    <w:p w14:paraId="7EABA5C0">
      <w:pPr>
        <w:pStyle w:val="6"/>
        <w:keepNext w:val="0"/>
        <w:keepLines w:val="0"/>
        <w:spacing w:before="0" w:after="0" w:line="360" w:lineRule="auto"/>
        <w:ind w:firstLine="420" w:firstLineChars="200"/>
        <w:jc w:val="left"/>
        <w:rPr>
          <w:rFonts w:ascii="宋体" w:hAnsi="宋体" w:cs="宋体"/>
          <w:b w:val="0"/>
          <w:color w:val="auto"/>
          <w:sz w:val="21"/>
          <w:szCs w:val="21"/>
        </w:rPr>
      </w:pPr>
      <w:r>
        <w:rPr>
          <w:rFonts w:hint="eastAsia" w:ascii="宋体" w:hAnsi="宋体" w:cs="宋体"/>
          <w:b w:val="0"/>
          <w:color w:val="auto"/>
          <w:sz w:val="21"/>
          <w:szCs w:val="21"/>
        </w:rPr>
        <w:t>20.</w:t>
      </w:r>
      <w:r>
        <w:rPr>
          <w:rFonts w:ascii="宋体" w:hAnsi="宋体" w:cs="宋体"/>
          <w:b w:val="0"/>
          <w:color w:val="auto"/>
          <w:sz w:val="21"/>
          <w:szCs w:val="21"/>
        </w:rPr>
        <w:t>3</w:t>
      </w:r>
      <w:r>
        <w:rPr>
          <w:rFonts w:hint="eastAsia" w:ascii="宋体" w:hAnsi="宋体" w:cs="宋体"/>
          <w:b w:val="0"/>
          <w:color w:val="auto"/>
          <w:sz w:val="21"/>
          <w:szCs w:val="21"/>
        </w:rPr>
        <w:t>未在规定时间内上传或者未按广西政府采购云平台的要求编制、加密的电子响应文件，广西政府采购云平台将拒收。</w:t>
      </w:r>
    </w:p>
    <w:p w14:paraId="55EF3A8E">
      <w:pPr>
        <w:widowControl/>
        <w:spacing w:line="360" w:lineRule="auto"/>
        <w:ind w:firstLine="420" w:firstLineChars="200"/>
        <w:rPr>
          <w:rFonts w:ascii="宋体" w:hAnsi="宋体" w:cs="宋体"/>
          <w:color w:val="auto"/>
          <w:sz w:val="24"/>
        </w:rPr>
      </w:pPr>
      <w:r>
        <w:rPr>
          <w:rFonts w:hint="eastAsia" w:ascii="宋体" w:hAnsi="宋体" w:cs="宋体"/>
          <w:color w:val="auto"/>
          <w:szCs w:val="21"/>
        </w:rPr>
        <w:t>20.</w:t>
      </w:r>
      <w:r>
        <w:rPr>
          <w:rFonts w:ascii="宋体" w:hAnsi="宋体" w:cs="宋体"/>
          <w:color w:val="auto"/>
          <w:szCs w:val="21"/>
        </w:rPr>
        <w:t>4</w:t>
      </w:r>
      <w:r>
        <w:rPr>
          <w:rFonts w:hint="eastAsia" w:ascii="宋体" w:hAnsi="宋体" w:cs="宋体"/>
          <w:color w:val="auto"/>
          <w:szCs w:val="21"/>
        </w:rPr>
        <w:t>电子响应文件提交方式见“竞争性谈判公告”中“四、响应文件提交”。</w:t>
      </w:r>
    </w:p>
    <w:p w14:paraId="18877380">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21.首次响应文件的补充、修改与撤回</w:t>
      </w:r>
    </w:p>
    <w:p w14:paraId="38A5F686">
      <w:pPr>
        <w:spacing w:line="360" w:lineRule="auto"/>
        <w:ind w:firstLine="420" w:firstLineChars="200"/>
        <w:rPr>
          <w:rFonts w:ascii="宋体" w:hAnsi="宋体" w:cs="宋体"/>
          <w:color w:val="auto"/>
          <w:szCs w:val="21"/>
        </w:rPr>
      </w:pPr>
      <w:r>
        <w:rPr>
          <w:rFonts w:hint="eastAsia" w:ascii="宋体" w:hAnsi="宋体" w:cs="宋体"/>
          <w:bCs/>
          <w:color w:val="auto"/>
          <w:szCs w:val="21"/>
          <w:lang w:bidi="ar"/>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3D9CDFE0">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22.首次响应文件的退回</w:t>
      </w:r>
    </w:p>
    <w:p w14:paraId="1CAD3A8D">
      <w:pPr>
        <w:spacing w:line="360" w:lineRule="auto"/>
        <w:ind w:firstLine="420" w:firstLineChars="200"/>
        <w:rPr>
          <w:rFonts w:ascii="宋体" w:hAnsi="宋体" w:cs="宋体"/>
          <w:color w:val="auto"/>
          <w:sz w:val="24"/>
        </w:rPr>
      </w:pPr>
      <w:r>
        <w:rPr>
          <w:rFonts w:hint="eastAsia" w:ascii="宋体" w:hAnsi="宋体" w:cs="宋体"/>
          <w:color w:val="auto"/>
          <w:szCs w:val="21"/>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0E15CC75">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23.截止时间后的撤回</w:t>
      </w:r>
    </w:p>
    <w:p w14:paraId="06CFD8F4">
      <w:pPr>
        <w:spacing w:line="360" w:lineRule="auto"/>
        <w:ind w:firstLine="420" w:firstLineChars="200"/>
        <w:rPr>
          <w:rFonts w:ascii="宋体" w:hAnsi="宋体" w:cs="宋体"/>
          <w:color w:val="auto"/>
          <w:szCs w:val="21"/>
        </w:rPr>
      </w:pPr>
      <w:r>
        <w:rPr>
          <w:rFonts w:hint="eastAsia" w:ascii="宋体" w:hAnsi="宋体" w:cs="宋体"/>
          <w:color w:val="auto"/>
          <w:szCs w:val="21"/>
        </w:rPr>
        <w:t>23.1供应商在首次响应文件提交截止时间后书面通知采购人、采购代理机构书面撤回响应文件的，将根据本须知正文17.4的规定不予退还其谈判保证金。</w:t>
      </w:r>
    </w:p>
    <w:p w14:paraId="6DF1679C">
      <w:pPr>
        <w:spacing w:line="360" w:lineRule="auto"/>
        <w:ind w:firstLine="480" w:firstLineChars="200"/>
        <w:rPr>
          <w:rFonts w:ascii="宋体" w:hAnsi="宋体" w:cs="宋体"/>
          <w:color w:val="auto"/>
          <w:sz w:val="24"/>
        </w:rPr>
      </w:pPr>
    </w:p>
    <w:p w14:paraId="54FF3CDA">
      <w:pPr>
        <w:spacing w:line="360" w:lineRule="auto"/>
        <w:jc w:val="center"/>
        <w:rPr>
          <w:rFonts w:ascii="宋体" w:hAnsi="宋体" w:cs="宋体"/>
          <w:b/>
          <w:color w:val="auto"/>
          <w:sz w:val="40"/>
          <w:szCs w:val="40"/>
        </w:rPr>
      </w:pPr>
      <w:r>
        <w:rPr>
          <w:rFonts w:hint="eastAsia" w:ascii="宋体" w:hAnsi="宋体" w:cs="宋体"/>
          <w:b/>
          <w:color w:val="auto"/>
          <w:sz w:val="40"/>
          <w:szCs w:val="40"/>
        </w:rPr>
        <w:t>四、评审及谈判</w:t>
      </w:r>
    </w:p>
    <w:p w14:paraId="13972D85">
      <w:pPr>
        <w:spacing w:line="360" w:lineRule="auto"/>
        <w:ind w:firstLine="420"/>
        <w:rPr>
          <w:rFonts w:ascii="宋体" w:hAnsi="宋体" w:cs="宋体"/>
          <w:color w:val="auto"/>
          <w:sz w:val="24"/>
        </w:rPr>
      </w:pPr>
    </w:p>
    <w:p w14:paraId="5BF1B4E8">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24.谈判小组成立</w:t>
      </w:r>
    </w:p>
    <w:p w14:paraId="52D7CDA3">
      <w:pPr>
        <w:spacing w:line="360" w:lineRule="auto"/>
        <w:ind w:firstLine="420" w:firstLineChars="200"/>
        <w:rPr>
          <w:rFonts w:ascii="宋体" w:hAnsi="宋体" w:cs="宋体"/>
          <w:color w:val="auto"/>
          <w:szCs w:val="21"/>
        </w:rPr>
      </w:pPr>
      <w:r>
        <w:rPr>
          <w:rFonts w:hint="eastAsia" w:ascii="宋体" w:hAnsi="宋体" w:cs="宋体"/>
          <w:color w:val="auto"/>
          <w:szCs w:val="21"/>
        </w:rPr>
        <w:t>24.1竞争性谈判小组成立：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195106FA">
      <w:pPr>
        <w:spacing w:line="360" w:lineRule="auto"/>
        <w:ind w:firstLine="420" w:firstLineChars="200"/>
        <w:rPr>
          <w:rFonts w:ascii="宋体" w:hAnsi="宋体" w:cs="宋体"/>
          <w:color w:val="auto"/>
          <w:szCs w:val="21"/>
        </w:rPr>
      </w:pPr>
      <w:r>
        <w:rPr>
          <w:rFonts w:hint="eastAsia" w:ascii="宋体" w:hAnsi="宋体" w:cs="宋体"/>
          <w:color w:val="auto"/>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78D3E4F0">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25.首次响应文件的开启</w:t>
      </w:r>
    </w:p>
    <w:p w14:paraId="71E7D62E">
      <w:pPr>
        <w:spacing w:line="360" w:lineRule="auto"/>
        <w:ind w:firstLine="420" w:firstLineChars="200"/>
        <w:rPr>
          <w:rFonts w:ascii="宋体" w:hAnsi="宋体" w:cs="宋体"/>
          <w:color w:val="auto"/>
          <w:szCs w:val="21"/>
        </w:rPr>
      </w:pPr>
      <w:r>
        <w:rPr>
          <w:rFonts w:hint="eastAsia" w:ascii="宋体" w:hAnsi="宋体" w:cs="宋体"/>
          <w:color w:val="auto"/>
          <w:szCs w:val="21"/>
        </w:rPr>
        <w:t>25.1首次响应文件由谈判小组或者采购代理机构在“供应商须知前附表”规定的时间开启。</w:t>
      </w:r>
    </w:p>
    <w:p w14:paraId="75224A57">
      <w:pPr>
        <w:spacing w:line="360" w:lineRule="auto"/>
        <w:ind w:firstLine="420" w:firstLineChars="200"/>
        <w:rPr>
          <w:rFonts w:ascii="宋体" w:hAnsi="宋体" w:cs="宋体"/>
          <w:color w:val="auto"/>
          <w:szCs w:val="21"/>
        </w:rPr>
      </w:pPr>
      <w:r>
        <w:rPr>
          <w:rFonts w:hint="eastAsia" w:ascii="宋体" w:hAnsi="宋体" w:cs="宋体"/>
          <w:color w:val="auto"/>
          <w:szCs w:val="21"/>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Cs w:val="21"/>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Cs w:val="21"/>
        </w:rPr>
        <w:t>响应文件未按时解密的，视为响应文件无效。</w:t>
      </w:r>
      <w:r>
        <w:rPr>
          <w:rFonts w:hint="eastAsia" w:ascii="宋体" w:hAnsi="宋体" w:cs="宋体"/>
          <w:color w:val="auto"/>
          <w:szCs w:val="21"/>
        </w:rPr>
        <w:t>（解密异常情况处理：详见本章26.2电子交易活动的中止。）</w:t>
      </w:r>
    </w:p>
    <w:p w14:paraId="6DAA3B9E">
      <w:pPr>
        <w:spacing w:line="360" w:lineRule="auto"/>
        <w:ind w:firstLine="420" w:firstLineChars="200"/>
        <w:rPr>
          <w:rFonts w:ascii="宋体" w:hAnsi="宋体" w:cs="宋体"/>
          <w:color w:val="auto"/>
          <w:szCs w:val="21"/>
        </w:rPr>
      </w:pPr>
      <w:r>
        <w:rPr>
          <w:rFonts w:hint="eastAsia" w:ascii="宋体" w:hAnsi="宋体" w:cs="宋体"/>
          <w:color w:val="auto"/>
          <w:szCs w:val="21"/>
        </w:rPr>
        <w:t>25.3成功解密响应文件的供应商不足3家的，不得谈判。</w:t>
      </w:r>
    </w:p>
    <w:p w14:paraId="45FDA97C">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26.评审程序和评定成交的标准</w:t>
      </w:r>
    </w:p>
    <w:p w14:paraId="19CF3920">
      <w:pPr>
        <w:spacing w:line="360" w:lineRule="auto"/>
        <w:ind w:firstLine="420" w:firstLineChars="200"/>
        <w:rPr>
          <w:rFonts w:ascii="宋体" w:hAnsi="宋体" w:cs="宋体"/>
          <w:color w:val="auto"/>
          <w:szCs w:val="21"/>
        </w:rPr>
      </w:pPr>
      <w:r>
        <w:rPr>
          <w:rFonts w:hint="eastAsia" w:ascii="宋体" w:hAnsi="宋体" w:cs="宋体"/>
          <w:color w:val="auto"/>
          <w:szCs w:val="21"/>
        </w:rPr>
        <w:t>26.1谈判小组按照“第四章  评审程序和评定成交的标准”规定的评审程序对响应文件进行评审，并按照评定成交的标准推荐成交候选供应商。</w:t>
      </w:r>
    </w:p>
    <w:p w14:paraId="05E380D6">
      <w:pPr>
        <w:spacing w:line="360" w:lineRule="auto"/>
        <w:ind w:firstLine="420" w:firstLineChars="200"/>
        <w:rPr>
          <w:rFonts w:ascii="宋体" w:hAnsi="宋体" w:cs="宋体"/>
          <w:color w:val="auto"/>
          <w:szCs w:val="21"/>
        </w:rPr>
      </w:pPr>
      <w:r>
        <w:rPr>
          <w:rFonts w:hint="eastAsia" w:ascii="宋体" w:hAnsi="宋体" w:cs="宋体"/>
          <w:color w:val="auto"/>
          <w:szCs w:val="21"/>
        </w:rPr>
        <w:t>26.2电子交易活动的中止。采购过程中出现以下情形，导致电子交易平台无法正常运行，或者无法保证电子交易的公平、公正和安全时，采购机构可中止电子交易活动：</w:t>
      </w:r>
    </w:p>
    <w:p w14:paraId="5EB3E87F">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（1）电子交易平台发生故障而无法登录访问的； </w:t>
      </w:r>
    </w:p>
    <w:p w14:paraId="26A635A9">
      <w:pPr>
        <w:spacing w:line="360" w:lineRule="auto"/>
        <w:ind w:firstLine="420" w:firstLineChars="200"/>
        <w:rPr>
          <w:rFonts w:ascii="宋体" w:hAnsi="宋体" w:cs="宋体"/>
          <w:color w:val="auto"/>
          <w:szCs w:val="21"/>
        </w:rPr>
      </w:pPr>
      <w:r>
        <w:rPr>
          <w:rFonts w:hint="eastAsia" w:ascii="宋体" w:hAnsi="宋体" w:cs="宋体"/>
          <w:color w:val="auto"/>
          <w:szCs w:val="21"/>
        </w:rPr>
        <w:t>（2）电子交易平台应用或数据库出现错误，不能进行正常操作的；</w:t>
      </w:r>
    </w:p>
    <w:p w14:paraId="64A021E1">
      <w:pPr>
        <w:spacing w:line="360" w:lineRule="auto"/>
        <w:ind w:firstLine="420" w:firstLineChars="200"/>
        <w:rPr>
          <w:rFonts w:ascii="宋体" w:hAnsi="宋体" w:cs="宋体"/>
          <w:color w:val="auto"/>
          <w:szCs w:val="21"/>
        </w:rPr>
      </w:pPr>
      <w:r>
        <w:rPr>
          <w:rFonts w:hint="eastAsia" w:ascii="宋体" w:hAnsi="宋体" w:cs="宋体"/>
          <w:color w:val="auto"/>
          <w:szCs w:val="21"/>
        </w:rPr>
        <w:t>（3）电子交易平台发现严重安全漏洞，有潜在泄密危险的；</w:t>
      </w:r>
    </w:p>
    <w:p w14:paraId="284A8B18">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（4）病毒发作导致不能进行正常操作的； </w:t>
      </w:r>
    </w:p>
    <w:p w14:paraId="0B3C9419">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）其他无法保证电子交易的公平、公正和安全的情况。</w:t>
      </w:r>
    </w:p>
    <w:p w14:paraId="3985BC39">
      <w:pPr>
        <w:spacing w:line="360" w:lineRule="auto"/>
        <w:ind w:firstLine="420" w:firstLineChars="200"/>
        <w:rPr>
          <w:rFonts w:ascii="宋体" w:hAnsi="宋体" w:cs="宋体"/>
          <w:color w:val="auto"/>
          <w:szCs w:val="21"/>
        </w:rPr>
      </w:pPr>
      <w:r>
        <w:rPr>
          <w:rFonts w:hint="eastAsia" w:ascii="宋体" w:hAnsi="宋体" w:cs="宋体"/>
          <w:color w:val="auto"/>
          <w:szCs w:val="21"/>
        </w:rPr>
        <w:t>26.3出现以上情形，不影响采购公平、公正性的，采购代理机构可以待上述情形消除后继续组织电子交易活动；影响或可能影响采购公平、公正性的，经采购代理机构确认后，应当重新采购。</w:t>
      </w:r>
    </w:p>
    <w:p w14:paraId="6EA045ED">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27.确定成交供应商及结果公告</w:t>
      </w:r>
    </w:p>
    <w:p w14:paraId="52BD4170">
      <w:pPr>
        <w:spacing w:line="360" w:lineRule="auto"/>
        <w:ind w:firstLine="420" w:firstLineChars="200"/>
        <w:rPr>
          <w:rFonts w:ascii="宋体" w:hAnsi="宋体" w:cs="宋体"/>
          <w:color w:val="auto"/>
          <w:szCs w:val="21"/>
        </w:rPr>
      </w:pPr>
      <w:r>
        <w:rPr>
          <w:rFonts w:hint="eastAsia" w:ascii="宋体" w:hAnsi="宋体" w:cs="宋体"/>
          <w:color w:val="auto"/>
          <w:szCs w:val="21"/>
        </w:rPr>
        <w:t>27.1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46254FF1">
      <w:pPr>
        <w:pStyle w:val="9"/>
        <w:spacing w:line="360" w:lineRule="auto"/>
        <w:ind w:firstLine="420" w:firstLineChars="200"/>
        <w:jc w:val="both"/>
        <w:rPr>
          <w:rFonts w:ascii="宋体" w:hAnsi="宋体" w:cs="宋体"/>
          <w:color w:val="auto"/>
          <w:kern w:val="0"/>
          <w:szCs w:val="21"/>
        </w:rPr>
      </w:pPr>
      <w:r>
        <w:rPr>
          <w:rFonts w:hint="eastAsia" w:ascii="宋体" w:hAnsi="宋体" w:cs="宋体"/>
          <w:color w:val="auto"/>
          <w:kern w:val="0"/>
          <w:szCs w:val="21"/>
        </w:rPr>
        <w:t>27.2采购代理机构应当在成交供应商确定后2个工作日内，在省级以上财政部门指定的媒体上公告成交结果，同时向成交供应商发出成交通知书。</w:t>
      </w:r>
      <w:r>
        <w:rPr>
          <w:rFonts w:hint="eastAsia" w:ascii="宋体" w:hAnsi="宋体" w:cs="宋体"/>
          <w:b/>
          <w:color w:val="auto"/>
          <w:kern w:val="0"/>
          <w:szCs w:val="21"/>
        </w:rPr>
        <w:t>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color w:val="auto"/>
          <w:kern w:val="0"/>
          <w:szCs w:val="21"/>
        </w:rPr>
        <w:t>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宋体"/>
          <w:color w:val="auto"/>
          <w:szCs w:val="21"/>
        </w:rPr>
        <w:t>成交供应商享受《政府采购促进中小企业发展管理办法》（财库〔2020〕46号）规定的中小企业扶持政策的，采购人、采购代理机构应当随成交结果公开成交供应商的《中小企业声明函》。</w:t>
      </w:r>
    </w:p>
    <w:p w14:paraId="25184EC6">
      <w:pPr>
        <w:pStyle w:val="9"/>
        <w:spacing w:line="360" w:lineRule="auto"/>
        <w:ind w:firstLine="420" w:firstLineChars="200"/>
        <w:jc w:val="both"/>
        <w:rPr>
          <w:rFonts w:ascii="宋体" w:hAnsi="宋体" w:cs="宋体"/>
          <w:color w:val="auto"/>
          <w:szCs w:val="21"/>
        </w:rPr>
      </w:pPr>
      <w:r>
        <w:rPr>
          <w:rFonts w:hint="eastAsia" w:ascii="宋体" w:hAnsi="宋体" w:cs="宋体"/>
          <w:color w:val="auto"/>
          <w:szCs w:val="21"/>
        </w:rPr>
        <w:t>27.3出现下列情形之一的，采购人或者采购代理机构应当终止竞争性谈判采购活动，发布项目终止公告并说明原因，重新开展采购活动：</w:t>
      </w:r>
    </w:p>
    <w:p w14:paraId="7D61A429">
      <w:pPr>
        <w:pStyle w:val="9"/>
        <w:spacing w:line="360" w:lineRule="auto"/>
        <w:ind w:firstLine="420" w:firstLineChars="200"/>
        <w:jc w:val="both"/>
        <w:rPr>
          <w:rFonts w:ascii="宋体" w:hAnsi="宋体" w:cs="宋体"/>
          <w:color w:val="auto"/>
          <w:szCs w:val="21"/>
        </w:rPr>
      </w:pPr>
      <w:r>
        <w:rPr>
          <w:rFonts w:hint="eastAsia" w:ascii="宋体" w:hAnsi="宋体" w:cs="宋体"/>
          <w:color w:val="auto"/>
          <w:szCs w:val="21"/>
        </w:rPr>
        <w:t>（一）因情况变化，不再符合规定的竞争性谈判采购方式适用情形的；</w:t>
      </w:r>
    </w:p>
    <w:p w14:paraId="643A2984">
      <w:pPr>
        <w:pStyle w:val="9"/>
        <w:spacing w:line="360" w:lineRule="auto"/>
        <w:ind w:firstLine="420" w:firstLineChars="200"/>
        <w:jc w:val="both"/>
        <w:rPr>
          <w:rFonts w:ascii="宋体" w:hAnsi="宋体" w:cs="宋体"/>
          <w:color w:val="auto"/>
          <w:szCs w:val="21"/>
        </w:rPr>
      </w:pPr>
      <w:r>
        <w:rPr>
          <w:rFonts w:hint="eastAsia" w:ascii="宋体" w:hAnsi="宋体" w:cs="宋体"/>
          <w:color w:val="auto"/>
          <w:szCs w:val="21"/>
        </w:rPr>
        <w:t>（二）出现影响采购公正的违法、违规行为的；</w:t>
      </w:r>
    </w:p>
    <w:p w14:paraId="5F73A69E">
      <w:pPr>
        <w:pStyle w:val="9"/>
        <w:spacing w:line="360" w:lineRule="auto"/>
        <w:ind w:firstLine="420" w:firstLineChars="200"/>
        <w:jc w:val="both"/>
        <w:rPr>
          <w:rFonts w:ascii="宋体" w:hAnsi="宋体" w:cs="宋体"/>
          <w:color w:val="auto"/>
          <w:szCs w:val="21"/>
        </w:rPr>
      </w:pPr>
      <w:r>
        <w:rPr>
          <w:rFonts w:hint="eastAsia" w:ascii="宋体" w:hAnsi="宋体" w:cs="宋体"/>
          <w:color w:val="auto"/>
          <w:szCs w:val="21"/>
        </w:rPr>
        <w:t>（三）在采购过程中符合竞争要求的供应商或者报价未超过采购预算的供应商不足3家的，但“第四章 评审程序和评定成交的标准”第3.7条规定的情形除外。</w:t>
      </w:r>
    </w:p>
    <w:p w14:paraId="09363673">
      <w:pPr>
        <w:pStyle w:val="9"/>
        <w:spacing w:line="360" w:lineRule="auto"/>
        <w:ind w:firstLine="420" w:firstLineChars="200"/>
        <w:rPr>
          <w:rFonts w:ascii="宋体" w:hAnsi="宋体" w:cs="宋体"/>
          <w:color w:val="auto"/>
          <w:szCs w:val="21"/>
        </w:rPr>
      </w:pPr>
      <w:r>
        <w:rPr>
          <w:rFonts w:hint="eastAsia" w:ascii="宋体" w:hAnsi="宋体" w:cs="宋体"/>
          <w:color w:val="auto"/>
          <w:szCs w:val="21"/>
        </w:rPr>
        <w:t>27.4在采购活动中因重大变故，采购任务取消的，采购人或者采购代理机构应当终止采购活动，通知所有参加采购活动的供应商。</w:t>
      </w:r>
    </w:p>
    <w:p w14:paraId="6F924F7E">
      <w:pPr>
        <w:pStyle w:val="9"/>
        <w:spacing w:line="360" w:lineRule="auto"/>
        <w:ind w:firstLine="420" w:firstLineChars="200"/>
        <w:rPr>
          <w:rFonts w:ascii="宋体" w:hAnsi="宋体" w:cs="宋体"/>
          <w:color w:val="auto"/>
          <w:szCs w:val="21"/>
        </w:rPr>
      </w:pPr>
      <w:r>
        <w:rPr>
          <w:rFonts w:hint="eastAsia" w:ascii="宋体" w:hAnsi="宋体" w:cs="宋体"/>
          <w:bCs/>
          <w:color w:val="auto"/>
          <w:szCs w:val="21"/>
        </w:rPr>
        <w:t>27.5</w:t>
      </w:r>
      <w:r>
        <w:rPr>
          <w:rFonts w:hint="eastAsia" w:ascii="宋体" w:hAnsi="宋体" w:cs="宋体"/>
          <w:color w:val="auto"/>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p>
    <w:p w14:paraId="090B94F7">
      <w:pPr>
        <w:pStyle w:val="9"/>
        <w:spacing w:line="360" w:lineRule="auto"/>
        <w:ind w:firstLine="422" w:firstLineChars="200"/>
        <w:rPr>
          <w:rFonts w:ascii="宋体" w:hAnsi="宋体" w:cs="宋体"/>
          <w:b/>
          <w:color w:val="auto"/>
          <w:szCs w:val="21"/>
        </w:rPr>
      </w:pPr>
      <w:r>
        <w:rPr>
          <w:rFonts w:hint="eastAsia" w:ascii="宋体" w:hAnsi="宋体" w:cs="宋体"/>
          <w:b/>
          <w:color w:val="auto"/>
          <w:szCs w:val="21"/>
        </w:rPr>
        <w:t>除因不可抗力外，成交供应商不与采购人签订合同的，除不予退还其谈判保证金外，若给采购人造成损失，或（并）因此延误采购人教学科研计划的，须依据《中华人民共和国民法典》第五百条、《政府采购非招标采购方式管理办法（财政部令第74号）》第二十二条、第五十四条规定承担赔偿损失等法律责任，采购人有权将成交供应商的失信行为报财政部门记入诚信档案，以示惩戒。</w:t>
      </w:r>
    </w:p>
    <w:p w14:paraId="72B62F41">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28.履约保证金</w:t>
      </w:r>
    </w:p>
    <w:p w14:paraId="3003624D">
      <w:pPr>
        <w:pStyle w:val="9"/>
        <w:spacing w:line="360" w:lineRule="auto"/>
        <w:ind w:firstLine="420" w:firstLineChars="200"/>
        <w:rPr>
          <w:rFonts w:ascii="宋体" w:hAnsi="宋体" w:cs="宋体"/>
          <w:color w:val="auto"/>
        </w:rPr>
      </w:pPr>
      <w:r>
        <w:rPr>
          <w:rFonts w:hint="eastAsia" w:ascii="宋体" w:hAnsi="宋体" w:cs="宋体"/>
          <w:color w:val="auto"/>
          <w:szCs w:val="21"/>
        </w:rPr>
        <w:t>28.1履约保证金的金额、提交方式、退付的时间和条件详见 “供应商须知前附表”。</w:t>
      </w:r>
    </w:p>
    <w:p w14:paraId="52D807BE">
      <w:pPr>
        <w:spacing w:line="360" w:lineRule="auto"/>
        <w:ind w:firstLine="424" w:firstLineChars="202"/>
        <w:rPr>
          <w:rFonts w:ascii="宋体" w:hAnsi="宋体" w:cs="宋体"/>
          <w:color w:val="auto"/>
          <w:szCs w:val="21"/>
        </w:rPr>
      </w:pPr>
      <w:r>
        <w:rPr>
          <w:rFonts w:hint="eastAsia" w:ascii="宋体" w:hAnsi="宋体" w:cs="宋体"/>
          <w:color w:val="auto"/>
          <w:szCs w:val="21"/>
        </w:rPr>
        <w:t>28.2在履约保证金退还日期前，若成交供应商的开户名称、开户银行、账号有变动的，请以书面形式通知履约保证金收取单位，否则由此产生的后果由成交供应商自负。</w:t>
      </w:r>
    </w:p>
    <w:p w14:paraId="29BA5A27">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29.签订合同</w:t>
      </w:r>
    </w:p>
    <w:p w14:paraId="195A5594">
      <w:pPr>
        <w:spacing w:line="360" w:lineRule="auto"/>
        <w:ind w:firstLine="424" w:firstLineChars="202"/>
        <w:rPr>
          <w:rFonts w:ascii="宋体" w:hAnsi="宋体" w:cs="宋体"/>
          <w:color w:val="auto"/>
          <w:szCs w:val="21"/>
        </w:rPr>
      </w:pPr>
      <w:r>
        <w:rPr>
          <w:rFonts w:hint="eastAsia" w:ascii="宋体" w:hAnsi="宋体" w:cs="宋体"/>
          <w:color w:val="auto"/>
          <w:szCs w:val="21"/>
        </w:rPr>
        <w:t>29.1成交供应商在收到成交通知书（书面或电子）后，按“供应商须知前附表”规定向采购人出示相关证明材料，经采购人核验合格后方可签订合同（书面或电子）。如成交供应商为联合体的，联合体各方应当共同与采购人签订采购合同，就采购合同约定的事项对采购人承担连带责任。</w:t>
      </w:r>
    </w:p>
    <w:p w14:paraId="22E04B7C">
      <w:pPr>
        <w:spacing w:line="360" w:lineRule="auto"/>
        <w:ind w:firstLine="424" w:firstLineChars="202"/>
        <w:rPr>
          <w:rFonts w:ascii="宋体" w:hAnsi="宋体" w:cs="宋体"/>
          <w:color w:val="auto"/>
          <w:szCs w:val="21"/>
        </w:rPr>
      </w:pPr>
      <w:r>
        <w:rPr>
          <w:rFonts w:hint="eastAsia" w:ascii="宋体" w:hAnsi="宋体" w:cs="宋体"/>
          <w:color w:val="auto"/>
          <w:szCs w:val="21"/>
        </w:rPr>
        <w:t>29.2 签订合同时间：按成交通知书的规定与采购人签订政府采购合同（最长不能超过25日）。</w:t>
      </w:r>
    </w:p>
    <w:p w14:paraId="4D1DD55F">
      <w:pPr>
        <w:spacing w:line="360" w:lineRule="auto"/>
        <w:ind w:firstLine="424" w:firstLineChars="202"/>
        <w:rPr>
          <w:rFonts w:ascii="宋体" w:hAnsi="宋体" w:cs="宋体"/>
          <w:color w:val="auto"/>
          <w:szCs w:val="21"/>
        </w:rPr>
      </w:pPr>
      <w:r>
        <w:rPr>
          <w:rFonts w:hint="eastAsia" w:ascii="宋体" w:hAnsi="宋体" w:cs="宋体"/>
          <w:color w:val="auto"/>
          <w:szCs w:val="21"/>
        </w:rPr>
        <w:t>29.3成交供应商拒绝与采购人签订合同的，按照本文件之《供应商须知正文》第27.5条的规定执行。</w:t>
      </w:r>
    </w:p>
    <w:p w14:paraId="74386EBB">
      <w:pPr>
        <w:spacing w:line="360" w:lineRule="auto"/>
        <w:ind w:firstLine="482" w:firstLineChars="200"/>
        <w:rPr>
          <w:rFonts w:ascii="宋体" w:hAnsi="宋体" w:cs="宋体"/>
          <w:b/>
          <w:bCs/>
          <w:color w:val="auto"/>
          <w:sz w:val="24"/>
        </w:rPr>
      </w:pPr>
      <w:r>
        <w:rPr>
          <w:rFonts w:hint="eastAsia" w:ascii="宋体" w:hAnsi="宋体" w:cs="宋体"/>
          <w:b/>
          <w:bCs/>
          <w:color w:val="auto"/>
          <w:sz w:val="24"/>
        </w:rPr>
        <w:t>30.政府采购合同公告</w:t>
      </w:r>
    </w:p>
    <w:p w14:paraId="3B58F680">
      <w:pPr>
        <w:spacing w:line="360" w:lineRule="auto"/>
        <w:ind w:firstLine="420" w:firstLineChars="200"/>
        <w:rPr>
          <w:rFonts w:ascii="宋体" w:hAnsi="宋体" w:cs="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7E44661">
      <w:pPr>
        <w:spacing w:line="360" w:lineRule="auto"/>
        <w:ind w:firstLine="482" w:firstLineChars="200"/>
        <w:rPr>
          <w:rFonts w:ascii="宋体" w:hAnsi="宋体" w:cs="宋体"/>
          <w:b/>
          <w:bCs/>
          <w:color w:val="auto"/>
          <w:sz w:val="24"/>
        </w:rPr>
      </w:pPr>
      <w:r>
        <w:rPr>
          <w:rFonts w:hint="eastAsia" w:ascii="宋体" w:hAnsi="宋体" w:cs="宋体"/>
          <w:b/>
          <w:bCs/>
          <w:color w:val="auto"/>
          <w:sz w:val="24"/>
        </w:rPr>
        <w:t>31.询问、质疑和投诉</w:t>
      </w:r>
    </w:p>
    <w:p w14:paraId="0B3A7F26">
      <w:pPr>
        <w:pStyle w:val="7"/>
        <w:spacing w:line="360" w:lineRule="auto"/>
        <w:rPr>
          <w:rFonts w:ascii="宋体" w:hAnsi="宋体" w:cs="宋体"/>
          <w:color w:val="auto"/>
          <w:szCs w:val="21"/>
        </w:rPr>
      </w:pPr>
      <w:r>
        <w:rPr>
          <w:rFonts w:hint="eastAsia" w:ascii="宋体" w:hAnsi="宋体" w:cs="宋体"/>
          <w:color w:val="auto"/>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rPr>
        <w:t>但答复的内容不得涉及商业秘密。</w:t>
      </w:r>
    </w:p>
    <w:p w14:paraId="5609BD2D">
      <w:pPr>
        <w:spacing w:line="360" w:lineRule="auto"/>
        <w:ind w:firstLine="420" w:firstLineChars="200"/>
        <w:rPr>
          <w:rFonts w:ascii="宋体" w:hAnsi="宋体" w:cs="宋体"/>
          <w:color w:val="auto"/>
        </w:rPr>
      </w:pPr>
      <w:r>
        <w:rPr>
          <w:rFonts w:hint="eastAsia" w:ascii="宋体" w:hAnsi="宋体" w:cs="宋体"/>
          <w:color w:val="auto"/>
        </w:rPr>
        <w:t>31.2供应商认为谈判文件、采购过程或者成交结果使自己的合法权益受到损害的，应当在知道或者应知其权益受到损害之日起7个工作日内，以纸质书面形式向采购人、采购代理机构提出质疑，</w:t>
      </w:r>
      <w:r>
        <w:rPr>
          <w:rFonts w:hint="eastAsia" w:ascii="宋体" w:hAnsi="宋体" w:cs="宋体"/>
          <w:color w:val="auto"/>
          <w:shd w:val="clear" w:color="auto" w:fill="FFFFFF"/>
        </w:rPr>
        <w:t>接收质疑函的方式、联系部门、联系电话和通讯地址等信息</w:t>
      </w:r>
      <w:r>
        <w:rPr>
          <w:rFonts w:hint="eastAsia" w:ascii="宋体" w:hAnsi="宋体" w:cs="宋体"/>
          <w:color w:val="auto"/>
          <w:szCs w:val="21"/>
        </w:rPr>
        <w:t>详见“供应商须知前附表”</w:t>
      </w:r>
      <w:r>
        <w:rPr>
          <w:rFonts w:hint="eastAsia" w:ascii="宋体" w:hAnsi="宋体" w:cs="宋体"/>
          <w:color w:val="auto"/>
        </w:rPr>
        <w:t>。供应商应当在法定质疑期内一次性提出针对同一采购程序环节的质疑。具体质疑起算时间如下：</w:t>
      </w:r>
    </w:p>
    <w:p w14:paraId="41ED79E9">
      <w:pPr>
        <w:spacing w:line="360" w:lineRule="auto"/>
        <w:ind w:firstLine="420" w:firstLineChars="200"/>
        <w:rPr>
          <w:rFonts w:ascii="宋体" w:hAnsi="宋体" w:cs="宋体"/>
          <w:color w:val="auto"/>
        </w:rPr>
      </w:pPr>
      <w:r>
        <w:rPr>
          <w:rFonts w:hint="eastAsia" w:ascii="宋体" w:hAnsi="宋体" w:cs="宋体"/>
          <w:color w:val="auto"/>
        </w:rPr>
        <w:t>（1）对可以质疑的谈判文件提出质疑的，为获取谈判文件之日；</w:t>
      </w:r>
    </w:p>
    <w:p w14:paraId="3FAEFD92">
      <w:pPr>
        <w:spacing w:line="360" w:lineRule="auto"/>
        <w:ind w:firstLine="420" w:firstLineChars="200"/>
        <w:rPr>
          <w:rFonts w:ascii="宋体" w:hAnsi="宋体" w:cs="宋体"/>
          <w:color w:val="auto"/>
        </w:rPr>
      </w:pPr>
      <w:r>
        <w:rPr>
          <w:rFonts w:hint="eastAsia" w:ascii="宋体" w:hAnsi="宋体" w:cs="宋体"/>
          <w:color w:val="auto"/>
        </w:rPr>
        <w:t>（2）对采购过程提出质疑的，为各采购程序环节结束之日；</w:t>
      </w:r>
    </w:p>
    <w:p w14:paraId="31AA3FA9">
      <w:pPr>
        <w:spacing w:line="360" w:lineRule="auto"/>
        <w:ind w:firstLine="420" w:firstLineChars="200"/>
        <w:rPr>
          <w:rFonts w:ascii="宋体" w:hAnsi="宋体" w:cs="宋体"/>
          <w:color w:val="auto"/>
        </w:rPr>
      </w:pPr>
      <w:r>
        <w:rPr>
          <w:rFonts w:hint="eastAsia" w:ascii="宋体" w:hAnsi="宋体" w:cs="宋体"/>
          <w:color w:val="auto"/>
        </w:rPr>
        <w:t>（3）对成交结果提出质疑的，为成交结果公告期限届满之日。</w:t>
      </w:r>
    </w:p>
    <w:p w14:paraId="2D8FE06B">
      <w:pPr>
        <w:spacing w:line="360" w:lineRule="auto"/>
        <w:ind w:firstLine="420" w:firstLineChars="200"/>
        <w:rPr>
          <w:rFonts w:ascii="宋体" w:hAnsi="宋体" w:cs="宋体"/>
          <w:color w:val="auto"/>
        </w:rPr>
      </w:pPr>
      <w:r>
        <w:rPr>
          <w:rFonts w:hint="eastAsia" w:ascii="宋体" w:hAnsi="宋体" w:cs="宋体"/>
          <w:color w:val="auto"/>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EC51174">
      <w:pPr>
        <w:spacing w:line="360" w:lineRule="auto"/>
        <w:ind w:firstLine="420" w:firstLineChars="200"/>
        <w:rPr>
          <w:rFonts w:ascii="宋体" w:hAnsi="宋体" w:cs="宋体"/>
          <w:color w:val="auto"/>
        </w:rPr>
      </w:pPr>
      <w:r>
        <w:rPr>
          <w:rFonts w:hint="eastAsia" w:ascii="宋体" w:hAnsi="宋体" w:cs="宋体"/>
          <w:color w:val="auto"/>
        </w:rPr>
        <w:t>31.4供应商提出质疑应当提交质疑函和必要的证明材料，针对同一采购程序环节的质疑必须在法定质疑期内一次性提出。质疑函应当包括下列内容</w:t>
      </w:r>
      <w:r>
        <w:rPr>
          <w:rFonts w:hint="eastAsia" w:ascii="宋体" w:hAnsi="宋体" w:cs="宋体"/>
          <w:bCs/>
          <w:color w:val="auto"/>
        </w:rPr>
        <w:t>（质疑函格式后附）</w:t>
      </w:r>
      <w:r>
        <w:rPr>
          <w:rFonts w:hint="eastAsia" w:ascii="宋体" w:hAnsi="宋体" w:cs="宋体"/>
          <w:color w:val="auto"/>
        </w:rPr>
        <w:t>：</w:t>
      </w:r>
    </w:p>
    <w:p w14:paraId="056AA694">
      <w:pPr>
        <w:spacing w:line="360" w:lineRule="auto"/>
        <w:ind w:firstLine="420" w:firstLineChars="200"/>
        <w:rPr>
          <w:rFonts w:ascii="宋体" w:hAnsi="宋体" w:cs="宋体"/>
          <w:color w:val="auto"/>
        </w:rPr>
      </w:pPr>
      <w:r>
        <w:rPr>
          <w:rFonts w:hint="eastAsia" w:ascii="宋体" w:hAnsi="宋体" w:cs="宋体"/>
          <w:color w:val="auto"/>
        </w:rPr>
        <w:t>（1）供应商的姓名或者名称、地址、邮编、联系人及联系电话；</w:t>
      </w:r>
    </w:p>
    <w:p w14:paraId="20F5A1AA">
      <w:pPr>
        <w:spacing w:line="360" w:lineRule="auto"/>
        <w:ind w:firstLine="420" w:firstLineChars="200"/>
        <w:rPr>
          <w:rFonts w:ascii="宋体" w:hAnsi="宋体" w:cs="宋体"/>
          <w:color w:val="auto"/>
        </w:rPr>
      </w:pPr>
      <w:r>
        <w:rPr>
          <w:rFonts w:hint="eastAsia" w:ascii="宋体" w:hAnsi="宋体" w:cs="宋体"/>
          <w:color w:val="auto"/>
        </w:rPr>
        <w:t>（2）质疑项目的名称、编号；</w:t>
      </w:r>
    </w:p>
    <w:p w14:paraId="2D0E814E">
      <w:pPr>
        <w:spacing w:line="360" w:lineRule="auto"/>
        <w:ind w:firstLine="420" w:firstLineChars="200"/>
        <w:rPr>
          <w:rFonts w:ascii="宋体" w:hAnsi="宋体" w:cs="宋体"/>
          <w:color w:val="auto"/>
        </w:rPr>
      </w:pPr>
      <w:r>
        <w:rPr>
          <w:rFonts w:hint="eastAsia" w:ascii="宋体" w:hAnsi="宋体" w:cs="宋体"/>
          <w:color w:val="auto"/>
        </w:rPr>
        <w:t>（3）具体、明确的质疑事项和与质疑事项相关的请求；</w:t>
      </w:r>
    </w:p>
    <w:p w14:paraId="58AEF832">
      <w:pPr>
        <w:spacing w:line="360" w:lineRule="auto"/>
        <w:ind w:firstLine="420" w:firstLineChars="200"/>
        <w:rPr>
          <w:rFonts w:ascii="宋体" w:hAnsi="宋体" w:cs="宋体"/>
          <w:color w:val="auto"/>
        </w:rPr>
      </w:pPr>
      <w:r>
        <w:rPr>
          <w:rFonts w:hint="eastAsia" w:ascii="宋体" w:hAnsi="宋体" w:cs="宋体"/>
          <w:color w:val="auto"/>
        </w:rPr>
        <w:t>（4）事实依据；</w:t>
      </w:r>
    </w:p>
    <w:p w14:paraId="445E8535">
      <w:pPr>
        <w:spacing w:line="360" w:lineRule="auto"/>
        <w:ind w:firstLine="420" w:firstLineChars="200"/>
        <w:rPr>
          <w:rFonts w:ascii="宋体" w:hAnsi="宋体" w:cs="宋体"/>
          <w:color w:val="auto"/>
        </w:rPr>
      </w:pPr>
      <w:r>
        <w:rPr>
          <w:rFonts w:hint="eastAsia" w:ascii="宋体" w:hAnsi="宋体" w:cs="宋体"/>
          <w:color w:val="auto"/>
        </w:rPr>
        <w:t>（5）必要的法律依据；</w:t>
      </w:r>
    </w:p>
    <w:p w14:paraId="0677F041">
      <w:pPr>
        <w:spacing w:line="360" w:lineRule="auto"/>
        <w:ind w:firstLine="420" w:firstLineChars="200"/>
        <w:rPr>
          <w:rFonts w:ascii="宋体" w:hAnsi="宋体" w:cs="宋体"/>
          <w:color w:val="auto"/>
        </w:rPr>
      </w:pPr>
      <w:r>
        <w:rPr>
          <w:rFonts w:hint="eastAsia" w:ascii="宋体" w:hAnsi="宋体" w:cs="宋体"/>
          <w:color w:val="auto"/>
        </w:rPr>
        <w:t>（6）提出质疑的日期。</w:t>
      </w:r>
    </w:p>
    <w:p w14:paraId="0E5648EF">
      <w:pPr>
        <w:spacing w:line="360" w:lineRule="auto"/>
        <w:ind w:firstLine="420" w:firstLineChars="200"/>
        <w:rPr>
          <w:rFonts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0A21489C">
      <w:pPr>
        <w:spacing w:line="360" w:lineRule="auto"/>
        <w:ind w:firstLine="420" w:firstLineChars="200"/>
        <w:rPr>
          <w:rFonts w:ascii="宋体" w:hAnsi="宋体" w:cs="宋体"/>
          <w:color w:val="auto"/>
        </w:rPr>
      </w:pPr>
      <w:r>
        <w:rPr>
          <w:rFonts w:hint="eastAsia" w:ascii="宋体" w:hAnsi="宋体" w:cs="宋体"/>
          <w:color w:val="auto"/>
        </w:rPr>
        <w:t>31.5采购人、采购代理机构认为供应商质疑不成立，或者成立但未对成交结果构成影响的，继续开展采购活动；认为供应商质疑成立且影响或者可能影响成交结果的，按照下列情况处理：</w:t>
      </w:r>
    </w:p>
    <w:p w14:paraId="3F7A74B0">
      <w:pPr>
        <w:spacing w:line="360" w:lineRule="auto"/>
        <w:ind w:firstLine="420" w:firstLineChars="200"/>
        <w:rPr>
          <w:rFonts w:ascii="宋体" w:hAnsi="宋体" w:cs="宋体"/>
          <w:color w:val="auto"/>
        </w:rPr>
      </w:pPr>
      <w:r>
        <w:rPr>
          <w:rFonts w:hint="eastAsia" w:ascii="宋体" w:hAnsi="宋体" w:cs="宋体"/>
          <w:color w:val="auto"/>
        </w:rPr>
        <w:t>（1）对采购文件提出的质疑，依法通过澄清或者修改可以继续开展采购活动的，澄清或者修改采购文件后继续开展采购活动；否则应当修改采购文件后重新开展采购活动。</w:t>
      </w:r>
    </w:p>
    <w:p w14:paraId="08176336">
      <w:pPr>
        <w:spacing w:line="360" w:lineRule="auto"/>
        <w:ind w:firstLine="420" w:firstLineChars="200"/>
        <w:rPr>
          <w:rFonts w:ascii="宋体" w:hAnsi="宋体" w:cs="宋体"/>
          <w:color w:val="auto"/>
        </w:rPr>
      </w:pPr>
      <w:r>
        <w:rPr>
          <w:rFonts w:hint="eastAsia" w:ascii="宋体" w:hAnsi="宋体" w:cs="宋体"/>
          <w:color w:val="auto"/>
        </w:rPr>
        <w:t>（2）对采购过程或者成交结果提出的质疑，合格供应商符合法定数量时，可以从合格的成交候选人中另行确定成交供应商的，应当依法另行确定成交供应商；否则应当重新开展采购活动。</w:t>
      </w:r>
    </w:p>
    <w:p w14:paraId="7A397107">
      <w:pPr>
        <w:spacing w:line="360" w:lineRule="auto"/>
        <w:ind w:firstLine="420" w:firstLineChars="200"/>
        <w:rPr>
          <w:rFonts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14:paraId="2630FE36">
      <w:pPr>
        <w:spacing w:line="360" w:lineRule="auto"/>
        <w:ind w:firstLine="420" w:firstLineChars="200"/>
        <w:rPr>
          <w:rFonts w:ascii="宋体" w:hAnsi="宋体" w:cs="宋体"/>
          <w:b/>
          <w:bCs/>
          <w:color w:val="auto"/>
          <w:sz w:val="24"/>
        </w:rPr>
      </w:pPr>
      <w:r>
        <w:rPr>
          <w:rFonts w:hint="eastAsia" w:ascii="宋体" w:hAnsi="宋体" w:cs="宋体"/>
          <w:color w:val="auto"/>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31A18E6">
      <w:pPr>
        <w:spacing w:line="360" w:lineRule="auto"/>
        <w:ind w:firstLine="482" w:firstLineChars="200"/>
        <w:rPr>
          <w:rFonts w:ascii="宋体" w:hAnsi="宋体" w:cs="宋体"/>
          <w:b/>
          <w:bCs/>
          <w:color w:val="auto"/>
          <w:sz w:val="32"/>
          <w:szCs w:val="32"/>
        </w:rPr>
      </w:pPr>
      <w:r>
        <w:rPr>
          <w:rFonts w:hint="eastAsia" w:ascii="宋体" w:hAnsi="宋体" w:cs="宋体"/>
          <w:b/>
          <w:bCs/>
          <w:color w:val="auto"/>
          <w:sz w:val="24"/>
        </w:rPr>
        <w:t>32.其他内容</w:t>
      </w:r>
    </w:p>
    <w:p w14:paraId="2B2FC14D">
      <w:pPr>
        <w:tabs>
          <w:tab w:val="left" w:pos="2835"/>
        </w:tabs>
        <w:spacing w:line="360" w:lineRule="auto"/>
        <w:ind w:firstLine="420" w:firstLineChars="200"/>
        <w:rPr>
          <w:rFonts w:ascii="宋体" w:hAnsi="宋体" w:cs="宋体"/>
          <w:color w:val="auto"/>
          <w:szCs w:val="21"/>
        </w:rPr>
      </w:pPr>
      <w:r>
        <w:rPr>
          <w:rFonts w:hint="eastAsia" w:ascii="宋体" w:hAnsi="宋体" w:cs="宋体"/>
          <w:color w:val="auto"/>
          <w:szCs w:val="21"/>
        </w:rPr>
        <w:t>32.1代理服务费：代理服务收取标准及缴费账户详见“供应商须知前附表”，供应商为联合体的，可以由联合体中的一方或者多方共同交纳代理服务费。</w:t>
      </w:r>
    </w:p>
    <w:p w14:paraId="302D8DB1">
      <w:pPr>
        <w:tabs>
          <w:tab w:val="left" w:pos="2835"/>
        </w:tabs>
        <w:spacing w:line="360" w:lineRule="auto"/>
        <w:ind w:firstLine="420" w:firstLineChars="200"/>
        <w:rPr>
          <w:rFonts w:ascii="宋体" w:hAnsi="宋体" w:cs="宋体"/>
          <w:color w:val="auto"/>
          <w:szCs w:val="21"/>
        </w:rPr>
      </w:pPr>
      <w:r>
        <w:rPr>
          <w:rFonts w:hint="eastAsia" w:ascii="宋体" w:hAnsi="宋体" w:cs="宋体"/>
          <w:color w:val="auto"/>
          <w:szCs w:val="21"/>
        </w:rPr>
        <w:t>32.2代理服务费收费计算标准：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4425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tcPr>
          <w:p w14:paraId="03A650DD">
            <w:pPr>
              <w:spacing w:line="360" w:lineRule="auto"/>
              <w:rPr>
                <w:rFonts w:ascii="宋体" w:hAnsi="宋体" w:cs="宋体"/>
                <w:color w:val="auto"/>
                <w:szCs w:val="21"/>
              </w:rPr>
            </w:pPr>
            <w:r>
              <w:rPr>
                <w:rFonts w:hint="eastAsia" w:ascii="宋体" w:hAnsi="宋体" w:cs="宋体"/>
                <w:color w:val="auto"/>
                <w:szCs w:val="21"/>
              </w:rPr>
              <w:t xml:space="preserve">               费率</w:t>
            </w:r>
          </w:p>
          <w:p w14:paraId="5A3B9F76">
            <w:pPr>
              <w:spacing w:line="360" w:lineRule="auto"/>
              <w:rPr>
                <w:rFonts w:ascii="宋体" w:hAnsi="宋体" w:cs="宋体"/>
                <w:color w:val="auto"/>
                <w:szCs w:val="21"/>
              </w:rPr>
            </w:pPr>
            <w:r>
              <w:rPr>
                <w:rFonts w:hint="eastAsia" w:ascii="宋体" w:hAnsi="宋体" w:cs="宋体"/>
                <w:color w:val="auto"/>
                <w:szCs w:val="21"/>
              </w:rPr>
              <w:t>金额（人民币）</w:t>
            </w:r>
          </w:p>
        </w:tc>
        <w:tc>
          <w:tcPr>
            <w:tcW w:w="1659" w:type="dxa"/>
            <w:vAlign w:val="center"/>
          </w:tcPr>
          <w:p w14:paraId="05B01243">
            <w:pPr>
              <w:spacing w:line="360" w:lineRule="auto"/>
              <w:ind w:firstLine="105" w:firstLineChars="50"/>
              <w:jc w:val="center"/>
              <w:rPr>
                <w:rFonts w:ascii="宋体" w:hAnsi="宋体" w:cs="宋体"/>
                <w:color w:val="auto"/>
                <w:szCs w:val="21"/>
              </w:rPr>
            </w:pPr>
            <w:r>
              <w:rPr>
                <w:rFonts w:hint="eastAsia" w:ascii="宋体" w:hAnsi="宋体" w:cs="宋体"/>
                <w:color w:val="auto"/>
                <w:szCs w:val="21"/>
              </w:rPr>
              <w:t>货物类</w:t>
            </w:r>
          </w:p>
        </w:tc>
        <w:tc>
          <w:tcPr>
            <w:tcW w:w="1532" w:type="dxa"/>
            <w:vAlign w:val="center"/>
          </w:tcPr>
          <w:p w14:paraId="6F3B9251">
            <w:pPr>
              <w:spacing w:line="360" w:lineRule="auto"/>
              <w:jc w:val="center"/>
              <w:rPr>
                <w:rFonts w:ascii="宋体" w:hAnsi="宋体" w:cs="宋体"/>
                <w:color w:val="auto"/>
                <w:szCs w:val="21"/>
              </w:rPr>
            </w:pPr>
            <w:r>
              <w:rPr>
                <w:rFonts w:hint="eastAsia" w:ascii="宋体" w:hAnsi="宋体" w:cs="宋体"/>
                <w:color w:val="auto"/>
                <w:szCs w:val="21"/>
              </w:rPr>
              <w:t>服务类</w:t>
            </w:r>
          </w:p>
        </w:tc>
        <w:tc>
          <w:tcPr>
            <w:tcW w:w="1546" w:type="dxa"/>
            <w:vAlign w:val="center"/>
          </w:tcPr>
          <w:p w14:paraId="34FD69D1">
            <w:pPr>
              <w:spacing w:line="360" w:lineRule="auto"/>
              <w:jc w:val="center"/>
              <w:rPr>
                <w:rFonts w:ascii="宋体" w:hAnsi="宋体" w:cs="宋体"/>
                <w:color w:val="auto"/>
                <w:szCs w:val="21"/>
              </w:rPr>
            </w:pPr>
            <w:r>
              <w:rPr>
                <w:rFonts w:hint="eastAsia" w:ascii="宋体" w:hAnsi="宋体" w:cs="宋体"/>
                <w:color w:val="auto"/>
                <w:szCs w:val="21"/>
              </w:rPr>
              <w:t>工程类</w:t>
            </w:r>
          </w:p>
        </w:tc>
      </w:tr>
      <w:tr w14:paraId="70D4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9F29867">
            <w:pPr>
              <w:spacing w:line="460" w:lineRule="exact"/>
              <w:jc w:val="center"/>
              <w:rPr>
                <w:rFonts w:ascii="宋体" w:hAnsi="宋体" w:cs="宋体"/>
                <w:color w:val="auto"/>
                <w:szCs w:val="21"/>
              </w:rPr>
            </w:pPr>
            <w:r>
              <w:rPr>
                <w:rFonts w:hint="eastAsia" w:ascii="宋体" w:hAnsi="宋体" w:cs="宋体"/>
                <w:color w:val="auto"/>
                <w:szCs w:val="21"/>
              </w:rPr>
              <w:t>100万元以下</w:t>
            </w:r>
          </w:p>
        </w:tc>
        <w:tc>
          <w:tcPr>
            <w:tcW w:w="1659" w:type="dxa"/>
          </w:tcPr>
          <w:p w14:paraId="1E598331">
            <w:pPr>
              <w:spacing w:line="460" w:lineRule="exact"/>
              <w:jc w:val="center"/>
              <w:rPr>
                <w:rFonts w:ascii="宋体" w:hAnsi="宋体" w:cs="宋体"/>
                <w:color w:val="auto"/>
                <w:kern w:val="0"/>
                <w:szCs w:val="21"/>
              </w:rPr>
            </w:pPr>
            <w:r>
              <w:rPr>
                <w:rFonts w:hint="eastAsia" w:ascii="宋体" w:hAnsi="宋体" w:cs="宋体"/>
                <w:color w:val="auto"/>
                <w:kern w:val="0"/>
                <w:szCs w:val="21"/>
              </w:rPr>
              <w:t>1.5%</w:t>
            </w:r>
          </w:p>
        </w:tc>
        <w:tc>
          <w:tcPr>
            <w:tcW w:w="1532" w:type="dxa"/>
          </w:tcPr>
          <w:p w14:paraId="4A35EB9B">
            <w:pPr>
              <w:spacing w:line="460" w:lineRule="exact"/>
              <w:jc w:val="center"/>
              <w:rPr>
                <w:rFonts w:ascii="宋体" w:hAnsi="宋体" w:cs="宋体"/>
                <w:color w:val="auto"/>
                <w:kern w:val="0"/>
                <w:szCs w:val="21"/>
              </w:rPr>
            </w:pPr>
            <w:r>
              <w:rPr>
                <w:rFonts w:hint="eastAsia" w:ascii="宋体" w:hAnsi="宋体" w:cs="宋体"/>
                <w:color w:val="auto"/>
                <w:kern w:val="0"/>
                <w:szCs w:val="21"/>
              </w:rPr>
              <w:t>1.5%</w:t>
            </w:r>
          </w:p>
        </w:tc>
        <w:tc>
          <w:tcPr>
            <w:tcW w:w="1546" w:type="dxa"/>
          </w:tcPr>
          <w:p w14:paraId="242E451F">
            <w:pPr>
              <w:spacing w:line="460" w:lineRule="exact"/>
              <w:jc w:val="center"/>
              <w:rPr>
                <w:rFonts w:ascii="宋体" w:hAnsi="宋体" w:cs="宋体"/>
                <w:color w:val="auto"/>
                <w:kern w:val="0"/>
                <w:szCs w:val="21"/>
              </w:rPr>
            </w:pPr>
            <w:r>
              <w:rPr>
                <w:rFonts w:hint="eastAsia" w:ascii="宋体" w:hAnsi="宋体" w:cs="宋体"/>
                <w:color w:val="auto"/>
                <w:kern w:val="0"/>
                <w:szCs w:val="21"/>
              </w:rPr>
              <w:t>1.0%</w:t>
            </w:r>
          </w:p>
        </w:tc>
      </w:tr>
      <w:tr w14:paraId="67D2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6C2707B">
            <w:pPr>
              <w:spacing w:line="460" w:lineRule="exact"/>
              <w:jc w:val="center"/>
              <w:rPr>
                <w:rFonts w:ascii="宋体" w:hAnsi="宋体" w:cs="宋体"/>
                <w:color w:val="auto"/>
                <w:szCs w:val="21"/>
              </w:rPr>
            </w:pPr>
            <w:r>
              <w:rPr>
                <w:rFonts w:hint="eastAsia" w:ascii="宋体" w:hAnsi="宋体" w:cs="宋体"/>
                <w:color w:val="auto"/>
                <w:szCs w:val="21"/>
              </w:rPr>
              <w:t>100～500万元</w:t>
            </w:r>
          </w:p>
        </w:tc>
        <w:tc>
          <w:tcPr>
            <w:tcW w:w="1659" w:type="dxa"/>
          </w:tcPr>
          <w:p w14:paraId="7BCE66A8">
            <w:pPr>
              <w:spacing w:line="460" w:lineRule="exact"/>
              <w:jc w:val="center"/>
              <w:rPr>
                <w:rFonts w:ascii="宋体" w:hAnsi="宋体" w:cs="宋体"/>
                <w:color w:val="auto"/>
                <w:kern w:val="0"/>
                <w:szCs w:val="21"/>
              </w:rPr>
            </w:pPr>
            <w:r>
              <w:rPr>
                <w:rFonts w:hint="eastAsia" w:ascii="宋体" w:hAnsi="宋体" w:cs="宋体"/>
                <w:color w:val="auto"/>
                <w:kern w:val="0"/>
                <w:szCs w:val="21"/>
              </w:rPr>
              <w:t>1.1%</w:t>
            </w:r>
          </w:p>
        </w:tc>
        <w:tc>
          <w:tcPr>
            <w:tcW w:w="1532" w:type="dxa"/>
          </w:tcPr>
          <w:p w14:paraId="4C8CEAF2">
            <w:pPr>
              <w:spacing w:line="460" w:lineRule="exact"/>
              <w:jc w:val="center"/>
              <w:rPr>
                <w:rFonts w:ascii="宋体" w:hAnsi="宋体" w:cs="宋体"/>
                <w:color w:val="auto"/>
                <w:kern w:val="0"/>
                <w:szCs w:val="21"/>
              </w:rPr>
            </w:pPr>
            <w:r>
              <w:rPr>
                <w:rFonts w:hint="eastAsia" w:ascii="宋体" w:hAnsi="宋体" w:cs="宋体"/>
                <w:color w:val="auto"/>
                <w:kern w:val="0"/>
                <w:szCs w:val="21"/>
              </w:rPr>
              <w:t>0.8%</w:t>
            </w:r>
          </w:p>
        </w:tc>
        <w:tc>
          <w:tcPr>
            <w:tcW w:w="1546" w:type="dxa"/>
          </w:tcPr>
          <w:p w14:paraId="1FACB918">
            <w:pPr>
              <w:spacing w:line="460" w:lineRule="exact"/>
              <w:jc w:val="center"/>
              <w:rPr>
                <w:rFonts w:ascii="宋体" w:hAnsi="宋体" w:cs="宋体"/>
                <w:color w:val="auto"/>
                <w:kern w:val="0"/>
                <w:szCs w:val="21"/>
              </w:rPr>
            </w:pPr>
            <w:r>
              <w:rPr>
                <w:rFonts w:hint="eastAsia" w:ascii="宋体" w:hAnsi="宋体" w:cs="宋体"/>
                <w:color w:val="auto"/>
                <w:kern w:val="0"/>
                <w:szCs w:val="21"/>
              </w:rPr>
              <w:t>0.7%</w:t>
            </w:r>
          </w:p>
        </w:tc>
      </w:tr>
      <w:tr w14:paraId="0A94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5C2CF683">
            <w:pPr>
              <w:spacing w:line="460" w:lineRule="exact"/>
              <w:jc w:val="center"/>
              <w:rPr>
                <w:rFonts w:ascii="宋体" w:hAnsi="宋体" w:cs="宋体"/>
                <w:color w:val="auto"/>
                <w:szCs w:val="21"/>
              </w:rPr>
            </w:pPr>
            <w:r>
              <w:rPr>
                <w:rFonts w:hint="eastAsia" w:ascii="宋体" w:hAnsi="宋体" w:cs="宋体"/>
                <w:color w:val="auto"/>
                <w:szCs w:val="21"/>
              </w:rPr>
              <w:t>500～1000万元</w:t>
            </w:r>
          </w:p>
        </w:tc>
        <w:tc>
          <w:tcPr>
            <w:tcW w:w="1659" w:type="dxa"/>
          </w:tcPr>
          <w:p w14:paraId="21F734D1">
            <w:pPr>
              <w:spacing w:line="460" w:lineRule="exact"/>
              <w:jc w:val="center"/>
              <w:rPr>
                <w:rFonts w:ascii="宋体" w:hAnsi="宋体" w:cs="宋体"/>
                <w:color w:val="auto"/>
                <w:kern w:val="0"/>
                <w:szCs w:val="21"/>
              </w:rPr>
            </w:pPr>
            <w:r>
              <w:rPr>
                <w:rFonts w:hint="eastAsia" w:ascii="宋体" w:hAnsi="宋体" w:cs="宋体"/>
                <w:color w:val="auto"/>
                <w:kern w:val="0"/>
                <w:szCs w:val="21"/>
              </w:rPr>
              <w:t>0.8%</w:t>
            </w:r>
          </w:p>
        </w:tc>
        <w:tc>
          <w:tcPr>
            <w:tcW w:w="1532" w:type="dxa"/>
          </w:tcPr>
          <w:p w14:paraId="4334A7FF">
            <w:pPr>
              <w:spacing w:line="460" w:lineRule="exact"/>
              <w:jc w:val="center"/>
              <w:rPr>
                <w:rFonts w:ascii="宋体" w:hAnsi="宋体" w:cs="宋体"/>
                <w:color w:val="auto"/>
                <w:kern w:val="0"/>
                <w:szCs w:val="21"/>
              </w:rPr>
            </w:pPr>
            <w:r>
              <w:rPr>
                <w:rFonts w:hint="eastAsia" w:ascii="宋体" w:hAnsi="宋体" w:cs="宋体"/>
                <w:color w:val="auto"/>
                <w:kern w:val="0"/>
                <w:szCs w:val="21"/>
              </w:rPr>
              <w:t>0.45%</w:t>
            </w:r>
          </w:p>
        </w:tc>
        <w:tc>
          <w:tcPr>
            <w:tcW w:w="1546" w:type="dxa"/>
          </w:tcPr>
          <w:p w14:paraId="2B8E27C7">
            <w:pPr>
              <w:spacing w:line="460" w:lineRule="exact"/>
              <w:jc w:val="center"/>
              <w:rPr>
                <w:rFonts w:ascii="宋体" w:hAnsi="宋体" w:cs="宋体"/>
                <w:color w:val="auto"/>
                <w:kern w:val="0"/>
                <w:szCs w:val="21"/>
              </w:rPr>
            </w:pPr>
            <w:r>
              <w:rPr>
                <w:rFonts w:hint="eastAsia" w:ascii="宋体" w:hAnsi="宋体" w:cs="宋体"/>
                <w:color w:val="auto"/>
                <w:kern w:val="0"/>
                <w:szCs w:val="21"/>
              </w:rPr>
              <w:t>0.55%</w:t>
            </w:r>
          </w:p>
        </w:tc>
      </w:tr>
      <w:tr w14:paraId="7E3F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BF3C7CF">
            <w:pPr>
              <w:spacing w:line="460" w:lineRule="exact"/>
              <w:jc w:val="center"/>
              <w:rPr>
                <w:rFonts w:ascii="宋体" w:hAnsi="宋体" w:cs="宋体"/>
                <w:color w:val="auto"/>
                <w:szCs w:val="21"/>
              </w:rPr>
            </w:pPr>
            <w:r>
              <w:rPr>
                <w:rFonts w:hint="eastAsia" w:ascii="宋体" w:hAnsi="宋体" w:cs="宋体"/>
                <w:color w:val="auto"/>
                <w:szCs w:val="21"/>
              </w:rPr>
              <w:t>1000～5000万元</w:t>
            </w:r>
          </w:p>
        </w:tc>
        <w:tc>
          <w:tcPr>
            <w:tcW w:w="1659" w:type="dxa"/>
          </w:tcPr>
          <w:p w14:paraId="26CC5D42">
            <w:pPr>
              <w:spacing w:line="460" w:lineRule="exact"/>
              <w:jc w:val="center"/>
              <w:rPr>
                <w:rFonts w:ascii="宋体" w:hAnsi="宋体" w:cs="宋体"/>
                <w:color w:val="auto"/>
                <w:kern w:val="0"/>
                <w:szCs w:val="21"/>
              </w:rPr>
            </w:pPr>
            <w:r>
              <w:rPr>
                <w:rFonts w:hint="eastAsia" w:ascii="宋体" w:hAnsi="宋体" w:cs="宋体"/>
                <w:color w:val="auto"/>
                <w:kern w:val="0"/>
                <w:szCs w:val="21"/>
              </w:rPr>
              <w:t>0.5%</w:t>
            </w:r>
          </w:p>
        </w:tc>
        <w:tc>
          <w:tcPr>
            <w:tcW w:w="1532" w:type="dxa"/>
          </w:tcPr>
          <w:p w14:paraId="5BE305D2">
            <w:pPr>
              <w:spacing w:line="460" w:lineRule="exact"/>
              <w:jc w:val="center"/>
              <w:rPr>
                <w:rFonts w:ascii="宋体" w:hAnsi="宋体" w:cs="宋体"/>
                <w:color w:val="auto"/>
                <w:kern w:val="0"/>
                <w:szCs w:val="21"/>
              </w:rPr>
            </w:pPr>
            <w:r>
              <w:rPr>
                <w:rFonts w:hint="eastAsia" w:ascii="宋体" w:hAnsi="宋体" w:cs="宋体"/>
                <w:color w:val="auto"/>
                <w:kern w:val="0"/>
                <w:szCs w:val="21"/>
              </w:rPr>
              <w:t>0.25%</w:t>
            </w:r>
          </w:p>
        </w:tc>
        <w:tc>
          <w:tcPr>
            <w:tcW w:w="1546" w:type="dxa"/>
          </w:tcPr>
          <w:p w14:paraId="390DBAD5">
            <w:pPr>
              <w:spacing w:line="460" w:lineRule="exact"/>
              <w:jc w:val="center"/>
              <w:rPr>
                <w:rFonts w:ascii="宋体" w:hAnsi="宋体" w:cs="宋体"/>
                <w:color w:val="auto"/>
                <w:kern w:val="0"/>
                <w:szCs w:val="21"/>
              </w:rPr>
            </w:pPr>
            <w:r>
              <w:rPr>
                <w:rFonts w:hint="eastAsia" w:ascii="宋体" w:hAnsi="宋体" w:cs="宋体"/>
                <w:color w:val="auto"/>
                <w:kern w:val="0"/>
                <w:szCs w:val="21"/>
              </w:rPr>
              <w:t>0.35%</w:t>
            </w:r>
          </w:p>
        </w:tc>
      </w:tr>
      <w:tr w14:paraId="5C8C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65C84551">
            <w:pPr>
              <w:spacing w:line="460" w:lineRule="exact"/>
              <w:jc w:val="center"/>
              <w:rPr>
                <w:rFonts w:ascii="宋体" w:hAnsi="宋体" w:cs="宋体"/>
                <w:color w:val="auto"/>
                <w:szCs w:val="21"/>
              </w:rPr>
            </w:pPr>
            <w:r>
              <w:rPr>
                <w:rFonts w:hint="eastAsia" w:ascii="宋体" w:hAnsi="宋体" w:cs="宋体"/>
                <w:color w:val="auto"/>
                <w:szCs w:val="21"/>
              </w:rPr>
              <w:t>5000万元～1亿元</w:t>
            </w:r>
          </w:p>
        </w:tc>
        <w:tc>
          <w:tcPr>
            <w:tcW w:w="1659" w:type="dxa"/>
          </w:tcPr>
          <w:p w14:paraId="69D114B2">
            <w:pPr>
              <w:spacing w:line="460" w:lineRule="exact"/>
              <w:jc w:val="center"/>
              <w:rPr>
                <w:rFonts w:ascii="宋体" w:hAnsi="宋体" w:cs="宋体"/>
                <w:color w:val="auto"/>
                <w:kern w:val="0"/>
                <w:szCs w:val="21"/>
              </w:rPr>
            </w:pPr>
            <w:r>
              <w:rPr>
                <w:rFonts w:hint="eastAsia" w:ascii="宋体" w:hAnsi="宋体" w:cs="宋体"/>
                <w:color w:val="auto"/>
                <w:kern w:val="0"/>
                <w:szCs w:val="21"/>
              </w:rPr>
              <w:t>0.25%</w:t>
            </w:r>
          </w:p>
        </w:tc>
        <w:tc>
          <w:tcPr>
            <w:tcW w:w="1532" w:type="dxa"/>
          </w:tcPr>
          <w:p w14:paraId="7D6E821E">
            <w:pPr>
              <w:spacing w:line="460" w:lineRule="exact"/>
              <w:jc w:val="center"/>
              <w:rPr>
                <w:rFonts w:ascii="宋体" w:hAnsi="宋体" w:cs="宋体"/>
                <w:color w:val="auto"/>
                <w:kern w:val="0"/>
                <w:szCs w:val="21"/>
              </w:rPr>
            </w:pPr>
            <w:r>
              <w:rPr>
                <w:rFonts w:hint="eastAsia" w:ascii="宋体" w:hAnsi="宋体" w:cs="宋体"/>
                <w:color w:val="auto"/>
                <w:kern w:val="0"/>
                <w:szCs w:val="21"/>
              </w:rPr>
              <w:t>0.1%</w:t>
            </w:r>
          </w:p>
        </w:tc>
        <w:tc>
          <w:tcPr>
            <w:tcW w:w="1546" w:type="dxa"/>
          </w:tcPr>
          <w:p w14:paraId="1D0BFCAA">
            <w:pPr>
              <w:spacing w:line="460" w:lineRule="exact"/>
              <w:jc w:val="center"/>
              <w:rPr>
                <w:rFonts w:ascii="宋体" w:hAnsi="宋体" w:cs="宋体"/>
                <w:color w:val="auto"/>
                <w:kern w:val="0"/>
                <w:szCs w:val="21"/>
              </w:rPr>
            </w:pPr>
            <w:r>
              <w:rPr>
                <w:rFonts w:hint="eastAsia" w:ascii="宋体" w:hAnsi="宋体" w:cs="宋体"/>
                <w:color w:val="auto"/>
                <w:kern w:val="0"/>
                <w:szCs w:val="21"/>
              </w:rPr>
              <w:t>0.2%</w:t>
            </w:r>
          </w:p>
        </w:tc>
      </w:tr>
      <w:tr w14:paraId="0BE8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B31E68D">
            <w:pPr>
              <w:spacing w:line="460" w:lineRule="exact"/>
              <w:jc w:val="center"/>
              <w:rPr>
                <w:rFonts w:ascii="宋体" w:hAnsi="宋体" w:cs="宋体"/>
                <w:color w:val="auto"/>
                <w:szCs w:val="21"/>
              </w:rPr>
            </w:pPr>
            <w:r>
              <w:rPr>
                <w:rFonts w:hint="eastAsia" w:ascii="宋体" w:hAnsi="宋体" w:cs="宋体"/>
                <w:color w:val="auto"/>
                <w:szCs w:val="21"/>
              </w:rPr>
              <w:t>1～5亿元</w:t>
            </w:r>
          </w:p>
        </w:tc>
        <w:tc>
          <w:tcPr>
            <w:tcW w:w="1659" w:type="dxa"/>
          </w:tcPr>
          <w:p w14:paraId="17FB9416">
            <w:pPr>
              <w:spacing w:line="460" w:lineRule="exact"/>
              <w:jc w:val="center"/>
              <w:rPr>
                <w:rFonts w:ascii="宋体" w:hAnsi="宋体" w:cs="宋体"/>
                <w:color w:val="auto"/>
                <w:kern w:val="0"/>
                <w:szCs w:val="21"/>
              </w:rPr>
            </w:pPr>
            <w:r>
              <w:rPr>
                <w:rFonts w:hint="eastAsia" w:ascii="宋体" w:hAnsi="宋体" w:cs="宋体"/>
                <w:color w:val="auto"/>
                <w:kern w:val="0"/>
                <w:szCs w:val="21"/>
              </w:rPr>
              <w:t>0.05%</w:t>
            </w:r>
          </w:p>
        </w:tc>
        <w:tc>
          <w:tcPr>
            <w:tcW w:w="1532" w:type="dxa"/>
          </w:tcPr>
          <w:p w14:paraId="1CBCD8AC">
            <w:pPr>
              <w:spacing w:line="460" w:lineRule="exact"/>
              <w:jc w:val="center"/>
              <w:rPr>
                <w:rFonts w:ascii="宋体" w:hAnsi="宋体" w:cs="宋体"/>
                <w:color w:val="auto"/>
                <w:kern w:val="0"/>
                <w:szCs w:val="21"/>
              </w:rPr>
            </w:pPr>
            <w:r>
              <w:rPr>
                <w:rFonts w:hint="eastAsia" w:ascii="宋体" w:hAnsi="宋体" w:cs="宋体"/>
                <w:color w:val="auto"/>
                <w:kern w:val="0"/>
                <w:szCs w:val="21"/>
              </w:rPr>
              <w:t>0.05%</w:t>
            </w:r>
          </w:p>
        </w:tc>
        <w:tc>
          <w:tcPr>
            <w:tcW w:w="1546" w:type="dxa"/>
          </w:tcPr>
          <w:p w14:paraId="1575BAEF">
            <w:pPr>
              <w:spacing w:line="460" w:lineRule="exact"/>
              <w:jc w:val="center"/>
              <w:rPr>
                <w:rFonts w:ascii="宋体" w:hAnsi="宋体" w:cs="宋体"/>
                <w:color w:val="auto"/>
                <w:kern w:val="0"/>
                <w:szCs w:val="21"/>
              </w:rPr>
            </w:pPr>
            <w:r>
              <w:rPr>
                <w:rFonts w:hint="eastAsia" w:ascii="宋体" w:hAnsi="宋体" w:cs="宋体"/>
                <w:color w:val="auto"/>
                <w:kern w:val="0"/>
                <w:szCs w:val="21"/>
              </w:rPr>
              <w:t>0.05%</w:t>
            </w:r>
          </w:p>
        </w:tc>
      </w:tr>
      <w:tr w14:paraId="6372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CEAC3C1">
            <w:pPr>
              <w:spacing w:line="460" w:lineRule="exact"/>
              <w:jc w:val="center"/>
              <w:rPr>
                <w:rFonts w:ascii="宋体" w:hAnsi="宋体" w:cs="宋体"/>
                <w:color w:val="auto"/>
                <w:szCs w:val="21"/>
              </w:rPr>
            </w:pPr>
            <w:r>
              <w:rPr>
                <w:rFonts w:hint="eastAsia" w:ascii="宋体" w:hAnsi="宋体" w:cs="宋体"/>
                <w:color w:val="auto"/>
                <w:szCs w:val="21"/>
              </w:rPr>
              <w:t>5～10亿元</w:t>
            </w:r>
          </w:p>
        </w:tc>
        <w:tc>
          <w:tcPr>
            <w:tcW w:w="1659" w:type="dxa"/>
          </w:tcPr>
          <w:p w14:paraId="1B3AED96">
            <w:pPr>
              <w:spacing w:line="460" w:lineRule="exact"/>
              <w:jc w:val="center"/>
              <w:rPr>
                <w:rFonts w:ascii="宋体" w:hAnsi="宋体" w:cs="宋体"/>
                <w:color w:val="auto"/>
                <w:kern w:val="0"/>
                <w:szCs w:val="21"/>
              </w:rPr>
            </w:pPr>
            <w:r>
              <w:rPr>
                <w:rFonts w:hint="eastAsia" w:ascii="宋体" w:hAnsi="宋体" w:cs="宋体"/>
                <w:color w:val="auto"/>
                <w:kern w:val="0"/>
                <w:szCs w:val="21"/>
              </w:rPr>
              <w:t>0.035%</w:t>
            </w:r>
          </w:p>
        </w:tc>
        <w:tc>
          <w:tcPr>
            <w:tcW w:w="1532" w:type="dxa"/>
          </w:tcPr>
          <w:p w14:paraId="0453C5B0">
            <w:pPr>
              <w:spacing w:line="460" w:lineRule="exact"/>
              <w:jc w:val="center"/>
              <w:rPr>
                <w:rFonts w:ascii="宋体" w:hAnsi="宋体" w:cs="宋体"/>
                <w:color w:val="auto"/>
                <w:kern w:val="0"/>
                <w:szCs w:val="21"/>
              </w:rPr>
            </w:pPr>
            <w:r>
              <w:rPr>
                <w:rFonts w:hint="eastAsia" w:ascii="宋体" w:hAnsi="宋体" w:cs="宋体"/>
                <w:color w:val="auto"/>
                <w:kern w:val="0"/>
                <w:szCs w:val="21"/>
              </w:rPr>
              <w:t>0.035%</w:t>
            </w:r>
          </w:p>
        </w:tc>
        <w:tc>
          <w:tcPr>
            <w:tcW w:w="1546" w:type="dxa"/>
          </w:tcPr>
          <w:p w14:paraId="141FD920">
            <w:pPr>
              <w:spacing w:line="460" w:lineRule="exact"/>
              <w:jc w:val="center"/>
              <w:rPr>
                <w:rFonts w:ascii="宋体" w:hAnsi="宋体" w:cs="宋体"/>
                <w:color w:val="auto"/>
                <w:kern w:val="0"/>
                <w:szCs w:val="21"/>
              </w:rPr>
            </w:pPr>
            <w:r>
              <w:rPr>
                <w:rFonts w:hint="eastAsia" w:ascii="宋体" w:hAnsi="宋体" w:cs="宋体"/>
                <w:color w:val="auto"/>
                <w:kern w:val="0"/>
                <w:szCs w:val="21"/>
              </w:rPr>
              <w:t>0.035%</w:t>
            </w:r>
          </w:p>
        </w:tc>
      </w:tr>
      <w:tr w14:paraId="6D52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5149018">
            <w:pPr>
              <w:spacing w:line="460" w:lineRule="exact"/>
              <w:jc w:val="center"/>
              <w:rPr>
                <w:rFonts w:ascii="宋体" w:hAnsi="宋体" w:cs="宋体"/>
                <w:color w:val="auto"/>
                <w:kern w:val="0"/>
                <w:szCs w:val="21"/>
              </w:rPr>
            </w:pPr>
            <w:r>
              <w:rPr>
                <w:rFonts w:hint="eastAsia" w:ascii="宋体" w:hAnsi="宋体" w:cs="宋体"/>
                <w:color w:val="auto"/>
                <w:kern w:val="0"/>
                <w:szCs w:val="21"/>
              </w:rPr>
              <w:t>10～50亿元</w:t>
            </w:r>
          </w:p>
        </w:tc>
        <w:tc>
          <w:tcPr>
            <w:tcW w:w="1659" w:type="dxa"/>
          </w:tcPr>
          <w:p w14:paraId="74689978">
            <w:pPr>
              <w:spacing w:line="460" w:lineRule="exact"/>
              <w:jc w:val="center"/>
              <w:rPr>
                <w:rFonts w:ascii="宋体" w:hAnsi="宋体" w:cs="宋体"/>
                <w:color w:val="auto"/>
                <w:kern w:val="0"/>
                <w:szCs w:val="21"/>
              </w:rPr>
            </w:pPr>
            <w:r>
              <w:rPr>
                <w:rFonts w:hint="eastAsia" w:ascii="宋体" w:hAnsi="宋体" w:cs="宋体"/>
                <w:color w:val="auto"/>
                <w:kern w:val="0"/>
                <w:szCs w:val="21"/>
              </w:rPr>
              <w:t>0.008%</w:t>
            </w:r>
          </w:p>
        </w:tc>
        <w:tc>
          <w:tcPr>
            <w:tcW w:w="1532" w:type="dxa"/>
          </w:tcPr>
          <w:p w14:paraId="2D5C3E17">
            <w:pPr>
              <w:spacing w:line="460" w:lineRule="exact"/>
              <w:jc w:val="center"/>
              <w:rPr>
                <w:rFonts w:ascii="宋体" w:hAnsi="宋体" w:cs="宋体"/>
                <w:color w:val="auto"/>
                <w:kern w:val="0"/>
                <w:szCs w:val="21"/>
              </w:rPr>
            </w:pPr>
            <w:r>
              <w:rPr>
                <w:rFonts w:hint="eastAsia" w:ascii="宋体" w:hAnsi="宋体" w:cs="宋体"/>
                <w:color w:val="auto"/>
                <w:kern w:val="0"/>
                <w:szCs w:val="21"/>
              </w:rPr>
              <w:t>0.008%</w:t>
            </w:r>
          </w:p>
        </w:tc>
        <w:tc>
          <w:tcPr>
            <w:tcW w:w="1546" w:type="dxa"/>
          </w:tcPr>
          <w:p w14:paraId="0EAE6177">
            <w:pPr>
              <w:spacing w:line="460" w:lineRule="exact"/>
              <w:jc w:val="center"/>
              <w:rPr>
                <w:rFonts w:ascii="宋体" w:hAnsi="宋体" w:cs="宋体"/>
                <w:color w:val="auto"/>
                <w:kern w:val="0"/>
                <w:szCs w:val="21"/>
              </w:rPr>
            </w:pPr>
            <w:r>
              <w:rPr>
                <w:rFonts w:hint="eastAsia" w:ascii="宋体" w:hAnsi="宋体" w:cs="宋体"/>
                <w:color w:val="auto"/>
                <w:kern w:val="0"/>
                <w:szCs w:val="21"/>
              </w:rPr>
              <w:t>0.008%</w:t>
            </w:r>
          </w:p>
        </w:tc>
      </w:tr>
      <w:tr w14:paraId="737E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63E890AE">
            <w:pPr>
              <w:spacing w:line="460" w:lineRule="exact"/>
              <w:jc w:val="center"/>
              <w:rPr>
                <w:rFonts w:ascii="宋体" w:hAnsi="宋体" w:cs="宋体"/>
                <w:color w:val="auto"/>
                <w:kern w:val="0"/>
                <w:szCs w:val="21"/>
              </w:rPr>
            </w:pPr>
            <w:r>
              <w:rPr>
                <w:rFonts w:hint="eastAsia" w:ascii="宋体" w:hAnsi="宋体" w:cs="宋体"/>
                <w:color w:val="auto"/>
                <w:kern w:val="0"/>
                <w:szCs w:val="21"/>
              </w:rPr>
              <w:t>50～100亿元</w:t>
            </w:r>
          </w:p>
        </w:tc>
        <w:tc>
          <w:tcPr>
            <w:tcW w:w="1659" w:type="dxa"/>
          </w:tcPr>
          <w:p w14:paraId="53536BA2">
            <w:pPr>
              <w:spacing w:line="460" w:lineRule="exact"/>
              <w:jc w:val="center"/>
              <w:rPr>
                <w:rFonts w:ascii="宋体" w:hAnsi="宋体" w:cs="宋体"/>
                <w:color w:val="auto"/>
                <w:kern w:val="0"/>
                <w:szCs w:val="21"/>
              </w:rPr>
            </w:pPr>
            <w:r>
              <w:rPr>
                <w:rFonts w:hint="eastAsia" w:ascii="宋体" w:hAnsi="宋体" w:cs="宋体"/>
                <w:color w:val="auto"/>
                <w:kern w:val="0"/>
                <w:szCs w:val="21"/>
              </w:rPr>
              <w:t xml:space="preserve"> 0.006%</w:t>
            </w:r>
          </w:p>
        </w:tc>
        <w:tc>
          <w:tcPr>
            <w:tcW w:w="1532" w:type="dxa"/>
          </w:tcPr>
          <w:p w14:paraId="562552C4">
            <w:pPr>
              <w:spacing w:line="460" w:lineRule="exact"/>
              <w:jc w:val="center"/>
              <w:rPr>
                <w:rFonts w:ascii="宋体" w:hAnsi="宋体" w:cs="宋体"/>
                <w:color w:val="auto"/>
                <w:kern w:val="0"/>
                <w:szCs w:val="21"/>
              </w:rPr>
            </w:pPr>
            <w:r>
              <w:rPr>
                <w:rFonts w:hint="eastAsia" w:ascii="宋体" w:hAnsi="宋体" w:cs="宋体"/>
                <w:color w:val="auto"/>
                <w:kern w:val="0"/>
                <w:szCs w:val="21"/>
              </w:rPr>
              <w:t>0.006%</w:t>
            </w:r>
          </w:p>
        </w:tc>
        <w:tc>
          <w:tcPr>
            <w:tcW w:w="1546" w:type="dxa"/>
          </w:tcPr>
          <w:p w14:paraId="7146A170">
            <w:pPr>
              <w:spacing w:line="460" w:lineRule="exact"/>
              <w:jc w:val="center"/>
              <w:rPr>
                <w:rFonts w:ascii="宋体" w:hAnsi="宋体" w:cs="宋体"/>
                <w:color w:val="auto"/>
                <w:kern w:val="0"/>
                <w:szCs w:val="21"/>
              </w:rPr>
            </w:pPr>
            <w:r>
              <w:rPr>
                <w:rFonts w:hint="eastAsia" w:ascii="宋体" w:hAnsi="宋体" w:cs="宋体"/>
                <w:color w:val="auto"/>
                <w:kern w:val="0"/>
                <w:szCs w:val="21"/>
              </w:rPr>
              <w:t>0.006%</w:t>
            </w:r>
          </w:p>
        </w:tc>
      </w:tr>
      <w:tr w14:paraId="05B5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DCA11DC">
            <w:pPr>
              <w:spacing w:line="460" w:lineRule="exact"/>
              <w:jc w:val="center"/>
              <w:rPr>
                <w:rFonts w:ascii="宋体" w:hAnsi="宋体" w:cs="宋体"/>
                <w:color w:val="auto"/>
                <w:kern w:val="0"/>
                <w:szCs w:val="21"/>
              </w:rPr>
            </w:pPr>
            <w:r>
              <w:rPr>
                <w:rFonts w:hint="eastAsia" w:ascii="宋体" w:hAnsi="宋体" w:cs="宋体"/>
                <w:color w:val="auto"/>
                <w:kern w:val="0"/>
                <w:szCs w:val="21"/>
              </w:rPr>
              <w:t>100亿元以上</w:t>
            </w:r>
          </w:p>
        </w:tc>
        <w:tc>
          <w:tcPr>
            <w:tcW w:w="1659" w:type="dxa"/>
          </w:tcPr>
          <w:p w14:paraId="0362008E">
            <w:pPr>
              <w:spacing w:line="460" w:lineRule="exact"/>
              <w:jc w:val="center"/>
              <w:rPr>
                <w:rFonts w:ascii="宋体" w:hAnsi="宋体" w:cs="宋体"/>
                <w:color w:val="auto"/>
                <w:kern w:val="0"/>
                <w:szCs w:val="21"/>
              </w:rPr>
            </w:pPr>
            <w:r>
              <w:rPr>
                <w:rFonts w:hint="eastAsia" w:ascii="宋体" w:hAnsi="宋体" w:cs="宋体"/>
                <w:color w:val="auto"/>
                <w:kern w:val="0"/>
                <w:szCs w:val="21"/>
              </w:rPr>
              <w:t xml:space="preserve"> 0.004%</w:t>
            </w:r>
          </w:p>
        </w:tc>
        <w:tc>
          <w:tcPr>
            <w:tcW w:w="1532" w:type="dxa"/>
          </w:tcPr>
          <w:p w14:paraId="560896FB">
            <w:pPr>
              <w:spacing w:line="460" w:lineRule="exact"/>
              <w:jc w:val="center"/>
              <w:rPr>
                <w:rFonts w:ascii="宋体" w:hAnsi="宋体" w:cs="宋体"/>
                <w:color w:val="auto"/>
                <w:kern w:val="0"/>
                <w:szCs w:val="21"/>
              </w:rPr>
            </w:pPr>
            <w:r>
              <w:rPr>
                <w:rFonts w:hint="eastAsia" w:ascii="宋体" w:hAnsi="宋体" w:cs="宋体"/>
                <w:color w:val="auto"/>
                <w:kern w:val="0"/>
                <w:szCs w:val="21"/>
              </w:rPr>
              <w:t>0.004%</w:t>
            </w:r>
          </w:p>
        </w:tc>
        <w:tc>
          <w:tcPr>
            <w:tcW w:w="1546" w:type="dxa"/>
          </w:tcPr>
          <w:p w14:paraId="34A5DD70">
            <w:pPr>
              <w:spacing w:line="460" w:lineRule="exact"/>
              <w:jc w:val="center"/>
              <w:rPr>
                <w:rFonts w:ascii="宋体" w:hAnsi="宋体" w:cs="宋体"/>
                <w:color w:val="auto"/>
                <w:kern w:val="0"/>
                <w:szCs w:val="21"/>
              </w:rPr>
            </w:pPr>
            <w:r>
              <w:rPr>
                <w:rFonts w:hint="eastAsia" w:ascii="宋体" w:hAnsi="宋体" w:cs="宋体"/>
                <w:color w:val="auto"/>
                <w:kern w:val="0"/>
                <w:szCs w:val="21"/>
              </w:rPr>
              <w:t>0.004%</w:t>
            </w:r>
          </w:p>
        </w:tc>
      </w:tr>
    </w:tbl>
    <w:p w14:paraId="50680F2B">
      <w:pPr>
        <w:spacing w:line="360" w:lineRule="auto"/>
        <w:ind w:firstLine="420" w:firstLineChars="200"/>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注： </w:t>
      </w:r>
    </w:p>
    <w:p w14:paraId="508DD5B1">
      <w:pPr>
        <w:spacing w:line="360" w:lineRule="auto"/>
        <w:ind w:firstLine="420" w:firstLineChars="200"/>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（1）按本表费率计算的收费为采购代理的收费基准价格；</w:t>
      </w:r>
    </w:p>
    <w:p w14:paraId="3D59213A">
      <w:pPr>
        <w:spacing w:line="360" w:lineRule="auto"/>
        <w:ind w:firstLine="420" w:firstLineChars="200"/>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（2）采购代理收费按差额定率累进法计算。</w:t>
      </w:r>
    </w:p>
    <w:p w14:paraId="2208B026">
      <w:pPr>
        <w:spacing w:line="360" w:lineRule="auto"/>
        <w:ind w:firstLine="420" w:firstLineChars="200"/>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例如：某货物采购代理业务成交金额或者暂定价为150万元，计算采购代理收费额如下：</w:t>
      </w:r>
    </w:p>
    <w:p w14:paraId="0F4569B8">
      <w:pPr>
        <w:spacing w:line="360" w:lineRule="auto"/>
        <w:ind w:firstLine="420" w:firstLineChars="200"/>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100 万元 ×l.5 %＝ 1.5 万元</w:t>
      </w:r>
    </w:p>
    <w:p w14:paraId="2B3CF0BF">
      <w:pPr>
        <w:spacing w:line="360" w:lineRule="auto"/>
        <w:ind w:firstLine="420" w:firstLineChars="200"/>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150 － 100 ）万元 ×1.1%＝ 0.55 万元</w:t>
      </w:r>
    </w:p>
    <w:p w14:paraId="1001934C">
      <w:pPr>
        <w:spacing w:line="360" w:lineRule="auto"/>
        <w:ind w:firstLine="420" w:firstLineChars="200"/>
        <w:contextualSpacing/>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合计收费＝ 1.5 ＋ 0.55＝ 2.05 （万元）</w:t>
      </w:r>
    </w:p>
    <w:p w14:paraId="2D3AFA06">
      <w:pPr>
        <w:spacing w:line="360" w:lineRule="auto"/>
        <w:ind w:firstLine="482" w:firstLineChars="200"/>
        <w:contextualSpacing/>
        <w:rPr>
          <w:rFonts w:ascii="宋体" w:hAnsi="宋体" w:cs="宋体"/>
          <w:b/>
          <w:bCs/>
          <w:color w:val="auto"/>
          <w:sz w:val="24"/>
        </w:rPr>
      </w:pPr>
      <w:r>
        <w:rPr>
          <w:rFonts w:hint="eastAsia" w:ascii="宋体" w:hAnsi="宋体" w:cs="宋体"/>
          <w:b/>
          <w:bCs/>
          <w:color w:val="auto"/>
          <w:sz w:val="24"/>
        </w:rPr>
        <w:t>33.需要补充的其他内容</w:t>
      </w:r>
    </w:p>
    <w:p w14:paraId="218D13B9">
      <w:pPr>
        <w:pStyle w:val="15"/>
        <w:spacing w:line="360" w:lineRule="auto"/>
        <w:ind w:firstLine="420" w:firstLineChars="200"/>
        <w:contextualSpacing/>
        <w:rPr>
          <w:rFonts w:hAnsi="宋体" w:cs="宋体"/>
          <w:color w:val="auto"/>
          <w:sz w:val="21"/>
        </w:rPr>
      </w:pPr>
      <w:r>
        <w:rPr>
          <w:rFonts w:hint="eastAsia" w:hAnsi="宋体" w:cs="宋体"/>
          <w:color w:val="auto"/>
          <w:sz w:val="21"/>
        </w:rPr>
        <w:t>33.1本谈判文件解释规则详见“供应商须知前附表”。</w:t>
      </w:r>
    </w:p>
    <w:p w14:paraId="541DCCFA">
      <w:pPr>
        <w:spacing w:line="360" w:lineRule="auto"/>
        <w:ind w:firstLine="420" w:firstLineChars="200"/>
        <w:contextualSpacing/>
        <w:rPr>
          <w:rFonts w:ascii="宋体" w:hAnsi="宋体" w:cs="宋体"/>
          <w:color w:val="auto"/>
          <w:szCs w:val="21"/>
        </w:rPr>
      </w:pPr>
      <w:r>
        <w:rPr>
          <w:rFonts w:hint="eastAsia" w:ascii="宋体" w:hAnsi="宋体" w:cs="宋体"/>
          <w:color w:val="auto"/>
          <w:kern w:val="0"/>
          <w:szCs w:val="21"/>
        </w:rPr>
        <w:t>33.2 其他事</w:t>
      </w:r>
      <w:r>
        <w:rPr>
          <w:rFonts w:hint="eastAsia" w:ascii="宋体" w:hAnsi="宋体" w:cs="宋体"/>
          <w:color w:val="auto"/>
          <w:szCs w:val="21"/>
        </w:rPr>
        <w:t>项详见“供应商须知前附表”。</w:t>
      </w:r>
    </w:p>
    <w:p w14:paraId="4EF05C84">
      <w:pPr>
        <w:pStyle w:val="15"/>
        <w:spacing w:line="360" w:lineRule="auto"/>
        <w:ind w:firstLine="420" w:firstLineChars="200"/>
        <w:contextualSpacing/>
        <w:rPr>
          <w:rFonts w:hAnsi="宋体" w:cs="宋体"/>
          <w:color w:val="auto"/>
          <w:sz w:val="21"/>
        </w:rPr>
      </w:pPr>
      <w:r>
        <w:rPr>
          <w:rFonts w:hint="eastAsia" w:hAnsi="宋体" w:cs="宋体"/>
          <w:color w:val="auto"/>
          <w:sz w:val="21"/>
        </w:rPr>
        <w:t>33.3</w:t>
      </w:r>
      <w:bookmarkStart w:id="27" w:name="_Hlk65857140"/>
      <w:r>
        <w:rPr>
          <w:rFonts w:hint="eastAsia" w:hAnsi="宋体" w:cs="宋体"/>
          <w:color w:val="auto"/>
          <w:sz w:val="21"/>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7A738B48">
      <w:pPr>
        <w:pStyle w:val="15"/>
        <w:spacing w:line="360" w:lineRule="auto"/>
        <w:ind w:firstLine="420" w:firstLineChars="200"/>
        <w:contextualSpacing/>
        <w:rPr>
          <w:rFonts w:hAnsi="宋体" w:cs="宋体"/>
          <w:color w:val="auto"/>
          <w:sz w:val="21"/>
        </w:rPr>
      </w:pPr>
      <w:r>
        <w:rPr>
          <w:rFonts w:hint="eastAsia" w:hAnsi="宋体" w:cs="宋体"/>
          <w:color w:val="auto"/>
          <w:sz w:val="21"/>
        </w:rPr>
        <w:t>（1）在货物采购项目中，货物由中小企业制造，即货物由中小企业生产且使用该中小企业商号或者注册商标，不对其中涉及的工程承建商和服务的承接商作出要求；</w:t>
      </w:r>
    </w:p>
    <w:p w14:paraId="27AB3ED3">
      <w:pPr>
        <w:pStyle w:val="15"/>
        <w:spacing w:line="360" w:lineRule="auto"/>
        <w:ind w:firstLine="420" w:firstLineChars="200"/>
        <w:contextualSpacing/>
        <w:rPr>
          <w:rFonts w:hAnsi="宋体" w:cs="宋体"/>
          <w:color w:val="auto"/>
          <w:sz w:val="21"/>
        </w:rPr>
      </w:pPr>
      <w:r>
        <w:rPr>
          <w:rFonts w:hint="eastAsia" w:hAnsi="宋体" w:cs="宋体"/>
          <w:color w:val="auto"/>
          <w:sz w:val="21"/>
        </w:rPr>
        <w:t>（2）在工程采购项目中，工程由中小企业承建，即工程施工单位为中小企业，不对其中涉及的货物的制造商和服务的承接商作出要求；</w:t>
      </w:r>
    </w:p>
    <w:p w14:paraId="0CE99675">
      <w:pPr>
        <w:pStyle w:val="15"/>
        <w:spacing w:line="360" w:lineRule="auto"/>
        <w:ind w:firstLine="420" w:firstLineChars="200"/>
        <w:contextualSpacing/>
        <w:rPr>
          <w:rFonts w:hAnsi="宋体" w:cs="宋体"/>
          <w:color w:val="auto"/>
          <w:sz w:val="21"/>
        </w:rPr>
      </w:pPr>
      <w:r>
        <w:rPr>
          <w:rFonts w:hint="eastAsia" w:hAnsi="宋体" w:cs="宋体"/>
          <w:color w:val="auto"/>
          <w:sz w:val="21"/>
        </w:rPr>
        <w:t>（3）在服务采购项目中，服务由中小企业承接，即提供服务的人员为中小企业依照《中华人民共和国劳动合同法》订立劳动合同的从业人员，不对其中涉及的货物的制造商和工程承建商作出要求。</w:t>
      </w:r>
    </w:p>
    <w:p w14:paraId="4FD1E93F">
      <w:pPr>
        <w:pStyle w:val="15"/>
        <w:spacing w:line="360" w:lineRule="auto"/>
        <w:ind w:firstLine="420" w:firstLineChars="200"/>
        <w:contextualSpacing/>
        <w:rPr>
          <w:rFonts w:hAnsi="宋体" w:cs="宋体"/>
          <w:color w:val="auto"/>
          <w:sz w:val="21"/>
        </w:rPr>
      </w:pPr>
      <w:r>
        <w:rPr>
          <w:rFonts w:hint="eastAsia" w:hAnsi="宋体" w:cs="宋体"/>
          <w:color w:val="auto"/>
          <w:sz w:val="21"/>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3F9E2E27">
      <w:pPr>
        <w:spacing w:line="360" w:lineRule="auto"/>
        <w:ind w:firstLine="420" w:firstLineChars="200"/>
        <w:contextualSpacing/>
        <w:rPr>
          <w:rFonts w:ascii="宋体" w:hAnsi="宋体" w:cs="宋体"/>
          <w:color w:val="auto"/>
          <w:sz w:val="24"/>
        </w:rPr>
      </w:pPr>
      <w:r>
        <w:rPr>
          <w:rFonts w:hint="eastAsia" w:ascii="宋体" w:hAnsi="宋体" w:cs="宋体"/>
          <w:color w:val="auto"/>
          <w:szCs w:val="21"/>
        </w:rPr>
        <w:t>依据本谈判文件规定享受扶持政策获得政府采购合同的，小微企业不得将合同分包给大中型企业，中型企业不得将合同分包给大型企业。</w:t>
      </w:r>
      <w:bookmarkEnd w:id="27"/>
    </w:p>
    <w:p w14:paraId="4413333D">
      <w:pPr>
        <w:pStyle w:val="2"/>
        <w:spacing w:before="0" w:after="0" w:line="360" w:lineRule="auto"/>
        <w:jc w:val="center"/>
        <w:rPr>
          <w:rFonts w:ascii="宋体" w:hAnsi="宋体" w:cs="宋体"/>
          <w:color w:val="auto"/>
          <w:sz w:val="32"/>
          <w:szCs w:val="32"/>
        </w:rPr>
      </w:pPr>
      <w:r>
        <w:rPr>
          <w:rFonts w:hint="eastAsia" w:ascii="宋体" w:hAnsi="宋体" w:cs="宋体"/>
          <w:bCs w:val="0"/>
          <w:color w:val="auto"/>
          <w:sz w:val="24"/>
          <w:szCs w:val="24"/>
        </w:rPr>
        <w:br w:type="page"/>
      </w:r>
      <w:bookmarkStart w:id="28" w:name="_Toc27583"/>
      <w:r>
        <w:rPr>
          <w:rFonts w:hint="eastAsia" w:ascii="宋体" w:hAnsi="宋体" w:cs="宋体"/>
          <w:color w:val="auto"/>
        </w:rPr>
        <w:t>第三章 采购需求</w:t>
      </w:r>
      <w:bookmarkEnd w:id="28"/>
    </w:p>
    <w:p w14:paraId="5C5320FE">
      <w:pPr>
        <w:spacing w:line="360" w:lineRule="auto"/>
        <w:jc w:val="left"/>
        <w:rPr>
          <w:rFonts w:ascii="宋体" w:hAnsi="宋体" w:cs="宋体"/>
          <w:bCs/>
          <w:color w:val="auto"/>
          <w:szCs w:val="21"/>
        </w:rPr>
      </w:pPr>
      <w:r>
        <w:rPr>
          <w:rFonts w:hint="eastAsia" w:ascii="宋体" w:hAnsi="宋体" w:cs="宋体"/>
          <w:bCs/>
          <w:color w:val="auto"/>
          <w:szCs w:val="21"/>
        </w:rPr>
        <w:t>说明：</w:t>
      </w:r>
    </w:p>
    <w:p w14:paraId="41E73B45">
      <w:pPr>
        <w:spacing w:line="360" w:lineRule="auto"/>
        <w:ind w:left="-10" w:leftChars="-5" w:right="2" w:rightChars="1" w:firstLine="420" w:firstLineChars="200"/>
        <w:rPr>
          <w:bCs/>
          <w:color w:val="auto"/>
          <w:szCs w:val="21"/>
        </w:rPr>
      </w:pPr>
      <w:r>
        <w:rPr>
          <w:bCs/>
          <w:color w:val="auto"/>
          <w:szCs w:val="21"/>
        </w:rPr>
        <w:t>1</w:t>
      </w:r>
      <w:r>
        <w:rPr>
          <w:rFonts w:hint="eastAsia" w:ascii="宋体" w:hAnsi="宋体" w:cs="宋体"/>
          <w:color w:val="auto"/>
          <w:szCs w:val="21"/>
        </w:rPr>
        <w:t>.</w:t>
      </w:r>
      <w:r>
        <w:rPr>
          <w:bCs/>
          <w:color w:val="auto"/>
          <w:szCs w:val="21"/>
        </w:rPr>
        <w:t>采购需求中如出现品牌、型号或者生产厂家等均仅起参考作用，不属于指定品牌、型号或者生产厂家的情形，</w:t>
      </w:r>
      <w:r>
        <w:rPr>
          <w:rFonts w:hint="eastAsia"/>
          <w:bCs/>
          <w:color w:val="auto"/>
          <w:szCs w:val="21"/>
        </w:rPr>
        <w:t>供应商</w:t>
      </w:r>
      <w:r>
        <w:rPr>
          <w:bCs/>
          <w:color w:val="auto"/>
          <w:szCs w:val="21"/>
        </w:rPr>
        <w:t>可参照或者选用其他相当的品牌、型号或者生产供应商替代。但</w:t>
      </w:r>
      <w:r>
        <w:rPr>
          <w:rFonts w:hint="eastAsia"/>
          <w:bCs/>
          <w:color w:val="auto"/>
          <w:szCs w:val="21"/>
        </w:rPr>
        <w:t>供应商提供</w:t>
      </w:r>
      <w:r>
        <w:rPr>
          <w:bCs/>
          <w:color w:val="auto"/>
          <w:szCs w:val="21"/>
        </w:rPr>
        <w:t>的产品实质上应相当于或优于本</w:t>
      </w:r>
      <w:r>
        <w:rPr>
          <w:rFonts w:hint="eastAsia"/>
          <w:bCs/>
          <w:color w:val="auto"/>
          <w:szCs w:val="21"/>
        </w:rPr>
        <w:t>《采购</w:t>
      </w:r>
      <w:r>
        <w:rPr>
          <w:bCs/>
          <w:color w:val="auto"/>
          <w:szCs w:val="21"/>
        </w:rPr>
        <w:t>需求</w:t>
      </w:r>
      <w:r>
        <w:rPr>
          <w:rFonts w:hint="eastAsia"/>
          <w:bCs/>
          <w:color w:val="auto"/>
          <w:szCs w:val="21"/>
        </w:rPr>
        <w:t>》</w:t>
      </w:r>
      <w:r>
        <w:rPr>
          <w:bCs/>
          <w:color w:val="auto"/>
          <w:szCs w:val="21"/>
        </w:rPr>
        <w:t>中的技术要求。</w:t>
      </w:r>
    </w:p>
    <w:p w14:paraId="336FDD6B">
      <w:pPr>
        <w:spacing w:line="360" w:lineRule="auto"/>
        <w:ind w:left="-10" w:leftChars="-5" w:right="2" w:rightChars="1" w:firstLine="420" w:firstLineChars="200"/>
        <w:rPr>
          <w:bCs/>
          <w:color w:val="auto"/>
          <w:szCs w:val="21"/>
        </w:rPr>
      </w:pPr>
      <w:r>
        <w:rPr>
          <w:bCs/>
          <w:color w:val="auto"/>
          <w:szCs w:val="21"/>
        </w:rPr>
        <w:t>2</w:t>
      </w:r>
      <w:r>
        <w:rPr>
          <w:rFonts w:hint="eastAsia" w:ascii="宋体" w:hAnsi="宋体" w:cs="宋体"/>
          <w:color w:val="auto"/>
          <w:szCs w:val="21"/>
        </w:rPr>
        <w:t>.</w:t>
      </w:r>
      <w:r>
        <w:rPr>
          <w:bCs/>
          <w:color w:val="auto"/>
          <w:szCs w:val="21"/>
        </w:rPr>
        <w:t>凡在“技术要求”中表述为“标配”或“标准配置”的设备，</w:t>
      </w:r>
      <w:r>
        <w:rPr>
          <w:rFonts w:hint="eastAsia"/>
          <w:bCs/>
          <w:color w:val="auto"/>
          <w:szCs w:val="21"/>
        </w:rPr>
        <w:t>供应商</w:t>
      </w:r>
      <w:r>
        <w:rPr>
          <w:bCs/>
          <w:color w:val="auto"/>
          <w:szCs w:val="21"/>
        </w:rPr>
        <w:t>应在</w:t>
      </w:r>
      <w:r>
        <w:rPr>
          <w:rFonts w:hint="eastAsia" w:ascii="宋体" w:hAnsi="宋体" w:cs="宋体"/>
          <w:color w:val="auto"/>
          <w:szCs w:val="21"/>
          <w:lang w:bidi="ar"/>
        </w:rPr>
        <w:t>竞争性谈判</w:t>
      </w:r>
      <w:r>
        <w:rPr>
          <w:bCs/>
          <w:color w:val="auto"/>
          <w:szCs w:val="21"/>
        </w:rPr>
        <w:t>设备性能配置清单中将其标配参数详细列明。</w:t>
      </w:r>
    </w:p>
    <w:p w14:paraId="0339344C">
      <w:pPr>
        <w:spacing w:line="360" w:lineRule="auto"/>
        <w:ind w:left="-10" w:leftChars="-5" w:right="2" w:rightChars="1" w:firstLine="420" w:firstLineChars="200"/>
        <w:rPr>
          <w:bCs/>
          <w:color w:val="auto"/>
          <w:szCs w:val="21"/>
        </w:rPr>
      </w:pPr>
      <w:r>
        <w:rPr>
          <w:bCs/>
          <w:color w:val="auto"/>
          <w:szCs w:val="21"/>
        </w:rPr>
        <w:t>3</w:t>
      </w:r>
      <w:r>
        <w:rPr>
          <w:rFonts w:hint="eastAsia" w:ascii="宋体" w:hAnsi="宋体" w:cs="宋体"/>
          <w:color w:val="auto"/>
          <w:szCs w:val="21"/>
        </w:rPr>
        <w:t>.</w:t>
      </w:r>
      <w:r>
        <w:rPr>
          <w:bCs/>
          <w:color w:val="auto"/>
          <w:szCs w:val="21"/>
        </w:rPr>
        <w:t>根据《财政部发展改革委生态环境部市场监管总局关于调整优化节能产品、环境标志产品政府采购执行机制的通知》（财库〔2019〕9 号）和《关于印发节能产品政府采购品目清单的通知》（财库〔2019〕19 号）的规定，采购需求中的产品属于节能产品政府采购品目清单内标注“</w:t>
      </w:r>
      <w:r>
        <w:rPr>
          <w:rFonts w:hint="eastAsia" w:ascii="Segoe UI Symbol" w:hAnsi="Segoe UI Symbol" w:cs="Segoe UI Symbol"/>
          <w:bCs/>
          <w:color w:val="auto"/>
          <w:szCs w:val="21"/>
        </w:rPr>
        <w:t>★</w:t>
      </w:r>
      <w:r>
        <w:rPr>
          <w:bCs/>
          <w:color w:val="auto"/>
          <w:szCs w:val="21"/>
        </w:rPr>
        <w:t>”的（详见本章后附的节能产品政府采购品目清单），</w:t>
      </w:r>
      <w:r>
        <w:rPr>
          <w:rFonts w:hint="eastAsia"/>
          <w:bCs/>
          <w:color w:val="auto"/>
          <w:szCs w:val="21"/>
        </w:rPr>
        <w:t>供应商参与</w:t>
      </w:r>
      <w:r>
        <w:rPr>
          <w:rFonts w:hint="eastAsia" w:ascii="宋体" w:hAnsi="宋体" w:cs="宋体"/>
          <w:color w:val="auto"/>
          <w:szCs w:val="21"/>
          <w:lang w:bidi="ar"/>
        </w:rPr>
        <w:t>竞争性谈判</w:t>
      </w:r>
      <w:r>
        <w:rPr>
          <w:rFonts w:hint="eastAsia"/>
          <w:bCs/>
          <w:color w:val="auto"/>
          <w:szCs w:val="21"/>
        </w:rPr>
        <w:t>提供的</w:t>
      </w:r>
      <w:r>
        <w:rPr>
          <w:bCs/>
          <w:color w:val="auto"/>
          <w:szCs w:val="21"/>
        </w:rPr>
        <w:t>货物必须使用政府强制采购的节能产品，</w:t>
      </w:r>
      <w:r>
        <w:rPr>
          <w:rFonts w:hint="eastAsia"/>
          <w:bCs/>
          <w:color w:val="auto"/>
          <w:szCs w:val="21"/>
        </w:rPr>
        <w:t>供应商必须在响应文件（商务及技术文件）中提供所投产品的节能产品认证证书复印件（加盖投标人电子签章），</w:t>
      </w:r>
      <w:r>
        <w:rPr>
          <w:bCs/>
          <w:color w:val="auto"/>
          <w:szCs w:val="21"/>
        </w:rPr>
        <w:t>否则</w:t>
      </w:r>
      <w:r>
        <w:rPr>
          <w:rFonts w:hint="eastAsia"/>
          <w:bCs/>
          <w:color w:val="auto"/>
          <w:szCs w:val="21"/>
        </w:rPr>
        <w:t>响应</w:t>
      </w:r>
      <w:r>
        <w:rPr>
          <w:bCs/>
          <w:color w:val="auto"/>
          <w:szCs w:val="21"/>
        </w:rPr>
        <w:t>文件作无效处理。</w:t>
      </w:r>
    </w:p>
    <w:p w14:paraId="62D6452D">
      <w:pPr>
        <w:spacing w:line="360" w:lineRule="auto"/>
        <w:ind w:left="-10" w:leftChars="-5" w:right="2" w:rightChars="1" w:firstLine="420" w:firstLineChars="200"/>
        <w:rPr>
          <w:bCs/>
          <w:color w:val="auto"/>
          <w:szCs w:val="21"/>
        </w:rPr>
      </w:pPr>
      <w:r>
        <w:rPr>
          <w:bCs/>
          <w:color w:val="auto"/>
          <w:szCs w:val="21"/>
        </w:rPr>
        <w:t>4</w:t>
      </w:r>
      <w:r>
        <w:rPr>
          <w:rFonts w:hint="eastAsia" w:ascii="宋体" w:hAnsi="宋体" w:cs="宋体"/>
          <w:color w:val="auto"/>
          <w:szCs w:val="21"/>
        </w:rPr>
        <w:t>.</w:t>
      </w:r>
      <w:r>
        <w:rPr>
          <w:bCs/>
          <w:color w:val="auto"/>
          <w:szCs w:val="21"/>
        </w:rPr>
        <w:t>如</w:t>
      </w:r>
      <w:r>
        <w:rPr>
          <w:rFonts w:hint="eastAsia"/>
          <w:bCs/>
          <w:color w:val="auto"/>
          <w:szCs w:val="21"/>
        </w:rPr>
        <w:t>供应商参与</w:t>
      </w:r>
      <w:r>
        <w:rPr>
          <w:rFonts w:hint="eastAsia" w:ascii="宋体" w:hAnsi="宋体" w:cs="宋体"/>
          <w:color w:val="auto"/>
          <w:szCs w:val="21"/>
          <w:lang w:bidi="ar"/>
        </w:rPr>
        <w:t>竞争性谈判提供的</w:t>
      </w:r>
      <w:r>
        <w:rPr>
          <w:bCs/>
          <w:color w:val="auto"/>
          <w:szCs w:val="21"/>
        </w:rPr>
        <w:t>产品存在侵犯他人的知识产权或者专利成果行为的，由</w:t>
      </w:r>
      <w:r>
        <w:rPr>
          <w:rFonts w:hint="eastAsia"/>
          <w:bCs/>
          <w:color w:val="auto"/>
          <w:szCs w:val="21"/>
        </w:rPr>
        <w:t>供应商</w:t>
      </w:r>
      <w:r>
        <w:rPr>
          <w:bCs/>
          <w:color w:val="auto"/>
          <w:szCs w:val="21"/>
        </w:rPr>
        <w:t>自行承担相应法律责任。</w:t>
      </w:r>
    </w:p>
    <w:p w14:paraId="3B89168B">
      <w:pPr>
        <w:spacing w:line="360" w:lineRule="auto"/>
        <w:ind w:left="-10" w:leftChars="-5" w:right="2" w:rightChars="1" w:firstLine="420" w:firstLineChars="200"/>
        <w:rPr>
          <w:rFonts w:asciiTheme="minorEastAsia" w:hAnsiTheme="minorEastAsia" w:eastAsiaTheme="minorEastAsia" w:cstheme="minorEastAsia"/>
          <w:bCs/>
          <w:color w:val="auto"/>
          <w:szCs w:val="21"/>
        </w:rPr>
      </w:pPr>
      <w:r>
        <w:rPr>
          <w:bCs/>
          <w:color w:val="auto"/>
          <w:szCs w:val="21"/>
        </w:rPr>
        <w:t>5</w:t>
      </w:r>
      <w:r>
        <w:rPr>
          <w:rFonts w:hint="eastAsia" w:ascii="宋体" w:hAnsi="宋体" w:cs="宋体"/>
          <w:color w:val="auto"/>
          <w:szCs w:val="21"/>
        </w:rPr>
        <w:t>.“</w:t>
      </w:r>
      <w:r>
        <w:rPr>
          <w:rFonts w:hint="eastAsia" w:asciiTheme="minorEastAsia" w:hAnsiTheme="minorEastAsia" w:eastAsiaTheme="minorEastAsia" w:cstheme="minorEastAsia"/>
          <w:bCs/>
          <w:color w:val="auto"/>
          <w:szCs w:val="21"/>
        </w:rPr>
        <w:t>实质性要求</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bCs/>
          <w:color w:val="auto"/>
          <w:szCs w:val="21"/>
        </w:rPr>
        <w:t>是指采购文件中已经指明不满足则</w:t>
      </w:r>
      <w:r>
        <w:rPr>
          <w:rFonts w:hint="eastAsia" w:asciiTheme="minorEastAsia" w:hAnsiTheme="minorEastAsia" w:eastAsiaTheme="minorEastAsia" w:cstheme="minorEastAsia"/>
          <w:color w:val="auto"/>
          <w:szCs w:val="21"/>
          <w:lang w:bidi="ar"/>
        </w:rPr>
        <w:t>竞争性谈判</w:t>
      </w:r>
      <w:r>
        <w:rPr>
          <w:rFonts w:hint="eastAsia" w:asciiTheme="minorEastAsia" w:hAnsiTheme="minorEastAsia" w:eastAsiaTheme="minorEastAsia" w:cstheme="minorEastAsia"/>
          <w:bCs/>
          <w:color w:val="auto"/>
          <w:szCs w:val="21"/>
        </w:rPr>
        <w:t>无效的条款，或者不容许负偏离的条款，或者采购需求中带“▲”的条款。分标1：未标注“▲”号的非实质性条款要求可允许</w:t>
      </w:r>
      <w:r>
        <w:rPr>
          <w:rFonts w:hint="eastAsia" w:asciiTheme="minorEastAsia" w:hAnsiTheme="minorEastAsia" w:eastAsiaTheme="minorEastAsia" w:cstheme="minorEastAsia"/>
          <w:bCs/>
          <w:color w:val="auto"/>
          <w:szCs w:val="21"/>
          <w:u w:val="single"/>
        </w:rPr>
        <w:t xml:space="preserve"> 2 </w:t>
      </w:r>
      <w:r>
        <w:rPr>
          <w:rFonts w:hint="eastAsia" w:asciiTheme="minorEastAsia" w:hAnsiTheme="minorEastAsia" w:eastAsiaTheme="minorEastAsia" w:cstheme="minorEastAsia"/>
          <w:bCs/>
          <w:color w:val="auto"/>
          <w:szCs w:val="21"/>
        </w:rPr>
        <w:t>项负偏离，</w:t>
      </w:r>
      <w:r>
        <w:rPr>
          <w:rFonts w:hint="eastAsia" w:asciiTheme="minorEastAsia" w:hAnsiTheme="minorEastAsia" w:eastAsiaTheme="minorEastAsia" w:cstheme="minorEastAsia"/>
          <w:bCs/>
          <w:color w:val="auto"/>
          <w:szCs w:val="21"/>
          <w:u w:val="single"/>
        </w:rPr>
        <w:t xml:space="preserve"> 3 </w:t>
      </w:r>
      <w:r>
        <w:rPr>
          <w:rFonts w:hint="eastAsia" w:asciiTheme="minorEastAsia" w:hAnsiTheme="minorEastAsia" w:eastAsiaTheme="minorEastAsia" w:cstheme="minorEastAsia"/>
          <w:bCs/>
          <w:color w:val="auto"/>
          <w:szCs w:val="21"/>
        </w:rPr>
        <w:t>项以上（含</w:t>
      </w:r>
      <w:r>
        <w:rPr>
          <w:rFonts w:hint="eastAsia" w:asciiTheme="minorEastAsia" w:hAnsiTheme="minorEastAsia" w:eastAsiaTheme="minorEastAsia" w:cstheme="minorEastAsia"/>
          <w:bCs/>
          <w:color w:val="auto"/>
          <w:szCs w:val="21"/>
          <w:u w:val="single"/>
        </w:rPr>
        <w:t xml:space="preserve"> 3 </w:t>
      </w:r>
      <w:r>
        <w:rPr>
          <w:rFonts w:hint="eastAsia" w:asciiTheme="minorEastAsia" w:hAnsiTheme="minorEastAsia" w:eastAsiaTheme="minorEastAsia" w:cstheme="minorEastAsia"/>
          <w:bCs/>
          <w:color w:val="auto"/>
          <w:szCs w:val="21"/>
        </w:rPr>
        <w:t>项）负偏离的</w:t>
      </w:r>
      <w:r>
        <w:rPr>
          <w:rFonts w:hint="eastAsia" w:asciiTheme="minorEastAsia" w:hAnsiTheme="minorEastAsia" w:eastAsiaTheme="minorEastAsia" w:cstheme="minorEastAsia"/>
          <w:color w:val="auto"/>
          <w:szCs w:val="21"/>
          <w:lang w:bidi="ar"/>
        </w:rPr>
        <w:t>竞争性谈判</w:t>
      </w:r>
      <w:r>
        <w:rPr>
          <w:rFonts w:hint="eastAsia" w:asciiTheme="minorEastAsia" w:hAnsiTheme="minorEastAsia" w:eastAsiaTheme="minorEastAsia" w:cstheme="minorEastAsia"/>
          <w:bCs/>
          <w:color w:val="auto"/>
          <w:szCs w:val="21"/>
        </w:rPr>
        <w:t>无效</w:t>
      </w:r>
      <w:r>
        <w:rPr>
          <w:rFonts w:hint="eastAsia" w:asciiTheme="minorEastAsia" w:hAnsiTheme="minorEastAsia" w:eastAsiaTheme="minorEastAsia" w:cstheme="minorEastAsia"/>
          <w:color w:val="auto"/>
          <w:szCs w:val="21"/>
          <w:u w:val="single"/>
        </w:rPr>
        <w:t>；</w:t>
      </w:r>
      <w:r>
        <w:rPr>
          <w:rFonts w:hint="eastAsia" w:asciiTheme="minorEastAsia" w:hAnsiTheme="minorEastAsia" w:eastAsiaTheme="minorEastAsia" w:cstheme="minorEastAsia"/>
          <w:bCs/>
          <w:color w:val="auto"/>
          <w:szCs w:val="21"/>
        </w:rPr>
        <w:t>分标2：未标注“▲”号的非实质性条款要求可允许</w:t>
      </w:r>
      <w:r>
        <w:rPr>
          <w:rFonts w:hint="eastAsia" w:asciiTheme="minorEastAsia" w:hAnsiTheme="minorEastAsia" w:eastAsiaTheme="minorEastAsia" w:cstheme="minorEastAsia"/>
          <w:bCs/>
          <w:color w:val="auto"/>
          <w:szCs w:val="21"/>
          <w:u w:val="single"/>
        </w:rPr>
        <w:t xml:space="preserve"> 2 </w:t>
      </w:r>
      <w:r>
        <w:rPr>
          <w:rFonts w:hint="eastAsia" w:asciiTheme="minorEastAsia" w:hAnsiTheme="minorEastAsia" w:eastAsiaTheme="minorEastAsia" w:cstheme="minorEastAsia"/>
          <w:bCs/>
          <w:color w:val="auto"/>
          <w:szCs w:val="21"/>
        </w:rPr>
        <w:t>项负偏离，</w:t>
      </w:r>
      <w:r>
        <w:rPr>
          <w:rFonts w:hint="eastAsia" w:asciiTheme="minorEastAsia" w:hAnsiTheme="minorEastAsia" w:eastAsiaTheme="minorEastAsia" w:cstheme="minorEastAsia"/>
          <w:bCs/>
          <w:color w:val="auto"/>
          <w:szCs w:val="21"/>
          <w:u w:val="single"/>
        </w:rPr>
        <w:t xml:space="preserve"> 3 </w:t>
      </w:r>
      <w:r>
        <w:rPr>
          <w:rFonts w:hint="eastAsia" w:asciiTheme="minorEastAsia" w:hAnsiTheme="minorEastAsia" w:eastAsiaTheme="minorEastAsia" w:cstheme="minorEastAsia"/>
          <w:bCs/>
          <w:color w:val="auto"/>
          <w:szCs w:val="21"/>
        </w:rPr>
        <w:t>项以上（含</w:t>
      </w:r>
      <w:r>
        <w:rPr>
          <w:rFonts w:hint="eastAsia" w:asciiTheme="minorEastAsia" w:hAnsiTheme="minorEastAsia" w:eastAsiaTheme="minorEastAsia" w:cstheme="minorEastAsia"/>
          <w:bCs/>
          <w:color w:val="auto"/>
          <w:szCs w:val="21"/>
          <w:u w:val="single"/>
        </w:rPr>
        <w:t xml:space="preserve"> 3 </w:t>
      </w:r>
      <w:r>
        <w:rPr>
          <w:rFonts w:hint="eastAsia" w:asciiTheme="minorEastAsia" w:hAnsiTheme="minorEastAsia" w:eastAsiaTheme="minorEastAsia" w:cstheme="minorEastAsia"/>
          <w:bCs/>
          <w:color w:val="auto"/>
          <w:szCs w:val="21"/>
        </w:rPr>
        <w:t>项）负偏离的</w:t>
      </w:r>
      <w:r>
        <w:rPr>
          <w:rFonts w:hint="eastAsia" w:asciiTheme="minorEastAsia" w:hAnsiTheme="minorEastAsia" w:eastAsiaTheme="minorEastAsia" w:cstheme="minorEastAsia"/>
          <w:color w:val="auto"/>
          <w:szCs w:val="21"/>
          <w:lang w:bidi="ar"/>
        </w:rPr>
        <w:t>竞争性谈判</w:t>
      </w:r>
      <w:r>
        <w:rPr>
          <w:rFonts w:hint="eastAsia" w:asciiTheme="minorEastAsia" w:hAnsiTheme="minorEastAsia" w:eastAsiaTheme="minorEastAsia" w:cstheme="minorEastAsia"/>
          <w:bCs/>
          <w:color w:val="auto"/>
          <w:szCs w:val="21"/>
        </w:rPr>
        <w:t>无</w:t>
      </w:r>
      <w:r>
        <w:rPr>
          <w:rFonts w:hint="eastAsia" w:asciiTheme="minorEastAsia" w:hAnsiTheme="minorEastAsia" w:eastAsiaTheme="minorEastAsia" w:cstheme="minorEastAsia"/>
          <w:bCs/>
          <w:color w:val="auto"/>
          <w:szCs w:val="21"/>
        </w:rPr>
        <w:t>效</w:t>
      </w:r>
      <w:r>
        <w:rPr>
          <w:rFonts w:hint="eastAsia" w:asciiTheme="minorEastAsia" w:hAnsiTheme="minorEastAsia" w:eastAsiaTheme="minorEastAsia" w:cstheme="minorEastAsia"/>
          <w:bCs/>
          <w:color w:val="auto"/>
          <w:szCs w:val="21"/>
          <w:lang w:eastAsia="zh-CN"/>
        </w:rPr>
        <w:t>；</w:t>
      </w:r>
      <w:r>
        <w:rPr>
          <w:rFonts w:hint="eastAsia" w:asciiTheme="minorEastAsia" w:hAnsiTheme="minorEastAsia" w:eastAsiaTheme="minorEastAsia" w:cstheme="minorEastAsia"/>
          <w:bCs/>
          <w:color w:val="auto"/>
          <w:szCs w:val="21"/>
        </w:rPr>
        <w:t>分标</w:t>
      </w:r>
      <w:r>
        <w:rPr>
          <w:rFonts w:hint="eastAsia" w:asciiTheme="minorEastAsia" w:hAnsiTheme="minorEastAsia" w:eastAsiaTheme="minorEastAsia" w:cstheme="minorEastAsia"/>
          <w:bCs/>
          <w:color w:val="auto"/>
          <w:szCs w:val="21"/>
          <w:lang w:val="en-US" w:eastAsia="zh-CN"/>
        </w:rPr>
        <w:t>3</w:t>
      </w:r>
      <w:r>
        <w:rPr>
          <w:rFonts w:hint="eastAsia" w:asciiTheme="minorEastAsia" w:hAnsiTheme="minorEastAsia" w:eastAsiaTheme="minorEastAsia" w:cstheme="minorEastAsia"/>
          <w:bCs/>
          <w:color w:val="auto"/>
          <w:szCs w:val="21"/>
        </w:rPr>
        <w:t>：未标注“▲”号的非实质性条款要求可允许</w:t>
      </w:r>
      <w:r>
        <w:rPr>
          <w:rFonts w:hint="eastAsia" w:asciiTheme="minorEastAsia" w:hAnsiTheme="minorEastAsia" w:eastAsiaTheme="minorEastAsia" w:cstheme="minorEastAsia"/>
          <w:bCs/>
          <w:color w:val="auto"/>
          <w:szCs w:val="21"/>
          <w:u w:val="single"/>
        </w:rPr>
        <w:t xml:space="preserve"> 2 </w:t>
      </w:r>
      <w:r>
        <w:rPr>
          <w:rFonts w:hint="eastAsia" w:asciiTheme="minorEastAsia" w:hAnsiTheme="minorEastAsia" w:eastAsiaTheme="minorEastAsia" w:cstheme="minorEastAsia"/>
          <w:bCs/>
          <w:color w:val="auto"/>
          <w:szCs w:val="21"/>
        </w:rPr>
        <w:t>项负偏离，</w:t>
      </w:r>
      <w:r>
        <w:rPr>
          <w:rFonts w:hint="eastAsia" w:asciiTheme="minorEastAsia" w:hAnsiTheme="minorEastAsia" w:eastAsiaTheme="minorEastAsia" w:cstheme="minorEastAsia"/>
          <w:bCs/>
          <w:color w:val="auto"/>
          <w:szCs w:val="21"/>
          <w:u w:val="single"/>
        </w:rPr>
        <w:t xml:space="preserve"> 3 </w:t>
      </w:r>
      <w:r>
        <w:rPr>
          <w:rFonts w:hint="eastAsia" w:asciiTheme="minorEastAsia" w:hAnsiTheme="minorEastAsia" w:eastAsiaTheme="minorEastAsia" w:cstheme="minorEastAsia"/>
          <w:bCs/>
          <w:color w:val="auto"/>
          <w:szCs w:val="21"/>
        </w:rPr>
        <w:t>项以上（含</w:t>
      </w:r>
      <w:r>
        <w:rPr>
          <w:rFonts w:hint="eastAsia" w:asciiTheme="minorEastAsia" w:hAnsiTheme="minorEastAsia" w:eastAsiaTheme="minorEastAsia" w:cstheme="minorEastAsia"/>
          <w:bCs/>
          <w:color w:val="auto"/>
          <w:szCs w:val="21"/>
          <w:u w:val="single"/>
        </w:rPr>
        <w:t xml:space="preserve"> 3 </w:t>
      </w:r>
      <w:r>
        <w:rPr>
          <w:rFonts w:hint="eastAsia" w:asciiTheme="minorEastAsia" w:hAnsiTheme="minorEastAsia" w:eastAsiaTheme="minorEastAsia" w:cstheme="minorEastAsia"/>
          <w:bCs/>
          <w:color w:val="auto"/>
          <w:szCs w:val="21"/>
        </w:rPr>
        <w:t>项）负偏离的</w:t>
      </w:r>
      <w:r>
        <w:rPr>
          <w:rFonts w:hint="eastAsia" w:asciiTheme="minorEastAsia" w:hAnsiTheme="minorEastAsia" w:eastAsiaTheme="minorEastAsia" w:cstheme="minorEastAsia"/>
          <w:color w:val="auto"/>
          <w:szCs w:val="21"/>
          <w:lang w:bidi="ar"/>
        </w:rPr>
        <w:t>竞争性谈判</w:t>
      </w:r>
      <w:r>
        <w:rPr>
          <w:rFonts w:hint="eastAsia" w:asciiTheme="minorEastAsia" w:hAnsiTheme="minorEastAsia" w:eastAsiaTheme="minorEastAsia" w:cstheme="minorEastAsia"/>
          <w:bCs/>
          <w:color w:val="auto"/>
          <w:szCs w:val="21"/>
        </w:rPr>
        <w:t>无效。</w:t>
      </w:r>
    </w:p>
    <w:tbl>
      <w:tblPr>
        <w:tblStyle w:val="27"/>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
        <w:gridCol w:w="1308"/>
        <w:gridCol w:w="637"/>
        <w:gridCol w:w="538"/>
        <w:gridCol w:w="5800"/>
        <w:gridCol w:w="787"/>
      </w:tblGrid>
      <w:tr w14:paraId="4E38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9540" w:type="dxa"/>
            <w:gridSpan w:val="6"/>
            <w:vAlign w:val="center"/>
          </w:tcPr>
          <w:p w14:paraId="4CFC34FA">
            <w:pPr>
              <w:spacing w:line="400" w:lineRule="exact"/>
              <w:jc w:val="center"/>
              <w:rPr>
                <w:rFonts w:ascii="宋体" w:hAnsi="宋体" w:cs="宋体"/>
                <w:b/>
                <w:bCs/>
                <w:color w:val="auto"/>
                <w:szCs w:val="21"/>
              </w:rPr>
            </w:pPr>
            <w:bookmarkStart w:id="29" w:name="分标1需求"/>
            <w:r>
              <w:rPr>
                <w:rFonts w:hint="eastAsia" w:ascii="宋体" w:hAnsi="宋体" w:cs="宋体"/>
                <w:b/>
                <w:bCs/>
                <w:color w:val="auto"/>
                <w:szCs w:val="21"/>
              </w:rPr>
              <w:t>分标1</w:t>
            </w:r>
            <w:bookmarkEnd w:id="29"/>
            <w:r>
              <w:rPr>
                <w:rFonts w:hint="eastAsia" w:ascii="宋体" w:hAnsi="宋体" w:cs="宋体"/>
                <w:b/>
                <w:bCs/>
                <w:color w:val="auto"/>
                <w:szCs w:val="21"/>
              </w:rPr>
              <w:t>：中华书画临摹与数字化应用实训室采购项目</w:t>
            </w:r>
          </w:p>
        </w:tc>
      </w:tr>
      <w:tr w14:paraId="5FDC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exact"/>
          <w:jc w:val="center"/>
        </w:trPr>
        <w:tc>
          <w:tcPr>
            <w:tcW w:w="0" w:type="auto"/>
            <w:vAlign w:val="center"/>
          </w:tcPr>
          <w:p w14:paraId="3D97B089">
            <w:pPr>
              <w:spacing w:line="400" w:lineRule="exact"/>
              <w:jc w:val="center"/>
              <w:rPr>
                <w:rFonts w:ascii="宋体" w:hAnsi="宋体" w:cs="宋体"/>
                <w:b/>
                <w:bCs/>
                <w:color w:val="auto"/>
                <w:szCs w:val="21"/>
              </w:rPr>
            </w:pPr>
            <w:r>
              <w:rPr>
                <w:rFonts w:hint="eastAsia" w:ascii="宋体" w:hAnsi="宋体" w:cs="宋体"/>
                <w:b/>
                <w:bCs/>
                <w:color w:val="auto"/>
                <w:szCs w:val="21"/>
              </w:rPr>
              <w:t>序号</w:t>
            </w:r>
          </w:p>
        </w:tc>
        <w:tc>
          <w:tcPr>
            <w:tcW w:w="1308" w:type="dxa"/>
            <w:vAlign w:val="center"/>
          </w:tcPr>
          <w:p w14:paraId="29FC5CB2">
            <w:pPr>
              <w:spacing w:line="400" w:lineRule="exact"/>
              <w:jc w:val="center"/>
              <w:rPr>
                <w:rFonts w:ascii="宋体" w:hAnsi="宋体" w:cs="宋体"/>
                <w:b/>
                <w:bCs/>
                <w:color w:val="auto"/>
                <w:szCs w:val="21"/>
              </w:rPr>
            </w:pPr>
            <w:r>
              <w:rPr>
                <w:rFonts w:hint="eastAsia" w:ascii="宋体" w:hAnsi="宋体" w:cs="宋体"/>
                <w:b/>
                <w:bCs/>
                <w:color w:val="auto"/>
                <w:szCs w:val="21"/>
              </w:rPr>
              <w:t>标的名称</w:t>
            </w:r>
          </w:p>
        </w:tc>
        <w:tc>
          <w:tcPr>
            <w:tcW w:w="637" w:type="dxa"/>
            <w:vAlign w:val="center"/>
          </w:tcPr>
          <w:p w14:paraId="260AD25B">
            <w:pPr>
              <w:spacing w:line="400" w:lineRule="exact"/>
              <w:jc w:val="center"/>
              <w:rPr>
                <w:rFonts w:ascii="宋体" w:hAnsi="宋体" w:cs="宋体"/>
                <w:b/>
                <w:bCs/>
                <w:color w:val="auto"/>
                <w:szCs w:val="21"/>
              </w:rPr>
            </w:pPr>
            <w:r>
              <w:rPr>
                <w:rFonts w:hint="eastAsia" w:ascii="宋体" w:hAnsi="宋体" w:cs="宋体"/>
                <w:b/>
                <w:bCs/>
                <w:color w:val="auto"/>
                <w:szCs w:val="21"/>
              </w:rPr>
              <w:t>数量</w:t>
            </w:r>
          </w:p>
        </w:tc>
        <w:tc>
          <w:tcPr>
            <w:tcW w:w="538" w:type="dxa"/>
            <w:vAlign w:val="center"/>
          </w:tcPr>
          <w:p w14:paraId="2A3DF727">
            <w:pPr>
              <w:spacing w:line="400" w:lineRule="exact"/>
              <w:jc w:val="center"/>
              <w:rPr>
                <w:rFonts w:ascii="宋体" w:hAnsi="宋体" w:cs="宋体"/>
                <w:b/>
                <w:bCs/>
                <w:color w:val="auto"/>
                <w:szCs w:val="21"/>
              </w:rPr>
            </w:pPr>
            <w:r>
              <w:rPr>
                <w:rFonts w:hint="eastAsia" w:ascii="宋体" w:hAnsi="宋体" w:cs="宋体"/>
                <w:b/>
                <w:bCs/>
                <w:color w:val="auto"/>
                <w:szCs w:val="21"/>
              </w:rPr>
              <w:t>单位</w:t>
            </w:r>
          </w:p>
        </w:tc>
        <w:tc>
          <w:tcPr>
            <w:tcW w:w="5800" w:type="dxa"/>
            <w:vAlign w:val="center"/>
          </w:tcPr>
          <w:p w14:paraId="6159BCA5">
            <w:pPr>
              <w:spacing w:line="400" w:lineRule="exact"/>
              <w:jc w:val="center"/>
              <w:rPr>
                <w:rFonts w:ascii="宋体" w:hAnsi="宋体" w:cs="宋体"/>
                <w:b/>
                <w:bCs/>
                <w:color w:val="auto"/>
                <w:szCs w:val="21"/>
              </w:rPr>
            </w:pPr>
            <w:r>
              <w:rPr>
                <w:rFonts w:hint="eastAsia" w:ascii="宋体" w:hAnsi="宋体" w:cs="宋体"/>
                <w:b/>
                <w:bCs/>
                <w:color w:val="auto"/>
                <w:kern w:val="0"/>
                <w:szCs w:val="21"/>
              </w:rPr>
              <w:t>技术参数及性能（配置）要求</w:t>
            </w:r>
          </w:p>
        </w:tc>
        <w:tc>
          <w:tcPr>
            <w:tcW w:w="787" w:type="dxa"/>
            <w:vAlign w:val="center"/>
          </w:tcPr>
          <w:p w14:paraId="25734C9A">
            <w:pPr>
              <w:spacing w:line="400" w:lineRule="exact"/>
              <w:jc w:val="center"/>
              <w:rPr>
                <w:rFonts w:ascii="宋体" w:hAnsi="宋体" w:cs="宋体"/>
                <w:b/>
                <w:bCs/>
                <w:color w:val="auto"/>
                <w:kern w:val="0"/>
                <w:szCs w:val="21"/>
              </w:rPr>
            </w:pPr>
            <w:r>
              <w:rPr>
                <w:rFonts w:hint="eastAsia" w:ascii="宋体" w:hAnsi="宋体" w:cs="宋体"/>
                <w:color w:val="auto"/>
                <w:szCs w:val="21"/>
              </w:rPr>
              <w:t>所属行业</w:t>
            </w:r>
          </w:p>
        </w:tc>
      </w:tr>
      <w:tr w14:paraId="1E64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0" w:type="auto"/>
            <w:vAlign w:val="center"/>
          </w:tcPr>
          <w:p w14:paraId="1275A0A5">
            <w:pPr>
              <w:spacing w:line="400" w:lineRule="exact"/>
              <w:jc w:val="center"/>
              <w:rPr>
                <w:rFonts w:ascii="宋体" w:hAnsi="宋体" w:cs="宋体"/>
                <w:color w:val="auto"/>
                <w:szCs w:val="21"/>
              </w:rPr>
            </w:pPr>
            <w:r>
              <w:rPr>
                <w:rFonts w:hint="eastAsia" w:ascii="宋体" w:hAnsi="宋体" w:cs="宋体"/>
                <w:color w:val="auto"/>
                <w:szCs w:val="21"/>
              </w:rPr>
              <w:t>1</w:t>
            </w:r>
          </w:p>
        </w:tc>
        <w:tc>
          <w:tcPr>
            <w:tcW w:w="1308" w:type="dxa"/>
            <w:vAlign w:val="center"/>
          </w:tcPr>
          <w:p w14:paraId="3D74C2C7">
            <w:pPr>
              <w:adjustRightInd w:val="0"/>
              <w:snapToGrid w:val="0"/>
              <w:spacing w:line="56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临摹画案</w:t>
            </w:r>
          </w:p>
        </w:tc>
        <w:tc>
          <w:tcPr>
            <w:tcW w:w="637" w:type="dxa"/>
            <w:vAlign w:val="center"/>
          </w:tcPr>
          <w:p w14:paraId="214F93F6">
            <w:pPr>
              <w:widowControl/>
              <w:jc w:val="center"/>
              <w:textAlignment w:val="center"/>
              <w:rPr>
                <w:rFonts w:ascii="宋体" w:hAnsi="宋体" w:cs="宋体"/>
                <w:color w:val="auto"/>
                <w:szCs w:val="21"/>
              </w:rPr>
            </w:pPr>
            <w:r>
              <w:rPr>
                <w:rFonts w:hint="eastAsia" w:ascii="宋体" w:hAnsi="宋体" w:cs="宋体"/>
                <w:color w:val="auto"/>
                <w:szCs w:val="21"/>
              </w:rPr>
              <w:t>4</w:t>
            </w:r>
          </w:p>
        </w:tc>
        <w:tc>
          <w:tcPr>
            <w:tcW w:w="538" w:type="dxa"/>
            <w:vAlign w:val="center"/>
          </w:tcPr>
          <w:p w14:paraId="24A6F2FA">
            <w:pPr>
              <w:widowControl/>
              <w:jc w:val="center"/>
              <w:textAlignment w:val="center"/>
              <w:rPr>
                <w:rFonts w:ascii="宋体" w:hAnsi="宋体" w:cs="宋体"/>
                <w:color w:val="auto"/>
                <w:szCs w:val="21"/>
              </w:rPr>
            </w:pPr>
            <w:r>
              <w:rPr>
                <w:rFonts w:hint="eastAsia" w:ascii="宋体" w:hAnsi="宋体" w:cs="宋体"/>
                <w:color w:val="auto"/>
                <w:szCs w:val="21"/>
              </w:rPr>
              <w:t>张</w:t>
            </w:r>
          </w:p>
        </w:tc>
        <w:tc>
          <w:tcPr>
            <w:tcW w:w="5800" w:type="dxa"/>
            <w:vAlign w:val="center"/>
          </w:tcPr>
          <w:p w14:paraId="0AC0830B">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1、规格尺寸：约180cm×90cm×80cm</w:t>
            </w:r>
          </w:p>
          <w:p w14:paraId="3F6A64AB">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2、台面：实木、榫卯结构</w:t>
            </w:r>
          </w:p>
          <w:p w14:paraId="7C21A073">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3、材质：橡胶木/榆木</w:t>
            </w:r>
          </w:p>
          <w:p w14:paraId="346683EB">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3、桌体：古色古香，环保油漆,优质原木料，采用优质健康环保UV漆，涂层光滑。</w:t>
            </w:r>
          </w:p>
        </w:tc>
        <w:tc>
          <w:tcPr>
            <w:tcW w:w="787" w:type="dxa"/>
            <w:vAlign w:val="center"/>
          </w:tcPr>
          <w:p w14:paraId="4E6897DF">
            <w:pPr>
              <w:adjustRightInd w:val="0"/>
              <w:snapToGrid w:val="0"/>
              <w:spacing w:line="4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工业</w:t>
            </w:r>
          </w:p>
        </w:tc>
      </w:tr>
      <w:tr w14:paraId="48CC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0" w:type="auto"/>
            <w:vAlign w:val="center"/>
          </w:tcPr>
          <w:p w14:paraId="48220176">
            <w:pPr>
              <w:spacing w:line="400" w:lineRule="exact"/>
              <w:jc w:val="center"/>
              <w:rPr>
                <w:rFonts w:ascii="宋体" w:hAnsi="宋体" w:cs="宋体"/>
                <w:color w:val="auto"/>
                <w:szCs w:val="21"/>
              </w:rPr>
            </w:pPr>
            <w:r>
              <w:rPr>
                <w:rFonts w:hint="eastAsia" w:ascii="宋体" w:hAnsi="宋体" w:cs="宋体"/>
                <w:color w:val="auto"/>
                <w:szCs w:val="21"/>
              </w:rPr>
              <w:t>2</w:t>
            </w:r>
          </w:p>
        </w:tc>
        <w:tc>
          <w:tcPr>
            <w:tcW w:w="1308" w:type="dxa"/>
            <w:vAlign w:val="center"/>
          </w:tcPr>
          <w:p w14:paraId="0AF1121C">
            <w:pPr>
              <w:adjustRightInd w:val="0"/>
              <w:snapToGrid w:val="0"/>
              <w:spacing w:line="56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文房四宝套装</w:t>
            </w:r>
          </w:p>
        </w:tc>
        <w:tc>
          <w:tcPr>
            <w:tcW w:w="637" w:type="dxa"/>
            <w:vAlign w:val="center"/>
          </w:tcPr>
          <w:p w14:paraId="0ABED460">
            <w:pPr>
              <w:widowControl/>
              <w:jc w:val="center"/>
              <w:textAlignment w:val="center"/>
              <w:rPr>
                <w:rFonts w:ascii="宋体" w:hAnsi="宋体" w:cs="宋体"/>
                <w:color w:val="auto"/>
                <w:kern w:val="0"/>
                <w:szCs w:val="21"/>
              </w:rPr>
            </w:pPr>
            <w:r>
              <w:rPr>
                <w:rFonts w:hint="eastAsia" w:ascii="宋体" w:hAnsi="宋体" w:cs="宋体"/>
                <w:color w:val="auto"/>
                <w:szCs w:val="21"/>
              </w:rPr>
              <w:t>4</w:t>
            </w:r>
          </w:p>
        </w:tc>
        <w:tc>
          <w:tcPr>
            <w:tcW w:w="538" w:type="dxa"/>
            <w:vAlign w:val="center"/>
          </w:tcPr>
          <w:p w14:paraId="63C3A3D1">
            <w:pPr>
              <w:widowControl/>
              <w:jc w:val="center"/>
              <w:textAlignment w:val="center"/>
              <w:rPr>
                <w:rFonts w:ascii="宋体" w:hAnsi="宋体" w:cs="宋体"/>
                <w:color w:val="auto"/>
                <w:kern w:val="0"/>
                <w:szCs w:val="21"/>
              </w:rPr>
            </w:pPr>
            <w:r>
              <w:rPr>
                <w:rFonts w:hint="eastAsia" w:ascii="宋体" w:hAnsi="宋体" w:cs="宋体"/>
                <w:color w:val="auto"/>
                <w:szCs w:val="21"/>
              </w:rPr>
              <w:t>套</w:t>
            </w:r>
          </w:p>
        </w:tc>
        <w:tc>
          <w:tcPr>
            <w:tcW w:w="5800" w:type="dxa"/>
            <w:vAlign w:val="center"/>
          </w:tcPr>
          <w:p w14:paraId="1476E3B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1.毛笔：大中小三种型号</w:t>
            </w:r>
          </w:p>
          <w:p w14:paraId="3118D36D">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2.精制墨汁500g</w:t>
            </w:r>
          </w:p>
          <w:p w14:paraId="454AE97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3.宣纸：净皮（7分熟），四尺整</w:t>
            </w:r>
          </w:p>
          <w:p w14:paraId="74692AB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4.木镇尺：长宽高30*4*2.3cm</w:t>
            </w:r>
          </w:p>
        </w:tc>
        <w:tc>
          <w:tcPr>
            <w:tcW w:w="787" w:type="dxa"/>
            <w:vAlign w:val="center"/>
          </w:tcPr>
          <w:p w14:paraId="2D62670B">
            <w:pPr>
              <w:adjustRightInd w:val="0"/>
              <w:snapToGrid w:val="0"/>
              <w:spacing w:line="4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工业</w:t>
            </w:r>
          </w:p>
        </w:tc>
      </w:tr>
      <w:tr w14:paraId="045C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0" w:type="auto"/>
            <w:vAlign w:val="center"/>
          </w:tcPr>
          <w:p w14:paraId="5D5E84A9">
            <w:pPr>
              <w:spacing w:line="400" w:lineRule="exact"/>
              <w:jc w:val="center"/>
              <w:rPr>
                <w:rFonts w:ascii="宋体" w:hAnsi="宋体" w:cs="宋体"/>
                <w:color w:val="auto"/>
                <w:szCs w:val="21"/>
              </w:rPr>
            </w:pPr>
            <w:r>
              <w:rPr>
                <w:rFonts w:hint="eastAsia" w:ascii="宋体" w:hAnsi="宋体" w:cs="宋体"/>
                <w:color w:val="auto"/>
                <w:szCs w:val="21"/>
              </w:rPr>
              <w:t>3</w:t>
            </w:r>
          </w:p>
        </w:tc>
        <w:tc>
          <w:tcPr>
            <w:tcW w:w="1308" w:type="dxa"/>
            <w:vAlign w:val="center"/>
          </w:tcPr>
          <w:p w14:paraId="10120D55">
            <w:pPr>
              <w:adjustRightInd w:val="0"/>
              <w:snapToGrid w:val="0"/>
              <w:spacing w:line="56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书画毡</w:t>
            </w:r>
          </w:p>
        </w:tc>
        <w:tc>
          <w:tcPr>
            <w:tcW w:w="637" w:type="dxa"/>
            <w:vAlign w:val="center"/>
          </w:tcPr>
          <w:p w14:paraId="3030BFED">
            <w:pPr>
              <w:widowControl/>
              <w:jc w:val="center"/>
              <w:textAlignment w:val="center"/>
              <w:rPr>
                <w:rFonts w:ascii="宋体" w:hAnsi="宋体" w:cs="宋体"/>
                <w:color w:val="auto"/>
                <w:szCs w:val="21"/>
              </w:rPr>
            </w:pPr>
            <w:r>
              <w:rPr>
                <w:rFonts w:hint="eastAsia" w:ascii="宋体" w:hAnsi="宋体" w:cs="宋体"/>
                <w:color w:val="auto"/>
                <w:szCs w:val="21"/>
              </w:rPr>
              <w:t>4</w:t>
            </w:r>
          </w:p>
        </w:tc>
        <w:tc>
          <w:tcPr>
            <w:tcW w:w="538" w:type="dxa"/>
            <w:vAlign w:val="center"/>
          </w:tcPr>
          <w:p w14:paraId="1D675266">
            <w:pPr>
              <w:widowControl/>
              <w:jc w:val="center"/>
              <w:textAlignment w:val="center"/>
              <w:rPr>
                <w:rFonts w:ascii="宋体" w:hAnsi="宋体" w:cs="宋体"/>
                <w:color w:val="auto"/>
                <w:szCs w:val="21"/>
              </w:rPr>
            </w:pPr>
            <w:r>
              <w:rPr>
                <w:rFonts w:hint="eastAsia" w:ascii="宋体" w:hAnsi="宋体" w:cs="宋体"/>
                <w:color w:val="auto"/>
                <w:szCs w:val="21"/>
              </w:rPr>
              <w:t>块</w:t>
            </w:r>
          </w:p>
        </w:tc>
        <w:tc>
          <w:tcPr>
            <w:tcW w:w="5800" w:type="dxa"/>
            <w:vAlign w:val="center"/>
          </w:tcPr>
          <w:p w14:paraId="1FE5356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深蓝色羊毛毛毡，不起球、不漏墨；180cm×90cm×80cm，边缘缝合。</w:t>
            </w:r>
          </w:p>
        </w:tc>
        <w:tc>
          <w:tcPr>
            <w:tcW w:w="787" w:type="dxa"/>
            <w:vAlign w:val="center"/>
          </w:tcPr>
          <w:p w14:paraId="0385126B">
            <w:pPr>
              <w:adjustRightInd w:val="0"/>
              <w:snapToGrid w:val="0"/>
              <w:spacing w:line="4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工业</w:t>
            </w:r>
          </w:p>
        </w:tc>
      </w:tr>
      <w:tr w14:paraId="4AC4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0" w:type="auto"/>
            <w:vAlign w:val="center"/>
          </w:tcPr>
          <w:p w14:paraId="7DB5AF29">
            <w:pPr>
              <w:spacing w:line="400" w:lineRule="exact"/>
              <w:jc w:val="center"/>
              <w:rPr>
                <w:rFonts w:ascii="宋体" w:hAnsi="宋体" w:cs="宋体"/>
                <w:color w:val="auto"/>
                <w:szCs w:val="21"/>
              </w:rPr>
            </w:pPr>
            <w:r>
              <w:rPr>
                <w:rFonts w:hint="eastAsia" w:ascii="宋体" w:hAnsi="宋体" w:cs="宋体"/>
                <w:color w:val="auto"/>
                <w:szCs w:val="21"/>
              </w:rPr>
              <w:t>4</w:t>
            </w:r>
          </w:p>
        </w:tc>
        <w:tc>
          <w:tcPr>
            <w:tcW w:w="1308" w:type="dxa"/>
            <w:vAlign w:val="center"/>
          </w:tcPr>
          <w:p w14:paraId="0F7CA034">
            <w:pPr>
              <w:adjustRightInd w:val="0"/>
              <w:snapToGrid w:val="0"/>
              <w:spacing w:line="56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书画临摹范本</w:t>
            </w:r>
          </w:p>
        </w:tc>
        <w:tc>
          <w:tcPr>
            <w:tcW w:w="637" w:type="dxa"/>
            <w:vAlign w:val="center"/>
          </w:tcPr>
          <w:p w14:paraId="354091EF">
            <w:pPr>
              <w:widowControl/>
              <w:jc w:val="center"/>
              <w:textAlignment w:val="center"/>
              <w:rPr>
                <w:rFonts w:ascii="宋体" w:hAnsi="宋体" w:cs="宋体"/>
                <w:color w:val="auto"/>
                <w:szCs w:val="21"/>
              </w:rPr>
            </w:pPr>
            <w:r>
              <w:rPr>
                <w:rFonts w:hint="eastAsia" w:ascii="宋体" w:hAnsi="宋体" w:cs="宋体"/>
                <w:color w:val="auto"/>
                <w:szCs w:val="21"/>
              </w:rPr>
              <w:t>50</w:t>
            </w:r>
          </w:p>
        </w:tc>
        <w:tc>
          <w:tcPr>
            <w:tcW w:w="538" w:type="dxa"/>
            <w:vAlign w:val="center"/>
          </w:tcPr>
          <w:p w14:paraId="1269D740">
            <w:pPr>
              <w:widowControl/>
              <w:jc w:val="center"/>
              <w:textAlignment w:val="center"/>
              <w:rPr>
                <w:rFonts w:ascii="宋体" w:hAnsi="宋体" w:cs="宋体"/>
                <w:color w:val="auto"/>
                <w:szCs w:val="21"/>
              </w:rPr>
            </w:pPr>
            <w:r>
              <w:rPr>
                <w:rFonts w:hint="eastAsia" w:ascii="宋体" w:hAnsi="宋体" w:cs="宋体"/>
                <w:color w:val="auto"/>
                <w:szCs w:val="21"/>
              </w:rPr>
              <w:t>套</w:t>
            </w:r>
          </w:p>
        </w:tc>
        <w:tc>
          <w:tcPr>
            <w:tcW w:w="5800" w:type="dxa"/>
            <w:vAlign w:val="center"/>
          </w:tcPr>
          <w:p w14:paraId="75D9AB83">
            <w:pPr>
              <w:adjustRightInd w:val="0"/>
              <w:snapToGrid w:val="0"/>
              <w:spacing w:line="400" w:lineRule="exact"/>
              <w:jc w:val="left"/>
              <w:rPr>
                <w:rFonts w:asciiTheme="minorEastAsia" w:hAnsiTheme="minorEastAsia" w:eastAsiaTheme="minorEastAsia" w:cstheme="minorEastAsia"/>
                <w:color w:val="auto"/>
                <w:kern w:val="0"/>
                <w:szCs w:val="21"/>
                <w:lang w:bidi="ar"/>
              </w:rPr>
            </w:pPr>
            <w:r>
              <w:rPr>
                <w:rFonts w:hint="eastAsia" w:asciiTheme="minorEastAsia" w:hAnsiTheme="minorEastAsia" w:eastAsiaTheme="minorEastAsia" w:cstheme="minorEastAsia"/>
                <w:color w:val="auto"/>
                <w:szCs w:val="21"/>
              </w:rPr>
              <w:t>古代名家经典作品高清复制品（如《兰亭序》《清明上河图》等）</w:t>
            </w:r>
          </w:p>
        </w:tc>
        <w:tc>
          <w:tcPr>
            <w:tcW w:w="787" w:type="dxa"/>
            <w:vAlign w:val="center"/>
          </w:tcPr>
          <w:p w14:paraId="098D53C5">
            <w:pPr>
              <w:adjustRightInd w:val="0"/>
              <w:snapToGrid w:val="0"/>
              <w:spacing w:line="4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工业</w:t>
            </w:r>
          </w:p>
        </w:tc>
      </w:tr>
      <w:tr w14:paraId="0D27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0" w:type="auto"/>
            <w:vAlign w:val="center"/>
          </w:tcPr>
          <w:p w14:paraId="00991DBB">
            <w:pPr>
              <w:spacing w:line="400" w:lineRule="exact"/>
              <w:jc w:val="center"/>
              <w:rPr>
                <w:rFonts w:ascii="宋体" w:hAnsi="宋体" w:cs="宋体"/>
                <w:color w:val="auto"/>
                <w:szCs w:val="21"/>
              </w:rPr>
            </w:pPr>
            <w:r>
              <w:rPr>
                <w:rFonts w:hint="eastAsia" w:ascii="宋体" w:hAnsi="宋体" w:cs="宋体"/>
                <w:color w:val="auto"/>
                <w:szCs w:val="21"/>
              </w:rPr>
              <w:t>5</w:t>
            </w:r>
          </w:p>
        </w:tc>
        <w:tc>
          <w:tcPr>
            <w:tcW w:w="1308" w:type="dxa"/>
            <w:vAlign w:val="center"/>
          </w:tcPr>
          <w:p w14:paraId="76F49B46">
            <w:pPr>
              <w:adjustRightInd w:val="0"/>
              <w:snapToGrid w:val="0"/>
              <w:spacing w:line="56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数位屏</w:t>
            </w:r>
          </w:p>
        </w:tc>
        <w:tc>
          <w:tcPr>
            <w:tcW w:w="637" w:type="dxa"/>
            <w:vAlign w:val="center"/>
          </w:tcPr>
          <w:p w14:paraId="2B3986BF">
            <w:pPr>
              <w:widowControl/>
              <w:jc w:val="center"/>
              <w:textAlignment w:val="center"/>
              <w:rPr>
                <w:rFonts w:ascii="宋体" w:hAnsi="宋体" w:cs="宋体"/>
                <w:color w:val="auto"/>
                <w:szCs w:val="21"/>
              </w:rPr>
            </w:pPr>
            <w:r>
              <w:rPr>
                <w:rFonts w:hint="eastAsia" w:ascii="宋体" w:hAnsi="宋体" w:cs="宋体"/>
                <w:color w:val="auto"/>
                <w:szCs w:val="21"/>
              </w:rPr>
              <w:t>20</w:t>
            </w:r>
          </w:p>
        </w:tc>
        <w:tc>
          <w:tcPr>
            <w:tcW w:w="538" w:type="dxa"/>
            <w:vAlign w:val="center"/>
          </w:tcPr>
          <w:p w14:paraId="78F2E2F1">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5800" w:type="dxa"/>
            <w:vAlign w:val="center"/>
          </w:tcPr>
          <w:p w14:paraId="7C5AAE6B">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1.产品外形尺寸约：422毫米×285毫米×24.5毫米；</w:t>
            </w:r>
          </w:p>
          <w:p w14:paraId="6FCB736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2.液晶模式IPSFHD液晶屏(15.6寸)；</w:t>
            </w:r>
          </w:p>
          <w:p w14:paraId="44EDD9E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3.最大分辨率：1920*1080；显示颜色1670万色；</w:t>
            </w:r>
          </w:p>
          <w:p w14:paraId="6609E41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4.色域：72%NTSC(CIE1931)Typical；</w:t>
            </w:r>
          </w:p>
          <w:p w14:paraId="64A9BE92">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5.宽高比：16:9；</w:t>
            </w:r>
          </w:p>
          <w:p w14:paraId="3680D39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6.对比度：1000:1；</w:t>
            </w:r>
          </w:p>
          <w:p w14:paraId="64403486">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7.亮度：210cd/m2；反应时间约25毫秒；</w:t>
            </w:r>
          </w:p>
          <w:p w14:paraId="6AED44CC">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8.笔活动区域：344x194毫米；</w:t>
            </w:r>
          </w:p>
          <w:p w14:paraId="60654B8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9.输入信号：HDMI1.4withHDCP；</w:t>
            </w:r>
          </w:p>
          <w:p w14:paraId="3A01D46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10.压感笔：WacomProPen2；</w:t>
            </w:r>
          </w:p>
          <w:p w14:paraId="19EC583B">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11.压感级别笔和橡皮擦均为8192级压力感应；</w:t>
            </w:r>
          </w:p>
          <w:p w14:paraId="7F1C63D3">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12.笔感应技术无源无线压力感应；</w:t>
            </w:r>
          </w:p>
          <w:p w14:paraId="6443F4F6">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13.压感笔倾角支持：+/-60度；</w:t>
            </w:r>
          </w:p>
          <w:p w14:paraId="1FCB44D8">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14.压感笔识别高度：5毫米或更高；</w:t>
            </w:r>
          </w:p>
          <w:p w14:paraId="13EAF38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15.侧边按键笔尖转换器、侧面双开关、橡皮擦；</w:t>
            </w:r>
          </w:p>
          <w:p w14:paraId="3F4896BD">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16.调节支架：内置折叠式支架，架起可实现19度倾斜；连接PC和MacUSB；</w:t>
            </w:r>
          </w:p>
          <w:p w14:paraId="07706D4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17.安全性：支持Kensington锁孔；线材：三合一端口数据线；</w:t>
            </w:r>
          </w:p>
          <w:p w14:paraId="74512D5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Segoe UI Symbol" w:hAnsi="Segoe UI Symbol" w:cs="Segoe UI Symbol"/>
                <w:bCs/>
                <w:color w:val="auto"/>
                <w:szCs w:val="21"/>
              </w:rPr>
              <w:t>▲</w:t>
            </w:r>
            <w:r>
              <w:rPr>
                <w:rFonts w:hint="eastAsia" w:asciiTheme="minorEastAsia" w:hAnsiTheme="minorEastAsia" w:eastAsiaTheme="minorEastAsia" w:cstheme="minorEastAsia"/>
                <w:color w:val="auto"/>
                <w:szCs w:val="21"/>
              </w:rPr>
              <w:t>18. 交货时提供厂家盖章的售后服务承诺函原件；</w:t>
            </w:r>
          </w:p>
        </w:tc>
        <w:tc>
          <w:tcPr>
            <w:tcW w:w="787" w:type="dxa"/>
            <w:vAlign w:val="center"/>
          </w:tcPr>
          <w:p w14:paraId="38E7882F">
            <w:pPr>
              <w:adjustRightInd w:val="0"/>
              <w:snapToGrid w:val="0"/>
              <w:spacing w:line="400" w:lineRule="exact"/>
              <w:jc w:val="center"/>
              <w:rPr>
                <w:rFonts w:ascii="Segoe UI Symbol" w:hAnsi="Segoe UI Symbol" w:cs="Segoe UI Symbol"/>
                <w:bCs/>
                <w:color w:val="auto"/>
                <w:szCs w:val="21"/>
              </w:rPr>
            </w:pPr>
            <w:r>
              <w:rPr>
                <w:rFonts w:hint="eastAsia" w:asciiTheme="minorEastAsia" w:hAnsiTheme="minorEastAsia" w:eastAsiaTheme="minorEastAsia" w:cstheme="minorEastAsia"/>
                <w:color w:val="auto"/>
                <w:szCs w:val="21"/>
              </w:rPr>
              <w:t>工业</w:t>
            </w:r>
          </w:p>
        </w:tc>
      </w:tr>
      <w:tr w14:paraId="60DD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0" w:type="auto"/>
            <w:vAlign w:val="center"/>
          </w:tcPr>
          <w:p w14:paraId="0D0B4407">
            <w:pPr>
              <w:spacing w:line="400" w:lineRule="exact"/>
              <w:jc w:val="center"/>
              <w:rPr>
                <w:rFonts w:ascii="宋体" w:hAnsi="宋体" w:cs="宋体"/>
                <w:color w:val="auto"/>
                <w:szCs w:val="21"/>
              </w:rPr>
            </w:pPr>
            <w:r>
              <w:rPr>
                <w:rFonts w:hint="eastAsia" w:ascii="宋体" w:hAnsi="宋体" w:cs="宋体"/>
                <w:color w:val="auto"/>
                <w:szCs w:val="21"/>
              </w:rPr>
              <w:t>6</w:t>
            </w:r>
          </w:p>
        </w:tc>
        <w:tc>
          <w:tcPr>
            <w:tcW w:w="1308" w:type="dxa"/>
            <w:vAlign w:val="center"/>
          </w:tcPr>
          <w:p w14:paraId="5987C221">
            <w:pPr>
              <w:adjustRightInd w:val="0"/>
              <w:snapToGrid w:val="0"/>
              <w:spacing w:line="56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图形工作站</w:t>
            </w:r>
          </w:p>
        </w:tc>
        <w:tc>
          <w:tcPr>
            <w:tcW w:w="637" w:type="dxa"/>
            <w:vAlign w:val="center"/>
          </w:tcPr>
          <w:p w14:paraId="3079C680">
            <w:pPr>
              <w:widowControl/>
              <w:jc w:val="center"/>
              <w:textAlignment w:val="center"/>
              <w:rPr>
                <w:rFonts w:ascii="宋体" w:hAnsi="宋体" w:cs="宋体"/>
                <w:color w:val="auto"/>
                <w:szCs w:val="21"/>
              </w:rPr>
            </w:pPr>
            <w:r>
              <w:rPr>
                <w:rFonts w:hint="eastAsia" w:ascii="宋体" w:hAnsi="宋体" w:cs="宋体"/>
                <w:color w:val="auto"/>
                <w:szCs w:val="21"/>
              </w:rPr>
              <w:t>20</w:t>
            </w:r>
          </w:p>
        </w:tc>
        <w:tc>
          <w:tcPr>
            <w:tcW w:w="538" w:type="dxa"/>
            <w:vAlign w:val="center"/>
          </w:tcPr>
          <w:p w14:paraId="45FEA56A">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5800" w:type="dxa"/>
            <w:vAlign w:val="center"/>
          </w:tcPr>
          <w:p w14:paraId="23889EC6">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一、硬件配置：</w:t>
            </w:r>
          </w:p>
          <w:p w14:paraId="78F3E87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1、塔式图形工作站，非组装机；</w:t>
            </w:r>
          </w:p>
          <w:p w14:paraId="3FC2384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Segoe UI Symbol" w:hAnsi="Segoe UI Symbol" w:cs="Segoe UI Symbol"/>
                <w:bCs/>
                <w:color w:val="auto"/>
                <w:szCs w:val="21"/>
              </w:rPr>
              <w:t>▲</w:t>
            </w:r>
            <w:r>
              <w:rPr>
                <w:rFonts w:hint="eastAsia" w:asciiTheme="minorEastAsia" w:hAnsiTheme="minorEastAsia" w:eastAsiaTheme="minorEastAsia" w:cstheme="minorEastAsia"/>
                <w:color w:val="auto"/>
                <w:szCs w:val="21"/>
              </w:rPr>
              <w:t>2、CPU：</w:t>
            </w:r>
            <w:r>
              <w:rPr>
                <w:rFonts w:hint="eastAsia"/>
                <w:color w:val="auto"/>
                <w:lang w:eastAsia="zh-CN"/>
              </w:rPr>
              <w:t>参照或相当于</w:t>
            </w:r>
            <w:r>
              <w:rPr>
                <w:rFonts w:hint="eastAsia" w:asciiTheme="minorEastAsia" w:hAnsiTheme="minorEastAsia" w:eastAsiaTheme="minorEastAsia" w:cstheme="minorEastAsia"/>
                <w:color w:val="auto"/>
                <w:szCs w:val="21"/>
              </w:rPr>
              <w:t>Ultra7 265新一代20核20线程同档次或以上AI处理器，内置‌嵌入式神经网络单元NPU，可高效运行新一代AI增强型软件；配备智能散热系统（由BIOS管理的智能风扇通过对机箱内部的温度感应来调节风扇速度）；</w:t>
            </w:r>
          </w:p>
          <w:p w14:paraId="5EFC1076">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Segoe UI Symbol" w:hAnsi="Segoe UI Symbol" w:cs="Segoe UI Symbol"/>
                <w:bCs/>
                <w:color w:val="auto"/>
                <w:szCs w:val="21"/>
              </w:rPr>
              <w:t>▲</w:t>
            </w:r>
            <w:r>
              <w:rPr>
                <w:rFonts w:hint="eastAsia" w:asciiTheme="minorEastAsia" w:hAnsiTheme="minorEastAsia" w:eastAsiaTheme="minorEastAsia" w:cstheme="minorEastAsia"/>
                <w:color w:val="auto"/>
                <w:szCs w:val="21"/>
              </w:rPr>
              <w:t>3、主板</w:t>
            </w:r>
            <w:r>
              <w:rPr>
                <w:rFonts w:hint="eastAsia" w:asciiTheme="minorEastAsia" w:hAnsiTheme="minorEastAsia" w:eastAsiaTheme="minorEastAsia" w:cstheme="minorEastAsia"/>
                <w:color w:val="auto"/>
                <w:szCs w:val="21"/>
              </w:rPr>
              <w:t>：</w:t>
            </w:r>
            <w:r>
              <w:rPr>
                <w:rFonts w:hint="eastAsia"/>
                <w:color w:val="auto"/>
                <w:lang w:eastAsia="zh-CN"/>
              </w:rPr>
              <w:t>参照或相当于</w:t>
            </w:r>
            <w:r>
              <w:rPr>
                <w:rFonts w:hint="eastAsia" w:asciiTheme="minorEastAsia" w:hAnsiTheme="minorEastAsia" w:eastAsiaTheme="minorEastAsia" w:cstheme="minorEastAsia"/>
                <w:color w:val="auto"/>
                <w:szCs w:val="21"/>
              </w:rPr>
              <w:t>英</w:t>
            </w:r>
            <w:r>
              <w:rPr>
                <w:rFonts w:hint="eastAsia" w:asciiTheme="minorEastAsia" w:hAnsiTheme="minorEastAsia" w:eastAsiaTheme="minorEastAsia" w:cstheme="minorEastAsia"/>
                <w:color w:val="auto"/>
                <w:szCs w:val="21"/>
              </w:rPr>
              <w:t xml:space="preserve">特尔Q870同档次或以上芯片组主板。配置≥1个M.2 2230（用于WLAN），≥2个PCIe3x1，≥1个PCIe5x16，≥1个PCIe3x16，≥3个M.2 2280（用于存储），方便后期升级； </w:t>
            </w:r>
          </w:p>
          <w:p w14:paraId="0387C39A">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Segoe UI Symbol" w:hAnsi="Segoe UI Symbol" w:cs="Segoe UI Symbol"/>
                <w:bCs/>
                <w:color w:val="auto"/>
                <w:szCs w:val="21"/>
              </w:rPr>
              <w:t>▲</w:t>
            </w:r>
            <w:r>
              <w:rPr>
                <w:rFonts w:hint="eastAsia" w:asciiTheme="minorEastAsia" w:hAnsiTheme="minorEastAsia" w:eastAsiaTheme="minorEastAsia" w:cstheme="minorEastAsia"/>
                <w:color w:val="auto"/>
                <w:szCs w:val="21"/>
              </w:rPr>
              <w:t>4、内存：≥16GB DDR5 5600，数据传输率最高可达 5600MT/s，4条内存插槽，最高支持128GB DDR5 5600扩容；</w:t>
            </w:r>
          </w:p>
          <w:p w14:paraId="28A83263">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5、硬盘：≥512GB NVMe M.2固态硬盘，内置硬盘端对端侦错模块。为响应国家信息安全政策及保障用户的数据安全；</w:t>
            </w:r>
          </w:p>
          <w:p w14:paraId="2626DAA1">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Segoe UI Symbol" w:hAnsi="Segoe UI Symbol" w:cs="Segoe UI Symbol"/>
                <w:bCs/>
                <w:color w:val="auto"/>
                <w:szCs w:val="21"/>
              </w:rPr>
              <w:t>▲</w:t>
            </w:r>
            <w:r>
              <w:rPr>
                <w:rFonts w:hint="eastAsia" w:asciiTheme="minorEastAsia" w:hAnsiTheme="minorEastAsia" w:eastAsiaTheme="minorEastAsia" w:cstheme="minorEastAsia"/>
                <w:color w:val="auto"/>
                <w:szCs w:val="21"/>
              </w:rPr>
              <w:t>6、显卡：原厂预装≥6GB显存同档次或以上高性能显卡；</w:t>
            </w:r>
          </w:p>
          <w:p w14:paraId="6BBF2FFD">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7、电源：≥500W高效节能电源；</w:t>
            </w:r>
          </w:p>
          <w:p w14:paraId="1580EA82">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Segoe UI Symbol" w:hAnsi="Segoe UI Symbol" w:cs="Segoe UI Symbol"/>
                <w:bCs/>
                <w:color w:val="auto"/>
                <w:szCs w:val="21"/>
              </w:rPr>
              <w:t>▲</w:t>
            </w:r>
            <w:r>
              <w:rPr>
                <w:rFonts w:hint="eastAsia" w:asciiTheme="minorEastAsia" w:hAnsiTheme="minorEastAsia" w:eastAsiaTheme="minorEastAsia" w:cstheme="minorEastAsia"/>
                <w:color w:val="auto"/>
                <w:szCs w:val="21"/>
              </w:rPr>
              <w:t>8、接口：USB接口≥11个（包含USB Type-C、USB Type-A两种接口）。其中前置≥2个SuperSpeed USB Type-C 20Gbps信率接口，≥4个SuperSpeed USB Type-A 10Gbps信率接口；后置≥1个音频输入/输出端口，≥2个DisplayPort2.1视频接口，≥1个HDMI2.1视频接口。智能屏蔽USB接口，可以对USB口进行加密功能，支持USB接口单个禁用功能，可实现禁止存储类设备，开放非存储类设备，确保数据安全；</w:t>
            </w:r>
          </w:p>
          <w:p w14:paraId="069C67E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9、主机箱：通用立式机箱，体积≥16L，高效散热静音，整机具有高温报警功能；具备计算机系统优化及带多向风扇的计算机系统技术；免工具开启机箱面板，机箱后部预留有机箱安全锁位孔；</w:t>
            </w:r>
          </w:p>
          <w:p w14:paraId="72EEC4FD">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10、显示器：与主机同品牌≥23.8英寸宽屏液晶显示器，分辨率1920x1080；</w:t>
            </w:r>
          </w:p>
          <w:p w14:paraId="452BF6DD">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11、其他配件：抗菌USB键盘，抗菌光电USB鼠标。</w:t>
            </w:r>
          </w:p>
          <w:p w14:paraId="4A6581B1">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二、软件要求：</w:t>
            </w:r>
          </w:p>
          <w:p w14:paraId="4C7D3F9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1、操作系统：出厂预装正版Win11系统；</w:t>
            </w:r>
          </w:p>
          <w:p w14:paraId="3EAAA12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2、BIOS保护技术（BIOSphere Gen3），增强防御针对BIOS的病毒攻击和其他安全威胁，帮助防止丢失数据和大幅缩短故障停机时间，可通过BIOS进行开启与静音；</w:t>
            </w:r>
          </w:p>
          <w:p w14:paraId="52F29124">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Segoe UI Symbol" w:hAnsi="Segoe UI Symbol" w:cs="Segoe UI Symbol"/>
                <w:bCs/>
                <w:color w:val="auto"/>
                <w:szCs w:val="21"/>
              </w:rPr>
              <w:t>▲</w:t>
            </w:r>
            <w:r>
              <w:rPr>
                <w:rFonts w:hint="eastAsia" w:asciiTheme="minorEastAsia" w:hAnsiTheme="minorEastAsia" w:eastAsiaTheme="minorEastAsia" w:cstheme="minorEastAsia"/>
                <w:color w:val="auto"/>
                <w:szCs w:val="21"/>
              </w:rPr>
              <w:t>3、提供专业图形计算器软件（投标时提供软件界面截图并盖供应商公章）。内置多种应用，包括函数、数列、参数、几何、极坐标、求解器、探索器、电子表格、矩阵、列表、程序等功能，满足师生需求；计算器具备高级绘图功能，可绘制X-Y平面的数学表达式，如不等式等；可实现CAS与非CAS快速自由切换；支持导入图片，并在多个app中对导入的图片进行分析；函数应用中可手触法对函数图像进行缩放，函数表达式可随之变化</w:t>
            </w:r>
          </w:p>
          <w:p w14:paraId="4680A52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Segoe UI Symbol" w:hAnsi="Segoe UI Symbol" w:cs="Segoe UI Symbol"/>
                <w:bCs/>
                <w:color w:val="auto"/>
                <w:szCs w:val="21"/>
              </w:rPr>
              <w:t>▲</w:t>
            </w:r>
            <w:r>
              <w:rPr>
                <w:rFonts w:hint="eastAsia" w:asciiTheme="minorEastAsia" w:hAnsiTheme="minorEastAsia" w:eastAsiaTheme="minorEastAsia" w:cstheme="minorEastAsia"/>
                <w:color w:val="auto"/>
                <w:szCs w:val="21"/>
              </w:rPr>
              <w:t>4、云管理软件功能：</w:t>
            </w:r>
          </w:p>
          <w:p w14:paraId="08A06CE1">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（1）支持2块硬盘的保护和同传，每块硬盘都支持安装操作系统；</w:t>
            </w:r>
          </w:p>
          <w:p w14:paraId="5539274A">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（2）支持同时安装24个操作系统；</w:t>
            </w:r>
          </w:p>
          <w:p w14:paraId="7EB40513">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（3）在2块硬盘上最大可同时支持40个分区（含启动分区、数据分区）；</w:t>
            </w:r>
          </w:p>
          <w:p w14:paraId="009BFCB4">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（4）支持可由任意一台主机发起网络拷贝、增量拷贝和临时部署；</w:t>
            </w:r>
          </w:p>
          <w:p w14:paraId="37CE115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（5）网络传输速度标值：千兆网卡 7GB-15GB/Min；</w:t>
            </w:r>
          </w:p>
          <w:p w14:paraId="7BEFF7E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（6）支持断点续传功能：支持多种情况的断点续传功能；</w:t>
            </w:r>
          </w:p>
          <w:p w14:paraId="628F906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（7）支持网络故障定位：支持网络故障定位，便于排查；</w:t>
            </w:r>
          </w:p>
          <w:p w14:paraId="1DE60C1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（8）支持在局域网内分组管理，为多个系统分配不同的IP；</w:t>
            </w:r>
          </w:p>
          <w:p w14:paraId="2D88C618">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（9）支持硬盘容量差异网络拷贝；</w:t>
            </w:r>
          </w:p>
          <w:p w14:paraId="18965EC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（10）支持6秒内的物理掉线(断路)可自动恢复；</w:t>
            </w:r>
          </w:p>
          <w:p w14:paraId="3DF4BCD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（11）支持网络传输数据加密（投标时提供功能截图）；</w:t>
            </w:r>
          </w:p>
          <w:p w14:paraId="77429284">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（12）网络克隆维护：在局域网络内一次最多可传输254台客户端；</w:t>
            </w:r>
          </w:p>
          <w:p w14:paraId="65B6ADF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（13）支持主流的DOS/Win7/Win8/Win10/Win11/Linux等操作系统；</w:t>
            </w:r>
          </w:p>
          <w:p w14:paraId="5234726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（14）可以从底层控制U盘和光盘的使用，防止病毒的带入；</w:t>
            </w:r>
          </w:p>
          <w:p w14:paraId="1FB74146">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（15）支持定制软件界面；</w:t>
            </w:r>
          </w:p>
          <w:p w14:paraId="2EB1D65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（16）支持远程唤醒、远程重启、远程锁定、远程关机等；</w:t>
            </w:r>
          </w:p>
          <w:p w14:paraId="0FCB0A3C">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（17）可通过设备管理列表查询当前运行状态下所有固定资产设备的明细信息；</w:t>
            </w:r>
          </w:p>
          <w:p w14:paraId="45020874">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（18）详细记录每一种设备所属的设备类型、制造开发商、在当前物理架构上所处的位置、当前设备运行状态（投标时提供功能截图）；</w:t>
            </w:r>
          </w:p>
          <w:p w14:paraId="22468C58">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（19）提供硬件设备驱动程序级别的更新功能，同时具备对应的数字签名者、程序版本、程序日期及对应的供应商信息（投标时提供功能截图）；</w:t>
            </w:r>
          </w:p>
          <w:p w14:paraId="77A3B242">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（20）视觉效果调优，可根据实际需求调节功能外观和性能设置（投标时提供功能截图）；</w:t>
            </w:r>
          </w:p>
          <w:p w14:paraId="1B4DB5D4">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（21）计算资源和虚拟内存分配，根据不同的应用场景分配当前的计算资源及虚拟内存资源（投标时提供功能截图，）；</w:t>
            </w:r>
          </w:p>
          <w:p w14:paraId="24AE9062">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（22）提供专业级别的数据执行保护功能，以免受病毒攻击或其他安全威胁的破坏（投标时提供功能截图）。</w:t>
            </w:r>
          </w:p>
          <w:p w14:paraId="5CB01288">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Segoe UI Symbol" w:hAnsi="Segoe UI Symbol" w:cs="Segoe UI Symbol"/>
                <w:bCs/>
                <w:color w:val="auto"/>
                <w:szCs w:val="21"/>
              </w:rPr>
              <w:t>▲</w:t>
            </w:r>
            <w:r>
              <w:rPr>
                <w:rFonts w:hint="eastAsia" w:asciiTheme="minorEastAsia" w:hAnsiTheme="minorEastAsia" w:eastAsiaTheme="minorEastAsia" w:cstheme="minorEastAsia"/>
                <w:color w:val="auto"/>
                <w:szCs w:val="21"/>
              </w:rPr>
              <w:t>三、教学软件要求</w:t>
            </w:r>
          </w:p>
          <w:p w14:paraId="2B7AD96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1.技术要求</w:t>
            </w:r>
          </w:p>
          <w:p w14:paraId="2FAAC54C">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（1）.纯软件产品，安装部署快捷，升级简易方便，全中文人性化界面设计，配有详细的在线帮助，支持主窗口功能按钮、浮动工具条、右键菜单、快捷键多项操作方式。</w:t>
            </w:r>
          </w:p>
          <w:p w14:paraId="421F216C">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采用核心的动态局部截屏及实时压缩技术，在网络条件较差时亦能体现良好的性能；可根据网络条件调节网络补偿强度，根据广播内容调节广播及录制效率，使广播达到最佳效果，即使广播多媒体课件，3D，甚至大型游戏界面，也可达到实时流畅的效果，支持DirectDraw、Direct3D、 Overlay、OpenGL等特殊显示方式。屏幕广播响应时间&lt;0.4秒。</w:t>
            </w:r>
          </w:p>
          <w:p w14:paraId="380A6F24">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（3）.采用流媒体技术，流畅无延时，文件清晰度无损耗，支持常见的媒体音视频格式， Windows Media文件，VCD文件，DVD文件，Real文件，AVI文件，MP3等主流文件格式，支持720p、1080p的高清视频。</w:t>
            </w:r>
          </w:p>
          <w:p w14:paraId="430463C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（4）.防杀进程、断线保护、卸载密码保护等辅助功能维护教学秩序。</w:t>
            </w:r>
          </w:p>
          <w:p w14:paraId="2EC1034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（5）.文件分发和提交必须支持拖拽添加文件，可添加不同目录下的文件或文件目录。</w:t>
            </w:r>
          </w:p>
          <w:p w14:paraId="37A5573C">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2.功能要求</w:t>
            </w:r>
          </w:p>
          <w:p w14:paraId="25CC226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（1）.屏幕广播：将教师机屏幕和教师讲话实时广播给单一、部分或全体学生，可选择全屏或窗口方式。窗口模式下或教师机与学生机分辨率不同情况下，学生机可以以不同的窗口方式接收广播。</w:t>
            </w:r>
          </w:p>
          <w:p w14:paraId="1A054F8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（2）.屏幕广播速度增强：屏幕广播时支持多种画面质量的调节，根据网络的不同选择最好的效果进行教学。</w:t>
            </w:r>
          </w:p>
          <w:p w14:paraId="5A7FB94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（3）.屏幕笔：教师教学使用的辅助工具，突出显示项目、添加注释，添加批注等等。</w:t>
            </w:r>
          </w:p>
          <w:p w14:paraId="6A13078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（4）.共享白板：教师可共享白板、桌面或图片与选定的学生共同完成相同的学习任务或绘画作品，提供学生也可以单独完成。</w:t>
            </w:r>
          </w:p>
          <w:p w14:paraId="065ABA7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（5）.网络影院：实现教师机播放的视频同步广播到学生机。</w:t>
            </w:r>
          </w:p>
          <w:p w14:paraId="3D7DEB4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（6）.视频直播：通过USB摄像头将教师的画面实时广播到学生机，达到更形象的教学效果，具有引导客户选择视频设备的提示画面，以便客户快速完成摄像头设备的设置。</w:t>
            </w:r>
          </w:p>
          <w:p w14:paraId="72AB055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（7）.语音广播：将教师机麦克风的声音广播给学生，教学过程中，可以请任何一位已登录的学生发言，其他学生和教师收听该学生发言。</w:t>
            </w:r>
          </w:p>
          <w:p w14:paraId="26EA6C0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（8）.语音对讲：教师可以选择任意一名已登录学生与其进行双向语音交谈，除教师和此学生外，其他学生不会受到干扰，可以动态切换对讲对象。</w:t>
            </w:r>
          </w:p>
          <w:p w14:paraId="143BCFF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（9）.学生演示：教师可选定一台学生机作为示范，由此学生代替教师进行示范教学。</w:t>
            </w:r>
          </w:p>
          <w:p w14:paraId="695778B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（10）.分组教学：教师分派组长执行指定的功能，组长代替教师进行小组教学，小组不需要再临时创建，可以直接使用既有分组信息，教师可以监控每个分组的教学过程，以了解分组教学的进度。</w:t>
            </w:r>
          </w:p>
          <w:p w14:paraId="45F2634B">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（11）.分组讨论：教师可以创建多个小组进行讨论活动，并可任意选择分组加入讨论活动。同组师生支持多种方式进行交流，包括文字，表情，图片等。</w:t>
            </w:r>
          </w:p>
          <w:p w14:paraId="4C892C9C">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（12）.屏幕录制：教师机可以将本地的操作和讲解过程录制为ASF录像文件，可以用 Windows 自带的 Media Player 直接播放。</w:t>
            </w:r>
          </w:p>
          <w:p w14:paraId="1C227C94">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（13）.学生端屏幕录制、回放：学生端接收教师端广播的时候可以自动录制教师机广播教学的过程，课后可以重复观看学习。</w:t>
            </w:r>
          </w:p>
          <w:p w14:paraId="32BD180A">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（14）.文件分发：允许教师将教师机不同盘符中的目录或文件一起发送至生机的某目录下。目录不存在自动新建此目录；盘符不存在或路径非法不允许分发；文件已存在选择自动覆盖或保留原始文件。</w:t>
            </w:r>
          </w:p>
          <w:p w14:paraId="3C9430D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15）.作业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14:paraId="6595618A">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（16）.网络快照：教师可以在监控学生的时候，对学生画面拍快照，保存学生画面的截图。</w:t>
            </w:r>
          </w:p>
          <w:p w14:paraId="47CF3701">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（17）.屏幕监视：教师机可以监视单一、部分、全体学生机的屏幕，教师机每屏可监视多个学生屏幕（最多36个）。可以控制教师机监控的同屏幕各窗口间、屏幕与屏幕间的切换速度。可手动或自动循环监视。</w:t>
            </w:r>
          </w:p>
          <w:p w14:paraId="648E812D">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（18）.多频道教学：支持多达32个频道的划分，一个教师可对单个班级或多个班级同时上课；多个教师可同时对多个班级进行不同内容的教学。</w:t>
            </w:r>
          </w:p>
          <w:p w14:paraId="1617150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（19）.试卷编辑：教师能够在家中编辑试题，试题类型支持单选、多选、判断、简答，可插入图片，设置试卷名称、教师名称、班级、考试时间和总分。</w:t>
            </w:r>
          </w:p>
          <w:p w14:paraId="66734566">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20）.开始考试：教师将试卷分发给学生即可开始考试，考试过程中可以教师如有问题补充，可暂停考试，在特殊情况下，可以暂挂考试，下次启动系统后可继续考试；考试过程中如有断电、关机等意外情况学生机可断线重连，考试结束后学生可提交或时间到自动提交。</w:t>
            </w:r>
          </w:p>
          <w:p w14:paraId="1D4F05C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（21）.阅卷评分：收取的试卷系统可自动评分，教师添加批注，查看柱状图显示的考试统计结果，并能够将评分结果以网页形式发送给相应的学生。</w:t>
            </w:r>
          </w:p>
          <w:p w14:paraId="3C856D1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（22）.答题卡考试：教师导入word、ppt、excel、pdf等文档类型的考试内容共享给学生，直接生成答题卡用于学生作答，包含多种不同的题型：多选题，判断题，填空题和论述题。</w:t>
            </w:r>
          </w:p>
          <w:p w14:paraId="3674101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（23）.抢答竞赛：教师可以出任意题目请学生作答，学生抢答时只需按下按钮即可，作答正确“星星”奖励，并可升级为月亮和太阳，吸引学生注意力，主动参与活动。</w:t>
            </w:r>
          </w:p>
          <w:p w14:paraId="03E5B11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（24）.随堂小考：教师启动快速的单题考试或随堂调查，限定考试时间，学生答题后立即给出结果，结果显示学生答案柱状图分析和答题时间，可作为抢答依据。</w:t>
            </w:r>
          </w:p>
          <w:p w14:paraId="4C6C85F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（25）.签到：提供学生名单管理工具，为软件和考试模块提供实名验证。提供点名功能，支持保留学生多次登录记录、考勤统计、签到信息的导出与对比。</w:t>
            </w:r>
          </w:p>
          <w:p w14:paraId="33178EB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（26）.班级模型：有单独的管理界面，实现对班级模型的统一管理，并能够导入、导出，调用不同网络教室中的班级模型。</w:t>
            </w:r>
          </w:p>
          <w:p w14:paraId="3FE4261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（27）.打印和光盘限制：对打印的权限和光盘使用做限制。</w:t>
            </w:r>
          </w:p>
          <w:p w14:paraId="43FF23A3">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（28）.U 盘限制：对U盘访问权限的设定（完全开放、只读、只写、完全限制），有效控制学生使用U盘，防止资料的流失和病毒的引入。</w:t>
            </w:r>
          </w:p>
          <w:p w14:paraId="3D8278DA">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（29）.上网限制：设定学生访问网站的黑名单或白名单，对学生可以访问的Internet站点进行管理。支持多浏览器限制，如QQ、IE、谷歌、360、遨游等浏览器。</w:t>
            </w:r>
          </w:p>
          <w:p w14:paraId="4AF2805A">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（30）.程序限制：通过各种策略的应用，可防止学生在教学过程中打游戏，或使用QQ，MSN等聊天工具，支持限制 U 盘，网络映射盘，硬盘虚拟盘，虚拟光盘，内存虚拟盘里的程序。</w:t>
            </w:r>
          </w:p>
          <w:p w14:paraId="05DE41E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（31）.学生端属性查看：教师可以获取学生端计算机的名称、登录名和其它常用信息，并可以列出学生端的应用程序、进程和进程 ID，教师还可以远程终止学生端的进程。</w:t>
            </w:r>
          </w:p>
          <w:p w14:paraId="6349D81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（32）.系统日志：显示和自动保存系统运行过程中的关键事件，包括学生登录登出，资源不足，提交文件等。</w:t>
            </w:r>
          </w:p>
          <w:p w14:paraId="2DC309B2">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（33）.远程消息：教师与学生能够使用远程消息进行交流，并可以允许和阻止学生发送文字消息。 </w:t>
            </w:r>
          </w:p>
          <w:p w14:paraId="1CBDFD41">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（34）.远程设置：远程设置学生桌面主题、桌面背景、屏幕保护方案、学生的频道号和音量、学生的卸载密码，是否启用进程保护，断线锁屏，热键退出等。</w:t>
            </w:r>
          </w:p>
          <w:p w14:paraId="6D7E24AB">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Segoe UI Symbol" w:hAnsi="Segoe UI Symbol" w:cs="Segoe UI Symbol"/>
                <w:bCs/>
                <w:color w:val="auto"/>
                <w:szCs w:val="21"/>
              </w:rPr>
              <w:t>▲</w:t>
            </w:r>
            <w:r>
              <w:rPr>
                <w:rFonts w:hint="eastAsia" w:asciiTheme="minorEastAsia" w:hAnsiTheme="minorEastAsia" w:eastAsiaTheme="minorEastAsia" w:cstheme="minorEastAsia"/>
                <w:color w:val="auto"/>
                <w:szCs w:val="21"/>
              </w:rPr>
              <w:t>四、质量及服务保障：</w:t>
            </w:r>
          </w:p>
          <w:p w14:paraId="2946206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三年原厂保修，第二日上门，365天全年无休。为保证设备的品质和服务，供货时需提供设备生产厂家针对此项目的售后服务承诺函原件。</w:t>
            </w:r>
          </w:p>
        </w:tc>
        <w:tc>
          <w:tcPr>
            <w:tcW w:w="787" w:type="dxa"/>
            <w:vAlign w:val="center"/>
          </w:tcPr>
          <w:p w14:paraId="0C4F0C47">
            <w:pPr>
              <w:adjustRightInd w:val="0"/>
              <w:snapToGrid w:val="0"/>
              <w:spacing w:line="4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工业</w:t>
            </w:r>
          </w:p>
        </w:tc>
      </w:tr>
      <w:tr w14:paraId="26B1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0" w:type="auto"/>
            <w:vAlign w:val="center"/>
          </w:tcPr>
          <w:p w14:paraId="58FF7511">
            <w:pPr>
              <w:spacing w:line="400" w:lineRule="exact"/>
              <w:jc w:val="center"/>
              <w:rPr>
                <w:rFonts w:ascii="宋体" w:hAnsi="宋体" w:cs="宋体"/>
                <w:color w:val="auto"/>
                <w:szCs w:val="21"/>
              </w:rPr>
            </w:pPr>
            <w:r>
              <w:rPr>
                <w:rFonts w:hint="eastAsia" w:ascii="宋体" w:hAnsi="宋体" w:cs="宋体"/>
                <w:color w:val="auto"/>
                <w:szCs w:val="21"/>
              </w:rPr>
              <w:t>7</w:t>
            </w:r>
          </w:p>
        </w:tc>
        <w:tc>
          <w:tcPr>
            <w:tcW w:w="1308" w:type="dxa"/>
            <w:vAlign w:val="center"/>
          </w:tcPr>
          <w:p w14:paraId="3F83AC8E">
            <w:pPr>
              <w:adjustRightInd w:val="0"/>
              <w:snapToGrid w:val="0"/>
              <w:spacing w:line="56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高清扫描仪</w:t>
            </w:r>
          </w:p>
        </w:tc>
        <w:tc>
          <w:tcPr>
            <w:tcW w:w="637" w:type="dxa"/>
            <w:vAlign w:val="center"/>
          </w:tcPr>
          <w:p w14:paraId="2C9FA699">
            <w:pPr>
              <w:widowControl/>
              <w:jc w:val="center"/>
              <w:textAlignment w:val="center"/>
              <w:rPr>
                <w:rFonts w:ascii="宋体" w:hAnsi="宋体" w:cs="宋体"/>
                <w:color w:val="auto"/>
                <w:szCs w:val="21"/>
              </w:rPr>
            </w:pPr>
            <w:r>
              <w:rPr>
                <w:rFonts w:hint="eastAsia" w:ascii="宋体" w:hAnsi="宋体" w:cs="宋体"/>
                <w:color w:val="auto"/>
                <w:szCs w:val="21"/>
              </w:rPr>
              <w:t>1</w:t>
            </w:r>
          </w:p>
        </w:tc>
        <w:tc>
          <w:tcPr>
            <w:tcW w:w="538" w:type="dxa"/>
            <w:vAlign w:val="center"/>
          </w:tcPr>
          <w:p w14:paraId="782EF6CE">
            <w:pPr>
              <w:widowControl/>
              <w:jc w:val="center"/>
              <w:textAlignment w:val="center"/>
              <w:rPr>
                <w:rFonts w:ascii="宋体" w:hAnsi="宋体" w:cs="宋体"/>
                <w:color w:val="auto"/>
                <w:szCs w:val="21"/>
              </w:rPr>
            </w:pPr>
            <w:r>
              <w:rPr>
                <w:rFonts w:hint="eastAsia" w:ascii="宋体" w:hAnsi="宋体" w:cs="宋体"/>
                <w:color w:val="auto"/>
                <w:szCs w:val="21"/>
              </w:rPr>
              <w:t>台</w:t>
            </w:r>
          </w:p>
        </w:tc>
        <w:tc>
          <w:tcPr>
            <w:tcW w:w="5800" w:type="dxa"/>
            <w:vAlign w:val="center"/>
          </w:tcPr>
          <w:p w14:paraId="41CA0D9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1、A1幅面；</w:t>
            </w:r>
          </w:p>
          <w:p w14:paraId="7A772B0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2、扫描速度 </w:t>
            </w:r>
          </w:p>
          <w:p w14:paraId="6852C99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彩色</w:t>
            </w:r>
            <w:r>
              <w:rPr>
                <w:rStyle w:val="30"/>
                <w:rFonts w:ascii="Arial" w:hAnsi="Arial" w:cs="Arial"/>
                <w:b w:val="0"/>
                <w:bCs w:val="0"/>
                <w:color w:val="auto"/>
                <w:shd w:val="clear" w:color="auto" w:fill="FFFFFF"/>
              </w:rPr>
              <w:t>≥</w:t>
            </w:r>
            <w:r>
              <w:rPr>
                <w:rFonts w:ascii="Arial" w:hAnsi="Arial" w:cs="Arial"/>
                <w:color w:val="auto"/>
                <w:shd w:val="clear" w:color="auto" w:fill="FFFFFF"/>
              </w:rPr>
              <w:t>‌</w:t>
            </w:r>
            <w:r>
              <w:rPr>
                <w:rFonts w:hint="eastAsia" w:asciiTheme="minorEastAsia" w:hAnsiTheme="minorEastAsia" w:eastAsiaTheme="minorEastAsia" w:cstheme="minorEastAsia"/>
                <w:color w:val="auto"/>
                <w:szCs w:val="21"/>
              </w:rPr>
              <w:t>1英寸/秒</w:t>
            </w:r>
          </w:p>
          <w:p w14:paraId="2FC9CF2B">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灰度</w:t>
            </w:r>
            <w:r>
              <w:rPr>
                <w:rStyle w:val="30"/>
                <w:rFonts w:ascii="Arial" w:hAnsi="Arial" w:cs="Arial"/>
                <w:b w:val="0"/>
                <w:bCs w:val="0"/>
                <w:color w:val="auto"/>
                <w:shd w:val="clear" w:color="auto" w:fill="FFFFFF"/>
              </w:rPr>
              <w:t>≥</w:t>
            </w:r>
            <w:r>
              <w:rPr>
                <w:rFonts w:ascii="Arial" w:hAnsi="Arial" w:cs="Arial"/>
                <w:color w:val="auto"/>
                <w:shd w:val="clear" w:color="auto" w:fill="FFFFFF"/>
              </w:rPr>
              <w:t>‌</w:t>
            </w:r>
            <w:r>
              <w:rPr>
                <w:rFonts w:hint="eastAsia" w:asciiTheme="minorEastAsia" w:hAnsiTheme="minorEastAsia" w:eastAsiaTheme="minorEastAsia" w:cstheme="minorEastAsia"/>
                <w:color w:val="auto"/>
                <w:szCs w:val="21"/>
              </w:rPr>
              <w:t>3英寸/秒</w:t>
            </w:r>
          </w:p>
          <w:p w14:paraId="37EA1DC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3、扫描分辨率：600dpi；</w:t>
            </w:r>
          </w:p>
          <w:p w14:paraId="0A5C1D16">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4、最大扫描尺寸：610mm×2.77m（24×109英寸）</w:t>
            </w:r>
          </w:p>
          <w:p w14:paraId="23CE3BE3">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5、内存：1G</w:t>
            </w:r>
          </w:p>
          <w:p w14:paraId="545E5B2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6、接口：千兆以太网，Wi-Fi 802.11 b/g/n，Wi-Fi Direct;</w:t>
            </w:r>
          </w:p>
          <w:p w14:paraId="6EBD773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7、通过3C认证，质保一年。</w:t>
            </w:r>
          </w:p>
        </w:tc>
        <w:tc>
          <w:tcPr>
            <w:tcW w:w="787" w:type="dxa"/>
            <w:vAlign w:val="center"/>
          </w:tcPr>
          <w:p w14:paraId="3BD355A9">
            <w:pPr>
              <w:adjustRightInd w:val="0"/>
              <w:snapToGrid w:val="0"/>
              <w:spacing w:line="4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工业</w:t>
            </w:r>
          </w:p>
        </w:tc>
      </w:tr>
      <w:tr w14:paraId="3135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0" w:type="auto"/>
            <w:vAlign w:val="center"/>
          </w:tcPr>
          <w:p w14:paraId="13A5A9BD">
            <w:pPr>
              <w:spacing w:line="400" w:lineRule="exact"/>
              <w:jc w:val="center"/>
              <w:rPr>
                <w:rFonts w:ascii="宋体" w:hAnsi="宋体" w:cs="宋体"/>
                <w:color w:val="auto"/>
                <w:szCs w:val="21"/>
              </w:rPr>
            </w:pPr>
            <w:r>
              <w:rPr>
                <w:rFonts w:hint="eastAsia" w:ascii="宋体" w:hAnsi="宋体" w:cs="宋体"/>
                <w:color w:val="auto"/>
                <w:szCs w:val="21"/>
              </w:rPr>
              <w:t>8</w:t>
            </w:r>
          </w:p>
        </w:tc>
        <w:tc>
          <w:tcPr>
            <w:tcW w:w="1308" w:type="dxa"/>
            <w:vAlign w:val="center"/>
          </w:tcPr>
          <w:p w14:paraId="4BBBE74D">
            <w:pPr>
              <w:adjustRightInd w:val="0"/>
              <w:snapToGrid w:val="0"/>
              <w:spacing w:line="56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实训室配套</w:t>
            </w:r>
          </w:p>
        </w:tc>
        <w:tc>
          <w:tcPr>
            <w:tcW w:w="637" w:type="dxa"/>
            <w:vAlign w:val="center"/>
          </w:tcPr>
          <w:p w14:paraId="0C5EBAB1">
            <w:pPr>
              <w:widowControl/>
              <w:jc w:val="center"/>
              <w:textAlignment w:val="center"/>
              <w:rPr>
                <w:rFonts w:ascii="宋体" w:hAnsi="宋体" w:cs="宋体"/>
                <w:color w:val="auto"/>
                <w:szCs w:val="21"/>
              </w:rPr>
            </w:pPr>
            <w:r>
              <w:rPr>
                <w:rFonts w:hint="eastAsia" w:ascii="宋体" w:hAnsi="宋体" w:cs="宋体"/>
                <w:color w:val="auto"/>
                <w:szCs w:val="21"/>
              </w:rPr>
              <w:t>1</w:t>
            </w:r>
          </w:p>
        </w:tc>
        <w:tc>
          <w:tcPr>
            <w:tcW w:w="538" w:type="dxa"/>
            <w:vAlign w:val="center"/>
          </w:tcPr>
          <w:p w14:paraId="685F2A4E">
            <w:pPr>
              <w:widowControl/>
              <w:jc w:val="center"/>
              <w:textAlignment w:val="center"/>
              <w:rPr>
                <w:rFonts w:ascii="宋体" w:hAnsi="宋体" w:cs="宋体"/>
                <w:color w:val="auto"/>
                <w:szCs w:val="21"/>
              </w:rPr>
            </w:pPr>
            <w:r>
              <w:rPr>
                <w:rFonts w:hint="eastAsia" w:ascii="宋体" w:hAnsi="宋体" w:cs="宋体"/>
                <w:color w:val="auto"/>
                <w:szCs w:val="21"/>
              </w:rPr>
              <w:t>套</w:t>
            </w:r>
          </w:p>
        </w:tc>
        <w:tc>
          <w:tcPr>
            <w:tcW w:w="5800" w:type="dxa"/>
            <w:vAlign w:val="center"/>
          </w:tcPr>
          <w:p w14:paraId="3EEA4F2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1、电源插座/插线板20套</w:t>
            </w:r>
          </w:p>
          <w:p w14:paraId="1804EF5A">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2、音响设备：包含无线话筒、音箱</w:t>
            </w:r>
          </w:p>
          <w:p w14:paraId="5C2EF2B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3、通风设备：根据教室结构定制教室排气系统</w:t>
            </w:r>
          </w:p>
          <w:p w14:paraId="32BEFB4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4、其他</w:t>
            </w:r>
          </w:p>
          <w:p w14:paraId="2C877FFC">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千兆24口交换机2台</w:t>
            </w:r>
          </w:p>
          <w:p w14:paraId="561AE6F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1)24个10/100/1000BASE-T电口，个1GBASE-XSFP端口</w:t>
            </w:r>
          </w:p>
          <w:p w14:paraId="1A2EC12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2)金属外壳，标准1U设备，可上架19寸机柜安装</w:t>
            </w:r>
          </w:p>
          <w:p w14:paraId="52350C31">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3)交换容量≥336Gbps,包转发率≥90Mpps</w:t>
            </w:r>
          </w:p>
          <w:p w14:paraId="22FDFB25">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加厚机柜1个</w:t>
            </w:r>
          </w:p>
          <w:p w14:paraId="61AC7D7D">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1)规格（单位cm）：黑色600*600*1200</w:t>
            </w:r>
          </w:p>
          <w:p w14:paraId="7B6F244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2)标准配置：前钢化玻璃门，后散热钢板门</w:t>
            </w:r>
          </w:p>
          <w:p w14:paraId="3875F46D">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千兆非屏蔽六类网线3箱</w:t>
            </w:r>
          </w:p>
          <w:p w14:paraId="72575C5B">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1)最大单段长度米):100M</w:t>
            </w:r>
          </w:p>
          <w:p w14:paraId="50F185AC">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2)传输速率Mbps):1000Mbps</w:t>
            </w:r>
          </w:p>
          <w:p w14:paraId="3B7BFB7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3)包装长度米):305米</w:t>
            </w:r>
          </w:p>
          <w:p w14:paraId="121D5C87">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4)十字骨架分隔结构提供真正的6类性能</w:t>
            </w:r>
          </w:p>
          <w:p w14:paraId="204E8006">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5)性能超过TIA/EIA568B.2六类标准</w:t>
            </w:r>
          </w:p>
          <w:p w14:paraId="11D1DC8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六类非屏蔽水晶头1包</w:t>
            </w:r>
          </w:p>
          <w:p w14:paraId="1089EED8">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1)符合ANSI/TIA-568.2-D和ISO/IEC11801-2017标准</w:t>
            </w:r>
          </w:p>
          <w:p w14:paraId="28AFE0A4">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2)插拔次数≥1000次</w:t>
            </w:r>
          </w:p>
          <w:p w14:paraId="1A54745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3)采用三叉簧片设计、磷青铜镀金材料</w:t>
            </w:r>
          </w:p>
          <w:p w14:paraId="73557C7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4)支持语音、数据、视频信号高速传输</w:t>
            </w:r>
          </w:p>
          <w:p w14:paraId="23454BA1">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强、弱电线槽150米</w:t>
            </w:r>
          </w:p>
          <w:p w14:paraId="7DF593A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1)PVC材质</w:t>
            </w:r>
          </w:p>
          <w:p w14:paraId="69E28E16">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2)规格（单位mm）：60*40</w:t>
            </w:r>
          </w:p>
          <w:p w14:paraId="5459B05D">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电源线200米</w:t>
            </w:r>
          </w:p>
          <w:p w14:paraId="75168240">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1)抗张强度比一般PVC电线大：一般PVC电线抗张强度大于1.05Kgf/mm²,而低烟无卤电线抗张强度大于1.2Kgf/mm²;具有良好的耐温性-30℃~105℃；</w:t>
            </w:r>
          </w:p>
          <w:p w14:paraId="42894CA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2)燃烧时不会产生有毒黑烟会产生少量白色烟雾；</w:t>
            </w:r>
          </w:p>
          <w:p w14:paraId="0391CCFC">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3)具有较高的体积电阻率：PVC电线一般为1012～1015Ω/cm²,低烟无卤电线大于1016Ω/cm³；</w:t>
            </w:r>
          </w:p>
          <w:p w14:paraId="6A54CF3F">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4)具有良好的耐高压特性：PVC电线一般耐10KV以上，而低烟无卤电线高达15KV以上；</w:t>
            </w:r>
          </w:p>
          <w:p w14:paraId="64577663">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音频、音箱、话筒线50米</w:t>
            </w:r>
          </w:p>
          <w:p w14:paraId="4BC2B21E">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1)专业音响线，高保真音质；</w:t>
            </w:r>
          </w:p>
          <w:p w14:paraId="217E96FD">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2)纯铜2芯</w:t>
            </w:r>
          </w:p>
          <w:p w14:paraId="22A8E4A9">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3)带PVC绝缘外套</w:t>
            </w:r>
          </w:p>
          <w:p w14:paraId="562BA156">
            <w:pPr>
              <w:adjustRightInd w:val="0"/>
              <w:snapToGrid w:val="0"/>
              <w:spacing w:line="40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材料运输、工安装、调试、使用培训等。</w:t>
            </w:r>
          </w:p>
        </w:tc>
        <w:tc>
          <w:tcPr>
            <w:tcW w:w="787" w:type="dxa"/>
            <w:vAlign w:val="center"/>
          </w:tcPr>
          <w:p w14:paraId="675FBF86">
            <w:pPr>
              <w:adjustRightInd w:val="0"/>
              <w:snapToGrid w:val="0"/>
              <w:spacing w:line="40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工业</w:t>
            </w:r>
          </w:p>
        </w:tc>
      </w:tr>
      <w:tr w14:paraId="299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540" w:type="dxa"/>
            <w:gridSpan w:val="6"/>
            <w:vAlign w:val="center"/>
          </w:tcPr>
          <w:p w14:paraId="7A9CC7E3">
            <w:pPr>
              <w:widowControl/>
              <w:spacing w:line="400" w:lineRule="exact"/>
              <w:textAlignment w:val="center"/>
              <w:rPr>
                <w:rFonts w:ascii="宋体" w:hAnsi="宋体" w:cs="宋体"/>
                <w:b/>
                <w:bCs/>
                <w:color w:val="auto"/>
                <w:szCs w:val="21"/>
              </w:rPr>
            </w:pPr>
            <w:r>
              <w:rPr>
                <w:rFonts w:hint="eastAsia" w:ascii="宋体" w:hAnsi="宋体" w:cs="宋体"/>
                <w:b/>
                <w:bCs/>
                <w:color w:val="auto"/>
                <w:szCs w:val="21"/>
              </w:rPr>
              <w:t>二、</w:t>
            </w:r>
            <w:bookmarkStart w:id="30" w:name="分标1商务要求"/>
            <w:r>
              <w:rPr>
                <w:rFonts w:hint="eastAsia" w:ascii="宋体" w:hAnsi="宋体" w:cs="宋体"/>
                <w:b/>
                <w:bCs/>
                <w:color w:val="auto"/>
                <w:szCs w:val="21"/>
              </w:rPr>
              <w:t>商务要求</w:t>
            </w:r>
            <w:bookmarkEnd w:id="30"/>
          </w:p>
        </w:tc>
      </w:tr>
      <w:tr w14:paraId="4CC7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78" w:type="dxa"/>
            <w:gridSpan w:val="2"/>
            <w:vAlign w:val="center"/>
          </w:tcPr>
          <w:p w14:paraId="5205882B">
            <w:pPr>
              <w:widowControl/>
              <w:spacing w:line="400" w:lineRule="exact"/>
              <w:jc w:val="center"/>
              <w:rPr>
                <w:rFonts w:ascii="宋体" w:hAnsi="宋体" w:cs="宋体"/>
                <w:b/>
                <w:bCs/>
                <w:color w:val="auto"/>
                <w:kern w:val="1"/>
                <w:szCs w:val="21"/>
              </w:rPr>
            </w:pPr>
            <w:r>
              <w:rPr>
                <w:rFonts w:hint="eastAsia" w:ascii="宋体" w:hAnsi="宋体" w:cs="宋体"/>
                <w:b/>
                <w:bCs/>
                <w:color w:val="auto"/>
                <w:szCs w:val="21"/>
              </w:rPr>
              <w:t>合同签订时间</w:t>
            </w:r>
          </w:p>
        </w:tc>
        <w:tc>
          <w:tcPr>
            <w:tcW w:w="7762" w:type="dxa"/>
            <w:gridSpan w:val="4"/>
            <w:vAlign w:val="center"/>
          </w:tcPr>
          <w:p w14:paraId="113BE065">
            <w:pPr>
              <w:widowControl/>
              <w:spacing w:line="400" w:lineRule="exact"/>
              <w:textAlignment w:val="center"/>
              <w:rPr>
                <w:rFonts w:ascii="宋体" w:hAnsi="宋体" w:cs="宋体"/>
                <w:color w:val="auto"/>
                <w:szCs w:val="21"/>
              </w:rPr>
            </w:pPr>
            <w:r>
              <w:rPr>
                <w:rFonts w:hint="eastAsia" w:ascii="宋体" w:hAnsi="宋体" w:cs="宋体"/>
                <w:color w:val="auto"/>
                <w:szCs w:val="21"/>
              </w:rPr>
              <w:t>自成交通知书发出之日起 15 日内。</w:t>
            </w:r>
          </w:p>
        </w:tc>
      </w:tr>
      <w:tr w14:paraId="1301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78" w:type="dxa"/>
            <w:gridSpan w:val="2"/>
            <w:vAlign w:val="center"/>
          </w:tcPr>
          <w:p w14:paraId="10656D1A">
            <w:pPr>
              <w:spacing w:line="400" w:lineRule="exact"/>
              <w:jc w:val="center"/>
              <w:rPr>
                <w:rFonts w:ascii="宋体" w:hAnsi="宋体" w:cs="宋体"/>
                <w:color w:val="auto"/>
                <w:kern w:val="1"/>
                <w:szCs w:val="21"/>
              </w:rPr>
            </w:pPr>
            <w:r>
              <w:rPr>
                <w:rFonts w:hint="eastAsia" w:ascii="Segoe UI Symbol" w:hAnsi="Segoe UI Symbol" w:cs="Segoe UI Symbol"/>
                <w:bCs/>
                <w:color w:val="auto"/>
                <w:sz w:val="24"/>
              </w:rPr>
              <w:t>▲</w:t>
            </w:r>
            <w:r>
              <w:rPr>
                <w:rFonts w:hint="eastAsia" w:ascii="宋体" w:hAnsi="宋体" w:cs="宋体"/>
                <w:b/>
                <w:color w:val="auto"/>
                <w:szCs w:val="21"/>
              </w:rPr>
              <w:t>交货时间及地点</w:t>
            </w:r>
          </w:p>
        </w:tc>
        <w:tc>
          <w:tcPr>
            <w:tcW w:w="7762" w:type="dxa"/>
            <w:gridSpan w:val="4"/>
            <w:vAlign w:val="center"/>
          </w:tcPr>
          <w:p w14:paraId="598BEA69">
            <w:pPr>
              <w:widowControl/>
              <w:spacing w:line="400" w:lineRule="exact"/>
              <w:textAlignment w:val="center"/>
              <w:rPr>
                <w:rFonts w:ascii="宋体" w:hAnsi="宋体" w:cs="宋体"/>
                <w:color w:val="auto"/>
                <w:szCs w:val="21"/>
              </w:rPr>
            </w:pPr>
            <w:r>
              <w:rPr>
                <w:rFonts w:hint="eastAsia" w:ascii="宋体" w:hAnsi="宋体" w:cs="宋体"/>
                <w:color w:val="auto"/>
                <w:szCs w:val="21"/>
              </w:rPr>
              <w:t>交货时间：自签订合同之日起15日历天内全部安装验收合格并交付使用。</w:t>
            </w:r>
          </w:p>
          <w:p w14:paraId="77B75B3B">
            <w:pPr>
              <w:widowControl/>
              <w:spacing w:line="400" w:lineRule="exact"/>
              <w:textAlignment w:val="center"/>
              <w:rPr>
                <w:rFonts w:ascii="宋体" w:hAnsi="宋体" w:cs="宋体"/>
                <w:color w:val="auto"/>
                <w:szCs w:val="21"/>
              </w:rPr>
            </w:pPr>
            <w:r>
              <w:rPr>
                <w:rFonts w:hint="eastAsia" w:ascii="宋体" w:hAnsi="宋体" w:cs="宋体"/>
                <w:color w:val="auto"/>
                <w:szCs w:val="21"/>
              </w:rPr>
              <w:t>地点：广西南宁市（采购人指定地点）。</w:t>
            </w:r>
          </w:p>
        </w:tc>
      </w:tr>
      <w:tr w14:paraId="31E8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78" w:type="dxa"/>
            <w:gridSpan w:val="2"/>
            <w:vAlign w:val="center"/>
          </w:tcPr>
          <w:p w14:paraId="09E37C71">
            <w:pPr>
              <w:spacing w:line="400" w:lineRule="exact"/>
              <w:jc w:val="center"/>
              <w:rPr>
                <w:rFonts w:ascii="宋体" w:hAnsi="宋体" w:cs="宋体"/>
                <w:b/>
                <w:bCs/>
                <w:color w:val="auto"/>
                <w:kern w:val="0"/>
                <w:szCs w:val="21"/>
              </w:rPr>
            </w:pPr>
            <w:r>
              <w:rPr>
                <w:rFonts w:hint="eastAsia" w:ascii="Segoe UI Symbol" w:hAnsi="Segoe UI Symbol" w:cs="Segoe UI Symbol"/>
                <w:bCs/>
                <w:color w:val="auto"/>
                <w:sz w:val="24"/>
              </w:rPr>
              <w:t>▲</w:t>
            </w:r>
            <w:r>
              <w:rPr>
                <w:rFonts w:hint="eastAsia" w:ascii="宋体" w:hAnsi="宋体" w:cs="宋体"/>
                <w:b/>
                <w:color w:val="auto"/>
                <w:szCs w:val="21"/>
              </w:rPr>
              <w:t>验收条件及标准</w:t>
            </w:r>
          </w:p>
        </w:tc>
        <w:tc>
          <w:tcPr>
            <w:tcW w:w="7762" w:type="dxa"/>
            <w:gridSpan w:val="4"/>
            <w:vAlign w:val="center"/>
          </w:tcPr>
          <w:p w14:paraId="6C148783">
            <w:pPr>
              <w:widowControl/>
              <w:spacing w:line="400" w:lineRule="exact"/>
              <w:textAlignment w:val="center"/>
              <w:rPr>
                <w:rFonts w:ascii="宋体" w:hAnsi="宋体" w:cs="宋体"/>
                <w:color w:val="auto"/>
                <w:szCs w:val="21"/>
              </w:rPr>
            </w:pPr>
            <w:r>
              <w:rPr>
                <w:rFonts w:hint="eastAsia" w:ascii="宋体" w:hAnsi="宋体" w:cs="宋体"/>
                <w:color w:val="auto"/>
                <w:szCs w:val="21"/>
              </w:rPr>
              <w:t>1.到货验收：产品到达现场后，成交供应商应在采购人单位人员在场情况下当面开箱，共同清点、检查外观，作出开箱记录，双方签字确认。中标供应商应保证货物在送达采购人指定地点时完好无损，如有缺漏、损坏，由成交供应商负责调换、补齐或赔偿。</w:t>
            </w:r>
          </w:p>
          <w:p w14:paraId="546550F6">
            <w:pPr>
              <w:widowControl/>
              <w:spacing w:line="400" w:lineRule="exact"/>
              <w:textAlignment w:val="center"/>
              <w:rPr>
                <w:rFonts w:ascii="宋体" w:hAnsi="宋体" w:cs="宋体"/>
                <w:color w:val="auto"/>
                <w:szCs w:val="21"/>
              </w:rPr>
            </w:pPr>
            <w:r>
              <w:rPr>
                <w:rFonts w:hint="eastAsia" w:ascii="宋体" w:hAnsi="宋体" w:cs="宋体"/>
                <w:color w:val="auto"/>
                <w:szCs w:val="21"/>
              </w:rPr>
              <w:t>2.验收方案：</w:t>
            </w:r>
          </w:p>
          <w:p w14:paraId="2519B8A3">
            <w:pPr>
              <w:widowControl/>
              <w:spacing w:line="400" w:lineRule="exact"/>
              <w:textAlignment w:val="center"/>
              <w:rPr>
                <w:rFonts w:ascii="宋体" w:hAnsi="宋体" w:cs="宋体"/>
                <w:color w:val="auto"/>
                <w:szCs w:val="21"/>
              </w:rPr>
            </w:pPr>
            <w:r>
              <w:rPr>
                <w:rFonts w:hint="eastAsia" w:ascii="宋体" w:hAnsi="宋体" w:cs="宋体"/>
                <w:color w:val="auto"/>
                <w:szCs w:val="21"/>
              </w:rPr>
              <w:t>（1）货物或服务技术参数与采购合同一致，性能或指标达到规定的标准。</w:t>
            </w:r>
          </w:p>
          <w:p w14:paraId="064F3C8A">
            <w:pPr>
              <w:widowControl/>
              <w:spacing w:line="400" w:lineRule="exact"/>
              <w:textAlignment w:val="center"/>
              <w:rPr>
                <w:rFonts w:ascii="宋体" w:hAnsi="宋体" w:cs="宋体"/>
                <w:color w:val="auto"/>
                <w:szCs w:val="21"/>
              </w:rPr>
            </w:pPr>
            <w:r>
              <w:rPr>
                <w:rFonts w:hint="eastAsia" w:ascii="宋体" w:hAnsi="宋体" w:cs="宋体"/>
                <w:color w:val="auto"/>
                <w:szCs w:val="21"/>
              </w:rPr>
              <w:t>（2）技术或资料、装箱单、中文操作手册、合格证等资料齐全。</w:t>
            </w:r>
          </w:p>
          <w:p w14:paraId="7CA9F48E">
            <w:pPr>
              <w:widowControl/>
              <w:spacing w:line="400" w:lineRule="exact"/>
              <w:textAlignment w:val="center"/>
              <w:rPr>
                <w:rFonts w:ascii="宋体" w:hAnsi="宋体" w:cs="宋体"/>
                <w:color w:val="auto"/>
                <w:szCs w:val="21"/>
              </w:rPr>
            </w:pPr>
            <w:r>
              <w:rPr>
                <w:rFonts w:hint="eastAsia" w:ascii="宋体" w:hAnsi="宋体" w:cs="宋体"/>
                <w:color w:val="auto"/>
                <w:szCs w:val="21"/>
              </w:rPr>
              <w:t>（3）在测试或试运行期间所出现的问题得到解决，并运行或工作正常。</w:t>
            </w:r>
          </w:p>
          <w:p w14:paraId="43379BF0">
            <w:pPr>
              <w:widowControl/>
              <w:spacing w:line="400" w:lineRule="exact"/>
              <w:textAlignment w:val="center"/>
              <w:rPr>
                <w:rFonts w:ascii="宋体" w:hAnsi="宋体" w:cs="宋体"/>
                <w:color w:val="auto"/>
                <w:szCs w:val="21"/>
              </w:rPr>
            </w:pPr>
            <w:r>
              <w:rPr>
                <w:rFonts w:hint="eastAsia" w:ascii="宋体" w:hAnsi="宋体" w:cs="宋体"/>
                <w:color w:val="auto"/>
                <w:szCs w:val="21"/>
              </w:rPr>
              <w:t>（4）在规定时间内完成交货及验收，并经采购人确认。</w:t>
            </w:r>
          </w:p>
          <w:p w14:paraId="37378487">
            <w:pPr>
              <w:widowControl/>
              <w:spacing w:line="400" w:lineRule="exact"/>
              <w:textAlignment w:val="center"/>
              <w:rPr>
                <w:rFonts w:ascii="宋体" w:hAnsi="宋体" w:cs="宋体"/>
                <w:color w:val="auto"/>
                <w:szCs w:val="21"/>
              </w:rPr>
            </w:pPr>
            <w:r>
              <w:rPr>
                <w:rFonts w:hint="eastAsia" w:ascii="宋体" w:hAnsi="宋体" w:cs="宋体"/>
                <w:color w:val="auto"/>
                <w:szCs w:val="21"/>
              </w:rPr>
              <w:t>3.产品或服务在安装调试并试运行符合要求后，才作为最终验收。</w:t>
            </w:r>
          </w:p>
          <w:p w14:paraId="34BA2868">
            <w:pPr>
              <w:widowControl/>
              <w:spacing w:line="400" w:lineRule="exact"/>
              <w:textAlignment w:val="center"/>
              <w:rPr>
                <w:rFonts w:ascii="宋体" w:hAnsi="宋体" w:cs="宋体"/>
                <w:color w:val="auto"/>
                <w:szCs w:val="21"/>
              </w:rPr>
            </w:pPr>
            <w:r>
              <w:rPr>
                <w:rFonts w:hint="eastAsia" w:ascii="宋体" w:hAnsi="宋体" w:cs="宋体"/>
                <w:color w:val="auto"/>
                <w:szCs w:val="21"/>
              </w:rPr>
              <w:t>4.成交供应商提供的货物或服务未达到竞争性谈判文件规定要求，且对采购人造成损失的，由成交供应商承担一切责任，并赔偿所造成的损失。</w:t>
            </w:r>
          </w:p>
          <w:p w14:paraId="608ED82D">
            <w:pPr>
              <w:widowControl/>
              <w:spacing w:line="400" w:lineRule="exact"/>
              <w:textAlignment w:val="center"/>
              <w:rPr>
                <w:rFonts w:ascii="宋体" w:hAnsi="宋体" w:cs="宋体"/>
                <w:color w:val="auto"/>
                <w:szCs w:val="21"/>
              </w:rPr>
            </w:pPr>
            <w:r>
              <w:rPr>
                <w:rFonts w:hint="eastAsia" w:ascii="宋体" w:hAnsi="宋体" w:cs="宋体"/>
                <w:color w:val="auto"/>
                <w:szCs w:val="21"/>
              </w:rPr>
              <w:t>5.采购人需要制造商对成交供应商交付的产品或服务（包括质量、参数等）进行确认的，制造商应予以配合并出具书面意见，相关配合事项由成交供应商与制造商协调。</w:t>
            </w:r>
          </w:p>
          <w:p w14:paraId="15A5AE2D">
            <w:pPr>
              <w:widowControl/>
              <w:spacing w:line="400" w:lineRule="exact"/>
              <w:textAlignment w:val="center"/>
              <w:rPr>
                <w:rFonts w:ascii="宋体" w:hAnsi="宋体" w:cs="宋体"/>
                <w:color w:val="auto"/>
                <w:szCs w:val="21"/>
              </w:rPr>
            </w:pPr>
            <w:r>
              <w:rPr>
                <w:rFonts w:hint="eastAsia" w:ascii="宋体" w:hAnsi="宋体" w:cs="宋体"/>
                <w:color w:val="auto"/>
                <w:szCs w:val="21"/>
              </w:rPr>
              <w:t>6.验收要求未尽事宜按照《关于印发广西壮族自治区政府采购项目履约验收管理办法的通知》[桂财采〔2015〕22号]以及《财政部关于进一步加强政府采购需求和履约验收管理的指导意见》[财库〔2016〕205号]规定执行。</w:t>
            </w:r>
          </w:p>
          <w:p w14:paraId="53C46B4C">
            <w:pPr>
              <w:widowControl/>
              <w:spacing w:line="400" w:lineRule="exact"/>
              <w:textAlignment w:val="center"/>
              <w:rPr>
                <w:rFonts w:ascii="宋体" w:hAnsi="宋体" w:cs="宋体"/>
                <w:color w:val="auto"/>
                <w:szCs w:val="21"/>
              </w:rPr>
            </w:pPr>
            <w:r>
              <w:rPr>
                <w:rFonts w:hint="eastAsia" w:ascii="宋体" w:hAnsi="宋体" w:cs="宋体"/>
                <w:color w:val="auto"/>
                <w:szCs w:val="21"/>
              </w:rPr>
              <w:t>7.成交供应商所投产品不能满足竞争性谈判要求的，采购人有权拒绝接收货物，由此引发的所有损失由成交供应商负责，同时按有国家相关法律法规规定进行处罚。</w:t>
            </w:r>
          </w:p>
          <w:p w14:paraId="02EDAD99">
            <w:pPr>
              <w:widowControl/>
              <w:spacing w:line="400" w:lineRule="exact"/>
              <w:textAlignment w:val="center"/>
              <w:rPr>
                <w:rFonts w:ascii="宋体" w:hAnsi="宋体" w:cs="宋体"/>
                <w:color w:val="auto"/>
                <w:szCs w:val="21"/>
              </w:rPr>
            </w:pPr>
            <w:r>
              <w:rPr>
                <w:rFonts w:hint="eastAsia" w:ascii="宋体" w:hAnsi="宋体" w:cs="宋体"/>
                <w:color w:val="auto"/>
                <w:szCs w:val="21"/>
              </w:rPr>
              <w:t>8.验收、检测所产生的全部费用由成交供应商承担。</w:t>
            </w:r>
          </w:p>
          <w:p w14:paraId="25B12855">
            <w:pPr>
              <w:widowControl/>
              <w:spacing w:line="400" w:lineRule="exact"/>
              <w:textAlignment w:val="center"/>
              <w:rPr>
                <w:rFonts w:hint="eastAsia" w:ascii="宋体" w:hAnsi="宋体" w:cs="宋体"/>
                <w:color w:val="auto"/>
                <w:szCs w:val="21"/>
              </w:rPr>
            </w:pPr>
            <w:r>
              <w:rPr>
                <w:rFonts w:hint="eastAsia" w:ascii="宋体" w:hAnsi="宋体" w:cs="宋体"/>
                <w:color w:val="auto"/>
                <w:szCs w:val="21"/>
              </w:rPr>
              <w:t>9.签订合同后交货验收，如与响应文件承诺不符，不予验收。</w:t>
            </w:r>
          </w:p>
          <w:p w14:paraId="22B1F199">
            <w:pPr>
              <w:widowControl/>
              <w:spacing w:line="400" w:lineRule="exact"/>
              <w:textAlignment w:val="center"/>
              <w:rPr>
                <w:rFonts w:hint="eastAsia" w:ascii="宋体" w:hAnsi="宋体" w:cs="宋体"/>
                <w:color w:val="auto"/>
                <w:szCs w:val="21"/>
              </w:rPr>
            </w:pPr>
            <w:r>
              <w:rPr>
                <w:rFonts w:hint="eastAsia" w:ascii="宋体" w:hAnsi="宋体" w:cs="宋体"/>
                <w:color w:val="auto"/>
                <w:szCs w:val="21"/>
                <w:lang w:val="en-US" w:eastAsia="zh-CN"/>
              </w:rPr>
              <w:t>10.发现质量问题无偿整件换新</w:t>
            </w:r>
          </w:p>
        </w:tc>
      </w:tr>
      <w:tr w14:paraId="19A9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78" w:type="dxa"/>
            <w:gridSpan w:val="2"/>
            <w:vAlign w:val="center"/>
          </w:tcPr>
          <w:p w14:paraId="7B219FFA">
            <w:pPr>
              <w:spacing w:line="400" w:lineRule="exact"/>
              <w:jc w:val="center"/>
              <w:rPr>
                <w:rFonts w:ascii="宋体" w:hAnsi="宋体" w:cs="宋体"/>
                <w:b/>
                <w:bCs/>
                <w:color w:val="auto"/>
                <w:szCs w:val="21"/>
              </w:rPr>
            </w:pPr>
            <w:r>
              <w:rPr>
                <w:rFonts w:hint="eastAsia" w:ascii="Segoe UI Symbol" w:hAnsi="Segoe UI Symbol" w:cs="Segoe UI Symbol"/>
                <w:bCs/>
                <w:color w:val="auto"/>
                <w:sz w:val="24"/>
              </w:rPr>
              <w:t>▲</w:t>
            </w:r>
            <w:r>
              <w:rPr>
                <w:rFonts w:hint="eastAsia" w:ascii="宋体" w:hAnsi="宋体" w:cs="宋体"/>
                <w:b/>
                <w:bCs/>
                <w:color w:val="auto"/>
                <w:kern w:val="0"/>
                <w:szCs w:val="21"/>
              </w:rPr>
              <w:t>质保期</w:t>
            </w:r>
          </w:p>
        </w:tc>
        <w:tc>
          <w:tcPr>
            <w:tcW w:w="7762" w:type="dxa"/>
            <w:gridSpan w:val="4"/>
            <w:vAlign w:val="center"/>
          </w:tcPr>
          <w:p w14:paraId="739A5E4C">
            <w:pPr>
              <w:widowControl/>
              <w:spacing w:line="400" w:lineRule="exact"/>
              <w:textAlignment w:val="center"/>
              <w:rPr>
                <w:rFonts w:ascii="宋体" w:hAnsi="宋体" w:cs="宋体"/>
                <w:color w:val="auto"/>
                <w:szCs w:val="21"/>
              </w:rPr>
            </w:pPr>
            <w:r>
              <w:rPr>
                <w:rFonts w:hint="eastAsia" w:ascii="宋体" w:hAnsi="宋体" w:cs="宋体"/>
                <w:color w:val="auto"/>
                <w:szCs w:val="21"/>
              </w:rPr>
              <w:t>1.按国家有关产品“三包”规定执行“三包”，自货物验收合格之日起计算，产品质保期1年（若分项中有具体要求按其要求执行，若国家或生产厂家对本项目所涉及货物的质量保证期的规定高于本项目要求的，按国家或生产厂家的规定执行，若供应商在响应文件中承诺高于该期限，按照供应商承诺）。</w:t>
            </w:r>
          </w:p>
          <w:p w14:paraId="67C84E6D">
            <w:pPr>
              <w:widowControl/>
              <w:spacing w:line="400" w:lineRule="exact"/>
              <w:textAlignment w:val="center"/>
              <w:rPr>
                <w:rFonts w:ascii="宋体" w:hAnsi="宋体" w:cs="宋体"/>
                <w:color w:val="auto"/>
                <w:szCs w:val="21"/>
              </w:rPr>
            </w:pPr>
            <w:r>
              <w:rPr>
                <w:rFonts w:hint="eastAsia" w:ascii="宋体" w:hAnsi="宋体" w:cs="宋体"/>
                <w:color w:val="auto"/>
                <w:szCs w:val="21"/>
              </w:rPr>
              <w:t>2.设备保修服务自最终验收合格之日计算，保修期内设备运行故障，成交供应商须提供维修服务。保修期外对设备提供终身维修服务。需求表中特别注明的按需求表中的执行。质保期满的维修收取成本价。</w:t>
            </w:r>
          </w:p>
        </w:tc>
      </w:tr>
      <w:tr w14:paraId="45C6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78" w:type="dxa"/>
            <w:gridSpan w:val="2"/>
            <w:vAlign w:val="center"/>
          </w:tcPr>
          <w:p w14:paraId="15B3FD2A">
            <w:pPr>
              <w:spacing w:line="400" w:lineRule="exact"/>
              <w:jc w:val="center"/>
              <w:rPr>
                <w:rFonts w:ascii="宋体" w:hAnsi="宋体" w:cs="宋体"/>
                <w:b/>
                <w:bCs/>
                <w:color w:val="auto"/>
                <w:szCs w:val="21"/>
              </w:rPr>
            </w:pPr>
            <w:r>
              <w:rPr>
                <w:rFonts w:hint="eastAsia" w:ascii="Segoe UI Symbol" w:hAnsi="Segoe UI Symbol" w:cs="Segoe UI Symbol"/>
                <w:bCs/>
                <w:color w:val="auto"/>
                <w:sz w:val="24"/>
              </w:rPr>
              <w:t>▲</w:t>
            </w:r>
            <w:r>
              <w:rPr>
                <w:rFonts w:hint="eastAsia" w:ascii="宋体" w:hAnsi="宋体" w:cs="宋体"/>
                <w:b/>
                <w:bCs/>
                <w:color w:val="auto"/>
                <w:szCs w:val="21"/>
              </w:rPr>
              <w:t>售后服务要求</w:t>
            </w:r>
          </w:p>
        </w:tc>
        <w:tc>
          <w:tcPr>
            <w:tcW w:w="7762" w:type="dxa"/>
            <w:gridSpan w:val="4"/>
            <w:vAlign w:val="center"/>
          </w:tcPr>
          <w:p w14:paraId="054B3864">
            <w:pPr>
              <w:widowControl/>
              <w:spacing w:line="400" w:lineRule="exact"/>
              <w:textAlignment w:val="center"/>
              <w:rPr>
                <w:rFonts w:ascii="宋体" w:hAnsi="宋体" w:cs="宋体"/>
                <w:color w:val="auto"/>
                <w:szCs w:val="21"/>
              </w:rPr>
            </w:pPr>
            <w:r>
              <w:rPr>
                <w:rFonts w:hint="eastAsia" w:ascii="宋体" w:hAnsi="宋体" w:cs="宋体"/>
                <w:color w:val="auto"/>
                <w:szCs w:val="21"/>
              </w:rPr>
              <w:t>售后服务保障或维修响应时间要求：</w:t>
            </w:r>
          </w:p>
          <w:p w14:paraId="23D0250E">
            <w:pPr>
              <w:widowControl/>
              <w:spacing w:line="400" w:lineRule="exact"/>
              <w:textAlignment w:val="center"/>
              <w:rPr>
                <w:rFonts w:ascii="宋体" w:hAnsi="宋体" w:cs="宋体"/>
                <w:color w:val="auto"/>
                <w:szCs w:val="21"/>
              </w:rPr>
            </w:pPr>
            <w:r>
              <w:rPr>
                <w:rFonts w:hint="eastAsia" w:ascii="宋体" w:hAnsi="宋体" w:cs="宋体"/>
                <w:color w:val="auto"/>
                <w:szCs w:val="21"/>
              </w:rPr>
              <w:t>1.对于故障处理，要求成交人在质保期内提供7×24小时提供提供维护服务，要求接到故障通知后4小时内响应，48小时内到现场解决故障。</w:t>
            </w:r>
          </w:p>
          <w:p w14:paraId="5A6964AC">
            <w:pPr>
              <w:widowControl/>
              <w:spacing w:line="400" w:lineRule="exact"/>
              <w:textAlignment w:val="center"/>
              <w:rPr>
                <w:rFonts w:ascii="宋体" w:hAnsi="宋体" w:cs="宋体"/>
                <w:color w:val="auto"/>
                <w:szCs w:val="21"/>
              </w:rPr>
            </w:pPr>
            <w:r>
              <w:rPr>
                <w:rFonts w:hint="eastAsia" w:ascii="宋体" w:hAnsi="宋体" w:cs="宋体"/>
                <w:color w:val="auto"/>
                <w:szCs w:val="21"/>
              </w:rPr>
              <w:t>2.送货上门、安装、调试，培训使用人员和维护人员，培训内容主要为：所采购设备的使用和维护知识。</w:t>
            </w:r>
          </w:p>
          <w:p w14:paraId="113CCB51">
            <w:pPr>
              <w:widowControl/>
              <w:spacing w:line="400" w:lineRule="exact"/>
              <w:textAlignment w:val="center"/>
              <w:rPr>
                <w:rFonts w:ascii="宋体" w:hAnsi="宋体" w:cs="宋体"/>
                <w:color w:val="auto"/>
                <w:szCs w:val="21"/>
              </w:rPr>
            </w:pPr>
            <w:r>
              <w:rPr>
                <w:rFonts w:hint="eastAsia" w:ascii="宋体" w:hAnsi="宋体" w:cs="宋体"/>
                <w:color w:val="auto"/>
                <w:szCs w:val="21"/>
              </w:rPr>
              <w:t>3.成交供应商负责处理解决货物出现的质量及安全问题并承担一切费用，所有非故意性损坏以及正常使用范围内造成的损坏均要维修；因人为因素出现的故障不在免费保修范围内的，成交供应商也要积极帮助采购人维修，并提供优惠价格的配件和服务。</w:t>
            </w:r>
          </w:p>
          <w:p w14:paraId="11DFAA1B">
            <w:pPr>
              <w:widowControl/>
              <w:spacing w:line="400" w:lineRule="exact"/>
              <w:textAlignment w:val="center"/>
              <w:rPr>
                <w:rFonts w:ascii="宋体" w:hAnsi="宋体" w:cs="宋体"/>
                <w:color w:val="auto"/>
                <w:szCs w:val="21"/>
              </w:rPr>
            </w:pPr>
            <w:r>
              <w:rPr>
                <w:rFonts w:hint="eastAsia" w:ascii="宋体" w:hAnsi="宋体" w:cs="宋体"/>
                <w:color w:val="auto"/>
                <w:szCs w:val="21"/>
              </w:rPr>
              <w:t>4. 竞标需提供售后服务承诺书。须针对本项目书面承诺免费提供后续的技术支持。</w:t>
            </w:r>
          </w:p>
          <w:p w14:paraId="4A3ECBD4">
            <w:pPr>
              <w:widowControl/>
              <w:spacing w:line="400" w:lineRule="exact"/>
              <w:textAlignment w:val="center"/>
              <w:rPr>
                <w:rFonts w:ascii="宋体" w:hAnsi="宋体" w:cs="宋体"/>
                <w:color w:val="auto"/>
                <w:szCs w:val="21"/>
              </w:rPr>
            </w:pPr>
            <w:r>
              <w:rPr>
                <w:rFonts w:hint="eastAsia" w:ascii="宋体" w:hAnsi="宋体" w:cs="宋体"/>
                <w:color w:val="auto"/>
                <w:szCs w:val="21"/>
              </w:rPr>
              <w:t>5. 成交供应商根据本项目的采购需求情况进行有针对性地应用和培训，所有培训涉及的费用采购人均不承担。</w:t>
            </w:r>
          </w:p>
          <w:p w14:paraId="27FE367F">
            <w:pPr>
              <w:widowControl/>
              <w:spacing w:line="400" w:lineRule="exact"/>
              <w:textAlignment w:val="center"/>
              <w:rPr>
                <w:rFonts w:ascii="宋体" w:hAnsi="宋体" w:cs="宋体"/>
                <w:color w:val="auto"/>
                <w:szCs w:val="21"/>
              </w:rPr>
            </w:pPr>
            <w:r>
              <w:rPr>
                <w:rFonts w:hint="eastAsia" w:ascii="宋体" w:hAnsi="宋体" w:cs="宋体"/>
                <w:color w:val="auto"/>
                <w:szCs w:val="21"/>
              </w:rPr>
              <w:t>6.技术参数及性能（配置）要求另有要求的，按其要求执行。</w:t>
            </w:r>
          </w:p>
        </w:tc>
      </w:tr>
      <w:tr w14:paraId="4F7F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78" w:type="dxa"/>
            <w:gridSpan w:val="2"/>
            <w:vAlign w:val="center"/>
          </w:tcPr>
          <w:p w14:paraId="609371A0">
            <w:pPr>
              <w:spacing w:line="400" w:lineRule="exact"/>
              <w:jc w:val="center"/>
              <w:rPr>
                <w:rFonts w:ascii="宋体" w:hAnsi="宋体" w:cs="宋体"/>
                <w:b/>
                <w:bCs/>
                <w:color w:val="auto"/>
                <w:kern w:val="0"/>
                <w:szCs w:val="21"/>
              </w:rPr>
            </w:pPr>
            <w:r>
              <w:rPr>
                <w:rFonts w:hint="eastAsia" w:ascii="Segoe UI Symbol" w:hAnsi="Segoe UI Symbol" w:cs="Segoe UI Symbol"/>
                <w:bCs/>
                <w:color w:val="auto"/>
                <w:sz w:val="24"/>
              </w:rPr>
              <w:t>▲</w:t>
            </w:r>
            <w:r>
              <w:rPr>
                <w:rFonts w:hint="eastAsia" w:ascii="宋体" w:hAnsi="宋体" w:cs="宋体"/>
                <w:b/>
                <w:bCs/>
                <w:color w:val="auto"/>
                <w:szCs w:val="21"/>
              </w:rPr>
              <w:t>履约保证金收取及退付</w:t>
            </w:r>
          </w:p>
        </w:tc>
        <w:tc>
          <w:tcPr>
            <w:tcW w:w="7762" w:type="dxa"/>
            <w:gridSpan w:val="4"/>
            <w:vAlign w:val="center"/>
          </w:tcPr>
          <w:p w14:paraId="50007032">
            <w:pPr>
              <w:widowControl/>
              <w:spacing w:line="400" w:lineRule="exact"/>
              <w:textAlignment w:val="center"/>
              <w:rPr>
                <w:rFonts w:ascii="宋体" w:hAnsi="宋体" w:cs="宋体"/>
                <w:color w:val="auto"/>
                <w:szCs w:val="21"/>
              </w:rPr>
            </w:pPr>
            <w:r>
              <w:rPr>
                <w:rFonts w:hint="eastAsia" w:ascii="宋体" w:hAnsi="宋体" w:cs="宋体"/>
                <w:color w:val="auto"/>
                <w:szCs w:val="21"/>
              </w:rPr>
              <w:t>1.成交人于合同签订前按成交金额的</w:t>
            </w:r>
            <w:r>
              <w:rPr>
                <w:rFonts w:hint="eastAsia" w:ascii="宋体" w:hAnsi="宋体" w:cs="宋体"/>
                <w:color w:val="auto"/>
                <w:szCs w:val="21"/>
                <w:u w:val="single"/>
              </w:rPr>
              <w:t xml:space="preserve"> 5 </w:t>
            </w:r>
            <w:r>
              <w:rPr>
                <w:rFonts w:hint="eastAsia" w:ascii="宋体" w:hAnsi="宋体" w:cs="宋体"/>
                <w:color w:val="auto"/>
                <w:szCs w:val="21"/>
              </w:rPr>
              <w:t xml:space="preserve">%（中小企业按合同金额的2%）。向采购人指定账户提交履约保证金。 </w:t>
            </w:r>
          </w:p>
          <w:p w14:paraId="7B7705FB">
            <w:pPr>
              <w:widowControl/>
              <w:spacing w:line="400" w:lineRule="exact"/>
              <w:textAlignment w:val="center"/>
              <w:rPr>
                <w:rFonts w:ascii="宋体" w:hAnsi="宋体" w:cs="宋体"/>
                <w:color w:val="auto"/>
                <w:szCs w:val="21"/>
              </w:rPr>
            </w:pPr>
            <w:r>
              <w:rPr>
                <w:rFonts w:hint="eastAsia" w:ascii="宋体" w:hAnsi="宋体" w:cs="宋体"/>
                <w:color w:val="auto"/>
                <w:szCs w:val="21"/>
              </w:rPr>
              <w:t xml:space="preserve">2.递交方式：银行转账、支票、汇票、本票或者金融、担保机构出具的保函等非现金方式。 </w:t>
            </w:r>
          </w:p>
          <w:p w14:paraId="58ACB330">
            <w:pPr>
              <w:widowControl/>
              <w:spacing w:line="400" w:lineRule="exact"/>
              <w:textAlignment w:val="center"/>
              <w:rPr>
                <w:rFonts w:ascii="宋体" w:hAnsi="宋体" w:cs="宋体"/>
                <w:color w:val="auto"/>
                <w:szCs w:val="21"/>
                <w:highlight w:val="none"/>
              </w:rPr>
            </w:pPr>
            <w:r>
              <w:rPr>
                <w:rFonts w:hint="eastAsia" w:ascii="宋体" w:hAnsi="宋体" w:cs="宋体"/>
                <w:color w:val="auto"/>
                <w:szCs w:val="21"/>
              </w:rPr>
              <w:t>3.成交人若不能完全履行合同，履约保证金不返还</w:t>
            </w:r>
            <w:r>
              <w:rPr>
                <w:rFonts w:hint="eastAsia" w:ascii="宋体" w:hAnsi="宋体" w:cs="宋体"/>
                <w:color w:val="auto"/>
                <w:szCs w:val="21"/>
                <w:highlight w:val="none"/>
              </w:rPr>
              <w:t xml:space="preserve">；合同验收满 (1年)项目无质量问题，成交供应商向采购人提供验收单及履约保证金退付申请，采购人在15个工作日内无息退还履约保证金。涉及违约的违约金和损失赔偿从履约保证金中扣减。履约保证金指定账户： </w:t>
            </w:r>
          </w:p>
          <w:p w14:paraId="316A250D">
            <w:pPr>
              <w:widowControl/>
              <w:spacing w:line="400" w:lineRule="exact"/>
              <w:textAlignment w:val="center"/>
              <w:rPr>
                <w:rFonts w:ascii="宋体" w:hAnsi="宋体" w:cs="宋体"/>
                <w:color w:val="auto"/>
                <w:szCs w:val="21"/>
              </w:rPr>
            </w:pPr>
            <w:r>
              <w:rPr>
                <w:rFonts w:hint="eastAsia" w:ascii="宋体" w:hAnsi="宋体" w:cs="宋体"/>
                <w:color w:val="auto"/>
                <w:szCs w:val="21"/>
              </w:rPr>
              <w:t>开户名称：广西幼儿师范高等专科学校</w:t>
            </w:r>
          </w:p>
          <w:p w14:paraId="552057B5">
            <w:pPr>
              <w:widowControl/>
              <w:spacing w:line="400" w:lineRule="exact"/>
              <w:textAlignment w:val="center"/>
              <w:rPr>
                <w:rFonts w:ascii="宋体" w:hAnsi="宋体" w:cs="宋体"/>
                <w:color w:val="auto"/>
                <w:szCs w:val="21"/>
              </w:rPr>
            </w:pPr>
            <w:r>
              <w:rPr>
                <w:rFonts w:hint="eastAsia" w:ascii="宋体" w:hAnsi="宋体" w:cs="宋体"/>
                <w:color w:val="auto"/>
                <w:szCs w:val="21"/>
              </w:rPr>
              <w:t>开户银行：招商银行南宁民族大道支行</w:t>
            </w:r>
          </w:p>
          <w:p w14:paraId="38C5F2A1">
            <w:pPr>
              <w:widowControl/>
              <w:spacing w:line="400" w:lineRule="exact"/>
              <w:textAlignment w:val="center"/>
              <w:rPr>
                <w:rFonts w:ascii="宋体" w:hAnsi="宋体" w:cs="宋体"/>
                <w:color w:val="auto"/>
                <w:szCs w:val="21"/>
              </w:rPr>
            </w:pPr>
            <w:r>
              <w:rPr>
                <w:rFonts w:hint="eastAsia" w:ascii="宋体" w:hAnsi="宋体" w:cs="宋体"/>
                <w:color w:val="auto"/>
                <w:szCs w:val="21"/>
              </w:rPr>
              <w:t>银行账号：771902121410201</w:t>
            </w:r>
          </w:p>
        </w:tc>
      </w:tr>
      <w:tr w14:paraId="6EAE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78" w:type="dxa"/>
            <w:gridSpan w:val="2"/>
            <w:vAlign w:val="center"/>
          </w:tcPr>
          <w:p w14:paraId="32E2D64D">
            <w:pPr>
              <w:spacing w:line="400" w:lineRule="exact"/>
              <w:jc w:val="center"/>
              <w:rPr>
                <w:rFonts w:ascii="宋体" w:hAnsi="宋体" w:cs="宋体"/>
                <w:b/>
                <w:bCs/>
                <w:color w:val="auto"/>
                <w:szCs w:val="21"/>
              </w:rPr>
            </w:pPr>
            <w:r>
              <w:rPr>
                <w:rFonts w:hint="eastAsia" w:ascii="Segoe UI Symbol" w:hAnsi="Segoe UI Symbol" w:cs="Segoe UI Symbol"/>
                <w:bCs/>
                <w:color w:val="auto"/>
                <w:sz w:val="24"/>
              </w:rPr>
              <w:t>▲</w:t>
            </w:r>
            <w:r>
              <w:rPr>
                <w:rFonts w:hint="eastAsia" w:ascii="宋体" w:hAnsi="宋体" w:cs="宋体"/>
                <w:b/>
                <w:bCs/>
                <w:color w:val="auto"/>
                <w:szCs w:val="21"/>
              </w:rPr>
              <w:t>付款方式</w:t>
            </w:r>
          </w:p>
        </w:tc>
        <w:tc>
          <w:tcPr>
            <w:tcW w:w="7762" w:type="dxa"/>
            <w:gridSpan w:val="4"/>
            <w:vAlign w:val="center"/>
          </w:tcPr>
          <w:p w14:paraId="69956850">
            <w:pPr>
              <w:widowControl/>
              <w:spacing w:line="400" w:lineRule="exact"/>
              <w:textAlignment w:val="center"/>
              <w:rPr>
                <w:rFonts w:ascii="宋体" w:hAnsi="宋体" w:cs="宋体"/>
                <w:color w:val="auto"/>
                <w:szCs w:val="21"/>
              </w:rPr>
            </w:pPr>
            <w:r>
              <w:rPr>
                <w:rFonts w:hint="eastAsia" w:ascii="宋体" w:hAnsi="宋体" w:cs="宋体"/>
                <w:color w:val="auto"/>
                <w:szCs w:val="21"/>
                <w:highlight w:val="none"/>
              </w:rPr>
              <w:t>合同签订生效之日起10个工作日内采购人向成交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支付合同总金额的30%作为预付款；货到采购人指定地点，并经采购人签收后，采购人自收到成交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提交的货物签收凭证及付款申请之日起10个工作日内向成交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支付至合同总金额90%的合同款；安装调试完毕并经采购人最终验收合格后，采购人自收到成交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提交的最终验收报告及付款申请之日起10个工作日内向成交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支付剩余的合同款。采购人每次付款前，成交供应商应开具真实、有效、合法的</w:t>
            </w:r>
            <w:r>
              <w:rPr>
                <w:rFonts w:hint="eastAsia"/>
                <w:color w:val="auto"/>
              </w:rPr>
              <w:t>税务发票给采购人</w:t>
            </w:r>
            <w:r>
              <w:rPr>
                <w:rFonts w:hint="eastAsia" w:ascii="宋体" w:hAnsi="宋体" w:cs="宋体"/>
                <w:color w:val="auto"/>
                <w:szCs w:val="21"/>
                <w:highlight w:val="none"/>
              </w:rPr>
              <w:t>，否则，采购人的付款义务顺延，且不承担迟延履行的相关责任。</w:t>
            </w:r>
          </w:p>
        </w:tc>
      </w:tr>
      <w:tr w14:paraId="4E00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78" w:type="dxa"/>
            <w:gridSpan w:val="2"/>
            <w:vAlign w:val="center"/>
          </w:tcPr>
          <w:p w14:paraId="04BB63A8">
            <w:pPr>
              <w:spacing w:line="400" w:lineRule="exact"/>
              <w:jc w:val="center"/>
              <w:rPr>
                <w:rFonts w:ascii="宋体" w:hAnsi="宋体" w:cs="宋体"/>
                <w:b/>
                <w:bCs/>
                <w:color w:val="auto"/>
                <w:kern w:val="1"/>
                <w:szCs w:val="21"/>
              </w:rPr>
            </w:pPr>
            <w:r>
              <w:rPr>
                <w:rFonts w:hint="eastAsia" w:ascii="Segoe UI Symbol" w:hAnsi="Segoe UI Symbol" w:cs="Segoe UI Symbol"/>
                <w:bCs/>
                <w:color w:val="auto"/>
                <w:sz w:val="24"/>
              </w:rPr>
              <w:t>▲</w:t>
            </w:r>
            <w:r>
              <w:rPr>
                <w:rFonts w:hint="eastAsia" w:ascii="宋体" w:hAnsi="宋体" w:cs="宋体"/>
                <w:b/>
                <w:bCs/>
                <w:color w:val="auto"/>
                <w:szCs w:val="21"/>
              </w:rPr>
              <w:t>其他要求</w:t>
            </w:r>
          </w:p>
        </w:tc>
        <w:tc>
          <w:tcPr>
            <w:tcW w:w="7762" w:type="dxa"/>
            <w:gridSpan w:val="4"/>
            <w:vAlign w:val="center"/>
          </w:tcPr>
          <w:p w14:paraId="57B0DFC3">
            <w:pPr>
              <w:pStyle w:val="11"/>
              <w:spacing w:after="0" w:line="400" w:lineRule="exact"/>
              <w:rPr>
                <w:rFonts w:ascii="宋体" w:hAnsi="宋体" w:cs="宋体"/>
                <w:color w:val="auto"/>
                <w:szCs w:val="21"/>
              </w:rPr>
            </w:pPr>
            <w:r>
              <w:rPr>
                <w:rFonts w:hint="eastAsia" w:ascii="宋体" w:hAnsi="宋体" w:cs="宋体"/>
                <w:color w:val="auto"/>
                <w:szCs w:val="21"/>
              </w:rPr>
              <w:t>1．成交供应商提供的产品必须是原厂生产的正品全新、完整、未使用过的合格产品，产品质量符合国家相关标准和规范，具备正规合法经销渠道。相关部件及服务须满足本项目需求中各项要求。所有产品除满足上表要求的技术参数和配置外，其余均按国家标准及生产厂家出厂标准配置。</w:t>
            </w:r>
          </w:p>
          <w:p w14:paraId="58FBBE2A">
            <w:pPr>
              <w:pStyle w:val="11"/>
              <w:spacing w:after="0" w:line="400" w:lineRule="exact"/>
              <w:rPr>
                <w:rFonts w:ascii="宋体" w:hAnsi="宋体" w:cs="宋体"/>
                <w:color w:val="auto"/>
                <w:szCs w:val="21"/>
              </w:rPr>
            </w:pPr>
            <w:r>
              <w:rPr>
                <w:rFonts w:hint="eastAsia" w:ascii="宋体" w:hAnsi="宋体" w:cs="宋体"/>
                <w:color w:val="auto"/>
                <w:szCs w:val="21"/>
              </w:rPr>
              <w:t>2．本项目货物不接受进口产品投标，根据《政府采购进口产品管理办法》（财库〔2007〕119号），进口产品是指通过中国海关报关验放进入中国境内且产自关境外的产品，如供应商有采用进口产品参与投标，则投标无效。</w:t>
            </w:r>
          </w:p>
          <w:p w14:paraId="0EC00E15">
            <w:pPr>
              <w:pStyle w:val="11"/>
              <w:spacing w:after="0" w:line="400" w:lineRule="exact"/>
              <w:rPr>
                <w:rFonts w:ascii="宋体" w:hAnsi="宋体" w:cs="宋体"/>
                <w:color w:val="auto"/>
                <w:szCs w:val="21"/>
              </w:rPr>
            </w:pPr>
            <w:r>
              <w:rPr>
                <w:rFonts w:hint="eastAsia" w:ascii="宋体" w:hAnsi="宋体" w:cs="宋体"/>
                <w:color w:val="auto"/>
                <w:szCs w:val="21"/>
              </w:rPr>
              <w:t>3．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14:paraId="5937482A">
            <w:pPr>
              <w:pStyle w:val="11"/>
              <w:spacing w:after="0" w:line="400" w:lineRule="exact"/>
              <w:rPr>
                <w:rFonts w:ascii="宋体" w:hAnsi="宋体" w:cs="宋体"/>
                <w:color w:val="auto"/>
                <w:szCs w:val="21"/>
              </w:rPr>
            </w:pPr>
            <w:r>
              <w:rPr>
                <w:rFonts w:hint="eastAsia" w:ascii="宋体" w:hAnsi="宋体" w:cs="宋体"/>
                <w:color w:val="auto"/>
                <w:szCs w:val="21"/>
              </w:rPr>
              <w:t>4.采购货物纳入强制性产品认证（3C认证）的，供应商所投产品必须从其规定。</w:t>
            </w:r>
          </w:p>
          <w:p w14:paraId="230813E2">
            <w:pPr>
              <w:pStyle w:val="11"/>
              <w:spacing w:after="0" w:line="400" w:lineRule="exact"/>
              <w:rPr>
                <w:rFonts w:ascii="宋体" w:hAnsi="宋体" w:cs="宋体"/>
                <w:color w:val="auto"/>
                <w:szCs w:val="21"/>
              </w:rPr>
            </w:pPr>
            <w:r>
              <w:rPr>
                <w:rFonts w:hint="eastAsia" w:ascii="宋体" w:hAnsi="宋体" w:cs="宋体"/>
                <w:color w:val="auto"/>
                <w:szCs w:val="21"/>
              </w:rPr>
              <w:t>5. 供应商可根据竞争性谈判文件及采购需求的要求，在响应文件中提供设备性能、售后服务方案、信誉分、人员配备等证明材料。</w:t>
            </w:r>
          </w:p>
          <w:p w14:paraId="5B6B40F8">
            <w:pPr>
              <w:pStyle w:val="11"/>
              <w:spacing w:after="0" w:line="400" w:lineRule="exact"/>
              <w:rPr>
                <w:rFonts w:ascii="宋体" w:hAnsi="宋体" w:cs="宋体"/>
                <w:color w:val="auto"/>
                <w:szCs w:val="21"/>
              </w:rPr>
            </w:pPr>
            <w:r>
              <w:rPr>
                <w:rFonts w:hint="eastAsia" w:ascii="宋体" w:hAnsi="宋体" w:cs="宋体"/>
                <w:color w:val="auto"/>
                <w:szCs w:val="21"/>
              </w:rPr>
              <w:t>6.保密要求：供应商必须严格遵守采购人各项管理规定，在任何情况下，禁止复制、传播、引用及非开发需要查询所接触到的采购人各类业务数据、工作要求和工作措施等信息，禁止向采购人主管部门以外的单位和个人演示。</w:t>
            </w:r>
          </w:p>
          <w:p w14:paraId="483F51BD">
            <w:pPr>
              <w:pStyle w:val="11"/>
              <w:spacing w:after="0" w:line="400" w:lineRule="exact"/>
              <w:rPr>
                <w:rFonts w:ascii="宋体" w:hAnsi="宋体" w:cs="宋体"/>
                <w:color w:val="auto"/>
                <w:szCs w:val="21"/>
              </w:rPr>
            </w:pPr>
            <w:r>
              <w:rPr>
                <w:rFonts w:hint="eastAsia" w:ascii="宋体" w:hAnsi="宋体" w:cs="宋体"/>
                <w:color w:val="auto"/>
                <w:szCs w:val="21"/>
              </w:rPr>
              <w:t>7.采购需求表中标注</w:t>
            </w:r>
            <w:r>
              <w:rPr>
                <w:rFonts w:hint="eastAsia" w:ascii="Segoe UI Symbol" w:hAnsi="Segoe UI Symbol" w:cs="Segoe UI Symbol"/>
                <w:bCs/>
                <w:color w:val="auto"/>
                <w:sz w:val="24"/>
              </w:rPr>
              <w:t>▲</w:t>
            </w:r>
            <w:r>
              <w:rPr>
                <w:rFonts w:hint="eastAsia" w:ascii="宋体" w:hAnsi="宋体" w:cs="宋体"/>
                <w:color w:val="auto"/>
                <w:szCs w:val="21"/>
              </w:rPr>
              <w:t>的技术要求为实质性技术要求。供应商在响应文件中应就实质性技术要求提供技术支持资料，未提供的将视为未实质性响应该要求，采购方有权不予接受报价，不予验收通过。</w:t>
            </w:r>
          </w:p>
          <w:p w14:paraId="29FB6798">
            <w:pPr>
              <w:pStyle w:val="11"/>
              <w:spacing w:after="0" w:line="400" w:lineRule="exact"/>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.为了确保采购质量和维护公平的竞争，根据《中华人民共和国政府采购法》和《中华人民共和国反垄断法》，没有正当理由，不得以低于成本的价格销售商品。</w:t>
            </w:r>
          </w:p>
          <w:p w14:paraId="275A49C0">
            <w:pPr>
              <w:pStyle w:val="11"/>
              <w:spacing w:after="0" w:line="400" w:lineRule="exact"/>
              <w:rPr>
                <w:rFonts w:ascii="宋体" w:hAnsi="宋体" w:cs="宋体"/>
                <w:color w:val="auto"/>
                <w:szCs w:val="21"/>
              </w:rPr>
            </w:pPr>
            <w:r>
              <w:rPr>
                <w:rFonts w:hint="eastAsia" w:ascii="宋体" w:hAnsi="宋体" w:cs="宋体"/>
                <w:color w:val="auto"/>
                <w:szCs w:val="21"/>
                <w:lang w:val="en-US" w:eastAsia="zh-CN"/>
              </w:rPr>
              <w:t>9</w:t>
            </w:r>
            <w:r>
              <w:rPr>
                <w:rFonts w:hint="eastAsia" w:ascii="宋体" w:hAnsi="宋体" w:cs="宋体"/>
                <w:color w:val="auto"/>
                <w:szCs w:val="21"/>
              </w:rPr>
              <w:t>.供应商</w:t>
            </w:r>
            <w:r>
              <w:rPr>
                <w:rFonts w:hint="eastAsia" w:ascii="宋体" w:hAnsi="宋体" w:cs="宋体"/>
                <w:color w:val="auto"/>
                <w:szCs w:val="21"/>
                <w:lang w:val="en-US" w:eastAsia="zh-CN"/>
              </w:rPr>
              <w:t>如需了解现场摆位等情况，可</w:t>
            </w:r>
            <w:r>
              <w:rPr>
                <w:rFonts w:hint="eastAsia" w:ascii="宋体" w:hAnsi="宋体" w:cs="宋体"/>
                <w:color w:val="auto"/>
                <w:szCs w:val="21"/>
              </w:rPr>
              <w:t>进行现场踏勘，项目踏勘现场对接人：</w:t>
            </w:r>
            <w:r>
              <w:rPr>
                <w:rFonts w:hint="eastAsia" w:ascii="宋体" w:hAnsi="宋体" w:cs="宋体"/>
                <w:color w:val="auto"/>
                <w:szCs w:val="21"/>
                <w:highlight w:val="none"/>
              </w:rPr>
              <w:t>蒋老师/1</w:t>
            </w:r>
            <w:r>
              <w:rPr>
                <w:rFonts w:hint="eastAsia" w:ascii="宋体" w:hAnsi="宋体" w:cs="宋体"/>
                <w:color w:val="auto"/>
                <w:szCs w:val="21"/>
              </w:rPr>
              <w:t>8500225345，踏勘产生的所有费用由供应商自行承担。（注：踏勘时间在截标前）</w:t>
            </w:r>
          </w:p>
          <w:p w14:paraId="09001F39">
            <w:pPr>
              <w:pStyle w:val="11"/>
              <w:spacing w:after="0" w:line="400" w:lineRule="exact"/>
              <w:rPr>
                <w:rFonts w:ascii="宋体" w:hAnsi="宋体" w:cs="宋体"/>
                <w:color w:val="auto"/>
                <w:szCs w:val="21"/>
              </w:rPr>
            </w:pPr>
            <w:r>
              <w:rPr>
                <w:rFonts w:hint="eastAsia" w:ascii="宋体" w:hAnsi="宋体" w:cs="宋体"/>
                <w:color w:val="auto"/>
                <w:szCs w:val="21"/>
                <w:lang w:val="en-US" w:eastAsia="zh-CN"/>
              </w:rPr>
              <w:t>10</w:t>
            </w:r>
            <w:r>
              <w:rPr>
                <w:rFonts w:hint="eastAsia" w:ascii="宋体" w:hAnsi="宋体" w:cs="宋体"/>
                <w:color w:val="auto"/>
                <w:szCs w:val="21"/>
              </w:rPr>
              <w:t>.要求中的内容须用确定值响应，竞标供应商未完整响应或未按要求响应的，视为无效响应。</w:t>
            </w:r>
          </w:p>
          <w:p w14:paraId="053881A5">
            <w:pPr>
              <w:pStyle w:val="11"/>
              <w:spacing w:after="0" w:line="400" w:lineRule="exact"/>
              <w:rPr>
                <w:rFonts w:ascii="宋体" w:hAnsi="宋体" w:cs="宋体"/>
                <w:color w:val="auto"/>
                <w:szCs w:val="21"/>
              </w:rPr>
            </w:pPr>
            <w:r>
              <w:rPr>
                <w:rFonts w:hint="eastAsia" w:ascii="宋体" w:hAnsi="宋体" w:cs="宋体"/>
                <w:color w:val="auto"/>
                <w:szCs w:val="21"/>
                <w:lang w:val="en-US" w:eastAsia="zh-CN"/>
              </w:rPr>
              <w:t>11</w:t>
            </w:r>
            <w:r>
              <w:rPr>
                <w:rFonts w:hint="eastAsia" w:ascii="宋体" w:hAnsi="宋体" w:cs="宋体"/>
                <w:color w:val="auto"/>
                <w:szCs w:val="21"/>
              </w:rPr>
              <w:t>.根据采购需求提供项目实施方案（包括执行实施机构、专业人员配备、项目组织架构、项目质量控制措施、项目进度控制（含培训）、系统运行维护巡检等方面）。</w:t>
            </w:r>
          </w:p>
          <w:p w14:paraId="25EFE2F3">
            <w:pPr>
              <w:pStyle w:val="11"/>
              <w:spacing w:after="0" w:line="400" w:lineRule="exac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2</w:t>
            </w:r>
            <w:r>
              <w:rPr>
                <w:rFonts w:hint="eastAsia" w:ascii="宋体" w:hAnsi="宋体" w:cs="宋体"/>
                <w:color w:val="auto"/>
                <w:szCs w:val="21"/>
              </w:rPr>
              <w:t>.本项目的核心产品为：第6项“图形工作站”</w:t>
            </w:r>
          </w:p>
          <w:p w14:paraId="3FAE1037">
            <w:pPr>
              <w:rPr>
                <w:rFonts w:hint="default" w:eastAsia="宋体"/>
                <w:color w:val="auto"/>
                <w:lang w:val="en-US" w:eastAsia="zh-CN"/>
              </w:rPr>
            </w:pPr>
            <w:r>
              <w:rPr>
                <w:rFonts w:hint="eastAsia" w:ascii="宋体" w:hAnsi="宋体" w:cs="宋体"/>
                <w:color w:val="auto"/>
                <w:szCs w:val="21"/>
                <w:lang w:val="en-US" w:eastAsia="zh-CN"/>
              </w:rPr>
              <w:t>13.发现质量问题无偿整件换新</w:t>
            </w:r>
          </w:p>
        </w:tc>
      </w:tr>
    </w:tbl>
    <w:p w14:paraId="19A43E17">
      <w:pPr>
        <w:rPr>
          <w:rFonts w:ascii="宋体" w:hAnsi="宋体" w:cs="宋体"/>
          <w:color w:val="auto"/>
        </w:rPr>
      </w:pPr>
      <w:r>
        <w:rPr>
          <w:rFonts w:hint="eastAsia" w:ascii="宋体" w:hAnsi="宋体" w:cs="宋体"/>
          <w:color w:val="auto"/>
        </w:rPr>
        <w:br w:type="page"/>
      </w:r>
    </w:p>
    <w:tbl>
      <w:tblPr>
        <w:tblStyle w:val="27"/>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286"/>
        <w:gridCol w:w="738"/>
        <w:gridCol w:w="700"/>
        <w:gridCol w:w="5512"/>
        <w:gridCol w:w="724"/>
      </w:tblGrid>
      <w:tr w14:paraId="3907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9389" w:type="dxa"/>
            <w:gridSpan w:val="6"/>
            <w:vAlign w:val="center"/>
          </w:tcPr>
          <w:p w14:paraId="608E60BF">
            <w:pPr>
              <w:spacing w:line="400" w:lineRule="exact"/>
              <w:jc w:val="center"/>
              <w:rPr>
                <w:rFonts w:hint="eastAsia" w:ascii="宋体" w:hAnsi="宋体" w:cs="宋体"/>
                <w:b/>
                <w:bCs/>
                <w:color w:val="auto"/>
                <w:szCs w:val="21"/>
                <w:highlight w:val="none"/>
              </w:rPr>
            </w:pPr>
            <w:bookmarkStart w:id="31" w:name="分标2采购需求"/>
            <w:r>
              <w:rPr>
                <w:rFonts w:hint="eastAsia" w:ascii="宋体" w:hAnsi="宋体" w:cs="宋体"/>
                <w:b/>
                <w:bCs/>
                <w:color w:val="auto"/>
                <w:szCs w:val="21"/>
                <w:highlight w:val="none"/>
              </w:rPr>
              <w:t>分标2</w:t>
            </w:r>
            <w:bookmarkEnd w:id="31"/>
            <w:r>
              <w:rPr>
                <w:rFonts w:hint="eastAsia" w:ascii="宋体" w:hAnsi="宋体" w:cs="宋体"/>
                <w:b/>
                <w:bCs/>
                <w:color w:val="auto"/>
                <w:szCs w:val="21"/>
                <w:highlight w:val="none"/>
              </w:rPr>
              <w:t>：研学旅行管理与服务专业虚拟仿真实训室项目</w:t>
            </w:r>
          </w:p>
        </w:tc>
      </w:tr>
      <w:tr w14:paraId="3001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exact"/>
          <w:jc w:val="center"/>
        </w:trPr>
        <w:tc>
          <w:tcPr>
            <w:tcW w:w="429" w:type="dxa"/>
            <w:vAlign w:val="center"/>
          </w:tcPr>
          <w:p w14:paraId="0804E90D">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286" w:type="dxa"/>
            <w:vAlign w:val="center"/>
          </w:tcPr>
          <w:p w14:paraId="4B0EB32B">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标的名称</w:t>
            </w:r>
          </w:p>
        </w:tc>
        <w:tc>
          <w:tcPr>
            <w:tcW w:w="738" w:type="dxa"/>
            <w:vAlign w:val="center"/>
          </w:tcPr>
          <w:p w14:paraId="1037532A">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数量</w:t>
            </w:r>
          </w:p>
        </w:tc>
        <w:tc>
          <w:tcPr>
            <w:tcW w:w="700" w:type="dxa"/>
            <w:vAlign w:val="center"/>
          </w:tcPr>
          <w:p w14:paraId="63AD5882">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单位</w:t>
            </w:r>
          </w:p>
        </w:tc>
        <w:tc>
          <w:tcPr>
            <w:tcW w:w="5512" w:type="dxa"/>
            <w:vAlign w:val="center"/>
          </w:tcPr>
          <w:p w14:paraId="61E8F23E">
            <w:pPr>
              <w:spacing w:line="400" w:lineRule="exact"/>
              <w:jc w:val="center"/>
              <w:rPr>
                <w:rFonts w:hint="eastAsia" w:ascii="宋体" w:hAnsi="宋体" w:cs="宋体"/>
                <w:b/>
                <w:bCs/>
                <w:color w:val="auto"/>
                <w:szCs w:val="21"/>
                <w:highlight w:val="none"/>
              </w:rPr>
            </w:pPr>
            <w:r>
              <w:rPr>
                <w:rFonts w:hint="eastAsia" w:ascii="宋体" w:hAnsi="宋体" w:cs="宋体"/>
                <w:b/>
                <w:bCs/>
                <w:color w:val="auto"/>
                <w:kern w:val="0"/>
                <w:szCs w:val="21"/>
                <w:highlight w:val="none"/>
              </w:rPr>
              <w:t>技术参数及性能（配置）要求</w:t>
            </w:r>
          </w:p>
        </w:tc>
        <w:tc>
          <w:tcPr>
            <w:tcW w:w="724" w:type="dxa"/>
            <w:vAlign w:val="center"/>
          </w:tcPr>
          <w:p w14:paraId="375AE8E9">
            <w:pPr>
              <w:spacing w:line="400" w:lineRule="exact"/>
              <w:jc w:val="center"/>
              <w:rPr>
                <w:rFonts w:hint="eastAsia"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所属行业</w:t>
            </w:r>
          </w:p>
        </w:tc>
      </w:tr>
      <w:tr w14:paraId="1D75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61649CBF">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w:t>
            </w:r>
          </w:p>
        </w:tc>
        <w:tc>
          <w:tcPr>
            <w:tcW w:w="1286" w:type="dxa"/>
            <w:vAlign w:val="center"/>
          </w:tcPr>
          <w:p w14:paraId="07D84C70">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rPr>
              <w:t>虚拟仿真智能显示设备</w:t>
            </w:r>
          </w:p>
        </w:tc>
        <w:tc>
          <w:tcPr>
            <w:tcW w:w="738" w:type="dxa"/>
            <w:vAlign w:val="center"/>
          </w:tcPr>
          <w:p w14:paraId="3F95F841">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38.5</w:t>
            </w:r>
          </w:p>
        </w:tc>
        <w:tc>
          <w:tcPr>
            <w:tcW w:w="700" w:type="dxa"/>
            <w:vAlign w:val="center"/>
          </w:tcPr>
          <w:p w14:paraId="288E6E2D">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平方米</w:t>
            </w:r>
          </w:p>
        </w:tc>
        <w:tc>
          <w:tcPr>
            <w:tcW w:w="5512" w:type="dxa"/>
            <w:vAlign w:val="center"/>
          </w:tcPr>
          <w:p w14:paraId="3346225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1.像素点间距≤1.87mm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2.LED封装工艺：采用表贴SMD三合一LED灯，像素由1R1G1B组成。</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3.LED模组共阴原理设计：LED的红、绿、蓝三基色发光像素的阴极连接在一起， 提升了在亮度、功耗、稳定性等多项提升，真正达到节能效果。</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4.亮度范围：0-1800cd/㎡无级调节（白平衡亮度≥1000cd/㎡）。</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5.LED显示屏支持7×24小时连续工作无障碍。</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6.显示模组为磁吸安装，支持前维护/后维护，模组、电源、接收卡可全部正面维护更换，无需后维护空间。</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7.色温调整：色温1000-13000K可调，无极可调整、色温误差值≤100K，色温值可自定义。</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8.刷新率/换帧频率：≥4020Hz/60Hz。</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9.静态对比度：≥15000:1，动态对比度：≥10000000:1。</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10.模组平整度：≤0.05mm, 模组拼缝：≤0.05mm。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11.显示模组具有校正参数存储功能，每个模组维护更换后自动校正。即更换的新模组能够自行调节亮度，显示控制软件具有自我诊断能力，整屏模组可替换性，智能模组技术。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12.冗余备份设计：支持信号及电源的冗余功能。</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13.热插拔功能：模块、线材、电源、卡支持全部热插拔功能。</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14.模组驱动芯片具有消鬼影、防拖影及画面稳定无闪烁现象的技术。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15.显示模组具备0级防霉特性。</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▲16.LED显示屏符合IEC TR 62778:2014《IEC 62471的应用：光源和灯具的蓝光危害评估》要求，200mm测试距离、11mrad视场测试条件下蓝光危害辐亮度≤8.52e-01；通过蓝光认证标准测试，保证LED显示屏对人眼观看的安全及其光辐射</w:t>
            </w:r>
            <w:r>
              <w:rPr>
                <w:rFonts w:hint="eastAsia" w:asciiTheme="minorEastAsia" w:hAnsiTheme="minorEastAsia" w:eastAsiaTheme="minorEastAsia" w:cstheme="minorEastAsia"/>
                <w:i w:val="0"/>
                <w:iCs w:val="0"/>
                <w:color w:val="auto"/>
                <w:kern w:val="0"/>
                <w:sz w:val="21"/>
                <w:szCs w:val="21"/>
                <w:u w:val="none"/>
                <w:lang w:val="en-US" w:eastAsia="zh-CN" w:bidi="ar"/>
              </w:rPr>
              <w:t>无危害。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▲17.LED显示屏需通过辐射危害的曝辐限制、眼睛的近紫外危害曝辐限制，符合肉眼观看标准，并符合GB/T 20145-2006 光生物安全性标准，具备对人体眼睛无伤害功能。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▲18.阻燃测试：符合GB/T5169.16-2017电工电子产品着火危险试验(PCB 满足V-0阻燃等级要求，试验过程中无滴落物，样品自燃在10s内熄灭，面板的阻燃等级达到V-0级，PCB板的火焰燃烧或灼热燃烧未达到100mm)；产品阻燃级别达到V-0级。</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19.屏体可靠性：符合GB/T 2423.3-2016国家标</w:t>
            </w:r>
            <w:r>
              <w:rPr>
                <w:rFonts w:hint="eastAsia" w:asciiTheme="minorEastAsia" w:hAnsiTheme="minorEastAsia" w:eastAsiaTheme="minorEastAsia" w:cstheme="minorEastAsia"/>
                <w:i w:val="0"/>
                <w:iCs w:val="0"/>
                <w:color w:val="auto"/>
                <w:kern w:val="0"/>
                <w:sz w:val="21"/>
                <w:szCs w:val="21"/>
                <w:u w:val="none"/>
                <w:lang w:val="en-US" w:eastAsia="zh-CN" w:bidi="ar"/>
              </w:rPr>
              <w:t>准，裸机在50℃、湿度90%环境内连续工作≥200个小时无故障。</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20.表面升温设计：屏幕最大亮度纯白色连续工作6个小时，表面温升＜5K。</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21.恒定湿热试验：通过恒定湿热试验（设定温度40℃相对湿度90%的环境），满足GB/T2423.3-2006电工电子产品环境试验标准要求。</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22.屏幕散热设计：具备无风扇设计，主动散热功能，模组电源与箱体间采用高导热系数的导热硅胶垫，有效的将电源热量导出到箱体外壳，无噪音，噪音值为0dB (A)。</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23.高低温试验：通过高低温试验测试（-5℃至40℃范围内），满足GB/T 2423.22-2002环境试验要求。</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24.盐雾腐蚀：经过35℃连续喷雾48h试验，符合GB/T 2423.17-2008盐雾11级要求。</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25.LED显示屏的MTTR平均修复时间≤8分钟，可用度≥99.999%。</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26.LED显示屏需采用节能设计，并通过国家节能认证，需提供节能证书复印件，所提供的证书中“委托人（申请人）”、“生产者（制造商）”和“生产厂（生产企业）”三个名称必须一致。</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27.LED显示屏需提供CCC证书复印件，所提供的证书中“委托人（申请人）”、“生产者（制造商）”和“生产厂（生产企业）”三个名称必须一致。</w:t>
            </w:r>
          </w:p>
        </w:tc>
        <w:tc>
          <w:tcPr>
            <w:tcW w:w="724" w:type="dxa"/>
            <w:vAlign w:val="center"/>
          </w:tcPr>
          <w:p w14:paraId="160E16D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16AA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2B8E721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2</w:t>
            </w:r>
          </w:p>
        </w:tc>
        <w:tc>
          <w:tcPr>
            <w:tcW w:w="1286" w:type="dxa"/>
            <w:vAlign w:val="center"/>
          </w:tcPr>
          <w:p w14:paraId="2BD0C92F">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3D视频处理器</w:t>
            </w:r>
          </w:p>
        </w:tc>
        <w:tc>
          <w:tcPr>
            <w:tcW w:w="738" w:type="dxa"/>
            <w:vAlign w:val="center"/>
          </w:tcPr>
          <w:p w14:paraId="738AD2E4">
            <w:pPr>
              <w:widowControl/>
              <w:jc w:val="center"/>
              <w:textAlignment w:val="center"/>
              <w:rPr>
                <w:rFonts w:hint="eastAsia" w:ascii="宋体" w:hAnsi="宋体" w:cs="宋体"/>
                <w:color w:val="auto"/>
                <w:kern w:val="0"/>
                <w:szCs w:val="21"/>
                <w:highlight w:val="none"/>
              </w:rPr>
            </w:pPr>
            <w:r>
              <w:rPr>
                <w:rFonts w:hint="eastAsia" w:ascii="宋体" w:hAnsi="宋体" w:eastAsia="宋体" w:cs="宋体"/>
                <w:color w:val="auto"/>
                <w:sz w:val="21"/>
                <w:szCs w:val="21"/>
                <w:highlight w:val="none"/>
                <w:lang w:val="en-US" w:eastAsia="zh-CN"/>
              </w:rPr>
              <w:t>1</w:t>
            </w:r>
          </w:p>
        </w:tc>
        <w:tc>
          <w:tcPr>
            <w:tcW w:w="700" w:type="dxa"/>
            <w:vAlign w:val="center"/>
          </w:tcPr>
          <w:p w14:paraId="7D014E5F">
            <w:pPr>
              <w:widowControl/>
              <w:jc w:val="center"/>
              <w:textAlignment w:val="center"/>
              <w:rPr>
                <w:rFonts w:hint="eastAsia" w:ascii="宋体" w:hAnsi="宋体" w:cs="宋体"/>
                <w:color w:val="auto"/>
                <w:kern w:val="0"/>
                <w:szCs w:val="21"/>
                <w:highlight w:val="none"/>
              </w:rPr>
            </w:pPr>
            <w:r>
              <w:rPr>
                <w:rFonts w:hint="eastAsia" w:ascii="宋体" w:hAnsi="宋体" w:eastAsia="宋体" w:cs="宋体"/>
                <w:color w:val="auto"/>
                <w:sz w:val="21"/>
                <w:szCs w:val="21"/>
                <w:highlight w:val="none"/>
                <w:lang w:val="en-US" w:eastAsia="zh-CN"/>
              </w:rPr>
              <w:t>台</w:t>
            </w:r>
          </w:p>
        </w:tc>
        <w:tc>
          <w:tcPr>
            <w:tcW w:w="5512" w:type="dxa"/>
            <w:vAlign w:val="center"/>
          </w:tcPr>
          <w:p w14:paraId="37D7732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 纯硬件结构设计，无系统，无CPU，不会出现蓝屏死机现象。</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 24 网口输出的集视频处理、视频控制功能于一体的二合一控制服务器。单台设备最大带载 1560 万像素点，最大宽度可达 16384 像素，最高 8192 像素，满足现场超宽、超高显示屏控制；</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 最大支持 4K×2K@60Hz 视频输入，并最大可支持 9 路视频信</w:t>
            </w:r>
          </w:p>
          <w:p w14:paraId="6D2EAB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号输入，最多支持 12 个图层资源并支持输出画面无级缩放、逐点亮色度校正等功能，可提供优异的图像显示。</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 所有图层均支持抠图、透明度调节，呈现最佳效果</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5. 支持信号源热备份</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6. 支持一键黑屏/静止</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7. 支持去黑边/剪裁功能：解决前端信号产生的黑边问题，针对任意信号源做任意裁剪（依旧保持满屏状态）</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8. 支持K-HDR，使得普通SDR素材呈现HDR显示效果，解决HDR素材少的痛点</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9. 监视口输出支持同时监视输入和输出，并支持配置为返看输出。</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10. 处理</w:t>
            </w:r>
            <w:r>
              <w:rPr>
                <w:rFonts w:hint="eastAsia" w:asciiTheme="minorEastAsia" w:hAnsiTheme="minorEastAsia" w:eastAsiaTheme="minorEastAsia" w:cstheme="minorEastAsia"/>
                <w:i w:val="0"/>
                <w:iCs w:val="0"/>
                <w:color w:val="auto"/>
                <w:kern w:val="0"/>
                <w:sz w:val="21"/>
                <w:szCs w:val="21"/>
                <w:u w:val="none"/>
                <w:lang w:val="en-US" w:eastAsia="zh-CN" w:bidi="ar"/>
              </w:rPr>
              <w:t>器具备较好的抗电强度，电源输入端与GND之间:加电1500Vac测试1min,无飞弧、无击穿；电源输入端与可触及的部件之间:加电3000Vac，测试1min,无飞弧、无击穿，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11. 高低温试验：通过高低温试验测试（-5℃至40℃范围内），满足环境试验要求。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12. 恒定湿热试验：通过恒定湿热试验测试（设定温度40℃相对湿度90％的环境），满足电工电子产品环境试验标准要求。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13.▲处理器支持最高240Hz处理速度，画面流畅、不丢帧、无残影，画面不撕裂。图像信号无压缩、无失真实时传输，具备整墙同步功能，保证了各个显示单元间的信号窗口的显示同步。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14. ▲处理器支持场景保存、个性化命名、修改和一键快速调用，场景调用响应时间≤12ms；支持场景轮巡并可以设置轮巡间隔时间。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15. 支持无缝切换，画面切换时无黑场，无蓝屏，整屏画面切换时间≤16ms。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16. 处理器应采用抗振动设计，符合IP6X等级要求。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17.▲处理器操作系统采用精细化分级管理机制，支持多用户按照不同的权限进行登陆、支持将输入信号进行个性化命名、支持对输入信号进行裁切，选择信号中需要的区域上屏显示、支持多用户多权限、多显示终端管理。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18.▲支持选配最多支持四个信号同时无线投</w:t>
            </w:r>
            <w:r>
              <w:rPr>
                <w:rFonts w:hint="eastAsia" w:asciiTheme="minorEastAsia" w:hAnsiTheme="minorEastAsia" w:eastAsiaTheme="minorEastAsia" w:cstheme="minorEastAsia"/>
                <w:i w:val="0"/>
                <w:iCs w:val="0"/>
                <w:color w:val="auto"/>
                <w:kern w:val="0"/>
                <w:sz w:val="21"/>
                <w:szCs w:val="21"/>
                <w:u w:val="none"/>
                <w:lang w:val="en-US" w:eastAsia="zh-CN" w:bidi="ar"/>
              </w:rPr>
              <w:t>屏显示，避免了频繁切换画面的麻烦；支持打开、上翻、下翻、退出PPT以及反控功能，无需来回走动，就能实现对电脑的实时控制，保证了使用的连贯性和高效性。</w:t>
            </w:r>
            <w:r>
              <w:rPr>
                <w:rFonts w:hint="eastAsia" w:asciiTheme="minorEastAsia" w:hAnsiTheme="minorEastAsia" w:eastAsiaTheme="minorEastAsia" w:cstheme="minorEastAsia"/>
                <w:i w:val="0"/>
                <w:iCs w:val="0"/>
                <w:color w:val="auto"/>
                <w:kern w:val="0"/>
                <w:sz w:val="21"/>
                <w:szCs w:val="21"/>
                <w:highlight w:val="yellow"/>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shd w:val="clear"/>
                <w:lang w:val="en-US" w:eastAsia="zh-CN" w:bidi="ar"/>
              </w:rPr>
              <w:t>19. 处理器需提供CCC证书复印件</w:t>
            </w:r>
          </w:p>
        </w:tc>
        <w:tc>
          <w:tcPr>
            <w:tcW w:w="724" w:type="dxa"/>
            <w:vAlign w:val="center"/>
          </w:tcPr>
          <w:p w14:paraId="219B5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72F2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429" w:type="dxa"/>
            <w:vAlign w:val="center"/>
          </w:tcPr>
          <w:p w14:paraId="3F121EA3">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3</w:t>
            </w:r>
          </w:p>
        </w:tc>
        <w:tc>
          <w:tcPr>
            <w:tcW w:w="1286" w:type="dxa"/>
            <w:vAlign w:val="center"/>
          </w:tcPr>
          <w:p w14:paraId="3AC90AB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rPr>
              <w:t>专用结构</w:t>
            </w:r>
          </w:p>
        </w:tc>
        <w:tc>
          <w:tcPr>
            <w:tcW w:w="738" w:type="dxa"/>
            <w:vAlign w:val="center"/>
          </w:tcPr>
          <w:p w14:paraId="0377131C">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38.5</w:t>
            </w:r>
          </w:p>
        </w:tc>
        <w:tc>
          <w:tcPr>
            <w:tcW w:w="700" w:type="dxa"/>
            <w:vAlign w:val="center"/>
          </w:tcPr>
          <w:p w14:paraId="6D02C37E">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平方米</w:t>
            </w:r>
          </w:p>
        </w:tc>
        <w:tc>
          <w:tcPr>
            <w:tcW w:w="5512" w:type="dxa"/>
            <w:vAlign w:val="center"/>
          </w:tcPr>
          <w:p w14:paraId="71F0364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1.提供无指纹黑色不锈钢拉丝材料高档包边；</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2.专业设计机械结构，需采用一体化结构设计，经久耐用，具有抗震性，耐腐蚀，可现场快速安装，易于维护，后续升级方便；</w:t>
            </w:r>
          </w:p>
        </w:tc>
        <w:tc>
          <w:tcPr>
            <w:tcW w:w="724" w:type="dxa"/>
            <w:vAlign w:val="center"/>
          </w:tcPr>
          <w:p w14:paraId="22439FF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5569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3958FCDF">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4</w:t>
            </w:r>
          </w:p>
        </w:tc>
        <w:tc>
          <w:tcPr>
            <w:tcW w:w="1286" w:type="dxa"/>
            <w:vAlign w:val="center"/>
          </w:tcPr>
          <w:p w14:paraId="045269BC">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VR工作站</w:t>
            </w:r>
          </w:p>
        </w:tc>
        <w:tc>
          <w:tcPr>
            <w:tcW w:w="738" w:type="dxa"/>
            <w:vAlign w:val="center"/>
          </w:tcPr>
          <w:p w14:paraId="230C9A52">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700" w:type="dxa"/>
            <w:vAlign w:val="center"/>
          </w:tcPr>
          <w:p w14:paraId="22F7D322">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台</w:t>
            </w:r>
          </w:p>
        </w:tc>
        <w:tc>
          <w:tcPr>
            <w:tcW w:w="5512" w:type="dxa"/>
            <w:vAlign w:val="center"/>
          </w:tcPr>
          <w:p w14:paraId="721D14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1. CPU:</w:t>
            </w:r>
            <w:r>
              <w:rPr>
                <w:rFonts w:hint="eastAsia" w:asciiTheme="minorEastAsia" w:hAnsiTheme="minorEastAsia" w:eastAsiaTheme="minorEastAsia" w:cstheme="minorEastAsia"/>
                <w:i w:val="0"/>
                <w:iCs w:val="0"/>
                <w:color w:val="auto"/>
                <w:kern w:val="0"/>
                <w:sz w:val="21"/>
                <w:szCs w:val="21"/>
                <w:u w:val="none"/>
                <w:lang w:val="en-US" w:eastAsia="zh-CN" w:bidi="ar"/>
              </w:rPr>
              <w:t xml:space="preserve"> </w:t>
            </w:r>
            <w:r>
              <w:rPr>
                <w:rFonts w:hint="eastAsia"/>
                <w:color w:val="auto"/>
                <w:lang w:eastAsia="zh-CN"/>
              </w:rPr>
              <w:t>参照或相当于</w:t>
            </w:r>
            <w:r>
              <w:rPr>
                <w:rFonts w:hint="eastAsia" w:asciiTheme="minorEastAsia" w:hAnsiTheme="minorEastAsia" w:eastAsiaTheme="minorEastAsia" w:cstheme="minorEastAsia"/>
                <w:i w:val="0"/>
                <w:iCs w:val="0"/>
                <w:color w:val="auto"/>
                <w:kern w:val="0"/>
                <w:sz w:val="21"/>
                <w:szCs w:val="21"/>
                <w:u w:val="none"/>
                <w:lang w:val="en-US" w:eastAsia="zh-CN" w:bidi="ar"/>
              </w:rPr>
              <w:t>I7 13 代</w:t>
            </w:r>
            <w:r>
              <w:rPr>
                <w:rFonts w:hint="eastAsia"/>
                <w:color w:val="auto"/>
                <w:lang w:val="en-US" w:eastAsia="zh-CN"/>
              </w:rPr>
              <w:t>同档位或以上</w:t>
            </w: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2.内存:≥32GB</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3.网卡：</w:t>
            </w:r>
            <w:r>
              <w:rPr>
                <w:rFonts w:hint="eastAsia"/>
                <w:color w:val="auto"/>
                <w:lang w:eastAsia="zh-CN"/>
              </w:rPr>
              <w:t>参照或相当于</w:t>
            </w:r>
            <w:r>
              <w:rPr>
                <w:rFonts w:hint="eastAsia" w:asciiTheme="minorEastAsia" w:hAnsiTheme="minorEastAsia" w:eastAsiaTheme="minorEastAsia" w:cstheme="minorEastAsia"/>
                <w:i w:val="0"/>
                <w:iCs w:val="0"/>
                <w:color w:val="auto"/>
                <w:kern w:val="0"/>
                <w:sz w:val="21"/>
                <w:szCs w:val="21"/>
                <w:u w:val="none"/>
                <w:lang w:val="en-US" w:eastAsia="zh-CN" w:bidi="ar"/>
              </w:rPr>
              <w:t>集</w:t>
            </w:r>
            <w:r>
              <w:rPr>
                <w:rFonts w:hint="eastAsia" w:asciiTheme="minorEastAsia" w:hAnsiTheme="minorEastAsia" w:eastAsiaTheme="minorEastAsia" w:cstheme="minorEastAsia"/>
                <w:i w:val="0"/>
                <w:iCs w:val="0"/>
                <w:color w:val="auto"/>
                <w:kern w:val="0"/>
                <w:sz w:val="21"/>
                <w:szCs w:val="21"/>
                <w:u w:val="none"/>
                <w:lang w:val="en-US" w:eastAsia="zh-CN" w:bidi="ar"/>
              </w:rPr>
              <w:t>成Intel Dual Band wireless 及Realtek 千兆以太网卡</w:t>
            </w:r>
            <w:r>
              <w:rPr>
                <w:rFonts w:hint="eastAsia"/>
                <w:color w:val="auto"/>
                <w:lang w:val="en-US" w:eastAsia="zh-CN"/>
              </w:rPr>
              <w:t>同档位或以上</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4.显卡：≥8G 显存</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5.硬盘： 512GB SSD + 1T机械硬盘</w:t>
            </w:r>
          </w:p>
        </w:tc>
        <w:tc>
          <w:tcPr>
            <w:tcW w:w="724" w:type="dxa"/>
            <w:vAlign w:val="center"/>
          </w:tcPr>
          <w:p w14:paraId="51BA68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27D4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77075702">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5</w:t>
            </w:r>
          </w:p>
        </w:tc>
        <w:tc>
          <w:tcPr>
            <w:tcW w:w="1286" w:type="dxa"/>
            <w:vAlign w:val="center"/>
          </w:tcPr>
          <w:p w14:paraId="666D8C56">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智能配电柜</w:t>
            </w:r>
          </w:p>
        </w:tc>
        <w:tc>
          <w:tcPr>
            <w:tcW w:w="738" w:type="dxa"/>
            <w:vAlign w:val="center"/>
          </w:tcPr>
          <w:p w14:paraId="6C7E2FA3">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700" w:type="dxa"/>
            <w:vAlign w:val="center"/>
          </w:tcPr>
          <w:p w14:paraId="5944FBF8">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个</w:t>
            </w:r>
          </w:p>
        </w:tc>
        <w:tc>
          <w:tcPr>
            <w:tcW w:w="5512" w:type="dxa"/>
            <w:vAlign w:val="center"/>
          </w:tcPr>
          <w:p w14:paraId="3DD0005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1.40KW配电系统，配电柜中需带多功能卡，具备远程、分布上电功能。</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2.配电系统需具备智能监测及防雷、远程监控功能。</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3.配电系统需具有过压、过流、欠压、短路、断路以及漏电保护措施。</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须与LED显示屏同一品牌</w:t>
            </w: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724" w:type="dxa"/>
            <w:vAlign w:val="center"/>
          </w:tcPr>
          <w:p w14:paraId="71AE8E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7275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77103D47">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6</w:t>
            </w:r>
          </w:p>
        </w:tc>
        <w:tc>
          <w:tcPr>
            <w:tcW w:w="1286" w:type="dxa"/>
            <w:vAlign w:val="center"/>
          </w:tcPr>
          <w:p w14:paraId="080F0A92">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中控系统</w:t>
            </w:r>
          </w:p>
        </w:tc>
        <w:tc>
          <w:tcPr>
            <w:tcW w:w="738" w:type="dxa"/>
            <w:vAlign w:val="center"/>
          </w:tcPr>
          <w:p w14:paraId="789007EC">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6ED8B7FD">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套</w:t>
            </w:r>
          </w:p>
        </w:tc>
        <w:tc>
          <w:tcPr>
            <w:tcW w:w="5512" w:type="dxa"/>
            <w:vAlign w:val="center"/>
          </w:tcPr>
          <w:p w14:paraId="5264C9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1.设备采用2U机箱，外壳防护等级符合GB/T4208-2017中IP20标准要求，机箱采用激光切割、精密数控折弯成型，保证加工精度及成型质量；设备各组件间通过压铆件、螺钉紧固，保证主体强度；</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2.设备前面板内嵌分辨率480x270的LCD彩色液晶屏，支持设备IP地址显示，可实时检测接口状态、整机温度、CPU使用率、存储空间等，可视化呈现设备的工作状态，做到及时预警、便捷运维；</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3.采用嵌入式操作</w:t>
            </w:r>
            <w:r>
              <w:rPr>
                <w:rFonts w:hint="eastAsia" w:asciiTheme="minorEastAsia" w:hAnsiTheme="minorEastAsia" w:eastAsiaTheme="minorEastAsia" w:cstheme="minorEastAsia"/>
                <w:i w:val="0"/>
                <w:iCs w:val="0"/>
                <w:color w:val="auto"/>
                <w:kern w:val="0"/>
                <w:sz w:val="21"/>
                <w:szCs w:val="21"/>
                <w:u w:val="none"/>
                <w:lang w:val="en-US" w:eastAsia="zh-CN" w:bidi="ar"/>
              </w:rPr>
              <w:t>系统，</w:t>
            </w:r>
            <w:r>
              <w:rPr>
                <w:rFonts w:hint="eastAsia"/>
                <w:color w:val="auto"/>
                <w:lang w:eastAsia="zh-CN"/>
              </w:rPr>
              <w:t>参照或相当于</w:t>
            </w:r>
            <w:r>
              <w:rPr>
                <w:rFonts w:hint="eastAsia" w:asciiTheme="minorEastAsia" w:hAnsiTheme="minorEastAsia" w:eastAsiaTheme="minorEastAsia" w:cstheme="minorEastAsia"/>
                <w:i w:val="0"/>
                <w:iCs w:val="0"/>
                <w:color w:val="auto"/>
                <w:kern w:val="0"/>
                <w:sz w:val="21"/>
                <w:szCs w:val="21"/>
                <w:u w:val="none"/>
                <w:lang w:val="en-US" w:eastAsia="zh-CN" w:bidi="ar"/>
              </w:rPr>
              <w:t>CPU</w:t>
            </w:r>
            <w:r>
              <w:rPr>
                <w:rFonts w:hint="eastAsia" w:asciiTheme="minorEastAsia" w:hAnsiTheme="minorEastAsia" w:eastAsiaTheme="minorEastAsia" w:cstheme="minorEastAsia"/>
                <w:i w:val="0"/>
                <w:iCs w:val="0"/>
                <w:color w:val="auto"/>
                <w:kern w:val="0"/>
                <w:sz w:val="21"/>
                <w:szCs w:val="21"/>
                <w:u w:val="none"/>
                <w:lang w:val="en-US" w:eastAsia="zh-CN" w:bidi="ar"/>
              </w:rPr>
              <w:t xml:space="preserve"> ARM Cortex ® 32位工业级处理器</w:t>
            </w:r>
            <w:r>
              <w:rPr>
                <w:rFonts w:hint="eastAsia"/>
                <w:color w:val="auto"/>
                <w:lang w:val="en-US" w:eastAsia="zh-CN"/>
              </w:rPr>
              <w:t>同档位或以上</w:t>
            </w:r>
            <w:r>
              <w:rPr>
                <w:rFonts w:hint="eastAsia" w:asciiTheme="minorEastAsia" w:hAnsiTheme="minorEastAsia" w:eastAsiaTheme="minorEastAsia" w:cstheme="minorEastAsia"/>
                <w:i w:val="0"/>
                <w:iCs w:val="0"/>
                <w:color w:val="auto"/>
                <w:kern w:val="0"/>
                <w:sz w:val="21"/>
                <w:szCs w:val="21"/>
                <w:u w:val="none"/>
                <w:lang w:val="en-US" w:eastAsia="zh-CN" w:bidi="ar"/>
              </w:rPr>
              <w:t>，8GB 高速存储器，2G内置存储器，支持SSL加密技术；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4.设备可靠性高，支持 7*24小时持续稳定运行，平均无故障运行时间（MTBF）≥300000小时；</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5.具备视频矩阵功能，最大支持3840*2160@60hz输入输出，支持8bit和10bit位深处理，支持伴随音频，支持画面回显；</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6.支持定时、条件触发、界面触发、多线程时间触发、预案管理等多种方式联动控制，实现智能化管理；</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7.支持通讯反馈，实时掌握受控设备的工作状态，支持多个智能操作终端之间设备控制状态实时同步；</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8.环境控制：支持可视化设计器编辑的环境控制工程，通过智能中控对灯光，窗帘、云台、电视、声音音量等外围环境进行控制；</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9.音频控制：支持调整系统中音频信息，包含输入输出音量大小调节，音频矩阵的对应关系调整等；</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10.视频控制器：支持对添加的视频控制器进行信号源开窗、调整图层属性、删除图层、切换图层输入源、保存场景、切换场景等操作，支持屏幕冻结、黑屏、锁屏、图层布局、优先级操作、开启/关闭OSD和BKG、音量和亮度调节。</w:t>
            </w:r>
          </w:p>
        </w:tc>
        <w:tc>
          <w:tcPr>
            <w:tcW w:w="724" w:type="dxa"/>
            <w:vAlign w:val="center"/>
          </w:tcPr>
          <w:p w14:paraId="0D3063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2206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4C4D5FE0">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7</w:t>
            </w:r>
          </w:p>
        </w:tc>
        <w:tc>
          <w:tcPr>
            <w:tcW w:w="1286" w:type="dxa"/>
            <w:vAlign w:val="center"/>
          </w:tcPr>
          <w:p w14:paraId="41CD386C">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机柜</w:t>
            </w:r>
          </w:p>
        </w:tc>
        <w:tc>
          <w:tcPr>
            <w:tcW w:w="738" w:type="dxa"/>
            <w:vAlign w:val="center"/>
          </w:tcPr>
          <w:p w14:paraId="4509A1F3">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700" w:type="dxa"/>
            <w:vAlign w:val="center"/>
          </w:tcPr>
          <w:p w14:paraId="48AF7F03">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个</w:t>
            </w:r>
          </w:p>
        </w:tc>
        <w:tc>
          <w:tcPr>
            <w:tcW w:w="5512" w:type="dxa"/>
            <w:vAlign w:val="center"/>
          </w:tcPr>
          <w:p w14:paraId="4E7B37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高度≧1200mm，宽度≧600mm，深度≧1000mm；容量≧22U等</w:t>
            </w:r>
          </w:p>
        </w:tc>
        <w:tc>
          <w:tcPr>
            <w:tcW w:w="724" w:type="dxa"/>
            <w:vAlign w:val="center"/>
          </w:tcPr>
          <w:p w14:paraId="42FF75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5713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665B605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8</w:t>
            </w:r>
          </w:p>
        </w:tc>
        <w:tc>
          <w:tcPr>
            <w:tcW w:w="1286" w:type="dxa"/>
            <w:vAlign w:val="center"/>
          </w:tcPr>
          <w:p w14:paraId="014CF40A">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智慧讲台</w:t>
            </w:r>
          </w:p>
        </w:tc>
        <w:tc>
          <w:tcPr>
            <w:tcW w:w="738" w:type="dxa"/>
            <w:vAlign w:val="center"/>
          </w:tcPr>
          <w:p w14:paraId="61CF26A9">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700" w:type="dxa"/>
            <w:vAlign w:val="center"/>
          </w:tcPr>
          <w:p w14:paraId="76DEC304">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个</w:t>
            </w:r>
          </w:p>
        </w:tc>
        <w:tc>
          <w:tcPr>
            <w:tcW w:w="5512" w:type="dxa"/>
            <w:vAlign w:val="center"/>
          </w:tcPr>
          <w:p w14:paraId="5FE5BD44">
            <w:pPr>
              <w:keepNext w:val="0"/>
              <w:keepLines w:val="0"/>
              <w:pageBreakBefore w:val="0"/>
              <w:widowControl/>
              <w:numPr>
                <w:ilvl w:val="0"/>
                <w:numId w:val="2"/>
              </w:numPr>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产品尺寸L*W*H（mm）：1100*650*1100mm(±5mm) ；桌面离地高度：900mm(±5mm)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2.钢木结合，讲桌上下层钣金采用1.0-2.0mm冷轧钢板。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整体采用环抱式设计，前面采用前倾式结构设计。讲桌采用上下分层设计，上层围边采用厚18mm的高厚度木质材料，学生端拐角处通过钣金连接固定，倒角R50。结合处无明显缝隙设计工艺；下层中间门可垂直上提打开，通过一把锁锁住；</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布局设计：桌面左侧设计放置21.5寸触控显示器装置，仰角为26°；显示器装置下方位具备一个同品牌的嵌入式物理小键盘，桌面右侧整体平整设计；设计一个抽屉可放置教学教学教具使用，抽屉采用三节加厚钢珠静音导轨，材料厚度为1.2mm，导轨符合GB/T 10125-2021《人造气氛腐蚀试验 盐雾试验》、GB/T 6461-2002《金属基体上金属和其他无机覆盖层经腐蚀试验后的试样和试件的评级》检测要求，保护评级为RA十级。</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5.桌面左侧配置支持10点触控的21.5寸显示器，可反控教室交互大屏，同教室显示大屏同步显示以及互动。显示器上部配置7键亚克力触摸按键，分别是开/关机、批注、批注清屏、批注撤销、一键桌面、快捷启动、软件设置，触摸按键右侧配置USB接口*1；</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6.显示器框右侧立面配置电源插座口*1，USB 3.0接口*1，HDMI接口*1；具备专业书写笔一支，固定设计且配伸缩式连接线。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7.智能讲桌上部具备硬按键式专业书写软件，大大减少老师学习成本，按物理按键就可进行书写批注功能，可对书写过程撤销、对书写内容键清屏等功能，每个按键也可以自行定义书写的功能；</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8.讲台配有直径≥80mmABS材料的水杯架，深度≥80mm，呈喇叭状，方便放水杯；底部有孔；可旋转角度≥90度，隐藏式安装。1个弹簧式挂钩</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9.智能讲桌集成USB HUB功能，提供7口USB接入。提供外接输入端口：USB*1，HDMI*1，RJ45网口*2，电源输入接口*1，RS232接口*1。</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10.机柜：钣金机柜设计，机柜的安装空间≥12U。</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11.所投产品通过主要配件中涂层、木板、塑料、标签和金属的检测，其中非金属类（铅、镉、汞、六价铬、多溴联苯、多溴二苯醚）和金属类（铅、镉、汞、六价铬），均未检出，符合GB/T26572-2011的限值要求；</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12.所投产品针对冷轧钢架涂层非金属（铅、镉、汞、六价铬、多溴联苯、多溴二苯醚）含量和金属（铅、镉、汞、六价铬）含量的检测，均为检出，符合GB/T26572-2011的限值要求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724" w:type="dxa"/>
            <w:vAlign w:val="center"/>
          </w:tcPr>
          <w:p w14:paraId="15DEB8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577F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6EBB41B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9</w:t>
            </w:r>
          </w:p>
        </w:tc>
        <w:tc>
          <w:tcPr>
            <w:tcW w:w="1286" w:type="dxa"/>
            <w:vAlign w:val="center"/>
          </w:tcPr>
          <w:p w14:paraId="0EA6CAE4">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多功能桌椅</w:t>
            </w:r>
          </w:p>
        </w:tc>
        <w:tc>
          <w:tcPr>
            <w:tcW w:w="738" w:type="dxa"/>
            <w:vAlign w:val="center"/>
          </w:tcPr>
          <w:p w14:paraId="24B989AF">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50</w:t>
            </w:r>
          </w:p>
        </w:tc>
        <w:tc>
          <w:tcPr>
            <w:tcW w:w="700" w:type="dxa"/>
            <w:vAlign w:val="center"/>
          </w:tcPr>
          <w:p w14:paraId="44AB2212">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张</w:t>
            </w:r>
          </w:p>
        </w:tc>
        <w:tc>
          <w:tcPr>
            <w:tcW w:w="5512" w:type="dxa"/>
            <w:vAlign w:val="center"/>
          </w:tcPr>
          <w:p w14:paraId="77C0EC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1.椅身材质：100%全新PP工程塑料、一次性注塑成型，椅身荷载承重113.4kgs,背部透气孔设计。</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2.支撑杆：2.5MM厚壁可旋转桌板：桌板可旋转和前后移动，支持左右手书写习惯；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3.写字板：旋转角度360°支持左右手书写，配有下陷式笔槽设计和弹出式隐藏杯架，可折叠到侧面收纳；</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4.靠背采用S型超大靠背，背部曲线45cm以上，宽度605cm以上，顺应背部受力点的支持需求；</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5.座椅下，加强优质尼龙料一次成型，100%全新原料，超大储物空间，一椅两用，集坐具和储物于一体；</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6.滑轮：轮子：配50mmPA万向脚轮（防断裂，防断等等）可以随意移动到另一个空间，（地毯配PA材料轮，地胶配PU软胶轮防痕，随意固定配活动刹车轮内分PU、PA材质)支持5E(参与、解释、探索、评估、拓展)学习模式，教学和小组讨论的快速切换。适应多种教学模式：1.演讲模式2.小组讨论模式</w:t>
            </w:r>
          </w:p>
        </w:tc>
        <w:tc>
          <w:tcPr>
            <w:tcW w:w="724" w:type="dxa"/>
            <w:vAlign w:val="center"/>
          </w:tcPr>
          <w:p w14:paraId="283D64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0E06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2E0AE963">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10</w:t>
            </w:r>
          </w:p>
        </w:tc>
        <w:tc>
          <w:tcPr>
            <w:tcW w:w="1286" w:type="dxa"/>
            <w:vAlign w:val="center"/>
          </w:tcPr>
          <w:p w14:paraId="3B609BA0">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音箱系统</w:t>
            </w:r>
          </w:p>
        </w:tc>
        <w:tc>
          <w:tcPr>
            <w:tcW w:w="738" w:type="dxa"/>
            <w:vAlign w:val="center"/>
          </w:tcPr>
          <w:p w14:paraId="682C4D3D">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65634BBC">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套</w:t>
            </w:r>
          </w:p>
        </w:tc>
        <w:tc>
          <w:tcPr>
            <w:tcW w:w="5512" w:type="dxa"/>
            <w:vAlign w:val="center"/>
          </w:tcPr>
          <w:p w14:paraId="20E7AA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一、移频功放</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1.多媒体移频功放，5路话筒输入，4路可选48V供电模式；</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2.一路双声道音源输入，一路双声道线路输出；</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3.具有USB播放口，支持U盘播放，内置FM调谐器功能；</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4.A/B两组接线柱，输出功率≥2*300W/8Ω，≥2*450W/4Ω。</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二、壁挂音箱</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1.2分频双6.5"多媒体音箱；</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2.频响范围(-3dB)：60Hz～18KHz；</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3.额定功率：≥120W；</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4.灵敏度：≥93dB（1m/1w）。</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三、一拖二无线手持话筒</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 .一拖二无线手持话筒，支持混合和独立输出；</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2.支持红外线数据自动同步（SYNC），能快速将接收机频率同步到发射器上；</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3.具有A/B通道的静噪调节旋钮；</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4.支持≥200个调谐频点可选；</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5.频率范围：≥740MHz~790MHz。</w:t>
            </w:r>
          </w:p>
        </w:tc>
        <w:tc>
          <w:tcPr>
            <w:tcW w:w="724" w:type="dxa"/>
            <w:vAlign w:val="center"/>
          </w:tcPr>
          <w:p w14:paraId="696309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6783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14CF8A2F">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11</w:t>
            </w:r>
          </w:p>
        </w:tc>
        <w:tc>
          <w:tcPr>
            <w:tcW w:w="1286" w:type="dxa"/>
            <w:vAlign w:val="center"/>
          </w:tcPr>
          <w:p w14:paraId="3C70FA03">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数据交换</w:t>
            </w:r>
            <w:r>
              <w:rPr>
                <w:rFonts w:hint="eastAsia" w:ascii="宋体" w:hAnsi="宋体" w:cs="宋体"/>
                <w:color w:val="auto"/>
                <w:kern w:val="0"/>
                <w:sz w:val="21"/>
                <w:szCs w:val="21"/>
                <w:highlight w:val="none"/>
                <w:lang w:val="en-US" w:eastAsia="zh-CN"/>
              </w:rPr>
              <w:t>机</w:t>
            </w:r>
          </w:p>
        </w:tc>
        <w:tc>
          <w:tcPr>
            <w:tcW w:w="738" w:type="dxa"/>
            <w:vAlign w:val="center"/>
          </w:tcPr>
          <w:p w14:paraId="5A7D7027">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700" w:type="dxa"/>
            <w:vAlign w:val="center"/>
          </w:tcPr>
          <w:p w14:paraId="28BE6CBF">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个</w:t>
            </w:r>
          </w:p>
        </w:tc>
        <w:tc>
          <w:tcPr>
            <w:tcW w:w="5512" w:type="dxa"/>
            <w:vAlign w:val="center"/>
          </w:tcPr>
          <w:p w14:paraId="1E437E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交换容量≥192Gbps，包转发率≥42Mpps；固化千兆电口≥24个，千兆光口≥4个等</w:t>
            </w:r>
          </w:p>
        </w:tc>
        <w:tc>
          <w:tcPr>
            <w:tcW w:w="724" w:type="dxa"/>
            <w:vAlign w:val="center"/>
          </w:tcPr>
          <w:p w14:paraId="2270A7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55C4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7BD7D2EA">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12</w:t>
            </w:r>
          </w:p>
        </w:tc>
        <w:tc>
          <w:tcPr>
            <w:tcW w:w="1286" w:type="dxa"/>
            <w:vAlign w:val="center"/>
          </w:tcPr>
          <w:p w14:paraId="1E07966C">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千兆企业级路由器</w:t>
            </w:r>
          </w:p>
        </w:tc>
        <w:tc>
          <w:tcPr>
            <w:tcW w:w="738" w:type="dxa"/>
            <w:vAlign w:val="center"/>
          </w:tcPr>
          <w:p w14:paraId="5E72A43A">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700" w:type="dxa"/>
            <w:vAlign w:val="center"/>
          </w:tcPr>
          <w:p w14:paraId="58CF7D5B">
            <w:pPr>
              <w:widowControl/>
              <w:jc w:val="center"/>
              <w:textAlignment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个</w:t>
            </w:r>
          </w:p>
        </w:tc>
        <w:tc>
          <w:tcPr>
            <w:tcW w:w="5512" w:type="dxa"/>
            <w:vAlign w:val="center"/>
          </w:tcPr>
          <w:p w14:paraId="5A5654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802.11ax双路双频；整机最高接入速率2.97Gbps；支持胖/瘦模式切换等</w:t>
            </w:r>
          </w:p>
        </w:tc>
        <w:tc>
          <w:tcPr>
            <w:tcW w:w="724" w:type="dxa"/>
            <w:vAlign w:val="center"/>
          </w:tcPr>
          <w:p w14:paraId="1958BE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工业</w:t>
            </w:r>
          </w:p>
        </w:tc>
      </w:tr>
      <w:tr w14:paraId="2EE4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00D3C1BF">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13</w:t>
            </w:r>
          </w:p>
        </w:tc>
        <w:tc>
          <w:tcPr>
            <w:tcW w:w="1286" w:type="dxa"/>
            <w:vAlign w:val="center"/>
          </w:tcPr>
          <w:p w14:paraId="78AA531F">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研学基(营)地运营与管理系统</w:t>
            </w:r>
          </w:p>
        </w:tc>
        <w:tc>
          <w:tcPr>
            <w:tcW w:w="738" w:type="dxa"/>
            <w:vAlign w:val="center"/>
          </w:tcPr>
          <w:p w14:paraId="44CC6C7F">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24CD3AE0">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套</w:t>
            </w:r>
          </w:p>
        </w:tc>
        <w:tc>
          <w:tcPr>
            <w:tcW w:w="5512" w:type="dxa"/>
            <w:vAlign w:val="center"/>
          </w:tcPr>
          <w:p w14:paraId="5C8D090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系统包含研学基（营）地教学管理、研学基（营）地活动与安全管理实践、研学基（营）地评价管理、研学基（营）地后勤服务模块、研学基（营）地仓库管理、研学基（营）地供应商管理、研学基（营）地营销管理、研学基（营）地人事管理；学生可通过浏览器访问系统，完成研学基（营）地的经营，能同时提供50个以上工位数同时使用。</w:t>
            </w:r>
          </w:p>
          <w:p w14:paraId="1C9BBEE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1.研学基（营）地教学管理模块</w:t>
            </w:r>
          </w:p>
          <w:p w14:paraId="01B9B71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（1）支持研学场地管理,支持新增研学场地；</w:t>
            </w:r>
          </w:p>
          <w:p w14:paraId="718891E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（2）支持场地图片上传和管理功能；</w:t>
            </w:r>
          </w:p>
          <w:p w14:paraId="51241B6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（3）支持场地管理维护,包括场地使用记录、设施设备维修记录等；</w:t>
            </w:r>
          </w:p>
          <w:p w14:paraId="54B0FBB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（4）支持场地信息详情查看功能，包括基地名称、开放时间、地理位置、门票价格、最大容量等信息；</w:t>
            </w:r>
          </w:p>
          <w:p w14:paraId="7355232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（5）支持基地科目管理,支持新增研学科目；</w:t>
            </w:r>
          </w:p>
          <w:p w14:paraId="3D2205F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（6）支持科目信息详情查看功能，包括科目名称、科目类别、是否争章、接待容量、科目价格等信息；</w:t>
            </w:r>
          </w:p>
          <w:p w14:paraId="0D15A75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（7）支持基地科目上传时可添加始创教师信息、教学内容、附件等信息；</w:t>
            </w:r>
          </w:p>
          <w:p w14:paraId="38BA5EE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（8）支持科目列表根据id检索对应科目；</w:t>
            </w:r>
          </w:p>
          <w:p w14:paraId="002B5AC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（9）支持研学旅行产品管理，支持新增研学旅行产品；</w:t>
            </w:r>
          </w:p>
          <w:p w14:paraId="2508B78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（10）支持研学旅行产品详情查看功能，包括产品名称、副标题、产品单价、可报名人数、活动状态等信息；</w:t>
            </w:r>
          </w:p>
          <w:p w14:paraId="22F7CE2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（11）支持新增研学产品时添加对应团购价机制，可对拼团人数、拼团优惠额进行编辑设置；</w:t>
            </w:r>
          </w:p>
          <w:p w14:paraId="4775C14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（12）支持新增研学产品时添加早鸟价机制，可对优惠时间、优惠价、机制说明进行编辑设置；</w:t>
            </w:r>
          </w:p>
          <w:p w14:paraId="4103124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color w:val="auto"/>
                <w:sz w:val="21"/>
                <w:szCs w:val="21"/>
                <w:highlight w:val="none"/>
              </w:rPr>
              <w:t>（13）数据板块支持研学群体全国分布的统计及展示，在地图上展示每个省份的数量，并支持根据数量变化颜色，同时统计数量排名，支持将基础信息进行刷新。列表展示地区、画像标签及动态标签，支持按照ID、姓名、标签组、学生分组、上传人进行筛选客户；支持查看画像标签及动态标签；B端/C端/员工数据支持同等以上操作。</w:t>
            </w:r>
          </w:p>
          <w:p w14:paraId="5C6CA6B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（14）支持新增研学产品时编辑产品科目表，可添加所需产品科目及争章要求信息；</w:t>
            </w:r>
          </w:p>
          <w:p w14:paraId="2225919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（15）支持新增研学产品时补充物料需求，可添加所需物料货品名及需求数量信息。</w:t>
            </w:r>
          </w:p>
          <w:p w14:paraId="1A55BCE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研学基（营）地活动与安全管理实践模块</w:t>
            </w:r>
          </w:p>
          <w:p w14:paraId="3680CC7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研学基（营）地活动管理模块</w:t>
            </w:r>
          </w:p>
          <w:p w14:paraId="3C48D90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（1）支持新增开团申请，支持通过选取研学产品信息、上传附件图片及报名人信息进行开团申请；</w:t>
            </w:r>
          </w:p>
          <w:p w14:paraId="7CB83C7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（2）支持开团审核信息查看；包括活动标题、客户类型、产品价格、单价、报名人数、住宿标准、活动时间、活动状态、制单人等信息；</w:t>
            </w:r>
          </w:p>
          <w:p w14:paraId="1A7C54D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（3）支持活动上架审核信息查看；包括ID、活动标题、客户类型、产品价格、单价、报名人数、住宿标准、活动时间、上架状态、制单人等信息</w:t>
            </w:r>
          </w:p>
          <w:p w14:paraId="016D1D6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（4）支持确认活动主带老师；支持根据活动id、活动标题、主带老师名字搜索查看；</w:t>
            </w:r>
          </w:p>
          <w:p w14:paraId="6E7DD4A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（5）支持导入活动报名人员名单；支持根据活动标题、导入状态、活动时间搜索查看；</w:t>
            </w:r>
          </w:p>
          <w:p w14:paraId="3EEFB57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（6）支持新增研学活动排课；包括科目名称、类型、开始时间、结束时间、状态等信息；</w:t>
            </w:r>
          </w:p>
          <w:p w14:paraId="0D9EE99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color w:val="auto"/>
                <w:sz w:val="21"/>
                <w:szCs w:val="21"/>
                <w:highlight w:val="none"/>
              </w:rPr>
              <w:t>（7）支持自动化营销计划的创建，支持查看计划的模块类型、状态、运行状态、开始时间、用户信息及分析报告；支持查看自动化营销的模板类型、状态、运行状态、时间段、用户、上传人等信息；支持查看自动化营销的推送统计及用户数据统计，包含用户的信息、消费次数、消费金额、分享次数、搜索次数、停留时间、停留次数等信息进行统计</w:t>
            </w:r>
          </w:p>
          <w:p w14:paraId="3A8A321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（8）支持研学课时统计；包括活动标题、活动时间、主带老师、总课时等信息；</w:t>
            </w:r>
          </w:p>
          <w:p w14:paraId="3289A9A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（9）支持查看研学活动所需物料需求单；</w:t>
            </w:r>
          </w:p>
          <w:p w14:paraId="191076F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（10）支持新增活动临时工作项；可添加和管理工作开始时间、工作内容、执行老师等；</w:t>
            </w:r>
          </w:p>
          <w:p w14:paraId="2874A1E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（11）支持研学活动图册上传和管理功能；</w:t>
            </w:r>
          </w:p>
          <w:p w14:paraId="2358F6B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（12）支持查看不同研学活动收入、支出及毛利信息；支持对研学活动发布总结内容评价和评论；</w:t>
            </w:r>
          </w:p>
          <w:p w14:paraId="5E6D5C8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（12）支持评论系统对奖章进行编辑与管理，支持下载模板导入奖章，支持查看奖章记录。</w:t>
            </w:r>
          </w:p>
          <w:p w14:paraId="1AE6F21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研学基（营）地安全管理实践模块</w:t>
            </w:r>
          </w:p>
          <w:p w14:paraId="727A99B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1）包含应急事件处理教学，教学生处理活动中出现的突发状况，选择应急处理方式，系统能够对学生的处理方式进行自动评分；</w:t>
            </w:r>
          </w:p>
          <w:p w14:paraId="40AD603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（2）支持基地安全设施维护管理，包括安全设施名称、图片、介绍等信息；</w:t>
            </w:r>
          </w:p>
          <w:p w14:paraId="4599AFE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（3）支持研学旅行安全预警,根据研学旅行行程识别潜在安全隐患；</w:t>
            </w:r>
          </w:p>
          <w:p w14:paraId="148D3B9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（4）支持研学安全教育与培训，对工作人员进行安全教育和培训，包括安全管理工作制度、工作职责与要求、应急处置规范与流程等等；</w:t>
            </w:r>
          </w:p>
          <w:p w14:paraId="765D367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（5）支持保险购买，为研学受众购买安全意外险等，以确保在意外情况下能够及时获得救助和赔偿‌。</w:t>
            </w:r>
          </w:p>
          <w:p w14:paraId="6D31F73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后勤服务模块模块</w:t>
            </w:r>
          </w:p>
          <w:p w14:paraId="7448E12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（1）支持房间管理，包括楼栋管理、楼层管理、房间列表、床位列表等信息查看；</w:t>
            </w:r>
          </w:p>
          <w:p w14:paraId="52CDEAA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color w:val="auto"/>
                <w:sz w:val="21"/>
                <w:szCs w:val="21"/>
                <w:highlight w:val="none"/>
              </w:rPr>
              <w:t>（2）支持房态图信息查看，能够查看自定义时间段空房、半房、满房、维修房数量状态信息并以不同颜色进行标注区分房型；</w:t>
            </w:r>
          </w:p>
          <w:p w14:paraId="49687DB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（3）支持人员进行排房、排餐操作；</w:t>
            </w:r>
          </w:p>
          <w:p w14:paraId="0829FF6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（4）支持查看房间入住记录和设备维保记录；</w:t>
            </w:r>
          </w:p>
          <w:p w14:paraId="7E490D0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（5）支持仓库信息管理，支持新增仓库；</w:t>
            </w:r>
          </w:p>
          <w:p w14:paraId="2BDEC36C">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（6）支持仓库分类管理，支持添加仓库分类，绑定上级分类；</w:t>
            </w:r>
          </w:p>
          <w:p w14:paraId="7025340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（7）支持物资目录查看新增，物资信息包括类型、分类、规格型号、单价等信息；</w:t>
            </w:r>
          </w:p>
          <w:p w14:paraId="5438116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（8）支持供应商管理，支持供应商列表信息查看；</w:t>
            </w:r>
          </w:p>
          <w:p w14:paraId="482FE0F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（9）支持查看供应商供应记录和结算记录；</w:t>
            </w:r>
          </w:p>
          <w:p w14:paraId="1FD1BB2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（10）支持物资的采购管理，能够查看当前物资情况，包括物资名称、介绍、类型等；</w:t>
            </w:r>
          </w:p>
          <w:p w14:paraId="2C80223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（11）支持出入库管理，能够对出库、入库信息进行查看；</w:t>
            </w:r>
          </w:p>
          <w:p w14:paraId="7268D3C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color w:val="auto"/>
                <w:sz w:val="21"/>
                <w:szCs w:val="21"/>
                <w:highlight w:val="none"/>
              </w:rPr>
              <w:t>（12）支持基地内部员工领用和归还记录管理；（提供软件页面截图）</w:t>
            </w:r>
          </w:p>
          <w:p w14:paraId="34F18B6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（13）支持研学基地的库存管理，能够查看研学基地的物资信息，包括名称、类型、规格型号、单价等信息。</w:t>
            </w:r>
          </w:p>
          <w:p w14:paraId="49BB2FF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研学基（营）地营销管理模块</w:t>
            </w:r>
          </w:p>
          <w:p w14:paraId="0DA5AF3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（1）支持机构管理，支持新增客户机构。</w:t>
            </w:r>
          </w:p>
          <w:p w14:paraId="543981B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（2）支持查看机构信息，包括机构名称、机构类型、机构负责人、联系方式、开户行、行卡号、税号、抬头、地址、对接人、创建时间等信息；</w:t>
            </w:r>
          </w:p>
          <w:p w14:paraId="511FF61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（3）支持意向客户管理，支持新增意向客户；</w:t>
            </w:r>
          </w:p>
          <w:p w14:paraId="7E56D93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（4）支持营员管理，支持新增营员信息；</w:t>
            </w:r>
          </w:p>
          <w:p w14:paraId="790A695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（5）支持查看营员信息，包括头像、姓名、性别、手机号码、生日、体重、鞋码、营地币、奖章数、参加活动数量等信息。</w:t>
            </w:r>
          </w:p>
          <w:p w14:paraId="1AD5A4C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color w:val="auto"/>
                <w:sz w:val="21"/>
                <w:szCs w:val="21"/>
                <w:highlight w:val="none"/>
              </w:rPr>
              <w:t>（6）营销教学数据模块依托于大数据分析处理技术，展示营地综合口碑指数，展示营地酒店针对位置、舒适度、管理、餐饮、设施、性价比、卫生等维度的好评度，同时展示行业平均值；展示评论总数的变化趋势图，差评趋势图，及好差评的占比；展示近30天好差评的变化趋势。展示对于基地的好差评的具体评论内容，显示评论的来源，显示评论的星级及评论的时间。可以自由选定竞品省份或竞品，与本品进行对比分析，实时展示对比的趋势，同时可以展示口碑的结构、OTA的分布，可以按照每月、季、年度自动生成的网评报告包括：综合概况，评论榜单，游客关注维度，评论来源及评论热词。支持展示本省口碑大屏，包括数量，口碑总数，好评总数，好评率，近五年口碑趋势，综合口碑指数，各地区滚动的口碑详情，维度分析，维度分布及热词展示，用于研学基（营）地营销管理决策。</w:t>
            </w:r>
          </w:p>
          <w:p w14:paraId="3B98A38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 研学基（营）地人事管理模块</w:t>
            </w:r>
          </w:p>
          <w:p w14:paraId="37E860D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（1）支持部门管理，支持新增不同部门；</w:t>
            </w:r>
          </w:p>
          <w:p w14:paraId="6CDA813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（2）支持查看部门信息，包括名称、部门主管、信息备注等；</w:t>
            </w:r>
          </w:p>
          <w:p w14:paraId="22107E2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（3）支持岗位管理，支持新增不同岗位信息；</w:t>
            </w:r>
          </w:p>
          <w:p w14:paraId="5164740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（4）支持查看岗位信息，包括岗位名称、所属部门、创建时间、信息备注等；</w:t>
            </w:r>
          </w:p>
          <w:p w14:paraId="7DA5FFE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（5）支持员工管理，支持新增不同员工；</w:t>
            </w:r>
          </w:p>
          <w:p w14:paraId="4F43E19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（6）支持查看员工信息，包括头像、姓名、性别、联系方式、角色、部门、企业微信ID、创建时间等；</w:t>
            </w:r>
          </w:p>
          <w:p w14:paraId="2601807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（7）支持查看编辑入职登记表，包括姓名、性别、联系方式、紧急联系人、出生日期、身份证、学历、密码、头像、企业微信ID等信息</w:t>
            </w:r>
          </w:p>
          <w:p w14:paraId="6ADE17D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二、系统架构</w:t>
            </w:r>
          </w:p>
          <w:p w14:paraId="03EA826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1、系统可采用云部署或本地化部署方式；</w:t>
            </w:r>
          </w:p>
          <w:p w14:paraId="1BEE0ED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2、系统采用B/S架构，使用PHP和MYSQL进行开发，能够兼容chrome、edge、safari等主流浏览器；</w:t>
            </w:r>
          </w:p>
          <w:p w14:paraId="71BA2A5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color w:val="auto"/>
                <w:sz w:val="21"/>
                <w:szCs w:val="21"/>
                <w:highlight w:val="none"/>
              </w:rPr>
              <w:t>三、数字化校园对接需求（提供承诺函）</w:t>
            </w:r>
          </w:p>
          <w:p w14:paraId="64FFDF6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1、安全等保</w:t>
            </w:r>
          </w:p>
          <w:p w14:paraId="49CFE57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宋体" w:hAnsi="宋体" w:cs="宋体"/>
                <w:color w:val="auto"/>
                <w:sz w:val="21"/>
                <w:szCs w:val="21"/>
                <w:highlight w:val="none"/>
              </w:rPr>
            </w:pPr>
            <w:r>
              <w:rPr>
                <w:rFonts w:hint="eastAsia" w:asciiTheme="minorEastAsia" w:hAnsiTheme="minorEastAsia" w:eastAsiaTheme="minorEastAsia" w:cstheme="minorEastAsia"/>
                <w:color w:val="auto"/>
                <w:sz w:val="21"/>
                <w:szCs w:val="21"/>
                <w:highlight w:val="none"/>
              </w:rPr>
              <w:t>软件系统符合二级及以上的信息系统安全等级保护测评要求；有公网访问需求的，还需提供备案证明。</w:t>
            </w:r>
          </w:p>
        </w:tc>
        <w:tc>
          <w:tcPr>
            <w:tcW w:w="724" w:type="dxa"/>
            <w:vAlign w:val="center"/>
          </w:tcPr>
          <w:p w14:paraId="23869A8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color w:val="auto"/>
                <w:kern w:val="0"/>
                <w:sz w:val="21"/>
                <w:szCs w:val="21"/>
                <w:highlight w:val="none"/>
              </w:rPr>
              <w:t>软件和信息技术服务业</w:t>
            </w:r>
          </w:p>
        </w:tc>
      </w:tr>
      <w:tr w14:paraId="5AFC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27CA1056">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14</w:t>
            </w:r>
          </w:p>
        </w:tc>
        <w:tc>
          <w:tcPr>
            <w:tcW w:w="1286" w:type="dxa"/>
            <w:vAlign w:val="center"/>
          </w:tcPr>
          <w:p w14:paraId="173DCB4A">
            <w:pPr>
              <w:widowControl/>
              <w:jc w:val="center"/>
              <w:textAlignment w:val="center"/>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MR智能导游虚拟仿真综合实训平台</w:t>
            </w:r>
          </w:p>
        </w:tc>
        <w:tc>
          <w:tcPr>
            <w:tcW w:w="738" w:type="dxa"/>
            <w:vAlign w:val="center"/>
          </w:tcPr>
          <w:p w14:paraId="415C7171">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6E092DC7">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套</w:t>
            </w:r>
          </w:p>
        </w:tc>
        <w:tc>
          <w:tcPr>
            <w:tcW w:w="5512" w:type="dxa"/>
            <w:vAlign w:val="center"/>
          </w:tcPr>
          <w:p w14:paraId="41690F3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系统将学生以游客为第一视角，结合系统自主漫游功能，通过鼠标可以方便灵活的实现景区画面放大、缩小、左转、右转、仰视、俯视等一系列视点操作，将景点或景区的概貌真实展现出来,使学生能身临其境,从而更方便开展教学;并且可以根据教学需要,对景区的布局、成熟导游线路游览、自由观赏、重要知识点等进行设置；</w:t>
            </w:r>
          </w:p>
          <w:p w14:paraId="2D69263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导览模块</w:t>
            </w:r>
          </w:p>
          <w:p w14:paraId="6376419C">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1.系统包括导游教学与竞赛过程中的模拟导游自主练习模式、竞赛模式、学习资源、优秀作品、实训任务、我的景点、我的作品等模块。</w:t>
            </w:r>
          </w:p>
          <w:p w14:paraId="547E5A4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2.系统支持自主实训与教师布置任务两种模式，两种模式均基于学校所在地现场面试景区，及其他著名景区教学资源，及国内外具有代表性景区的VR教学资源。</w:t>
            </w:r>
          </w:p>
          <w:p w14:paraId="0906752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3.景区720度实景必须是一个以景区为单位的完整清晰的漫游全景文件，学生可通过热点或者游览线路指示箭头直接进入下一个景点目标场景。</w:t>
            </w:r>
          </w:p>
          <w:p w14:paraId="733B85D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练习模式下，分为省份区域导航和主题分类导航两种模式，学生可通过滑动导航进入对应的VR教学资源，选择景区进行全面的学习与了解。学生可关闭系统标准导游词讲解语音或背景音乐进行模拟讲解，支持切换到VR模式进行浏览，支持视角切换功能，包括正常模式、小行星模式、水晶球模式、鱼眼模式。可对现场导游词进行创作，同时可对自己的模拟导游讲解过程进行录音录像，最终生成完整的讲解视频。</w:t>
            </w:r>
          </w:p>
          <w:p w14:paraId="3537B07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5.练习模式下，支持推荐景点进行展示，可一键快速的切换推荐景点进行景区的场景展示、导游词创作、录像保存。</w:t>
            </w:r>
          </w:p>
          <w:p w14:paraId="7B9A7D0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6.学生可针对景区概况及讲解点，进行导游词录入，录入之后在模拟讲解时显示在三分屏上。协助学生进行模拟导游讲解。</w:t>
            </w:r>
          </w:p>
          <w:p w14:paraId="164F9FD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7.学生模拟导游进行录制时，可将作品通过保存上传、删除、存草稿三种状态进行存储。对于不满意的作品可进行反复训练和修正，直至练习满意后，提交老师。</w:t>
            </w:r>
          </w:p>
          <w:p w14:paraId="56CCD4A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学生可将存草稿的作品进行播放、删除及上传操作。播放模式下支持随时暂停操作，支持将保存本地的视频进行上传，同时选择作品类型，选择景点（包含搜索景点名称）进行选择，同时输入视频标题及视频描述进行提交上传。</w:t>
            </w:r>
          </w:p>
          <w:p w14:paraId="163B7E1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竞赛考证分为竞赛模式和考证模式两种，竞赛模式以全国职业院校技能大赛导游服务赛项为背景，分为自选景点讲解，导游词创作及英语口语测试三个模块，考证模式以导游证考试为背景，分为抽取景点及导游知识问答两个模块。</w:t>
            </w:r>
          </w:p>
          <w:p w14:paraId="72C07A4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10.自选景点讲解模块，学生可从本地读取ppt文件上传到系统进行播放，学生可根据ppt内容进行讲解录制，录制完成后可将作品通过保存上传、删除、存草稿三种状态进行存储。</w:t>
            </w:r>
          </w:p>
          <w:p w14:paraId="60023B7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导游词创作分为随机模式及自选模式，随机模式内含50种旅游文化元素与5个团型进行组合抽取。同时系统具备抽取记录，可针对以往抽取记录进行重组导游词。学生针对抽取到的文化元素和团型进行现场创作导游词，根据创作的导游词进行现场展示讲解，学生创作导游词后，可查看个人创作记录，并可根据导游词进行讲解，同时副屏显示导游词。学生也可将讲解过程进行录制，录制完成后可将作品通过保存上传、删除、存草稿三种状态进行存储。自选模式支持自有选择文化元素及团型进行现场创作，进行编写导游词，进行现场展示及录制保存。</w:t>
            </w:r>
          </w:p>
          <w:p w14:paraId="0B4DAEF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12.系统具备旅游英语口语测试实训功能，依据全国导游技能大赛旅游英语口语测试题库，提供旅游英语口语实训场景，实训方式为人机跟读和情景对话。</w:t>
            </w:r>
          </w:p>
          <w:p w14:paraId="1C6AEC9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考证模式分为抽取景点及导游知识问答两个模块，支持抽取景点进行现场讲解，根据景点题库进行赛选，在当前目录下随机抽取的景点进行播放讲解，考试讲解的内容支持分屏展示并支持全过程录音录像，最终生成完整的讲解视频。录制完成后可将作品通过保存上传、删除、存草稿三种状态进行存储。支持根据科目一、科目二、科目三、科目四进行理论测试，对理论支持进行现场作答，支持调用计算器，支持答题卡快速选择，答题完毕后进行试卷提交。</w:t>
            </w:r>
          </w:p>
          <w:p w14:paraId="7892A35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个人设置模块分为我的资料、我的考试、消息中心、我的上传及退出，支持对个人密码就行修改操作，支持查看个人信息。我的考试模块展示每次考试的时间及时长和最终得分，支持查看答题的详细试卷，展示自选答案、参考答案及答案解析，难题答案解析需标注本题对应课本的详细页数及重要度。我的上传模块展示上传至教师端的作品。</w:t>
            </w:r>
          </w:p>
          <w:p w14:paraId="2A5439C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学习资源主要针对系统自带和教师上传的教学资源给到学生进行学习，导游资格考试备考资料、导游资格考试大纲解读、政策与法律法规、导游业务、全国导游基础知识、地方导游基础知识；满足各个大类的视频学习资源。</w:t>
            </w:r>
          </w:p>
          <w:p w14:paraId="73947F2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备考资源包含备考的提前准备讲解视频（总时长不低于1小时）；备考的层级讲解，包括从流畅到微笑到生动的三个级别解说视频（总时长不低于50分钟）；导游词撰写前期讲解视频（总时长不低于100分钟）；导游词撰写培训讲解（总时长不低于60分钟）；导游面试速成讲解视频（总时长不低于100分钟）；导游证面试流程讲解视频（总时长不低于90分钟）；导游考试复习方法，不低于3轮复习的讲解视频（总时长不低于60分钟）；以上所有讲解视频需为同一人录制讲解，不可随意进行拼接，视频需包含详细的讲解，讲解视频包含电子白板，重点需突出标识。</w:t>
            </w:r>
          </w:p>
          <w:p w14:paraId="3F9ACEC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17.需要包含科目一讲解视频（科目一讲解视频为政策法规18章讲解视频，讲解的视频需根据章节分为小节进行讲解，总讲解视频不低于60个）、科目二讲解视频（科目二讲解视频为导游业务18章讲解视频，讲解的视频需根据章节分为小节进行讲解，总讲解视频不低于35个）、科目三讲解视频（科目三讲解视频为全国导游基础11章讲解视频，讲解的视频需根据章节分为小节进行讲解，总讲解视频不低于30个）、科目四讲解视频（科目四讲解视频为地方导游基础8章讲解视频，讲解的视频需根据章节分为小节进行讲解，总讲解视频不低于30个）。每个科目每章需包含对应的讲解课件。</w:t>
            </w:r>
          </w:p>
          <w:p w14:paraId="64E915B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18.优秀作品模块由教师选择后显示在优秀作品模块，针对作品的类型进行了细分类：景点作品、导游词创作、自选作品三类。学生可以观看优秀的作品，同时可以发表看法。</w:t>
            </w:r>
          </w:p>
          <w:p w14:paraId="678773A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实训任务模块教师通过教师端发布实训任务内容包括（景点、相关附件、文字介绍）推送至学生端，学生在实训任务模块下根据要求完成相关作品的上传，等待教师的批阅，教师收到学生的回答后，可进行批阅，等级评价，评论回复。</w:t>
            </w:r>
          </w:p>
          <w:p w14:paraId="05C9FDE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20.我的景点模块主要针对学生在景点练习时对需要经常练习的景点进行收藏，方便下次登录系统时，第一时间快速找到相应景点并进行现场景点展示、导游词创作及录屏保存功能。</w:t>
            </w:r>
          </w:p>
          <w:p w14:paraId="6CB99C1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21.我的作品模块展示学生创作的景点作品、导游词创作作品、现场模拟作品，草稿箱保存暂未发布的作品，删除的作品保存在回收站，短期内可以恢复。</w:t>
            </w:r>
          </w:p>
          <w:p w14:paraId="5584752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22.系统用户按用户权限分为教师和学生，各用户可在同一局域网且同一网关下实现远程访问；支持对系统参数进行设定，支持对管理部门进行设定，支持新增及管理教师账户，支持新增及管理学生账户。</w:t>
            </w:r>
          </w:p>
          <w:p w14:paraId="2A6CFDB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23.作品管理模块分为景点作品、导游词创作、自选景点，教师可查看所带班级学生相关作品，进行打分，设置优秀作品。教师可查看学生上传的作品，对学生作品进行评分、设置成优秀作品并填写相关评语。</w:t>
            </w:r>
          </w:p>
          <w:p w14:paraId="2E7D0DD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24.实训管理模块分为实训安排及实训统计，支持选择景点，时间，部门进行新增实训任务。实训统计可对教师发布的实训任务进行统计展示，并查阅学生完成情况、查看作品视频、实训得分，批改状态，批改作品。</w:t>
            </w:r>
          </w:p>
          <w:p w14:paraId="4D0E0F8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25.可对学生端的学习资源进行管理，对资源进行分类，上传学习资源，完善资源的授课章节及授课内容。</w:t>
            </w:r>
          </w:p>
          <w:p w14:paraId="3293568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可对导游题库进行管理，支持新增题库目录，支持批量导入试题，支持根据题库类别、题型、编号及关键词进行赛选题目进行查看，需包含题目、选项、答案及解析，解析需精准体现本题所在书本页数。可查看所有学生的考试情况，并自动统计考试得分，支持查看学生考试作答详细情况。</w:t>
            </w:r>
          </w:p>
          <w:p w14:paraId="45734DC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27.英语口语管理分为英语题库、英语口语、英语问答三个模块，可对题库进行新增，支持新增口语及问答，问答设置上传答案关键词，学生进行问答训练时，系统自动给出评分。</w:t>
            </w:r>
          </w:p>
          <w:p w14:paraId="38F238A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28.旅游政策法律法规包含（1）全面推进法治中国建设（2）宪法基本知识（3）夺取新时代中国特色社会主义伟大胜利（4）“十四五”规划和2035年远景目标纲要（5）旅游方针政策（6）文化和旅游部关于新型冠状病毒肺炎疫情防控“熔断”机制和措施指南（7）维护国家安全法律制度（8）民法的基本知识（9）旅游法的基本知识（10）合同与旅游服务合同法律制度（11）侵权责任法律制度（12）旅行社法律制度（13）导游管理法律制度（14）旅游安全管理与责任保险法律制度（15）出入境与交通法律制度（16）食品安全、住宿与娱乐法律制度（17）旅游资源保护法律制度（18）解决旅游纠纷的法律制度相关讲解课件资源。</w:t>
            </w:r>
          </w:p>
          <w:p w14:paraId="1EB0BB3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29.导游业务包含（1）导游服务（2）导游（3）导游礼仪（4）地方导游服务程序与服务质量（5）全程导游服务程序与服务质量（6）景区导游服务程序与服务质量（7）散客导游服务程序与服务质量（8）导游领队引导文明旅游规范（9）导游的语言技能（10）导游的带团技能（11）导游的讲解技能（12）游客个别要求的处理（13）问题与事故的处理（14）自然灾害避险与新型冠状病毒肺炎疫情常态化（15）旅行社饭店景区知识（16）入出境知识（17）交通知识（18）其他相关知识相关讲解课件资源。</w:t>
            </w:r>
          </w:p>
          <w:p w14:paraId="5486E04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30.全国导游基础知识包含（1）中国共产党成立百年来领导中国人民和中国革命取得的伟大成就（2）中国旅游业发展概况（3）中国历史文化知识（4）中国文学知识（5）中国建筑艺术（6）中国园林艺术（7）中国饮食文化（8）中国传统工艺美术（9）中国民族知识与宗教知识（10）中国旅游景观（11）中国主要客源国概况相关讲解课件资源。</w:t>
            </w:r>
          </w:p>
          <w:p w14:paraId="1B0FEDC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31.地方导游基础知识包含（1）华北地区各省市自治区导游基础知识（2）东北地区各省导游基础知识（3）华东地区各省市导游基础知识（4）华中地区各省导游基础知识（5）华南地区各省自治区导游基础知识（6）西南地区各省市自治区导游基础知识（7）西北地区各省自治区导游基础知识（8）港澳台地区导游基础知识相关讲解课件资源。</w:t>
            </w:r>
          </w:p>
          <w:p w14:paraId="5444B92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资源模块</w:t>
            </w:r>
          </w:p>
          <w:p w14:paraId="5377FDD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桂林独秀峰——王城景区、南宁青秀山风景旅游区、桂林两江四湖·象山景区、大新德天跨国瀑布景区、百色起义纪念园景区、北海涠洲岛国家地质公园鳄鱼山景区、三江程阳侗族八寨景区、北海汉闾文化园、桂平西山风景名胜区、巴马盘阳河景区、环江木论喀斯特生态旅游区、崇左市宁明县花山景区、宜州刘三姐故里旅游景区、歌娅思谷景区、丹泉洞天酒海景区、金田起义博物馆、九凌湖旅游风景区、柳州龙潭景区、立鱼峰风景区、柳州文庙景区、南宁马山金伦洞景区、昆仑关战役博物馆、昆仑关战役博物馆、北海金海湾红树林、桂林七星景区、兴安灵渠景区、龙州起义纪念馆、大新龙宫仙境景区、贺州姑婆山旅游区、黄姚古镇、梧州市龙母庙景区、梧州李济深故里文化旅游区、古龙山大峡景区、玉林容州古城、白浪滩景区、云天文化城。</w:t>
            </w:r>
          </w:p>
          <w:p w14:paraId="213E311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考证模块</w:t>
            </w:r>
          </w:p>
          <w:p w14:paraId="6B7FFA9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系统拥有多个模块，包括人员架构、课程管理、试题管理、考试管理、数据分析、系统设置、资讯公告等，为学生参加导游证考试提供全面的支持。</w:t>
            </w:r>
          </w:p>
          <w:p w14:paraId="503C110C">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人员架构</w:t>
            </w:r>
          </w:p>
          <w:p w14:paraId="39E92F3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1、班级信息管理模块：该模块可以实现班级信息的录入、查询、修改和删除等功能，底层分类支持直接跳转到学生。</w:t>
            </w:r>
          </w:p>
          <w:p w14:paraId="049265E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2、学生信息管理模块：该模块可以实现对学生信息的录入、查询、修改和删除等功能，支持学生的权限管理。</w:t>
            </w:r>
          </w:p>
          <w:p w14:paraId="2ECDA89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3、教师信息管理模块：该模块可以实现对教师信息的录入、查询、修改和删除等功能，支持老师的权限管理。</w:t>
            </w:r>
          </w:p>
          <w:p w14:paraId="1EDCCE2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课程管理</w:t>
            </w:r>
          </w:p>
          <w:p w14:paraId="3D05683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4、支持新增课程，支持给课程添加章节，支持给章节添加授课内容；后台自定义章节和模块；系统支持视频、试题、资料的文件上传。</w:t>
            </w:r>
          </w:p>
          <w:p w14:paraId="546A3F5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5、支持给授课项目绑定对应的题库分类，方便学生按照授课项目进行练习。</w:t>
            </w:r>
          </w:p>
          <w:p w14:paraId="7B45C4B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6、系统包含全国导游资格考试备考资料、全导游资格考试大纲解读、科目一：政策与法律法规、科目二：导游业务、科目三：全国导游基础知识、科目四：地方导游基础知识。包含以上资源的视频学习资料。</w:t>
            </w:r>
          </w:p>
          <w:p w14:paraId="18B70DF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color w:val="auto"/>
                <w:sz w:val="21"/>
                <w:szCs w:val="21"/>
                <w:highlight w:val="none"/>
              </w:rPr>
              <w:t>7、系统拥有全国导游资格考试备考讲解视频，并分为备考提前准备、三个境界讲解、导游词撰写前期攻略、导游词撰写攻略、333面试速成法、面试考试流程、三轮复习法相关讲解视频，讲解人需为同一人，不可进行拼接；讲解视频总时长不低于500分钟。（提供软件截图）</w:t>
            </w:r>
          </w:p>
          <w:p w14:paraId="7750DF2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8、系统需要包含对导游资格考试大纲的解读视频，讲解人需和全国导游资格考试备考的讲解为同一人，不可进行视频的拼接，讲解视频总时长不低于80分钟。</w:t>
            </w:r>
          </w:p>
          <w:p w14:paraId="0C2610A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政策与法律法规》不低于17章的讲解视频及视频对应的讲解文件，提供不低于60个小节讲解视频，总视频时长不低于1400分钟且所有视频讲解人为同一人，不可多人拼接；《导游业务》不低于10章的讲解视频及视频对应的讲解文件，提供不低于35个小节讲解视频，总视频时长不低于900分钟且所有视频讲解人为同一人，不可多人拼接；《全国导游基础知识》不低于11章的讲解视频及视频对应的讲解文件，提供不低于40个小节讲解视频，总视频时长不低于1300分钟且所有视频讲解人为同一人，不可多人拼接；《地方导游基础知识》不低于8章的讲解视频及视频对应的讲解文件；提供不低于35个小节讲解视频，总视频时长不低于790分钟且所有视频讲解人为同一人，不可多人拼接；</w:t>
            </w:r>
          </w:p>
          <w:p w14:paraId="783089B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考试管理</w:t>
            </w:r>
          </w:p>
          <w:p w14:paraId="2F0EAAA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系统预设了导游证考试真实考试题目，可以对考试的题库进行分类，包含《科目一：政策与法律法规》第一章全面推进法治中国建设包含试题不低于160题、第二章宪法的基本知识包含试题不低于190题、第三章党的二十大报告包含试题不低于题100、第四章国家“十四五”发展规划及旅游业专项发展规划包含试题不低于150题、第五章旅游方针政策包含试题不低于130题、第六章宪法相关法的基本知识包含试题不低于320题、第七章民法的基本知识包含试题不低于300题、第八章合同法律制度包含试题不低于240题、第九章侵权责任法律制度包含试题不低于170题、第十章旅游法的基本知识包含试题不低于280题、第十一章旅行社法律制度包含试题不低于290题、第十二章导游管理法律制度包含试题不低于190题、第十三章旅游安全管理与责任保险法律制度包含试题不低于260题、第十四章入出境与交通法律制度包含试题不低于140题、第十五章食品、住宿、娱乐法律制度包含试题不低于170题、第十六章旅游资源法律制度包含试题不低于190题、第十七章旅游纠纷处理法律制度包含试题不低于220题；《科目二：导游业务》第一章导游服务包含试题不低于160题、第二章导游概述包含试题不低于150题、第三章导游工作相关知识包含试题不低于690题、第四章地陪导游服务程序包含试题不低于200题、第五章全陪导游服务程序包含试题不低于110题、第六章出境旅游领队服务程序包含试题不低于40题、第七章散客旅游及导游服务包含试题不低于80题、第八章导游服务技巧包含试题不低于500题、第九章旅游者个别要求的处理包含试题不低于50题、第十章旅游常见问题和突发事件的预防与处理包含试题不低于210题；《科目三：全国导游基础知识》第一章中国共产党奋斗历程及领导中国人民和中国革命取得的伟大成就包含试题不低于490题、第二章中国旅游业发展概况包含试题不低于210题、第三章中国历史文化知识包含试题不低于700题、第四章中国文学知识包含试题不低于570题、第五章中国建筑艺术包含试题不低于550题、第六章中国园林艺术包含试题不低于260题、第七章中国饮食文化包含试题不低于280题、第八章中国传统工艺美术包含试题不低于320题、第九章中国民族知识与宗教知识包含试题不低于620题、第十章中国旅游景观包含试题不低于630题、第十一章中国主要客源国(地)和目的地国(地)概况包含试题不低于730题；《科目四：地方导游基础知识》第一章华北地区各省市自治区导游基础知识包含试题不低于640题、第二章东北地区各省导游基础知识包含试题不低于460题、第三章华东地区各省市导游基础知识包含试题不低于950题、第四章华中地区各省导游基础知识420、第五章华南地区各省自治区导游基础知识包含试题不低于550题、第六章西南地区各省市自治区导游基础知识包含试题不低于730题、第七章西北地区各省自治区导游基础知识包含试题不低于760题、第八章港澳台地区导游基础知识包含试题不低于400题</w:t>
            </w:r>
          </w:p>
          <w:p w14:paraId="5E614D4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11、以上每个小节需要包含对应的题库，不可为空，支持查看每个小节内的题库数量及题目详情；同时系统需要包含职业院校技能大赛（高职组) 导游服务赛项公布的1000道题并包含答案；包含2019、2020、2022年考试真题。</w:t>
            </w:r>
          </w:p>
          <w:p w14:paraId="5B2F1E1C">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支持按照题库类别、题型、试题编号、关键词进行搜索题目；系统按照判断、单选、多选对题目进行分类，同时支持老师后台自定义添加对应的题目；支持查看题目的题型、答案、是否入库；支持编辑和删除题目。</w:t>
            </w:r>
          </w:p>
          <w:p w14:paraId="0023629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学生考试</w:t>
            </w:r>
          </w:p>
          <w:p w14:paraId="3DFC9D8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系统支持在线试卷管理，支持新增不同的试卷，支持管理试卷的状态，支持给试卷进行选题，支持自动组卷或自定义组卷，自动组卷支持选择不同的题库进行组卷；支持预览当前的试卷，预览的试卷自动完善答案，支持将当前试卷导出为word版试卷。</w:t>
            </w:r>
          </w:p>
          <w:p w14:paraId="26964E2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14、支持在线考试，支持老师新增对应的考试，支持选择对应的试卷和班级给学生进行考试，支持查看当前考试的人数。</w:t>
            </w:r>
          </w:p>
          <w:p w14:paraId="7C68A7B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color w:val="auto"/>
                <w:sz w:val="21"/>
                <w:szCs w:val="21"/>
                <w:highlight w:val="none"/>
              </w:rPr>
              <w:t>15、系统支持便签功能，便签中的内容会存储在本地，关闭再打开系统，依然会读取到上一次的记录；系统支持切换不同的模板，最少支持10种及以上的模板；系统内的二级页面支持以窗口的形式进行展示，二级窗口进行自由的拖拉，支持最小化窗口，支持还原到活动窗口，支持最大化窗口。（提供软件截图）</w:t>
            </w:r>
          </w:p>
          <w:p w14:paraId="75D8EFA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支持考试的在线阅卷评分，支持按照考试进行评分，支持查看考试的学生列表；展示学生的部门、姓名、学号、答题数量、试卷得分、批改状态、批改日期及批改人；答题数量和得分根据学生答题情况实时计算/实时统计；老师支持对学生的试卷进行批改；支持导出每个学生的考试试卷。</w:t>
            </w:r>
          </w:p>
          <w:p w14:paraId="1085E3F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17、支持学生在线考试，学生在考试目录下进行在线考试，进入考试之后自动计算考试剩余时间，当有未完成的题目时进行提示，当完成答题时，自动给当前考试进行阅卷，学生可查看当前考试自己的考试情况。</w:t>
            </w:r>
          </w:p>
          <w:p w14:paraId="7CD3CF4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数据分析</w:t>
            </w:r>
          </w:p>
          <w:p w14:paraId="4470669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18、每日一练成绩趋势分析支持按照班级查看每天参加练习的人数，查看学生每天练习的正确率。</w:t>
            </w:r>
          </w:p>
          <w:p w14:paraId="15C683D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19、支持按照打卡日期、班级进行筛选，支持查看每天打卡学生的答题数量、正确数、未做数、正确率，支持查看学生打卡的做题详情（包括学生做题内容、参考答案及解析）。</w:t>
            </w:r>
          </w:p>
          <w:p w14:paraId="3CABC14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系统自动统计每道题的做错情况，自动记录当前题目错误的出现次数，支持查看错题的参考答案及解析；支持查看学生的错题分析，支持按照判断、单选及多选分别统计，同时统计不同分类下题目的错误占比。</w:t>
            </w:r>
          </w:p>
          <w:p w14:paraId="313934C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21、支持按照班级查看每个同学的错题详情，支持查看学生收藏题目的排行；支持查看收藏题目的各个类型及分类的占比。</w:t>
            </w:r>
          </w:p>
          <w:p w14:paraId="45FFAC4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公告资讯</w:t>
            </w:r>
          </w:p>
          <w:p w14:paraId="5E75094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网站后台管理功能，管理员可以登录系统后台管理界面，对新闻、文章、公告等内容进行发布和管理，具体包括添加、编辑、删除新闻内容，分类管理等等；支持对文章进行分类，并在前台进行分类展示新闻详情。</w:t>
            </w:r>
          </w:p>
          <w:p w14:paraId="3B3D3D1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系统设置</w:t>
            </w:r>
          </w:p>
          <w:p w14:paraId="7EBE917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color w:val="auto"/>
                <w:sz w:val="21"/>
                <w:szCs w:val="21"/>
                <w:highlight w:val="none"/>
              </w:rPr>
              <w:t>23、支持对系统的基础信息进行管理，支持对学生前台的轮播图进行管理，支持对金刚区进行管理，支持设置每日一练的题目数量，支持设置每日一练抽取的题库。（提供软件截图）</w:t>
            </w:r>
          </w:p>
          <w:p w14:paraId="5841356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24、系统能够收集学生对系统的反馈信息。</w:t>
            </w:r>
          </w:p>
          <w:p w14:paraId="1B10FFA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学生模块</w:t>
            </w:r>
          </w:p>
          <w:p w14:paraId="1112533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25、学生统一使用手机或平板进行练习，学生手机端包含备考学习、每日一练、刷题挑战、全真模拟、错题巩固、章节练习、考试、新闻、刷题挑战统计数据、章节练习统计数据、正确率趋势等功能。</w:t>
            </w:r>
          </w:p>
          <w:p w14:paraId="7862D89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26、学生可以按照课程进行学习，可以按照设置的章节进行学习视频；支持查看科目每章节讲解视频对应的讲解文档。</w:t>
            </w:r>
          </w:p>
          <w:p w14:paraId="5ED8CBE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支持每日一练的打卡，记录累计的打卡天数；支持每日一练的答题，支持在答题后自动弹出当前题目的答案；自动计算本次练习的正确率、答案的相关数量及练习用时；按照日期生成正确率走势表；支持重新练习及查看答案解析；支持给每道题添加笔记，支持收藏当前题目，支持查看答题卡进行跳转到对应的题目。</w:t>
            </w:r>
          </w:p>
          <w:p w14:paraId="2956E02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color w:val="auto"/>
                <w:sz w:val="21"/>
                <w:szCs w:val="21"/>
                <w:highlight w:val="none"/>
              </w:rPr>
              <w:t>28、支持在线PK赛，支持设置PK项目，给PK项目添加题目，给项目设置对应的时间；支持按照PK项目进行班级内的随机PK，进入挑战之后自动匹配对手进行PK，支持查看随机PK项目排行榜，支持查看同学的胜利场次；支持查看自己的挑战记录；同时系统支持单机刷题，自己跟自己PK，支持按照章节进行PK，当答对继续进行，答错立即停止，停止之后即可查看本次PK答题的解析，支持查看自己PK的排行榜。（提供软件截图）</w:t>
            </w:r>
          </w:p>
          <w:p w14:paraId="55315F4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29、学生支持自己进行全真模拟考试，全真模拟支持一键组卷和自主组卷两种模式，自主组卷按照导考规则按照科目一二，科目三四进行组卷，系统自动选择题目及考试时间进行考试，在模拟考试过程中支持将题目加入收藏，在返回之后支持在考试列表中继续之前的考试；自主组卷支持按照不同的课程（支持多选）进行设置不同题型的数量及时间进行考试；支持在考试列表中查看已经结束的考试的答案及解析。</w:t>
            </w:r>
          </w:p>
          <w:p w14:paraId="5FE5FDD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30、支持错题的巩固，支持按照课程分别展示各个课程的正确率，支持重置课程的进度；支持查看不同课程的错题本，支持展示已消灭的错题及未消灭的错题，支持查看及消灭错题，支持按照题型统计对应的错题，当答对之后自动消除对应的错题；支持按照课程统计本课程收藏的题目、记笔记的题目、做错的题目，支持查看每个对应的详情。</w:t>
            </w:r>
          </w:p>
          <w:p w14:paraId="1F02EFC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31、学生支持章节练习，支持选择不同的课程，按照章节进行练习；支持查看本章包含的题目数及练习的题目数，同时自动计算正确率；自动统计今天的做题数、今日练习的用时及正确率；支持选择题型、选择练习模式、选择做题数量进行做题。</w:t>
            </w:r>
          </w:p>
          <w:p w14:paraId="75E95F7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宋体" w:hAnsi="宋体" w:cs="宋体"/>
                <w:color w:val="auto"/>
                <w:sz w:val="21"/>
                <w:szCs w:val="21"/>
                <w:highlight w:val="none"/>
              </w:rPr>
            </w:pPr>
            <w:r>
              <w:rPr>
                <w:rFonts w:hint="eastAsia" w:asciiTheme="minorEastAsia" w:hAnsiTheme="minorEastAsia" w:eastAsiaTheme="minorEastAsia" w:cstheme="minorEastAsia"/>
                <w:color w:val="auto"/>
                <w:sz w:val="21"/>
                <w:szCs w:val="21"/>
                <w:highlight w:val="none"/>
              </w:rPr>
              <w:t>32、支持学生数据的统计，学生中心可以查看自己练习的数量及正确率；学生可以查看章节练习的市场、总时长及正确数；支持查看近7天的答题正确率趋势及答题数趋势；支持查看自己的错题本；支持查看自己的答题笔记；支持反馈意见的提交；支持修改自己的登录密码。</w:t>
            </w:r>
          </w:p>
        </w:tc>
        <w:tc>
          <w:tcPr>
            <w:tcW w:w="724" w:type="dxa"/>
            <w:vAlign w:val="center"/>
          </w:tcPr>
          <w:p w14:paraId="1BA5844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color w:val="auto"/>
                <w:kern w:val="0"/>
                <w:sz w:val="21"/>
                <w:szCs w:val="21"/>
                <w:highlight w:val="none"/>
              </w:rPr>
              <w:t>软件和信息技术服务业</w:t>
            </w:r>
          </w:p>
        </w:tc>
      </w:tr>
      <w:tr w14:paraId="28D2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9" w:type="dxa"/>
            <w:vAlign w:val="center"/>
          </w:tcPr>
          <w:p w14:paraId="3DB27626">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15</w:t>
            </w:r>
          </w:p>
        </w:tc>
        <w:tc>
          <w:tcPr>
            <w:tcW w:w="1286" w:type="dxa"/>
            <w:vAlign w:val="center"/>
          </w:tcPr>
          <w:p w14:paraId="4631D381">
            <w:pPr>
              <w:widowControl/>
              <w:jc w:val="center"/>
              <w:textAlignment w:val="center"/>
              <w:rPr>
                <w:rFonts w:hint="eastAsia" w:ascii="宋体" w:hAnsi="宋体" w:cs="宋体"/>
                <w:color w:val="auto"/>
                <w:kern w:val="0"/>
                <w:szCs w:val="21"/>
                <w:highlight w:val="none"/>
              </w:rPr>
            </w:pPr>
            <w:r>
              <w:rPr>
                <w:rFonts w:hint="eastAsia" w:ascii="宋体" w:hAnsi="宋体" w:eastAsia="宋体" w:cs="宋体"/>
                <w:color w:val="auto"/>
                <w:kern w:val="0"/>
                <w:sz w:val="21"/>
                <w:szCs w:val="21"/>
                <w:highlight w:val="none"/>
                <w:lang w:val="en-US" w:eastAsia="zh-CN"/>
              </w:rPr>
              <w:t>3D资源管理互动平台</w:t>
            </w:r>
          </w:p>
        </w:tc>
        <w:tc>
          <w:tcPr>
            <w:tcW w:w="738" w:type="dxa"/>
            <w:vAlign w:val="center"/>
          </w:tcPr>
          <w:p w14:paraId="294667A3">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6B37FC47">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套</w:t>
            </w:r>
          </w:p>
        </w:tc>
        <w:tc>
          <w:tcPr>
            <w:tcW w:w="5512" w:type="dxa"/>
            <w:vAlign w:val="center"/>
          </w:tcPr>
          <w:p w14:paraId="27E7EFAC">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1.本项目须部署到学校指定并实现用户数据和教学考核数据结果同步上传与共享；</w:t>
            </w:r>
          </w:p>
          <w:p w14:paraId="102A17D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2.系统建设需要采用大数据可视化大屏的展现方式，呈现全三维模型中国地形地貌的特征，使用鼠标可以查看每个省份的省情介绍信息，并高亮显示当前省份；</w:t>
            </w:r>
          </w:p>
          <w:p w14:paraId="36E5452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3.中国八大旅游区分布介绍内容涵盖旅游资源特征和区域概况的介绍，区域内旅游资源的介绍采用文字和轮播图片的方式进行展现，并以标签的形式把该区域内包含的行政区域标示出来；</w:t>
            </w:r>
          </w:p>
          <w:p w14:paraId="58A750F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①京畿要地华夏寻根-华北旅游区</w:t>
            </w:r>
          </w:p>
          <w:p w14:paraId="0A8BBDF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②冰雪林海关东风情-东北旅游区</w:t>
            </w:r>
          </w:p>
          <w:p w14:paraId="073F7BD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③山水园林江南风韵-华东旅游区</w:t>
            </w:r>
          </w:p>
          <w:p w14:paraId="4C46C6B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④山川平湖神奇荆楚-华中旅游区</w:t>
            </w:r>
          </w:p>
          <w:p w14:paraId="6D738FC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⑤连天山海活力岭南-华南旅游区</w:t>
            </w:r>
          </w:p>
          <w:p w14:paraId="3D0B8CE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⑥奇山异水多彩民俗-西南旅游区</w:t>
            </w:r>
          </w:p>
          <w:p w14:paraId="09C806D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⑦大漠绿洲魅力丝路-西北旅游区</w:t>
            </w:r>
          </w:p>
          <w:p w14:paraId="05F0F19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⑧世界屋脊雪域藏乡-青藏高原旅游区</w:t>
            </w:r>
          </w:p>
          <w:p w14:paraId="7EF65C0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4.中国八大旅游区详细介绍采用文字、图片等方式进行描述性介绍；</w:t>
            </w:r>
          </w:p>
          <w:p w14:paraId="16FE254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以动态的三维中国地图展示中国现有行政区划中所包含的34个省级行政区旅游地理资源库的功能，资源库包含所有地市级行政区的城市名片内容至少包含该城市最新的城市概况、人文、历史、文化、自然资源、地理等方面的图文：</w:t>
            </w:r>
          </w:p>
          <w:p w14:paraId="2E743E1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以旅游资源点位名称标示的方式能够展示出中国自然旅游资源和人文旅游资源所处的地理位置。中国自然旅游资源包含：地貌旅游资源、水体旅游资源、气象气候与天象旅游资源、生物旅游资源；中国人文旅游资源包含：文化遗迹旅游资源、古代建筑旅游资源、古代工程旅游资源、古典园林研学旅游资源、风土民情旅游资源、现代景观旅游资源；；</w:t>
            </w:r>
          </w:p>
          <w:p w14:paraId="04F37D2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系统提供提供了自由参观漫游式体验方式，给用户更好地沉浸感体验。系统支持用户以第一人称视角在旅游地理3D场景中沉浸体验，控制虚拟人物在场景中进行漫游和交互操作，支持用键盘、鼠标、手柄或虚拟现实设备进行控制操作，如移动、旋转、缩放等，沉浸式体验；</w:t>
            </w:r>
          </w:p>
          <w:p w14:paraId="16742CA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8.背景解说：支持为各个场景添加解说音频，犹如在线导游，实时讲解场景特色，可以为每个场景单独设置背景解说，实现不同场景不同解说；</w:t>
            </w:r>
          </w:p>
          <w:p w14:paraId="451E303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9.场景游览：支持多个场景之间的快速跳转互动，同时可以在系统中设置对应的场景交互热点。</w:t>
            </w:r>
          </w:p>
          <w:p w14:paraId="3CB89AD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10.体验者在观看过程中使用鼠标点击展板即可自动开始语音进行讲解，开发的系统要求涵盖全国各种类型的地形地貌展示。</w:t>
            </w:r>
          </w:p>
          <w:p w14:paraId="4DFD909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11.技能考核模块实验考核采用数据库随机分配的方式进行出题，答题类型有单选题、多选题、判断题。答题完成后系统自动提示错误试题和正确试题，并提交考核数据结果。</w:t>
            </w:r>
          </w:p>
          <w:p w14:paraId="19AAA6C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12.引导操作模块：进入三维场景后系统自动弹出引导操作提示交互界面，通过文字和交互操作示范进行引导操作学习；</w:t>
            </w:r>
          </w:p>
          <w:p w14:paraId="7C033F0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 交货成果的版本为PC端；</w:t>
            </w:r>
          </w:p>
          <w:p w14:paraId="56C8B71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14.中国旅游地理虚拟仿真实训平台知识点能够完整匹配教学书籍的每个章节知识点；</w:t>
            </w:r>
          </w:p>
          <w:p w14:paraId="7D0163F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15. CPU: I7 13 代；</w:t>
            </w:r>
          </w:p>
          <w:p w14:paraId="00BF3C8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16.内存:≥32GB</w:t>
            </w:r>
          </w:p>
          <w:p w14:paraId="428A2A6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17.网卡：参照或相当于集成Intel Dual Band wireless 及Realtek 千兆以太网卡</w:t>
            </w:r>
            <w:r>
              <w:rPr>
                <w:rFonts w:hint="eastAsia"/>
                <w:color w:val="auto"/>
                <w:lang w:val="en-US" w:eastAsia="zh-CN"/>
              </w:rPr>
              <w:t>同档位或以上</w:t>
            </w:r>
          </w:p>
          <w:p w14:paraId="26ADCD3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18.显卡：≥16G 显存</w:t>
            </w:r>
          </w:p>
          <w:p w14:paraId="32F215F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宋体" w:hAnsi="宋体" w:cs="宋体"/>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19.硬盘： 512GB SSD + 1T机械硬盘</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包含配套资源：</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20、国家复兴之路虚拟仿真体验系统。沉浸式国家博物馆--国家复兴之路三维体验教学系统通过三维虚拟建模，实现整个展馆还原和真实再现。要求包含：第一部分：中国沦为半殖民地半封建社会；第二部分：探求救亡图存的道路；第三部分：中国共产党肩负起民族独立人民解放历史重任；第四部分：建设社会主义新中国 ；第五部分：走中国特色社会主义道路；第六部分：新时代部分。不忘初心 砥砺奋进，不断开创新时代中国特色社会主义事业新局面，开辟治国理政新境界。</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21、抗日战争纪念馆虚拟仿真体验系统。全沉浸式抗日战争纪念馆三维体验教学系统通过三维虚拟建模，实现整个展馆还原和真实再现。要求包含：（一）主题展览基本情况。主题展览在抗战胜利70周年纪念活动之后，作为抗战馆基本陈列长期展出。主题展览以“铭记历史、缅怀先烈、珍爱和平、开创未来”为主题，展览的总面积是6700平方米，展出的照片是1170幅，文物是2834件，要求所有展品精细化建模。（二）主题展览主要内容，展览主要分为八个部分。第一部分：中国局部抗战；第二部分：全民族抗战；第三部分：中流砥柱；第四部分：日军暴行；第五部分：东方主战场；第六部分：得道多助；第七部分：伟大胜利；第八部分：铭记历史。</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22、新时代党的建设成就展虚拟仿真体验系统。全沉浸式新时代党的建设成就展三维体验教学系统通过三维虚拟建模，实现整个展馆还原和真实再现。要求：第一部分：加强政治建设走好第一方阵；第二部分：牢记初心使命践行人民至上；第三部分：深化理论武装争做学习表率；第四部分：夯实基层基础建强战斗堡垒；第五部分: 持续正风肃纪永葆风清气正；第六部分: 发挥优势作用广泛聚力；第七部分: 健全制度机制提高党建质量。</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23、旅游景点资源，虚拟爱国主义教育教学资源全部为三维精细建模制作而成， 在场景中有相应的图片、视频和全景照片供学生学习，各虚拟场景具有配套的完整学习路线和重要知识点方案。包含：思想政治教育类三维虚拟仿真教学资源库需要包括以下成品思想政治教育类三维虚拟仿真场景教学资源：</w:t>
            </w:r>
            <w:r>
              <w:rPr>
                <w:rFonts w:hint="eastAsia" w:ascii="宋体" w:hAnsi="宋体" w:eastAsia="宋体" w:cs="宋体"/>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val="en-US" w:eastAsia="zh-CN"/>
              </w:rPr>
              <w:t>故宫、北京天安门、北京香山革命纪念馆、北京长城、北京颐和园、人民大会堂、刘伯承故居及纪念馆（室内和室外）</w:t>
            </w:r>
            <w:r>
              <w:rPr>
                <w:rFonts w:hint="eastAsia" w:ascii="宋体" w:hAnsi="宋体" w:eastAsia="宋体" w:cs="宋体"/>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val="en-US" w:eastAsia="zh-CN"/>
              </w:rPr>
              <w:t>阆中古城（张恒侯祠）、川北道贡院、大佛寺、永安寺、五龙庙、文昌阁、滕王阁、南津关历史文化街区、中天楼‌、游客中心、游船码头、华光楼、澄清门、山东威海刘公岛、广东中山纪念堂、广东叶剑英故居、广东黄花岗七十二烈士纪念园、广东广州起义烈士陵园、广西桂平西山、江苏南京中山陵、江苏南京总统府、江苏南京雨花台、江苏周恩来故居、佛光寺、</w:t>
            </w:r>
            <w:r>
              <w:rPr>
                <w:rFonts w:hint="eastAsia" w:ascii="宋体" w:hAnsi="宋体" w:eastAsia="宋体" w:cs="宋体"/>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val="en-US" w:eastAsia="zh-CN"/>
              </w:rPr>
              <w:t>江西南昌八一起义纪念馆（室内和室外场景）、江西滕王阁、</w:t>
            </w:r>
            <w:r>
              <w:rPr>
                <w:rFonts w:hint="eastAsia" w:ascii="宋体" w:hAnsi="宋体" w:eastAsia="宋体" w:cs="宋体"/>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val="en-US" w:eastAsia="zh-CN"/>
              </w:rPr>
              <w:t>江西瑞金革命纪念馆（室外和室内展馆全部）、河北西柏坡纪念馆、河南红旗渠、</w:t>
            </w:r>
            <w:r>
              <w:rPr>
                <w:rFonts w:hint="eastAsia" w:ascii="宋体" w:hAnsi="宋体" w:eastAsia="宋体" w:cs="宋体"/>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val="en-US" w:eastAsia="zh-CN"/>
              </w:rPr>
              <w:t>浙江嘉兴南湖革命纪念馆（室内和室外）、浙江宁波蒋氏故居、●登封观星台、连城永隆桥、平遥古城、丽江古城、凤凰古城、浙江绍兴鲁迅故里、浙江长兴新四军纪念馆、浙江红十三军旧址、湖北黄鹤楼、湖南长沙岳麓书院、湖南韶山毛泽东故居、红军长征翻越夹金山纪念馆、●贵州遵义会址(陈列馆室内和室外、会议旧址、革命烈士纪念碑、娄山关战斗遗址)、●四渡赤水纪念馆、焦裕禄纪念园、陕西西安兵马俑、●延安革命纪念馆、枣园、福建龙岩古田会议会址。●兴文石海、●石塘风景名胜区、台州市神仙居景区、●</w:t>
            </w:r>
            <w:r>
              <w:rPr>
                <w:rFonts w:hint="eastAsia"/>
                <w:color w:val="auto"/>
                <w:sz w:val="21"/>
                <w:szCs w:val="21"/>
              </w:rPr>
              <w:t>台湾野柳</w:t>
            </w:r>
            <w:r>
              <w:rPr>
                <w:rFonts w:hint="eastAsia"/>
                <w:color w:val="auto"/>
                <w:sz w:val="21"/>
                <w:szCs w:val="21"/>
                <w:lang w:eastAsia="zh-CN"/>
              </w:rPr>
              <w:t>（女王头、仙女鞋、乳石、豆腐岩、龙头石、海蚀壶穴、海狗石</w:t>
            </w:r>
            <w:r>
              <w:rPr>
                <w:rFonts w:hint="eastAsia" w:asciiTheme="minorEastAsia" w:hAnsiTheme="minorEastAsia" w:eastAsiaTheme="minorEastAsia" w:cstheme="minorEastAsia"/>
                <w:color w:val="auto"/>
                <w:sz w:val="21"/>
                <w:szCs w:val="21"/>
                <w:highlight w:val="none"/>
                <w:lang w:val="en-US" w:eastAsia="zh-CN"/>
              </w:rPr>
              <w:t>。（说明：标记●提供三维场景截图证明材料）</w:t>
            </w:r>
          </w:p>
        </w:tc>
        <w:tc>
          <w:tcPr>
            <w:tcW w:w="724" w:type="dxa"/>
            <w:vAlign w:val="center"/>
          </w:tcPr>
          <w:p w14:paraId="57259DC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color w:val="auto"/>
                <w:kern w:val="0"/>
                <w:sz w:val="21"/>
                <w:szCs w:val="21"/>
                <w:highlight w:val="none"/>
              </w:rPr>
              <w:t>软件和信息技术服务业</w:t>
            </w:r>
          </w:p>
        </w:tc>
      </w:tr>
      <w:tr w14:paraId="2C9A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389" w:type="dxa"/>
            <w:gridSpan w:val="6"/>
            <w:vAlign w:val="center"/>
          </w:tcPr>
          <w:p w14:paraId="1DFB216F">
            <w:pPr>
              <w:widowControl/>
              <w:spacing w:line="400" w:lineRule="exact"/>
              <w:textAlignment w:val="center"/>
              <w:rPr>
                <w:rFonts w:hint="eastAsia" w:ascii="宋体" w:hAnsi="宋体" w:cs="宋体"/>
                <w:b/>
                <w:bCs/>
                <w:color w:val="auto"/>
                <w:szCs w:val="21"/>
                <w:highlight w:val="none"/>
              </w:rPr>
            </w:pPr>
            <w:r>
              <w:rPr>
                <w:rFonts w:hint="eastAsia" w:ascii="宋体" w:hAnsi="宋体" w:cs="宋体"/>
                <w:b/>
                <w:bCs/>
                <w:color w:val="auto"/>
                <w:szCs w:val="21"/>
                <w:highlight w:val="none"/>
              </w:rPr>
              <w:t>二、</w:t>
            </w:r>
            <w:bookmarkStart w:id="32" w:name="分标2商务要求"/>
            <w:r>
              <w:rPr>
                <w:rFonts w:hint="eastAsia" w:ascii="宋体" w:hAnsi="宋体" w:cs="宋体"/>
                <w:b/>
                <w:bCs/>
                <w:color w:val="auto"/>
                <w:szCs w:val="21"/>
                <w:highlight w:val="none"/>
              </w:rPr>
              <w:t>商务要求</w:t>
            </w:r>
            <w:bookmarkEnd w:id="32"/>
          </w:p>
        </w:tc>
      </w:tr>
      <w:tr w14:paraId="22B2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15" w:type="dxa"/>
            <w:gridSpan w:val="2"/>
            <w:vAlign w:val="center"/>
          </w:tcPr>
          <w:p w14:paraId="610325FB">
            <w:pPr>
              <w:widowControl/>
              <w:spacing w:line="400" w:lineRule="exact"/>
              <w:jc w:val="center"/>
              <w:rPr>
                <w:rFonts w:hint="eastAsia" w:ascii="宋体" w:hAnsi="宋体" w:cs="宋体"/>
                <w:b/>
                <w:bCs/>
                <w:color w:val="auto"/>
                <w:kern w:val="1"/>
                <w:szCs w:val="21"/>
                <w:highlight w:val="none"/>
              </w:rPr>
            </w:pPr>
            <w:r>
              <w:rPr>
                <w:rFonts w:hint="eastAsia" w:ascii="宋体" w:hAnsi="宋体" w:cs="宋体"/>
                <w:b/>
                <w:bCs/>
                <w:color w:val="auto"/>
                <w:szCs w:val="21"/>
                <w:highlight w:val="none"/>
              </w:rPr>
              <w:t>合同签订时间</w:t>
            </w:r>
          </w:p>
        </w:tc>
        <w:tc>
          <w:tcPr>
            <w:tcW w:w="7674" w:type="dxa"/>
            <w:gridSpan w:val="4"/>
            <w:vAlign w:val="center"/>
          </w:tcPr>
          <w:p w14:paraId="3F058584">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自成交通知书发出之日起 25 日内。</w:t>
            </w:r>
          </w:p>
        </w:tc>
      </w:tr>
      <w:tr w14:paraId="1CF9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15" w:type="dxa"/>
            <w:gridSpan w:val="2"/>
            <w:vAlign w:val="center"/>
          </w:tcPr>
          <w:p w14:paraId="461B04ED">
            <w:pPr>
              <w:spacing w:line="400" w:lineRule="exact"/>
              <w:jc w:val="center"/>
              <w:rPr>
                <w:rFonts w:hint="eastAsia" w:ascii="宋体" w:hAnsi="宋体" w:cs="宋体"/>
                <w:color w:val="auto"/>
                <w:kern w:val="1"/>
                <w:szCs w:val="21"/>
                <w:highlight w:val="none"/>
              </w:rPr>
            </w:pPr>
            <w:r>
              <w:rPr>
                <w:rFonts w:hint="eastAsia" w:ascii="Segoe UI Symbol" w:hAnsi="Segoe UI Symbol" w:cs="Segoe UI Symbol"/>
                <w:bCs/>
                <w:color w:val="auto"/>
                <w:sz w:val="24"/>
                <w:highlight w:val="none"/>
              </w:rPr>
              <w:t>▲</w:t>
            </w:r>
            <w:r>
              <w:rPr>
                <w:rFonts w:hint="eastAsia" w:ascii="宋体" w:hAnsi="宋体" w:cs="宋体"/>
                <w:b/>
                <w:color w:val="auto"/>
                <w:szCs w:val="21"/>
                <w:highlight w:val="none"/>
              </w:rPr>
              <w:t>交货时间及地点</w:t>
            </w:r>
          </w:p>
        </w:tc>
        <w:tc>
          <w:tcPr>
            <w:tcW w:w="7674" w:type="dxa"/>
            <w:gridSpan w:val="4"/>
            <w:vAlign w:val="center"/>
          </w:tcPr>
          <w:p w14:paraId="7D39311E">
            <w:pPr>
              <w:widowControl/>
              <w:spacing w:line="400" w:lineRule="exact"/>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交货时间：自合同签订后45日内</w:t>
            </w:r>
            <w:r>
              <w:rPr>
                <w:rFonts w:hint="eastAsia" w:ascii="宋体" w:hAnsi="宋体" w:cs="宋体"/>
                <w:color w:val="auto"/>
                <w:szCs w:val="21"/>
                <w:highlight w:val="none"/>
                <w:lang w:eastAsia="zh-CN"/>
              </w:rPr>
              <w:t>，软件产品提供五年免费维护升级。</w:t>
            </w:r>
          </w:p>
          <w:p w14:paraId="309C0E4F">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地点：广西幼儿师范高等专科学校。</w:t>
            </w:r>
          </w:p>
        </w:tc>
      </w:tr>
      <w:tr w14:paraId="546A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15" w:type="dxa"/>
            <w:gridSpan w:val="2"/>
            <w:vAlign w:val="center"/>
          </w:tcPr>
          <w:p w14:paraId="3895B42E">
            <w:pPr>
              <w:spacing w:line="400" w:lineRule="exact"/>
              <w:jc w:val="center"/>
              <w:rPr>
                <w:rFonts w:hint="eastAsia" w:ascii="宋体" w:hAnsi="宋体" w:cs="宋体"/>
                <w:b/>
                <w:bCs/>
                <w:color w:val="auto"/>
                <w:kern w:val="0"/>
                <w:szCs w:val="21"/>
                <w:highlight w:val="none"/>
              </w:rPr>
            </w:pPr>
            <w:r>
              <w:rPr>
                <w:rFonts w:hint="eastAsia" w:ascii="Segoe UI Symbol" w:hAnsi="Segoe UI Symbol" w:cs="Segoe UI Symbol"/>
                <w:bCs/>
                <w:color w:val="auto"/>
                <w:sz w:val="24"/>
                <w:highlight w:val="none"/>
              </w:rPr>
              <w:t>▲</w:t>
            </w:r>
            <w:r>
              <w:rPr>
                <w:rFonts w:hint="eastAsia" w:ascii="宋体" w:hAnsi="宋体" w:cs="宋体"/>
                <w:b/>
                <w:bCs/>
                <w:color w:val="auto"/>
                <w:kern w:val="0"/>
                <w:szCs w:val="21"/>
                <w:highlight w:val="none"/>
              </w:rPr>
              <w:t>货物安装及验收</w:t>
            </w:r>
          </w:p>
        </w:tc>
        <w:tc>
          <w:tcPr>
            <w:tcW w:w="7674" w:type="dxa"/>
            <w:gridSpan w:val="4"/>
            <w:vAlign w:val="center"/>
          </w:tcPr>
          <w:p w14:paraId="35D073DB">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1、货物验收时由采购人对照采购文件的主要技术参数及性能（配置）要求进行全面核对检验，对所有要求出具的文件和材料的原件进行核查，如不符合采购文件要求或提供虚假承诺的，采购人有权拒绝验收并做违约处理，供应商承担所有责任和费用，采购人保留进一步追究责任的权利。</w:t>
            </w:r>
          </w:p>
          <w:p w14:paraId="334F2663">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2、货物经过双方检验认可后，签署验收报告，由供应商提供产品保修文件。</w:t>
            </w:r>
          </w:p>
          <w:p w14:paraId="76CA327E">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3、当满足以下条件时，采购人才向供应商签发货物验收报告：</w:t>
            </w:r>
          </w:p>
          <w:p w14:paraId="0EABBBEB">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（1）供应商已按照合同规定提供了全部产品及完整的技术资料。</w:t>
            </w:r>
          </w:p>
          <w:p w14:paraId="7E21F295">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（2）货物各项参数完全符合《主要技术参数及性能（配置）要求》的要求，性能满足要求。</w:t>
            </w:r>
          </w:p>
          <w:p w14:paraId="7362F6F3">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4、验收过程中所产生的一切费用均由成交供应商承担，报价时应考虑相关费用。</w:t>
            </w:r>
          </w:p>
          <w:p w14:paraId="29A6950C">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5、成交产品不能涉及任何法律纠纷。</w:t>
            </w:r>
          </w:p>
          <w:p w14:paraId="31512E03">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6、为了保证本项目的质量，采购人有权要求成交供应商提供本项目中设备按照本竞争性谈判文件的技术参数要求进行现场测试（测试相关费用由成交供应商承担）；如发现成交供应商提供的产品性能不满足本竞争性谈判文件要求或其响应文件所承诺，采购单位有权要求供应商当场进行整改，整改后仍不满足要求的，采购人有权报财政监督部门处理。</w:t>
            </w:r>
          </w:p>
        </w:tc>
      </w:tr>
      <w:tr w14:paraId="59ED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15" w:type="dxa"/>
            <w:gridSpan w:val="2"/>
            <w:vAlign w:val="center"/>
          </w:tcPr>
          <w:p w14:paraId="47DDCC1F">
            <w:pPr>
              <w:spacing w:line="400" w:lineRule="exact"/>
              <w:jc w:val="center"/>
              <w:rPr>
                <w:rFonts w:hint="eastAsia" w:ascii="宋体" w:hAnsi="宋体" w:cs="宋体"/>
                <w:b/>
                <w:bCs/>
                <w:color w:val="auto"/>
                <w:szCs w:val="21"/>
                <w:highlight w:val="none"/>
              </w:rPr>
            </w:pPr>
            <w:r>
              <w:rPr>
                <w:rFonts w:hint="eastAsia" w:ascii="Segoe UI Symbol" w:hAnsi="Segoe UI Symbol" w:cs="Segoe UI Symbol"/>
                <w:bCs/>
                <w:color w:val="auto"/>
                <w:sz w:val="24"/>
                <w:highlight w:val="none"/>
              </w:rPr>
              <w:t>▲</w:t>
            </w:r>
            <w:r>
              <w:rPr>
                <w:rFonts w:hint="eastAsia" w:ascii="宋体" w:hAnsi="宋体" w:cs="宋体"/>
                <w:b/>
                <w:bCs/>
                <w:color w:val="auto"/>
                <w:szCs w:val="21"/>
                <w:highlight w:val="none"/>
              </w:rPr>
              <w:t>质量保证要求</w:t>
            </w:r>
          </w:p>
        </w:tc>
        <w:tc>
          <w:tcPr>
            <w:tcW w:w="7674" w:type="dxa"/>
            <w:gridSpan w:val="4"/>
            <w:vAlign w:val="center"/>
          </w:tcPr>
          <w:p w14:paraId="38058545">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1、按国家有关产品“三包”规定执行“三包”，质量保证期3年（若分项中有具体要求按其要求执行，若国家或生产厂家对本项目所涉及货物的质量保证期的规定高于本项目要求的，按国家或生产厂家的规定执行，若供应商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文件中承诺高于该期限，按照供应商承诺），交货验收合格之日起计，如采购需求中另有要求以采购需求为准。</w:t>
            </w:r>
          </w:p>
          <w:p w14:paraId="3A731B6C">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2、质量保证期内出现的任何故障及损失，供应商无偿维修、更换配件、无偿进行软件更新升级、系统维护和远程服务；质量保证期满后，终身维护，以优惠价格提供维修和备件更换、软件更新升级，且承诺无偿为采购人提供终身技术咨询服务。</w:t>
            </w:r>
          </w:p>
          <w:p w14:paraId="6A4042DA">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3、质量保证和售后服务要求：调试合格后36个月内无偿保修。</w:t>
            </w:r>
          </w:p>
          <w:p w14:paraId="2D1D10A2">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4.随机技术资料：合格证、出厂检验报告、装箱单、设备使用说明书。</w:t>
            </w:r>
          </w:p>
          <w:p w14:paraId="3B29C89C">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5.仪器及生产商必须满足的相关安全标准。</w:t>
            </w:r>
          </w:p>
        </w:tc>
      </w:tr>
      <w:tr w14:paraId="41BE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15" w:type="dxa"/>
            <w:gridSpan w:val="2"/>
            <w:vAlign w:val="center"/>
          </w:tcPr>
          <w:p w14:paraId="0DB03190">
            <w:pPr>
              <w:spacing w:line="400" w:lineRule="exact"/>
              <w:jc w:val="center"/>
              <w:rPr>
                <w:rFonts w:hint="eastAsia" w:ascii="宋体" w:hAnsi="宋体" w:cs="宋体"/>
                <w:b/>
                <w:bCs/>
                <w:color w:val="auto"/>
                <w:szCs w:val="21"/>
                <w:highlight w:val="none"/>
              </w:rPr>
            </w:pPr>
            <w:r>
              <w:rPr>
                <w:rFonts w:hint="eastAsia" w:ascii="Segoe UI Symbol" w:hAnsi="Segoe UI Symbol" w:cs="Segoe UI Symbol"/>
                <w:bCs/>
                <w:color w:val="auto"/>
                <w:sz w:val="24"/>
                <w:highlight w:val="none"/>
              </w:rPr>
              <w:t>▲</w:t>
            </w:r>
            <w:r>
              <w:rPr>
                <w:rFonts w:hint="eastAsia" w:ascii="宋体" w:hAnsi="宋体" w:cs="宋体"/>
                <w:b/>
                <w:bCs/>
                <w:color w:val="auto"/>
                <w:szCs w:val="21"/>
                <w:highlight w:val="none"/>
              </w:rPr>
              <w:t>售后服务要求</w:t>
            </w:r>
          </w:p>
        </w:tc>
        <w:tc>
          <w:tcPr>
            <w:tcW w:w="7674" w:type="dxa"/>
            <w:gridSpan w:val="4"/>
            <w:vAlign w:val="center"/>
          </w:tcPr>
          <w:p w14:paraId="2A0C1717">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1.故障响应时间：要求成交供应商对采购人的服务通知、紧急故障处理：必须在2小时之内响应，4小时之内到达现场处理，不需要更换备件的条件下应在12小时内解除故障，需要更换备件时应在24小时内解除故障。</w:t>
            </w:r>
          </w:p>
          <w:p w14:paraId="6F729E19">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2.成交供应商负责送货上门、安装、调试，并提供完善的设备使用、操作培训，设备到现场时即上门安装设备。为保证采购人使用人员正常操作设备的各种功能，成交供应商需同时现场为不少于3名的采购人单位人员进行操作培训及维护保养培训工作；竞标时需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文件中提供服务方案、技术培训方案、详细的保养计划。</w:t>
            </w:r>
          </w:p>
          <w:p w14:paraId="0C4AD962">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3.提供终身维修、保养服务。</w:t>
            </w:r>
          </w:p>
          <w:p w14:paraId="4A89EB00">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4.竞标产品必须是原厂生产的正品全新、完整、未使用过的合格产品，产品质量符合国家相关标准和规范，具备正规合法经销渠道。相关部件及服务须满足本项目需求中各项要求。所有产品要求的技术参数和配置均按国家标准及生产厂家出厂标准配置。</w:t>
            </w:r>
          </w:p>
          <w:p w14:paraId="18A1873A">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5. 培训、安装、技术文件：无偿安装调试及现场培训、提供全套技术文件。</w:t>
            </w:r>
          </w:p>
        </w:tc>
      </w:tr>
      <w:tr w14:paraId="1E64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15" w:type="dxa"/>
            <w:gridSpan w:val="2"/>
            <w:vAlign w:val="center"/>
          </w:tcPr>
          <w:p w14:paraId="02828DE9">
            <w:pPr>
              <w:spacing w:line="400" w:lineRule="exact"/>
              <w:jc w:val="center"/>
              <w:rPr>
                <w:rFonts w:hint="eastAsia" w:ascii="宋体" w:hAnsi="宋体" w:cs="宋体"/>
                <w:b/>
                <w:bCs/>
                <w:color w:val="auto"/>
                <w:kern w:val="0"/>
                <w:szCs w:val="21"/>
                <w:highlight w:val="none"/>
              </w:rPr>
            </w:pPr>
            <w:r>
              <w:rPr>
                <w:rFonts w:hint="eastAsia" w:ascii="Segoe UI Symbol" w:hAnsi="Segoe UI Symbol" w:cs="Segoe UI Symbol"/>
                <w:bCs/>
                <w:color w:val="auto"/>
                <w:sz w:val="24"/>
                <w:highlight w:val="none"/>
              </w:rPr>
              <w:t>▲</w:t>
            </w:r>
            <w:r>
              <w:rPr>
                <w:rFonts w:hint="eastAsia" w:ascii="宋体" w:hAnsi="宋体" w:cs="宋体"/>
                <w:b/>
                <w:bCs/>
                <w:color w:val="auto"/>
                <w:szCs w:val="21"/>
                <w:highlight w:val="none"/>
              </w:rPr>
              <w:t>履约保证金收取及退付</w:t>
            </w:r>
          </w:p>
        </w:tc>
        <w:tc>
          <w:tcPr>
            <w:tcW w:w="7674" w:type="dxa"/>
            <w:gridSpan w:val="4"/>
            <w:vAlign w:val="center"/>
          </w:tcPr>
          <w:p w14:paraId="0A02EC65">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1.成交人于合同签订前按成交金额的 5 %（中小企业按合同金额的2%）。向采购人指定账户提交履约保证金。 </w:t>
            </w:r>
          </w:p>
          <w:p w14:paraId="47AF171C">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2.递交方式：银行转账、支票、汇票、本票或者金融、担保机构出具的保函等非现金方式。 </w:t>
            </w:r>
          </w:p>
          <w:p w14:paraId="492805EC">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3.成交人若不能完全履行合同，履约保证金不返还；</w:t>
            </w:r>
            <w:r>
              <w:rPr>
                <w:rFonts w:hint="eastAsia" w:ascii="宋体" w:hAnsi="宋体" w:cs="宋体"/>
                <w:color w:val="auto"/>
                <w:sz w:val="21"/>
                <w:szCs w:val="21"/>
                <w:highlight w:val="none"/>
                <w:lang w:eastAsia="zh-CN"/>
              </w:rPr>
              <w:t>合同验收满 (1年)项目无质量问题，成交供应商向采购人提供验收单及履约保证金退付申请，采购人在15个工作日内无息退还履约保证金。</w:t>
            </w:r>
            <w:r>
              <w:rPr>
                <w:rFonts w:hint="eastAsia" w:ascii="宋体" w:hAnsi="宋体" w:cs="宋体"/>
                <w:color w:val="auto"/>
                <w:szCs w:val="21"/>
                <w:highlight w:val="none"/>
              </w:rPr>
              <w:t xml:space="preserve">涉及违约的违约金和损失赔偿从履约保证金中扣减。履约保证金指定账户： </w:t>
            </w:r>
          </w:p>
          <w:p w14:paraId="579567E0">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开户名称：广西幼儿师范高等专科学校</w:t>
            </w:r>
          </w:p>
          <w:p w14:paraId="617D2354">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开户银行：招商银行南宁民族大道支行</w:t>
            </w:r>
          </w:p>
          <w:p w14:paraId="127BBADB">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银行账号：771902121410201</w:t>
            </w:r>
          </w:p>
        </w:tc>
      </w:tr>
      <w:tr w14:paraId="5C47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15" w:type="dxa"/>
            <w:gridSpan w:val="2"/>
            <w:vAlign w:val="center"/>
          </w:tcPr>
          <w:p w14:paraId="6D083680">
            <w:pPr>
              <w:spacing w:line="400" w:lineRule="exact"/>
              <w:jc w:val="center"/>
              <w:rPr>
                <w:rFonts w:hint="eastAsia" w:ascii="宋体" w:hAnsi="宋体" w:cs="宋体"/>
                <w:b/>
                <w:bCs/>
                <w:color w:val="auto"/>
                <w:szCs w:val="21"/>
                <w:highlight w:val="none"/>
              </w:rPr>
            </w:pPr>
            <w:r>
              <w:rPr>
                <w:rFonts w:hint="eastAsia" w:ascii="Segoe UI Symbol" w:hAnsi="Segoe UI Symbol" w:cs="Segoe UI Symbol"/>
                <w:bCs/>
                <w:color w:val="auto"/>
                <w:sz w:val="24"/>
                <w:highlight w:val="none"/>
              </w:rPr>
              <w:t>▲</w:t>
            </w:r>
            <w:r>
              <w:rPr>
                <w:rFonts w:hint="eastAsia" w:ascii="宋体" w:hAnsi="宋体" w:cs="宋体"/>
                <w:b/>
                <w:bCs/>
                <w:color w:val="auto"/>
                <w:szCs w:val="21"/>
                <w:highlight w:val="none"/>
              </w:rPr>
              <w:t>付款方式</w:t>
            </w:r>
          </w:p>
        </w:tc>
        <w:tc>
          <w:tcPr>
            <w:tcW w:w="7674" w:type="dxa"/>
            <w:gridSpan w:val="4"/>
            <w:vAlign w:val="center"/>
          </w:tcPr>
          <w:p w14:paraId="21B78ACC">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eastAsia="zh-CN"/>
              </w:rPr>
              <w:t>合同签订后在15个工作日内采购人支付按合同价款30%的预付款；项目完成并验收合格后，乙方提交完整结算资料及等额发票，甲方审核无误后15个工作日内支付至合同总价的100%。每次采购人支付款项前成交供应商须开具等额合法有效的税务发票给采购人，否则采购人有权顺延支付款项且不承担任何违约责任。</w:t>
            </w:r>
          </w:p>
        </w:tc>
      </w:tr>
      <w:tr w14:paraId="0E29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15" w:type="dxa"/>
            <w:gridSpan w:val="2"/>
            <w:vAlign w:val="center"/>
          </w:tcPr>
          <w:p w14:paraId="6773FDAD">
            <w:pPr>
              <w:spacing w:line="400" w:lineRule="exact"/>
              <w:jc w:val="center"/>
              <w:rPr>
                <w:rFonts w:hint="eastAsia" w:ascii="宋体" w:hAnsi="宋体" w:cs="宋体"/>
                <w:b/>
                <w:bCs/>
                <w:color w:val="auto"/>
                <w:kern w:val="1"/>
                <w:szCs w:val="21"/>
                <w:highlight w:val="none"/>
              </w:rPr>
            </w:pPr>
            <w:r>
              <w:rPr>
                <w:rFonts w:hint="eastAsia" w:ascii="Segoe UI Symbol" w:hAnsi="Segoe UI Symbol" w:cs="Segoe UI Symbol"/>
                <w:bCs/>
                <w:color w:val="auto"/>
                <w:sz w:val="24"/>
                <w:highlight w:val="none"/>
              </w:rPr>
              <w:t>▲</w:t>
            </w:r>
            <w:r>
              <w:rPr>
                <w:rFonts w:hint="eastAsia" w:ascii="宋体" w:hAnsi="宋体" w:cs="宋体"/>
                <w:b/>
                <w:bCs/>
                <w:color w:val="auto"/>
                <w:szCs w:val="21"/>
                <w:highlight w:val="none"/>
              </w:rPr>
              <w:t>其他要求</w:t>
            </w:r>
          </w:p>
        </w:tc>
        <w:tc>
          <w:tcPr>
            <w:tcW w:w="7674" w:type="dxa"/>
            <w:gridSpan w:val="4"/>
            <w:vAlign w:val="center"/>
          </w:tcPr>
          <w:p w14:paraId="066DF834">
            <w:pPr>
              <w:pStyle w:val="11"/>
              <w:keepNext w:val="0"/>
              <w:keepLines w:val="0"/>
              <w:pageBreakBefore w:val="0"/>
              <w:kinsoku/>
              <w:wordWrap/>
              <w:overflowPunct/>
              <w:topLinePunct w:val="0"/>
              <w:autoSpaceDE/>
              <w:autoSpaceDN/>
              <w:bidi w:val="0"/>
              <w:adjustRightInd/>
              <w:snapToGrid/>
              <w:spacing w:after="0"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要求供货产品是全新的、未经改装的、合格的、满足本项目技术需求及要求的货物。所有零部件、配件必须是未经使用的全新的并符合国家有关质量安全标准的产品。提供设备使用培训、操作技能训练等；提供相关设备说明书、管理和配置指南手册、使用手册和故障定位/排除指南手册等。</w:t>
            </w:r>
          </w:p>
          <w:p w14:paraId="63763609">
            <w:pPr>
              <w:pStyle w:val="11"/>
              <w:keepNext w:val="0"/>
              <w:keepLines w:val="0"/>
              <w:pageBreakBefore w:val="0"/>
              <w:kinsoku/>
              <w:wordWrap/>
              <w:overflowPunct/>
              <w:topLinePunct w:val="0"/>
              <w:autoSpaceDE/>
              <w:autoSpaceDN/>
              <w:bidi w:val="0"/>
              <w:adjustRightInd/>
              <w:snapToGrid/>
              <w:spacing w:after="0"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本项目实行总价包干制，报价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税费因政策等原因发生变化的，由成交供应商承担。合同履行过程中，采购人不再支付合同以外的其他费用。</w:t>
            </w:r>
          </w:p>
          <w:p w14:paraId="00CC5C59">
            <w:pPr>
              <w:pStyle w:val="11"/>
              <w:keepNext w:val="0"/>
              <w:keepLines w:val="0"/>
              <w:pageBreakBefore w:val="0"/>
              <w:kinsoku/>
              <w:wordWrap/>
              <w:overflowPunct/>
              <w:topLinePunct w:val="0"/>
              <w:autoSpaceDE/>
              <w:autoSpaceDN/>
              <w:bidi w:val="0"/>
              <w:adjustRightInd/>
              <w:snapToGrid/>
              <w:spacing w:after="0"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3.成交供应商承担货物交付验收前的运输、安装等作业工人人身、设备安全责任。验收前，如果设备丢失、因供应商自身原因及第三方原因导致损坏，成交供应商应自行负责并承担不能交付货物的责任。</w:t>
            </w:r>
          </w:p>
          <w:p w14:paraId="686F2629">
            <w:pPr>
              <w:pStyle w:val="11"/>
              <w:keepNext w:val="0"/>
              <w:keepLines w:val="0"/>
              <w:pageBreakBefore w:val="0"/>
              <w:kinsoku/>
              <w:wordWrap/>
              <w:overflowPunct/>
              <w:topLinePunct w:val="0"/>
              <w:autoSpaceDE/>
              <w:autoSpaceDN/>
              <w:bidi w:val="0"/>
              <w:adjustRightInd/>
              <w:snapToGrid/>
              <w:spacing w:after="0"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4.本项目不接受进口产品（即通过中国海关报关验放进入中国境内且产自关境外的产品）参与</w:t>
            </w:r>
            <w:r>
              <w:rPr>
                <w:rFonts w:hint="eastAsia" w:ascii="宋体" w:hAnsi="宋体" w:cs="宋体"/>
                <w:color w:val="auto"/>
                <w:szCs w:val="21"/>
                <w:highlight w:val="none"/>
                <w:lang w:bidi="ar"/>
              </w:rPr>
              <w:t>竞争性谈判</w:t>
            </w:r>
            <w:r>
              <w:rPr>
                <w:rFonts w:hint="eastAsia" w:ascii="宋体" w:hAnsi="宋体" w:cs="宋体"/>
                <w:color w:val="auto"/>
                <w:szCs w:val="21"/>
                <w:highlight w:val="none"/>
              </w:rPr>
              <w:t>，如有此类产品参与</w:t>
            </w:r>
            <w:r>
              <w:rPr>
                <w:rFonts w:hint="eastAsia" w:ascii="宋体" w:hAnsi="宋体" w:cs="宋体"/>
                <w:color w:val="auto"/>
                <w:szCs w:val="21"/>
                <w:highlight w:val="none"/>
                <w:lang w:bidi="ar"/>
              </w:rPr>
              <w:t>竞争性谈判</w:t>
            </w:r>
            <w:r>
              <w:rPr>
                <w:rFonts w:hint="eastAsia" w:ascii="宋体" w:hAnsi="宋体" w:cs="宋体"/>
                <w:color w:val="auto"/>
                <w:szCs w:val="21"/>
                <w:highlight w:val="none"/>
              </w:rPr>
              <w:t>的按无效响应处理。</w:t>
            </w:r>
          </w:p>
          <w:p w14:paraId="22657D0B">
            <w:pPr>
              <w:pStyle w:val="11"/>
              <w:spacing w:line="40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本分标的核心产品为：第</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项“MR智能导游虚拟仿真综合实训平台”</w:t>
            </w:r>
          </w:p>
          <w:p w14:paraId="6FB9E14A">
            <w:pPr>
              <w:pStyle w:val="11"/>
              <w:spacing w:line="40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6.按照服务要求采用线上与线下相结合提供咨询与培训服务、纸质及电子材料。</w:t>
            </w:r>
          </w:p>
        </w:tc>
      </w:tr>
    </w:tbl>
    <w:p w14:paraId="03A6D696">
      <w:pPr>
        <w:rPr>
          <w:rFonts w:ascii="宋体" w:hAnsi="宋体" w:cs="宋体"/>
          <w:color w:val="auto"/>
        </w:rPr>
      </w:pPr>
      <w:r>
        <w:rPr>
          <w:rFonts w:hint="eastAsia" w:ascii="宋体" w:hAnsi="宋体" w:cs="宋体"/>
          <w:color w:val="auto"/>
        </w:rPr>
        <w:br w:type="page"/>
      </w:r>
    </w:p>
    <w:tbl>
      <w:tblPr>
        <w:tblStyle w:val="27"/>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420"/>
        <w:gridCol w:w="680"/>
        <w:gridCol w:w="700"/>
        <w:gridCol w:w="5845"/>
      </w:tblGrid>
      <w:tr w14:paraId="1BC5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9441" w:type="dxa"/>
            <w:gridSpan w:val="5"/>
            <w:vAlign w:val="center"/>
          </w:tcPr>
          <w:p w14:paraId="02801B3F">
            <w:pPr>
              <w:spacing w:line="400" w:lineRule="exact"/>
              <w:jc w:val="center"/>
              <w:rPr>
                <w:rFonts w:hint="eastAsia" w:ascii="宋体" w:hAnsi="宋体" w:cs="宋体"/>
                <w:b/>
                <w:bCs/>
                <w:color w:val="auto"/>
                <w:szCs w:val="21"/>
                <w:highlight w:val="none"/>
              </w:rPr>
            </w:pPr>
            <w:bookmarkStart w:id="33" w:name="分标3采购需求"/>
            <w:r>
              <w:rPr>
                <w:rFonts w:hint="eastAsia" w:ascii="宋体" w:hAnsi="宋体" w:cs="宋体"/>
                <w:b/>
                <w:bCs/>
                <w:color w:val="auto"/>
                <w:szCs w:val="21"/>
                <w:highlight w:val="none"/>
              </w:rPr>
              <w:t>分标</w:t>
            </w:r>
            <w:r>
              <w:rPr>
                <w:rFonts w:hint="eastAsia" w:ascii="宋体" w:hAnsi="宋体" w:cs="宋体"/>
                <w:b/>
                <w:bCs/>
                <w:color w:val="auto"/>
                <w:szCs w:val="21"/>
                <w:highlight w:val="none"/>
                <w:lang w:val="en-US" w:eastAsia="zh-CN"/>
              </w:rPr>
              <w:t>3</w:t>
            </w:r>
            <w:bookmarkEnd w:id="33"/>
            <w:r>
              <w:rPr>
                <w:rFonts w:hint="eastAsia" w:ascii="宋体" w:hAnsi="宋体" w:cs="宋体"/>
                <w:b/>
                <w:bCs/>
                <w:color w:val="auto"/>
                <w:szCs w:val="21"/>
                <w:highlight w:val="none"/>
              </w:rPr>
              <w:t>：平果校区学生健身锻炼实训室项目</w:t>
            </w:r>
          </w:p>
        </w:tc>
      </w:tr>
      <w:tr w14:paraId="5098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exact"/>
          <w:jc w:val="center"/>
        </w:trPr>
        <w:tc>
          <w:tcPr>
            <w:tcW w:w="796" w:type="dxa"/>
            <w:vAlign w:val="center"/>
          </w:tcPr>
          <w:p w14:paraId="23F8FE90">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420" w:type="dxa"/>
            <w:vAlign w:val="center"/>
          </w:tcPr>
          <w:p w14:paraId="1FA1C668">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标的名称</w:t>
            </w:r>
          </w:p>
        </w:tc>
        <w:tc>
          <w:tcPr>
            <w:tcW w:w="680" w:type="dxa"/>
            <w:vAlign w:val="center"/>
          </w:tcPr>
          <w:p w14:paraId="6B7076AC">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数量</w:t>
            </w:r>
          </w:p>
        </w:tc>
        <w:tc>
          <w:tcPr>
            <w:tcW w:w="700" w:type="dxa"/>
            <w:vAlign w:val="center"/>
          </w:tcPr>
          <w:p w14:paraId="568A98E2">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单位</w:t>
            </w:r>
          </w:p>
        </w:tc>
        <w:tc>
          <w:tcPr>
            <w:tcW w:w="5845" w:type="dxa"/>
            <w:vAlign w:val="center"/>
          </w:tcPr>
          <w:p w14:paraId="2D29E875">
            <w:pPr>
              <w:spacing w:line="400" w:lineRule="exact"/>
              <w:jc w:val="center"/>
              <w:rPr>
                <w:rFonts w:hint="eastAsia" w:ascii="宋体" w:hAnsi="宋体" w:cs="宋体"/>
                <w:b/>
                <w:bCs/>
                <w:color w:val="auto"/>
                <w:szCs w:val="21"/>
                <w:highlight w:val="none"/>
              </w:rPr>
            </w:pPr>
            <w:r>
              <w:rPr>
                <w:rFonts w:hint="eastAsia" w:ascii="宋体" w:hAnsi="宋体" w:cs="宋体"/>
                <w:b/>
                <w:bCs/>
                <w:color w:val="auto"/>
                <w:kern w:val="0"/>
                <w:szCs w:val="21"/>
                <w:highlight w:val="none"/>
              </w:rPr>
              <w:t>技术参数及性能（配置）要求</w:t>
            </w:r>
          </w:p>
        </w:tc>
      </w:tr>
      <w:tr w14:paraId="15A5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65B768D6">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1</w:t>
            </w:r>
          </w:p>
        </w:tc>
        <w:tc>
          <w:tcPr>
            <w:tcW w:w="1420" w:type="dxa"/>
            <w:vAlign w:val="center"/>
          </w:tcPr>
          <w:p w14:paraId="1CACE2C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rPr>
              <w:t>商业水阻划船器</w:t>
            </w:r>
          </w:p>
        </w:tc>
        <w:tc>
          <w:tcPr>
            <w:tcW w:w="680" w:type="dxa"/>
            <w:vAlign w:val="center"/>
          </w:tcPr>
          <w:p w14:paraId="1B850180">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2</w:t>
            </w:r>
          </w:p>
        </w:tc>
        <w:tc>
          <w:tcPr>
            <w:tcW w:w="700" w:type="dxa"/>
            <w:vAlign w:val="center"/>
          </w:tcPr>
          <w:p w14:paraId="37E7B17A">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04278DD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1、产品尺寸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 2080*395*495</w:t>
            </w:r>
            <w:r>
              <w:rPr>
                <w:rFonts w:hint="eastAsia" w:ascii="宋体" w:hAnsi="宋体" w:cs="宋体"/>
                <w:i w:val="0"/>
                <w:iCs w:val="0"/>
                <w:color w:val="auto"/>
                <w:kern w:val="0"/>
                <w:sz w:val="21"/>
                <w:szCs w:val="21"/>
                <w:u w:val="none"/>
                <w:lang w:val="en-US" w:eastAsia="zh-CN" w:bidi="ar"/>
              </w:rPr>
              <w:t>cm</w:t>
            </w: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2、两节5#电池供电，蓝牙连接，APP功能；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3、整体航空铝合金材质；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4、食品级耐冲击抗腐蚀塑料水壶；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5、可立式收纳；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6、还原真实划船水流声；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7、可选配蓝牙版支持与APP对接；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8、器材需人工搬运三楼安装。</w:t>
            </w:r>
          </w:p>
        </w:tc>
      </w:tr>
      <w:tr w14:paraId="6825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5286976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2</w:t>
            </w:r>
          </w:p>
        </w:tc>
        <w:tc>
          <w:tcPr>
            <w:tcW w:w="1420" w:type="dxa"/>
            <w:vAlign w:val="center"/>
          </w:tcPr>
          <w:p w14:paraId="0A14FF6A">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商用跑步机</w:t>
            </w:r>
          </w:p>
        </w:tc>
        <w:tc>
          <w:tcPr>
            <w:tcW w:w="680" w:type="dxa"/>
            <w:vAlign w:val="center"/>
          </w:tcPr>
          <w:p w14:paraId="69C5F988">
            <w:pPr>
              <w:widowControl/>
              <w:jc w:val="center"/>
              <w:textAlignment w:val="center"/>
              <w:rPr>
                <w:rFonts w:hint="eastAsia" w:ascii="宋体" w:hAnsi="宋体" w:cs="宋体"/>
                <w:color w:val="auto"/>
                <w:kern w:val="0"/>
                <w:szCs w:val="21"/>
                <w:highlight w:val="none"/>
              </w:rPr>
            </w:pPr>
            <w:r>
              <w:rPr>
                <w:rFonts w:hint="eastAsia" w:ascii="宋体" w:hAnsi="宋体" w:cs="宋体"/>
                <w:color w:val="auto"/>
                <w:sz w:val="21"/>
                <w:szCs w:val="21"/>
                <w:highlight w:val="none"/>
                <w:lang w:val="en-US" w:eastAsia="zh-CN"/>
              </w:rPr>
              <w:t>3</w:t>
            </w:r>
          </w:p>
        </w:tc>
        <w:tc>
          <w:tcPr>
            <w:tcW w:w="700" w:type="dxa"/>
            <w:vAlign w:val="center"/>
          </w:tcPr>
          <w:p w14:paraId="7B4E7FE7">
            <w:pPr>
              <w:widowControl/>
              <w:jc w:val="center"/>
              <w:textAlignment w:val="center"/>
              <w:rPr>
                <w:rFonts w:hint="eastAsia" w:ascii="宋体" w:hAnsi="宋体" w:cs="宋体"/>
                <w:color w:val="auto"/>
                <w:kern w:val="0"/>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78D4A3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1、全铝高频散热电机:功率3.0HP-7.0HP,输入电源:220V,电流:8.6A；</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2、显示屏:LED(18.5英寸),接口:数据线,USB,SD卡,耳机插口；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3、主体结构:非板式结构,采用更稳固的框架结构,立管:铝合金；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4、跑步面积:1600*580mm,跑步速度:1.0-20.0km/h.可调坡度:0-20.0%；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5、跑带尺寸:3647*585mm,跑带厚度:2.5mm,跑板厚度:25mm；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6、重量</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:223kg,承载</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:180kg,占地尺寸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:2360*960*1730mm；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7、包装尺寸:木箱</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2300*1000*450mm+纸箱</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1300*1050*510mm；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8、器材需人工搬运三楼安装。</w:t>
            </w:r>
          </w:p>
        </w:tc>
      </w:tr>
      <w:tr w14:paraId="134A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96" w:type="dxa"/>
            <w:vAlign w:val="center"/>
          </w:tcPr>
          <w:p w14:paraId="0F262DC3">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3</w:t>
            </w:r>
          </w:p>
        </w:tc>
        <w:tc>
          <w:tcPr>
            <w:tcW w:w="1420" w:type="dxa"/>
            <w:vAlign w:val="center"/>
          </w:tcPr>
          <w:p w14:paraId="3E652A24">
            <w:pPr>
              <w:widowControl/>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u w:val="none"/>
                <w:lang w:val="en-US" w:eastAsia="zh-CN" w:bidi="ar"/>
              </w:rPr>
              <w:t>商用爬楼机</w:t>
            </w:r>
          </w:p>
        </w:tc>
        <w:tc>
          <w:tcPr>
            <w:tcW w:w="680" w:type="dxa"/>
            <w:vAlign w:val="center"/>
          </w:tcPr>
          <w:p w14:paraId="0CD554A7">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6274EA43">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16E7A4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1、电源电压:输入电压:220V</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110V；</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2、自行调节开关输出6.5</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 xml:space="preserve"> 24V；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3、卡路里范围:0-999 等级范围:1-15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4、船型开关电源</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10A</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运行速度:0.3-2公里/小时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5、心率范围:40-180；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6、时间范围:0:00-99:59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7、里程范围:0-99.99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8、产品尺寸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 xml:space="preserve">:1580*845*2115mm(长*宽*高)；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:1455*920*1270mm(长*宽*高)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10、最大使用重量</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:160KG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11、器械重量</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:203KG；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12、器材需人工搬运三楼安装。</w:t>
            </w:r>
          </w:p>
        </w:tc>
      </w:tr>
      <w:tr w14:paraId="27EB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0F2F5C0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4</w:t>
            </w:r>
          </w:p>
        </w:tc>
        <w:tc>
          <w:tcPr>
            <w:tcW w:w="1420" w:type="dxa"/>
            <w:vAlign w:val="center"/>
          </w:tcPr>
          <w:p w14:paraId="4A5BC738">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坐凳式爬行器</w:t>
            </w:r>
          </w:p>
        </w:tc>
        <w:tc>
          <w:tcPr>
            <w:tcW w:w="680" w:type="dxa"/>
            <w:vAlign w:val="center"/>
          </w:tcPr>
          <w:p w14:paraId="5E3C788C">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53DDEE64">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518D40E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1、主要材料：整体不锈钢+硬塑；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2、能模仿动物爬行动作，锻炼身体协调性、柔韧性、以及全身肌肉的配合度；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3、器材需人工搬运三楼安装。</w:t>
            </w:r>
            <w:r>
              <w:rPr>
                <w:rFonts w:hint="eastAsia" w:ascii="宋体" w:hAnsi="宋体" w:eastAsia="宋体" w:cs="宋体"/>
                <w:i w:val="0"/>
                <w:iCs w:val="0"/>
                <w:color w:val="auto"/>
                <w:kern w:val="0"/>
                <w:sz w:val="21"/>
                <w:szCs w:val="21"/>
                <w:u w:val="none"/>
                <w:lang w:val="en-US" w:eastAsia="zh-CN" w:bidi="ar"/>
              </w:rPr>
              <w:br w:type="textWrapping"/>
            </w:r>
            <w:r>
              <w:rPr>
                <w:rFonts w:hint="eastAsia" w:ascii="Segoe UI Symbol" w:hAnsi="Segoe UI Symbol" w:cs="Segoe UI Symbol"/>
                <w:bCs/>
                <w:color w:val="auto"/>
                <w:sz w:val="24"/>
                <w:highlight w:val="none"/>
              </w:rPr>
              <w:t>▲</w:t>
            </w:r>
            <w:r>
              <w:rPr>
                <w:rFonts w:hint="eastAsia" w:ascii="宋体" w:hAnsi="宋体" w:eastAsia="宋体" w:cs="宋体"/>
                <w:i w:val="0"/>
                <w:iCs w:val="0"/>
                <w:color w:val="auto"/>
                <w:kern w:val="0"/>
                <w:sz w:val="21"/>
                <w:szCs w:val="21"/>
                <w:u w:val="none"/>
                <w:lang w:val="en-US" w:eastAsia="zh-CN" w:bidi="ar"/>
              </w:rPr>
              <w:t>为保证器械的质量，</w:t>
            </w:r>
            <w:r>
              <w:rPr>
                <w:rFonts w:hint="eastAsia" w:asciiTheme="minorEastAsia" w:hAnsiTheme="minorEastAsia" w:eastAsiaTheme="minorEastAsia" w:cstheme="minorEastAsia"/>
                <w:i w:val="0"/>
                <w:iCs w:val="0"/>
                <w:color w:val="auto"/>
                <w:kern w:val="0"/>
                <w:sz w:val="21"/>
                <w:szCs w:val="21"/>
                <w:u w:val="none"/>
                <w:lang w:val="en-US" w:eastAsia="zh-CN" w:bidi="ar"/>
              </w:rPr>
              <w:t>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宋体" w:hAnsi="宋体" w:eastAsia="宋体" w:cs="宋体"/>
                <w:i w:val="0"/>
                <w:iCs w:val="0"/>
                <w:color w:val="auto"/>
                <w:kern w:val="0"/>
                <w:sz w:val="21"/>
                <w:szCs w:val="21"/>
                <w:u w:val="none"/>
                <w:lang w:val="en-US" w:eastAsia="zh-CN" w:bidi="ar"/>
              </w:rPr>
              <w:t>。</w:t>
            </w:r>
          </w:p>
        </w:tc>
      </w:tr>
      <w:tr w14:paraId="1777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63D6045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5</w:t>
            </w:r>
          </w:p>
        </w:tc>
        <w:tc>
          <w:tcPr>
            <w:tcW w:w="1420" w:type="dxa"/>
            <w:vAlign w:val="center"/>
          </w:tcPr>
          <w:p w14:paraId="7E95881C">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商用助力单双杠训练器</w:t>
            </w:r>
          </w:p>
        </w:tc>
        <w:tc>
          <w:tcPr>
            <w:tcW w:w="680" w:type="dxa"/>
            <w:vAlign w:val="center"/>
          </w:tcPr>
          <w:p w14:paraId="3C5A6B72">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469AE8B7">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611E46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1、产品尺寸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：1625*1070*2250mm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2、产品重量</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：268kg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3、标准配重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：99kg，材质冷拉钢板，经久耐用；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4、锻炼部位：胸大肌、背部肌肉群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整体采用Q235B材质50*100*T3.0类矩形管材精密焊管，经过自动激光下料，CNC加工，精密弯管，机器人全自动激光焊接而成，产品表面经过先磷化硅烷前处理，全自动流水线喷塑工艺可提高抗锈能力，粉末涂料采用先进喷涂设备喷涂，配重门框采用半包围式，护板采用235B高拉伸钢板激光加工折弯而成，局部配以铝合金装饰；调节部位采用304不锈钢；采用超强钢丝绳Ф5.8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6、坐垫工艺：一次成型优质皮革双线缝纫，工程塑料背板；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7、基础配件：铝合金配件。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8、喷涂工艺：磷化硅烷前处理，全自动流水线静电喷涂，管内外壁均喷涂；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9、器材需人工搬运三楼安装。</w:t>
            </w:r>
          </w:p>
        </w:tc>
      </w:tr>
      <w:tr w14:paraId="1002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2A839CA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6</w:t>
            </w:r>
          </w:p>
        </w:tc>
        <w:tc>
          <w:tcPr>
            <w:tcW w:w="1420" w:type="dxa"/>
            <w:vAlign w:val="center"/>
          </w:tcPr>
          <w:p w14:paraId="491814D7">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商用仰卧举肩训练器</w:t>
            </w:r>
          </w:p>
        </w:tc>
        <w:tc>
          <w:tcPr>
            <w:tcW w:w="680" w:type="dxa"/>
            <w:vAlign w:val="center"/>
          </w:tcPr>
          <w:p w14:paraId="45B2BB3B">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3156E604">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031297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1、设计:主体50*80mm矩形管材,包门框架:50*100mm矩形管材,包门材质:透明ABS；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2、钢材:国标Q235钢,配重:96KG+4.6KG纯钢配重片,内嵌减震胶垫；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4、配件:钢丝绳:"七股十九线"钢丝绳,直径4.8mm,座椅调节方式:滚轮调节；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5、座垫:高密度压缩海绵,手柄:高强度PVC材料,不易破损,提高产品耐久度；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:1495×1580×1640mm,包装尺寸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:1720*1170*390mm；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:224kg；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8、器材需人工搬运三楼安装。</w:t>
            </w:r>
          </w:p>
        </w:tc>
      </w:tr>
      <w:tr w14:paraId="4F53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6A66475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7</w:t>
            </w:r>
          </w:p>
        </w:tc>
        <w:tc>
          <w:tcPr>
            <w:tcW w:w="1420" w:type="dxa"/>
            <w:vAlign w:val="center"/>
          </w:tcPr>
          <w:p w14:paraId="3060C7B5">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商用反飞鸟训练器</w:t>
            </w:r>
          </w:p>
        </w:tc>
        <w:tc>
          <w:tcPr>
            <w:tcW w:w="680" w:type="dxa"/>
            <w:vAlign w:val="center"/>
          </w:tcPr>
          <w:p w14:paraId="7DD105E2">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1B6A4B98">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069979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1、设计:主体50*80mm矩形管材,包门框架:50*100mm矩形管材,包门材质:透明ABS；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2、钢材:国标Q235钢,配重:96KG+4.6KG纯钢配重片,内嵌减震胶垫；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4、配件:钢丝绳:"七股十九线"钢丝绳,直径4.8mm,座椅调节方式:滚轮调节；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5、座垫:高密度压缩海绵,手柄:高强度PVC材料,不易破损,提高产品耐久度；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:1260*860*1980mm,包装</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:2020*1170*320mm；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:228kg；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8、器材需人工搬运三楼安装。</w:t>
            </w:r>
          </w:p>
        </w:tc>
      </w:tr>
      <w:tr w14:paraId="042A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7CCC4067">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8</w:t>
            </w:r>
          </w:p>
        </w:tc>
        <w:tc>
          <w:tcPr>
            <w:tcW w:w="1420" w:type="dxa"/>
            <w:vAlign w:val="center"/>
          </w:tcPr>
          <w:p w14:paraId="1454659A">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商用坐式推胸训练器</w:t>
            </w:r>
          </w:p>
        </w:tc>
        <w:tc>
          <w:tcPr>
            <w:tcW w:w="680" w:type="dxa"/>
            <w:vAlign w:val="center"/>
          </w:tcPr>
          <w:p w14:paraId="489B513C">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7FB726F4">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5370F3B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1、设计:主体50*80mm矩形管材,包门框架:50*100mm矩形管材,包门材质:透明ABS；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2、钢材:国标Q235钢,配重:96KG+4.6KG纯钢配重片,内嵌减震胶垫；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4、配件:钢丝绳:"七股十九线"钢丝绳,直径4.8mm,座椅调节方式:滚轮调节；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5、座垫:高密度压缩海绵,手柄:高强度PVC材料,不易破损,提高产品耐久度；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:占地:1500*1100*1630mm,包装尺寸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:1720*1120*520mm；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:229kg；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8、器材需人工搬运三楼安装。</w:t>
            </w:r>
          </w:p>
        </w:tc>
      </w:tr>
      <w:tr w14:paraId="4C8F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33A1DB4B">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9</w:t>
            </w:r>
          </w:p>
        </w:tc>
        <w:tc>
          <w:tcPr>
            <w:tcW w:w="1420" w:type="dxa"/>
            <w:vAlign w:val="center"/>
          </w:tcPr>
          <w:p w14:paraId="1621AFB0">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商用大飞鸟训练器</w:t>
            </w:r>
          </w:p>
        </w:tc>
        <w:tc>
          <w:tcPr>
            <w:tcW w:w="680" w:type="dxa"/>
            <w:vAlign w:val="center"/>
          </w:tcPr>
          <w:p w14:paraId="6A116E15">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44D1DE4B">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035B15A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1、材质:主体:50*100mm矩形管材,钢材厚度:2.5mm,钢材:国标Q235钢；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2、配重:80kg*2纯钢配重片,内嵌减震胶垫,搭配强磁插销；</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3、工艺:进口激光机切割+智能机器人焊接+表面抛丸打砂除锈+封闭式全自动静电喷涂；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4、特点:"七股十九线"钢丝绳:直径5.6mm,调节方式:拉销调节,滑轮:尼龙滑轮；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5、手柄:高强度TPV材料,不易破损,提高产品耐久度；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:3860*715*2270mm,包装尺寸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:2690*1120*740mm；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:312kg；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8、器材需人工搬运三楼安装。</w:t>
            </w:r>
          </w:p>
        </w:tc>
      </w:tr>
      <w:tr w14:paraId="252C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6AA0229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10</w:t>
            </w:r>
          </w:p>
        </w:tc>
        <w:tc>
          <w:tcPr>
            <w:tcW w:w="1420" w:type="dxa"/>
            <w:vAlign w:val="center"/>
          </w:tcPr>
          <w:p w14:paraId="757D1CC0">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商用臀腰训练器</w:t>
            </w:r>
          </w:p>
        </w:tc>
        <w:tc>
          <w:tcPr>
            <w:tcW w:w="680" w:type="dxa"/>
            <w:vAlign w:val="center"/>
          </w:tcPr>
          <w:p w14:paraId="3A28643E">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097CF7FC">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12FDC3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:占地:1745*1485*800mm,包装</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:1370*920*550mm；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5、重量</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:105kg；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6、器材需人工搬运三楼安装。</w:t>
            </w:r>
          </w:p>
        </w:tc>
      </w:tr>
      <w:tr w14:paraId="466F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3A1D9AFB">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11</w:t>
            </w:r>
          </w:p>
        </w:tc>
        <w:tc>
          <w:tcPr>
            <w:tcW w:w="1420" w:type="dxa"/>
            <w:vAlign w:val="center"/>
          </w:tcPr>
          <w:p w14:paraId="51F9562B">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商用坐姿划船训练器</w:t>
            </w:r>
          </w:p>
        </w:tc>
        <w:tc>
          <w:tcPr>
            <w:tcW w:w="680" w:type="dxa"/>
            <w:vAlign w:val="center"/>
          </w:tcPr>
          <w:p w14:paraId="3A3ECB5A">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500F1559">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569F53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1、设计:主体50*80mm矩形管材,包门框架:50*100mm矩形管材,包门材质:透明ABS；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2、钢材:国标Q235钢,配重:96KG+4.6KG纯钢配重片,内嵌减震胶垫；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4、配件:钢丝绳:"七股十九线"钢丝绳,直径4.8mm,座椅调节方式:滚轮调节；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5、座垫:高密度压缩海绵,手柄:高强度PVC材料,不易破损,提高产品耐久度；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:1240*840*1920mm,包装尺寸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:2020*1120*470mm；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:234kg。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8、器材需人工搬运三楼安装。</w:t>
            </w:r>
          </w:p>
        </w:tc>
      </w:tr>
      <w:tr w14:paraId="2F1D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7F9B17A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12</w:t>
            </w:r>
          </w:p>
        </w:tc>
        <w:tc>
          <w:tcPr>
            <w:tcW w:w="1420" w:type="dxa"/>
            <w:vAlign w:val="center"/>
          </w:tcPr>
          <w:p w14:paraId="5A1DD64D">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商用高/低拉背训练器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【双功能】</w:t>
            </w:r>
          </w:p>
        </w:tc>
        <w:tc>
          <w:tcPr>
            <w:tcW w:w="680" w:type="dxa"/>
            <w:vAlign w:val="center"/>
          </w:tcPr>
          <w:p w14:paraId="24ABD487">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6D37C559">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15B7C88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1、设计:主体50*80mm矩形管材,包门框架:50*100mm矩形管材,包门材质:透明ABS；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2、钢材:国标Q235钢,配重:96KG+4.6KG纯钢配重片,内嵌减震胶垫；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4、配件:钢丝绳:"七股十九线"钢丝绳,直径5.6mm,座椅调节方式:滚轮调节；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5、座垫:高密度压缩海绵,手柄:高强度PVC材料,不易破损,提高产品耐久度；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:2440*850*2300mm,包装尺寸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:2350*1300*460mm；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7、器材需人工搬运三楼安装。</w:t>
            </w:r>
          </w:p>
        </w:tc>
      </w:tr>
      <w:tr w14:paraId="20AD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3E2F4CF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13</w:t>
            </w:r>
          </w:p>
        </w:tc>
        <w:tc>
          <w:tcPr>
            <w:tcW w:w="1420" w:type="dxa"/>
            <w:vAlign w:val="center"/>
          </w:tcPr>
          <w:p w14:paraId="241BF071">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商用伸腿/屈腿训练器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【双功能】</w:t>
            </w:r>
          </w:p>
        </w:tc>
        <w:tc>
          <w:tcPr>
            <w:tcW w:w="680" w:type="dxa"/>
            <w:vAlign w:val="center"/>
          </w:tcPr>
          <w:p w14:paraId="5034B3AB">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79E0B19E">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6139F0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1、设计:主体50*80mm矩形管材,包门框架:50*100mm矩形管材,包门材质:透明ABS；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2、钢材:国标Q235钢,配重:96KG+4.6KG纯钢配重片,内嵌减震胶垫；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4、配件:钢丝绳:"七股十九线"钢丝绳,直径4.8mm,座椅调节方式:滚轮调节；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5、座垫:高密度压缩海绵,手柄:高强度PVC材料,不易破损,提高产品耐久度；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:占地:1290*1050*1635mm,包装尺寸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:1800*800*450mm；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7、器材需人工搬运三楼安装。</w:t>
            </w:r>
          </w:p>
        </w:tc>
      </w:tr>
      <w:tr w14:paraId="22FA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21981380">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14</w:t>
            </w:r>
          </w:p>
        </w:tc>
        <w:tc>
          <w:tcPr>
            <w:tcW w:w="1420" w:type="dxa"/>
            <w:vAlign w:val="center"/>
          </w:tcPr>
          <w:p w14:paraId="25A5829F">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商用二头/三头肌训练器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【双功能】</w:t>
            </w:r>
          </w:p>
        </w:tc>
        <w:tc>
          <w:tcPr>
            <w:tcW w:w="680" w:type="dxa"/>
            <w:vAlign w:val="center"/>
          </w:tcPr>
          <w:p w14:paraId="4512D9A6">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03960052">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0379F4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1、设计:主体50*80mm矩形管材,包门框架:50*100mm矩形管材,包门材质:透明ABS；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2、钢材:国标Q235钢,配重:96KG+4.6KG纯钢配重片,内嵌减震胶垫；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4、配件:钢丝绳:"七股十九线"钢丝绳,直径4.8mm,座椅调节方式:滚轮调节；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5、座垫:高密度压缩海绵,手柄:高强度PVC材料,不易破损,提高产品耐久度；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:1140*1060*1410mm,包装尺寸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:1600*800*300mm；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7、器材需人工搬运三楼安装。</w:t>
            </w:r>
          </w:p>
        </w:tc>
      </w:tr>
      <w:tr w14:paraId="0350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52ACAEB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bidi="ar"/>
              </w:rPr>
              <w:t>15</w:t>
            </w:r>
          </w:p>
        </w:tc>
        <w:tc>
          <w:tcPr>
            <w:tcW w:w="1420" w:type="dxa"/>
            <w:vAlign w:val="center"/>
          </w:tcPr>
          <w:p w14:paraId="10F6F1EC">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商用大腿内/外侧训练器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【双功能】</w:t>
            </w:r>
          </w:p>
        </w:tc>
        <w:tc>
          <w:tcPr>
            <w:tcW w:w="680" w:type="dxa"/>
            <w:vAlign w:val="center"/>
          </w:tcPr>
          <w:p w14:paraId="26983F6D">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618A0E10">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74C8B6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1、设计:主体50*80mm矩形管材,包门框架:50*100mm矩形管材,包门材质:透明ABS；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2、钢材:国标Q235钢,配重:96KG+4.6KG纯钢配重片,内嵌减震胶垫；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4、配件:钢丝绳:"七股十九线"钢丝绳,直径4.8mm,座椅调节方式:滚轮调节；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5、座垫:高密度压缩海绵,手柄:高强度PVC材料,不易破损,提高产品耐久度；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:1550*700*1640mm,包装尺寸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:1500*800*580mm；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7、器材需人工搬运三楼安装。</w:t>
            </w:r>
          </w:p>
        </w:tc>
      </w:tr>
      <w:tr w14:paraId="56A1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23CEE79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16</w:t>
            </w:r>
          </w:p>
        </w:tc>
        <w:tc>
          <w:tcPr>
            <w:tcW w:w="1420" w:type="dxa"/>
            <w:vAlign w:val="center"/>
          </w:tcPr>
          <w:p w14:paraId="285BCF80">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商用上斜飞鸟训练器</w:t>
            </w:r>
          </w:p>
        </w:tc>
        <w:tc>
          <w:tcPr>
            <w:tcW w:w="680" w:type="dxa"/>
            <w:vAlign w:val="center"/>
          </w:tcPr>
          <w:p w14:paraId="77DCF417">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3F1DC227">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171C94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4、调节方式:插销调节.座垫:高密度再生海绵；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5、手柄:高强度TPV材料,不易破损,提高产品耐久度；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:1790*1600*1200mm,包装尺寸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:1580*740*420mm；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:105kg；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8、器材需人工搬运三楼安装。</w:t>
            </w:r>
          </w:p>
        </w:tc>
      </w:tr>
      <w:tr w14:paraId="1DB0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3D3FB13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17</w:t>
            </w:r>
          </w:p>
        </w:tc>
        <w:tc>
          <w:tcPr>
            <w:tcW w:w="1420" w:type="dxa"/>
            <w:vAlign w:val="center"/>
          </w:tcPr>
          <w:p w14:paraId="444F5594">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哈克斯深蹲</w:t>
            </w:r>
          </w:p>
        </w:tc>
        <w:tc>
          <w:tcPr>
            <w:tcW w:w="680" w:type="dxa"/>
            <w:vAlign w:val="center"/>
          </w:tcPr>
          <w:p w14:paraId="033A91CA">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66A1A2C7">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657CC46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1、材质：主体：50*100mm矩形管材，钢材厚度：2.5mm，钢材：国标Q235钢；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3、配置：座垫：高密度压缩海绵，手柄：高强度TPV材料，不易破损，提高产品耐久度；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：1990*1640*1450mm，包装尺寸：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2140*1120*680mm5。重量：净重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：196kg；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5、器材需人工搬运三楼安装。</w:t>
            </w:r>
          </w:p>
        </w:tc>
      </w:tr>
      <w:tr w14:paraId="4A3C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058BCF4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18</w:t>
            </w:r>
          </w:p>
        </w:tc>
        <w:tc>
          <w:tcPr>
            <w:tcW w:w="1420" w:type="dxa"/>
            <w:vAlign w:val="center"/>
          </w:tcPr>
          <w:p w14:paraId="5970DF4C">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商用深蹲架</w:t>
            </w:r>
          </w:p>
        </w:tc>
        <w:tc>
          <w:tcPr>
            <w:tcW w:w="680" w:type="dxa"/>
            <w:vAlign w:val="center"/>
          </w:tcPr>
          <w:p w14:paraId="6B4A0998">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15714CD5">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0C4698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1、设计:主体100*100*3mm矩形管材；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4、手柄:高强度TPV材料,不易破损,提高产品耐久度.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:1560*1400*2570mm,包装尺寸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:2520*1120*440mm；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:177kg；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cs="宋体"/>
                <w:i w:val="0"/>
                <w:iCs w:val="0"/>
                <w:color w:val="auto"/>
                <w:kern w:val="0"/>
                <w:sz w:val="21"/>
                <w:szCs w:val="21"/>
                <w:u w:val="none"/>
                <w:lang w:val="en-US" w:eastAsia="zh-CN" w:bidi="ar"/>
              </w:rPr>
              <w:t>7</w:t>
            </w:r>
            <w:r>
              <w:rPr>
                <w:rFonts w:hint="eastAsia" w:ascii="宋体" w:hAnsi="宋体" w:eastAsia="宋体" w:cs="宋体"/>
                <w:i w:val="0"/>
                <w:iCs w:val="0"/>
                <w:color w:val="auto"/>
                <w:kern w:val="0"/>
                <w:sz w:val="21"/>
                <w:szCs w:val="21"/>
                <w:u w:val="none"/>
                <w:lang w:val="en-US" w:eastAsia="zh-CN" w:bidi="ar"/>
              </w:rPr>
              <w:t>、器材需人工搬运三楼安装。</w:t>
            </w:r>
          </w:p>
        </w:tc>
      </w:tr>
      <w:tr w14:paraId="11A1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6E08D13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19</w:t>
            </w:r>
          </w:p>
        </w:tc>
        <w:tc>
          <w:tcPr>
            <w:tcW w:w="1420" w:type="dxa"/>
            <w:vAlign w:val="center"/>
          </w:tcPr>
          <w:p w14:paraId="58EC2B08">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商用倒蹬顺蹬机</w:t>
            </w:r>
          </w:p>
        </w:tc>
        <w:tc>
          <w:tcPr>
            <w:tcW w:w="680" w:type="dxa"/>
            <w:vAlign w:val="center"/>
          </w:tcPr>
          <w:p w14:paraId="22385516">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2F6043F7">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5C1800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4、调节方式:手动2档调节.座垫:高密度再生海绵；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5、手柄:高强度TPV材料,不易破损,提高产品耐久度；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:2400*1620*1490mm,包装尺寸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:2270*1120*800mm；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:256kg；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8、器材需人工搬运三楼安装。</w:t>
            </w:r>
          </w:p>
        </w:tc>
      </w:tr>
      <w:tr w14:paraId="257C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7471173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20</w:t>
            </w:r>
          </w:p>
        </w:tc>
        <w:tc>
          <w:tcPr>
            <w:tcW w:w="1420" w:type="dxa"/>
            <w:vAlign w:val="center"/>
          </w:tcPr>
          <w:p w14:paraId="2C96A31F">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商用史密斯机训练器</w:t>
            </w:r>
          </w:p>
        </w:tc>
        <w:tc>
          <w:tcPr>
            <w:tcW w:w="680" w:type="dxa"/>
            <w:vAlign w:val="center"/>
          </w:tcPr>
          <w:p w14:paraId="4C5E6688">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4043D0F3">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1D0148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1、材质:主体:50*100mm矩形管材,钢材厚度:2.5mm,钢材:国标Q235钢；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3、尺寸:占地</w:t>
            </w:r>
            <w:r>
              <w:rPr>
                <w:rFonts w:hint="eastAsia" w:ascii="宋体" w:hAnsi="宋体" w:cs="宋体"/>
                <w:i w:val="0"/>
                <w:iCs w:val="0"/>
                <w:color w:val="auto"/>
                <w:kern w:val="0"/>
                <w:sz w:val="21"/>
                <w:szCs w:val="21"/>
                <w:u w:val="single"/>
                <w:lang w:val="en-US" w:eastAsia="zh-CN" w:bidi="ar"/>
              </w:rPr>
              <w:t>约</w:t>
            </w:r>
            <w:r>
              <w:rPr>
                <w:rFonts w:hint="eastAsia" w:ascii="宋体" w:hAnsi="宋体" w:eastAsia="宋体" w:cs="宋体"/>
                <w:i w:val="0"/>
                <w:iCs w:val="0"/>
                <w:color w:val="auto"/>
                <w:kern w:val="0"/>
                <w:sz w:val="21"/>
                <w:szCs w:val="21"/>
                <w:u w:val="none"/>
                <w:lang w:val="en-US" w:eastAsia="zh-CN" w:bidi="ar"/>
              </w:rPr>
              <w:t>:1450*2200*2200mm,包装尺寸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:2270*1520*370mm；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:284kg；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5、器材需人工搬运三楼安装。</w:t>
            </w:r>
          </w:p>
        </w:tc>
      </w:tr>
      <w:tr w14:paraId="3AAB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4F209FD5">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21</w:t>
            </w:r>
          </w:p>
        </w:tc>
        <w:tc>
          <w:tcPr>
            <w:tcW w:w="1420" w:type="dxa"/>
            <w:vAlign w:val="center"/>
          </w:tcPr>
          <w:p w14:paraId="47E3A58E">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商用保护架平卧推胸训练器</w:t>
            </w:r>
          </w:p>
        </w:tc>
        <w:tc>
          <w:tcPr>
            <w:tcW w:w="680" w:type="dxa"/>
            <w:vAlign w:val="center"/>
          </w:tcPr>
          <w:p w14:paraId="3313932E">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432F7FA1">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0C757C6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4、座垫:高密度再生海绵；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:1620*1680*1300mm,包装(纸箱)尺寸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:1370*770*360mm；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:84kg；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7、器材需人工搬运三楼安装。</w:t>
            </w:r>
          </w:p>
        </w:tc>
      </w:tr>
      <w:tr w14:paraId="3F27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5090523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22</w:t>
            </w:r>
          </w:p>
        </w:tc>
        <w:tc>
          <w:tcPr>
            <w:tcW w:w="1420" w:type="dxa"/>
            <w:vAlign w:val="center"/>
          </w:tcPr>
          <w:p w14:paraId="62111926">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商用美腰机</w:t>
            </w:r>
          </w:p>
        </w:tc>
        <w:tc>
          <w:tcPr>
            <w:tcW w:w="680" w:type="dxa"/>
            <w:vAlign w:val="center"/>
          </w:tcPr>
          <w:p w14:paraId="7A6E21EB">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6F696C8D">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5F06B8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1、设计:主体50*100mm平椭管材；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:1710*720*1450mm,包装尺寸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:1420*800*350mm；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5、包装:纸箱包装；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6、器材需人工搬运三楼安装。</w:t>
            </w:r>
          </w:p>
        </w:tc>
      </w:tr>
      <w:tr w14:paraId="459E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3812A12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23</w:t>
            </w:r>
          </w:p>
        </w:tc>
        <w:tc>
          <w:tcPr>
            <w:tcW w:w="1420" w:type="dxa"/>
            <w:vAlign w:val="center"/>
          </w:tcPr>
          <w:p w14:paraId="00137E54">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商用罗马椅</w:t>
            </w:r>
          </w:p>
        </w:tc>
        <w:tc>
          <w:tcPr>
            <w:tcW w:w="680" w:type="dxa"/>
            <w:vAlign w:val="center"/>
          </w:tcPr>
          <w:p w14:paraId="0024F20B">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2</w:t>
            </w:r>
          </w:p>
        </w:tc>
        <w:tc>
          <w:tcPr>
            <w:tcW w:w="700" w:type="dxa"/>
            <w:vAlign w:val="center"/>
          </w:tcPr>
          <w:p w14:paraId="489B6499">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14270F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1、材质:主体:50*100mm矩形管材,钢材厚度:2.5mm,钢材:国标Q235钢；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3、配置:座垫:高密度压缩海绵,调节方式:插销调节；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4、手柄:高强度TPV材料,不易破损,提高产品耐久度；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:1130*920*750mm,包装(纸箱)尺寸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:1240*970*440mm；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:45kg；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7、器材需人工搬运三楼安装。</w:t>
            </w:r>
          </w:p>
        </w:tc>
      </w:tr>
      <w:tr w14:paraId="67A1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3B26862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24</w:t>
            </w:r>
          </w:p>
        </w:tc>
        <w:tc>
          <w:tcPr>
            <w:tcW w:w="1420" w:type="dxa"/>
            <w:vAlign w:val="center"/>
          </w:tcPr>
          <w:p w14:paraId="68BDC0F6">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商用训练平凳</w:t>
            </w:r>
          </w:p>
        </w:tc>
        <w:tc>
          <w:tcPr>
            <w:tcW w:w="680" w:type="dxa"/>
            <w:vAlign w:val="center"/>
          </w:tcPr>
          <w:p w14:paraId="64178168">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2</w:t>
            </w:r>
          </w:p>
        </w:tc>
        <w:tc>
          <w:tcPr>
            <w:tcW w:w="700" w:type="dxa"/>
            <w:vAlign w:val="center"/>
          </w:tcPr>
          <w:p w14:paraId="208F088F">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447408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4、座垫:高密度再生海绵；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:1270*470*410mm,包装(纸箱)尺寸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:1240*440*250mm；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6、重量:净重:25kg；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7、器材需人工搬运三楼安装。</w:t>
            </w:r>
          </w:p>
        </w:tc>
      </w:tr>
      <w:tr w14:paraId="6E0C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56D80CA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25</w:t>
            </w:r>
          </w:p>
        </w:tc>
        <w:tc>
          <w:tcPr>
            <w:tcW w:w="1420" w:type="dxa"/>
            <w:vAlign w:val="center"/>
          </w:tcPr>
          <w:p w14:paraId="43107DC8">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商用训练可调椅</w:t>
            </w:r>
          </w:p>
        </w:tc>
        <w:tc>
          <w:tcPr>
            <w:tcW w:w="680" w:type="dxa"/>
            <w:vAlign w:val="center"/>
          </w:tcPr>
          <w:p w14:paraId="35FF1AC3">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2</w:t>
            </w:r>
          </w:p>
        </w:tc>
        <w:tc>
          <w:tcPr>
            <w:tcW w:w="700" w:type="dxa"/>
            <w:vAlign w:val="center"/>
          </w:tcPr>
          <w:p w14:paraId="0435B640">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12F4369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4、调节方式:手动调节.座垫:高密度再生海绵；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5、手柄:高强度TPV材料,不易破损,提高产品耐久度；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:1570*570*460mm,包装(纸箱)尺寸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:1440*480*370mm；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7、重</w:t>
            </w:r>
            <w:r>
              <w:rPr>
                <w:rFonts w:hint="eastAsia" w:ascii="宋体" w:hAnsi="宋体" w:eastAsia="宋体" w:cs="宋体"/>
                <w:i w:val="0"/>
                <w:iCs w:val="0"/>
                <w:color w:val="auto"/>
                <w:kern w:val="0"/>
                <w:sz w:val="21"/>
                <w:szCs w:val="21"/>
                <w:u w:val="none"/>
                <w:lang w:val="en-US" w:eastAsia="zh-CN" w:bidi="ar"/>
              </w:rPr>
              <w:t>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8kg；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8、器材需人工搬运三楼安装。</w:t>
            </w:r>
          </w:p>
        </w:tc>
      </w:tr>
      <w:tr w14:paraId="0EA1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05C39D4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26</w:t>
            </w:r>
          </w:p>
        </w:tc>
        <w:tc>
          <w:tcPr>
            <w:tcW w:w="1420" w:type="dxa"/>
            <w:vAlign w:val="center"/>
          </w:tcPr>
          <w:p w14:paraId="7E244411">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商用哑铃架</w:t>
            </w:r>
          </w:p>
        </w:tc>
        <w:tc>
          <w:tcPr>
            <w:tcW w:w="680" w:type="dxa"/>
            <w:vAlign w:val="center"/>
          </w:tcPr>
          <w:p w14:paraId="146601C8">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62C45E79">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1BA3C3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1、设计:主体50*80mm矩形管材；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:2093*507*785mm,包装尺寸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:2120*600*270mm；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5、包装(纸箱)尺寸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:2320*290*170mm+950*720*270mm；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:62kg；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7、器材需人工搬运三楼安装。</w:t>
            </w:r>
          </w:p>
        </w:tc>
      </w:tr>
      <w:tr w14:paraId="3395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4E8A168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27</w:t>
            </w:r>
          </w:p>
        </w:tc>
        <w:tc>
          <w:tcPr>
            <w:tcW w:w="1420" w:type="dxa"/>
            <w:vAlign w:val="center"/>
          </w:tcPr>
          <w:p w14:paraId="64C4AFE5">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商用哑铃</w:t>
            </w:r>
          </w:p>
        </w:tc>
        <w:tc>
          <w:tcPr>
            <w:tcW w:w="680" w:type="dxa"/>
            <w:vAlign w:val="center"/>
          </w:tcPr>
          <w:p w14:paraId="56FC2EDF">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17BDF1B5">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套</w:t>
            </w:r>
          </w:p>
        </w:tc>
        <w:tc>
          <w:tcPr>
            <w:tcW w:w="5845" w:type="dxa"/>
            <w:vAlign w:val="center"/>
          </w:tcPr>
          <w:p w14:paraId="737840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1、产品材质:一级标准圆钢、热可塑性聚氨酯(TPU)、电镀装饰铬手柄；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2、产品工艺:圆钢经过切割、倒角,然后与哑铃手柄焊接,通过机器加热热可塑性聚氨酯(TPU)包裹圆钢球体,最后根据需求粘贴标体完成；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3、产品表面为皮纹面类,更加抗磨、耐摔，产品特点:聚氨酯哑铃属于哑铃类高端产品,本身具有无味、环保、抗磨、使用寿命长；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4、产品规格:2.5KG*2、15KG*2、5KG*2、17.5KG*2、7.5KG*2、20KG*2、10KG*2、22.5KG*2、12.5KG*2、25KG*2；</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5、器材需人工搬运三楼安装。</w:t>
            </w:r>
          </w:p>
        </w:tc>
      </w:tr>
      <w:tr w14:paraId="54B5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6DB029E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28</w:t>
            </w:r>
          </w:p>
        </w:tc>
        <w:tc>
          <w:tcPr>
            <w:tcW w:w="1420" w:type="dxa"/>
            <w:vAlign w:val="center"/>
          </w:tcPr>
          <w:p w14:paraId="6E7C0729">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商用牧师椅</w:t>
            </w:r>
          </w:p>
        </w:tc>
        <w:tc>
          <w:tcPr>
            <w:tcW w:w="680" w:type="dxa"/>
            <w:vAlign w:val="center"/>
          </w:tcPr>
          <w:p w14:paraId="398B33E3">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27B99988">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台</w:t>
            </w:r>
          </w:p>
        </w:tc>
        <w:tc>
          <w:tcPr>
            <w:tcW w:w="5845" w:type="dxa"/>
            <w:vAlign w:val="center"/>
          </w:tcPr>
          <w:p w14:paraId="5C20C2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1、材质:主体:50*100mm矩形管材,钢材厚度:2.5mm,钢材:国标Q235钢；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2、工艺:激光机切割+智能机器人焊接+表面抛丸打砂除锈+封闭式全自动静电喷涂；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3、配置:座垫:高密度压缩海绵,调节方式:插销调节；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4、尺寸:占地</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:1340*780*940mm,包装(纸箱)尺寸</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:1240*940*320mm；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5、重量:净重</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:46kg；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6、器材需人工搬运三楼安装。</w:t>
            </w:r>
          </w:p>
        </w:tc>
      </w:tr>
      <w:tr w14:paraId="2A1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5328FF7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29</w:t>
            </w:r>
          </w:p>
        </w:tc>
        <w:tc>
          <w:tcPr>
            <w:tcW w:w="1420" w:type="dxa"/>
            <w:vAlign w:val="center"/>
          </w:tcPr>
          <w:p w14:paraId="7DB48003">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曲直杆</w:t>
            </w:r>
          </w:p>
        </w:tc>
        <w:tc>
          <w:tcPr>
            <w:tcW w:w="680" w:type="dxa"/>
            <w:vAlign w:val="center"/>
          </w:tcPr>
          <w:p w14:paraId="49AB3996">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35A0DDD5">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组</w:t>
            </w:r>
          </w:p>
        </w:tc>
        <w:tc>
          <w:tcPr>
            <w:tcW w:w="5845" w:type="dxa"/>
            <w:vAlign w:val="center"/>
          </w:tcPr>
          <w:p w14:paraId="2C4ED3F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1、10只装杠铃架 80*90*121CM，钢材质，（10-15-20-25-30kg直杆与曲杆各1根）PEV包胶，商用纯钢内芯；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2、配架子；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3、器材需人工搬运三楼安装。</w:t>
            </w:r>
          </w:p>
        </w:tc>
      </w:tr>
      <w:tr w14:paraId="047D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3C54EB19">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30</w:t>
            </w:r>
          </w:p>
        </w:tc>
        <w:tc>
          <w:tcPr>
            <w:tcW w:w="1420" w:type="dxa"/>
            <w:vAlign w:val="center"/>
          </w:tcPr>
          <w:p w14:paraId="6E942CBE">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壶铃</w:t>
            </w:r>
          </w:p>
        </w:tc>
        <w:tc>
          <w:tcPr>
            <w:tcW w:w="680" w:type="dxa"/>
            <w:vAlign w:val="center"/>
          </w:tcPr>
          <w:p w14:paraId="2F364C5D">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394802CC">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组</w:t>
            </w:r>
          </w:p>
        </w:tc>
        <w:tc>
          <w:tcPr>
            <w:tcW w:w="5845" w:type="dxa"/>
            <w:vAlign w:val="center"/>
          </w:tcPr>
          <w:p w14:paraId="52BCBB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1、壶铃材质为铸铁；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2、重量：4+6+8+10+12+14+16+18+20+22kg；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3、器材需人工搬运三楼安装。</w:t>
            </w:r>
          </w:p>
        </w:tc>
      </w:tr>
      <w:tr w14:paraId="4443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2CEF4AD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31</w:t>
            </w:r>
          </w:p>
        </w:tc>
        <w:tc>
          <w:tcPr>
            <w:tcW w:w="1420" w:type="dxa"/>
            <w:vAlign w:val="center"/>
          </w:tcPr>
          <w:p w14:paraId="3A96B365">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药球</w:t>
            </w:r>
          </w:p>
        </w:tc>
        <w:tc>
          <w:tcPr>
            <w:tcW w:w="680" w:type="dxa"/>
            <w:vAlign w:val="center"/>
          </w:tcPr>
          <w:p w14:paraId="2707B998">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1B3E7326">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组</w:t>
            </w:r>
          </w:p>
        </w:tc>
        <w:tc>
          <w:tcPr>
            <w:tcW w:w="5845" w:type="dxa"/>
            <w:vAlign w:val="center"/>
          </w:tcPr>
          <w:p w14:paraId="7E0AA5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1、材质：双层皮革，实心填充；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2、重量：2-4-6-8-10-12kg；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3、器材需人工搬运三楼安装。</w:t>
            </w:r>
          </w:p>
        </w:tc>
      </w:tr>
      <w:tr w14:paraId="047B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1E4FFC3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32</w:t>
            </w:r>
          </w:p>
        </w:tc>
        <w:tc>
          <w:tcPr>
            <w:tcW w:w="1420" w:type="dxa"/>
            <w:vAlign w:val="center"/>
          </w:tcPr>
          <w:p w14:paraId="795BE693">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杠铃杆</w:t>
            </w:r>
          </w:p>
        </w:tc>
        <w:tc>
          <w:tcPr>
            <w:tcW w:w="680" w:type="dxa"/>
            <w:vAlign w:val="center"/>
          </w:tcPr>
          <w:p w14:paraId="60E6D5EE">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6</w:t>
            </w:r>
          </w:p>
        </w:tc>
        <w:tc>
          <w:tcPr>
            <w:tcW w:w="700" w:type="dxa"/>
            <w:vAlign w:val="center"/>
          </w:tcPr>
          <w:p w14:paraId="4F0825E1">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根</w:t>
            </w:r>
          </w:p>
        </w:tc>
        <w:tc>
          <w:tcPr>
            <w:tcW w:w="5845" w:type="dxa"/>
            <w:vAlign w:val="center"/>
          </w:tcPr>
          <w:p w14:paraId="33966F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1、尺寸：2200mm；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2、材质为电镀圆钢、环保无味，弹性好，耐磨抗摔；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3、承重1500磅；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4、功能深蹲、硬拉；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5、器材需人工搬运三楼安装。</w:t>
            </w:r>
          </w:p>
        </w:tc>
      </w:tr>
      <w:tr w14:paraId="47F9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2A1B82B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33</w:t>
            </w:r>
          </w:p>
        </w:tc>
        <w:tc>
          <w:tcPr>
            <w:tcW w:w="1420" w:type="dxa"/>
            <w:vAlign w:val="center"/>
          </w:tcPr>
          <w:p w14:paraId="66E0D796">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商用杠铃片</w:t>
            </w:r>
          </w:p>
        </w:tc>
        <w:tc>
          <w:tcPr>
            <w:tcW w:w="680" w:type="dxa"/>
            <w:vAlign w:val="center"/>
          </w:tcPr>
          <w:p w14:paraId="1DF6E3B4">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635</w:t>
            </w:r>
          </w:p>
        </w:tc>
        <w:tc>
          <w:tcPr>
            <w:tcW w:w="700" w:type="dxa"/>
            <w:vAlign w:val="center"/>
          </w:tcPr>
          <w:p w14:paraId="2EBF2B54">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公斤</w:t>
            </w:r>
          </w:p>
        </w:tc>
        <w:tc>
          <w:tcPr>
            <w:tcW w:w="5845" w:type="dxa"/>
            <w:vAlign w:val="center"/>
          </w:tcPr>
          <w:p w14:paraId="0AD1E8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1、规格为5*20、2.5*10、10*20、15*10、20*8（公斤*片数），孔径52mm；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2、材质为表面聚氨酯（CPU），整体一次性浇注成型；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3、环保无味，弹性好，耐磨抗摔；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4、器材需人工搬运三楼安装。</w:t>
            </w:r>
          </w:p>
        </w:tc>
      </w:tr>
      <w:tr w14:paraId="07BE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4F799972">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34</w:t>
            </w:r>
          </w:p>
        </w:tc>
        <w:tc>
          <w:tcPr>
            <w:tcW w:w="1420" w:type="dxa"/>
            <w:vAlign w:val="center"/>
          </w:tcPr>
          <w:p w14:paraId="5AC1DB65">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地胶</w:t>
            </w:r>
          </w:p>
        </w:tc>
        <w:tc>
          <w:tcPr>
            <w:tcW w:w="680" w:type="dxa"/>
            <w:vAlign w:val="center"/>
          </w:tcPr>
          <w:p w14:paraId="0DD74FB6">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170</w:t>
            </w:r>
          </w:p>
        </w:tc>
        <w:tc>
          <w:tcPr>
            <w:tcW w:w="700" w:type="dxa"/>
            <w:vAlign w:val="center"/>
          </w:tcPr>
          <w:p w14:paraId="456A1F4E">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平方米</w:t>
            </w:r>
          </w:p>
        </w:tc>
        <w:tc>
          <w:tcPr>
            <w:tcW w:w="5845" w:type="dxa"/>
            <w:vAlign w:val="center"/>
          </w:tcPr>
          <w:p w14:paraId="7DC5363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规格尺寸：产品总厚度：≥ 4.5 mm，面层厚度≥ 1.2 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一、基础参数：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1.抗滑值：80-110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2.可溶性镉、可溶性铅含量：未检出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3.气味等级：≤3级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4.撕裂强度：≥5kN/m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5.阻燃等级：B1级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6.短链氯化石蜡（C10-C13）：未检出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7.冲击吸收：20%-50%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8、为验证产品的耐用性，避免日常踩踏使用导致产品性能下降，产品进行不低于10 万次踩踏试验后,再经不低于10万次疲劳预处理后，产品表面平整、坚实，无裂痕，无分层，手指触压无黏性。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9、为验证材料配方与工艺合规性，保障地板抗断裂能力，防止运动事故,供应商须提供依据国家标准GB 36246-2018检测的拉伸强度现场检测报告</w:t>
            </w:r>
            <w:r>
              <w:rPr>
                <w:rFonts w:hint="eastAsia" w:asciiTheme="minorEastAsia" w:hAnsiTheme="minorEastAsia" w:eastAsiaTheme="minorEastAsia" w:cstheme="minorEastAsia"/>
                <w:i w:val="0"/>
                <w:iCs w:val="0"/>
                <w:color w:val="auto"/>
                <w:kern w:val="0"/>
                <w:sz w:val="21"/>
                <w:szCs w:val="21"/>
                <w:u w:val="none"/>
                <w:lang w:val="en-US" w:eastAsia="zh-CN" w:bidi="ar"/>
              </w:rPr>
              <w:t>，生产厂家盖章技术承诺函，产品使用说明书，产品实物实拍图，厂家出厂自检报告，官网参数截图等任意一种或多种材料予以证明并加盖供应商公章</w:t>
            </w:r>
            <w:r>
              <w:rPr>
                <w:rFonts w:hint="eastAsia" w:ascii="宋体" w:hAnsi="宋体" w:eastAsia="宋体" w:cs="宋体"/>
                <w:i w:val="0"/>
                <w:iCs w:val="0"/>
                <w:color w:val="auto"/>
                <w:kern w:val="0"/>
                <w:sz w:val="21"/>
                <w:szCs w:val="21"/>
                <w:u w:val="none"/>
                <w:lang w:val="en-US" w:eastAsia="zh-CN" w:bidi="ar"/>
              </w:rPr>
              <w:t>。经自然老化一年前后前后两次检测产品拉伸强度指标始终≥0.7MPa，且变化率严格不超过10%。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10、为验证材料性能与结构设计的合规性，优化运动表现与舒适性，供应商需提供依据国家标准GB 36246-2018检测的垂直变形现场检测报告</w:t>
            </w:r>
            <w:r>
              <w:rPr>
                <w:rFonts w:hint="eastAsia" w:asciiTheme="minorEastAsia" w:hAnsiTheme="minorEastAsia" w:eastAsiaTheme="minorEastAsia" w:cstheme="minorEastAsia"/>
                <w:i w:val="0"/>
                <w:iCs w:val="0"/>
                <w:color w:val="auto"/>
                <w:kern w:val="0"/>
                <w:sz w:val="21"/>
                <w:szCs w:val="21"/>
                <w:u w:val="none"/>
                <w:lang w:val="en-US" w:eastAsia="zh-CN" w:bidi="ar"/>
              </w:rPr>
              <w:t>，生产厂家盖章技术承诺函，产品使用说明书，产品实物实拍图，厂家出厂自检报告，官网参数截图等任意一种或多种材料予以证明并加盖供应商公章</w:t>
            </w:r>
            <w:r>
              <w:rPr>
                <w:rFonts w:hint="eastAsia" w:ascii="宋体" w:hAnsi="宋体" w:eastAsia="宋体" w:cs="宋体"/>
                <w:i w:val="0"/>
                <w:iCs w:val="0"/>
                <w:color w:val="auto"/>
                <w:kern w:val="0"/>
                <w:sz w:val="21"/>
                <w:szCs w:val="21"/>
                <w:u w:val="none"/>
                <w:lang w:val="en-US" w:eastAsia="zh-CN" w:bidi="ar"/>
              </w:rPr>
              <w:t>。经自然老化一年前后两次检测产品垂直变形数值均≤3mm且变化率不超过10%。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11、为验证材料的长期耐久性，评估材料延展性与抗撕裂性能，供应商需提供依据国家标准GB 36246-2018检测的拉断伸长率现场检测报告</w:t>
            </w:r>
            <w:r>
              <w:rPr>
                <w:rFonts w:hint="eastAsia" w:asciiTheme="minorEastAsia" w:hAnsiTheme="minorEastAsia" w:eastAsiaTheme="minorEastAsia" w:cstheme="minorEastAsia"/>
                <w:i w:val="0"/>
                <w:iCs w:val="0"/>
                <w:color w:val="auto"/>
                <w:kern w:val="0"/>
                <w:sz w:val="21"/>
                <w:szCs w:val="21"/>
                <w:u w:val="none"/>
                <w:lang w:val="en-US" w:eastAsia="zh-CN" w:bidi="ar"/>
              </w:rPr>
              <w:t>，生产厂家盖章技术承诺函，产品使用说明书，产品实物实拍图，厂家出厂自检报告，官网参数截图等任意一种或多种材料予以证明并加盖供应商公章</w:t>
            </w:r>
            <w:r>
              <w:rPr>
                <w:rFonts w:hint="eastAsia" w:ascii="宋体" w:hAnsi="宋体" w:eastAsia="宋体" w:cs="宋体"/>
                <w:i w:val="0"/>
                <w:iCs w:val="0"/>
                <w:color w:val="auto"/>
                <w:kern w:val="0"/>
                <w:sz w:val="21"/>
                <w:szCs w:val="21"/>
                <w:u w:val="none"/>
                <w:lang w:val="en-US" w:eastAsia="zh-CN" w:bidi="ar"/>
              </w:rPr>
              <w:t>。经自然老化一年前后两次检测产品拉断伸长率均≥90%且变化率不超过10%。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12、为验证地板在反复弯曲应力下的耐久性和结构完整性，产品进行曲挠次数不低于20000次后，无开裂。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13、为验证材料配方的耐腐蚀性，防止地板溶胀变形，产品耐化学试剂（矿物油）不低于2000h后，外观无明显变化，无变色、无起泡、无开裂等现象。尺寸变化率：横向≤0.04%，纵向≤0.04%。</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14、为保证产品生产稳定性，产品每年测试玻纤含量连续三年≥17%。</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15、为保证产品在夏季湿热条件下、冬季湿冷条件下产品稳定不粉化、不破损，经过冷冻箱、干燥箱及其他循环测试18个循环不低于3000h后，外观无粉化、无破损、起皮和分层，灰卡等级一直保持≥5级。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16、产品减震吸收性能良好，孔隙率49.5%-59.5%。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17、为保证产品的耐用性，产品应在盐雾沉降量（ml/80cm2/h）1.0~2.0的条件下酸性盐雾实验不低于2000h后，表面无明显变化，无起泡、无开裂、无剥落，拉伸强度变化率≤2%，灰卡等级≥5级。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18、提供连续三个年度产品总体积收缩率≤0.5%的证明。</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19、以上加</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i w:val="0"/>
                <w:iCs w:val="0"/>
                <w:color w:val="auto"/>
                <w:kern w:val="0"/>
                <w:sz w:val="21"/>
                <w:szCs w:val="21"/>
                <w:u w:val="none"/>
                <w:lang w:val="en-US" w:eastAsia="zh-CN" w:bidi="ar"/>
              </w:rPr>
              <w:t>项为实质响应项，未满足按无效处理，</w:t>
            </w:r>
            <w:r>
              <w:rPr>
                <w:rFonts w:hint="eastAsia" w:asciiTheme="minorEastAsia" w:hAnsiTheme="minorEastAsia" w:eastAsiaTheme="minorEastAsia" w:cstheme="minorEastAsia"/>
                <w:i w:val="0"/>
                <w:iCs w:val="0"/>
                <w:color w:val="auto"/>
                <w:kern w:val="0"/>
                <w:sz w:val="21"/>
                <w:szCs w:val="21"/>
                <w:u w:val="none"/>
                <w:lang w:val="en-US" w:eastAsia="zh-CN" w:bidi="ar"/>
              </w:rPr>
              <w:t>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宋体" w:hAnsi="宋体" w:eastAsia="宋体" w:cs="宋体"/>
                <w:i w:val="0"/>
                <w:iCs w:val="0"/>
                <w:color w:val="auto"/>
                <w:kern w:val="0"/>
                <w:sz w:val="21"/>
                <w:szCs w:val="21"/>
                <w:u w:val="none"/>
                <w:lang w:val="en-US" w:eastAsia="zh-CN" w:bidi="ar"/>
              </w:rPr>
              <w:t>。</w:t>
            </w:r>
          </w:p>
        </w:tc>
      </w:tr>
      <w:tr w14:paraId="78F3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455FE74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35</w:t>
            </w:r>
          </w:p>
        </w:tc>
        <w:tc>
          <w:tcPr>
            <w:tcW w:w="1420" w:type="dxa"/>
            <w:vAlign w:val="center"/>
          </w:tcPr>
          <w:p w14:paraId="1CD29C44">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地垫</w:t>
            </w:r>
          </w:p>
        </w:tc>
        <w:tc>
          <w:tcPr>
            <w:tcW w:w="680" w:type="dxa"/>
            <w:vAlign w:val="center"/>
          </w:tcPr>
          <w:p w14:paraId="0B41ED87">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237</w:t>
            </w:r>
          </w:p>
        </w:tc>
        <w:tc>
          <w:tcPr>
            <w:tcW w:w="700" w:type="dxa"/>
            <w:vAlign w:val="center"/>
          </w:tcPr>
          <w:p w14:paraId="372C2BFC">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平方米</w:t>
            </w:r>
          </w:p>
        </w:tc>
        <w:tc>
          <w:tcPr>
            <w:tcW w:w="5845" w:type="dxa"/>
            <w:vAlign w:val="center"/>
          </w:tcPr>
          <w:p w14:paraId="7979A96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1.材质为高弹性 EPDM/SBR 聚合物 ，耐磨面层密度:≥1200kg/m；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2.产品规格：500mm×500mm/1000mm×1000mm，橡胶地垫（减震地垫）；厚度：≥20mm；减震耐冲击、硬度适中，弹性韧性符合健身房要求，无毒无刺鼻异味，绿色环保。</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3、橡胶地垫成品GB/T 1690-2010、GB/T 10654-2001、ASTM D4060-2019、GB/T 1681-2009标准，经（23℃、5%H2SO4溶液、5%NaOH溶液，240h）耐酸性碱性液体试验检测，拉伸强度保持率≥80%、断裂伸长率保持率≥80%、耐磨性≤12.1mg，回弹性≥45%。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4、橡胶地垫成品GB36246-2018测试，在常温23℃时，冲击吸收≥80%。</w:t>
            </w:r>
            <w:r>
              <w:rPr>
                <w:rFonts w:hint="eastAsia" w:asciiTheme="minorEastAsia" w:hAnsiTheme="minorEastAsia" w:eastAsiaTheme="minorEastAsia" w:cstheme="minorEastAsia"/>
                <w:i w:val="0"/>
                <w:iCs w:val="0"/>
                <w:color w:val="auto"/>
                <w:kern w:val="0"/>
                <w:sz w:val="21"/>
                <w:szCs w:val="21"/>
                <w:u w:val="none"/>
                <w:lang w:val="en-US" w:eastAsia="zh-CN" w:bidi="ar"/>
              </w:rPr>
              <w:t>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5、橡胶地垫成品依据GB/T 16422.2-2022标准，经氙灯耐老化性能≥520小时检测，无明显变色、无起泡、无开裂、无剥落、无发粘、无分层、无斑点且色牢度灰卡评级≥5级，依据GB/T 9780-2013标准，经耐沾污性（人造汗水）检测为0级。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u w:val="none"/>
                <w:lang w:val="en-US" w:eastAsia="zh-CN" w:bidi="ar"/>
              </w:rPr>
              <w:t>6橡胶地垫原材料-胶黏剂中有害物质限量检测，二氯甲烷，1,2-二氯乙烷，1,1,2-三氯乙烷，三氯乙烯总量，检测结果显示未检出。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备注：</w:t>
            </w:r>
            <w:r>
              <w:rPr>
                <w:rFonts w:hint="eastAsia" w:ascii="宋体" w:hAnsi="宋体" w:eastAsia="宋体" w:cs="宋体"/>
                <w:i w:val="0"/>
                <w:iCs w:val="0"/>
                <w:color w:val="auto"/>
                <w:kern w:val="0"/>
                <w:sz w:val="21"/>
                <w:szCs w:val="21"/>
                <w:u w:val="none"/>
                <w:lang w:val="en-US" w:eastAsia="zh-CN" w:bidi="ar"/>
              </w:rPr>
              <w:t>以上加</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i w:val="0"/>
                <w:iCs w:val="0"/>
                <w:color w:val="auto"/>
                <w:kern w:val="0"/>
                <w:sz w:val="21"/>
                <w:szCs w:val="21"/>
                <w:u w:val="none"/>
                <w:lang w:val="en-US" w:eastAsia="zh-CN" w:bidi="ar"/>
              </w:rPr>
              <w:t>项为实质响应项，未满足按无效处理</w:t>
            </w:r>
            <w:r>
              <w:rPr>
                <w:rFonts w:hint="eastAsia" w:ascii="宋体" w:hAnsi="宋体" w:eastAsia="宋体" w:cs="宋体"/>
                <w:i w:val="0"/>
                <w:iCs w:val="0"/>
                <w:color w:val="auto"/>
                <w:kern w:val="0"/>
                <w:sz w:val="21"/>
                <w:szCs w:val="21"/>
                <w:u w:val="none"/>
                <w:lang w:val="en-US" w:eastAsia="zh-CN" w:bidi="ar"/>
              </w:rPr>
              <w:t>，</w:t>
            </w:r>
            <w:r>
              <w:rPr>
                <w:rFonts w:hint="eastAsia" w:asciiTheme="minorEastAsia" w:hAnsiTheme="minorEastAsia" w:eastAsiaTheme="minorEastAsia" w:cstheme="minorEastAsia"/>
                <w:i w:val="0"/>
                <w:iCs w:val="0"/>
                <w:color w:val="auto"/>
                <w:kern w:val="0"/>
                <w:sz w:val="21"/>
                <w:szCs w:val="21"/>
                <w:u w:val="none"/>
                <w:lang w:val="en-US" w:eastAsia="zh-CN" w:bidi="ar"/>
              </w:rPr>
              <w:t>响应文件提供能呈现相应的参数功能的证明材料，如第三方检测机构出具的检测报告，生产厂家盖章技术承诺函，产品使用说明书，产品实物实拍图，厂家出厂自检报告，官网参数截图等任意一种或多种材料予以证明并加盖供应商公章</w:t>
            </w:r>
            <w:r>
              <w:rPr>
                <w:rFonts w:hint="eastAsia" w:ascii="宋体" w:hAnsi="宋体" w:eastAsia="宋体" w:cs="宋体"/>
                <w:i w:val="0"/>
                <w:iCs w:val="0"/>
                <w:color w:val="auto"/>
                <w:kern w:val="0"/>
                <w:sz w:val="21"/>
                <w:szCs w:val="21"/>
                <w:u w:val="none"/>
                <w:lang w:val="en-US" w:eastAsia="zh-CN" w:bidi="ar"/>
              </w:rPr>
              <w:t>。</w:t>
            </w:r>
          </w:p>
        </w:tc>
      </w:tr>
      <w:tr w14:paraId="7EEF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35696E32">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36</w:t>
            </w:r>
          </w:p>
        </w:tc>
        <w:tc>
          <w:tcPr>
            <w:tcW w:w="1420" w:type="dxa"/>
            <w:vAlign w:val="center"/>
          </w:tcPr>
          <w:p w14:paraId="21835BC1">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监控设备</w:t>
            </w:r>
          </w:p>
        </w:tc>
        <w:tc>
          <w:tcPr>
            <w:tcW w:w="680" w:type="dxa"/>
            <w:vAlign w:val="center"/>
          </w:tcPr>
          <w:p w14:paraId="55BCB5E3">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1</w:t>
            </w:r>
          </w:p>
        </w:tc>
        <w:tc>
          <w:tcPr>
            <w:tcW w:w="700" w:type="dxa"/>
            <w:vAlign w:val="center"/>
          </w:tcPr>
          <w:p w14:paraId="2AA1717F">
            <w:pPr>
              <w:widowControl/>
              <w:jc w:val="center"/>
              <w:textAlignment w:val="center"/>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套</w:t>
            </w:r>
          </w:p>
        </w:tc>
        <w:tc>
          <w:tcPr>
            <w:tcW w:w="5845" w:type="dxa"/>
            <w:vAlign w:val="center"/>
          </w:tcPr>
          <w:p w14:paraId="1528CE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1、5个400万半球型摄像机（POE款）；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2、POE交换机1台；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3、4路网络硬盘录像机1台；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4、4T监控硬盘1块；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5、其他耗材1批；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6、器材需人工搬运三楼安装。</w:t>
            </w:r>
          </w:p>
        </w:tc>
      </w:tr>
      <w:tr w14:paraId="43FD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1A60DD6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val="en-US" w:eastAsia="zh-CN" w:bidi="ar"/>
              </w:rPr>
              <w:t>37</w:t>
            </w:r>
          </w:p>
        </w:tc>
        <w:tc>
          <w:tcPr>
            <w:tcW w:w="1420" w:type="dxa"/>
            <w:vAlign w:val="center"/>
          </w:tcPr>
          <w:p w14:paraId="28E6FE44">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健身镜面</w:t>
            </w:r>
          </w:p>
        </w:tc>
        <w:tc>
          <w:tcPr>
            <w:tcW w:w="680" w:type="dxa"/>
            <w:vAlign w:val="center"/>
          </w:tcPr>
          <w:p w14:paraId="090C2A7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31</w:t>
            </w:r>
          </w:p>
        </w:tc>
        <w:tc>
          <w:tcPr>
            <w:tcW w:w="700" w:type="dxa"/>
            <w:vAlign w:val="center"/>
          </w:tcPr>
          <w:p w14:paraId="68D65D5B">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平方米</w:t>
            </w:r>
          </w:p>
        </w:tc>
        <w:tc>
          <w:tcPr>
            <w:tcW w:w="5845" w:type="dxa"/>
            <w:vAlign w:val="center"/>
          </w:tcPr>
          <w:p w14:paraId="25AC74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1、高清防撞水银镜；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2、9里板打底，板材防火处理；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3、5 里高清水银镜，2m 高，镜面磨边和防割处理，离地30厘米安装；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4、需避开消防管和打孔，边框不锈钢压条.底部做30公分不锈钢防撞处理；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5、器材需人工搬运三楼安装。</w:t>
            </w:r>
          </w:p>
        </w:tc>
      </w:tr>
      <w:tr w14:paraId="6596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2EA218A7">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val="en-US" w:eastAsia="zh-CN" w:bidi="ar"/>
              </w:rPr>
              <w:t>38</w:t>
            </w:r>
          </w:p>
        </w:tc>
        <w:tc>
          <w:tcPr>
            <w:tcW w:w="1420" w:type="dxa"/>
            <w:vAlign w:val="center"/>
          </w:tcPr>
          <w:p w14:paraId="4227AE78">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玻璃</w:t>
            </w:r>
          </w:p>
        </w:tc>
        <w:tc>
          <w:tcPr>
            <w:tcW w:w="680" w:type="dxa"/>
            <w:vAlign w:val="center"/>
          </w:tcPr>
          <w:p w14:paraId="1310C70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24</w:t>
            </w:r>
          </w:p>
        </w:tc>
        <w:tc>
          <w:tcPr>
            <w:tcW w:w="700" w:type="dxa"/>
            <w:vAlign w:val="center"/>
          </w:tcPr>
          <w:p w14:paraId="46ED47E2">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平方米</w:t>
            </w:r>
          </w:p>
        </w:tc>
        <w:tc>
          <w:tcPr>
            <w:tcW w:w="5845" w:type="dxa"/>
            <w:vAlign w:val="center"/>
          </w:tcPr>
          <w:p w14:paraId="1C07AF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黑色拉丝不锈钢包边：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1. 规格尺寸：截面50mm×50mm，壁厚1.0mm（实际壁厚通常存在±0.05~0.1mm公差）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材质属性：常规为304不锈钢（防锈性优）</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表面工艺：黑色拉丝，拉丝纹理顺直均匀，黑色为真空镀/喷涂工艺，附着力强且耐刮，表面无明显色差、划痕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核心性能：抗拉强度≥515MPa，耐盐雾测试（304材质）≥240小时无锈蚀，折弯加工无开裂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用途适配：适配玻璃包边、装饰边框等场景，安装方式多为卡扣式或胶粘+螺丝固定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12厘钢化透明玻璃：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1. 基础规格：厚度12mm（标注12厘，实际公差±0.2mm），透明无杂质、无明显气泡与结石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钢化属性：物理钢化玻璃，表面应力≥90MPa，碎片状态为钝角小颗粒，符合安全玻璃标准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光学性能：可见光透射比≥91%（无镀膜透明款），无明显光学畸变</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力学性能：抗冲击性是普通玻璃5倍以上，抗弯强度≥120MPa</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耐候与安全：耐温范围-40℃~280℃，破碎后不形成尖锐碎片，可按需加做防爆膜、磨砂等附加工艺</w:t>
            </w:r>
          </w:p>
        </w:tc>
      </w:tr>
      <w:tr w14:paraId="0F3E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2E65A56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val="en-US" w:eastAsia="zh-CN" w:bidi="ar"/>
              </w:rPr>
              <w:t>39</w:t>
            </w:r>
          </w:p>
        </w:tc>
        <w:tc>
          <w:tcPr>
            <w:tcW w:w="1420" w:type="dxa"/>
            <w:vAlign w:val="center"/>
          </w:tcPr>
          <w:p w14:paraId="3D576259">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窗帘</w:t>
            </w:r>
          </w:p>
        </w:tc>
        <w:tc>
          <w:tcPr>
            <w:tcW w:w="680" w:type="dxa"/>
            <w:vAlign w:val="center"/>
          </w:tcPr>
          <w:p w14:paraId="7851AAC7">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164</w:t>
            </w:r>
          </w:p>
        </w:tc>
        <w:tc>
          <w:tcPr>
            <w:tcW w:w="700" w:type="dxa"/>
            <w:vAlign w:val="center"/>
          </w:tcPr>
          <w:p w14:paraId="79D93716">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平方米</w:t>
            </w:r>
          </w:p>
        </w:tc>
        <w:tc>
          <w:tcPr>
            <w:tcW w:w="5845" w:type="dxa"/>
            <w:vAlign w:val="center"/>
          </w:tcPr>
          <w:p w14:paraId="394645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 遮光性能：全遮光级别（行业内全遮光窗帘遮光率≥95%，部分可达99%），可实现哑光睡眠环境。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材质工艺：采用高支高密面料，面料织纹紧密，无透光缝隙；表面为哑光处理，无反光干扰。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物理性能：垂坠性好，不易起皱；耐洗性佳，机洗后遮光性与形态不易衰减。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配件：搭配金属/塑料打孔环（窗帘扣环），环径适配伸缩杆，穿杆顺滑，不易卡滞。</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承重能力：额定承重≥75kg（150斤），标注“久用不掉落”，安装后稳定性强。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6、安装方式：打孔顶装式。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7、材质：杆体为不锈钢材质，表面防锈处理。</w:t>
            </w:r>
          </w:p>
        </w:tc>
      </w:tr>
      <w:tr w14:paraId="5CE4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27B5A3E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val="en-US" w:eastAsia="zh-CN" w:bidi="ar"/>
              </w:rPr>
              <w:t>40</w:t>
            </w:r>
          </w:p>
        </w:tc>
        <w:tc>
          <w:tcPr>
            <w:tcW w:w="1420" w:type="dxa"/>
            <w:vAlign w:val="center"/>
          </w:tcPr>
          <w:p w14:paraId="6905ABA9">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健身灯</w:t>
            </w:r>
          </w:p>
        </w:tc>
        <w:tc>
          <w:tcPr>
            <w:tcW w:w="680" w:type="dxa"/>
            <w:vAlign w:val="center"/>
          </w:tcPr>
          <w:p w14:paraId="458478FC">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45</w:t>
            </w:r>
          </w:p>
        </w:tc>
        <w:tc>
          <w:tcPr>
            <w:tcW w:w="700" w:type="dxa"/>
            <w:vAlign w:val="center"/>
          </w:tcPr>
          <w:p w14:paraId="48F68C4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条</w:t>
            </w:r>
          </w:p>
        </w:tc>
        <w:tc>
          <w:tcPr>
            <w:tcW w:w="5845" w:type="dxa"/>
            <w:vAlign w:val="center"/>
          </w:tcPr>
          <w:p w14:paraId="3E64B6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1、产品规格为</w:t>
            </w:r>
            <w:r>
              <w:rPr>
                <w:rFonts w:hint="eastAsia" w:ascii="宋体" w:hAnsi="宋体" w:cs="宋体"/>
                <w:i w:val="0"/>
                <w:iCs w:val="0"/>
                <w:color w:val="auto"/>
                <w:kern w:val="0"/>
                <w:sz w:val="21"/>
                <w:szCs w:val="21"/>
                <w:u w:val="none"/>
                <w:lang w:val="en-US" w:eastAsia="zh-CN" w:bidi="ar"/>
              </w:rPr>
              <w:t>约</w:t>
            </w:r>
            <w:r>
              <w:rPr>
                <w:rFonts w:hint="eastAsia" w:ascii="宋体" w:hAnsi="宋体" w:eastAsia="宋体" w:cs="宋体"/>
                <w:i w:val="0"/>
                <w:iCs w:val="0"/>
                <w:color w:val="auto"/>
                <w:kern w:val="0"/>
                <w:sz w:val="21"/>
                <w:szCs w:val="21"/>
                <w:u w:val="none"/>
                <w:lang w:val="en-US" w:eastAsia="zh-CN" w:bidi="ar"/>
              </w:rPr>
              <w:t>3000mm长*100mm宽；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2、24V,200W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3、输入电压：220-240VAC 50/60HZ。；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4、输入24V，8.3A。4、灯带120珠/M,9.6MM宽；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5、驱动可内置，IP等级；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6、灯具波动深度小于3.2%；</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7、含线路拆装改造升级。</w:t>
            </w:r>
          </w:p>
        </w:tc>
      </w:tr>
      <w:tr w14:paraId="57EF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6" w:type="dxa"/>
            <w:vAlign w:val="center"/>
          </w:tcPr>
          <w:p w14:paraId="2C3BE6D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val="en-US" w:eastAsia="zh-CN" w:bidi="ar"/>
              </w:rPr>
              <w:t>41</w:t>
            </w:r>
          </w:p>
        </w:tc>
        <w:tc>
          <w:tcPr>
            <w:tcW w:w="1420" w:type="dxa"/>
            <w:vAlign w:val="center"/>
          </w:tcPr>
          <w:p w14:paraId="6758F26A">
            <w:pPr>
              <w:widowControl/>
              <w:jc w:val="center"/>
              <w:textAlignment w:val="center"/>
              <w:rPr>
                <w:rFonts w:hint="eastAsia" w:ascii="宋体" w:hAnsi="宋体" w:cs="宋体"/>
                <w:color w:val="auto"/>
                <w:kern w:val="0"/>
                <w:szCs w:val="21"/>
                <w:highlight w:val="none"/>
              </w:rPr>
            </w:pPr>
            <w:r>
              <w:rPr>
                <w:rFonts w:hint="eastAsia" w:ascii="宋体" w:hAnsi="宋体" w:eastAsia="宋体" w:cs="宋体"/>
                <w:i w:val="0"/>
                <w:iCs w:val="0"/>
                <w:color w:val="auto"/>
                <w:kern w:val="0"/>
                <w:sz w:val="21"/>
                <w:szCs w:val="21"/>
                <w:u w:val="none"/>
                <w:lang w:val="en-US" w:eastAsia="zh-CN" w:bidi="ar"/>
              </w:rPr>
              <w:t>施工</w:t>
            </w:r>
          </w:p>
        </w:tc>
        <w:tc>
          <w:tcPr>
            <w:tcW w:w="680" w:type="dxa"/>
            <w:vAlign w:val="center"/>
          </w:tcPr>
          <w:p w14:paraId="627B106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1</w:t>
            </w:r>
          </w:p>
        </w:tc>
        <w:tc>
          <w:tcPr>
            <w:tcW w:w="700" w:type="dxa"/>
            <w:vAlign w:val="center"/>
          </w:tcPr>
          <w:p w14:paraId="266D0A86">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套</w:t>
            </w:r>
          </w:p>
        </w:tc>
        <w:tc>
          <w:tcPr>
            <w:tcW w:w="5845" w:type="dxa"/>
            <w:vAlign w:val="center"/>
          </w:tcPr>
          <w:p w14:paraId="448F83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1、所有设备需人工搬运到三楼安装施工；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2、灯具拆装、改造；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3、含灯具、监控辅材；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4、安装、调试。</w:t>
            </w:r>
          </w:p>
        </w:tc>
      </w:tr>
      <w:tr w14:paraId="2C3A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441" w:type="dxa"/>
            <w:gridSpan w:val="5"/>
            <w:vAlign w:val="center"/>
          </w:tcPr>
          <w:p w14:paraId="4D159DCF">
            <w:pPr>
              <w:widowControl/>
              <w:spacing w:line="400" w:lineRule="exac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二、</w:t>
            </w:r>
            <w:bookmarkStart w:id="34" w:name="分标3商务要求"/>
            <w:r>
              <w:rPr>
                <w:rFonts w:hint="eastAsia" w:ascii="宋体" w:hAnsi="宋体" w:cs="宋体"/>
                <w:b/>
                <w:bCs/>
                <w:color w:val="auto"/>
                <w:szCs w:val="21"/>
                <w:highlight w:val="none"/>
              </w:rPr>
              <w:t>商务要求</w:t>
            </w:r>
            <w:bookmarkEnd w:id="34"/>
          </w:p>
        </w:tc>
      </w:tr>
      <w:tr w14:paraId="0A64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16" w:type="dxa"/>
            <w:gridSpan w:val="2"/>
            <w:vAlign w:val="center"/>
          </w:tcPr>
          <w:p w14:paraId="2D724D33">
            <w:pPr>
              <w:widowControl/>
              <w:spacing w:line="400" w:lineRule="exact"/>
              <w:jc w:val="center"/>
              <w:rPr>
                <w:rFonts w:hint="eastAsia" w:ascii="宋体" w:hAnsi="宋体" w:cs="宋体"/>
                <w:b/>
                <w:bCs/>
                <w:color w:val="auto"/>
                <w:kern w:val="1"/>
                <w:szCs w:val="21"/>
                <w:highlight w:val="none"/>
              </w:rPr>
            </w:pPr>
            <w:r>
              <w:rPr>
                <w:rFonts w:hint="eastAsia" w:ascii="宋体" w:hAnsi="宋体" w:cs="宋体"/>
                <w:b/>
                <w:bCs/>
                <w:color w:val="auto"/>
                <w:szCs w:val="21"/>
                <w:highlight w:val="none"/>
              </w:rPr>
              <w:t>合同签订时间</w:t>
            </w:r>
          </w:p>
        </w:tc>
        <w:tc>
          <w:tcPr>
            <w:tcW w:w="7225" w:type="dxa"/>
            <w:gridSpan w:val="3"/>
            <w:vAlign w:val="center"/>
          </w:tcPr>
          <w:p w14:paraId="4450284A">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自成交通知书发出之日起 25 日内。</w:t>
            </w:r>
          </w:p>
        </w:tc>
      </w:tr>
      <w:tr w14:paraId="74A8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16" w:type="dxa"/>
            <w:gridSpan w:val="2"/>
            <w:vAlign w:val="center"/>
          </w:tcPr>
          <w:p w14:paraId="2868484D">
            <w:pPr>
              <w:spacing w:line="400" w:lineRule="exact"/>
              <w:jc w:val="center"/>
              <w:rPr>
                <w:rFonts w:hint="eastAsia" w:ascii="宋体" w:hAnsi="宋体" w:cs="宋体"/>
                <w:color w:val="auto"/>
                <w:kern w:val="1"/>
                <w:szCs w:val="21"/>
                <w:highlight w:val="none"/>
              </w:rPr>
            </w:pPr>
            <w:r>
              <w:rPr>
                <w:rFonts w:hint="eastAsia" w:ascii="Segoe UI Symbol" w:hAnsi="Segoe UI Symbol" w:cs="Segoe UI Symbol"/>
                <w:bCs/>
                <w:color w:val="auto"/>
                <w:sz w:val="24"/>
                <w:highlight w:val="none"/>
              </w:rPr>
              <w:t>▲</w:t>
            </w:r>
            <w:r>
              <w:rPr>
                <w:rFonts w:hint="eastAsia" w:ascii="宋体" w:hAnsi="宋体" w:cs="宋体"/>
                <w:b/>
                <w:color w:val="auto"/>
                <w:szCs w:val="21"/>
                <w:highlight w:val="none"/>
              </w:rPr>
              <w:t>交货时间及地点</w:t>
            </w:r>
          </w:p>
        </w:tc>
        <w:tc>
          <w:tcPr>
            <w:tcW w:w="7225" w:type="dxa"/>
            <w:gridSpan w:val="3"/>
            <w:vAlign w:val="center"/>
          </w:tcPr>
          <w:p w14:paraId="3172BEC9">
            <w:pPr>
              <w:widowControl/>
              <w:spacing w:line="400" w:lineRule="exact"/>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交货时间：</w:t>
            </w:r>
            <w:r>
              <w:rPr>
                <w:rFonts w:hint="eastAsia" w:ascii="宋体" w:hAnsi="宋体"/>
                <w:color w:val="auto"/>
                <w:szCs w:val="21"/>
                <w:lang w:val="zh-CN"/>
              </w:rPr>
              <w:t>所有采购设备需在签订合同之日起</w:t>
            </w:r>
            <w:r>
              <w:rPr>
                <w:rFonts w:hint="eastAsia" w:ascii="宋体" w:hAnsi="宋体"/>
                <w:color w:val="auto"/>
                <w:szCs w:val="21"/>
                <w:lang w:val="en-US" w:eastAsia="zh-CN"/>
              </w:rPr>
              <w:t>30个工作日内</w:t>
            </w:r>
            <w:r>
              <w:rPr>
                <w:rFonts w:hint="eastAsia" w:ascii="宋体" w:hAnsi="宋体"/>
                <w:color w:val="auto"/>
                <w:szCs w:val="21"/>
                <w:lang w:val="zh-CN"/>
              </w:rPr>
              <w:t>完成交付及验收</w:t>
            </w:r>
            <w:r>
              <w:rPr>
                <w:rFonts w:hint="eastAsia" w:ascii="宋体" w:hAnsi="宋体" w:cs="宋体"/>
                <w:color w:val="auto"/>
                <w:szCs w:val="21"/>
                <w:highlight w:val="none"/>
                <w:lang w:eastAsia="zh-CN"/>
              </w:rPr>
              <w:t>。</w:t>
            </w:r>
          </w:p>
          <w:p w14:paraId="0FA5DA84">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olor w:val="auto"/>
                <w:szCs w:val="21"/>
                <w:lang w:val="zh-CN"/>
              </w:rPr>
              <w:t>广西幼儿师范高等专科学校运动科学学院指定地点（平果校区教学场地）</w:t>
            </w:r>
            <w:r>
              <w:rPr>
                <w:rFonts w:hint="eastAsia" w:ascii="宋体" w:hAnsi="宋体" w:cs="宋体"/>
                <w:color w:val="auto"/>
                <w:szCs w:val="21"/>
                <w:highlight w:val="none"/>
              </w:rPr>
              <w:t>。</w:t>
            </w:r>
          </w:p>
        </w:tc>
      </w:tr>
      <w:tr w14:paraId="0AD4E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16" w:type="dxa"/>
            <w:gridSpan w:val="2"/>
            <w:vAlign w:val="center"/>
          </w:tcPr>
          <w:p w14:paraId="0E0BE823">
            <w:pPr>
              <w:spacing w:line="400" w:lineRule="exact"/>
              <w:jc w:val="center"/>
              <w:rPr>
                <w:rFonts w:hint="eastAsia" w:ascii="Segoe UI Symbol" w:hAnsi="Segoe UI Symbol" w:cs="Segoe UI Symbol"/>
                <w:bCs/>
                <w:color w:val="auto"/>
                <w:sz w:val="24"/>
                <w:highlight w:val="none"/>
              </w:rPr>
            </w:pPr>
            <w:r>
              <w:rPr>
                <w:rFonts w:hint="eastAsia" w:ascii="Segoe UI Symbol" w:hAnsi="Segoe UI Symbol" w:cs="Segoe UI Symbol"/>
                <w:b/>
                <w:bCs w:val="0"/>
                <w:color w:val="auto"/>
                <w:sz w:val="21"/>
                <w:szCs w:val="21"/>
                <w:highlight w:val="none"/>
              </w:rPr>
              <w:t>包装和运输</w:t>
            </w:r>
          </w:p>
        </w:tc>
        <w:tc>
          <w:tcPr>
            <w:tcW w:w="7225" w:type="dxa"/>
            <w:gridSpan w:val="3"/>
            <w:vAlign w:val="center"/>
          </w:tcPr>
          <w:p w14:paraId="52023B1C">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rPr>
              <w:t>供应商需对设备进行合理包装，确保运输过程中无损坏；运输费用由供应商承担，运输过程中发生的损坏由供应商负责更换。</w:t>
            </w:r>
          </w:p>
        </w:tc>
      </w:tr>
      <w:tr w14:paraId="211F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16" w:type="dxa"/>
            <w:gridSpan w:val="2"/>
            <w:vAlign w:val="center"/>
          </w:tcPr>
          <w:p w14:paraId="34FA2B3B">
            <w:pPr>
              <w:spacing w:line="400" w:lineRule="exact"/>
              <w:jc w:val="center"/>
              <w:rPr>
                <w:rFonts w:hint="eastAsia" w:ascii="宋体" w:hAnsi="宋体" w:cs="宋体"/>
                <w:b/>
                <w:bCs/>
                <w:color w:val="auto"/>
                <w:kern w:val="0"/>
                <w:szCs w:val="21"/>
                <w:highlight w:val="none"/>
              </w:rPr>
            </w:pPr>
            <w:r>
              <w:rPr>
                <w:rFonts w:hint="eastAsia" w:ascii="Segoe UI Symbol" w:hAnsi="Segoe UI Symbol" w:cs="Segoe UI Symbol"/>
                <w:bCs/>
                <w:color w:val="auto"/>
                <w:sz w:val="24"/>
                <w:highlight w:val="none"/>
              </w:rPr>
              <w:t>▲</w:t>
            </w:r>
            <w:r>
              <w:rPr>
                <w:rFonts w:hint="eastAsia" w:ascii="宋体" w:hAnsi="宋体" w:eastAsia="宋体" w:cs="宋体"/>
                <w:b/>
                <w:bCs/>
                <w:color w:val="auto"/>
                <w:szCs w:val="21"/>
              </w:rPr>
              <w:t>验收方法及方案</w:t>
            </w:r>
          </w:p>
        </w:tc>
        <w:tc>
          <w:tcPr>
            <w:tcW w:w="7225" w:type="dxa"/>
            <w:gridSpan w:val="3"/>
            <w:vAlign w:val="center"/>
          </w:tcPr>
          <w:p w14:paraId="6F24AD4A">
            <w:pPr>
              <w:widowControl/>
              <w:spacing w:line="400" w:lineRule="exact"/>
              <w:textAlignment w:val="center"/>
              <w:rPr>
                <w:rFonts w:hint="eastAsia"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成交供应商应提供货物的有效检验文件，经采购人认可后，与合同的性能指标一起作为货物验收标准，采购人可对货物进行复检与性能测试，成交供应商应派出有经验的技术人员协助此项工作。采购人对货物验收合格后，签署验收合格证书，验收标准应符合中国有关的国家、地方、行业标准。</w:t>
            </w:r>
          </w:p>
          <w:p w14:paraId="4A35B7E0">
            <w:pPr>
              <w:widowControl/>
              <w:spacing w:line="400" w:lineRule="exact"/>
              <w:textAlignment w:val="center"/>
              <w:rPr>
                <w:rFonts w:hint="eastAsia" w:ascii="宋体" w:hAnsi="宋体" w:cs="宋体"/>
                <w:color w:val="auto"/>
                <w:szCs w:val="21"/>
              </w:rPr>
            </w:pPr>
            <w:r>
              <w:rPr>
                <w:rFonts w:hint="eastAsia" w:ascii="宋体" w:hAnsi="宋体" w:cs="宋体"/>
                <w:color w:val="auto"/>
                <w:szCs w:val="21"/>
                <w:lang w:val="en-US" w:eastAsia="zh-CN"/>
              </w:rPr>
              <w:t>2.发现质量问题无偿整件换新</w:t>
            </w:r>
          </w:p>
        </w:tc>
      </w:tr>
      <w:tr w14:paraId="5267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16" w:type="dxa"/>
            <w:gridSpan w:val="2"/>
            <w:vAlign w:val="center"/>
          </w:tcPr>
          <w:p w14:paraId="4C77AC3B">
            <w:pPr>
              <w:spacing w:line="400" w:lineRule="exact"/>
              <w:jc w:val="center"/>
              <w:rPr>
                <w:rFonts w:hint="eastAsia" w:ascii="宋体" w:hAnsi="宋体" w:eastAsia="宋体" w:cs="宋体"/>
                <w:b/>
                <w:bCs/>
                <w:color w:val="auto"/>
                <w:szCs w:val="21"/>
                <w:highlight w:val="none"/>
                <w:lang w:eastAsia="zh-CN"/>
              </w:rPr>
            </w:pPr>
            <w:r>
              <w:rPr>
                <w:rFonts w:hint="eastAsia" w:ascii="Segoe UI Symbol" w:hAnsi="Segoe UI Symbol" w:cs="Segoe UI Symbol"/>
                <w:bCs/>
                <w:color w:val="auto"/>
                <w:sz w:val="24"/>
                <w:highlight w:val="none"/>
              </w:rPr>
              <w:t>▲</w:t>
            </w:r>
            <w:r>
              <w:rPr>
                <w:rFonts w:hint="eastAsia" w:ascii="宋体" w:hAnsi="宋体" w:cs="宋体"/>
                <w:b/>
                <w:bCs/>
                <w:color w:val="auto"/>
                <w:szCs w:val="21"/>
                <w:highlight w:val="none"/>
              </w:rPr>
              <w:t>质</w:t>
            </w:r>
            <w:r>
              <w:rPr>
                <w:rFonts w:hint="eastAsia" w:ascii="宋体" w:hAnsi="宋体" w:cs="宋体"/>
                <w:b/>
                <w:bCs/>
                <w:color w:val="auto"/>
                <w:szCs w:val="21"/>
                <w:highlight w:val="none"/>
                <w:lang w:val="en-US" w:eastAsia="zh-CN"/>
              </w:rPr>
              <w:t>保期</w:t>
            </w:r>
          </w:p>
        </w:tc>
        <w:tc>
          <w:tcPr>
            <w:tcW w:w="7225" w:type="dxa"/>
            <w:gridSpan w:val="3"/>
            <w:vAlign w:val="center"/>
          </w:tcPr>
          <w:p w14:paraId="29ECC47E">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rPr>
              <w:t>1、竞标产品必须是具备厂家合法渠道的全新正品，必须按厂家承诺实行“三包”；</w:t>
            </w:r>
            <w:r>
              <w:rPr>
                <w:rFonts w:hint="eastAsia" w:ascii="宋体" w:hAnsi="宋体" w:cs="宋体"/>
                <w:color w:val="auto"/>
                <w:szCs w:val="21"/>
              </w:rPr>
              <w:br w:type="textWrapping"/>
            </w:r>
            <w:r>
              <w:rPr>
                <w:rFonts w:hint="eastAsia" w:ascii="宋体" w:hAnsi="宋体" w:cs="宋体"/>
                <w:color w:val="auto"/>
                <w:szCs w:val="21"/>
              </w:rPr>
              <w:t>2、</w:t>
            </w:r>
            <w:r>
              <w:rPr>
                <w:rFonts w:hint="eastAsia" w:ascii="宋体" w:hAnsi="宋体" w:cs="宋体"/>
                <w:color w:val="auto"/>
                <w:szCs w:val="21"/>
                <w:lang w:val="en-US" w:eastAsia="zh-CN"/>
              </w:rPr>
              <w:t>采购需求中</w:t>
            </w:r>
            <w:r>
              <w:rPr>
                <w:rFonts w:hint="eastAsia" w:ascii="宋体" w:hAnsi="宋体" w:cs="宋体"/>
                <w:color w:val="auto"/>
                <w:szCs w:val="21"/>
              </w:rPr>
              <w:t>明确标注质保要求的设备，需满足 “质保不少于 12 个月” 的要求；其他设备质保期不少于 6 个月（自最终验收合格之日算）。质保期内免费上门保修、更换配件，终身上门维修；在质保期内设备运行发生故障，成交人必须免费提供维修服务。</w:t>
            </w:r>
          </w:p>
        </w:tc>
      </w:tr>
      <w:tr w14:paraId="553A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16" w:type="dxa"/>
            <w:gridSpan w:val="2"/>
            <w:vAlign w:val="center"/>
          </w:tcPr>
          <w:p w14:paraId="742591EE">
            <w:pPr>
              <w:spacing w:line="400" w:lineRule="exact"/>
              <w:jc w:val="center"/>
              <w:rPr>
                <w:rFonts w:hint="eastAsia" w:ascii="宋体" w:hAnsi="宋体" w:cs="宋体"/>
                <w:b/>
                <w:bCs/>
                <w:color w:val="auto"/>
                <w:szCs w:val="21"/>
                <w:highlight w:val="none"/>
              </w:rPr>
            </w:pPr>
            <w:r>
              <w:rPr>
                <w:rFonts w:hint="eastAsia" w:ascii="Segoe UI Symbol" w:hAnsi="Segoe UI Symbol" w:cs="Segoe UI Symbol"/>
                <w:bCs/>
                <w:color w:val="auto"/>
                <w:sz w:val="24"/>
                <w:highlight w:val="none"/>
              </w:rPr>
              <w:t>▲</w:t>
            </w:r>
            <w:r>
              <w:rPr>
                <w:rFonts w:hint="eastAsia" w:ascii="宋体" w:hAnsi="宋体" w:cs="宋体"/>
                <w:b/>
                <w:bCs/>
                <w:color w:val="auto"/>
                <w:szCs w:val="21"/>
                <w:highlight w:val="none"/>
              </w:rPr>
              <w:t>售后服务要求</w:t>
            </w:r>
          </w:p>
        </w:tc>
        <w:tc>
          <w:tcPr>
            <w:tcW w:w="7225" w:type="dxa"/>
            <w:gridSpan w:val="3"/>
            <w:vAlign w:val="center"/>
          </w:tcPr>
          <w:p w14:paraId="3AACAE7E">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1、若分项货物另有要求按分项要求。质保期内免费维修、免费更换零部件，服务内容如下：</w:t>
            </w:r>
          </w:p>
          <w:p w14:paraId="382FB250">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（1）免费送货上门，免费安装调试合格，提供服务方案。</w:t>
            </w:r>
          </w:p>
          <w:p w14:paraId="22CC219B">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（2）设备出现质量问题时，接到故障通知后24小时内响应，4小时内到达现场维修。一般问题应在48小时内解决（提供解决方案，维修或更换），重大问题或其它无法迅速解决的问题应在一周内解决。</w:t>
            </w:r>
            <w:r>
              <w:rPr>
                <w:rFonts w:hint="eastAsia" w:ascii="宋体" w:hAnsi="宋体" w:cs="宋体"/>
                <w:color w:val="auto"/>
                <w:szCs w:val="21"/>
                <w:lang w:val="en-US" w:eastAsia="zh-CN"/>
              </w:rPr>
              <w:t>采购需求中</w:t>
            </w:r>
            <w:r>
              <w:rPr>
                <w:rFonts w:hint="eastAsia" w:ascii="宋体" w:hAnsi="宋体" w:cs="宋体"/>
                <w:color w:val="auto"/>
                <w:szCs w:val="21"/>
                <w:highlight w:val="none"/>
              </w:rPr>
              <w:t>明确标注质保要求的设备，需满足 “质保不少于12个月”的要求；其他设备质保期不少于6个月。</w:t>
            </w:r>
          </w:p>
          <w:p w14:paraId="2D0CB452">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2、免费培训：供应商需提供设备使用说明（纸质版及电子版），派技术人员免费提供现场技术培训，保证使用人员能正常操作产品的各种功能及日常保养和维护，培训完成后方可进行验收。</w:t>
            </w:r>
          </w:p>
        </w:tc>
      </w:tr>
      <w:tr w14:paraId="2229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16" w:type="dxa"/>
            <w:gridSpan w:val="2"/>
            <w:vAlign w:val="center"/>
          </w:tcPr>
          <w:p w14:paraId="2A87D782">
            <w:pPr>
              <w:spacing w:line="400" w:lineRule="exact"/>
              <w:jc w:val="center"/>
              <w:rPr>
                <w:rFonts w:hint="eastAsia" w:ascii="宋体" w:hAnsi="宋体" w:cs="宋体"/>
                <w:b/>
                <w:bCs/>
                <w:color w:val="auto"/>
                <w:kern w:val="0"/>
                <w:szCs w:val="21"/>
                <w:highlight w:val="none"/>
              </w:rPr>
            </w:pPr>
            <w:r>
              <w:rPr>
                <w:rFonts w:hint="eastAsia" w:ascii="Segoe UI Symbol" w:hAnsi="Segoe UI Symbol" w:cs="Segoe UI Symbol"/>
                <w:bCs/>
                <w:color w:val="auto"/>
                <w:sz w:val="24"/>
                <w:highlight w:val="none"/>
              </w:rPr>
              <w:t>▲</w:t>
            </w:r>
            <w:r>
              <w:rPr>
                <w:rFonts w:hint="eastAsia" w:ascii="宋体" w:hAnsi="宋体" w:cs="宋体"/>
                <w:b/>
                <w:bCs/>
                <w:color w:val="auto"/>
                <w:szCs w:val="21"/>
                <w:highlight w:val="none"/>
              </w:rPr>
              <w:t>履约保证金收取及退付</w:t>
            </w:r>
          </w:p>
        </w:tc>
        <w:tc>
          <w:tcPr>
            <w:tcW w:w="7225" w:type="dxa"/>
            <w:gridSpan w:val="3"/>
            <w:vAlign w:val="center"/>
          </w:tcPr>
          <w:p w14:paraId="43A8E8C4">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1.成交人于合同签订前按成交金额的 5 %（中小企业按合同金额的2%）。向采购人指定账户提交履约保证金。 </w:t>
            </w:r>
          </w:p>
          <w:p w14:paraId="4D36CB47">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2.递交方式：银行转账、支票、汇票、本票或者金融、担保机构出具的保函等非现金方式。 </w:t>
            </w:r>
          </w:p>
          <w:p w14:paraId="09E991F6">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3.成交人若不能完全履行合同，履约保证金不返还；合同验收满 (1年)项目无质量问题，成交供应商向采购人提供验收单及履约保证金退付申请，采购人在15个工作日内无息退还履约保证金。涉及违约的违约金和损失赔偿从履约保证金中扣减。履约保证金指定账户： </w:t>
            </w:r>
          </w:p>
          <w:p w14:paraId="58D13BC8">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开户名称：广西幼儿师范高等专科学校</w:t>
            </w:r>
          </w:p>
          <w:p w14:paraId="51D1A1D2">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开户银行：招商银行南宁民族大道支行</w:t>
            </w:r>
          </w:p>
          <w:p w14:paraId="175042F3">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银行账号：771902121410201</w:t>
            </w:r>
          </w:p>
        </w:tc>
      </w:tr>
      <w:tr w14:paraId="5C6E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16" w:type="dxa"/>
            <w:gridSpan w:val="2"/>
            <w:vAlign w:val="center"/>
          </w:tcPr>
          <w:p w14:paraId="4ADB1E7C">
            <w:pPr>
              <w:spacing w:line="400" w:lineRule="exact"/>
              <w:jc w:val="center"/>
              <w:rPr>
                <w:rFonts w:hint="eastAsia" w:ascii="宋体" w:hAnsi="宋体" w:cs="宋体"/>
                <w:b/>
                <w:bCs/>
                <w:color w:val="auto"/>
                <w:szCs w:val="21"/>
                <w:highlight w:val="none"/>
              </w:rPr>
            </w:pPr>
            <w:r>
              <w:rPr>
                <w:rFonts w:hint="eastAsia" w:ascii="Segoe UI Symbol" w:hAnsi="Segoe UI Symbol" w:cs="Segoe UI Symbol"/>
                <w:bCs/>
                <w:color w:val="auto"/>
                <w:sz w:val="24"/>
                <w:highlight w:val="none"/>
              </w:rPr>
              <w:t>▲</w:t>
            </w:r>
            <w:r>
              <w:rPr>
                <w:rFonts w:hint="eastAsia" w:ascii="宋体" w:hAnsi="宋体" w:cs="宋体"/>
                <w:b/>
                <w:bCs/>
                <w:color w:val="auto"/>
                <w:szCs w:val="21"/>
                <w:highlight w:val="none"/>
              </w:rPr>
              <w:t>付款方式</w:t>
            </w:r>
          </w:p>
        </w:tc>
        <w:tc>
          <w:tcPr>
            <w:tcW w:w="7225" w:type="dxa"/>
            <w:gridSpan w:val="3"/>
            <w:vAlign w:val="center"/>
          </w:tcPr>
          <w:p w14:paraId="2C1C1175">
            <w:pPr>
              <w:widowControl/>
              <w:spacing w:line="40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合同签订生效之日起10个工作日内采购人向成交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支付合同总金额的30%作为预付款；货到采购人指定地点，并经采购人签收后，采购人自收到成交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提交的货物签收凭证及付款申请之日起10个工作日内向成交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支付至合同总金额90%的合同款；安装调试完毕并经采购人最终验收合格后，采购人自收到成交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提交的最终验收报告及付款申请之日起10个工作日内向成交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支付剩余的合同款。采购人每次付款前，成交供应商应开具真实、有效、合法的</w:t>
            </w:r>
            <w:r>
              <w:rPr>
                <w:rFonts w:hint="eastAsia"/>
                <w:color w:val="auto"/>
                <w:highlight w:val="none"/>
              </w:rPr>
              <w:t>税务发票给采购人</w:t>
            </w:r>
            <w:r>
              <w:rPr>
                <w:rFonts w:hint="eastAsia" w:ascii="宋体" w:hAnsi="宋体" w:cs="宋体"/>
                <w:color w:val="auto"/>
                <w:szCs w:val="21"/>
                <w:highlight w:val="none"/>
              </w:rPr>
              <w:t>，否则，采购人的付款义务顺延，且不承担迟延履行的相关责任。</w:t>
            </w:r>
          </w:p>
        </w:tc>
      </w:tr>
      <w:tr w14:paraId="6D0F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16" w:type="dxa"/>
            <w:gridSpan w:val="2"/>
            <w:vAlign w:val="center"/>
          </w:tcPr>
          <w:p w14:paraId="1619C362">
            <w:pPr>
              <w:spacing w:line="400" w:lineRule="exact"/>
              <w:jc w:val="center"/>
              <w:rPr>
                <w:rFonts w:hint="eastAsia" w:ascii="宋体" w:hAnsi="宋体" w:cs="宋体"/>
                <w:b/>
                <w:bCs/>
                <w:color w:val="auto"/>
                <w:kern w:val="1"/>
                <w:szCs w:val="21"/>
                <w:highlight w:val="none"/>
              </w:rPr>
            </w:pPr>
            <w:r>
              <w:rPr>
                <w:rFonts w:hint="eastAsia" w:ascii="Segoe UI Symbol" w:hAnsi="Segoe UI Symbol" w:cs="Segoe UI Symbol"/>
                <w:bCs/>
                <w:color w:val="auto"/>
                <w:sz w:val="24"/>
                <w:highlight w:val="none"/>
              </w:rPr>
              <w:t>▲</w:t>
            </w:r>
            <w:r>
              <w:rPr>
                <w:rFonts w:hint="eastAsia" w:ascii="宋体" w:hAnsi="宋体" w:cs="宋体"/>
                <w:b/>
                <w:bCs/>
                <w:color w:val="auto"/>
                <w:szCs w:val="21"/>
                <w:highlight w:val="none"/>
              </w:rPr>
              <w:t>其他要求</w:t>
            </w:r>
          </w:p>
        </w:tc>
        <w:tc>
          <w:tcPr>
            <w:tcW w:w="7225" w:type="dxa"/>
            <w:gridSpan w:val="3"/>
            <w:vAlign w:val="center"/>
          </w:tcPr>
          <w:p w14:paraId="155AEF60">
            <w:pPr>
              <w:pStyle w:val="11"/>
              <w:keepNext w:val="0"/>
              <w:keepLines w:val="0"/>
              <w:pageBreakBefore w:val="0"/>
              <w:kinsoku/>
              <w:wordWrap/>
              <w:overflowPunct/>
              <w:topLinePunct w:val="0"/>
              <w:autoSpaceDE/>
              <w:autoSpaceDN/>
              <w:bidi w:val="0"/>
              <w:adjustRightInd/>
              <w:snapToGrid/>
              <w:spacing w:after="0" w:line="400" w:lineRule="atLeast"/>
              <w:textAlignment w:val="auto"/>
              <w:rPr>
                <w:rFonts w:hint="eastAsia" w:ascii="宋体" w:hAnsi="宋体" w:cs="宋体"/>
                <w:color w:val="auto"/>
                <w:szCs w:val="21"/>
                <w:highlight w:val="none"/>
              </w:rPr>
            </w:pPr>
            <w:r>
              <w:rPr>
                <w:rFonts w:hint="eastAsia" w:ascii="宋体" w:hAnsi="宋体" w:cs="宋体"/>
                <w:color w:val="auto"/>
                <w:szCs w:val="21"/>
                <w:highlight w:val="none"/>
              </w:rPr>
              <w:t>1.要求供货产品是全新的、未经改装的、合格的、满足本项目技术需求及要求的货物。所有零部件、配件必须是未经使用的全新的并符合国家有关质量安全标准的产品。提供设备使用培训、操作技能训练等；提供相关设备说明书、管理和配置指南手册、使用手册和故障定位/排除指南手册等。</w:t>
            </w:r>
          </w:p>
          <w:p w14:paraId="3B11A27E">
            <w:pPr>
              <w:pStyle w:val="11"/>
              <w:keepNext w:val="0"/>
              <w:keepLines w:val="0"/>
              <w:pageBreakBefore w:val="0"/>
              <w:kinsoku/>
              <w:wordWrap/>
              <w:overflowPunct/>
              <w:topLinePunct w:val="0"/>
              <w:autoSpaceDE/>
              <w:autoSpaceDN/>
              <w:bidi w:val="0"/>
              <w:adjustRightInd/>
              <w:snapToGrid/>
              <w:spacing w:after="0" w:line="400" w:lineRule="atLeast"/>
              <w:textAlignment w:val="auto"/>
              <w:rPr>
                <w:rFonts w:hint="eastAsia" w:ascii="宋体" w:hAnsi="宋体" w:cs="宋体"/>
                <w:color w:val="auto"/>
                <w:szCs w:val="21"/>
                <w:highlight w:val="none"/>
              </w:rPr>
            </w:pPr>
            <w:r>
              <w:rPr>
                <w:rFonts w:hint="eastAsia" w:ascii="宋体" w:hAnsi="宋体" w:cs="宋体"/>
                <w:color w:val="auto"/>
                <w:szCs w:val="21"/>
                <w:highlight w:val="none"/>
              </w:rPr>
              <w:t>2.本项目实行总价包干制，报价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税费因政策等原因发生变化的，由成交供应商承担。合同履行过程中，采购人不再支付合同以外的其他费用。</w:t>
            </w:r>
          </w:p>
          <w:p w14:paraId="0C70D443">
            <w:pPr>
              <w:pStyle w:val="11"/>
              <w:keepNext w:val="0"/>
              <w:keepLines w:val="0"/>
              <w:pageBreakBefore w:val="0"/>
              <w:kinsoku/>
              <w:wordWrap/>
              <w:overflowPunct/>
              <w:topLinePunct w:val="0"/>
              <w:autoSpaceDE/>
              <w:autoSpaceDN/>
              <w:bidi w:val="0"/>
              <w:adjustRightInd/>
              <w:snapToGrid/>
              <w:spacing w:after="0" w:line="400" w:lineRule="atLeast"/>
              <w:textAlignment w:val="auto"/>
              <w:rPr>
                <w:rFonts w:hint="eastAsia" w:ascii="宋体" w:hAnsi="宋体" w:cs="宋体"/>
                <w:color w:val="auto"/>
                <w:szCs w:val="21"/>
                <w:highlight w:val="none"/>
              </w:rPr>
            </w:pPr>
            <w:r>
              <w:rPr>
                <w:rFonts w:hint="eastAsia" w:ascii="宋体" w:hAnsi="宋体" w:cs="宋体"/>
                <w:color w:val="auto"/>
                <w:szCs w:val="21"/>
                <w:highlight w:val="none"/>
              </w:rPr>
              <w:t>3.成交供应商承担货物交付验收前的运输、安装等作业工人人身、设备安全责任。验收前，如果设备丢失、因供应商自身原因及第三方原因导致损坏，成交供应商应自行负责并承担不能交付货物的责任。</w:t>
            </w:r>
          </w:p>
          <w:p w14:paraId="7D982765">
            <w:pPr>
              <w:pStyle w:val="11"/>
              <w:keepNext w:val="0"/>
              <w:keepLines w:val="0"/>
              <w:pageBreakBefore w:val="0"/>
              <w:kinsoku/>
              <w:wordWrap/>
              <w:overflowPunct/>
              <w:topLinePunct w:val="0"/>
              <w:autoSpaceDE/>
              <w:autoSpaceDN/>
              <w:bidi w:val="0"/>
              <w:adjustRightInd/>
              <w:snapToGrid/>
              <w:spacing w:after="0" w:line="400" w:lineRule="atLeast"/>
              <w:textAlignment w:val="auto"/>
              <w:rPr>
                <w:rFonts w:hint="eastAsia" w:ascii="宋体" w:hAnsi="宋体" w:cs="宋体"/>
                <w:color w:val="auto"/>
                <w:szCs w:val="21"/>
                <w:highlight w:val="none"/>
              </w:rPr>
            </w:pPr>
            <w:r>
              <w:rPr>
                <w:rFonts w:hint="eastAsia" w:ascii="宋体" w:hAnsi="宋体" w:cs="宋体"/>
                <w:color w:val="auto"/>
                <w:szCs w:val="21"/>
                <w:highlight w:val="none"/>
              </w:rPr>
              <w:t>4.本项目不接受进口产品（即通过中国海关报关验放进入中国境内且产自关境外的产品）参与</w:t>
            </w:r>
            <w:r>
              <w:rPr>
                <w:rFonts w:hint="eastAsia" w:ascii="宋体" w:hAnsi="宋体" w:cs="宋体"/>
                <w:color w:val="auto"/>
                <w:szCs w:val="21"/>
                <w:highlight w:val="none"/>
                <w:lang w:bidi="ar"/>
              </w:rPr>
              <w:t>竞争性谈判</w:t>
            </w:r>
            <w:r>
              <w:rPr>
                <w:rFonts w:hint="eastAsia" w:ascii="宋体" w:hAnsi="宋体" w:cs="宋体"/>
                <w:color w:val="auto"/>
                <w:szCs w:val="21"/>
                <w:highlight w:val="none"/>
              </w:rPr>
              <w:t>，如有此类产品参与</w:t>
            </w:r>
            <w:r>
              <w:rPr>
                <w:rFonts w:hint="eastAsia" w:ascii="宋体" w:hAnsi="宋体" w:cs="宋体"/>
                <w:color w:val="auto"/>
                <w:szCs w:val="21"/>
                <w:highlight w:val="none"/>
                <w:lang w:bidi="ar"/>
              </w:rPr>
              <w:t>竞争性谈判</w:t>
            </w:r>
            <w:r>
              <w:rPr>
                <w:rFonts w:hint="eastAsia" w:ascii="宋体" w:hAnsi="宋体" w:cs="宋体"/>
                <w:color w:val="auto"/>
                <w:szCs w:val="21"/>
                <w:highlight w:val="none"/>
              </w:rPr>
              <w:t>的按无效响应处理。</w:t>
            </w:r>
          </w:p>
          <w:p w14:paraId="74B8C495">
            <w:pPr>
              <w:pStyle w:val="11"/>
              <w:keepNext w:val="0"/>
              <w:keepLines w:val="0"/>
              <w:pageBreakBefore w:val="0"/>
              <w:kinsoku/>
              <w:wordWrap/>
              <w:overflowPunct/>
              <w:topLinePunct w:val="0"/>
              <w:autoSpaceDE/>
              <w:autoSpaceDN/>
              <w:bidi w:val="0"/>
              <w:adjustRightInd/>
              <w:snapToGrid/>
              <w:spacing w:after="0" w:line="400" w:lineRule="atLeas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本分标的核心产品为：第</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项“商用跑步机”</w:t>
            </w:r>
          </w:p>
          <w:p w14:paraId="48B622F8">
            <w:pPr>
              <w:rPr>
                <w:rFonts w:hint="eastAsia"/>
                <w:color w:val="auto"/>
              </w:rPr>
            </w:pPr>
            <w:r>
              <w:rPr>
                <w:rFonts w:hint="eastAsia" w:ascii="宋体" w:hAnsi="宋体" w:cs="宋体"/>
                <w:color w:val="auto"/>
                <w:szCs w:val="21"/>
                <w:lang w:val="en-US" w:eastAsia="zh-CN"/>
              </w:rPr>
              <w:t>6.发现质量问题无偿整件换新</w:t>
            </w:r>
          </w:p>
        </w:tc>
      </w:tr>
    </w:tbl>
    <w:p w14:paraId="3B698FBD">
      <w:pPr>
        <w:spacing w:line="428" w:lineRule="exact"/>
        <w:ind w:left="119"/>
        <w:rPr>
          <w:rFonts w:ascii="Arial Unicode MS" w:hAnsi="Arial Unicode MS" w:eastAsia="Arial Unicode MS" w:cs="Arial Unicode MS"/>
          <w:color w:val="auto"/>
          <w:sz w:val="32"/>
          <w:szCs w:val="32"/>
        </w:rPr>
      </w:pPr>
      <w:r>
        <w:rPr>
          <w:rFonts w:hint="eastAsia" w:ascii="宋体" w:hAnsi="宋体" w:cs="宋体"/>
          <w:color w:val="auto"/>
        </w:rPr>
        <w:br w:type="page"/>
      </w:r>
      <w:r>
        <w:rPr>
          <w:rFonts w:hint="eastAsia" w:ascii="微软雅黑" w:hAnsi="微软雅黑" w:eastAsia="微软雅黑" w:cs="微软雅黑"/>
          <w:color w:val="auto"/>
          <w:sz w:val="32"/>
          <w:szCs w:val="32"/>
        </w:rPr>
        <w:t>附件</w:t>
      </w:r>
      <w:r>
        <w:rPr>
          <w:rFonts w:ascii="Arial Unicode MS" w:hAnsi="Arial Unicode MS" w:eastAsia="Arial Unicode MS" w:cs="Arial Unicode MS"/>
          <w:color w:val="auto"/>
          <w:sz w:val="32"/>
          <w:szCs w:val="32"/>
        </w:rPr>
        <w:t>1</w:t>
      </w:r>
      <w:r>
        <w:rPr>
          <w:rFonts w:hint="eastAsia" w:ascii="微软雅黑" w:hAnsi="微软雅黑" w:eastAsia="微软雅黑" w:cs="微软雅黑"/>
          <w:color w:val="auto"/>
          <w:sz w:val="32"/>
          <w:szCs w:val="32"/>
        </w:rPr>
        <w:t>：</w:t>
      </w:r>
    </w:p>
    <w:p w14:paraId="7F9F0085">
      <w:pPr>
        <w:spacing w:before="7"/>
        <w:rPr>
          <w:rFonts w:ascii="Arial Unicode MS" w:hAnsi="Arial Unicode MS" w:eastAsia="Arial Unicode MS" w:cs="Arial Unicode MS"/>
          <w:color w:val="auto"/>
          <w:sz w:val="17"/>
          <w:szCs w:val="17"/>
        </w:rPr>
      </w:pPr>
    </w:p>
    <w:p w14:paraId="27918037">
      <w:pPr>
        <w:spacing w:line="528" w:lineRule="exact"/>
        <w:ind w:left="1871"/>
        <w:rPr>
          <w:rFonts w:ascii="Arial Unicode MS" w:hAnsi="Arial Unicode MS" w:eastAsia="Arial Unicode MS" w:cs="Arial Unicode MS"/>
          <w:color w:val="auto"/>
          <w:sz w:val="40"/>
          <w:szCs w:val="40"/>
        </w:rPr>
      </w:pPr>
      <w:r>
        <w:rPr>
          <w:rFonts w:hint="eastAsia" w:ascii="微软雅黑" w:hAnsi="微软雅黑" w:eastAsia="微软雅黑" w:cs="微软雅黑"/>
          <w:color w:val="auto"/>
          <w:sz w:val="44"/>
          <w:szCs w:val="44"/>
        </w:rPr>
        <w:t>节能产品政府采购品目清单</w:t>
      </w:r>
    </w:p>
    <w:tbl>
      <w:tblPr>
        <w:tblStyle w:val="27"/>
        <w:tblW w:w="9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543"/>
        <w:gridCol w:w="1954"/>
        <w:gridCol w:w="1488"/>
        <w:gridCol w:w="4287"/>
      </w:tblGrid>
      <w:tr w14:paraId="751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B4FC374">
            <w:pPr>
              <w:jc w:val="center"/>
              <w:rPr>
                <w:rFonts w:ascii="宋体" w:hAnsi="宋体"/>
                <w:color w:val="auto"/>
                <w:sz w:val="24"/>
              </w:rPr>
            </w:pPr>
            <w:r>
              <w:rPr>
                <w:rFonts w:hint="eastAsia" w:ascii="宋体" w:hAnsi="宋体" w:cs="宋体"/>
                <w:b/>
                <w:bCs/>
                <w:color w:val="auto"/>
                <w:w w:val="99"/>
                <w:sz w:val="24"/>
              </w:rPr>
              <w:t>品目序号</w:t>
            </w:r>
          </w:p>
        </w:tc>
        <w:tc>
          <w:tcPr>
            <w:tcW w:w="4985" w:type="dxa"/>
            <w:gridSpan w:val="3"/>
            <w:tcBorders>
              <w:top w:val="single" w:color="000000" w:sz="4" w:space="0"/>
              <w:left w:val="single" w:color="000000" w:sz="4" w:space="0"/>
              <w:bottom w:val="single" w:color="000000" w:sz="4" w:space="0"/>
              <w:right w:val="single" w:color="000000" w:sz="4" w:space="0"/>
            </w:tcBorders>
            <w:vAlign w:val="center"/>
          </w:tcPr>
          <w:p w14:paraId="4F68B92F">
            <w:pPr>
              <w:jc w:val="center"/>
              <w:rPr>
                <w:rFonts w:ascii="宋体" w:hAnsi="宋体"/>
                <w:color w:val="auto"/>
                <w:sz w:val="24"/>
              </w:rPr>
            </w:pPr>
            <w:r>
              <w:rPr>
                <w:rFonts w:hint="eastAsia" w:ascii="宋体" w:hAnsi="宋体" w:cs="宋体"/>
                <w:b/>
                <w:bCs/>
                <w:color w:val="auto"/>
                <w:w w:val="99"/>
                <w:sz w:val="24"/>
              </w:rPr>
              <w:t>名称</w:t>
            </w:r>
          </w:p>
        </w:tc>
        <w:tc>
          <w:tcPr>
            <w:tcW w:w="4287" w:type="dxa"/>
            <w:tcBorders>
              <w:top w:val="single" w:color="000000" w:sz="4" w:space="0"/>
              <w:left w:val="single" w:color="000000" w:sz="4" w:space="0"/>
              <w:bottom w:val="single" w:color="000000" w:sz="4" w:space="0"/>
              <w:right w:val="single" w:color="000000" w:sz="4" w:space="0"/>
            </w:tcBorders>
            <w:vAlign w:val="center"/>
          </w:tcPr>
          <w:p w14:paraId="7FF12E85">
            <w:pPr>
              <w:jc w:val="center"/>
              <w:rPr>
                <w:rFonts w:ascii="宋体" w:hAnsi="宋体"/>
                <w:color w:val="auto"/>
                <w:sz w:val="24"/>
              </w:rPr>
            </w:pPr>
            <w:r>
              <w:rPr>
                <w:rFonts w:hint="eastAsia" w:ascii="宋体" w:hAnsi="宋体" w:cs="宋体"/>
                <w:b/>
                <w:bCs/>
                <w:color w:val="auto"/>
                <w:w w:val="99"/>
                <w:sz w:val="24"/>
              </w:rPr>
              <w:t>依据的标准</w:t>
            </w:r>
          </w:p>
        </w:tc>
      </w:tr>
      <w:tr w14:paraId="45DF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5D1743F">
            <w:pPr>
              <w:jc w:val="center"/>
              <w:rPr>
                <w:rFonts w:ascii="宋体" w:hAnsi="宋体"/>
                <w:color w:val="auto"/>
                <w:sz w:val="24"/>
              </w:rPr>
            </w:pPr>
            <w:r>
              <w:rPr>
                <w:rFonts w:hint="eastAsia" w:ascii="宋体" w:hAnsi="宋体"/>
                <w:color w:val="auto"/>
                <w:sz w:val="24"/>
              </w:rPr>
              <w:t>1</w:t>
            </w:r>
          </w:p>
        </w:tc>
        <w:tc>
          <w:tcPr>
            <w:tcW w:w="1543" w:type="dxa"/>
            <w:vMerge w:val="restart"/>
            <w:tcBorders>
              <w:top w:val="single" w:color="000000" w:sz="4" w:space="0"/>
              <w:left w:val="single" w:color="000000" w:sz="4" w:space="0"/>
              <w:bottom w:val="single" w:color="000000" w:sz="4" w:space="0"/>
              <w:right w:val="single" w:color="000000" w:sz="4" w:space="0"/>
            </w:tcBorders>
            <w:vAlign w:val="center"/>
          </w:tcPr>
          <w:p w14:paraId="5F9F5169">
            <w:pPr>
              <w:jc w:val="center"/>
              <w:rPr>
                <w:rFonts w:ascii="宋体" w:hAnsi="宋体"/>
                <w:color w:val="auto"/>
                <w:sz w:val="24"/>
              </w:rPr>
            </w:pPr>
            <w:r>
              <w:rPr>
                <w:rFonts w:hint="eastAsia" w:ascii="宋体" w:hAnsi="宋体" w:cs="仿宋_GB2312"/>
                <w:color w:val="auto"/>
                <w:sz w:val="24"/>
              </w:rPr>
              <w:t>A02010100</w:t>
            </w:r>
            <w:r>
              <w:rPr>
                <w:rFonts w:hint="eastAsia" w:ascii="宋体" w:hAnsi="宋体" w:cs="宋体"/>
                <w:color w:val="auto"/>
                <w:w w:val="99"/>
                <w:sz w:val="24"/>
              </w:rPr>
              <w:t>计算机</w:t>
            </w:r>
          </w:p>
        </w:tc>
        <w:tc>
          <w:tcPr>
            <w:tcW w:w="1954" w:type="dxa"/>
            <w:tcBorders>
              <w:top w:val="single" w:color="000000" w:sz="4" w:space="0"/>
              <w:left w:val="single" w:color="000000" w:sz="4" w:space="0"/>
              <w:bottom w:val="single" w:color="000000" w:sz="4" w:space="0"/>
              <w:right w:val="single" w:color="000000" w:sz="4" w:space="0"/>
            </w:tcBorders>
            <w:vAlign w:val="center"/>
          </w:tcPr>
          <w:p w14:paraId="4D24BEA7">
            <w:pPr>
              <w:pStyle w:val="63"/>
              <w:spacing w:before="93"/>
              <w:ind w:left="7" w:right="5"/>
              <w:jc w:val="center"/>
              <w:rPr>
                <w:rFonts w:ascii="宋体" w:hAnsi="宋体" w:cs="宋体"/>
                <w:color w:val="auto"/>
                <w:kern w:val="2"/>
                <w:sz w:val="24"/>
                <w:szCs w:val="24"/>
              </w:rPr>
            </w:pPr>
            <w:r>
              <w:rPr>
                <w:rFonts w:hint="eastAsia" w:ascii="宋体" w:hAnsi="宋体" w:cs="宋体"/>
                <w:color w:val="auto"/>
                <w:w w:val="99"/>
                <w:kern w:val="2"/>
                <w:sz w:val="24"/>
                <w:szCs w:val="24"/>
              </w:rPr>
              <w:t>★</w:t>
            </w:r>
            <w:r>
              <w:rPr>
                <w:rFonts w:hint="eastAsia" w:ascii="宋体" w:hAnsi="宋体" w:cs="仿宋_GB2312"/>
                <w:color w:val="auto"/>
                <w:kern w:val="2"/>
                <w:sz w:val="24"/>
                <w:szCs w:val="24"/>
              </w:rPr>
              <w:t>A02010105</w:t>
            </w:r>
            <w:r>
              <w:rPr>
                <w:rFonts w:hint="eastAsia" w:ascii="宋体" w:hAnsi="宋体" w:cs="宋体"/>
                <w:color w:val="auto"/>
                <w:w w:val="99"/>
                <w:kern w:val="2"/>
                <w:sz w:val="24"/>
                <w:szCs w:val="24"/>
              </w:rPr>
              <w:t>台式计算机</w:t>
            </w:r>
          </w:p>
        </w:tc>
        <w:tc>
          <w:tcPr>
            <w:tcW w:w="1488" w:type="dxa"/>
            <w:tcBorders>
              <w:top w:val="single" w:color="000000" w:sz="4" w:space="0"/>
              <w:left w:val="single" w:color="000000" w:sz="4" w:space="0"/>
              <w:bottom w:val="single" w:color="000000" w:sz="4" w:space="0"/>
              <w:right w:val="single" w:color="000000" w:sz="4" w:space="0"/>
            </w:tcBorders>
            <w:vAlign w:val="center"/>
          </w:tcPr>
          <w:p w14:paraId="4D8BAACE">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375176B6">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《微型计算机能效限定值及能效等级》（GB28380）</w:t>
            </w:r>
          </w:p>
        </w:tc>
      </w:tr>
      <w:tr w14:paraId="0A9E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7F061DF">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1774A6CD">
            <w:pPr>
              <w:widowControl/>
              <w:jc w:val="left"/>
              <w:rPr>
                <w:rFonts w:ascii="宋体" w:hAnsi="宋体"/>
                <w:color w:val="auto"/>
                <w:sz w:val="24"/>
              </w:rPr>
            </w:pPr>
          </w:p>
        </w:tc>
        <w:tc>
          <w:tcPr>
            <w:tcW w:w="1954" w:type="dxa"/>
            <w:tcBorders>
              <w:top w:val="single" w:color="000000" w:sz="4" w:space="0"/>
              <w:left w:val="single" w:color="000000" w:sz="4" w:space="0"/>
              <w:bottom w:val="single" w:color="000000" w:sz="4" w:space="0"/>
              <w:right w:val="single" w:color="000000" w:sz="4" w:space="0"/>
            </w:tcBorders>
            <w:vAlign w:val="center"/>
          </w:tcPr>
          <w:p w14:paraId="66016067">
            <w:pPr>
              <w:pStyle w:val="63"/>
              <w:spacing w:before="44"/>
              <w:ind w:left="7" w:right="5"/>
              <w:jc w:val="center"/>
              <w:rPr>
                <w:rFonts w:ascii="宋体" w:hAnsi="宋体" w:cs="宋体"/>
                <w:color w:val="auto"/>
                <w:kern w:val="2"/>
                <w:sz w:val="24"/>
                <w:szCs w:val="24"/>
              </w:rPr>
            </w:pPr>
            <w:r>
              <w:rPr>
                <w:rFonts w:hint="eastAsia" w:ascii="宋体" w:hAnsi="宋体" w:cs="宋体"/>
                <w:color w:val="auto"/>
                <w:w w:val="99"/>
                <w:kern w:val="2"/>
                <w:sz w:val="24"/>
                <w:szCs w:val="24"/>
              </w:rPr>
              <w:t>★</w:t>
            </w:r>
            <w:r>
              <w:rPr>
                <w:rFonts w:hint="eastAsia" w:ascii="宋体" w:hAnsi="宋体" w:cs="仿宋_GB2312"/>
                <w:color w:val="auto"/>
                <w:kern w:val="2"/>
                <w:sz w:val="24"/>
                <w:szCs w:val="24"/>
              </w:rPr>
              <w:t>A02010108</w:t>
            </w:r>
            <w:r>
              <w:rPr>
                <w:rFonts w:hint="eastAsia" w:ascii="宋体" w:hAnsi="宋体" w:cs="宋体"/>
                <w:color w:val="auto"/>
                <w:w w:val="99"/>
                <w:kern w:val="2"/>
                <w:sz w:val="24"/>
                <w:szCs w:val="24"/>
              </w:rPr>
              <w:t>便携式计算机</w:t>
            </w:r>
          </w:p>
        </w:tc>
        <w:tc>
          <w:tcPr>
            <w:tcW w:w="1488" w:type="dxa"/>
            <w:tcBorders>
              <w:top w:val="single" w:color="000000" w:sz="4" w:space="0"/>
              <w:left w:val="single" w:color="000000" w:sz="4" w:space="0"/>
              <w:bottom w:val="single" w:color="000000" w:sz="4" w:space="0"/>
              <w:right w:val="single" w:color="000000" w:sz="4" w:space="0"/>
            </w:tcBorders>
            <w:vAlign w:val="center"/>
          </w:tcPr>
          <w:p w14:paraId="18CF2A34">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53FCF83B">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《微型计算机能效限定值及能效等级》（GB28380）</w:t>
            </w:r>
          </w:p>
        </w:tc>
      </w:tr>
      <w:tr w14:paraId="4999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05FFFAF">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056F6547">
            <w:pPr>
              <w:widowControl/>
              <w:jc w:val="left"/>
              <w:rPr>
                <w:rFonts w:ascii="宋体" w:hAnsi="宋体"/>
                <w:color w:val="auto"/>
                <w:sz w:val="24"/>
              </w:rPr>
            </w:pPr>
          </w:p>
        </w:tc>
        <w:tc>
          <w:tcPr>
            <w:tcW w:w="1954" w:type="dxa"/>
            <w:tcBorders>
              <w:top w:val="single" w:color="000000" w:sz="4" w:space="0"/>
              <w:left w:val="single" w:color="000000" w:sz="4" w:space="0"/>
              <w:bottom w:val="single" w:color="000000" w:sz="4" w:space="0"/>
              <w:right w:val="single" w:color="000000" w:sz="4" w:space="0"/>
            </w:tcBorders>
            <w:vAlign w:val="center"/>
          </w:tcPr>
          <w:p w14:paraId="1F64697E">
            <w:pPr>
              <w:pStyle w:val="63"/>
              <w:spacing w:before="64"/>
              <w:ind w:left="7" w:right="5"/>
              <w:jc w:val="center"/>
              <w:rPr>
                <w:rFonts w:ascii="宋体" w:hAnsi="宋体" w:cs="宋体"/>
                <w:color w:val="auto"/>
                <w:kern w:val="2"/>
                <w:sz w:val="24"/>
                <w:szCs w:val="24"/>
                <w:lang w:eastAsia="zh-CN"/>
              </w:rPr>
            </w:pPr>
            <w:r>
              <w:rPr>
                <w:rFonts w:hint="eastAsia" w:ascii="宋体" w:hAnsi="宋体" w:cs="宋体"/>
                <w:color w:val="auto"/>
                <w:w w:val="99"/>
                <w:kern w:val="2"/>
                <w:sz w:val="24"/>
                <w:szCs w:val="24"/>
                <w:lang w:eastAsia="zh-CN"/>
              </w:rPr>
              <w:t>★</w:t>
            </w:r>
            <w:r>
              <w:rPr>
                <w:rFonts w:hint="eastAsia" w:ascii="宋体" w:hAnsi="宋体" w:cs="仿宋_GB2312"/>
                <w:color w:val="auto"/>
                <w:kern w:val="2"/>
                <w:sz w:val="24"/>
                <w:szCs w:val="24"/>
                <w:lang w:eastAsia="zh-CN"/>
              </w:rPr>
              <w:t>A02010109平板式计算机</w:t>
            </w:r>
          </w:p>
        </w:tc>
        <w:tc>
          <w:tcPr>
            <w:tcW w:w="1488" w:type="dxa"/>
            <w:tcBorders>
              <w:top w:val="single" w:color="000000" w:sz="4" w:space="0"/>
              <w:left w:val="single" w:color="000000" w:sz="4" w:space="0"/>
              <w:bottom w:val="single" w:color="000000" w:sz="4" w:space="0"/>
              <w:right w:val="single" w:color="000000" w:sz="4" w:space="0"/>
            </w:tcBorders>
            <w:vAlign w:val="center"/>
          </w:tcPr>
          <w:p w14:paraId="18860028">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66264051">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《微型计算机能效限定值及能效等级》（GB28380）</w:t>
            </w:r>
          </w:p>
        </w:tc>
      </w:tr>
      <w:tr w14:paraId="60BE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DBA9A71">
            <w:pPr>
              <w:jc w:val="center"/>
              <w:rPr>
                <w:rFonts w:ascii="宋体" w:hAnsi="宋体"/>
                <w:color w:val="auto"/>
                <w:sz w:val="24"/>
              </w:rPr>
            </w:pPr>
            <w:r>
              <w:rPr>
                <w:rFonts w:hint="eastAsia" w:ascii="宋体" w:hAnsi="宋体"/>
                <w:color w:val="auto"/>
                <w:sz w:val="24"/>
              </w:rPr>
              <w:t>2</w:t>
            </w:r>
          </w:p>
        </w:tc>
        <w:tc>
          <w:tcPr>
            <w:tcW w:w="1543" w:type="dxa"/>
            <w:vMerge w:val="restart"/>
            <w:tcBorders>
              <w:top w:val="single" w:color="000000" w:sz="4" w:space="0"/>
              <w:left w:val="single" w:color="000000" w:sz="4" w:space="0"/>
              <w:bottom w:val="single" w:color="000000" w:sz="4" w:space="0"/>
              <w:right w:val="single" w:color="000000" w:sz="4" w:space="0"/>
            </w:tcBorders>
            <w:vAlign w:val="center"/>
          </w:tcPr>
          <w:p w14:paraId="101E14B0">
            <w:pPr>
              <w:pStyle w:val="63"/>
              <w:ind w:left="7"/>
              <w:jc w:val="center"/>
              <w:rPr>
                <w:rFonts w:ascii="宋体" w:hAnsi="宋体" w:cs="宋体"/>
                <w:color w:val="auto"/>
                <w:kern w:val="2"/>
                <w:sz w:val="24"/>
                <w:szCs w:val="24"/>
              </w:rPr>
            </w:pPr>
            <w:r>
              <w:rPr>
                <w:rFonts w:hint="eastAsia" w:ascii="宋体" w:hAnsi="宋体" w:cs="仿宋_GB2312"/>
                <w:color w:val="auto"/>
                <w:kern w:val="2"/>
                <w:sz w:val="24"/>
                <w:szCs w:val="24"/>
              </w:rPr>
              <w:t>A02020000</w:t>
            </w:r>
            <w:r>
              <w:rPr>
                <w:rFonts w:hint="eastAsia" w:ascii="宋体" w:hAnsi="宋体" w:cs="宋体"/>
                <w:color w:val="auto"/>
                <w:w w:val="99"/>
                <w:kern w:val="2"/>
                <w:sz w:val="24"/>
                <w:szCs w:val="24"/>
              </w:rPr>
              <w:t>办公设备</w:t>
            </w:r>
          </w:p>
        </w:tc>
        <w:tc>
          <w:tcPr>
            <w:tcW w:w="1954" w:type="dxa"/>
            <w:vMerge w:val="restart"/>
            <w:tcBorders>
              <w:top w:val="single" w:color="000000" w:sz="4" w:space="0"/>
              <w:left w:val="single" w:color="000000" w:sz="4" w:space="0"/>
              <w:bottom w:val="single" w:color="000000" w:sz="4" w:space="0"/>
              <w:right w:val="single" w:color="000000" w:sz="4" w:space="0"/>
            </w:tcBorders>
            <w:vAlign w:val="center"/>
          </w:tcPr>
          <w:p w14:paraId="55B940A5">
            <w:pPr>
              <w:jc w:val="center"/>
              <w:rPr>
                <w:rFonts w:ascii="宋体" w:hAnsi="宋体"/>
                <w:color w:val="auto"/>
                <w:sz w:val="24"/>
              </w:rPr>
            </w:pPr>
            <w:r>
              <w:rPr>
                <w:rFonts w:hint="eastAsia" w:ascii="宋体" w:hAnsi="宋体" w:cs="宋体"/>
                <w:color w:val="auto"/>
                <w:spacing w:val="1"/>
                <w:w w:val="99"/>
                <w:sz w:val="24"/>
              </w:rPr>
              <w:t>A02021000</w:t>
            </w:r>
            <w:r>
              <w:rPr>
                <w:rFonts w:hint="eastAsia" w:ascii="宋体" w:hAnsi="宋体" w:cs="Arial"/>
                <w:color w:val="auto"/>
                <w:sz w:val="24"/>
                <w:shd w:val="clear" w:color="auto" w:fill="FFFFFF"/>
              </w:rPr>
              <w:t>打印机</w:t>
            </w:r>
          </w:p>
        </w:tc>
        <w:tc>
          <w:tcPr>
            <w:tcW w:w="1488" w:type="dxa"/>
            <w:tcBorders>
              <w:top w:val="single" w:color="000000" w:sz="4" w:space="0"/>
              <w:left w:val="single" w:color="000000" w:sz="4" w:space="0"/>
              <w:bottom w:val="single" w:color="000000" w:sz="4" w:space="0"/>
              <w:right w:val="single" w:color="000000" w:sz="4" w:space="0"/>
            </w:tcBorders>
            <w:vAlign w:val="center"/>
          </w:tcPr>
          <w:p w14:paraId="0BF22537">
            <w:pPr>
              <w:jc w:val="center"/>
              <w:rPr>
                <w:rFonts w:ascii="宋体" w:hAnsi="宋体"/>
                <w:color w:val="auto"/>
                <w:sz w:val="24"/>
              </w:rPr>
            </w:pPr>
            <w:r>
              <w:rPr>
                <w:rFonts w:hint="eastAsia" w:ascii="宋体" w:hAnsi="宋体"/>
                <w:color w:val="auto"/>
                <w:sz w:val="24"/>
              </w:rPr>
              <w:t>A02021001 A3黑白打印机</w:t>
            </w:r>
          </w:p>
        </w:tc>
        <w:tc>
          <w:tcPr>
            <w:tcW w:w="4287" w:type="dxa"/>
            <w:tcBorders>
              <w:top w:val="single" w:color="000000" w:sz="4" w:space="0"/>
              <w:left w:val="single" w:color="000000" w:sz="4" w:space="0"/>
              <w:bottom w:val="single" w:color="000000" w:sz="4" w:space="0"/>
              <w:right w:val="single" w:color="000000" w:sz="4" w:space="0"/>
            </w:tcBorders>
          </w:tcPr>
          <w:p w14:paraId="6CAEA6D7">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《复印机、打印机和传真机能效限定值及能效等级》（GB21521）</w:t>
            </w:r>
          </w:p>
        </w:tc>
      </w:tr>
      <w:tr w14:paraId="3455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241F6BD">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562DBAA8">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4F1203D4">
            <w:pPr>
              <w:widowControl/>
              <w:jc w:val="left"/>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0CD17A88">
            <w:pPr>
              <w:jc w:val="center"/>
              <w:rPr>
                <w:rFonts w:ascii="宋体" w:hAnsi="宋体"/>
                <w:color w:val="auto"/>
                <w:sz w:val="24"/>
              </w:rPr>
            </w:pPr>
            <w:r>
              <w:rPr>
                <w:rFonts w:hint="eastAsia" w:ascii="宋体" w:hAnsi="宋体"/>
                <w:color w:val="auto"/>
                <w:sz w:val="24"/>
              </w:rPr>
              <w:t>A02021002 A3彩色打印机</w:t>
            </w:r>
          </w:p>
        </w:tc>
        <w:tc>
          <w:tcPr>
            <w:tcW w:w="4287" w:type="dxa"/>
            <w:tcBorders>
              <w:top w:val="single" w:color="000000" w:sz="4" w:space="0"/>
              <w:left w:val="single" w:color="000000" w:sz="4" w:space="0"/>
              <w:bottom w:val="single" w:color="000000" w:sz="4" w:space="0"/>
              <w:right w:val="single" w:color="000000" w:sz="4" w:space="0"/>
            </w:tcBorders>
          </w:tcPr>
          <w:p w14:paraId="48A5614F">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《复印机、打印机和传真机能效限定值及能效等级》（GB21521）</w:t>
            </w:r>
          </w:p>
        </w:tc>
      </w:tr>
      <w:tr w14:paraId="3E0A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E5A720E">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0BA33D5C">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61A69685">
            <w:pPr>
              <w:widowControl/>
              <w:jc w:val="left"/>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64C1B67D">
            <w:pPr>
              <w:jc w:val="center"/>
              <w:rPr>
                <w:rFonts w:ascii="宋体" w:hAnsi="宋体"/>
                <w:color w:val="auto"/>
                <w:sz w:val="24"/>
              </w:rPr>
            </w:pPr>
            <w:r>
              <w:rPr>
                <w:rFonts w:hint="eastAsia" w:ascii="宋体" w:hAnsi="宋体"/>
                <w:color w:val="auto"/>
                <w:sz w:val="24"/>
              </w:rPr>
              <w:t>A02021003 A4黑白打印机</w:t>
            </w:r>
          </w:p>
        </w:tc>
        <w:tc>
          <w:tcPr>
            <w:tcW w:w="4287" w:type="dxa"/>
            <w:tcBorders>
              <w:top w:val="single" w:color="000000" w:sz="4" w:space="0"/>
              <w:left w:val="single" w:color="000000" w:sz="4" w:space="0"/>
              <w:bottom w:val="single" w:color="000000" w:sz="4" w:space="0"/>
              <w:right w:val="single" w:color="000000" w:sz="4" w:space="0"/>
            </w:tcBorders>
          </w:tcPr>
          <w:p w14:paraId="37D11C9C">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《复印机、打印机和传真机能效限定值及能效等级》（GB21521）</w:t>
            </w:r>
          </w:p>
        </w:tc>
      </w:tr>
      <w:tr w14:paraId="5DC5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723FEDB">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3C818886">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32BC8BD1">
            <w:pPr>
              <w:widowControl/>
              <w:jc w:val="left"/>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39A12831">
            <w:pPr>
              <w:jc w:val="center"/>
              <w:rPr>
                <w:rFonts w:ascii="宋体" w:hAnsi="宋体"/>
                <w:color w:val="auto"/>
                <w:sz w:val="24"/>
              </w:rPr>
            </w:pPr>
            <w:r>
              <w:rPr>
                <w:rFonts w:hint="eastAsia" w:ascii="宋体" w:hAnsi="宋体"/>
                <w:color w:val="auto"/>
                <w:sz w:val="24"/>
              </w:rPr>
              <w:t>A02021004 A4彩色打印机</w:t>
            </w:r>
          </w:p>
        </w:tc>
        <w:tc>
          <w:tcPr>
            <w:tcW w:w="4287" w:type="dxa"/>
            <w:tcBorders>
              <w:top w:val="single" w:color="000000" w:sz="4" w:space="0"/>
              <w:left w:val="single" w:color="000000" w:sz="4" w:space="0"/>
              <w:bottom w:val="single" w:color="000000" w:sz="4" w:space="0"/>
              <w:right w:val="single" w:color="000000" w:sz="4" w:space="0"/>
            </w:tcBorders>
          </w:tcPr>
          <w:p w14:paraId="6CEA35B4">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《复印机、打印机和传真机能效限定值及能效等级》（GB21521）</w:t>
            </w:r>
          </w:p>
        </w:tc>
      </w:tr>
      <w:tr w14:paraId="1166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F23F7F4">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7FA71A33">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4300821D">
            <w:pPr>
              <w:widowControl/>
              <w:jc w:val="left"/>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3A3E86FD">
            <w:pPr>
              <w:jc w:val="center"/>
              <w:rPr>
                <w:rFonts w:ascii="宋体" w:hAnsi="宋体"/>
                <w:color w:val="auto"/>
                <w:sz w:val="24"/>
              </w:rPr>
            </w:pPr>
            <w:r>
              <w:rPr>
                <w:rFonts w:hint="eastAsia" w:ascii="宋体" w:hAnsi="宋体"/>
                <w:color w:val="auto"/>
                <w:sz w:val="24"/>
              </w:rPr>
              <w:t>A02021005 3D打印机</w:t>
            </w:r>
          </w:p>
        </w:tc>
        <w:tc>
          <w:tcPr>
            <w:tcW w:w="4287" w:type="dxa"/>
            <w:tcBorders>
              <w:top w:val="single" w:color="000000" w:sz="4" w:space="0"/>
              <w:left w:val="single" w:color="000000" w:sz="4" w:space="0"/>
              <w:bottom w:val="single" w:color="000000" w:sz="4" w:space="0"/>
              <w:right w:val="single" w:color="000000" w:sz="4" w:space="0"/>
            </w:tcBorders>
          </w:tcPr>
          <w:p w14:paraId="7C542C86">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《复印机、打印机和传真机能效限定值及能效等级》（GB21521）</w:t>
            </w:r>
          </w:p>
        </w:tc>
      </w:tr>
      <w:tr w14:paraId="00CE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407A0D1">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61744549">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397C8817">
            <w:pPr>
              <w:widowControl/>
              <w:jc w:val="left"/>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6FE8857B">
            <w:pPr>
              <w:jc w:val="center"/>
              <w:rPr>
                <w:rFonts w:ascii="宋体" w:hAnsi="宋体"/>
                <w:color w:val="auto"/>
                <w:sz w:val="24"/>
              </w:rPr>
            </w:pPr>
            <w:r>
              <w:rPr>
                <w:rFonts w:hint="eastAsia" w:ascii="宋体" w:hAnsi="宋体"/>
                <w:color w:val="auto"/>
                <w:sz w:val="24"/>
              </w:rPr>
              <w:t>A02021006票据打印机</w:t>
            </w:r>
          </w:p>
        </w:tc>
        <w:tc>
          <w:tcPr>
            <w:tcW w:w="4287" w:type="dxa"/>
            <w:tcBorders>
              <w:top w:val="single" w:color="000000" w:sz="4" w:space="0"/>
              <w:left w:val="single" w:color="000000" w:sz="4" w:space="0"/>
              <w:bottom w:val="single" w:color="000000" w:sz="4" w:space="0"/>
              <w:right w:val="single" w:color="000000" w:sz="4" w:space="0"/>
            </w:tcBorders>
          </w:tcPr>
          <w:p w14:paraId="2DBCCE32">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《复印机、打印机和传真机能效限定值及能效等级》（GB21521）</w:t>
            </w:r>
          </w:p>
        </w:tc>
      </w:tr>
      <w:tr w14:paraId="6E08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137ACD3">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414A7DB7">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529A3503">
            <w:pPr>
              <w:widowControl/>
              <w:jc w:val="left"/>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11B03401">
            <w:pPr>
              <w:jc w:val="center"/>
              <w:rPr>
                <w:rFonts w:ascii="宋体" w:hAnsi="宋体"/>
                <w:color w:val="auto"/>
                <w:sz w:val="24"/>
              </w:rPr>
            </w:pPr>
            <w:r>
              <w:rPr>
                <w:rFonts w:hint="eastAsia" w:ascii="宋体" w:hAnsi="宋体"/>
                <w:color w:val="auto"/>
                <w:sz w:val="24"/>
              </w:rPr>
              <w:t>A02021007条码打印机</w:t>
            </w:r>
          </w:p>
        </w:tc>
        <w:tc>
          <w:tcPr>
            <w:tcW w:w="4287" w:type="dxa"/>
            <w:tcBorders>
              <w:top w:val="single" w:color="000000" w:sz="4" w:space="0"/>
              <w:left w:val="single" w:color="000000" w:sz="4" w:space="0"/>
              <w:bottom w:val="single" w:color="000000" w:sz="4" w:space="0"/>
              <w:right w:val="single" w:color="000000" w:sz="4" w:space="0"/>
            </w:tcBorders>
          </w:tcPr>
          <w:p w14:paraId="0186F6A6">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《复印机、打印机和传真机能效限定值及能效等级》（GB21521）</w:t>
            </w:r>
          </w:p>
        </w:tc>
      </w:tr>
      <w:tr w14:paraId="19B9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0B698BE">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1C0158D3">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58CDD38E">
            <w:pPr>
              <w:widowControl/>
              <w:jc w:val="left"/>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5D7C636C">
            <w:pPr>
              <w:jc w:val="center"/>
              <w:rPr>
                <w:rFonts w:ascii="宋体" w:hAnsi="宋体"/>
                <w:color w:val="auto"/>
                <w:sz w:val="24"/>
              </w:rPr>
            </w:pPr>
            <w:r>
              <w:rPr>
                <w:rFonts w:hint="eastAsia" w:ascii="宋体" w:hAnsi="宋体"/>
                <w:color w:val="auto"/>
                <w:sz w:val="24"/>
              </w:rPr>
              <w:t>A02021008地址打印机</w:t>
            </w:r>
          </w:p>
        </w:tc>
        <w:tc>
          <w:tcPr>
            <w:tcW w:w="4287" w:type="dxa"/>
            <w:tcBorders>
              <w:top w:val="single" w:color="000000" w:sz="4" w:space="0"/>
              <w:left w:val="single" w:color="000000" w:sz="4" w:space="0"/>
              <w:bottom w:val="single" w:color="000000" w:sz="4" w:space="0"/>
              <w:right w:val="single" w:color="000000" w:sz="4" w:space="0"/>
            </w:tcBorders>
          </w:tcPr>
          <w:p w14:paraId="59DC22F3">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《复印机、打印机和传真机能效限定值及能效等级》（GB21521）</w:t>
            </w:r>
          </w:p>
        </w:tc>
      </w:tr>
      <w:tr w14:paraId="4DF4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DF3320C">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40A773B7">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281BDBBB">
            <w:pPr>
              <w:widowControl/>
              <w:jc w:val="left"/>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4AAA64C5">
            <w:pPr>
              <w:jc w:val="center"/>
              <w:rPr>
                <w:rFonts w:ascii="宋体" w:hAnsi="宋体"/>
                <w:color w:val="auto"/>
                <w:sz w:val="24"/>
              </w:rPr>
            </w:pPr>
            <w:r>
              <w:rPr>
                <w:rFonts w:hint="eastAsia" w:ascii="宋体" w:hAnsi="宋体"/>
                <w:color w:val="auto"/>
                <w:sz w:val="24"/>
              </w:rPr>
              <w:t>A02021099其他打印机</w:t>
            </w:r>
          </w:p>
        </w:tc>
        <w:tc>
          <w:tcPr>
            <w:tcW w:w="4287" w:type="dxa"/>
            <w:tcBorders>
              <w:top w:val="single" w:color="000000" w:sz="4" w:space="0"/>
              <w:left w:val="single" w:color="000000" w:sz="4" w:space="0"/>
              <w:bottom w:val="single" w:color="000000" w:sz="4" w:space="0"/>
              <w:right w:val="single" w:color="000000" w:sz="4" w:space="0"/>
            </w:tcBorders>
          </w:tcPr>
          <w:p w14:paraId="498786F3">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《复印机、打印机和传真机能效限定值及能效等级》（GB21521）</w:t>
            </w:r>
          </w:p>
        </w:tc>
      </w:tr>
      <w:tr w14:paraId="1E67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7BF01CB">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165B55A7">
            <w:pPr>
              <w:widowControl/>
              <w:jc w:val="left"/>
              <w:rPr>
                <w:rFonts w:ascii="宋体" w:hAnsi="宋体" w:cs="宋体"/>
                <w:color w:val="auto"/>
                <w:sz w:val="24"/>
              </w:rPr>
            </w:pPr>
          </w:p>
        </w:tc>
        <w:tc>
          <w:tcPr>
            <w:tcW w:w="1954" w:type="dxa"/>
            <w:vMerge w:val="restart"/>
            <w:tcBorders>
              <w:top w:val="single" w:color="000000" w:sz="4" w:space="0"/>
              <w:left w:val="single" w:color="000000" w:sz="4" w:space="0"/>
              <w:bottom w:val="single" w:color="000000" w:sz="4" w:space="0"/>
              <w:right w:val="single" w:color="000000" w:sz="4" w:space="0"/>
            </w:tcBorders>
            <w:vAlign w:val="center"/>
          </w:tcPr>
          <w:p w14:paraId="65C426BA">
            <w:pPr>
              <w:jc w:val="center"/>
              <w:rPr>
                <w:rFonts w:ascii="宋体" w:hAnsi="宋体"/>
                <w:color w:val="auto"/>
                <w:sz w:val="24"/>
              </w:rPr>
            </w:pPr>
            <w:r>
              <w:rPr>
                <w:rFonts w:hint="eastAsia" w:ascii="宋体" w:hAnsi="宋体"/>
                <w:color w:val="auto"/>
                <w:sz w:val="24"/>
              </w:rPr>
              <w:t>A02021100输入输出设备</w:t>
            </w:r>
          </w:p>
        </w:tc>
        <w:tc>
          <w:tcPr>
            <w:tcW w:w="1488" w:type="dxa"/>
            <w:tcBorders>
              <w:top w:val="single" w:color="000000" w:sz="4" w:space="0"/>
              <w:left w:val="single" w:color="000000" w:sz="4" w:space="0"/>
              <w:bottom w:val="single" w:color="000000" w:sz="4" w:space="0"/>
              <w:right w:val="single" w:color="000000" w:sz="4" w:space="0"/>
            </w:tcBorders>
            <w:vAlign w:val="center"/>
          </w:tcPr>
          <w:p w14:paraId="3FC3787A">
            <w:pPr>
              <w:jc w:val="center"/>
              <w:rPr>
                <w:rFonts w:ascii="宋体" w:hAnsi="宋体"/>
                <w:color w:val="auto"/>
                <w:sz w:val="24"/>
              </w:rPr>
            </w:pPr>
            <w:r>
              <w:rPr>
                <w:rFonts w:hint="eastAsia" w:ascii="宋体" w:hAnsi="宋体" w:cs="宋体"/>
                <w:color w:val="auto"/>
                <w:w w:val="99"/>
                <w:sz w:val="24"/>
              </w:rPr>
              <w:t>★</w:t>
            </w:r>
            <w:r>
              <w:rPr>
                <w:rFonts w:hint="eastAsia" w:ascii="宋体" w:hAnsi="宋体"/>
                <w:color w:val="auto"/>
                <w:sz w:val="24"/>
              </w:rPr>
              <w:t>A02021104液晶显示器</w:t>
            </w:r>
          </w:p>
        </w:tc>
        <w:tc>
          <w:tcPr>
            <w:tcW w:w="4287" w:type="dxa"/>
            <w:tcBorders>
              <w:top w:val="single" w:color="000000" w:sz="4" w:space="0"/>
              <w:left w:val="single" w:color="000000" w:sz="4" w:space="0"/>
              <w:bottom w:val="single" w:color="000000" w:sz="4" w:space="0"/>
              <w:right w:val="single" w:color="000000" w:sz="4" w:space="0"/>
            </w:tcBorders>
            <w:vAlign w:val="center"/>
          </w:tcPr>
          <w:p w14:paraId="04950058">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《计算机显示器能效限定值及能效等级》（GB21520）</w:t>
            </w:r>
          </w:p>
        </w:tc>
      </w:tr>
      <w:tr w14:paraId="0C5E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B9B6213">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23693563">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7AB2E9A6">
            <w:pPr>
              <w:widowControl/>
              <w:jc w:val="left"/>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1BE1B110">
            <w:pPr>
              <w:jc w:val="center"/>
              <w:rPr>
                <w:rFonts w:ascii="宋体" w:hAnsi="宋体"/>
                <w:color w:val="auto"/>
                <w:sz w:val="24"/>
              </w:rPr>
            </w:pPr>
            <w:r>
              <w:rPr>
                <w:rFonts w:hint="eastAsia" w:ascii="宋体" w:hAnsi="宋体"/>
                <w:color w:val="auto"/>
                <w:sz w:val="24"/>
              </w:rPr>
              <w:t>A02021118扫描仪</w:t>
            </w:r>
          </w:p>
        </w:tc>
        <w:tc>
          <w:tcPr>
            <w:tcW w:w="4287" w:type="dxa"/>
            <w:tcBorders>
              <w:top w:val="single" w:color="000000" w:sz="4" w:space="0"/>
              <w:left w:val="single" w:color="000000" w:sz="4" w:space="0"/>
              <w:bottom w:val="single" w:color="000000" w:sz="4" w:space="0"/>
              <w:right w:val="single" w:color="000000" w:sz="4" w:space="0"/>
            </w:tcBorders>
            <w:vAlign w:val="center"/>
          </w:tcPr>
          <w:p w14:paraId="421FA8D7">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参照《复印机、打印机和传真机能效限定值及能效等级》（GB21521）中打印速度为15页/分的针式打印机相关要求</w:t>
            </w:r>
          </w:p>
        </w:tc>
      </w:tr>
      <w:tr w14:paraId="1130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3D6EA85">
            <w:pPr>
              <w:jc w:val="center"/>
              <w:rPr>
                <w:rFonts w:ascii="宋体" w:hAnsi="宋体"/>
                <w:color w:val="auto"/>
                <w:sz w:val="24"/>
              </w:rPr>
            </w:pPr>
            <w:r>
              <w:rPr>
                <w:rFonts w:hint="eastAsia" w:ascii="宋体" w:hAnsi="宋体"/>
                <w:color w:val="auto"/>
                <w:w w:val="99"/>
                <w:sz w:val="24"/>
              </w:rPr>
              <w:t>3</w:t>
            </w:r>
          </w:p>
        </w:tc>
        <w:tc>
          <w:tcPr>
            <w:tcW w:w="1543" w:type="dxa"/>
            <w:tcBorders>
              <w:top w:val="single" w:color="000000" w:sz="4" w:space="0"/>
              <w:left w:val="single" w:color="000000" w:sz="4" w:space="0"/>
              <w:bottom w:val="single" w:color="000000" w:sz="4" w:space="0"/>
              <w:right w:val="single" w:color="000000" w:sz="4" w:space="0"/>
            </w:tcBorders>
            <w:vAlign w:val="center"/>
          </w:tcPr>
          <w:p w14:paraId="1661979B">
            <w:pPr>
              <w:jc w:val="center"/>
              <w:rPr>
                <w:rFonts w:ascii="宋体" w:hAnsi="宋体"/>
                <w:color w:val="auto"/>
                <w:sz w:val="24"/>
              </w:rPr>
            </w:pPr>
            <w:r>
              <w:rPr>
                <w:rFonts w:hint="eastAsia" w:ascii="宋体" w:hAnsi="宋体"/>
                <w:color w:val="auto"/>
                <w:sz w:val="24"/>
              </w:rPr>
              <w:t>A02020200投影仪</w:t>
            </w:r>
          </w:p>
        </w:tc>
        <w:tc>
          <w:tcPr>
            <w:tcW w:w="1954" w:type="dxa"/>
            <w:tcBorders>
              <w:top w:val="single" w:color="000000" w:sz="4" w:space="0"/>
              <w:left w:val="single" w:color="000000" w:sz="4" w:space="0"/>
              <w:bottom w:val="single" w:color="000000" w:sz="4" w:space="0"/>
              <w:right w:val="single" w:color="000000" w:sz="4" w:space="0"/>
            </w:tcBorders>
            <w:vAlign w:val="center"/>
          </w:tcPr>
          <w:p w14:paraId="755175B3">
            <w:pPr>
              <w:jc w:val="center"/>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5970480C">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vAlign w:val="center"/>
          </w:tcPr>
          <w:p w14:paraId="54F12EAD">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《投影机能效限定值及能效等级》（GB32028）</w:t>
            </w:r>
          </w:p>
        </w:tc>
      </w:tr>
      <w:tr w14:paraId="71F0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5DEB18D">
            <w:pPr>
              <w:jc w:val="center"/>
              <w:rPr>
                <w:rFonts w:ascii="宋体" w:hAnsi="宋体"/>
                <w:color w:val="auto"/>
                <w:sz w:val="24"/>
              </w:rPr>
            </w:pPr>
            <w:r>
              <w:rPr>
                <w:rFonts w:hint="eastAsia" w:ascii="宋体" w:hAnsi="宋体"/>
                <w:color w:val="auto"/>
                <w:sz w:val="24"/>
              </w:rPr>
              <w:t>4</w:t>
            </w:r>
          </w:p>
        </w:tc>
        <w:tc>
          <w:tcPr>
            <w:tcW w:w="1543" w:type="dxa"/>
            <w:tcBorders>
              <w:top w:val="single" w:color="000000" w:sz="4" w:space="0"/>
              <w:left w:val="single" w:color="000000" w:sz="4" w:space="0"/>
              <w:bottom w:val="single" w:color="000000" w:sz="4" w:space="0"/>
              <w:right w:val="single" w:color="000000" w:sz="4" w:space="0"/>
            </w:tcBorders>
            <w:vAlign w:val="center"/>
          </w:tcPr>
          <w:p w14:paraId="1D88CD79">
            <w:pPr>
              <w:pStyle w:val="63"/>
              <w:spacing w:before="66"/>
              <w:ind w:left="7"/>
              <w:jc w:val="center"/>
              <w:rPr>
                <w:rFonts w:ascii="宋体" w:hAnsi="宋体" w:cs="宋体"/>
                <w:color w:val="auto"/>
                <w:kern w:val="2"/>
                <w:sz w:val="24"/>
                <w:szCs w:val="24"/>
              </w:rPr>
            </w:pPr>
            <w:r>
              <w:rPr>
                <w:rFonts w:hint="eastAsia" w:ascii="宋体" w:hAnsi="宋体" w:cs="仿宋_GB2312"/>
                <w:color w:val="auto"/>
                <w:kern w:val="2"/>
                <w:sz w:val="24"/>
                <w:szCs w:val="24"/>
              </w:rPr>
              <w:t>A02020400</w:t>
            </w:r>
            <w:r>
              <w:rPr>
                <w:rFonts w:hint="eastAsia" w:ascii="宋体" w:hAnsi="宋体" w:cs="宋体"/>
                <w:color w:val="auto"/>
                <w:w w:val="99"/>
                <w:kern w:val="2"/>
                <w:sz w:val="24"/>
                <w:szCs w:val="24"/>
              </w:rPr>
              <w:t>多功能一体机</w:t>
            </w:r>
          </w:p>
        </w:tc>
        <w:tc>
          <w:tcPr>
            <w:tcW w:w="1954" w:type="dxa"/>
            <w:tcBorders>
              <w:top w:val="single" w:color="000000" w:sz="4" w:space="0"/>
              <w:left w:val="single" w:color="000000" w:sz="4" w:space="0"/>
              <w:bottom w:val="single" w:color="000000" w:sz="4" w:space="0"/>
              <w:right w:val="single" w:color="000000" w:sz="4" w:space="0"/>
            </w:tcBorders>
            <w:vAlign w:val="center"/>
          </w:tcPr>
          <w:p w14:paraId="5AEC8A1E">
            <w:pPr>
              <w:jc w:val="center"/>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537AC992">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vAlign w:val="center"/>
          </w:tcPr>
          <w:p w14:paraId="3EA8D11F">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《复印机、打印机和传真机能效限定值及能效等级》（GB21521）</w:t>
            </w:r>
          </w:p>
        </w:tc>
      </w:tr>
      <w:tr w14:paraId="7DE3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E90A4E9">
            <w:pPr>
              <w:pStyle w:val="63"/>
              <w:spacing w:before="160"/>
              <w:ind w:right="1"/>
              <w:jc w:val="center"/>
              <w:rPr>
                <w:rFonts w:ascii="宋体" w:hAnsi="宋体" w:cs="宋体"/>
                <w:color w:val="auto"/>
                <w:kern w:val="2"/>
                <w:sz w:val="24"/>
                <w:szCs w:val="24"/>
              </w:rPr>
            </w:pPr>
            <w:r>
              <w:rPr>
                <w:rFonts w:hint="eastAsia" w:ascii="宋体" w:hAnsi="宋体"/>
                <w:color w:val="auto"/>
                <w:w w:val="99"/>
                <w:kern w:val="2"/>
                <w:sz w:val="24"/>
                <w:szCs w:val="24"/>
              </w:rPr>
              <w:t>5</w:t>
            </w:r>
          </w:p>
        </w:tc>
        <w:tc>
          <w:tcPr>
            <w:tcW w:w="1543" w:type="dxa"/>
            <w:tcBorders>
              <w:top w:val="single" w:color="000000" w:sz="4" w:space="0"/>
              <w:left w:val="single" w:color="000000" w:sz="4" w:space="0"/>
              <w:bottom w:val="single" w:color="000000" w:sz="4" w:space="0"/>
              <w:right w:val="single" w:color="000000" w:sz="4" w:space="0"/>
            </w:tcBorders>
            <w:vAlign w:val="center"/>
          </w:tcPr>
          <w:p w14:paraId="7A976669">
            <w:pPr>
              <w:pStyle w:val="63"/>
              <w:spacing w:before="160"/>
              <w:ind w:left="7"/>
              <w:jc w:val="center"/>
              <w:rPr>
                <w:rFonts w:ascii="宋体" w:hAnsi="宋体" w:cs="宋体"/>
                <w:color w:val="auto"/>
                <w:kern w:val="2"/>
                <w:sz w:val="24"/>
                <w:szCs w:val="24"/>
              </w:rPr>
            </w:pPr>
            <w:r>
              <w:rPr>
                <w:rFonts w:hint="eastAsia" w:ascii="宋体" w:hAnsi="宋体" w:cs="仿宋_GB2312"/>
                <w:color w:val="auto"/>
                <w:kern w:val="2"/>
                <w:sz w:val="24"/>
                <w:szCs w:val="24"/>
              </w:rPr>
              <w:t>A02051900</w:t>
            </w:r>
            <w:r>
              <w:rPr>
                <w:rFonts w:hint="eastAsia" w:ascii="宋体" w:hAnsi="宋体" w:cs="宋体"/>
                <w:color w:val="auto"/>
                <w:w w:val="99"/>
                <w:kern w:val="2"/>
                <w:sz w:val="24"/>
                <w:szCs w:val="24"/>
              </w:rPr>
              <w:t>泵</w:t>
            </w:r>
          </w:p>
        </w:tc>
        <w:tc>
          <w:tcPr>
            <w:tcW w:w="1954" w:type="dxa"/>
            <w:tcBorders>
              <w:top w:val="single" w:color="000000" w:sz="4" w:space="0"/>
              <w:left w:val="single" w:color="000000" w:sz="4" w:space="0"/>
              <w:bottom w:val="single" w:color="000000" w:sz="4" w:space="0"/>
              <w:right w:val="single" w:color="000000" w:sz="4" w:space="0"/>
            </w:tcBorders>
            <w:vAlign w:val="center"/>
          </w:tcPr>
          <w:p w14:paraId="1460BDC8">
            <w:pPr>
              <w:pStyle w:val="63"/>
              <w:spacing w:before="160"/>
              <w:ind w:left="7"/>
              <w:jc w:val="center"/>
              <w:rPr>
                <w:rFonts w:ascii="宋体" w:hAnsi="宋体" w:cs="宋体"/>
                <w:color w:val="auto"/>
                <w:kern w:val="2"/>
                <w:sz w:val="24"/>
                <w:szCs w:val="24"/>
              </w:rPr>
            </w:pPr>
            <w:r>
              <w:rPr>
                <w:rFonts w:hint="eastAsia" w:ascii="宋体" w:hAnsi="宋体" w:cs="宋体"/>
                <w:color w:val="auto"/>
                <w:spacing w:val="1"/>
                <w:w w:val="99"/>
                <w:kern w:val="2"/>
                <w:sz w:val="24"/>
                <w:szCs w:val="24"/>
              </w:rPr>
              <w:t>A02</w:t>
            </w:r>
            <w:r>
              <w:rPr>
                <w:rFonts w:hint="eastAsia" w:ascii="宋体" w:hAnsi="宋体" w:cs="宋体"/>
                <w:color w:val="auto"/>
                <w:w w:val="99"/>
                <w:kern w:val="2"/>
                <w:sz w:val="24"/>
                <w:szCs w:val="24"/>
              </w:rPr>
              <w:t>05</w:t>
            </w:r>
            <w:r>
              <w:rPr>
                <w:rFonts w:hint="eastAsia" w:ascii="宋体" w:hAnsi="宋体" w:cs="宋体"/>
                <w:color w:val="auto"/>
                <w:spacing w:val="1"/>
                <w:w w:val="99"/>
                <w:kern w:val="2"/>
                <w:sz w:val="24"/>
                <w:szCs w:val="24"/>
              </w:rPr>
              <w:t>1</w:t>
            </w:r>
            <w:r>
              <w:rPr>
                <w:rFonts w:hint="eastAsia" w:ascii="宋体" w:hAnsi="宋体" w:cs="宋体"/>
                <w:color w:val="auto"/>
                <w:w w:val="99"/>
                <w:kern w:val="2"/>
                <w:sz w:val="24"/>
                <w:szCs w:val="24"/>
              </w:rPr>
              <w:t>901离心泵</w:t>
            </w:r>
          </w:p>
        </w:tc>
        <w:tc>
          <w:tcPr>
            <w:tcW w:w="1488" w:type="dxa"/>
            <w:tcBorders>
              <w:top w:val="single" w:color="000000" w:sz="4" w:space="0"/>
              <w:left w:val="single" w:color="000000" w:sz="4" w:space="0"/>
              <w:bottom w:val="single" w:color="000000" w:sz="4" w:space="0"/>
              <w:right w:val="single" w:color="000000" w:sz="4" w:space="0"/>
            </w:tcBorders>
            <w:vAlign w:val="center"/>
          </w:tcPr>
          <w:p w14:paraId="48F1C914">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23919C27">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《清水离心泵能效限定值及节能评价值》（GB19762）</w:t>
            </w:r>
          </w:p>
        </w:tc>
      </w:tr>
      <w:tr w14:paraId="28CE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1067A98">
            <w:pPr>
              <w:jc w:val="center"/>
              <w:rPr>
                <w:rFonts w:ascii="宋体" w:hAnsi="宋体"/>
                <w:color w:val="auto"/>
                <w:sz w:val="24"/>
              </w:rPr>
            </w:pPr>
            <w:r>
              <w:rPr>
                <w:rFonts w:hint="eastAsia" w:ascii="宋体" w:hAnsi="宋体"/>
                <w:color w:val="auto"/>
                <w:sz w:val="24"/>
              </w:rPr>
              <w:t>6</w:t>
            </w:r>
          </w:p>
        </w:tc>
        <w:tc>
          <w:tcPr>
            <w:tcW w:w="1543" w:type="dxa"/>
            <w:vMerge w:val="restart"/>
            <w:tcBorders>
              <w:top w:val="single" w:color="000000" w:sz="4" w:space="0"/>
              <w:left w:val="single" w:color="000000" w:sz="4" w:space="0"/>
              <w:bottom w:val="single" w:color="000000" w:sz="4" w:space="0"/>
              <w:right w:val="single" w:color="000000" w:sz="4" w:space="0"/>
            </w:tcBorders>
            <w:vAlign w:val="center"/>
          </w:tcPr>
          <w:p w14:paraId="7663B13C">
            <w:pPr>
              <w:pStyle w:val="63"/>
              <w:jc w:val="center"/>
              <w:rPr>
                <w:rFonts w:ascii="宋体" w:hAnsi="宋体" w:cs="宋体"/>
                <w:color w:val="auto"/>
                <w:kern w:val="2"/>
                <w:sz w:val="24"/>
                <w:szCs w:val="24"/>
              </w:rPr>
            </w:pPr>
            <w:r>
              <w:rPr>
                <w:rFonts w:hint="eastAsia" w:ascii="宋体" w:hAnsi="宋体" w:cs="仿宋_GB2312"/>
                <w:color w:val="auto"/>
                <w:kern w:val="2"/>
                <w:sz w:val="24"/>
                <w:szCs w:val="24"/>
              </w:rPr>
              <w:t>A02052300</w:t>
            </w:r>
            <w:r>
              <w:rPr>
                <w:rFonts w:hint="eastAsia" w:ascii="宋体" w:hAnsi="宋体" w:cs="宋体"/>
                <w:color w:val="auto"/>
                <w:w w:val="99"/>
                <w:kern w:val="2"/>
                <w:sz w:val="24"/>
                <w:szCs w:val="24"/>
              </w:rPr>
              <w:t>制冷空调设备</w:t>
            </w:r>
          </w:p>
        </w:tc>
        <w:tc>
          <w:tcPr>
            <w:tcW w:w="1954" w:type="dxa"/>
            <w:vMerge w:val="restart"/>
            <w:tcBorders>
              <w:top w:val="single" w:color="000000" w:sz="4" w:space="0"/>
              <w:left w:val="single" w:color="000000" w:sz="4" w:space="0"/>
              <w:bottom w:val="single" w:color="000000" w:sz="4" w:space="0"/>
              <w:right w:val="single" w:color="000000" w:sz="4" w:space="0"/>
            </w:tcBorders>
            <w:vAlign w:val="center"/>
          </w:tcPr>
          <w:p w14:paraId="45F29CEC">
            <w:pPr>
              <w:pStyle w:val="63"/>
              <w:spacing w:line="276" w:lineRule="auto"/>
              <w:ind w:right="5"/>
              <w:jc w:val="center"/>
              <w:rPr>
                <w:rFonts w:ascii="宋体" w:hAnsi="宋体" w:cs="宋体"/>
                <w:color w:val="auto"/>
                <w:kern w:val="2"/>
                <w:sz w:val="24"/>
                <w:szCs w:val="24"/>
              </w:rPr>
            </w:pPr>
            <w:r>
              <w:rPr>
                <w:rFonts w:hint="eastAsia" w:ascii="宋体" w:hAnsi="宋体" w:cs="宋体"/>
                <w:color w:val="auto"/>
                <w:w w:val="99"/>
                <w:kern w:val="2"/>
                <w:sz w:val="24"/>
                <w:szCs w:val="24"/>
              </w:rPr>
              <w:t>★</w:t>
            </w:r>
            <w:r>
              <w:rPr>
                <w:rFonts w:hint="eastAsia" w:ascii="宋体" w:hAnsi="宋体" w:cs="宋体"/>
                <w:color w:val="auto"/>
                <w:spacing w:val="1"/>
                <w:w w:val="99"/>
                <w:kern w:val="2"/>
                <w:sz w:val="24"/>
                <w:szCs w:val="24"/>
              </w:rPr>
              <w:t>A020</w:t>
            </w:r>
            <w:r>
              <w:rPr>
                <w:rFonts w:hint="eastAsia" w:ascii="宋体" w:hAnsi="宋体" w:cs="宋体"/>
                <w:color w:val="auto"/>
                <w:w w:val="99"/>
                <w:kern w:val="2"/>
                <w:sz w:val="24"/>
                <w:szCs w:val="24"/>
              </w:rPr>
              <w:t>52</w:t>
            </w:r>
            <w:r>
              <w:rPr>
                <w:rFonts w:hint="eastAsia" w:ascii="宋体" w:hAnsi="宋体" w:cs="宋体"/>
                <w:color w:val="auto"/>
                <w:spacing w:val="1"/>
                <w:w w:val="99"/>
                <w:kern w:val="2"/>
                <w:sz w:val="24"/>
                <w:szCs w:val="24"/>
              </w:rPr>
              <w:t>3</w:t>
            </w:r>
            <w:r>
              <w:rPr>
                <w:rFonts w:hint="eastAsia" w:ascii="宋体" w:hAnsi="宋体" w:cs="宋体"/>
                <w:color w:val="auto"/>
                <w:w w:val="99"/>
                <w:kern w:val="2"/>
                <w:sz w:val="24"/>
                <w:szCs w:val="24"/>
              </w:rPr>
              <w:t>01制冷压缩机</w:t>
            </w:r>
          </w:p>
        </w:tc>
        <w:tc>
          <w:tcPr>
            <w:tcW w:w="1488" w:type="dxa"/>
            <w:tcBorders>
              <w:top w:val="single" w:color="000000" w:sz="4" w:space="0"/>
              <w:left w:val="single" w:color="000000" w:sz="4" w:space="0"/>
              <w:bottom w:val="single" w:color="000000" w:sz="4" w:space="0"/>
              <w:right w:val="single" w:color="000000" w:sz="4" w:space="0"/>
            </w:tcBorders>
            <w:vAlign w:val="center"/>
          </w:tcPr>
          <w:p w14:paraId="1B3D301D">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冷水机组</w:t>
            </w:r>
          </w:p>
        </w:tc>
        <w:tc>
          <w:tcPr>
            <w:tcW w:w="4287" w:type="dxa"/>
            <w:tcBorders>
              <w:top w:val="single" w:color="000000" w:sz="4" w:space="0"/>
              <w:left w:val="single" w:color="000000" w:sz="4" w:space="0"/>
              <w:bottom w:val="single" w:color="000000" w:sz="4" w:space="0"/>
              <w:right w:val="single" w:color="000000" w:sz="4" w:space="0"/>
            </w:tcBorders>
          </w:tcPr>
          <w:p w14:paraId="0FA4BBEC">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《冷水机组能效限定值及能效等级》（GB19577），《低环境温度空气源热泵（冷水）机组能效限定值及能效等级》（GB37480）</w:t>
            </w:r>
          </w:p>
        </w:tc>
      </w:tr>
      <w:tr w14:paraId="2AA8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2C38993">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61D0C8CF">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1295F860">
            <w:pPr>
              <w:widowControl/>
              <w:jc w:val="left"/>
              <w:rPr>
                <w:rFonts w:ascii="宋体" w:hAnsi="宋体" w:cs="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28C30FA9">
            <w:pPr>
              <w:jc w:val="center"/>
              <w:rPr>
                <w:rFonts w:ascii="宋体" w:hAnsi="宋体"/>
                <w:color w:val="auto"/>
                <w:sz w:val="24"/>
              </w:rPr>
            </w:pPr>
            <w:r>
              <w:rPr>
                <w:rFonts w:hint="eastAsia" w:ascii="宋体" w:hAnsi="宋体"/>
                <w:color w:val="auto"/>
                <w:sz w:val="24"/>
              </w:rPr>
              <w:t>溴化锂吸收式冷水机组</w:t>
            </w:r>
          </w:p>
        </w:tc>
        <w:tc>
          <w:tcPr>
            <w:tcW w:w="4287" w:type="dxa"/>
            <w:tcBorders>
              <w:top w:val="single" w:color="000000" w:sz="4" w:space="0"/>
              <w:left w:val="single" w:color="000000" w:sz="4" w:space="0"/>
              <w:bottom w:val="single" w:color="000000" w:sz="4" w:space="0"/>
              <w:right w:val="single" w:color="000000" w:sz="4" w:space="0"/>
            </w:tcBorders>
            <w:vAlign w:val="center"/>
          </w:tcPr>
          <w:p w14:paraId="7CED68D6">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《溴化锂吸收式冷水机组能效限</w:t>
            </w:r>
          </w:p>
          <w:p w14:paraId="70A172B8">
            <w:pPr>
              <w:spacing w:before="131" w:line="276" w:lineRule="auto"/>
              <w:ind w:right="4"/>
              <w:rPr>
                <w:rFonts w:ascii="宋体" w:hAnsi="宋体" w:cs="宋体"/>
                <w:color w:val="auto"/>
                <w:spacing w:val="10"/>
                <w:sz w:val="24"/>
              </w:rPr>
            </w:pPr>
            <w:r>
              <w:rPr>
                <w:rFonts w:hint="eastAsia" w:ascii="宋体" w:hAnsi="宋体" w:cs="宋体"/>
                <w:color w:val="auto"/>
                <w:spacing w:val="10"/>
                <w:sz w:val="24"/>
              </w:rPr>
              <w:t>定值及能效等级》（GB29540）</w:t>
            </w:r>
          </w:p>
        </w:tc>
      </w:tr>
      <w:tr w14:paraId="42E4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1585B65">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44D471F5">
            <w:pPr>
              <w:widowControl/>
              <w:jc w:val="left"/>
              <w:rPr>
                <w:rFonts w:ascii="宋体" w:hAnsi="宋体" w:cs="宋体"/>
                <w:color w:val="auto"/>
                <w:sz w:val="24"/>
              </w:rPr>
            </w:pPr>
          </w:p>
        </w:tc>
        <w:tc>
          <w:tcPr>
            <w:tcW w:w="1954" w:type="dxa"/>
            <w:vMerge w:val="restart"/>
            <w:tcBorders>
              <w:top w:val="single" w:color="000000" w:sz="4" w:space="0"/>
              <w:left w:val="single" w:color="000000" w:sz="4" w:space="0"/>
              <w:bottom w:val="single" w:color="000000" w:sz="4" w:space="0"/>
              <w:right w:val="single" w:color="000000" w:sz="4" w:space="0"/>
            </w:tcBorders>
            <w:vAlign w:val="center"/>
          </w:tcPr>
          <w:p w14:paraId="0188137A">
            <w:pPr>
              <w:pStyle w:val="63"/>
              <w:spacing w:line="276" w:lineRule="auto"/>
              <w:ind w:right="5"/>
              <w:jc w:val="center"/>
              <w:rPr>
                <w:rFonts w:ascii="宋体" w:hAnsi="宋体" w:cs="宋体"/>
                <w:color w:val="auto"/>
                <w:kern w:val="2"/>
                <w:sz w:val="24"/>
                <w:szCs w:val="24"/>
              </w:rPr>
            </w:pPr>
            <w:r>
              <w:rPr>
                <w:rFonts w:hint="eastAsia" w:ascii="宋体" w:hAnsi="宋体" w:cs="宋体"/>
                <w:color w:val="auto"/>
                <w:w w:val="99"/>
                <w:kern w:val="2"/>
                <w:sz w:val="24"/>
                <w:szCs w:val="24"/>
              </w:rPr>
              <w:t>★A02052305空调机组</w:t>
            </w:r>
          </w:p>
        </w:tc>
        <w:tc>
          <w:tcPr>
            <w:tcW w:w="1488" w:type="dxa"/>
            <w:tcBorders>
              <w:top w:val="single" w:color="000000" w:sz="4" w:space="0"/>
              <w:left w:val="single" w:color="000000" w:sz="4" w:space="0"/>
              <w:bottom w:val="single" w:color="000000" w:sz="4" w:space="0"/>
              <w:right w:val="single" w:color="000000" w:sz="4" w:space="0"/>
            </w:tcBorders>
            <w:vAlign w:val="center"/>
          </w:tcPr>
          <w:p w14:paraId="236A031F">
            <w:pPr>
              <w:pStyle w:val="63"/>
              <w:spacing w:before="4" w:line="276" w:lineRule="auto"/>
              <w:ind w:left="7" w:right="7"/>
              <w:jc w:val="center"/>
              <w:rPr>
                <w:rFonts w:ascii="宋体" w:hAnsi="宋体" w:cs="宋体"/>
                <w:color w:val="auto"/>
                <w:w w:val="99"/>
                <w:kern w:val="2"/>
                <w:sz w:val="24"/>
                <w:szCs w:val="24"/>
                <w:lang w:eastAsia="zh-CN"/>
              </w:rPr>
            </w:pPr>
            <w:r>
              <w:rPr>
                <w:rFonts w:hint="eastAsia" w:ascii="宋体" w:hAnsi="宋体" w:cs="宋体"/>
                <w:color w:val="auto"/>
                <w:w w:val="99"/>
                <w:kern w:val="2"/>
                <w:sz w:val="24"/>
                <w:szCs w:val="24"/>
                <w:lang w:eastAsia="zh-CN"/>
              </w:rPr>
              <w:t>多联式空调（热泵）机组（制冷量&gt;14000W）</w:t>
            </w:r>
          </w:p>
        </w:tc>
        <w:tc>
          <w:tcPr>
            <w:tcW w:w="4287" w:type="dxa"/>
            <w:tcBorders>
              <w:top w:val="single" w:color="000000" w:sz="4" w:space="0"/>
              <w:left w:val="single" w:color="000000" w:sz="4" w:space="0"/>
              <w:bottom w:val="single" w:color="000000" w:sz="4" w:space="0"/>
              <w:right w:val="single" w:color="000000" w:sz="4" w:space="0"/>
            </w:tcBorders>
          </w:tcPr>
          <w:p w14:paraId="466249C0">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《多联式空调（热泵）机组能效限定值及能源效率等级》（GB21454）</w:t>
            </w:r>
          </w:p>
        </w:tc>
      </w:tr>
      <w:tr w14:paraId="245D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C384A88">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5095565B">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76615F69">
            <w:pPr>
              <w:widowControl/>
              <w:jc w:val="left"/>
              <w:rPr>
                <w:rFonts w:ascii="宋体" w:hAnsi="宋体" w:cs="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12B61B5C">
            <w:pPr>
              <w:jc w:val="center"/>
              <w:rPr>
                <w:rFonts w:ascii="宋体" w:hAnsi="宋体"/>
                <w:color w:val="auto"/>
                <w:sz w:val="24"/>
              </w:rPr>
            </w:pPr>
            <w:r>
              <w:rPr>
                <w:rFonts w:hint="eastAsia" w:ascii="宋体" w:hAnsi="宋体" w:cs="宋体"/>
                <w:color w:val="auto"/>
                <w:w w:val="99"/>
                <w:sz w:val="24"/>
              </w:rPr>
              <w:t>单元式空气调节机</w:t>
            </w:r>
          </w:p>
        </w:tc>
        <w:tc>
          <w:tcPr>
            <w:tcW w:w="4287" w:type="dxa"/>
            <w:tcBorders>
              <w:top w:val="single" w:color="000000" w:sz="4" w:space="0"/>
              <w:left w:val="single" w:color="000000" w:sz="4" w:space="0"/>
              <w:bottom w:val="single" w:color="000000" w:sz="4" w:space="0"/>
              <w:right w:val="single" w:color="000000" w:sz="4" w:space="0"/>
            </w:tcBorders>
          </w:tcPr>
          <w:p w14:paraId="75C261BA">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《单元式空气调节机能效限定值及能效等级》（GB19576）《风管送风式空调机组能效限定值及能效等级》（GB37479）</w:t>
            </w:r>
          </w:p>
        </w:tc>
      </w:tr>
      <w:tr w14:paraId="7836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F25B818">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70AAF560">
            <w:pPr>
              <w:widowControl/>
              <w:jc w:val="left"/>
              <w:rPr>
                <w:rFonts w:ascii="宋体" w:hAnsi="宋体" w:cs="宋体"/>
                <w:color w:val="auto"/>
                <w:sz w:val="24"/>
              </w:rPr>
            </w:pPr>
          </w:p>
        </w:tc>
        <w:tc>
          <w:tcPr>
            <w:tcW w:w="1954" w:type="dxa"/>
            <w:tcBorders>
              <w:top w:val="single" w:color="000000" w:sz="4" w:space="0"/>
              <w:left w:val="single" w:color="000000" w:sz="4" w:space="0"/>
              <w:bottom w:val="single" w:color="000000" w:sz="4" w:space="0"/>
              <w:right w:val="single" w:color="000000" w:sz="4" w:space="0"/>
            </w:tcBorders>
            <w:vAlign w:val="center"/>
          </w:tcPr>
          <w:p w14:paraId="5D44B909">
            <w:pPr>
              <w:pStyle w:val="63"/>
              <w:spacing w:before="83"/>
              <w:ind w:left="7"/>
              <w:jc w:val="center"/>
              <w:rPr>
                <w:rFonts w:ascii="宋体" w:hAnsi="宋体" w:cs="宋体"/>
                <w:color w:val="auto"/>
                <w:w w:val="99"/>
                <w:kern w:val="2"/>
                <w:sz w:val="24"/>
                <w:szCs w:val="24"/>
                <w:lang w:eastAsia="zh-CN"/>
              </w:rPr>
            </w:pPr>
            <w:r>
              <w:rPr>
                <w:rFonts w:hint="eastAsia" w:ascii="宋体" w:hAnsi="宋体" w:cs="宋体"/>
                <w:color w:val="auto"/>
                <w:w w:val="99"/>
                <w:kern w:val="2"/>
                <w:sz w:val="24"/>
                <w:szCs w:val="24"/>
                <w:lang w:eastAsia="zh-CN"/>
              </w:rPr>
              <w:t>★A02052309专用制冷、空调设备</w:t>
            </w:r>
          </w:p>
        </w:tc>
        <w:tc>
          <w:tcPr>
            <w:tcW w:w="1488" w:type="dxa"/>
            <w:tcBorders>
              <w:top w:val="single" w:color="000000" w:sz="4" w:space="0"/>
              <w:left w:val="single" w:color="000000" w:sz="4" w:space="0"/>
              <w:bottom w:val="single" w:color="000000" w:sz="4" w:space="0"/>
              <w:right w:val="single" w:color="000000" w:sz="4" w:space="0"/>
            </w:tcBorders>
            <w:vAlign w:val="center"/>
          </w:tcPr>
          <w:p w14:paraId="597BEEC3">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机房空调</w:t>
            </w:r>
          </w:p>
        </w:tc>
        <w:tc>
          <w:tcPr>
            <w:tcW w:w="4287" w:type="dxa"/>
            <w:tcBorders>
              <w:top w:val="single" w:color="000000" w:sz="4" w:space="0"/>
              <w:left w:val="single" w:color="000000" w:sz="4" w:space="0"/>
              <w:bottom w:val="single" w:color="000000" w:sz="4" w:space="0"/>
              <w:right w:val="single" w:color="000000" w:sz="4" w:space="0"/>
            </w:tcBorders>
          </w:tcPr>
          <w:p w14:paraId="1445DC66">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《单元式空气调节机能效限定值</w:t>
            </w:r>
          </w:p>
          <w:p w14:paraId="443EE148">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及能效等级》（GB19576）</w:t>
            </w:r>
          </w:p>
        </w:tc>
      </w:tr>
      <w:tr w14:paraId="0FB0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6B9AE93">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3E6279A9">
            <w:pPr>
              <w:widowControl/>
              <w:jc w:val="left"/>
              <w:rPr>
                <w:rFonts w:ascii="宋体" w:hAnsi="宋体" w:cs="宋体"/>
                <w:color w:val="auto"/>
                <w:sz w:val="24"/>
              </w:rPr>
            </w:pPr>
          </w:p>
        </w:tc>
        <w:tc>
          <w:tcPr>
            <w:tcW w:w="1954" w:type="dxa"/>
            <w:tcBorders>
              <w:top w:val="single" w:color="000000" w:sz="4" w:space="0"/>
              <w:left w:val="single" w:color="000000" w:sz="4" w:space="0"/>
              <w:bottom w:val="single" w:color="000000" w:sz="4" w:space="0"/>
              <w:right w:val="single" w:color="000000" w:sz="4" w:space="0"/>
            </w:tcBorders>
            <w:vAlign w:val="center"/>
          </w:tcPr>
          <w:p w14:paraId="0727B116">
            <w:pPr>
              <w:pStyle w:val="63"/>
              <w:spacing w:line="254" w:lineRule="exact"/>
              <w:ind w:left="7"/>
              <w:jc w:val="center"/>
              <w:rPr>
                <w:rFonts w:ascii="宋体" w:hAnsi="宋体" w:cs="宋体"/>
                <w:color w:val="auto"/>
                <w:w w:val="99"/>
                <w:kern w:val="2"/>
                <w:sz w:val="24"/>
                <w:szCs w:val="24"/>
              </w:rPr>
            </w:pPr>
            <w:r>
              <w:rPr>
                <w:rFonts w:hint="eastAsia" w:ascii="宋体" w:hAnsi="宋体" w:cs="宋体"/>
                <w:color w:val="auto"/>
                <w:w w:val="99"/>
                <w:kern w:val="2"/>
                <w:sz w:val="24"/>
                <w:szCs w:val="24"/>
              </w:rPr>
              <w:t>A02052399其他制冷</w:t>
            </w:r>
          </w:p>
          <w:p w14:paraId="028A95F1">
            <w:pPr>
              <w:pStyle w:val="63"/>
              <w:spacing w:line="254" w:lineRule="exact"/>
              <w:ind w:left="7"/>
              <w:jc w:val="center"/>
              <w:rPr>
                <w:rFonts w:ascii="宋体" w:hAnsi="宋体" w:cs="宋体"/>
                <w:color w:val="auto"/>
                <w:kern w:val="2"/>
                <w:sz w:val="24"/>
                <w:szCs w:val="24"/>
              </w:rPr>
            </w:pPr>
            <w:r>
              <w:rPr>
                <w:rFonts w:hint="eastAsia" w:ascii="宋体" w:hAnsi="宋体" w:cs="宋体"/>
                <w:color w:val="auto"/>
                <w:w w:val="99"/>
                <w:kern w:val="2"/>
                <w:sz w:val="24"/>
                <w:szCs w:val="24"/>
              </w:rPr>
              <w:t>空调设备</w:t>
            </w:r>
          </w:p>
        </w:tc>
        <w:tc>
          <w:tcPr>
            <w:tcW w:w="1488" w:type="dxa"/>
            <w:tcBorders>
              <w:top w:val="single" w:color="000000" w:sz="4" w:space="0"/>
              <w:left w:val="single" w:color="000000" w:sz="4" w:space="0"/>
              <w:bottom w:val="single" w:color="000000" w:sz="4" w:space="0"/>
              <w:right w:val="single" w:color="000000" w:sz="4" w:space="0"/>
            </w:tcBorders>
            <w:vAlign w:val="center"/>
          </w:tcPr>
          <w:p w14:paraId="376037FD">
            <w:pPr>
              <w:widowControl/>
              <w:jc w:val="center"/>
              <w:rPr>
                <w:rFonts w:ascii="宋体" w:hAnsi="宋体" w:cs="宋体"/>
                <w:color w:val="auto"/>
                <w:sz w:val="24"/>
                <w:lang w:eastAsia="en-US"/>
              </w:rPr>
            </w:pPr>
            <w:r>
              <w:rPr>
                <w:rFonts w:hint="eastAsia" w:ascii="宋体" w:hAnsi="宋体" w:cs="宋体"/>
                <w:color w:val="auto"/>
                <w:w w:val="99"/>
                <w:sz w:val="24"/>
              </w:rPr>
              <w:t>冷却塔</w:t>
            </w:r>
          </w:p>
        </w:tc>
        <w:tc>
          <w:tcPr>
            <w:tcW w:w="4287" w:type="dxa"/>
            <w:tcBorders>
              <w:top w:val="single" w:color="000000" w:sz="4" w:space="0"/>
              <w:left w:val="single" w:color="000000" w:sz="4" w:space="0"/>
              <w:bottom w:val="single" w:color="000000" w:sz="4" w:space="0"/>
              <w:right w:val="single" w:color="000000" w:sz="4" w:space="0"/>
            </w:tcBorders>
          </w:tcPr>
          <w:p w14:paraId="7592337A">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《机械通风冷却塔第1部分：中小型开式冷却塔》（GB/T7190.1）</w:t>
            </w:r>
          </w:p>
          <w:p w14:paraId="3E0A8207">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《机械通风冷却塔第2部分：大型开式冷却塔》（GB/T7190.2）</w:t>
            </w:r>
          </w:p>
        </w:tc>
      </w:tr>
      <w:tr w14:paraId="0B43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1F5616D">
            <w:pPr>
              <w:pStyle w:val="63"/>
              <w:ind w:right="1"/>
              <w:jc w:val="center"/>
              <w:rPr>
                <w:rFonts w:ascii="宋体" w:hAnsi="宋体" w:cs="宋体"/>
                <w:color w:val="auto"/>
                <w:kern w:val="2"/>
                <w:sz w:val="24"/>
                <w:szCs w:val="24"/>
              </w:rPr>
            </w:pPr>
            <w:r>
              <w:rPr>
                <w:rFonts w:hint="eastAsia" w:ascii="宋体" w:hAnsi="宋体"/>
                <w:color w:val="auto"/>
                <w:w w:val="99"/>
                <w:kern w:val="2"/>
                <w:sz w:val="24"/>
                <w:szCs w:val="24"/>
              </w:rPr>
              <w:t>7</w:t>
            </w:r>
          </w:p>
        </w:tc>
        <w:tc>
          <w:tcPr>
            <w:tcW w:w="1543" w:type="dxa"/>
            <w:tcBorders>
              <w:top w:val="single" w:color="000000" w:sz="4" w:space="0"/>
              <w:left w:val="single" w:color="000000" w:sz="4" w:space="0"/>
              <w:bottom w:val="single" w:color="000000" w:sz="4" w:space="0"/>
              <w:right w:val="single" w:color="000000" w:sz="4" w:space="0"/>
            </w:tcBorders>
            <w:vAlign w:val="center"/>
          </w:tcPr>
          <w:p w14:paraId="05AAD4F2">
            <w:pPr>
              <w:pStyle w:val="63"/>
              <w:jc w:val="center"/>
              <w:rPr>
                <w:rFonts w:ascii="宋体" w:hAnsi="宋体" w:cs="宋体"/>
                <w:color w:val="auto"/>
                <w:kern w:val="2"/>
                <w:sz w:val="24"/>
                <w:szCs w:val="24"/>
              </w:rPr>
            </w:pPr>
            <w:r>
              <w:rPr>
                <w:rFonts w:hint="eastAsia" w:ascii="宋体" w:hAnsi="宋体" w:cs="仿宋_GB2312"/>
                <w:color w:val="auto"/>
                <w:kern w:val="2"/>
                <w:sz w:val="24"/>
                <w:szCs w:val="24"/>
              </w:rPr>
              <w:t>A02060100</w:t>
            </w:r>
            <w:r>
              <w:rPr>
                <w:rFonts w:hint="eastAsia" w:ascii="宋体" w:hAnsi="宋体" w:cs="宋体"/>
                <w:color w:val="auto"/>
                <w:w w:val="99"/>
                <w:kern w:val="2"/>
                <w:sz w:val="24"/>
                <w:szCs w:val="24"/>
              </w:rPr>
              <w:t>电机</w:t>
            </w:r>
          </w:p>
        </w:tc>
        <w:tc>
          <w:tcPr>
            <w:tcW w:w="1954" w:type="dxa"/>
            <w:tcBorders>
              <w:top w:val="single" w:color="000000" w:sz="4" w:space="0"/>
              <w:left w:val="single" w:color="000000" w:sz="4" w:space="0"/>
              <w:bottom w:val="single" w:color="000000" w:sz="4" w:space="0"/>
              <w:right w:val="single" w:color="000000" w:sz="4" w:space="0"/>
            </w:tcBorders>
            <w:vAlign w:val="center"/>
          </w:tcPr>
          <w:p w14:paraId="79182023">
            <w:pPr>
              <w:jc w:val="center"/>
              <w:rPr>
                <w:rFonts w:ascii="宋体" w:hAnsi="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7675D24A">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54F8B9A7">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《中小型三相异步电动机能效限定值及能效等级》（GB18613）</w:t>
            </w:r>
          </w:p>
        </w:tc>
      </w:tr>
      <w:tr w14:paraId="1C71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1DF29D2">
            <w:pPr>
              <w:pStyle w:val="63"/>
              <w:ind w:right="1"/>
              <w:jc w:val="center"/>
              <w:rPr>
                <w:rFonts w:ascii="宋体" w:hAnsi="宋体" w:cs="宋体"/>
                <w:color w:val="auto"/>
                <w:kern w:val="2"/>
                <w:sz w:val="24"/>
                <w:szCs w:val="24"/>
              </w:rPr>
            </w:pPr>
            <w:r>
              <w:rPr>
                <w:rFonts w:hint="eastAsia" w:ascii="宋体" w:hAnsi="宋体"/>
                <w:color w:val="auto"/>
                <w:w w:val="99"/>
                <w:kern w:val="2"/>
                <w:sz w:val="24"/>
                <w:szCs w:val="24"/>
              </w:rPr>
              <w:t>8</w:t>
            </w:r>
          </w:p>
        </w:tc>
        <w:tc>
          <w:tcPr>
            <w:tcW w:w="1543" w:type="dxa"/>
            <w:tcBorders>
              <w:top w:val="single" w:color="000000" w:sz="4" w:space="0"/>
              <w:left w:val="single" w:color="000000" w:sz="4" w:space="0"/>
              <w:bottom w:val="single" w:color="000000" w:sz="4" w:space="0"/>
              <w:right w:val="single" w:color="000000" w:sz="4" w:space="0"/>
            </w:tcBorders>
            <w:vAlign w:val="center"/>
          </w:tcPr>
          <w:p w14:paraId="0E492FB0">
            <w:pPr>
              <w:pStyle w:val="63"/>
              <w:spacing w:before="30"/>
              <w:ind w:left="7"/>
              <w:jc w:val="center"/>
              <w:rPr>
                <w:rFonts w:ascii="宋体" w:hAnsi="宋体" w:cs="宋体"/>
                <w:color w:val="auto"/>
                <w:kern w:val="2"/>
                <w:sz w:val="24"/>
                <w:szCs w:val="24"/>
              </w:rPr>
            </w:pPr>
            <w:r>
              <w:rPr>
                <w:rFonts w:hint="eastAsia" w:ascii="宋体" w:hAnsi="宋体" w:cs="仿宋_GB2312"/>
                <w:color w:val="auto"/>
                <w:kern w:val="2"/>
                <w:sz w:val="24"/>
                <w:szCs w:val="24"/>
              </w:rPr>
              <w:t>A02060200</w:t>
            </w:r>
            <w:r>
              <w:rPr>
                <w:rFonts w:hint="eastAsia" w:ascii="宋体" w:hAnsi="宋体" w:cs="宋体"/>
                <w:color w:val="auto"/>
                <w:w w:val="99"/>
                <w:kern w:val="2"/>
                <w:sz w:val="24"/>
                <w:szCs w:val="24"/>
              </w:rPr>
              <w:t>变压</w:t>
            </w:r>
          </w:p>
        </w:tc>
        <w:tc>
          <w:tcPr>
            <w:tcW w:w="1954" w:type="dxa"/>
            <w:tcBorders>
              <w:top w:val="single" w:color="000000" w:sz="4" w:space="0"/>
              <w:left w:val="single" w:color="000000" w:sz="4" w:space="0"/>
              <w:bottom w:val="single" w:color="000000" w:sz="4" w:space="0"/>
              <w:right w:val="single" w:color="000000" w:sz="4" w:space="0"/>
            </w:tcBorders>
            <w:vAlign w:val="center"/>
          </w:tcPr>
          <w:p w14:paraId="23766A4A">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配电变压器</w:t>
            </w:r>
          </w:p>
        </w:tc>
        <w:tc>
          <w:tcPr>
            <w:tcW w:w="1488" w:type="dxa"/>
            <w:tcBorders>
              <w:top w:val="single" w:color="000000" w:sz="4" w:space="0"/>
              <w:left w:val="single" w:color="000000" w:sz="4" w:space="0"/>
              <w:bottom w:val="single" w:color="000000" w:sz="4" w:space="0"/>
              <w:right w:val="single" w:color="000000" w:sz="4" w:space="0"/>
            </w:tcBorders>
            <w:vAlign w:val="center"/>
          </w:tcPr>
          <w:p w14:paraId="43ADD52C">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5AFB70A6">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《三相配电变压器能效限定值及能效等级》（GB 20052）</w:t>
            </w:r>
          </w:p>
        </w:tc>
      </w:tr>
      <w:tr w14:paraId="0305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E1EB618">
            <w:pPr>
              <w:pStyle w:val="63"/>
              <w:ind w:right="1"/>
              <w:jc w:val="center"/>
              <w:rPr>
                <w:rFonts w:ascii="宋体" w:hAnsi="宋体" w:cs="宋体"/>
                <w:color w:val="auto"/>
                <w:kern w:val="2"/>
                <w:sz w:val="24"/>
                <w:szCs w:val="24"/>
              </w:rPr>
            </w:pPr>
            <w:r>
              <w:rPr>
                <w:rFonts w:hint="eastAsia" w:ascii="宋体" w:hAnsi="宋体"/>
                <w:color w:val="auto"/>
                <w:w w:val="99"/>
                <w:kern w:val="2"/>
                <w:sz w:val="24"/>
                <w:szCs w:val="24"/>
              </w:rPr>
              <w:t>9</w:t>
            </w:r>
          </w:p>
        </w:tc>
        <w:tc>
          <w:tcPr>
            <w:tcW w:w="1543" w:type="dxa"/>
            <w:tcBorders>
              <w:top w:val="single" w:color="000000" w:sz="4" w:space="0"/>
              <w:left w:val="single" w:color="000000" w:sz="4" w:space="0"/>
              <w:bottom w:val="single" w:color="000000" w:sz="4" w:space="0"/>
              <w:right w:val="single" w:color="000000" w:sz="4" w:space="0"/>
            </w:tcBorders>
            <w:vAlign w:val="center"/>
          </w:tcPr>
          <w:p w14:paraId="103B2442">
            <w:pPr>
              <w:pStyle w:val="63"/>
              <w:spacing w:before="126"/>
              <w:ind w:left="7"/>
              <w:jc w:val="center"/>
              <w:rPr>
                <w:rFonts w:ascii="宋体" w:hAnsi="宋体" w:cs="宋体"/>
                <w:color w:val="auto"/>
                <w:kern w:val="2"/>
                <w:sz w:val="24"/>
                <w:szCs w:val="24"/>
              </w:rPr>
            </w:pPr>
            <w:r>
              <w:rPr>
                <w:rFonts w:hint="eastAsia" w:ascii="宋体" w:hAnsi="宋体" w:cs="宋体"/>
                <w:color w:val="auto"/>
                <w:w w:val="99"/>
                <w:kern w:val="2"/>
                <w:sz w:val="24"/>
                <w:szCs w:val="24"/>
              </w:rPr>
              <w:t>★A02060900镇流器</w:t>
            </w:r>
          </w:p>
        </w:tc>
        <w:tc>
          <w:tcPr>
            <w:tcW w:w="1954" w:type="dxa"/>
            <w:tcBorders>
              <w:top w:val="single" w:color="000000" w:sz="4" w:space="0"/>
              <w:left w:val="single" w:color="000000" w:sz="4" w:space="0"/>
              <w:bottom w:val="single" w:color="000000" w:sz="4" w:space="0"/>
              <w:right w:val="single" w:color="000000" w:sz="4" w:space="0"/>
            </w:tcBorders>
            <w:vAlign w:val="center"/>
          </w:tcPr>
          <w:p w14:paraId="48FAD30F">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管型荧光灯镇流器</w:t>
            </w:r>
          </w:p>
        </w:tc>
        <w:tc>
          <w:tcPr>
            <w:tcW w:w="1488" w:type="dxa"/>
            <w:tcBorders>
              <w:top w:val="single" w:color="000000" w:sz="4" w:space="0"/>
              <w:left w:val="single" w:color="000000" w:sz="4" w:space="0"/>
              <w:bottom w:val="single" w:color="000000" w:sz="4" w:space="0"/>
              <w:right w:val="single" w:color="000000" w:sz="4" w:space="0"/>
            </w:tcBorders>
            <w:vAlign w:val="center"/>
          </w:tcPr>
          <w:p w14:paraId="1A7E38D5">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1C38B048">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《管形荧光灯镇流器能效限定值及能效等级》（GB17896）</w:t>
            </w:r>
          </w:p>
        </w:tc>
      </w:tr>
      <w:tr w14:paraId="1058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41C3EAB">
            <w:pPr>
              <w:pStyle w:val="63"/>
              <w:jc w:val="center"/>
              <w:rPr>
                <w:rFonts w:ascii="宋体" w:hAnsi="宋体" w:cs="宋体"/>
                <w:color w:val="auto"/>
                <w:kern w:val="2"/>
                <w:sz w:val="24"/>
                <w:szCs w:val="24"/>
              </w:rPr>
            </w:pPr>
            <w:r>
              <w:rPr>
                <w:rFonts w:hint="eastAsia" w:ascii="宋体" w:hAnsi="宋体"/>
                <w:color w:val="auto"/>
                <w:w w:val="99"/>
                <w:kern w:val="2"/>
                <w:sz w:val="24"/>
                <w:szCs w:val="24"/>
              </w:rPr>
              <w:t>10</w:t>
            </w:r>
          </w:p>
        </w:tc>
        <w:tc>
          <w:tcPr>
            <w:tcW w:w="1543" w:type="dxa"/>
            <w:vMerge w:val="restart"/>
            <w:tcBorders>
              <w:top w:val="single" w:color="000000" w:sz="4" w:space="0"/>
              <w:left w:val="single" w:color="000000" w:sz="4" w:space="0"/>
              <w:bottom w:val="single" w:color="000000" w:sz="4" w:space="0"/>
              <w:right w:val="single" w:color="000000" w:sz="4" w:space="0"/>
            </w:tcBorders>
            <w:vAlign w:val="center"/>
          </w:tcPr>
          <w:p w14:paraId="7ABD4041">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A02061800生活用电器</w:t>
            </w:r>
          </w:p>
        </w:tc>
        <w:tc>
          <w:tcPr>
            <w:tcW w:w="1954" w:type="dxa"/>
            <w:tcBorders>
              <w:top w:val="single" w:color="000000" w:sz="4" w:space="0"/>
              <w:left w:val="single" w:color="000000" w:sz="4" w:space="0"/>
              <w:bottom w:val="single" w:color="000000" w:sz="4" w:space="0"/>
              <w:right w:val="single" w:color="000000" w:sz="4" w:space="0"/>
            </w:tcBorders>
            <w:vAlign w:val="center"/>
          </w:tcPr>
          <w:p w14:paraId="2F4FA65B">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A02061801电冰箱</w:t>
            </w:r>
          </w:p>
        </w:tc>
        <w:tc>
          <w:tcPr>
            <w:tcW w:w="1488" w:type="dxa"/>
            <w:tcBorders>
              <w:top w:val="single" w:color="000000" w:sz="4" w:space="0"/>
              <w:left w:val="single" w:color="000000" w:sz="4" w:space="0"/>
              <w:bottom w:val="single" w:color="000000" w:sz="4" w:space="0"/>
              <w:right w:val="single" w:color="000000" w:sz="4" w:space="0"/>
            </w:tcBorders>
            <w:vAlign w:val="center"/>
          </w:tcPr>
          <w:p w14:paraId="7D3980C6">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5874E58F">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《家用电冰箱耗电量限定值及能效等级》（GB12021.2）</w:t>
            </w:r>
          </w:p>
        </w:tc>
      </w:tr>
      <w:tr w14:paraId="2BB2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DC16C36">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3ABD4923">
            <w:pPr>
              <w:widowControl/>
              <w:jc w:val="left"/>
              <w:rPr>
                <w:rFonts w:ascii="宋体" w:hAnsi="宋体" w:cs="宋体"/>
                <w:color w:val="auto"/>
                <w:sz w:val="24"/>
              </w:rPr>
            </w:pPr>
          </w:p>
        </w:tc>
        <w:tc>
          <w:tcPr>
            <w:tcW w:w="1954" w:type="dxa"/>
            <w:vMerge w:val="restart"/>
            <w:tcBorders>
              <w:top w:val="single" w:color="000000" w:sz="4" w:space="0"/>
              <w:left w:val="single" w:color="000000" w:sz="4" w:space="0"/>
              <w:bottom w:val="single" w:color="000000" w:sz="4" w:space="0"/>
              <w:right w:val="single" w:color="000000" w:sz="4" w:space="0"/>
            </w:tcBorders>
            <w:vAlign w:val="center"/>
          </w:tcPr>
          <w:p w14:paraId="61362F1D">
            <w:pPr>
              <w:pStyle w:val="63"/>
              <w:spacing w:before="171"/>
              <w:jc w:val="center"/>
              <w:rPr>
                <w:rFonts w:ascii="宋体" w:hAnsi="宋体" w:cs="宋体"/>
                <w:color w:val="auto"/>
                <w:kern w:val="2"/>
                <w:sz w:val="24"/>
                <w:szCs w:val="24"/>
              </w:rPr>
            </w:pPr>
            <w:r>
              <w:rPr>
                <w:rFonts w:hint="eastAsia" w:ascii="宋体" w:hAnsi="宋体" w:cs="宋体"/>
                <w:color w:val="auto"/>
                <w:w w:val="99"/>
                <w:kern w:val="2"/>
                <w:sz w:val="24"/>
                <w:szCs w:val="24"/>
              </w:rPr>
              <w:t>★</w:t>
            </w:r>
            <w:r>
              <w:rPr>
                <w:rFonts w:hint="eastAsia" w:ascii="宋体" w:hAnsi="宋体" w:cs="仿宋_GB2312"/>
                <w:color w:val="auto"/>
                <w:kern w:val="2"/>
                <w:sz w:val="24"/>
                <w:szCs w:val="24"/>
              </w:rPr>
              <w:t>A02061804</w:t>
            </w:r>
            <w:r>
              <w:rPr>
                <w:rFonts w:hint="eastAsia" w:ascii="宋体" w:hAnsi="宋体" w:cs="宋体"/>
                <w:color w:val="auto"/>
                <w:w w:val="99"/>
                <w:kern w:val="2"/>
                <w:sz w:val="24"/>
                <w:szCs w:val="24"/>
              </w:rPr>
              <w:t>空调机</w:t>
            </w:r>
          </w:p>
        </w:tc>
        <w:tc>
          <w:tcPr>
            <w:tcW w:w="1488" w:type="dxa"/>
            <w:tcBorders>
              <w:top w:val="single" w:color="000000" w:sz="4" w:space="0"/>
              <w:left w:val="single" w:color="000000" w:sz="4" w:space="0"/>
              <w:bottom w:val="single" w:color="000000" w:sz="4" w:space="0"/>
              <w:right w:val="single" w:color="000000" w:sz="4" w:space="0"/>
            </w:tcBorders>
            <w:vAlign w:val="center"/>
          </w:tcPr>
          <w:p w14:paraId="6EF3DC30">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房间空气调节器</w:t>
            </w:r>
          </w:p>
        </w:tc>
        <w:tc>
          <w:tcPr>
            <w:tcW w:w="4287" w:type="dxa"/>
            <w:tcBorders>
              <w:top w:val="single" w:color="000000" w:sz="4" w:space="0"/>
              <w:left w:val="single" w:color="000000" w:sz="4" w:space="0"/>
              <w:bottom w:val="single" w:color="000000" w:sz="4" w:space="0"/>
              <w:right w:val="single" w:color="000000" w:sz="4" w:space="0"/>
            </w:tcBorders>
          </w:tcPr>
          <w:p w14:paraId="15317B28">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《房间空气调节器能效限定值及能效等级》（GB21455-2019）</w:t>
            </w:r>
          </w:p>
        </w:tc>
      </w:tr>
      <w:tr w14:paraId="76E2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C809B99">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1745F907">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2AF13FA0">
            <w:pPr>
              <w:widowControl/>
              <w:jc w:val="left"/>
              <w:rPr>
                <w:rFonts w:ascii="宋体" w:hAnsi="宋体" w:cs="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1A8AE6F3">
            <w:pPr>
              <w:pStyle w:val="63"/>
              <w:spacing w:before="4" w:line="276" w:lineRule="auto"/>
              <w:ind w:left="7" w:right="7"/>
              <w:jc w:val="center"/>
              <w:rPr>
                <w:rFonts w:ascii="宋体" w:hAnsi="宋体" w:cs="宋体"/>
                <w:color w:val="auto"/>
                <w:kern w:val="2"/>
                <w:sz w:val="24"/>
                <w:szCs w:val="24"/>
                <w:lang w:eastAsia="zh-CN"/>
              </w:rPr>
            </w:pPr>
            <w:r>
              <w:rPr>
                <w:rFonts w:hint="eastAsia" w:ascii="宋体" w:hAnsi="宋体" w:cs="宋体"/>
                <w:color w:val="auto"/>
                <w:w w:val="99"/>
                <w:kern w:val="2"/>
                <w:sz w:val="24"/>
                <w:szCs w:val="24"/>
                <w:lang w:eastAsia="zh-CN"/>
              </w:rPr>
              <w:t>多联式空调（热泵）机组（制冷量≤ 14000W）</w:t>
            </w:r>
          </w:p>
        </w:tc>
        <w:tc>
          <w:tcPr>
            <w:tcW w:w="4287" w:type="dxa"/>
            <w:tcBorders>
              <w:top w:val="single" w:color="000000" w:sz="4" w:space="0"/>
              <w:left w:val="single" w:color="000000" w:sz="4" w:space="0"/>
              <w:bottom w:val="single" w:color="000000" w:sz="4" w:space="0"/>
              <w:right w:val="single" w:color="000000" w:sz="4" w:space="0"/>
            </w:tcBorders>
          </w:tcPr>
          <w:p w14:paraId="1B40F17D">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《多联式空调（热泵）机组能效限定值及能源效率等级》（GB21454）</w:t>
            </w:r>
          </w:p>
        </w:tc>
      </w:tr>
      <w:tr w14:paraId="0DA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BDD2825">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0F3C3F01">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5C123BA6">
            <w:pPr>
              <w:widowControl/>
              <w:jc w:val="left"/>
              <w:rPr>
                <w:rFonts w:ascii="宋体" w:hAnsi="宋体" w:cs="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75D37559">
            <w:pPr>
              <w:pStyle w:val="63"/>
              <w:jc w:val="center"/>
              <w:rPr>
                <w:rFonts w:ascii="宋体" w:hAnsi="宋体" w:cs="宋体"/>
                <w:color w:val="auto"/>
                <w:kern w:val="2"/>
                <w:sz w:val="24"/>
                <w:szCs w:val="24"/>
                <w:lang w:eastAsia="zh-CN"/>
              </w:rPr>
            </w:pPr>
            <w:r>
              <w:rPr>
                <w:rFonts w:hint="eastAsia" w:ascii="宋体" w:hAnsi="宋体" w:cs="宋体"/>
                <w:color w:val="auto"/>
                <w:w w:val="99"/>
                <w:kern w:val="2"/>
                <w:sz w:val="24"/>
                <w:szCs w:val="24"/>
                <w:lang w:eastAsia="zh-CN"/>
              </w:rPr>
              <w:t>单元式空气调节机（制冷量≤ 14000W）</w:t>
            </w:r>
          </w:p>
        </w:tc>
        <w:tc>
          <w:tcPr>
            <w:tcW w:w="4287" w:type="dxa"/>
            <w:tcBorders>
              <w:top w:val="single" w:color="000000" w:sz="4" w:space="0"/>
              <w:left w:val="single" w:color="000000" w:sz="4" w:space="0"/>
              <w:bottom w:val="single" w:color="000000" w:sz="4" w:space="0"/>
              <w:right w:val="single" w:color="000000" w:sz="4" w:space="0"/>
            </w:tcBorders>
          </w:tcPr>
          <w:p w14:paraId="633CE1AC">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《单元式空气调节机能效限定值及能源效率等级》（GB19576）《风管送风式空调机组能效限定值及能效等级》（GB37479）</w:t>
            </w:r>
          </w:p>
        </w:tc>
      </w:tr>
      <w:tr w14:paraId="7741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FE7CE2F">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7C38F8CF">
            <w:pPr>
              <w:widowControl/>
              <w:jc w:val="left"/>
              <w:rPr>
                <w:rFonts w:ascii="宋体" w:hAnsi="宋体" w:cs="宋体"/>
                <w:color w:val="auto"/>
                <w:sz w:val="24"/>
              </w:rPr>
            </w:pPr>
          </w:p>
        </w:tc>
        <w:tc>
          <w:tcPr>
            <w:tcW w:w="1954" w:type="dxa"/>
            <w:tcBorders>
              <w:top w:val="single" w:color="000000" w:sz="4" w:space="0"/>
              <w:left w:val="single" w:color="000000" w:sz="4" w:space="0"/>
              <w:bottom w:val="single" w:color="000000" w:sz="4" w:space="0"/>
              <w:right w:val="single" w:color="000000" w:sz="4" w:space="0"/>
            </w:tcBorders>
            <w:vAlign w:val="center"/>
          </w:tcPr>
          <w:p w14:paraId="0BEBC349">
            <w:pPr>
              <w:pStyle w:val="63"/>
              <w:spacing w:before="162"/>
              <w:ind w:left="7"/>
              <w:jc w:val="center"/>
              <w:rPr>
                <w:rFonts w:ascii="宋体" w:hAnsi="宋体" w:cs="宋体"/>
                <w:color w:val="auto"/>
                <w:kern w:val="2"/>
                <w:sz w:val="24"/>
                <w:szCs w:val="24"/>
              </w:rPr>
            </w:pPr>
            <w:r>
              <w:rPr>
                <w:rFonts w:hint="eastAsia" w:ascii="宋体" w:hAnsi="宋体" w:cs="仿宋_GB2312"/>
                <w:color w:val="auto"/>
                <w:kern w:val="2"/>
                <w:sz w:val="24"/>
                <w:szCs w:val="24"/>
              </w:rPr>
              <w:t>A02061810</w:t>
            </w:r>
            <w:r>
              <w:rPr>
                <w:rFonts w:hint="eastAsia" w:ascii="宋体" w:hAnsi="宋体" w:cs="宋体"/>
                <w:color w:val="auto"/>
                <w:w w:val="99"/>
                <w:kern w:val="2"/>
                <w:sz w:val="24"/>
                <w:szCs w:val="24"/>
              </w:rPr>
              <w:t>洗衣机</w:t>
            </w:r>
          </w:p>
        </w:tc>
        <w:tc>
          <w:tcPr>
            <w:tcW w:w="1488" w:type="dxa"/>
            <w:tcBorders>
              <w:top w:val="single" w:color="000000" w:sz="4" w:space="0"/>
              <w:left w:val="single" w:color="000000" w:sz="4" w:space="0"/>
              <w:bottom w:val="single" w:color="000000" w:sz="4" w:space="0"/>
              <w:right w:val="single" w:color="000000" w:sz="4" w:space="0"/>
            </w:tcBorders>
            <w:vAlign w:val="center"/>
          </w:tcPr>
          <w:p w14:paraId="3146C575">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7C6FAF66">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《电动洗衣机能效水效限定值及等级》（GB12021.4）</w:t>
            </w:r>
          </w:p>
        </w:tc>
      </w:tr>
      <w:tr w14:paraId="50ED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B741D66">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3D9B6468">
            <w:pPr>
              <w:widowControl/>
              <w:jc w:val="left"/>
              <w:rPr>
                <w:rFonts w:ascii="宋体" w:hAnsi="宋体" w:cs="宋体"/>
                <w:color w:val="auto"/>
                <w:sz w:val="24"/>
              </w:rPr>
            </w:pPr>
          </w:p>
        </w:tc>
        <w:tc>
          <w:tcPr>
            <w:tcW w:w="1954" w:type="dxa"/>
            <w:vMerge w:val="restart"/>
            <w:tcBorders>
              <w:top w:val="single" w:color="000000" w:sz="4" w:space="0"/>
              <w:left w:val="single" w:color="000000" w:sz="4" w:space="0"/>
              <w:bottom w:val="single" w:color="000000" w:sz="4" w:space="0"/>
              <w:right w:val="single" w:color="000000" w:sz="4" w:space="0"/>
            </w:tcBorders>
            <w:vAlign w:val="center"/>
          </w:tcPr>
          <w:p w14:paraId="1F310D0F">
            <w:pPr>
              <w:pStyle w:val="63"/>
              <w:spacing w:before="161"/>
              <w:jc w:val="center"/>
              <w:rPr>
                <w:rFonts w:ascii="宋体" w:hAnsi="宋体" w:cs="宋体"/>
                <w:color w:val="auto"/>
                <w:kern w:val="2"/>
                <w:sz w:val="24"/>
                <w:szCs w:val="24"/>
              </w:rPr>
            </w:pPr>
            <w:r>
              <w:rPr>
                <w:rFonts w:hint="eastAsia" w:ascii="宋体" w:hAnsi="宋体" w:cs="仿宋_GB2312"/>
                <w:color w:val="auto"/>
                <w:kern w:val="2"/>
                <w:sz w:val="24"/>
                <w:szCs w:val="24"/>
              </w:rPr>
              <w:t>A02061819</w:t>
            </w:r>
            <w:r>
              <w:rPr>
                <w:rFonts w:hint="eastAsia" w:ascii="宋体" w:hAnsi="宋体" w:cs="宋体"/>
                <w:color w:val="auto"/>
                <w:w w:val="99"/>
                <w:kern w:val="2"/>
                <w:sz w:val="24"/>
                <w:szCs w:val="24"/>
              </w:rPr>
              <w:t>热水器</w:t>
            </w:r>
          </w:p>
        </w:tc>
        <w:tc>
          <w:tcPr>
            <w:tcW w:w="1488" w:type="dxa"/>
            <w:tcBorders>
              <w:top w:val="single" w:color="000000" w:sz="4" w:space="0"/>
              <w:left w:val="single" w:color="000000" w:sz="4" w:space="0"/>
              <w:bottom w:val="single" w:color="000000" w:sz="4" w:space="0"/>
              <w:right w:val="single" w:color="000000" w:sz="4" w:space="0"/>
            </w:tcBorders>
            <w:vAlign w:val="center"/>
          </w:tcPr>
          <w:p w14:paraId="251FDC20">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★电热</w:t>
            </w:r>
            <w:r>
              <w:rPr>
                <w:rFonts w:hint="eastAsia" w:ascii="宋体" w:hAnsi="宋体" w:cs="宋体"/>
                <w:color w:val="auto"/>
                <w:spacing w:val="2"/>
                <w:w w:val="99"/>
                <w:kern w:val="2"/>
                <w:sz w:val="24"/>
                <w:szCs w:val="24"/>
              </w:rPr>
              <w:t>水</w:t>
            </w:r>
            <w:r>
              <w:rPr>
                <w:rFonts w:hint="eastAsia" w:ascii="宋体" w:hAnsi="宋体" w:cs="宋体"/>
                <w:color w:val="auto"/>
                <w:w w:val="99"/>
                <w:kern w:val="2"/>
                <w:sz w:val="24"/>
                <w:szCs w:val="24"/>
              </w:rPr>
              <w:t>器</w:t>
            </w:r>
          </w:p>
        </w:tc>
        <w:tc>
          <w:tcPr>
            <w:tcW w:w="4287" w:type="dxa"/>
            <w:tcBorders>
              <w:top w:val="single" w:color="000000" w:sz="4" w:space="0"/>
              <w:left w:val="single" w:color="000000" w:sz="4" w:space="0"/>
              <w:bottom w:val="single" w:color="000000" w:sz="4" w:space="0"/>
              <w:right w:val="single" w:color="000000" w:sz="4" w:space="0"/>
            </w:tcBorders>
          </w:tcPr>
          <w:p w14:paraId="1A4E5B47">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《储水式电热水器能效限定值及能效等级》（GB21519）</w:t>
            </w:r>
          </w:p>
        </w:tc>
      </w:tr>
      <w:tr w14:paraId="19E5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78FE324">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52BF47DC">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01A143D6">
            <w:pPr>
              <w:widowControl/>
              <w:jc w:val="left"/>
              <w:rPr>
                <w:rFonts w:ascii="宋体" w:hAnsi="宋体" w:cs="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713D01BD">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燃气热</w:t>
            </w:r>
            <w:r>
              <w:rPr>
                <w:rFonts w:hint="eastAsia" w:ascii="宋体" w:hAnsi="宋体" w:cs="宋体"/>
                <w:color w:val="auto"/>
                <w:spacing w:val="2"/>
                <w:w w:val="99"/>
                <w:kern w:val="2"/>
                <w:sz w:val="24"/>
                <w:szCs w:val="24"/>
              </w:rPr>
              <w:t>水</w:t>
            </w:r>
            <w:r>
              <w:rPr>
                <w:rFonts w:hint="eastAsia" w:ascii="宋体" w:hAnsi="宋体" w:cs="宋体"/>
                <w:color w:val="auto"/>
                <w:w w:val="99"/>
                <w:kern w:val="2"/>
                <w:sz w:val="24"/>
                <w:szCs w:val="24"/>
              </w:rPr>
              <w:t>器</w:t>
            </w:r>
          </w:p>
        </w:tc>
        <w:tc>
          <w:tcPr>
            <w:tcW w:w="4287" w:type="dxa"/>
            <w:tcBorders>
              <w:top w:val="single" w:color="000000" w:sz="4" w:space="0"/>
              <w:left w:val="single" w:color="000000" w:sz="4" w:space="0"/>
              <w:bottom w:val="single" w:color="000000" w:sz="4" w:space="0"/>
              <w:right w:val="single" w:color="000000" w:sz="4" w:space="0"/>
            </w:tcBorders>
          </w:tcPr>
          <w:p w14:paraId="33E4A14F">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《家用燃气快速热水器和燃气采暖热水炉能效限定值及能效等级》（GB20665）</w:t>
            </w:r>
          </w:p>
        </w:tc>
      </w:tr>
      <w:tr w14:paraId="3E09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A77F561">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5F62F209">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62539E8E">
            <w:pPr>
              <w:widowControl/>
              <w:jc w:val="left"/>
              <w:rPr>
                <w:rFonts w:ascii="宋体" w:hAnsi="宋体" w:cs="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6B21C047">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热泵热</w:t>
            </w:r>
            <w:r>
              <w:rPr>
                <w:rFonts w:hint="eastAsia" w:ascii="宋体" w:hAnsi="宋体" w:cs="宋体"/>
                <w:color w:val="auto"/>
                <w:spacing w:val="2"/>
                <w:w w:val="99"/>
                <w:kern w:val="2"/>
                <w:sz w:val="24"/>
                <w:szCs w:val="24"/>
              </w:rPr>
              <w:t>水</w:t>
            </w:r>
            <w:r>
              <w:rPr>
                <w:rFonts w:hint="eastAsia" w:ascii="宋体" w:hAnsi="宋体" w:cs="宋体"/>
                <w:color w:val="auto"/>
                <w:w w:val="99"/>
                <w:kern w:val="2"/>
                <w:sz w:val="24"/>
                <w:szCs w:val="24"/>
              </w:rPr>
              <w:t>器</w:t>
            </w:r>
          </w:p>
        </w:tc>
        <w:tc>
          <w:tcPr>
            <w:tcW w:w="4287" w:type="dxa"/>
            <w:tcBorders>
              <w:top w:val="single" w:color="000000" w:sz="4" w:space="0"/>
              <w:left w:val="single" w:color="000000" w:sz="4" w:space="0"/>
              <w:bottom w:val="single" w:color="000000" w:sz="4" w:space="0"/>
              <w:right w:val="single" w:color="000000" w:sz="4" w:space="0"/>
            </w:tcBorders>
          </w:tcPr>
          <w:p w14:paraId="534DB7E1">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《热泵热水机（器）能效限定值及能效等级》（GB29541）</w:t>
            </w:r>
          </w:p>
        </w:tc>
      </w:tr>
      <w:tr w14:paraId="47A8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5CBBB6C">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19F5B5AA">
            <w:pPr>
              <w:widowControl/>
              <w:jc w:val="left"/>
              <w:rPr>
                <w:rFonts w:ascii="宋体" w:hAnsi="宋体" w:cs="宋体"/>
                <w:color w:val="auto"/>
                <w:sz w:val="24"/>
              </w:rPr>
            </w:pPr>
          </w:p>
        </w:tc>
        <w:tc>
          <w:tcPr>
            <w:tcW w:w="1954" w:type="dxa"/>
            <w:vMerge w:val="continue"/>
            <w:tcBorders>
              <w:top w:val="single" w:color="000000" w:sz="4" w:space="0"/>
              <w:left w:val="single" w:color="000000" w:sz="4" w:space="0"/>
              <w:bottom w:val="single" w:color="000000" w:sz="4" w:space="0"/>
              <w:right w:val="single" w:color="000000" w:sz="4" w:space="0"/>
            </w:tcBorders>
            <w:vAlign w:val="center"/>
          </w:tcPr>
          <w:p w14:paraId="641A9470">
            <w:pPr>
              <w:widowControl/>
              <w:jc w:val="left"/>
              <w:rPr>
                <w:rFonts w:ascii="宋体" w:hAnsi="宋体" w:cs="宋体"/>
                <w:color w:val="auto"/>
                <w:sz w:val="24"/>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132C333B">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太阳能</w:t>
            </w:r>
            <w:r>
              <w:rPr>
                <w:rFonts w:hint="eastAsia" w:ascii="宋体" w:hAnsi="宋体" w:cs="宋体"/>
                <w:color w:val="auto"/>
                <w:spacing w:val="2"/>
                <w:w w:val="99"/>
                <w:kern w:val="2"/>
                <w:sz w:val="24"/>
                <w:szCs w:val="24"/>
              </w:rPr>
              <w:t>热</w:t>
            </w:r>
            <w:r>
              <w:rPr>
                <w:rFonts w:hint="eastAsia" w:ascii="宋体" w:hAnsi="宋体" w:cs="宋体"/>
                <w:color w:val="auto"/>
                <w:w w:val="99"/>
                <w:kern w:val="2"/>
                <w:sz w:val="24"/>
                <w:szCs w:val="24"/>
              </w:rPr>
              <w:t>水系统</w:t>
            </w:r>
          </w:p>
        </w:tc>
        <w:tc>
          <w:tcPr>
            <w:tcW w:w="4287" w:type="dxa"/>
            <w:tcBorders>
              <w:top w:val="single" w:color="000000" w:sz="4" w:space="0"/>
              <w:left w:val="single" w:color="000000" w:sz="4" w:space="0"/>
              <w:bottom w:val="single" w:color="000000" w:sz="4" w:space="0"/>
              <w:right w:val="single" w:color="000000" w:sz="4" w:space="0"/>
            </w:tcBorders>
          </w:tcPr>
          <w:p w14:paraId="21AD5532">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《家用太阳能热水系统能效限定值及能效等级》（GB26969）</w:t>
            </w:r>
          </w:p>
        </w:tc>
      </w:tr>
      <w:tr w14:paraId="40C0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935FC54">
            <w:pPr>
              <w:pStyle w:val="63"/>
              <w:jc w:val="center"/>
              <w:rPr>
                <w:rFonts w:ascii="宋体" w:hAnsi="宋体" w:cs="宋体"/>
                <w:color w:val="auto"/>
                <w:kern w:val="2"/>
                <w:sz w:val="24"/>
                <w:szCs w:val="24"/>
              </w:rPr>
            </w:pPr>
            <w:r>
              <w:rPr>
                <w:rFonts w:hint="eastAsia" w:ascii="宋体" w:hAnsi="宋体"/>
                <w:color w:val="auto"/>
                <w:spacing w:val="1"/>
                <w:w w:val="99"/>
                <w:kern w:val="2"/>
                <w:sz w:val="24"/>
                <w:szCs w:val="24"/>
              </w:rPr>
              <w:t>1</w:t>
            </w:r>
            <w:r>
              <w:rPr>
                <w:rFonts w:hint="eastAsia" w:ascii="宋体" w:hAnsi="宋体"/>
                <w:color w:val="auto"/>
                <w:w w:val="99"/>
                <w:kern w:val="2"/>
                <w:sz w:val="24"/>
                <w:szCs w:val="24"/>
              </w:rPr>
              <w:t>1</w:t>
            </w:r>
          </w:p>
        </w:tc>
        <w:tc>
          <w:tcPr>
            <w:tcW w:w="1543" w:type="dxa"/>
            <w:vMerge w:val="restart"/>
            <w:tcBorders>
              <w:top w:val="single" w:color="000000" w:sz="4" w:space="0"/>
              <w:left w:val="single" w:color="000000" w:sz="4" w:space="0"/>
              <w:bottom w:val="single" w:color="000000" w:sz="4" w:space="0"/>
              <w:right w:val="single" w:color="000000" w:sz="4" w:space="0"/>
            </w:tcBorders>
            <w:vAlign w:val="center"/>
          </w:tcPr>
          <w:p w14:paraId="60F02CD1">
            <w:pPr>
              <w:pStyle w:val="63"/>
              <w:spacing w:before="157"/>
              <w:jc w:val="center"/>
              <w:rPr>
                <w:rFonts w:ascii="宋体" w:hAnsi="宋体" w:cs="宋体"/>
                <w:color w:val="auto"/>
                <w:kern w:val="2"/>
                <w:sz w:val="24"/>
                <w:szCs w:val="24"/>
              </w:rPr>
            </w:pPr>
            <w:r>
              <w:rPr>
                <w:rFonts w:hint="eastAsia" w:ascii="宋体" w:hAnsi="宋体" w:cs="宋体"/>
                <w:color w:val="auto"/>
                <w:spacing w:val="1"/>
                <w:w w:val="99"/>
                <w:kern w:val="2"/>
                <w:sz w:val="24"/>
                <w:szCs w:val="24"/>
              </w:rPr>
              <w:t>A02</w:t>
            </w:r>
            <w:r>
              <w:rPr>
                <w:rFonts w:hint="eastAsia" w:ascii="宋体" w:hAnsi="宋体" w:cs="宋体"/>
                <w:color w:val="auto"/>
                <w:w w:val="99"/>
                <w:kern w:val="2"/>
                <w:sz w:val="24"/>
                <w:szCs w:val="24"/>
              </w:rPr>
              <w:t>06</w:t>
            </w:r>
            <w:r>
              <w:rPr>
                <w:rFonts w:hint="eastAsia" w:ascii="宋体" w:hAnsi="宋体" w:cs="宋体"/>
                <w:color w:val="auto"/>
                <w:spacing w:val="1"/>
                <w:w w:val="99"/>
                <w:kern w:val="2"/>
                <w:sz w:val="24"/>
                <w:szCs w:val="24"/>
              </w:rPr>
              <w:t>1</w:t>
            </w:r>
            <w:r>
              <w:rPr>
                <w:rFonts w:hint="eastAsia" w:ascii="宋体" w:hAnsi="宋体" w:cs="宋体"/>
                <w:color w:val="auto"/>
                <w:w w:val="99"/>
                <w:kern w:val="2"/>
                <w:sz w:val="24"/>
                <w:szCs w:val="24"/>
              </w:rPr>
              <w:t>900照明设备</w:t>
            </w:r>
          </w:p>
        </w:tc>
        <w:tc>
          <w:tcPr>
            <w:tcW w:w="1954" w:type="dxa"/>
            <w:tcBorders>
              <w:top w:val="single" w:color="000000" w:sz="4" w:space="0"/>
              <w:left w:val="single" w:color="000000" w:sz="4" w:space="0"/>
              <w:bottom w:val="single" w:color="000000" w:sz="4" w:space="0"/>
              <w:right w:val="single" w:color="000000" w:sz="4" w:space="0"/>
            </w:tcBorders>
            <w:vAlign w:val="center"/>
          </w:tcPr>
          <w:p w14:paraId="1921C889">
            <w:pPr>
              <w:pStyle w:val="63"/>
              <w:spacing w:before="133" w:line="276" w:lineRule="auto"/>
              <w:ind w:left="7" w:right="7"/>
              <w:jc w:val="center"/>
              <w:rPr>
                <w:rFonts w:ascii="宋体" w:hAnsi="宋体" w:cs="宋体"/>
                <w:color w:val="auto"/>
                <w:kern w:val="2"/>
                <w:sz w:val="24"/>
                <w:szCs w:val="24"/>
                <w:lang w:eastAsia="zh-CN"/>
              </w:rPr>
            </w:pPr>
            <w:r>
              <w:rPr>
                <w:rFonts w:hint="eastAsia" w:ascii="宋体" w:hAnsi="宋体" w:cs="宋体"/>
                <w:color w:val="auto"/>
                <w:w w:val="99"/>
                <w:kern w:val="2"/>
                <w:sz w:val="24"/>
                <w:szCs w:val="24"/>
                <w:lang w:eastAsia="zh-CN"/>
              </w:rPr>
              <w:t>★普通照明用双端荧光灯</w:t>
            </w:r>
          </w:p>
        </w:tc>
        <w:tc>
          <w:tcPr>
            <w:tcW w:w="1488" w:type="dxa"/>
            <w:tcBorders>
              <w:top w:val="single" w:color="000000" w:sz="4" w:space="0"/>
              <w:left w:val="single" w:color="000000" w:sz="4" w:space="0"/>
              <w:bottom w:val="single" w:color="000000" w:sz="4" w:space="0"/>
              <w:right w:val="single" w:color="000000" w:sz="4" w:space="0"/>
            </w:tcBorders>
            <w:vAlign w:val="center"/>
          </w:tcPr>
          <w:p w14:paraId="30F31EFE">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40D94DC8">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《普通照明用双端荧光灯能效限定值及能效等级》（GB19043）</w:t>
            </w:r>
          </w:p>
        </w:tc>
      </w:tr>
      <w:tr w14:paraId="4A1E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F0137DE">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58A97C78">
            <w:pPr>
              <w:widowControl/>
              <w:jc w:val="left"/>
              <w:rPr>
                <w:rFonts w:ascii="宋体" w:hAnsi="宋体" w:cs="宋体"/>
                <w:color w:val="auto"/>
                <w:sz w:val="24"/>
              </w:rPr>
            </w:pPr>
          </w:p>
        </w:tc>
        <w:tc>
          <w:tcPr>
            <w:tcW w:w="1954" w:type="dxa"/>
            <w:tcBorders>
              <w:top w:val="single" w:color="000000" w:sz="4" w:space="0"/>
              <w:left w:val="single" w:color="000000" w:sz="4" w:space="0"/>
              <w:bottom w:val="single" w:color="000000" w:sz="4" w:space="0"/>
              <w:right w:val="single" w:color="000000" w:sz="4" w:space="0"/>
            </w:tcBorders>
            <w:vAlign w:val="center"/>
          </w:tcPr>
          <w:p w14:paraId="0CF12CDE">
            <w:pPr>
              <w:pStyle w:val="63"/>
              <w:spacing w:before="92" w:line="276" w:lineRule="auto"/>
              <w:ind w:left="7" w:right="2"/>
              <w:jc w:val="center"/>
              <w:rPr>
                <w:rFonts w:ascii="宋体" w:hAnsi="宋体" w:cs="宋体"/>
                <w:color w:val="auto"/>
                <w:kern w:val="2"/>
                <w:sz w:val="24"/>
                <w:szCs w:val="24"/>
              </w:rPr>
            </w:pPr>
            <w:r>
              <w:rPr>
                <w:rFonts w:hint="eastAsia" w:ascii="宋体" w:hAnsi="宋体" w:cs="宋体"/>
                <w:color w:val="auto"/>
                <w:spacing w:val="1"/>
                <w:w w:val="99"/>
                <w:kern w:val="2"/>
                <w:sz w:val="24"/>
                <w:szCs w:val="24"/>
              </w:rPr>
              <w:t>LE</w:t>
            </w:r>
            <w:r>
              <w:rPr>
                <w:rFonts w:hint="eastAsia" w:ascii="宋体" w:hAnsi="宋体" w:cs="宋体"/>
                <w:color w:val="auto"/>
                <w:w w:val="99"/>
                <w:kern w:val="2"/>
                <w:sz w:val="24"/>
                <w:szCs w:val="24"/>
              </w:rPr>
              <w:t>D</w:t>
            </w:r>
            <w:r>
              <w:rPr>
                <w:rFonts w:hint="eastAsia" w:ascii="宋体" w:hAnsi="宋体" w:cs="宋体"/>
                <w:color w:val="auto"/>
                <w:spacing w:val="12"/>
                <w:w w:val="99"/>
                <w:kern w:val="2"/>
                <w:sz w:val="24"/>
                <w:szCs w:val="24"/>
              </w:rPr>
              <w:t>道</w:t>
            </w:r>
            <w:r>
              <w:rPr>
                <w:rFonts w:hint="eastAsia" w:ascii="宋体" w:hAnsi="宋体" w:cs="宋体"/>
                <w:color w:val="auto"/>
                <w:spacing w:val="9"/>
                <w:w w:val="99"/>
                <w:kern w:val="2"/>
                <w:sz w:val="24"/>
                <w:szCs w:val="24"/>
              </w:rPr>
              <w:t>路</w:t>
            </w:r>
            <w:r>
              <w:rPr>
                <w:rFonts w:hint="eastAsia" w:ascii="宋体" w:hAnsi="宋体" w:cs="宋体"/>
                <w:color w:val="auto"/>
                <w:spacing w:val="13"/>
                <w:w w:val="99"/>
                <w:kern w:val="2"/>
                <w:sz w:val="24"/>
                <w:szCs w:val="24"/>
              </w:rPr>
              <w:t>/</w:t>
            </w:r>
            <w:r>
              <w:rPr>
                <w:rFonts w:hint="eastAsia" w:ascii="宋体" w:hAnsi="宋体" w:cs="宋体"/>
                <w:color w:val="auto"/>
                <w:spacing w:val="12"/>
                <w:w w:val="99"/>
                <w:kern w:val="2"/>
                <w:sz w:val="24"/>
                <w:szCs w:val="24"/>
              </w:rPr>
              <w:t>隧道照</w:t>
            </w:r>
            <w:r>
              <w:rPr>
                <w:rFonts w:hint="eastAsia" w:ascii="宋体" w:hAnsi="宋体" w:cs="宋体"/>
                <w:color w:val="auto"/>
                <w:w w:val="99"/>
                <w:kern w:val="2"/>
                <w:sz w:val="24"/>
                <w:szCs w:val="24"/>
              </w:rPr>
              <w:t>明产品</w:t>
            </w:r>
          </w:p>
        </w:tc>
        <w:tc>
          <w:tcPr>
            <w:tcW w:w="1488" w:type="dxa"/>
            <w:tcBorders>
              <w:top w:val="single" w:color="000000" w:sz="4" w:space="0"/>
              <w:left w:val="single" w:color="000000" w:sz="4" w:space="0"/>
              <w:bottom w:val="single" w:color="000000" w:sz="4" w:space="0"/>
              <w:right w:val="single" w:color="000000" w:sz="4" w:space="0"/>
            </w:tcBorders>
            <w:vAlign w:val="center"/>
          </w:tcPr>
          <w:p w14:paraId="3A7EB2C3">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48F49858">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《道路和隧道照明用LED灯具能效限定值及能效等级》（GB37478）</w:t>
            </w:r>
          </w:p>
        </w:tc>
      </w:tr>
      <w:tr w14:paraId="676F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3014357">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0B32F6F6">
            <w:pPr>
              <w:widowControl/>
              <w:jc w:val="left"/>
              <w:rPr>
                <w:rFonts w:ascii="宋体" w:hAnsi="宋体" w:cs="宋体"/>
                <w:color w:val="auto"/>
                <w:sz w:val="24"/>
              </w:rPr>
            </w:pPr>
          </w:p>
        </w:tc>
        <w:tc>
          <w:tcPr>
            <w:tcW w:w="1954" w:type="dxa"/>
            <w:tcBorders>
              <w:top w:val="single" w:color="000000" w:sz="4" w:space="0"/>
              <w:left w:val="single" w:color="000000" w:sz="4" w:space="0"/>
              <w:bottom w:val="single" w:color="000000" w:sz="4" w:space="0"/>
              <w:right w:val="single" w:color="000000" w:sz="4" w:space="0"/>
            </w:tcBorders>
            <w:vAlign w:val="center"/>
          </w:tcPr>
          <w:p w14:paraId="5537ECEA">
            <w:pPr>
              <w:pStyle w:val="63"/>
              <w:jc w:val="center"/>
              <w:rPr>
                <w:rFonts w:ascii="宋体" w:hAnsi="宋体" w:cs="宋体"/>
                <w:color w:val="auto"/>
                <w:kern w:val="2"/>
                <w:sz w:val="24"/>
                <w:szCs w:val="24"/>
              </w:rPr>
            </w:pPr>
            <w:r>
              <w:rPr>
                <w:rFonts w:hint="eastAsia" w:ascii="宋体" w:hAnsi="宋体" w:cs="宋体"/>
                <w:color w:val="auto"/>
                <w:spacing w:val="1"/>
                <w:w w:val="99"/>
                <w:kern w:val="2"/>
                <w:sz w:val="24"/>
                <w:szCs w:val="24"/>
              </w:rPr>
              <w:t>LE</w:t>
            </w:r>
            <w:r>
              <w:rPr>
                <w:rFonts w:hint="eastAsia" w:ascii="宋体" w:hAnsi="宋体" w:cs="宋体"/>
                <w:color w:val="auto"/>
                <w:w w:val="99"/>
                <w:kern w:val="2"/>
                <w:sz w:val="24"/>
                <w:szCs w:val="24"/>
              </w:rPr>
              <w:t>D筒灯</w:t>
            </w:r>
          </w:p>
        </w:tc>
        <w:tc>
          <w:tcPr>
            <w:tcW w:w="1488" w:type="dxa"/>
            <w:tcBorders>
              <w:top w:val="single" w:color="000000" w:sz="4" w:space="0"/>
              <w:left w:val="single" w:color="000000" w:sz="4" w:space="0"/>
              <w:bottom w:val="single" w:color="000000" w:sz="4" w:space="0"/>
              <w:right w:val="single" w:color="000000" w:sz="4" w:space="0"/>
            </w:tcBorders>
            <w:vAlign w:val="center"/>
          </w:tcPr>
          <w:p w14:paraId="392E2F73">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4FC8D4B6">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《室内照明用LED产品能效限定值及能效等级》（GB30255）</w:t>
            </w:r>
          </w:p>
        </w:tc>
      </w:tr>
      <w:tr w14:paraId="76D9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1399580">
            <w:pPr>
              <w:widowControl/>
              <w:jc w:val="left"/>
              <w:rPr>
                <w:rFonts w:ascii="宋体" w:hAnsi="宋体" w:cs="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246B54C0">
            <w:pPr>
              <w:widowControl/>
              <w:jc w:val="left"/>
              <w:rPr>
                <w:rFonts w:ascii="宋体" w:hAnsi="宋体" w:cs="宋体"/>
                <w:color w:val="auto"/>
                <w:sz w:val="24"/>
              </w:rPr>
            </w:pPr>
          </w:p>
        </w:tc>
        <w:tc>
          <w:tcPr>
            <w:tcW w:w="1954" w:type="dxa"/>
            <w:tcBorders>
              <w:top w:val="single" w:color="000000" w:sz="4" w:space="0"/>
              <w:left w:val="single" w:color="000000" w:sz="4" w:space="0"/>
              <w:bottom w:val="single" w:color="000000" w:sz="4" w:space="0"/>
              <w:right w:val="single" w:color="000000" w:sz="4" w:space="0"/>
            </w:tcBorders>
            <w:vAlign w:val="center"/>
          </w:tcPr>
          <w:p w14:paraId="49DFE0B2">
            <w:pPr>
              <w:pStyle w:val="63"/>
              <w:spacing w:line="276" w:lineRule="auto"/>
              <w:ind w:right="7"/>
              <w:jc w:val="center"/>
              <w:rPr>
                <w:rFonts w:ascii="宋体" w:hAnsi="宋体" w:cs="宋体"/>
                <w:color w:val="auto"/>
                <w:kern w:val="2"/>
                <w:sz w:val="24"/>
                <w:szCs w:val="24"/>
                <w:lang w:eastAsia="zh-CN"/>
              </w:rPr>
            </w:pPr>
            <w:r>
              <w:rPr>
                <w:rFonts w:hint="eastAsia" w:ascii="宋体" w:hAnsi="宋体" w:cs="宋体"/>
                <w:color w:val="auto"/>
                <w:w w:val="99"/>
                <w:kern w:val="2"/>
                <w:sz w:val="24"/>
                <w:szCs w:val="24"/>
                <w:lang w:eastAsia="zh-CN"/>
              </w:rPr>
              <w:t>普</w:t>
            </w:r>
            <w:r>
              <w:rPr>
                <w:rFonts w:hint="eastAsia" w:ascii="宋体" w:hAnsi="宋体" w:cs="宋体"/>
                <w:color w:val="auto"/>
                <w:spacing w:val="24"/>
                <w:w w:val="99"/>
                <w:kern w:val="2"/>
                <w:sz w:val="24"/>
                <w:szCs w:val="24"/>
                <w:lang w:eastAsia="zh-CN"/>
              </w:rPr>
              <w:t>通</w:t>
            </w:r>
            <w:r>
              <w:rPr>
                <w:rFonts w:hint="eastAsia" w:ascii="宋体" w:hAnsi="宋体" w:cs="宋体"/>
                <w:color w:val="auto"/>
                <w:w w:val="99"/>
                <w:kern w:val="2"/>
                <w:sz w:val="24"/>
                <w:szCs w:val="24"/>
                <w:lang w:eastAsia="zh-CN"/>
              </w:rPr>
              <w:t>照明用非</w:t>
            </w:r>
            <w:r>
              <w:rPr>
                <w:rFonts w:hint="eastAsia" w:ascii="宋体" w:hAnsi="宋体" w:cs="宋体"/>
                <w:color w:val="auto"/>
                <w:spacing w:val="24"/>
                <w:w w:val="99"/>
                <w:kern w:val="2"/>
                <w:sz w:val="24"/>
                <w:szCs w:val="24"/>
                <w:lang w:eastAsia="zh-CN"/>
              </w:rPr>
              <w:t>定</w:t>
            </w:r>
            <w:r>
              <w:rPr>
                <w:rFonts w:hint="eastAsia" w:ascii="宋体" w:hAnsi="宋体" w:cs="宋体"/>
                <w:color w:val="auto"/>
                <w:w w:val="99"/>
                <w:kern w:val="2"/>
                <w:sz w:val="24"/>
                <w:szCs w:val="24"/>
                <w:lang w:eastAsia="zh-CN"/>
              </w:rPr>
              <w:t>向自镇流</w:t>
            </w:r>
            <w:r>
              <w:rPr>
                <w:rFonts w:hint="eastAsia" w:ascii="宋体" w:hAnsi="宋体" w:cs="宋体"/>
                <w:color w:val="auto"/>
                <w:spacing w:val="1"/>
                <w:w w:val="99"/>
                <w:kern w:val="2"/>
                <w:sz w:val="24"/>
                <w:szCs w:val="24"/>
                <w:lang w:eastAsia="zh-CN"/>
              </w:rPr>
              <w:t>LE</w:t>
            </w:r>
            <w:r>
              <w:rPr>
                <w:rFonts w:hint="eastAsia" w:ascii="宋体" w:hAnsi="宋体" w:cs="宋体"/>
                <w:color w:val="auto"/>
                <w:w w:val="99"/>
                <w:kern w:val="2"/>
                <w:sz w:val="24"/>
                <w:szCs w:val="24"/>
                <w:lang w:eastAsia="zh-CN"/>
              </w:rPr>
              <w:t>D灯</w:t>
            </w:r>
          </w:p>
        </w:tc>
        <w:tc>
          <w:tcPr>
            <w:tcW w:w="1488" w:type="dxa"/>
            <w:tcBorders>
              <w:top w:val="single" w:color="000000" w:sz="4" w:space="0"/>
              <w:left w:val="single" w:color="000000" w:sz="4" w:space="0"/>
              <w:bottom w:val="single" w:color="000000" w:sz="4" w:space="0"/>
              <w:right w:val="single" w:color="000000" w:sz="4" w:space="0"/>
            </w:tcBorders>
            <w:vAlign w:val="center"/>
          </w:tcPr>
          <w:p w14:paraId="7C37D739">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5FCFE51A">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《室内照明用LED产品能效限定值及能效等级》（GB30255）</w:t>
            </w:r>
          </w:p>
        </w:tc>
      </w:tr>
      <w:tr w14:paraId="4BA8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D6C91C0">
            <w:pPr>
              <w:pStyle w:val="63"/>
              <w:jc w:val="center"/>
              <w:rPr>
                <w:rFonts w:ascii="宋体" w:hAnsi="宋体" w:cs="宋体"/>
                <w:color w:val="auto"/>
                <w:kern w:val="2"/>
                <w:sz w:val="24"/>
                <w:szCs w:val="24"/>
              </w:rPr>
            </w:pPr>
            <w:r>
              <w:rPr>
                <w:rFonts w:hint="eastAsia" w:ascii="宋体" w:hAnsi="宋体"/>
                <w:color w:val="auto"/>
                <w:spacing w:val="1"/>
                <w:w w:val="99"/>
                <w:kern w:val="2"/>
                <w:sz w:val="24"/>
                <w:szCs w:val="24"/>
              </w:rPr>
              <w:t>1</w:t>
            </w:r>
            <w:r>
              <w:rPr>
                <w:rFonts w:hint="eastAsia" w:ascii="宋体" w:hAnsi="宋体"/>
                <w:color w:val="auto"/>
                <w:w w:val="99"/>
                <w:kern w:val="2"/>
                <w:sz w:val="24"/>
                <w:szCs w:val="24"/>
              </w:rPr>
              <w:t>2</w:t>
            </w:r>
          </w:p>
        </w:tc>
        <w:tc>
          <w:tcPr>
            <w:tcW w:w="1543" w:type="dxa"/>
            <w:tcBorders>
              <w:top w:val="single" w:color="000000" w:sz="4" w:space="0"/>
              <w:left w:val="single" w:color="000000" w:sz="4" w:space="0"/>
              <w:bottom w:val="single" w:color="000000" w:sz="4" w:space="0"/>
              <w:right w:val="single" w:color="000000" w:sz="4" w:space="0"/>
            </w:tcBorders>
            <w:vAlign w:val="center"/>
          </w:tcPr>
          <w:p w14:paraId="5039520C">
            <w:pPr>
              <w:pStyle w:val="63"/>
              <w:spacing w:before="81"/>
              <w:ind w:left="7"/>
              <w:jc w:val="center"/>
              <w:rPr>
                <w:rFonts w:ascii="宋体" w:hAnsi="宋体" w:cs="宋体"/>
                <w:color w:val="auto"/>
                <w:kern w:val="2"/>
                <w:sz w:val="24"/>
                <w:szCs w:val="24"/>
              </w:rPr>
            </w:pPr>
            <w:r>
              <w:rPr>
                <w:rFonts w:hint="eastAsia" w:ascii="宋体" w:hAnsi="宋体" w:cs="宋体"/>
                <w:color w:val="auto"/>
                <w:w w:val="99"/>
                <w:kern w:val="2"/>
                <w:sz w:val="24"/>
                <w:szCs w:val="24"/>
              </w:rPr>
              <w:t>★</w:t>
            </w:r>
            <w:r>
              <w:rPr>
                <w:rFonts w:hint="eastAsia" w:ascii="宋体" w:hAnsi="宋体" w:cs="宋体"/>
                <w:color w:val="auto"/>
                <w:spacing w:val="1"/>
                <w:w w:val="99"/>
                <w:kern w:val="2"/>
                <w:sz w:val="24"/>
                <w:szCs w:val="24"/>
              </w:rPr>
              <w:t>A020</w:t>
            </w:r>
            <w:r>
              <w:rPr>
                <w:rFonts w:hint="eastAsia" w:ascii="宋体" w:hAnsi="宋体" w:cs="宋体"/>
                <w:color w:val="auto"/>
                <w:w w:val="99"/>
                <w:kern w:val="2"/>
                <w:sz w:val="24"/>
                <w:szCs w:val="24"/>
              </w:rPr>
              <w:t>91000电视设备</w:t>
            </w:r>
          </w:p>
        </w:tc>
        <w:tc>
          <w:tcPr>
            <w:tcW w:w="1954" w:type="dxa"/>
            <w:tcBorders>
              <w:top w:val="single" w:color="000000" w:sz="4" w:space="0"/>
              <w:left w:val="single" w:color="000000" w:sz="4" w:space="0"/>
              <w:bottom w:val="single" w:color="000000" w:sz="4" w:space="0"/>
              <w:right w:val="single" w:color="000000" w:sz="4" w:space="0"/>
            </w:tcBorders>
            <w:vAlign w:val="center"/>
          </w:tcPr>
          <w:p w14:paraId="7AD15A2A">
            <w:pPr>
              <w:pStyle w:val="63"/>
              <w:spacing w:before="81" w:line="276" w:lineRule="auto"/>
              <w:ind w:left="7" w:right="5"/>
              <w:jc w:val="center"/>
              <w:rPr>
                <w:rFonts w:ascii="宋体" w:hAnsi="宋体" w:cs="宋体"/>
                <w:color w:val="auto"/>
                <w:kern w:val="2"/>
                <w:sz w:val="24"/>
                <w:szCs w:val="24"/>
                <w:lang w:eastAsia="zh-CN"/>
              </w:rPr>
            </w:pPr>
            <w:r>
              <w:rPr>
                <w:rFonts w:hint="eastAsia" w:ascii="宋体" w:hAnsi="宋体" w:cs="宋体"/>
                <w:color w:val="auto"/>
                <w:spacing w:val="1"/>
                <w:w w:val="99"/>
                <w:kern w:val="2"/>
                <w:sz w:val="24"/>
                <w:szCs w:val="24"/>
                <w:lang w:eastAsia="zh-CN"/>
              </w:rPr>
              <w:t>A02</w:t>
            </w:r>
            <w:r>
              <w:rPr>
                <w:rFonts w:hint="eastAsia" w:ascii="宋体" w:hAnsi="宋体" w:cs="宋体"/>
                <w:color w:val="auto"/>
                <w:w w:val="99"/>
                <w:kern w:val="2"/>
                <w:sz w:val="24"/>
                <w:szCs w:val="24"/>
                <w:lang w:eastAsia="zh-CN"/>
              </w:rPr>
              <w:t>09</w:t>
            </w:r>
            <w:r>
              <w:rPr>
                <w:rFonts w:hint="eastAsia" w:ascii="宋体" w:hAnsi="宋体" w:cs="宋体"/>
                <w:color w:val="auto"/>
                <w:spacing w:val="1"/>
                <w:w w:val="99"/>
                <w:kern w:val="2"/>
                <w:sz w:val="24"/>
                <w:szCs w:val="24"/>
                <w:lang w:eastAsia="zh-CN"/>
              </w:rPr>
              <w:t>1</w:t>
            </w:r>
            <w:r>
              <w:rPr>
                <w:rFonts w:hint="eastAsia" w:ascii="宋体" w:hAnsi="宋体" w:cs="宋体"/>
                <w:color w:val="auto"/>
                <w:w w:val="99"/>
                <w:kern w:val="2"/>
                <w:sz w:val="24"/>
                <w:szCs w:val="24"/>
                <w:lang w:eastAsia="zh-CN"/>
              </w:rPr>
              <w:t>001普通电视设备（</w:t>
            </w:r>
            <w:r>
              <w:rPr>
                <w:rFonts w:hint="eastAsia" w:ascii="宋体" w:hAnsi="宋体" w:cs="宋体"/>
                <w:color w:val="auto"/>
                <w:spacing w:val="2"/>
                <w:w w:val="99"/>
                <w:kern w:val="2"/>
                <w:sz w:val="24"/>
                <w:szCs w:val="24"/>
                <w:lang w:eastAsia="zh-CN"/>
              </w:rPr>
              <w:t>电</w:t>
            </w:r>
            <w:r>
              <w:rPr>
                <w:rFonts w:hint="eastAsia" w:ascii="宋体" w:hAnsi="宋体" w:cs="宋体"/>
                <w:color w:val="auto"/>
                <w:w w:val="99"/>
                <w:kern w:val="2"/>
                <w:sz w:val="24"/>
                <w:szCs w:val="24"/>
                <w:lang w:eastAsia="zh-CN"/>
              </w:rPr>
              <w:t>视机）</w:t>
            </w:r>
          </w:p>
        </w:tc>
        <w:tc>
          <w:tcPr>
            <w:tcW w:w="1488" w:type="dxa"/>
            <w:tcBorders>
              <w:top w:val="single" w:color="000000" w:sz="4" w:space="0"/>
              <w:left w:val="single" w:color="000000" w:sz="4" w:space="0"/>
              <w:bottom w:val="single" w:color="000000" w:sz="4" w:space="0"/>
              <w:right w:val="single" w:color="000000" w:sz="4" w:space="0"/>
            </w:tcBorders>
            <w:vAlign w:val="center"/>
          </w:tcPr>
          <w:p w14:paraId="7150BC17">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2F2AD951">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《平板电视能效限定值及能效等级》（GB24850）</w:t>
            </w:r>
          </w:p>
        </w:tc>
      </w:tr>
      <w:tr w14:paraId="6834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423FF03">
            <w:pPr>
              <w:pStyle w:val="63"/>
              <w:jc w:val="center"/>
              <w:rPr>
                <w:rFonts w:ascii="宋体" w:hAnsi="宋体" w:cs="宋体"/>
                <w:color w:val="auto"/>
                <w:kern w:val="2"/>
                <w:sz w:val="24"/>
                <w:szCs w:val="24"/>
              </w:rPr>
            </w:pPr>
            <w:r>
              <w:rPr>
                <w:rFonts w:hint="eastAsia" w:ascii="宋体" w:hAnsi="宋体"/>
                <w:color w:val="auto"/>
                <w:spacing w:val="1"/>
                <w:w w:val="99"/>
                <w:kern w:val="2"/>
                <w:sz w:val="24"/>
                <w:szCs w:val="24"/>
              </w:rPr>
              <w:t>1</w:t>
            </w:r>
            <w:r>
              <w:rPr>
                <w:rFonts w:hint="eastAsia" w:ascii="宋体" w:hAnsi="宋体"/>
                <w:color w:val="auto"/>
                <w:w w:val="99"/>
                <w:kern w:val="2"/>
                <w:sz w:val="24"/>
                <w:szCs w:val="24"/>
              </w:rPr>
              <w:t>3</w:t>
            </w:r>
          </w:p>
        </w:tc>
        <w:tc>
          <w:tcPr>
            <w:tcW w:w="1543" w:type="dxa"/>
            <w:tcBorders>
              <w:top w:val="single" w:color="000000" w:sz="4" w:space="0"/>
              <w:left w:val="single" w:color="000000" w:sz="4" w:space="0"/>
              <w:bottom w:val="single" w:color="000000" w:sz="4" w:space="0"/>
              <w:right w:val="single" w:color="000000" w:sz="4" w:space="0"/>
            </w:tcBorders>
            <w:vAlign w:val="center"/>
          </w:tcPr>
          <w:p w14:paraId="3E20B0C8">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w:t>
            </w:r>
            <w:r>
              <w:rPr>
                <w:rFonts w:hint="eastAsia" w:ascii="宋体" w:hAnsi="宋体" w:cs="宋体"/>
                <w:color w:val="auto"/>
                <w:spacing w:val="1"/>
                <w:w w:val="99"/>
                <w:kern w:val="2"/>
                <w:sz w:val="24"/>
                <w:szCs w:val="24"/>
              </w:rPr>
              <w:t>A020</w:t>
            </w:r>
            <w:r>
              <w:rPr>
                <w:rFonts w:hint="eastAsia" w:ascii="宋体" w:hAnsi="宋体" w:cs="宋体"/>
                <w:color w:val="auto"/>
                <w:w w:val="99"/>
                <w:kern w:val="2"/>
                <w:sz w:val="24"/>
                <w:szCs w:val="24"/>
              </w:rPr>
              <w:t>91100视频设备</w:t>
            </w:r>
          </w:p>
        </w:tc>
        <w:tc>
          <w:tcPr>
            <w:tcW w:w="1954" w:type="dxa"/>
            <w:tcBorders>
              <w:top w:val="single" w:color="000000" w:sz="4" w:space="0"/>
              <w:left w:val="single" w:color="000000" w:sz="4" w:space="0"/>
              <w:bottom w:val="single" w:color="000000" w:sz="4" w:space="0"/>
              <w:right w:val="single" w:color="000000" w:sz="4" w:space="0"/>
            </w:tcBorders>
            <w:vAlign w:val="center"/>
          </w:tcPr>
          <w:p w14:paraId="632D3C87">
            <w:pPr>
              <w:pStyle w:val="63"/>
              <w:spacing w:line="276" w:lineRule="auto"/>
              <w:ind w:right="5"/>
              <w:jc w:val="center"/>
              <w:rPr>
                <w:rFonts w:ascii="宋体" w:hAnsi="宋体" w:cs="宋体"/>
                <w:color w:val="auto"/>
                <w:kern w:val="2"/>
                <w:sz w:val="24"/>
                <w:szCs w:val="24"/>
              </w:rPr>
            </w:pPr>
            <w:r>
              <w:rPr>
                <w:rFonts w:hint="eastAsia" w:ascii="宋体" w:hAnsi="宋体" w:cs="宋体"/>
                <w:color w:val="auto"/>
                <w:spacing w:val="1"/>
                <w:w w:val="99"/>
                <w:kern w:val="2"/>
                <w:sz w:val="24"/>
                <w:szCs w:val="24"/>
              </w:rPr>
              <w:t>A02</w:t>
            </w:r>
            <w:r>
              <w:rPr>
                <w:rFonts w:hint="eastAsia" w:ascii="宋体" w:hAnsi="宋体" w:cs="宋体"/>
                <w:color w:val="auto"/>
                <w:w w:val="99"/>
                <w:kern w:val="2"/>
                <w:sz w:val="24"/>
                <w:szCs w:val="24"/>
              </w:rPr>
              <w:t>09</w:t>
            </w:r>
            <w:r>
              <w:rPr>
                <w:rFonts w:hint="eastAsia" w:ascii="宋体" w:hAnsi="宋体" w:cs="宋体"/>
                <w:color w:val="auto"/>
                <w:spacing w:val="1"/>
                <w:w w:val="99"/>
                <w:kern w:val="2"/>
                <w:sz w:val="24"/>
                <w:szCs w:val="24"/>
              </w:rPr>
              <w:t>1</w:t>
            </w:r>
            <w:r>
              <w:rPr>
                <w:rFonts w:hint="eastAsia" w:ascii="宋体" w:hAnsi="宋体" w:cs="宋体"/>
                <w:color w:val="auto"/>
                <w:w w:val="99"/>
                <w:kern w:val="2"/>
                <w:sz w:val="24"/>
                <w:szCs w:val="24"/>
              </w:rPr>
              <w:t>107视频监控设备</w:t>
            </w:r>
          </w:p>
        </w:tc>
        <w:tc>
          <w:tcPr>
            <w:tcW w:w="1488" w:type="dxa"/>
            <w:tcBorders>
              <w:top w:val="single" w:color="000000" w:sz="4" w:space="0"/>
              <w:left w:val="single" w:color="000000" w:sz="4" w:space="0"/>
              <w:bottom w:val="single" w:color="000000" w:sz="4" w:space="0"/>
              <w:right w:val="single" w:color="000000" w:sz="4" w:space="0"/>
            </w:tcBorders>
            <w:vAlign w:val="center"/>
          </w:tcPr>
          <w:p w14:paraId="2BCDB75A">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监视器</w:t>
            </w:r>
          </w:p>
        </w:tc>
        <w:tc>
          <w:tcPr>
            <w:tcW w:w="4287" w:type="dxa"/>
            <w:tcBorders>
              <w:top w:val="single" w:color="000000" w:sz="4" w:space="0"/>
              <w:left w:val="single" w:color="000000" w:sz="4" w:space="0"/>
              <w:bottom w:val="single" w:color="000000" w:sz="4" w:space="0"/>
              <w:right w:val="single" w:color="000000" w:sz="4" w:space="0"/>
            </w:tcBorders>
          </w:tcPr>
          <w:p w14:paraId="3BA8C349">
            <w:pPr>
              <w:pStyle w:val="63"/>
              <w:spacing w:before="131" w:line="276" w:lineRule="auto"/>
              <w:ind w:left="7" w:right="4"/>
              <w:rPr>
                <w:rFonts w:ascii="宋体" w:hAnsi="宋体" w:cs="宋体"/>
                <w:color w:val="auto"/>
                <w:spacing w:val="10"/>
                <w:kern w:val="2"/>
                <w:sz w:val="24"/>
                <w:szCs w:val="24"/>
                <w:lang w:eastAsia="zh-CN"/>
              </w:rPr>
            </w:pPr>
            <w:r>
              <w:rPr>
                <w:rFonts w:hint="eastAsia" w:ascii="宋体" w:hAnsi="宋体" w:cs="宋体"/>
                <w:color w:val="auto"/>
                <w:spacing w:val="10"/>
                <w:kern w:val="2"/>
                <w:sz w:val="24"/>
                <w:szCs w:val="24"/>
                <w:lang w:eastAsia="zh-CN"/>
              </w:rPr>
              <w:t>以射频信号为主要信号输入的监视器应符合《平板电视能效限定值及能效等级》（GB24850），以数字信号为主要信号输入的监视器应符合《计算机显示器能效限定值及能效等级》（GB21520）</w:t>
            </w:r>
          </w:p>
        </w:tc>
      </w:tr>
      <w:tr w14:paraId="2CCE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7695672">
            <w:pPr>
              <w:pStyle w:val="63"/>
              <w:jc w:val="center"/>
              <w:rPr>
                <w:rFonts w:ascii="宋体" w:hAnsi="宋体" w:cs="宋体"/>
                <w:color w:val="auto"/>
                <w:kern w:val="2"/>
                <w:sz w:val="24"/>
                <w:szCs w:val="24"/>
              </w:rPr>
            </w:pPr>
            <w:r>
              <w:rPr>
                <w:rFonts w:hint="eastAsia" w:ascii="宋体" w:hAnsi="宋体"/>
                <w:color w:val="auto"/>
                <w:spacing w:val="1"/>
                <w:w w:val="99"/>
                <w:kern w:val="2"/>
                <w:sz w:val="24"/>
                <w:szCs w:val="24"/>
              </w:rPr>
              <w:t>1</w:t>
            </w:r>
            <w:r>
              <w:rPr>
                <w:rFonts w:hint="eastAsia" w:ascii="宋体" w:hAnsi="宋体"/>
                <w:color w:val="auto"/>
                <w:w w:val="99"/>
                <w:kern w:val="2"/>
                <w:sz w:val="24"/>
                <w:szCs w:val="24"/>
              </w:rPr>
              <w:t>4</w:t>
            </w:r>
          </w:p>
        </w:tc>
        <w:tc>
          <w:tcPr>
            <w:tcW w:w="1543" w:type="dxa"/>
            <w:tcBorders>
              <w:top w:val="single" w:color="000000" w:sz="4" w:space="0"/>
              <w:left w:val="single" w:color="000000" w:sz="4" w:space="0"/>
              <w:bottom w:val="single" w:color="000000" w:sz="4" w:space="0"/>
              <w:right w:val="single" w:color="000000" w:sz="4" w:space="0"/>
            </w:tcBorders>
            <w:vAlign w:val="center"/>
          </w:tcPr>
          <w:p w14:paraId="196BD2B3">
            <w:pPr>
              <w:pStyle w:val="63"/>
              <w:spacing w:before="76"/>
              <w:ind w:left="7"/>
              <w:jc w:val="center"/>
              <w:rPr>
                <w:rFonts w:ascii="宋体" w:hAnsi="宋体" w:cs="宋体"/>
                <w:color w:val="auto"/>
                <w:kern w:val="2"/>
                <w:sz w:val="24"/>
                <w:szCs w:val="24"/>
              </w:rPr>
            </w:pPr>
            <w:r>
              <w:rPr>
                <w:rFonts w:hint="eastAsia" w:ascii="宋体" w:hAnsi="宋体" w:cs="仿宋_GB2312"/>
                <w:color w:val="auto"/>
                <w:kern w:val="2"/>
                <w:sz w:val="24"/>
                <w:szCs w:val="24"/>
              </w:rPr>
              <w:t>A02241000</w:t>
            </w:r>
            <w:r>
              <w:rPr>
                <w:rFonts w:hint="eastAsia" w:ascii="宋体" w:hAnsi="宋体" w:cs="宋体"/>
                <w:color w:val="auto"/>
                <w:w w:val="99"/>
                <w:kern w:val="2"/>
                <w:sz w:val="24"/>
                <w:szCs w:val="24"/>
              </w:rPr>
              <w:t>饮食炊事机械</w:t>
            </w:r>
          </w:p>
        </w:tc>
        <w:tc>
          <w:tcPr>
            <w:tcW w:w="1954" w:type="dxa"/>
            <w:tcBorders>
              <w:top w:val="single" w:color="000000" w:sz="4" w:space="0"/>
              <w:left w:val="single" w:color="000000" w:sz="4" w:space="0"/>
              <w:bottom w:val="single" w:color="000000" w:sz="4" w:space="0"/>
              <w:right w:val="single" w:color="000000" w:sz="4" w:space="0"/>
            </w:tcBorders>
            <w:vAlign w:val="center"/>
          </w:tcPr>
          <w:p w14:paraId="53B34AEE">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商用燃</w:t>
            </w:r>
            <w:r>
              <w:rPr>
                <w:rFonts w:hint="eastAsia" w:ascii="宋体" w:hAnsi="宋体" w:cs="宋体"/>
                <w:color w:val="auto"/>
                <w:spacing w:val="2"/>
                <w:w w:val="99"/>
                <w:kern w:val="2"/>
                <w:sz w:val="24"/>
                <w:szCs w:val="24"/>
              </w:rPr>
              <w:t>气</w:t>
            </w:r>
            <w:r>
              <w:rPr>
                <w:rFonts w:hint="eastAsia" w:ascii="宋体" w:hAnsi="宋体" w:cs="宋体"/>
                <w:color w:val="auto"/>
                <w:w w:val="99"/>
                <w:kern w:val="2"/>
                <w:sz w:val="24"/>
                <w:szCs w:val="24"/>
              </w:rPr>
              <w:t>灶具</w:t>
            </w:r>
          </w:p>
        </w:tc>
        <w:tc>
          <w:tcPr>
            <w:tcW w:w="1488" w:type="dxa"/>
            <w:tcBorders>
              <w:top w:val="single" w:color="000000" w:sz="4" w:space="0"/>
              <w:left w:val="single" w:color="000000" w:sz="4" w:space="0"/>
              <w:bottom w:val="single" w:color="000000" w:sz="4" w:space="0"/>
              <w:right w:val="single" w:color="000000" w:sz="4" w:space="0"/>
            </w:tcBorders>
            <w:vAlign w:val="center"/>
          </w:tcPr>
          <w:p w14:paraId="3EA7D35C">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56CAF7E1">
            <w:pPr>
              <w:pStyle w:val="63"/>
              <w:spacing w:before="131" w:line="276" w:lineRule="auto"/>
              <w:ind w:left="7" w:right="4"/>
              <w:rPr>
                <w:rFonts w:ascii="宋体" w:hAnsi="宋体" w:cs="宋体"/>
                <w:color w:val="auto"/>
                <w:kern w:val="2"/>
                <w:sz w:val="24"/>
                <w:szCs w:val="24"/>
                <w:lang w:eastAsia="zh-CN"/>
              </w:rPr>
            </w:pPr>
            <w:r>
              <w:rPr>
                <w:rFonts w:hint="eastAsia" w:ascii="宋体" w:hAnsi="宋体" w:cs="宋体"/>
                <w:color w:val="auto"/>
                <w:kern w:val="2"/>
                <w:sz w:val="24"/>
                <w:szCs w:val="24"/>
                <w:lang w:eastAsia="zh-CN"/>
              </w:rPr>
              <w:t>《商用燃气灶具能效限定值及能效等级》（GB30531）</w:t>
            </w:r>
          </w:p>
        </w:tc>
      </w:tr>
      <w:tr w14:paraId="45BB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D0C18A5">
            <w:pPr>
              <w:jc w:val="center"/>
              <w:rPr>
                <w:rFonts w:ascii="宋体" w:hAnsi="宋体"/>
                <w:color w:val="auto"/>
                <w:sz w:val="24"/>
              </w:rPr>
            </w:pPr>
            <w:r>
              <w:rPr>
                <w:rFonts w:hint="eastAsia" w:ascii="宋体" w:hAnsi="宋体"/>
                <w:color w:val="auto"/>
                <w:sz w:val="24"/>
              </w:rPr>
              <w:t>15</w:t>
            </w:r>
          </w:p>
        </w:tc>
        <w:tc>
          <w:tcPr>
            <w:tcW w:w="1543" w:type="dxa"/>
            <w:vMerge w:val="restart"/>
            <w:tcBorders>
              <w:top w:val="single" w:color="000000" w:sz="4" w:space="0"/>
              <w:left w:val="single" w:color="000000" w:sz="4" w:space="0"/>
              <w:bottom w:val="single" w:color="000000" w:sz="4" w:space="0"/>
              <w:right w:val="single" w:color="000000" w:sz="4" w:space="0"/>
            </w:tcBorders>
            <w:vAlign w:val="center"/>
          </w:tcPr>
          <w:p w14:paraId="55F05E65">
            <w:pPr>
              <w:pStyle w:val="63"/>
              <w:jc w:val="center"/>
              <w:rPr>
                <w:rFonts w:ascii="宋体" w:hAnsi="宋体" w:cs="宋体"/>
                <w:color w:val="auto"/>
                <w:w w:val="99"/>
                <w:kern w:val="2"/>
                <w:sz w:val="24"/>
                <w:szCs w:val="24"/>
              </w:rPr>
            </w:pPr>
            <w:r>
              <w:rPr>
                <w:rFonts w:hint="eastAsia" w:ascii="宋体" w:hAnsi="宋体" w:cs="宋体"/>
                <w:color w:val="auto"/>
                <w:w w:val="99"/>
                <w:kern w:val="2"/>
                <w:sz w:val="24"/>
                <w:szCs w:val="24"/>
              </w:rPr>
              <w:t>★</w:t>
            </w:r>
            <w:r>
              <w:rPr>
                <w:rFonts w:hint="eastAsia" w:ascii="宋体" w:hAnsi="宋体" w:cs="仿宋_GB2312"/>
                <w:color w:val="auto"/>
                <w:kern w:val="2"/>
                <w:sz w:val="24"/>
                <w:szCs w:val="24"/>
              </w:rPr>
              <w:t>A05020105</w:t>
            </w:r>
            <w:r>
              <w:rPr>
                <w:rFonts w:hint="eastAsia" w:ascii="宋体" w:hAnsi="宋体" w:cs="宋体"/>
                <w:color w:val="auto"/>
                <w:w w:val="99"/>
                <w:kern w:val="2"/>
                <w:sz w:val="24"/>
                <w:szCs w:val="24"/>
              </w:rPr>
              <w:t>便器</w:t>
            </w:r>
          </w:p>
        </w:tc>
        <w:tc>
          <w:tcPr>
            <w:tcW w:w="1954" w:type="dxa"/>
            <w:tcBorders>
              <w:top w:val="single" w:color="000000" w:sz="4" w:space="0"/>
              <w:left w:val="single" w:color="000000" w:sz="4" w:space="0"/>
              <w:bottom w:val="single" w:color="000000" w:sz="4" w:space="0"/>
              <w:right w:val="single" w:color="000000" w:sz="4" w:space="0"/>
            </w:tcBorders>
            <w:vAlign w:val="center"/>
          </w:tcPr>
          <w:p w14:paraId="58DFDDC1">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坐便器</w:t>
            </w:r>
          </w:p>
        </w:tc>
        <w:tc>
          <w:tcPr>
            <w:tcW w:w="1488" w:type="dxa"/>
            <w:tcBorders>
              <w:top w:val="single" w:color="000000" w:sz="4" w:space="0"/>
              <w:left w:val="single" w:color="000000" w:sz="4" w:space="0"/>
              <w:bottom w:val="single" w:color="000000" w:sz="4" w:space="0"/>
              <w:right w:val="single" w:color="000000" w:sz="4" w:space="0"/>
            </w:tcBorders>
            <w:vAlign w:val="center"/>
          </w:tcPr>
          <w:p w14:paraId="5A9F18BB">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67F24D54">
            <w:pPr>
              <w:pStyle w:val="63"/>
              <w:spacing w:before="131" w:line="276" w:lineRule="auto"/>
              <w:ind w:left="7" w:right="4"/>
              <w:rPr>
                <w:rFonts w:ascii="宋体" w:hAnsi="宋体" w:cs="宋体"/>
                <w:color w:val="auto"/>
                <w:kern w:val="2"/>
                <w:sz w:val="24"/>
                <w:szCs w:val="24"/>
                <w:lang w:eastAsia="zh-CN"/>
              </w:rPr>
            </w:pPr>
            <w:r>
              <w:rPr>
                <w:rFonts w:hint="eastAsia" w:ascii="宋体" w:hAnsi="宋体" w:cs="宋体"/>
                <w:color w:val="auto"/>
                <w:kern w:val="2"/>
                <w:sz w:val="24"/>
                <w:szCs w:val="24"/>
                <w:lang w:eastAsia="zh-CN"/>
              </w:rPr>
              <w:t>《坐便器水效限定值及水效等级》</w:t>
            </w:r>
          </w:p>
          <w:p w14:paraId="454911A3">
            <w:pPr>
              <w:pStyle w:val="63"/>
              <w:spacing w:before="131" w:line="276" w:lineRule="auto"/>
              <w:ind w:left="7" w:right="4"/>
              <w:rPr>
                <w:rFonts w:ascii="宋体" w:hAnsi="宋体" w:cs="宋体"/>
                <w:color w:val="auto"/>
                <w:kern w:val="2"/>
                <w:sz w:val="24"/>
                <w:szCs w:val="24"/>
                <w:lang w:eastAsia="zh-CN"/>
              </w:rPr>
            </w:pPr>
            <w:r>
              <w:rPr>
                <w:rFonts w:hint="eastAsia" w:ascii="宋体" w:hAnsi="宋体" w:cs="宋体"/>
                <w:color w:val="auto"/>
                <w:kern w:val="2"/>
                <w:sz w:val="24"/>
                <w:szCs w:val="24"/>
                <w:lang w:eastAsia="zh-CN"/>
              </w:rPr>
              <w:t>（GB25502）</w:t>
            </w:r>
          </w:p>
        </w:tc>
      </w:tr>
      <w:tr w14:paraId="257D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27F9337">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0435BE85">
            <w:pPr>
              <w:widowControl/>
              <w:jc w:val="left"/>
              <w:rPr>
                <w:rFonts w:ascii="宋体" w:hAnsi="宋体" w:cs="宋体"/>
                <w:color w:val="auto"/>
                <w:w w:val="99"/>
                <w:sz w:val="24"/>
                <w:lang w:eastAsia="en-US"/>
              </w:rPr>
            </w:pPr>
          </w:p>
        </w:tc>
        <w:tc>
          <w:tcPr>
            <w:tcW w:w="1954" w:type="dxa"/>
            <w:tcBorders>
              <w:top w:val="single" w:color="000000" w:sz="4" w:space="0"/>
              <w:left w:val="single" w:color="000000" w:sz="4" w:space="0"/>
              <w:bottom w:val="single" w:color="000000" w:sz="4" w:space="0"/>
              <w:right w:val="single" w:color="000000" w:sz="4" w:space="0"/>
            </w:tcBorders>
            <w:vAlign w:val="center"/>
          </w:tcPr>
          <w:p w14:paraId="7604E6F1">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蹲便器</w:t>
            </w:r>
          </w:p>
        </w:tc>
        <w:tc>
          <w:tcPr>
            <w:tcW w:w="1488" w:type="dxa"/>
            <w:tcBorders>
              <w:top w:val="single" w:color="000000" w:sz="4" w:space="0"/>
              <w:left w:val="single" w:color="000000" w:sz="4" w:space="0"/>
              <w:bottom w:val="single" w:color="000000" w:sz="4" w:space="0"/>
              <w:right w:val="single" w:color="000000" w:sz="4" w:space="0"/>
            </w:tcBorders>
            <w:vAlign w:val="center"/>
          </w:tcPr>
          <w:p w14:paraId="3DA54E50">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26CA610C">
            <w:pPr>
              <w:pStyle w:val="63"/>
              <w:spacing w:before="131" w:line="276" w:lineRule="auto"/>
              <w:ind w:left="7" w:right="4"/>
              <w:rPr>
                <w:rFonts w:ascii="宋体" w:hAnsi="宋体" w:cs="宋体"/>
                <w:color w:val="auto"/>
                <w:kern w:val="2"/>
                <w:sz w:val="24"/>
                <w:szCs w:val="24"/>
                <w:lang w:eastAsia="zh-CN"/>
              </w:rPr>
            </w:pPr>
            <w:r>
              <w:rPr>
                <w:rFonts w:hint="eastAsia" w:ascii="宋体" w:hAnsi="宋体" w:cs="宋体"/>
                <w:color w:val="auto"/>
                <w:kern w:val="2"/>
                <w:sz w:val="24"/>
                <w:szCs w:val="24"/>
                <w:lang w:eastAsia="zh-CN"/>
              </w:rPr>
              <w:t>《蹲便器用水效率限定值及用水效率等级》（GB30717）</w:t>
            </w:r>
          </w:p>
        </w:tc>
      </w:tr>
      <w:tr w14:paraId="4157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C549A2E">
            <w:pPr>
              <w:widowControl/>
              <w:jc w:val="left"/>
              <w:rPr>
                <w:rFonts w:ascii="宋体" w:hAnsi="宋体"/>
                <w:color w:val="auto"/>
                <w:sz w:val="24"/>
              </w:rPr>
            </w:pPr>
          </w:p>
        </w:tc>
        <w:tc>
          <w:tcPr>
            <w:tcW w:w="1543" w:type="dxa"/>
            <w:vMerge w:val="continue"/>
            <w:tcBorders>
              <w:top w:val="single" w:color="000000" w:sz="4" w:space="0"/>
              <w:left w:val="single" w:color="000000" w:sz="4" w:space="0"/>
              <w:bottom w:val="single" w:color="000000" w:sz="4" w:space="0"/>
              <w:right w:val="single" w:color="000000" w:sz="4" w:space="0"/>
            </w:tcBorders>
            <w:vAlign w:val="center"/>
          </w:tcPr>
          <w:p w14:paraId="66017129">
            <w:pPr>
              <w:widowControl/>
              <w:jc w:val="left"/>
              <w:rPr>
                <w:rFonts w:ascii="宋体" w:hAnsi="宋体" w:cs="宋体"/>
                <w:color w:val="auto"/>
                <w:w w:val="99"/>
                <w:sz w:val="24"/>
              </w:rPr>
            </w:pPr>
          </w:p>
        </w:tc>
        <w:tc>
          <w:tcPr>
            <w:tcW w:w="1954" w:type="dxa"/>
            <w:tcBorders>
              <w:top w:val="single" w:color="000000" w:sz="4" w:space="0"/>
              <w:left w:val="single" w:color="000000" w:sz="4" w:space="0"/>
              <w:bottom w:val="single" w:color="000000" w:sz="4" w:space="0"/>
              <w:right w:val="single" w:color="000000" w:sz="4" w:space="0"/>
            </w:tcBorders>
            <w:vAlign w:val="center"/>
          </w:tcPr>
          <w:p w14:paraId="7CCE4B13">
            <w:pPr>
              <w:pStyle w:val="63"/>
              <w:jc w:val="center"/>
              <w:rPr>
                <w:rFonts w:ascii="宋体" w:hAnsi="宋体" w:cs="宋体"/>
                <w:color w:val="auto"/>
                <w:kern w:val="2"/>
                <w:sz w:val="24"/>
                <w:szCs w:val="24"/>
              </w:rPr>
            </w:pPr>
            <w:r>
              <w:rPr>
                <w:rFonts w:hint="eastAsia" w:ascii="宋体" w:hAnsi="宋体" w:cs="宋体"/>
                <w:color w:val="auto"/>
                <w:w w:val="99"/>
                <w:kern w:val="2"/>
                <w:sz w:val="24"/>
                <w:szCs w:val="24"/>
              </w:rPr>
              <w:t>小便器</w:t>
            </w:r>
          </w:p>
        </w:tc>
        <w:tc>
          <w:tcPr>
            <w:tcW w:w="1488" w:type="dxa"/>
            <w:tcBorders>
              <w:top w:val="single" w:color="000000" w:sz="4" w:space="0"/>
              <w:left w:val="single" w:color="000000" w:sz="4" w:space="0"/>
              <w:bottom w:val="single" w:color="000000" w:sz="4" w:space="0"/>
              <w:right w:val="single" w:color="000000" w:sz="4" w:space="0"/>
            </w:tcBorders>
            <w:vAlign w:val="center"/>
          </w:tcPr>
          <w:p w14:paraId="45306D85">
            <w:pPr>
              <w:jc w:val="center"/>
              <w:rPr>
                <w:rFonts w:ascii="宋体" w:hAnsi="宋体"/>
                <w:color w:val="auto"/>
                <w:sz w:val="24"/>
              </w:rPr>
            </w:pPr>
          </w:p>
        </w:tc>
        <w:tc>
          <w:tcPr>
            <w:tcW w:w="4287" w:type="dxa"/>
            <w:tcBorders>
              <w:top w:val="single" w:color="000000" w:sz="4" w:space="0"/>
              <w:left w:val="single" w:color="000000" w:sz="4" w:space="0"/>
              <w:bottom w:val="single" w:color="000000" w:sz="4" w:space="0"/>
              <w:right w:val="single" w:color="000000" w:sz="4" w:space="0"/>
            </w:tcBorders>
          </w:tcPr>
          <w:p w14:paraId="41BF34CA">
            <w:pPr>
              <w:pStyle w:val="63"/>
              <w:spacing w:before="131" w:line="276" w:lineRule="auto"/>
              <w:ind w:left="7" w:right="4"/>
              <w:rPr>
                <w:rFonts w:ascii="宋体" w:hAnsi="宋体" w:cs="宋体"/>
                <w:color w:val="auto"/>
                <w:kern w:val="2"/>
                <w:sz w:val="24"/>
                <w:szCs w:val="24"/>
                <w:lang w:eastAsia="zh-CN"/>
              </w:rPr>
            </w:pPr>
            <w:r>
              <w:rPr>
                <w:rFonts w:hint="eastAsia" w:ascii="宋体" w:hAnsi="宋体" w:cs="宋体"/>
                <w:color w:val="auto"/>
                <w:kern w:val="2"/>
                <w:sz w:val="24"/>
                <w:szCs w:val="24"/>
                <w:lang w:eastAsia="zh-CN"/>
              </w:rPr>
              <w:t>《小便器用水效率限定值及用水效率等级》（GB28377）</w:t>
            </w:r>
          </w:p>
        </w:tc>
      </w:tr>
      <w:tr w14:paraId="651E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4F62F4D">
            <w:pPr>
              <w:pStyle w:val="63"/>
              <w:jc w:val="center"/>
              <w:rPr>
                <w:rFonts w:ascii="宋体" w:hAnsi="宋体" w:cs="宋体"/>
                <w:color w:val="auto"/>
                <w:kern w:val="2"/>
                <w:sz w:val="24"/>
                <w:szCs w:val="24"/>
              </w:rPr>
            </w:pPr>
            <w:r>
              <w:rPr>
                <w:rFonts w:hint="eastAsia" w:ascii="宋体" w:hAnsi="宋体"/>
                <w:color w:val="auto"/>
                <w:kern w:val="2"/>
                <w:sz w:val="24"/>
                <w:szCs w:val="24"/>
              </w:rPr>
              <w:t>16</w:t>
            </w:r>
          </w:p>
        </w:tc>
        <w:tc>
          <w:tcPr>
            <w:tcW w:w="1543" w:type="dxa"/>
            <w:tcBorders>
              <w:top w:val="single" w:color="000000" w:sz="4" w:space="0"/>
              <w:left w:val="single" w:color="000000" w:sz="4" w:space="0"/>
              <w:bottom w:val="single" w:color="000000" w:sz="4" w:space="0"/>
              <w:right w:val="single" w:color="000000" w:sz="4" w:space="0"/>
            </w:tcBorders>
            <w:vAlign w:val="center"/>
          </w:tcPr>
          <w:p w14:paraId="698DF6DD">
            <w:pPr>
              <w:pStyle w:val="63"/>
              <w:spacing w:before="153"/>
              <w:ind w:left="7"/>
              <w:jc w:val="center"/>
              <w:rPr>
                <w:rFonts w:ascii="宋体" w:hAnsi="宋体" w:cs="宋体"/>
                <w:color w:val="auto"/>
                <w:kern w:val="2"/>
                <w:sz w:val="24"/>
                <w:szCs w:val="24"/>
              </w:rPr>
            </w:pPr>
            <w:r>
              <w:rPr>
                <w:rFonts w:hint="eastAsia" w:ascii="宋体" w:hAnsi="宋体" w:cs="宋体"/>
                <w:color w:val="auto"/>
                <w:kern w:val="2"/>
                <w:sz w:val="24"/>
                <w:szCs w:val="24"/>
              </w:rPr>
              <w:t>★</w:t>
            </w:r>
            <w:r>
              <w:rPr>
                <w:rFonts w:hint="eastAsia" w:ascii="宋体" w:hAnsi="宋体" w:cs="仿宋_GB2312"/>
                <w:color w:val="auto"/>
                <w:kern w:val="2"/>
                <w:sz w:val="24"/>
                <w:szCs w:val="24"/>
              </w:rPr>
              <w:t>A05020106</w:t>
            </w:r>
            <w:r>
              <w:rPr>
                <w:rFonts w:hint="eastAsia" w:ascii="宋体" w:hAnsi="宋体" w:cs="宋体"/>
                <w:color w:val="auto"/>
                <w:kern w:val="2"/>
                <w:sz w:val="24"/>
                <w:szCs w:val="24"/>
              </w:rPr>
              <w:t>水</w:t>
            </w:r>
            <w:r>
              <w:rPr>
                <w:rFonts w:hint="eastAsia" w:ascii="宋体" w:hAnsi="宋体" w:cs="宋体"/>
                <w:color w:val="auto"/>
                <w:w w:val="99"/>
                <w:kern w:val="2"/>
                <w:sz w:val="24"/>
                <w:szCs w:val="24"/>
              </w:rPr>
              <w:t>嘴</w:t>
            </w:r>
          </w:p>
        </w:tc>
        <w:tc>
          <w:tcPr>
            <w:tcW w:w="1954" w:type="dxa"/>
            <w:tcBorders>
              <w:top w:val="single" w:color="000000" w:sz="4" w:space="0"/>
              <w:left w:val="single" w:color="000000" w:sz="4" w:space="0"/>
              <w:bottom w:val="single" w:color="000000" w:sz="4" w:space="0"/>
              <w:right w:val="single" w:color="000000" w:sz="4" w:space="0"/>
            </w:tcBorders>
            <w:vAlign w:val="center"/>
          </w:tcPr>
          <w:p w14:paraId="2A610295">
            <w:pPr>
              <w:jc w:val="center"/>
              <w:rPr>
                <w:rFonts w:ascii="宋体" w:hAnsi="宋体"/>
                <w:color w:val="auto"/>
                <w:sz w:val="24"/>
                <w:lang w:eastAsia="en-US"/>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6B970D7E">
            <w:pPr>
              <w:jc w:val="center"/>
              <w:rPr>
                <w:rFonts w:ascii="宋体" w:hAnsi="宋体"/>
                <w:color w:val="auto"/>
                <w:sz w:val="24"/>
                <w:lang w:eastAsia="en-US"/>
              </w:rPr>
            </w:pPr>
          </w:p>
        </w:tc>
        <w:tc>
          <w:tcPr>
            <w:tcW w:w="4287" w:type="dxa"/>
            <w:tcBorders>
              <w:top w:val="single" w:color="000000" w:sz="4" w:space="0"/>
              <w:left w:val="single" w:color="000000" w:sz="4" w:space="0"/>
              <w:bottom w:val="single" w:color="000000" w:sz="4" w:space="0"/>
              <w:right w:val="single" w:color="000000" w:sz="4" w:space="0"/>
            </w:tcBorders>
          </w:tcPr>
          <w:p w14:paraId="684742A9">
            <w:pPr>
              <w:pStyle w:val="63"/>
              <w:spacing w:before="153" w:line="276" w:lineRule="auto"/>
              <w:ind w:left="7" w:right="4"/>
              <w:rPr>
                <w:rFonts w:ascii="宋体" w:hAnsi="宋体" w:cs="宋体"/>
                <w:color w:val="auto"/>
                <w:kern w:val="2"/>
                <w:sz w:val="24"/>
                <w:szCs w:val="24"/>
                <w:lang w:eastAsia="zh-CN"/>
              </w:rPr>
            </w:pPr>
            <w:r>
              <w:rPr>
                <w:rFonts w:hint="eastAsia" w:ascii="宋体" w:hAnsi="宋体" w:cs="宋体"/>
                <w:color w:val="auto"/>
                <w:spacing w:val="10"/>
                <w:kern w:val="2"/>
                <w:sz w:val="24"/>
                <w:szCs w:val="24"/>
                <w:lang w:eastAsia="zh-CN"/>
              </w:rPr>
              <w:t>《水嘴用水效率限定值及用水效</w:t>
            </w:r>
            <w:r>
              <w:rPr>
                <w:rFonts w:hint="eastAsia" w:ascii="宋体" w:hAnsi="宋体" w:cs="宋体"/>
                <w:color w:val="auto"/>
                <w:kern w:val="2"/>
                <w:sz w:val="24"/>
                <w:szCs w:val="24"/>
                <w:lang w:eastAsia="zh-CN"/>
              </w:rPr>
              <w:t>率等级》（GB 25501）</w:t>
            </w:r>
          </w:p>
        </w:tc>
      </w:tr>
      <w:tr w14:paraId="1CA5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7A7C83D">
            <w:pPr>
              <w:pStyle w:val="63"/>
              <w:jc w:val="center"/>
              <w:rPr>
                <w:rFonts w:ascii="宋体" w:hAnsi="宋体" w:cs="宋体"/>
                <w:color w:val="auto"/>
                <w:kern w:val="2"/>
                <w:sz w:val="24"/>
                <w:szCs w:val="24"/>
              </w:rPr>
            </w:pPr>
            <w:r>
              <w:rPr>
                <w:rFonts w:hint="eastAsia" w:ascii="宋体" w:hAnsi="宋体"/>
                <w:color w:val="auto"/>
                <w:kern w:val="2"/>
                <w:sz w:val="24"/>
                <w:szCs w:val="24"/>
              </w:rPr>
              <w:t>17</w:t>
            </w:r>
          </w:p>
        </w:tc>
        <w:tc>
          <w:tcPr>
            <w:tcW w:w="1543" w:type="dxa"/>
            <w:tcBorders>
              <w:top w:val="single" w:color="000000" w:sz="4" w:space="0"/>
              <w:left w:val="single" w:color="000000" w:sz="4" w:space="0"/>
              <w:bottom w:val="single" w:color="000000" w:sz="4" w:space="0"/>
              <w:right w:val="single" w:color="000000" w:sz="4" w:space="0"/>
            </w:tcBorders>
            <w:vAlign w:val="center"/>
          </w:tcPr>
          <w:p w14:paraId="2CCFBA6D">
            <w:pPr>
              <w:pStyle w:val="63"/>
              <w:spacing w:before="112"/>
              <w:ind w:left="7"/>
              <w:jc w:val="center"/>
              <w:rPr>
                <w:rFonts w:ascii="宋体" w:hAnsi="宋体" w:cs="宋体"/>
                <w:color w:val="auto"/>
                <w:kern w:val="2"/>
                <w:sz w:val="24"/>
                <w:szCs w:val="24"/>
              </w:rPr>
            </w:pPr>
            <w:r>
              <w:rPr>
                <w:rFonts w:hint="eastAsia" w:ascii="宋体" w:hAnsi="宋体" w:cs="仿宋_GB2312"/>
                <w:color w:val="auto"/>
                <w:kern w:val="2"/>
                <w:sz w:val="24"/>
                <w:szCs w:val="24"/>
              </w:rPr>
              <w:t>A05020107</w:t>
            </w:r>
            <w:r>
              <w:rPr>
                <w:rFonts w:hint="eastAsia" w:ascii="宋体" w:hAnsi="宋体" w:cs="宋体"/>
                <w:color w:val="auto"/>
                <w:kern w:val="2"/>
                <w:sz w:val="24"/>
                <w:szCs w:val="24"/>
              </w:rPr>
              <w:t>便器冲洗阀</w:t>
            </w:r>
          </w:p>
        </w:tc>
        <w:tc>
          <w:tcPr>
            <w:tcW w:w="1954" w:type="dxa"/>
            <w:tcBorders>
              <w:top w:val="single" w:color="000000" w:sz="4" w:space="0"/>
              <w:left w:val="single" w:color="000000" w:sz="4" w:space="0"/>
              <w:bottom w:val="single" w:color="000000" w:sz="4" w:space="0"/>
              <w:right w:val="single" w:color="000000" w:sz="4" w:space="0"/>
            </w:tcBorders>
            <w:vAlign w:val="center"/>
          </w:tcPr>
          <w:p w14:paraId="5865FA8F">
            <w:pPr>
              <w:jc w:val="center"/>
              <w:rPr>
                <w:rFonts w:ascii="宋体" w:hAnsi="宋体"/>
                <w:color w:val="auto"/>
                <w:sz w:val="24"/>
                <w:lang w:eastAsia="en-US"/>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6220DCE9">
            <w:pPr>
              <w:jc w:val="center"/>
              <w:rPr>
                <w:rFonts w:ascii="宋体" w:hAnsi="宋体"/>
                <w:color w:val="auto"/>
                <w:sz w:val="24"/>
                <w:lang w:eastAsia="en-US"/>
              </w:rPr>
            </w:pPr>
          </w:p>
        </w:tc>
        <w:tc>
          <w:tcPr>
            <w:tcW w:w="4287" w:type="dxa"/>
            <w:tcBorders>
              <w:top w:val="single" w:color="000000" w:sz="4" w:space="0"/>
              <w:left w:val="single" w:color="000000" w:sz="4" w:space="0"/>
              <w:bottom w:val="single" w:color="000000" w:sz="4" w:space="0"/>
              <w:right w:val="single" w:color="000000" w:sz="4" w:space="0"/>
            </w:tcBorders>
          </w:tcPr>
          <w:p w14:paraId="54222801">
            <w:pPr>
              <w:pStyle w:val="63"/>
              <w:spacing w:before="112" w:line="276" w:lineRule="auto"/>
              <w:ind w:left="7" w:right="4"/>
              <w:rPr>
                <w:rFonts w:ascii="宋体" w:hAnsi="宋体" w:cs="宋体"/>
                <w:color w:val="auto"/>
                <w:kern w:val="2"/>
                <w:sz w:val="24"/>
                <w:szCs w:val="24"/>
                <w:lang w:eastAsia="zh-CN"/>
              </w:rPr>
            </w:pPr>
            <w:r>
              <w:rPr>
                <w:rFonts w:hint="eastAsia" w:ascii="宋体" w:hAnsi="宋体" w:cs="宋体"/>
                <w:color w:val="auto"/>
                <w:spacing w:val="10"/>
                <w:kern w:val="2"/>
                <w:sz w:val="24"/>
                <w:szCs w:val="24"/>
                <w:lang w:eastAsia="zh-CN"/>
              </w:rPr>
              <w:t>《便器冲洗阀用水效率限定值及</w:t>
            </w:r>
            <w:r>
              <w:rPr>
                <w:rFonts w:hint="eastAsia" w:ascii="宋体" w:hAnsi="宋体" w:cs="宋体"/>
                <w:color w:val="auto"/>
                <w:kern w:val="2"/>
                <w:sz w:val="24"/>
                <w:szCs w:val="24"/>
                <w:lang w:eastAsia="zh-CN"/>
              </w:rPr>
              <w:t>用水效率等级》（GB28379）</w:t>
            </w:r>
          </w:p>
        </w:tc>
      </w:tr>
      <w:tr w14:paraId="7340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2899F1F">
            <w:pPr>
              <w:pStyle w:val="63"/>
              <w:jc w:val="center"/>
              <w:rPr>
                <w:rFonts w:ascii="宋体" w:hAnsi="宋体" w:cs="宋体"/>
                <w:color w:val="auto"/>
                <w:kern w:val="2"/>
                <w:sz w:val="24"/>
                <w:szCs w:val="24"/>
              </w:rPr>
            </w:pPr>
            <w:r>
              <w:rPr>
                <w:rFonts w:hint="eastAsia" w:ascii="宋体" w:hAnsi="宋体"/>
                <w:color w:val="auto"/>
                <w:kern w:val="2"/>
                <w:sz w:val="24"/>
                <w:szCs w:val="24"/>
              </w:rPr>
              <w:t>18</w:t>
            </w:r>
          </w:p>
        </w:tc>
        <w:tc>
          <w:tcPr>
            <w:tcW w:w="1543" w:type="dxa"/>
            <w:tcBorders>
              <w:top w:val="single" w:color="000000" w:sz="4" w:space="0"/>
              <w:left w:val="single" w:color="000000" w:sz="4" w:space="0"/>
              <w:bottom w:val="single" w:color="000000" w:sz="4" w:space="0"/>
              <w:right w:val="single" w:color="000000" w:sz="4" w:space="0"/>
            </w:tcBorders>
            <w:vAlign w:val="center"/>
          </w:tcPr>
          <w:p w14:paraId="0BBD8E09">
            <w:pPr>
              <w:pStyle w:val="63"/>
              <w:spacing w:before="131"/>
              <w:ind w:left="7"/>
              <w:jc w:val="center"/>
              <w:rPr>
                <w:rFonts w:ascii="宋体" w:hAnsi="宋体" w:cs="宋体"/>
                <w:color w:val="auto"/>
                <w:kern w:val="2"/>
                <w:sz w:val="24"/>
                <w:szCs w:val="24"/>
              </w:rPr>
            </w:pPr>
            <w:r>
              <w:rPr>
                <w:rFonts w:hint="eastAsia" w:ascii="宋体" w:hAnsi="宋体" w:cs="仿宋_GB2312"/>
                <w:color w:val="auto"/>
                <w:kern w:val="2"/>
                <w:sz w:val="24"/>
                <w:szCs w:val="24"/>
              </w:rPr>
              <w:t>A05020110</w:t>
            </w:r>
            <w:r>
              <w:rPr>
                <w:rFonts w:hint="eastAsia" w:ascii="宋体" w:hAnsi="宋体" w:cs="宋体"/>
                <w:color w:val="auto"/>
                <w:kern w:val="2"/>
                <w:sz w:val="24"/>
                <w:szCs w:val="24"/>
              </w:rPr>
              <w:t>淋浴</w:t>
            </w:r>
            <w:r>
              <w:rPr>
                <w:rFonts w:hint="eastAsia" w:ascii="宋体" w:hAnsi="宋体" w:cs="宋体"/>
                <w:color w:val="auto"/>
                <w:w w:val="99"/>
                <w:kern w:val="2"/>
                <w:sz w:val="24"/>
                <w:szCs w:val="24"/>
              </w:rPr>
              <w:t>器</w:t>
            </w:r>
          </w:p>
        </w:tc>
        <w:tc>
          <w:tcPr>
            <w:tcW w:w="1954" w:type="dxa"/>
            <w:tcBorders>
              <w:top w:val="single" w:color="000000" w:sz="4" w:space="0"/>
              <w:left w:val="single" w:color="000000" w:sz="4" w:space="0"/>
              <w:bottom w:val="single" w:color="000000" w:sz="4" w:space="0"/>
              <w:right w:val="single" w:color="000000" w:sz="4" w:space="0"/>
            </w:tcBorders>
            <w:vAlign w:val="center"/>
          </w:tcPr>
          <w:p w14:paraId="5B75ACEB">
            <w:pPr>
              <w:jc w:val="center"/>
              <w:rPr>
                <w:rFonts w:ascii="宋体" w:hAnsi="宋体"/>
                <w:color w:val="auto"/>
                <w:sz w:val="24"/>
                <w:lang w:eastAsia="en-US"/>
              </w:rPr>
            </w:pPr>
          </w:p>
        </w:tc>
        <w:tc>
          <w:tcPr>
            <w:tcW w:w="1488" w:type="dxa"/>
            <w:tcBorders>
              <w:top w:val="single" w:color="000000" w:sz="4" w:space="0"/>
              <w:left w:val="single" w:color="000000" w:sz="4" w:space="0"/>
              <w:bottom w:val="single" w:color="000000" w:sz="4" w:space="0"/>
              <w:right w:val="single" w:color="000000" w:sz="4" w:space="0"/>
            </w:tcBorders>
            <w:vAlign w:val="center"/>
          </w:tcPr>
          <w:p w14:paraId="582E4C5F">
            <w:pPr>
              <w:jc w:val="center"/>
              <w:rPr>
                <w:rFonts w:ascii="宋体" w:hAnsi="宋体"/>
                <w:color w:val="auto"/>
                <w:sz w:val="24"/>
                <w:lang w:eastAsia="en-US"/>
              </w:rPr>
            </w:pPr>
          </w:p>
        </w:tc>
        <w:tc>
          <w:tcPr>
            <w:tcW w:w="4287" w:type="dxa"/>
            <w:tcBorders>
              <w:top w:val="single" w:color="000000" w:sz="4" w:space="0"/>
              <w:left w:val="single" w:color="000000" w:sz="4" w:space="0"/>
              <w:bottom w:val="single" w:color="000000" w:sz="4" w:space="0"/>
              <w:right w:val="single" w:color="000000" w:sz="4" w:space="0"/>
            </w:tcBorders>
          </w:tcPr>
          <w:p w14:paraId="788F8B57">
            <w:pPr>
              <w:pStyle w:val="63"/>
              <w:spacing w:before="131" w:line="276" w:lineRule="auto"/>
              <w:ind w:left="7" w:right="4"/>
              <w:rPr>
                <w:rFonts w:ascii="宋体" w:hAnsi="宋体" w:cs="宋体"/>
                <w:color w:val="auto"/>
                <w:kern w:val="2"/>
                <w:sz w:val="24"/>
                <w:szCs w:val="24"/>
                <w:lang w:eastAsia="zh-CN"/>
              </w:rPr>
            </w:pPr>
            <w:r>
              <w:rPr>
                <w:rFonts w:hint="eastAsia" w:ascii="宋体" w:hAnsi="宋体" w:cs="宋体"/>
                <w:color w:val="auto"/>
                <w:spacing w:val="10"/>
                <w:kern w:val="2"/>
                <w:sz w:val="24"/>
                <w:szCs w:val="24"/>
                <w:lang w:eastAsia="zh-CN"/>
              </w:rPr>
              <w:t>《淋浴器用水效率限定值及用水</w:t>
            </w:r>
            <w:r>
              <w:rPr>
                <w:rFonts w:hint="eastAsia" w:ascii="宋体" w:hAnsi="宋体" w:cs="宋体"/>
                <w:color w:val="auto"/>
                <w:kern w:val="2"/>
                <w:sz w:val="24"/>
                <w:szCs w:val="24"/>
                <w:lang w:eastAsia="zh-CN"/>
              </w:rPr>
              <w:t>效率等级》（GB28378）</w:t>
            </w:r>
          </w:p>
        </w:tc>
      </w:tr>
    </w:tbl>
    <w:p w14:paraId="38FF06A0">
      <w:pPr>
        <w:spacing w:line="360" w:lineRule="auto"/>
        <w:ind w:firstLine="470" w:firstLineChars="200"/>
        <w:rPr>
          <w:rFonts w:ascii="楷体" w:hAnsi="楷体" w:eastAsia="楷体" w:cs="宋体"/>
          <w:color w:val="auto"/>
          <w:spacing w:val="-3"/>
          <w:kern w:val="0"/>
          <w:sz w:val="24"/>
        </w:rPr>
      </w:pPr>
      <w:r>
        <w:rPr>
          <w:rFonts w:hint="eastAsia" w:ascii="楷体" w:hAnsi="楷体" w:eastAsia="楷体" w:cs="宋体"/>
          <w:b/>
          <w:color w:val="auto"/>
          <w:spacing w:val="-3"/>
          <w:kern w:val="0"/>
          <w:sz w:val="24"/>
        </w:rPr>
        <w:t>注：</w:t>
      </w:r>
      <w:r>
        <w:rPr>
          <w:rFonts w:hint="eastAsia" w:ascii="楷体" w:hAnsi="楷体" w:eastAsia="楷体" w:cs="宋体"/>
          <w:color w:val="auto"/>
          <w:spacing w:val="-3"/>
          <w:kern w:val="0"/>
          <w:sz w:val="24"/>
        </w:rPr>
        <w:t>1.节能产品认证应依据相关国家标准的最新版本，依据国家标准中二级能效（水效）指标。</w:t>
      </w:r>
    </w:p>
    <w:p w14:paraId="3ACBB41A">
      <w:pPr>
        <w:spacing w:line="360" w:lineRule="auto"/>
        <w:ind w:firstLine="468" w:firstLineChars="200"/>
        <w:rPr>
          <w:rFonts w:ascii="楷体" w:hAnsi="楷体" w:eastAsia="楷体" w:cs="宋体"/>
          <w:color w:val="auto"/>
          <w:spacing w:val="-3"/>
          <w:kern w:val="0"/>
          <w:sz w:val="24"/>
        </w:rPr>
      </w:pPr>
      <w:r>
        <w:rPr>
          <w:rFonts w:hint="eastAsia" w:ascii="楷体" w:hAnsi="楷体" w:eastAsia="楷体" w:cs="宋体"/>
          <w:color w:val="auto"/>
          <w:spacing w:val="-3"/>
          <w:kern w:val="0"/>
          <w:sz w:val="24"/>
        </w:rPr>
        <w:t>2.以“★”标注的为政府强制采购产品。</w:t>
      </w:r>
    </w:p>
    <w:p w14:paraId="316F6959">
      <w:pPr>
        <w:pStyle w:val="15"/>
        <w:ind w:firstLine="468" w:firstLineChars="200"/>
        <w:jc w:val="left"/>
        <w:rPr>
          <w:rFonts w:hAnsi="宋体" w:cs="宋体"/>
          <w:color w:val="auto"/>
          <w:sz w:val="24"/>
          <w:szCs w:val="24"/>
        </w:rPr>
      </w:pPr>
      <w:r>
        <w:rPr>
          <w:rFonts w:hint="eastAsia" w:ascii="楷体" w:hAnsi="楷体" w:eastAsia="楷体" w:cs="宋体"/>
          <w:color w:val="auto"/>
          <w:spacing w:val="-3"/>
          <w:sz w:val="24"/>
          <w:szCs w:val="24"/>
        </w:rPr>
        <w:t>3.本表格原为《关于印发节能产品政府采购品目清单的通知》（财库〔2019〕19号）规定的表格附件，其中名称及编码已根据《财政部关于印发〈政府采购品目分类目录〉的通知》（财库〔2022〕31号）修改。</w:t>
      </w:r>
    </w:p>
    <w:p w14:paraId="666D2766">
      <w:pPr>
        <w:rPr>
          <w:rFonts w:hAnsi="宋体" w:cs="宋体"/>
          <w:color w:val="auto"/>
          <w:sz w:val="24"/>
        </w:rPr>
      </w:pPr>
      <w:r>
        <w:rPr>
          <w:rFonts w:hint="eastAsia" w:hAnsi="宋体" w:cs="宋体"/>
          <w:color w:val="auto"/>
          <w:sz w:val="24"/>
        </w:rPr>
        <w:br w:type="page"/>
      </w:r>
    </w:p>
    <w:p w14:paraId="09ACFB92">
      <w:pPr>
        <w:pStyle w:val="15"/>
        <w:ind w:firstLine="480" w:firstLineChars="200"/>
        <w:jc w:val="left"/>
        <w:rPr>
          <w:rFonts w:hAnsi="宋体" w:cs="宋体"/>
          <w:color w:val="auto"/>
          <w:sz w:val="24"/>
          <w:szCs w:val="24"/>
        </w:rPr>
      </w:pPr>
      <w:r>
        <w:rPr>
          <w:rFonts w:hint="eastAsia" w:hAnsi="宋体" w:cs="宋体"/>
          <w:color w:val="auto"/>
          <w:sz w:val="24"/>
          <w:szCs w:val="24"/>
        </w:rPr>
        <w:t>附件2：</w:t>
      </w:r>
    </w:p>
    <w:p w14:paraId="57F72700">
      <w:pPr>
        <w:spacing w:line="528" w:lineRule="exact"/>
        <w:ind w:left="220"/>
        <w:jc w:val="center"/>
        <w:rPr>
          <w:rFonts w:ascii="宋体" w:hAnsi="宋体" w:cs="宋体"/>
          <w:b/>
          <w:bCs/>
          <w:color w:val="auto"/>
          <w:sz w:val="36"/>
          <w:szCs w:val="36"/>
        </w:rPr>
      </w:pPr>
      <w:r>
        <w:rPr>
          <w:rFonts w:hint="eastAsia" w:ascii="宋体" w:hAnsi="宋体" w:cs="宋体"/>
          <w:b/>
          <w:bCs/>
          <w:color w:val="auto"/>
          <w:sz w:val="36"/>
          <w:szCs w:val="36"/>
        </w:rPr>
        <w:t>中小微企业划型标准</w:t>
      </w:r>
    </w:p>
    <w:tbl>
      <w:tblPr>
        <w:tblStyle w:val="27"/>
        <w:tblW w:w="9418" w:type="dxa"/>
        <w:tblInd w:w="250" w:type="dxa"/>
        <w:tblLayout w:type="fixed"/>
        <w:tblCellMar>
          <w:top w:w="0" w:type="dxa"/>
          <w:left w:w="108" w:type="dxa"/>
          <w:bottom w:w="0" w:type="dxa"/>
          <w:right w:w="108" w:type="dxa"/>
        </w:tblCellMar>
      </w:tblPr>
      <w:tblGrid>
        <w:gridCol w:w="2007"/>
        <w:gridCol w:w="1633"/>
        <w:gridCol w:w="1077"/>
        <w:gridCol w:w="1911"/>
        <w:gridCol w:w="1699"/>
        <w:gridCol w:w="1091"/>
      </w:tblGrid>
      <w:tr w14:paraId="7A6028A1">
        <w:tblPrEx>
          <w:tblCellMar>
            <w:top w:w="0" w:type="dxa"/>
            <w:left w:w="108" w:type="dxa"/>
            <w:bottom w:w="0" w:type="dxa"/>
            <w:right w:w="108" w:type="dxa"/>
          </w:tblCellMar>
        </w:tblPrEx>
        <w:trPr>
          <w:trHeight w:val="364" w:hRule="atLeast"/>
        </w:trPr>
        <w:tc>
          <w:tcPr>
            <w:tcW w:w="2007" w:type="dxa"/>
            <w:tcBorders>
              <w:top w:val="single" w:color="auto" w:sz="4" w:space="0"/>
              <w:left w:val="single" w:color="auto" w:sz="4" w:space="0"/>
              <w:bottom w:val="single" w:color="auto" w:sz="4" w:space="0"/>
              <w:right w:val="single" w:color="auto" w:sz="4" w:space="0"/>
            </w:tcBorders>
            <w:vAlign w:val="center"/>
          </w:tcPr>
          <w:p w14:paraId="35F4FCDD">
            <w:pPr>
              <w:widowControl/>
              <w:jc w:val="center"/>
              <w:rPr>
                <w:rFonts w:ascii="宋体" w:hAnsi="宋体" w:cs="宋体"/>
                <w:b/>
                <w:color w:val="auto"/>
                <w:kern w:val="0"/>
                <w:sz w:val="20"/>
                <w:szCs w:val="20"/>
              </w:rPr>
            </w:pPr>
            <w:r>
              <w:rPr>
                <w:rFonts w:hint="eastAsia" w:ascii="宋体" w:hAnsi="宋体" w:cs="宋体"/>
                <w:b/>
                <w:color w:val="auto"/>
                <w:kern w:val="0"/>
                <w:sz w:val="20"/>
                <w:szCs w:val="20"/>
              </w:rPr>
              <w:t>行业名称</w:t>
            </w:r>
          </w:p>
        </w:tc>
        <w:tc>
          <w:tcPr>
            <w:tcW w:w="1633" w:type="dxa"/>
            <w:tcBorders>
              <w:top w:val="single" w:color="auto" w:sz="4" w:space="0"/>
              <w:left w:val="nil"/>
              <w:bottom w:val="single" w:color="auto" w:sz="4" w:space="0"/>
              <w:right w:val="single" w:color="auto" w:sz="4" w:space="0"/>
            </w:tcBorders>
            <w:vAlign w:val="center"/>
          </w:tcPr>
          <w:p w14:paraId="399D8754">
            <w:pPr>
              <w:widowControl/>
              <w:jc w:val="center"/>
              <w:rPr>
                <w:rFonts w:ascii="宋体" w:hAnsi="宋体" w:cs="宋体"/>
                <w:b/>
                <w:color w:val="auto"/>
                <w:kern w:val="0"/>
                <w:sz w:val="20"/>
                <w:szCs w:val="20"/>
              </w:rPr>
            </w:pPr>
            <w:r>
              <w:rPr>
                <w:rFonts w:hint="eastAsia" w:ascii="宋体" w:hAnsi="宋体" w:cs="宋体"/>
                <w:b/>
                <w:color w:val="auto"/>
                <w:kern w:val="0"/>
                <w:sz w:val="20"/>
                <w:szCs w:val="20"/>
              </w:rPr>
              <w:t>指标名称</w:t>
            </w:r>
          </w:p>
        </w:tc>
        <w:tc>
          <w:tcPr>
            <w:tcW w:w="1077" w:type="dxa"/>
            <w:tcBorders>
              <w:top w:val="single" w:color="auto" w:sz="4" w:space="0"/>
              <w:left w:val="nil"/>
              <w:bottom w:val="single" w:color="auto" w:sz="4" w:space="0"/>
              <w:right w:val="single" w:color="auto" w:sz="4" w:space="0"/>
            </w:tcBorders>
            <w:vAlign w:val="center"/>
          </w:tcPr>
          <w:p w14:paraId="5BA53BDA">
            <w:pPr>
              <w:widowControl/>
              <w:jc w:val="center"/>
              <w:rPr>
                <w:rFonts w:ascii="宋体" w:hAnsi="宋体" w:cs="宋体"/>
                <w:b/>
                <w:color w:val="auto"/>
                <w:kern w:val="0"/>
                <w:sz w:val="20"/>
                <w:szCs w:val="20"/>
              </w:rPr>
            </w:pPr>
            <w:r>
              <w:rPr>
                <w:rFonts w:hint="eastAsia" w:ascii="宋体" w:hAnsi="宋体" w:cs="宋体"/>
                <w:b/>
                <w:color w:val="auto"/>
                <w:kern w:val="0"/>
                <w:sz w:val="20"/>
                <w:szCs w:val="20"/>
              </w:rPr>
              <w:t>计量单位</w:t>
            </w:r>
          </w:p>
        </w:tc>
        <w:tc>
          <w:tcPr>
            <w:tcW w:w="1911" w:type="dxa"/>
            <w:tcBorders>
              <w:top w:val="single" w:color="auto" w:sz="4" w:space="0"/>
              <w:left w:val="nil"/>
              <w:bottom w:val="single" w:color="auto" w:sz="4" w:space="0"/>
              <w:right w:val="single" w:color="auto" w:sz="4" w:space="0"/>
            </w:tcBorders>
            <w:vAlign w:val="center"/>
          </w:tcPr>
          <w:p w14:paraId="32FA0D51">
            <w:pPr>
              <w:widowControl/>
              <w:jc w:val="center"/>
              <w:rPr>
                <w:rFonts w:ascii="宋体" w:hAnsi="宋体" w:cs="宋体"/>
                <w:b/>
                <w:color w:val="auto"/>
                <w:kern w:val="0"/>
                <w:sz w:val="20"/>
                <w:szCs w:val="20"/>
              </w:rPr>
            </w:pPr>
            <w:r>
              <w:rPr>
                <w:rFonts w:hint="eastAsia" w:ascii="宋体" w:hAnsi="宋体" w:cs="宋体"/>
                <w:b/>
                <w:color w:val="auto"/>
                <w:kern w:val="0"/>
                <w:sz w:val="20"/>
                <w:szCs w:val="20"/>
              </w:rPr>
              <w:t>中型</w:t>
            </w:r>
          </w:p>
        </w:tc>
        <w:tc>
          <w:tcPr>
            <w:tcW w:w="1699" w:type="dxa"/>
            <w:tcBorders>
              <w:top w:val="single" w:color="auto" w:sz="4" w:space="0"/>
              <w:left w:val="nil"/>
              <w:bottom w:val="single" w:color="auto" w:sz="4" w:space="0"/>
              <w:right w:val="single" w:color="auto" w:sz="4" w:space="0"/>
            </w:tcBorders>
            <w:vAlign w:val="center"/>
          </w:tcPr>
          <w:p w14:paraId="51767D1E">
            <w:pPr>
              <w:widowControl/>
              <w:jc w:val="center"/>
              <w:rPr>
                <w:rFonts w:ascii="宋体" w:hAnsi="宋体" w:cs="宋体"/>
                <w:b/>
                <w:color w:val="auto"/>
                <w:kern w:val="0"/>
                <w:sz w:val="20"/>
                <w:szCs w:val="20"/>
              </w:rPr>
            </w:pPr>
            <w:r>
              <w:rPr>
                <w:rFonts w:hint="eastAsia" w:ascii="宋体" w:hAnsi="宋体" w:cs="宋体"/>
                <w:b/>
                <w:color w:val="auto"/>
                <w:kern w:val="0"/>
                <w:sz w:val="20"/>
                <w:szCs w:val="20"/>
              </w:rPr>
              <w:t>小型</w:t>
            </w:r>
          </w:p>
        </w:tc>
        <w:tc>
          <w:tcPr>
            <w:tcW w:w="1091" w:type="dxa"/>
            <w:tcBorders>
              <w:top w:val="single" w:color="auto" w:sz="4" w:space="0"/>
              <w:left w:val="nil"/>
              <w:bottom w:val="single" w:color="auto" w:sz="4" w:space="0"/>
              <w:right w:val="single" w:color="auto" w:sz="4" w:space="0"/>
            </w:tcBorders>
            <w:vAlign w:val="center"/>
          </w:tcPr>
          <w:p w14:paraId="61CF940F">
            <w:pPr>
              <w:widowControl/>
              <w:jc w:val="center"/>
              <w:rPr>
                <w:rFonts w:ascii="宋体" w:hAnsi="宋体" w:cs="宋体"/>
                <w:b/>
                <w:color w:val="auto"/>
                <w:kern w:val="0"/>
                <w:sz w:val="20"/>
                <w:szCs w:val="20"/>
              </w:rPr>
            </w:pPr>
            <w:r>
              <w:rPr>
                <w:rFonts w:hint="eastAsia" w:ascii="宋体" w:hAnsi="宋体" w:cs="宋体"/>
                <w:b/>
                <w:color w:val="auto"/>
                <w:kern w:val="0"/>
                <w:sz w:val="20"/>
                <w:szCs w:val="20"/>
              </w:rPr>
              <w:t>微型</w:t>
            </w:r>
          </w:p>
        </w:tc>
      </w:tr>
      <w:tr w14:paraId="3120EEF2">
        <w:tblPrEx>
          <w:tblCellMar>
            <w:top w:w="0" w:type="dxa"/>
            <w:left w:w="108" w:type="dxa"/>
            <w:bottom w:w="0" w:type="dxa"/>
            <w:right w:w="108" w:type="dxa"/>
          </w:tblCellMar>
        </w:tblPrEx>
        <w:trPr>
          <w:trHeight w:val="364" w:hRule="atLeast"/>
        </w:trPr>
        <w:tc>
          <w:tcPr>
            <w:tcW w:w="2007" w:type="dxa"/>
            <w:tcBorders>
              <w:top w:val="nil"/>
              <w:left w:val="single" w:color="auto" w:sz="4" w:space="0"/>
              <w:bottom w:val="single" w:color="auto" w:sz="4" w:space="0"/>
              <w:right w:val="single" w:color="auto" w:sz="4" w:space="0"/>
            </w:tcBorders>
            <w:vAlign w:val="bottom"/>
          </w:tcPr>
          <w:p w14:paraId="47600629">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农、林、牧、渔</w:t>
            </w:r>
          </w:p>
        </w:tc>
        <w:tc>
          <w:tcPr>
            <w:tcW w:w="1633" w:type="dxa"/>
            <w:tcBorders>
              <w:top w:val="nil"/>
              <w:left w:val="nil"/>
              <w:bottom w:val="single" w:color="auto" w:sz="4" w:space="0"/>
              <w:right w:val="single" w:color="auto" w:sz="4" w:space="0"/>
            </w:tcBorders>
            <w:vAlign w:val="center"/>
          </w:tcPr>
          <w:p w14:paraId="17690BB7">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0E1B7D40">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23BB7938">
            <w:pPr>
              <w:widowControl/>
              <w:jc w:val="left"/>
              <w:rPr>
                <w:rFonts w:ascii="宋体" w:hAnsi="宋体" w:cs="宋体"/>
                <w:color w:val="auto"/>
                <w:kern w:val="0"/>
                <w:sz w:val="20"/>
                <w:szCs w:val="20"/>
              </w:rPr>
            </w:pPr>
            <w:r>
              <w:rPr>
                <w:rFonts w:hint="eastAsia" w:ascii="宋体" w:hAnsi="宋体" w:cs="宋体"/>
                <w:color w:val="auto"/>
                <w:kern w:val="0"/>
                <w:sz w:val="20"/>
                <w:szCs w:val="20"/>
              </w:rPr>
              <w:t>500≤Y＜20000</w:t>
            </w:r>
          </w:p>
        </w:tc>
        <w:tc>
          <w:tcPr>
            <w:tcW w:w="1699" w:type="dxa"/>
            <w:tcBorders>
              <w:top w:val="nil"/>
              <w:left w:val="nil"/>
              <w:bottom w:val="single" w:color="auto" w:sz="4" w:space="0"/>
              <w:right w:val="single" w:color="auto" w:sz="4" w:space="0"/>
            </w:tcBorders>
            <w:vAlign w:val="center"/>
          </w:tcPr>
          <w:p w14:paraId="1E53F94A">
            <w:pPr>
              <w:widowControl/>
              <w:jc w:val="left"/>
              <w:rPr>
                <w:rFonts w:ascii="宋体" w:hAnsi="宋体" w:cs="宋体"/>
                <w:color w:val="auto"/>
                <w:kern w:val="0"/>
                <w:sz w:val="20"/>
                <w:szCs w:val="20"/>
              </w:rPr>
            </w:pPr>
            <w:r>
              <w:rPr>
                <w:rFonts w:hint="eastAsia" w:ascii="宋体" w:hAnsi="宋体" w:cs="宋体"/>
                <w:color w:val="auto"/>
                <w:kern w:val="0"/>
                <w:sz w:val="20"/>
                <w:szCs w:val="20"/>
              </w:rPr>
              <w:t>50≤Y＜500</w:t>
            </w:r>
          </w:p>
        </w:tc>
        <w:tc>
          <w:tcPr>
            <w:tcW w:w="1091" w:type="dxa"/>
            <w:tcBorders>
              <w:top w:val="nil"/>
              <w:left w:val="nil"/>
              <w:bottom w:val="single" w:color="auto" w:sz="4" w:space="0"/>
              <w:right w:val="single" w:color="auto" w:sz="4" w:space="0"/>
            </w:tcBorders>
            <w:vAlign w:val="center"/>
          </w:tcPr>
          <w:p w14:paraId="0DB29E34">
            <w:pPr>
              <w:widowControl/>
              <w:jc w:val="left"/>
              <w:rPr>
                <w:rFonts w:ascii="宋体" w:hAnsi="宋体" w:cs="宋体"/>
                <w:color w:val="auto"/>
                <w:kern w:val="0"/>
                <w:sz w:val="20"/>
                <w:szCs w:val="20"/>
              </w:rPr>
            </w:pPr>
            <w:r>
              <w:rPr>
                <w:rFonts w:hint="eastAsia" w:ascii="宋体" w:hAnsi="宋体" w:cs="宋体"/>
                <w:color w:val="auto"/>
                <w:kern w:val="0"/>
                <w:sz w:val="20"/>
                <w:szCs w:val="20"/>
              </w:rPr>
              <w:t>Y＜50</w:t>
            </w:r>
          </w:p>
        </w:tc>
      </w:tr>
      <w:tr w14:paraId="34EB1B0F">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3DD5ABBA">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工业</w:t>
            </w:r>
          </w:p>
        </w:tc>
        <w:tc>
          <w:tcPr>
            <w:tcW w:w="1633" w:type="dxa"/>
            <w:tcBorders>
              <w:top w:val="nil"/>
              <w:left w:val="nil"/>
              <w:bottom w:val="single" w:color="auto" w:sz="4" w:space="0"/>
              <w:right w:val="single" w:color="auto" w:sz="4" w:space="0"/>
            </w:tcBorders>
            <w:vAlign w:val="center"/>
          </w:tcPr>
          <w:p w14:paraId="213C5FAF">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55C84D64">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36479E81">
            <w:pPr>
              <w:widowControl/>
              <w:jc w:val="left"/>
              <w:rPr>
                <w:rFonts w:ascii="宋体" w:hAnsi="宋体" w:cs="宋体"/>
                <w:color w:val="auto"/>
                <w:kern w:val="0"/>
                <w:sz w:val="20"/>
                <w:szCs w:val="20"/>
              </w:rPr>
            </w:pPr>
            <w:r>
              <w:rPr>
                <w:rFonts w:hint="eastAsia" w:ascii="宋体" w:hAnsi="宋体" w:cs="宋体"/>
                <w:color w:val="auto"/>
                <w:kern w:val="0"/>
                <w:sz w:val="20"/>
                <w:szCs w:val="20"/>
              </w:rPr>
              <w:t>300≤X＜1000</w:t>
            </w:r>
          </w:p>
        </w:tc>
        <w:tc>
          <w:tcPr>
            <w:tcW w:w="1699" w:type="dxa"/>
            <w:tcBorders>
              <w:top w:val="nil"/>
              <w:left w:val="nil"/>
              <w:bottom w:val="single" w:color="auto" w:sz="4" w:space="0"/>
              <w:right w:val="single" w:color="auto" w:sz="4" w:space="0"/>
            </w:tcBorders>
            <w:vAlign w:val="center"/>
          </w:tcPr>
          <w:p w14:paraId="1576F9F3">
            <w:pPr>
              <w:widowControl/>
              <w:jc w:val="left"/>
              <w:rPr>
                <w:rFonts w:ascii="宋体" w:hAnsi="宋体" w:cs="宋体"/>
                <w:color w:val="auto"/>
                <w:kern w:val="0"/>
                <w:sz w:val="20"/>
                <w:szCs w:val="20"/>
              </w:rPr>
            </w:pPr>
            <w:r>
              <w:rPr>
                <w:rFonts w:hint="eastAsia" w:ascii="宋体" w:hAnsi="宋体" w:cs="宋体"/>
                <w:color w:val="auto"/>
                <w:kern w:val="0"/>
                <w:sz w:val="20"/>
                <w:szCs w:val="20"/>
              </w:rPr>
              <w:t>20≤X＜300</w:t>
            </w:r>
          </w:p>
        </w:tc>
        <w:tc>
          <w:tcPr>
            <w:tcW w:w="1091" w:type="dxa"/>
            <w:tcBorders>
              <w:top w:val="nil"/>
              <w:left w:val="nil"/>
              <w:bottom w:val="single" w:color="auto" w:sz="4" w:space="0"/>
              <w:right w:val="single" w:color="auto" w:sz="4" w:space="0"/>
            </w:tcBorders>
            <w:vAlign w:val="center"/>
          </w:tcPr>
          <w:p w14:paraId="585B45DF">
            <w:pPr>
              <w:widowControl/>
              <w:jc w:val="left"/>
              <w:rPr>
                <w:rFonts w:ascii="宋体" w:hAnsi="宋体" w:cs="宋体"/>
                <w:color w:val="auto"/>
                <w:kern w:val="0"/>
                <w:sz w:val="20"/>
                <w:szCs w:val="20"/>
              </w:rPr>
            </w:pPr>
            <w:r>
              <w:rPr>
                <w:rFonts w:hint="eastAsia" w:ascii="宋体" w:hAnsi="宋体" w:cs="宋体"/>
                <w:color w:val="auto"/>
                <w:kern w:val="0"/>
                <w:sz w:val="20"/>
                <w:szCs w:val="20"/>
              </w:rPr>
              <w:t>X＜20</w:t>
            </w:r>
          </w:p>
        </w:tc>
      </w:tr>
      <w:tr w14:paraId="35DE3CC6">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074A6466">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79E95E6F">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4D56B285">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1493A7BD">
            <w:pPr>
              <w:widowControl/>
              <w:jc w:val="left"/>
              <w:rPr>
                <w:rFonts w:ascii="宋体" w:hAnsi="宋体" w:cs="宋体"/>
                <w:color w:val="auto"/>
                <w:kern w:val="0"/>
                <w:sz w:val="20"/>
                <w:szCs w:val="20"/>
              </w:rPr>
            </w:pPr>
            <w:r>
              <w:rPr>
                <w:rFonts w:hint="eastAsia" w:ascii="宋体" w:hAnsi="宋体" w:cs="宋体"/>
                <w:color w:val="auto"/>
                <w:kern w:val="0"/>
                <w:sz w:val="20"/>
                <w:szCs w:val="20"/>
              </w:rPr>
              <w:t>2000≤Y＜40000</w:t>
            </w:r>
          </w:p>
        </w:tc>
        <w:tc>
          <w:tcPr>
            <w:tcW w:w="1699" w:type="dxa"/>
            <w:tcBorders>
              <w:top w:val="nil"/>
              <w:left w:val="nil"/>
              <w:bottom w:val="single" w:color="auto" w:sz="4" w:space="0"/>
              <w:right w:val="single" w:color="auto" w:sz="4" w:space="0"/>
            </w:tcBorders>
            <w:vAlign w:val="center"/>
          </w:tcPr>
          <w:p w14:paraId="41CC0A5B">
            <w:pPr>
              <w:widowControl/>
              <w:jc w:val="left"/>
              <w:rPr>
                <w:rFonts w:ascii="宋体" w:hAnsi="宋体" w:cs="宋体"/>
                <w:color w:val="auto"/>
                <w:kern w:val="0"/>
                <w:sz w:val="20"/>
                <w:szCs w:val="20"/>
              </w:rPr>
            </w:pPr>
            <w:r>
              <w:rPr>
                <w:rFonts w:hint="eastAsia" w:ascii="宋体" w:hAnsi="宋体" w:cs="宋体"/>
                <w:color w:val="auto"/>
                <w:kern w:val="0"/>
                <w:sz w:val="20"/>
                <w:szCs w:val="20"/>
              </w:rPr>
              <w:t>300≤Y＜2000</w:t>
            </w:r>
          </w:p>
        </w:tc>
        <w:tc>
          <w:tcPr>
            <w:tcW w:w="1091" w:type="dxa"/>
            <w:tcBorders>
              <w:top w:val="nil"/>
              <w:left w:val="nil"/>
              <w:bottom w:val="single" w:color="auto" w:sz="4" w:space="0"/>
              <w:right w:val="single" w:color="auto" w:sz="4" w:space="0"/>
            </w:tcBorders>
            <w:vAlign w:val="center"/>
          </w:tcPr>
          <w:p w14:paraId="2F5A6E90">
            <w:pPr>
              <w:widowControl/>
              <w:jc w:val="left"/>
              <w:rPr>
                <w:rFonts w:ascii="宋体" w:hAnsi="宋体" w:cs="宋体"/>
                <w:color w:val="auto"/>
                <w:kern w:val="0"/>
                <w:sz w:val="20"/>
                <w:szCs w:val="20"/>
              </w:rPr>
            </w:pPr>
            <w:r>
              <w:rPr>
                <w:rFonts w:hint="eastAsia" w:ascii="宋体" w:hAnsi="宋体" w:cs="宋体"/>
                <w:color w:val="auto"/>
                <w:kern w:val="0"/>
                <w:sz w:val="20"/>
                <w:szCs w:val="20"/>
              </w:rPr>
              <w:t>Y＜300</w:t>
            </w:r>
          </w:p>
        </w:tc>
      </w:tr>
      <w:tr w14:paraId="1E232DF5">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0B136228">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建筑业</w:t>
            </w:r>
          </w:p>
        </w:tc>
        <w:tc>
          <w:tcPr>
            <w:tcW w:w="1633" w:type="dxa"/>
            <w:tcBorders>
              <w:top w:val="nil"/>
              <w:left w:val="nil"/>
              <w:bottom w:val="single" w:color="auto" w:sz="4" w:space="0"/>
              <w:right w:val="single" w:color="auto" w:sz="4" w:space="0"/>
            </w:tcBorders>
            <w:vAlign w:val="center"/>
          </w:tcPr>
          <w:p w14:paraId="1BD86B56">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5CBFCE0C">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5F4DD57E">
            <w:pPr>
              <w:widowControl/>
              <w:jc w:val="left"/>
              <w:rPr>
                <w:rFonts w:ascii="宋体" w:hAnsi="宋体" w:cs="宋体"/>
                <w:color w:val="auto"/>
                <w:kern w:val="0"/>
                <w:sz w:val="20"/>
                <w:szCs w:val="20"/>
              </w:rPr>
            </w:pPr>
            <w:r>
              <w:rPr>
                <w:rFonts w:hint="eastAsia" w:ascii="宋体" w:hAnsi="宋体" w:cs="宋体"/>
                <w:color w:val="auto"/>
                <w:kern w:val="0"/>
                <w:sz w:val="20"/>
                <w:szCs w:val="20"/>
              </w:rPr>
              <w:t>6000≤Y＜80000</w:t>
            </w:r>
          </w:p>
        </w:tc>
        <w:tc>
          <w:tcPr>
            <w:tcW w:w="1699" w:type="dxa"/>
            <w:tcBorders>
              <w:top w:val="nil"/>
              <w:left w:val="nil"/>
              <w:bottom w:val="single" w:color="auto" w:sz="4" w:space="0"/>
              <w:right w:val="single" w:color="auto" w:sz="4" w:space="0"/>
            </w:tcBorders>
            <w:vAlign w:val="center"/>
          </w:tcPr>
          <w:p w14:paraId="017A52AB">
            <w:pPr>
              <w:widowControl/>
              <w:jc w:val="left"/>
              <w:rPr>
                <w:rFonts w:ascii="宋体" w:hAnsi="宋体" w:cs="宋体"/>
                <w:color w:val="auto"/>
                <w:kern w:val="0"/>
                <w:sz w:val="20"/>
                <w:szCs w:val="20"/>
              </w:rPr>
            </w:pPr>
            <w:r>
              <w:rPr>
                <w:rFonts w:hint="eastAsia" w:ascii="宋体" w:hAnsi="宋体" w:cs="宋体"/>
                <w:color w:val="auto"/>
                <w:kern w:val="0"/>
                <w:sz w:val="20"/>
                <w:szCs w:val="20"/>
              </w:rPr>
              <w:t>300≤Y＜6000</w:t>
            </w:r>
          </w:p>
        </w:tc>
        <w:tc>
          <w:tcPr>
            <w:tcW w:w="1091" w:type="dxa"/>
            <w:tcBorders>
              <w:top w:val="nil"/>
              <w:left w:val="nil"/>
              <w:bottom w:val="single" w:color="auto" w:sz="4" w:space="0"/>
              <w:right w:val="single" w:color="auto" w:sz="4" w:space="0"/>
            </w:tcBorders>
            <w:vAlign w:val="center"/>
          </w:tcPr>
          <w:p w14:paraId="11EA7F8A">
            <w:pPr>
              <w:widowControl/>
              <w:jc w:val="left"/>
              <w:rPr>
                <w:rFonts w:ascii="宋体" w:hAnsi="宋体" w:cs="宋体"/>
                <w:color w:val="auto"/>
                <w:kern w:val="0"/>
                <w:sz w:val="20"/>
                <w:szCs w:val="20"/>
              </w:rPr>
            </w:pPr>
            <w:r>
              <w:rPr>
                <w:rFonts w:hint="eastAsia" w:ascii="宋体" w:hAnsi="宋体" w:cs="宋体"/>
                <w:color w:val="auto"/>
                <w:kern w:val="0"/>
                <w:sz w:val="20"/>
                <w:szCs w:val="20"/>
              </w:rPr>
              <w:t>Y＜300</w:t>
            </w:r>
          </w:p>
        </w:tc>
      </w:tr>
      <w:tr w14:paraId="0CF994A1">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D11F3B8">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612D132B">
            <w:pPr>
              <w:widowControl/>
              <w:jc w:val="left"/>
              <w:rPr>
                <w:rFonts w:ascii="宋体" w:hAnsi="宋体" w:cs="宋体"/>
                <w:color w:val="auto"/>
                <w:kern w:val="0"/>
                <w:sz w:val="20"/>
                <w:szCs w:val="20"/>
              </w:rPr>
            </w:pPr>
            <w:r>
              <w:rPr>
                <w:rFonts w:hint="eastAsia" w:ascii="宋体" w:hAnsi="宋体" w:cs="宋体"/>
                <w:color w:val="auto"/>
                <w:kern w:val="0"/>
                <w:sz w:val="20"/>
                <w:szCs w:val="20"/>
              </w:rPr>
              <w:t>资产总额（Z）</w:t>
            </w:r>
          </w:p>
        </w:tc>
        <w:tc>
          <w:tcPr>
            <w:tcW w:w="1077" w:type="dxa"/>
            <w:tcBorders>
              <w:top w:val="nil"/>
              <w:left w:val="nil"/>
              <w:bottom w:val="single" w:color="auto" w:sz="4" w:space="0"/>
              <w:right w:val="single" w:color="auto" w:sz="4" w:space="0"/>
            </w:tcBorders>
            <w:vAlign w:val="center"/>
          </w:tcPr>
          <w:p w14:paraId="5F077C75">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4FEA254D">
            <w:pPr>
              <w:widowControl/>
              <w:jc w:val="left"/>
              <w:rPr>
                <w:rFonts w:ascii="宋体" w:hAnsi="宋体" w:cs="宋体"/>
                <w:color w:val="auto"/>
                <w:kern w:val="0"/>
                <w:sz w:val="20"/>
                <w:szCs w:val="20"/>
              </w:rPr>
            </w:pPr>
            <w:r>
              <w:rPr>
                <w:rFonts w:hint="eastAsia" w:ascii="宋体" w:hAnsi="宋体" w:cs="宋体"/>
                <w:color w:val="auto"/>
                <w:kern w:val="0"/>
                <w:sz w:val="20"/>
                <w:szCs w:val="20"/>
              </w:rPr>
              <w:t>5000≤Z＜80000</w:t>
            </w:r>
          </w:p>
        </w:tc>
        <w:tc>
          <w:tcPr>
            <w:tcW w:w="1699" w:type="dxa"/>
            <w:tcBorders>
              <w:top w:val="nil"/>
              <w:left w:val="nil"/>
              <w:bottom w:val="single" w:color="auto" w:sz="4" w:space="0"/>
              <w:right w:val="single" w:color="auto" w:sz="4" w:space="0"/>
            </w:tcBorders>
            <w:vAlign w:val="center"/>
          </w:tcPr>
          <w:p w14:paraId="3B5E90C9">
            <w:pPr>
              <w:widowControl/>
              <w:jc w:val="left"/>
              <w:rPr>
                <w:rFonts w:ascii="宋体" w:hAnsi="宋体" w:cs="宋体"/>
                <w:color w:val="auto"/>
                <w:kern w:val="0"/>
                <w:sz w:val="20"/>
                <w:szCs w:val="20"/>
              </w:rPr>
            </w:pPr>
            <w:r>
              <w:rPr>
                <w:rFonts w:hint="eastAsia" w:ascii="宋体" w:hAnsi="宋体" w:cs="宋体"/>
                <w:color w:val="auto"/>
                <w:kern w:val="0"/>
                <w:sz w:val="20"/>
                <w:szCs w:val="20"/>
              </w:rPr>
              <w:t>300≤Z＜5000</w:t>
            </w:r>
          </w:p>
        </w:tc>
        <w:tc>
          <w:tcPr>
            <w:tcW w:w="1091" w:type="dxa"/>
            <w:tcBorders>
              <w:top w:val="nil"/>
              <w:left w:val="nil"/>
              <w:bottom w:val="single" w:color="auto" w:sz="4" w:space="0"/>
              <w:right w:val="single" w:color="auto" w:sz="4" w:space="0"/>
            </w:tcBorders>
            <w:vAlign w:val="center"/>
          </w:tcPr>
          <w:p w14:paraId="7B800419">
            <w:pPr>
              <w:widowControl/>
              <w:jc w:val="left"/>
              <w:rPr>
                <w:rFonts w:ascii="宋体" w:hAnsi="宋体" w:cs="宋体"/>
                <w:color w:val="auto"/>
                <w:kern w:val="0"/>
                <w:sz w:val="20"/>
                <w:szCs w:val="20"/>
              </w:rPr>
            </w:pPr>
            <w:r>
              <w:rPr>
                <w:rFonts w:hint="eastAsia" w:ascii="宋体" w:hAnsi="宋体" w:cs="宋体"/>
                <w:color w:val="auto"/>
                <w:kern w:val="0"/>
                <w:sz w:val="20"/>
                <w:szCs w:val="20"/>
              </w:rPr>
              <w:t>Z＜300</w:t>
            </w:r>
          </w:p>
        </w:tc>
      </w:tr>
      <w:tr w14:paraId="17724165">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73CD8992">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批发业</w:t>
            </w:r>
          </w:p>
        </w:tc>
        <w:tc>
          <w:tcPr>
            <w:tcW w:w="1633" w:type="dxa"/>
            <w:tcBorders>
              <w:top w:val="nil"/>
              <w:left w:val="nil"/>
              <w:bottom w:val="single" w:color="auto" w:sz="4" w:space="0"/>
              <w:right w:val="single" w:color="auto" w:sz="4" w:space="0"/>
            </w:tcBorders>
            <w:vAlign w:val="center"/>
          </w:tcPr>
          <w:p w14:paraId="6CDFBBAD">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044A6F85">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4B65B4A9">
            <w:pPr>
              <w:widowControl/>
              <w:jc w:val="left"/>
              <w:rPr>
                <w:rFonts w:ascii="宋体" w:hAnsi="宋体" w:cs="宋体"/>
                <w:color w:val="auto"/>
                <w:kern w:val="0"/>
                <w:sz w:val="20"/>
                <w:szCs w:val="20"/>
              </w:rPr>
            </w:pPr>
            <w:r>
              <w:rPr>
                <w:rFonts w:hint="eastAsia" w:ascii="宋体" w:hAnsi="宋体" w:cs="宋体"/>
                <w:color w:val="auto"/>
                <w:kern w:val="0"/>
                <w:sz w:val="20"/>
                <w:szCs w:val="20"/>
              </w:rPr>
              <w:t>20≤X＜200</w:t>
            </w:r>
          </w:p>
        </w:tc>
        <w:tc>
          <w:tcPr>
            <w:tcW w:w="1699" w:type="dxa"/>
            <w:tcBorders>
              <w:top w:val="nil"/>
              <w:left w:val="nil"/>
              <w:bottom w:val="single" w:color="auto" w:sz="4" w:space="0"/>
              <w:right w:val="single" w:color="auto" w:sz="4" w:space="0"/>
            </w:tcBorders>
            <w:vAlign w:val="center"/>
          </w:tcPr>
          <w:p w14:paraId="6DFBD39C">
            <w:pPr>
              <w:widowControl/>
              <w:jc w:val="left"/>
              <w:rPr>
                <w:rFonts w:ascii="宋体" w:hAnsi="宋体" w:cs="宋体"/>
                <w:color w:val="auto"/>
                <w:kern w:val="0"/>
                <w:sz w:val="20"/>
                <w:szCs w:val="20"/>
              </w:rPr>
            </w:pPr>
            <w:r>
              <w:rPr>
                <w:rFonts w:hint="eastAsia" w:ascii="宋体" w:hAnsi="宋体" w:cs="宋体"/>
                <w:color w:val="auto"/>
                <w:kern w:val="0"/>
                <w:sz w:val="20"/>
                <w:szCs w:val="20"/>
              </w:rPr>
              <w:t>5≤X＜20</w:t>
            </w:r>
          </w:p>
        </w:tc>
        <w:tc>
          <w:tcPr>
            <w:tcW w:w="1091" w:type="dxa"/>
            <w:tcBorders>
              <w:top w:val="nil"/>
              <w:left w:val="nil"/>
              <w:bottom w:val="single" w:color="auto" w:sz="4" w:space="0"/>
              <w:right w:val="single" w:color="auto" w:sz="4" w:space="0"/>
            </w:tcBorders>
            <w:vAlign w:val="center"/>
          </w:tcPr>
          <w:p w14:paraId="6A1FF12B">
            <w:pPr>
              <w:widowControl/>
              <w:jc w:val="left"/>
              <w:rPr>
                <w:rFonts w:ascii="宋体" w:hAnsi="宋体" w:cs="宋体"/>
                <w:color w:val="auto"/>
                <w:kern w:val="0"/>
                <w:sz w:val="20"/>
                <w:szCs w:val="20"/>
              </w:rPr>
            </w:pPr>
            <w:r>
              <w:rPr>
                <w:rFonts w:hint="eastAsia" w:ascii="宋体" w:hAnsi="宋体" w:cs="宋体"/>
                <w:color w:val="auto"/>
                <w:kern w:val="0"/>
                <w:sz w:val="20"/>
                <w:szCs w:val="20"/>
              </w:rPr>
              <w:t>X＜5</w:t>
            </w:r>
          </w:p>
        </w:tc>
      </w:tr>
      <w:tr w14:paraId="0DF37AAC">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4FF1CEE3">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519B80A9">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73763C32">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0FC930DC">
            <w:pPr>
              <w:widowControl/>
              <w:jc w:val="left"/>
              <w:rPr>
                <w:rFonts w:ascii="宋体" w:hAnsi="宋体" w:cs="宋体"/>
                <w:color w:val="auto"/>
                <w:kern w:val="0"/>
                <w:sz w:val="20"/>
                <w:szCs w:val="20"/>
              </w:rPr>
            </w:pPr>
            <w:r>
              <w:rPr>
                <w:rFonts w:hint="eastAsia" w:ascii="宋体" w:hAnsi="宋体" w:cs="宋体"/>
                <w:color w:val="auto"/>
                <w:kern w:val="0"/>
                <w:sz w:val="20"/>
                <w:szCs w:val="20"/>
              </w:rPr>
              <w:t>5000≤Y＜40000</w:t>
            </w:r>
          </w:p>
        </w:tc>
        <w:tc>
          <w:tcPr>
            <w:tcW w:w="1699" w:type="dxa"/>
            <w:tcBorders>
              <w:top w:val="nil"/>
              <w:left w:val="nil"/>
              <w:bottom w:val="single" w:color="auto" w:sz="4" w:space="0"/>
              <w:right w:val="single" w:color="auto" w:sz="4" w:space="0"/>
            </w:tcBorders>
            <w:vAlign w:val="center"/>
          </w:tcPr>
          <w:p w14:paraId="688F97A0">
            <w:pPr>
              <w:widowControl/>
              <w:jc w:val="left"/>
              <w:rPr>
                <w:rFonts w:ascii="宋体" w:hAnsi="宋体" w:cs="宋体"/>
                <w:color w:val="auto"/>
                <w:kern w:val="0"/>
                <w:sz w:val="20"/>
                <w:szCs w:val="20"/>
              </w:rPr>
            </w:pPr>
            <w:r>
              <w:rPr>
                <w:rFonts w:hint="eastAsia" w:ascii="宋体" w:hAnsi="宋体" w:cs="宋体"/>
                <w:color w:val="auto"/>
                <w:kern w:val="0"/>
                <w:sz w:val="20"/>
                <w:szCs w:val="20"/>
              </w:rPr>
              <w:t>1000≤Y＜5000</w:t>
            </w:r>
          </w:p>
        </w:tc>
        <w:tc>
          <w:tcPr>
            <w:tcW w:w="1091" w:type="dxa"/>
            <w:tcBorders>
              <w:top w:val="nil"/>
              <w:left w:val="nil"/>
              <w:bottom w:val="single" w:color="auto" w:sz="4" w:space="0"/>
              <w:right w:val="single" w:color="auto" w:sz="4" w:space="0"/>
            </w:tcBorders>
            <w:vAlign w:val="center"/>
          </w:tcPr>
          <w:p w14:paraId="1540C9E3">
            <w:pPr>
              <w:widowControl/>
              <w:jc w:val="left"/>
              <w:rPr>
                <w:rFonts w:ascii="宋体" w:hAnsi="宋体" w:cs="宋体"/>
                <w:color w:val="auto"/>
                <w:kern w:val="0"/>
                <w:sz w:val="20"/>
                <w:szCs w:val="20"/>
              </w:rPr>
            </w:pPr>
            <w:r>
              <w:rPr>
                <w:rFonts w:hint="eastAsia" w:ascii="宋体" w:hAnsi="宋体" w:cs="宋体"/>
                <w:color w:val="auto"/>
                <w:kern w:val="0"/>
                <w:sz w:val="20"/>
                <w:szCs w:val="20"/>
              </w:rPr>
              <w:t>Y＜1000</w:t>
            </w:r>
          </w:p>
        </w:tc>
      </w:tr>
      <w:tr w14:paraId="2C96B898">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01EEAA0">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零售业</w:t>
            </w:r>
          </w:p>
        </w:tc>
        <w:tc>
          <w:tcPr>
            <w:tcW w:w="1633" w:type="dxa"/>
            <w:tcBorders>
              <w:top w:val="nil"/>
              <w:left w:val="nil"/>
              <w:bottom w:val="single" w:color="auto" w:sz="4" w:space="0"/>
              <w:right w:val="single" w:color="auto" w:sz="4" w:space="0"/>
            </w:tcBorders>
            <w:vAlign w:val="center"/>
          </w:tcPr>
          <w:p w14:paraId="75D883C6">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612C6B73">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42A3CA13">
            <w:pPr>
              <w:widowControl/>
              <w:jc w:val="left"/>
              <w:rPr>
                <w:rFonts w:ascii="宋体" w:hAnsi="宋体" w:cs="宋体"/>
                <w:color w:val="auto"/>
                <w:kern w:val="0"/>
                <w:sz w:val="20"/>
                <w:szCs w:val="20"/>
              </w:rPr>
            </w:pPr>
            <w:r>
              <w:rPr>
                <w:rFonts w:hint="eastAsia" w:ascii="宋体" w:hAnsi="宋体" w:cs="宋体"/>
                <w:color w:val="auto"/>
                <w:kern w:val="0"/>
                <w:sz w:val="20"/>
                <w:szCs w:val="20"/>
              </w:rPr>
              <w:t>50≤X＜300</w:t>
            </w:r>
          </w:p>
        </w:tc>
        <w:tc>
          <w:tcPr>
            <w:tcW w:w="1699" w:type="dxa"/>
            <w:tcBorders>
              <w:top w:val="nil"/>
              <w:left w:val="nil"/>
              <w:bottom w:val="single" w:color="auto" w:sz="4" w:space="0"/>
              <w:right w:val="single" w:color="auto" w:sz="4" w:space="0"/>
            </w:tcBorders>
            <w:vAlign w:val="center"/>
          </w:tcPr>
          <w:p w14:paraId="6114929F">
            <w:pPr>
              <w:widowControl/>
              <w:jc w:val="left"/>
              <w:rPr>
                <w:rFonts w:ascii="宋体" w:hAnsi="宋体" w:cs="宋体"/>
                <w:color w:val="auto"/>
                <w:kern w:val="0"/>
                <w:sz w:val="20"/>
                <w:szCs w:val="20"/>
              </w:rPr>
            </w:pPr>
            <w:r>
              <w:rPr>
                <w:rFonts w:hint="eastAsia" w:ascii="宋体" w:hAnsi="宋体" w:cs="宋体"/>
                <w:color w:val="auto"/>
                <w:kern w:val="0"/>
                <w:sz w:val="20"/>
                <w:szCs w:val="20"/>
              </w:rPr>
              <w:t>10≤X＜50</w:t>
            </w:r>
          </w:p>
        </w:tc>
        <w:tc>
          <w:tcPr>
            <w:tcW w:w="1091" w:type="dxa"/>
            <w:tcBorders>
              <w:top w:val="nil"/>
              <w:left w:val="nil"/>
              <w:bottom w:val="single" w:color="auto" w:sz="4" w:space="0"/>
              <w:right w:val="single" w:color="auto" w:sz="4" w:space="0"/>
            </w:tcBorders>
            <w:vAlign w:val="center"/>
          </w:tcPr>
          <w:p w14:paraId="68381022">
            <w:pPr>
              <w:widowControl/>
              <w:jc w:val="left"/>
              <w:rPr>
                <w:rFonts w:ascii="宋体" w:hAnsi="宋体" w:cs="宋体"/>
                <w:color w:val="auto"/>
                <w:kern w:val="0"/>
                <w:sz w:val="20"/>
                <w:szCs w:val="20"/>
              </w:rPr>
            </w:pPr>
            <w:r>
              <w:rPr>
                <w:rFonts w:hint="eastAsia" w:ascii="宋体" w:hAnsi="宋体" w:cs="宋体"/>
                <w:color w:val="auto"/>
                <w:kern w:val="0"/>
                <w:sz w:val="20"/>
                <w:szCs w:val="20"/>
              </w:rPr>
              <w:t>X＜10</w:t>
            </w:r>
          </w:p>
        </w:tc>
      </w:tr>
      <w:tr w14:paraId="23B95BE2">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2B815A5">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71DD0C4D">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0CC2F514">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0CAFC072">
            <w:pPr>
              <w:widowControl/>
              <w:jc w:val="left"/>
              <w:rPr>
                <w:rFonts w:ascii="宋体" w:hAnsi="宋体" w:cs="宋体"/>
                <w:color w:val="auto"/>
                <w:kern w:val="0"/>
                <w:sz w:val="20"/>
                <w:szCs w:val="20"/>
              </w:rPr>
            </w:pPr>
            <w:r>
              <w:rPr>
                <w:rFonts w:hint="eastAsia" w:ascii="宋体" w:hAnsi="宋体" w:cs="宋体"/>
                <w:color w:val="auto"/>
                <w:kern w:val="0"/>
                <w:sz w:val="20"/>
                <w:szCs w:val="20"/>
              </w:rPr>
              <w:t>500≤Y＜20000</w:t>
            </w:r>
          </w:p>
        </w:tc>
        <w:tc>
          <w:tcPr>
            <w:tcW w:w="1699" w:type="dxa"/>
            <w:tcBorders>
              <w:top w:val="nil"/>
              <w:left w:val="nil"/>
              <w:bottom w:val="single" w:color="auto" w:sz="4" w:space="0"/>
              <w:right w:val="single" w:color="auto" w:sz="4" w:space="0"/>
            </w:tcBorders>
            <w:vAlign w:val="center"/>
          </w:tcPr>
          <w:p w14:paraId="562B3B8F">
            <w:pPr>
              <w:widowControl/>
              <w:jc w:val="left"/>
              <w:rPr>
                <w:rFonts w:ascii="宋体" w:hAnsi="宋体" w:cs="宋体"/>
                <w:color w:val="auto"/>
                <w:kern w:val="0"/>
                <w:sz w:val="20"/>
                <w:szCs w:val="20"/>
              </w:rPr>
            </w:pPr>
            <w:r>
              <w:rPr>
                <w:rFonts w:hint="eastAsia" w:ascii="宋体" w:hAnsi="宋体" w:cs="宋体"/>
                <w:color w:val="auto"/>
                <w:kern w:val="0"/>
                <w:sz w:val="20"/>
                <w:szCs w:val="20"/>
              </w:rPr>
              <w:t>100≤Y＜500</w:t>
            </w:r>
          </w:p>
        </w:tc>
        <w:tc>
          <w:tcPr>
            <w:tcW w:w="1091" w:type="dxa"/>
            <w:tcBorders>
              <w:top w:val="nil"/>
              <w:left w:val="nil"/>
              <w:bottom w:val="single" w:color="auto" w:sz="4" w:space="0"/>
              <w:right w:val="single" w:color="auto" w:sz="4" w:space="0"/>
            </w:tcBorders>
            <w:vAlign w:val="center"/>
          </w:tcPr>
          <w:p w14:paraId="50AD7C26">
            <w:pPr>
              <w:widowControl/>
              <w:jc w:val="left"/>
              <w:rPr>
                <w:rFonts w:ascii="宋体" w:hAnsi="宋体" w:cs="宋体"/>
                <w:color w:val="auto"/>
                <w:kern w:val="0"/>
                <w:sz w:val="20"/>
                <w:szCs w:val="20"/>
              </w:rPr>
            </w:pPr>
            <w:r>
              <w:rPr>
                <w:rFonts w:hint="eastAsia" w:ascii="宋体" w:hAnsi="宋体" w:cs="宋体"/>
                <w:color w:val="auto"/>
                <w:kern w:val="0"/>
                <w:sz w:val="20"/>
                <w:szCs w:val="20"/>
              </w:rPr>
              <w:t>Y＜100</w:t>
            </w:r>
          </w:p>
        </w:tc>
      </w:tr>
      <w:tr w14:paraId="606D1206">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332248E">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交通运输业</w:t>
            </w:r>
          </w:p>
        </w:tc>
        <w:tc>
          <w:tcPr>
            <w:tcW w:w="1633" w:type="dxa"/>
            <w:tcBorders>
              <w:top w:val="nil"/>
              <w:left w:val="nil"/>
              <w:bottom w:val="single" w:color="auto" w:sz="4" w:space="0"/>
              <w:right w:val="single" w:color="auto" w:sz="4" w:space="0"/>
            </w:tcBorders>
            <w:vAlign w:val="center"/>
          </w:tcPr>
          <w:p w14:paraId="2913C3C1">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0DC22D0D">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6F38CEAE">
            <w:pPr>
              <w:widowControl/>
              <w:jc w:val="left"/>
              <w:rPr>
                <w:rFonts w:ascii="宋体" w:hAnsi="宋体" w:cs="宋体"/>
                <w:color w:val="auto"/>
                <w:kern w:val="0"/>
                <w:sz w:val="20"/>
                <w:szCs w:val="20"/>
              </w:rPr>
            </w:pPr>
            <w:r>
              <w:rPr>
                <w:rFonts w:hint="eastAsia" w:ascii="宋体" w:hAnsi="宋体" w:cs="宋体"/>
                <w:color w:val="auto"/>
                <w:kern w:val="0"/>
                <w:sz w:val="20"/>
                <w:szCs w:val="20"/>
              </w:rPr>
              <w:t>300≤X＜1000</w:t>
            </w:r>
          </w:p>
        </w:tc>
        <w:tc>
          <w:tcPr>
            <w:tcW w:w="1699" w:type="dxa"/>
            <w:tcBorders>
              <w:top w:val="nil"/>
              <w:left w:val="nil"/>
              <w:bottom w:val="single" w:color="auto" w:sz="4" w:space="0"/>
              <w:right w:val="single" w:color="auto" w:sz="4" w:space="0"/>
            </w:tcBorders>
            <w:vAlign w:val="center"/>
          </w:tcPr>
          <w:p w14:paraId="2A2896F1">
            <w:pPr>
              <w:widowControl/>
              <w:jc w:val="left"/>
              <w:rPr>
                <w:rFonts w:ascii="宋体" w:hAnsi="宋体" w:cs="宋体"/>
                <w:color w:val="auto"/>
                <w:kern w:val="0"/>
                <w:sz w:val="20"/>
                <w:szCs w:val="20"/>
              </w:rPr>
            </w:pPr>
            <w:r>
              <w:rPr>
                <w:rFonts w:hint="eastAsia" w:ascii="宋体" w:hAnsi="宋体" w:cs="宋体"/>
                <w:color w:val="auto"/>
                <w:kern w:val="0"/>
                <w:sz w:val="20"/>
                <w:szCs w:val="20"/>
              </w:rPr>
              <w:t>20≤X＜300</w:t>
            </w:r>
          </w:p>
        </w:tc>
        <w:tc>
          <w:tcPr>
            <w:tcW w:w="1091" w:type="dxa"/>
            <w:tcBorders>
              <w:top w:val="nil"/>
              <w:left w:val="nil"/>
              <w:bottom w:val="single" w:color="auto" w:sz="4" w:space="0"/>
              <w:right w:val="single" w:color="auto" w:sz="4" w:space="0"/>
            </w:tcBorders>
            <w:vAlign w:val="center"/>
          </w:tcPr>
          <w:p w14:paraId="3D63B8EE">
            <w:pPr>
              <w:widowControl/>
              <w:jc w:val="left"/>
              <w:rPr>
                <w:rFonts w:ascii="宋体" w:hAnsi="宋体" w:cs="宋体"/>
                <w:color w:val="auto"/>
                <w:kern w:val="0"/>
                <w:sz w:val="20"/>
                <w:szCs w:val="20"/>
              </w:rPr>
            </w:pPr>
            <w:r>
              <w:rPr>
                <w:rFonts w:hint="eastAsia" w:ascii="宋体" w:hAnsi="宋体" w:cs="宋体"/>
                <w:color w:val="auto"/>
                <w:kern w:val="0"/>
                <w:sz w:val="20"/>
                <w:szCs w:val="20"/>
              </w:rPr>
              <w:t>X＜20</w:t>
            </w:r>
          </w:p>
        </w:tc>
      </w:tr>
      <w:tr w14:paraId="3747A76C">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046CD906">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44A494BC">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7DA13EAC">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5551933F">
            <w:pPr>
              <w:widowControl/>
              <w:jc w:val="left"/>
              <w:rPr>
                <w:rFonts w:ascii="宋体" w:hAnsi="宋体" w:cs="宋体"/>
                <w:color w:val="auto"/>
                <w:kern w:val="0"/>
                <w:sz w:val="20"/>
                <w:szCs w:val="20"/>
              </w:rPr>
            </w:pPr>
            <w:r>
              <w:rPr>
                <w:rFonts w:hint="eastAsia" w:ascii="宋体" w:hAnsi="宋体" w:cs="宋体"/>
                <w:color w:val="auto"/>
                <w:kern w:val="0"/>
                <w:sz w:val="20"/>
                <w:szCs w:val="20"/>
              </w:rPr>
              <w:t>3000≤Y＜30000</w:t>
            </w:r>
          </w:p>
        </w:tc>
        <w:tc>
          <w:tcPr>
            <w:tcW w:w="1699" w:type="dxa"/>
            <w:tcBorders>
              <w:top w:val="nil"/>
              <w:left w:val="nil"/>
              <w:bottom w:val="single" w:color="auto" w:sz="4" w:space="0"/>
              <w:right w:val="single" w:color="auto" w:sz="4" w:space="0"/>
            </w:tcBorders>
            <w:vAlign w:val="center"/>
          </w:tcPr>
          <w:p w14:paraId="2CADDFA3">
            <w:pPr>
              <w:widowControl/>
              <w:jc w:val="left"/>
              <w:rPr>
                <w:rFonts w:ascii="宋体" w:hAnsi="宋体" w:cs="宋体"/>
                <w:color w:val="auto"/>
                <w:kern w:val="0"/>
                <w:sz w:val="20"/>
                <w:szCs w:val="20"/>
              </w:rPr>
            </w:pPr>
            <w:r>
              <w:rPr>
                <w:rFonts w:hint="eastAsia" w:ascii="宋体" w:hAnsi="宋体" w:cs="宋体"/>
                <w:color w:val="auto"/>
                <w:kern w:val="0"/>
                <w:sz w:val="20"/>
                <w:szCs w:val="20"/>
              </w:rPr>
              <w:t>200≤Y＜3000</w:t>
            </w:r>
          </w:p>
        </w:tc>
        <w:tc>
          <w:tcPr>
            <w:tcW w:w="1091" w:type="dxa"/>
            <w:tcBorders>
              <w:top w:val="nil"/>
              <w:left w:val="nil"/>
              <w:bottom w:val="single" w:color="auto" w:sz="4" w:space="0"/>
              <w:right w:val="single" w:color="auto" w:sz="4" w:space="0"/>
            </w:tcBorders>
            <w:vAlign w:val="center"/>
          </w:tcPr>
          <w:p w14:paraId="080E1C14">
            <w:pPr>
              <w:widowControl/>
              <w:jc w:val="left"/>
              <w:rPr>
                <w:rFonts w:ascii="宋体" w:hAnsi="宋体" w:cs="宋体"/>
                <w:color w:val="auto"/>
                <w:kern w:val="0"/>
                <w:sz w:val="20"/>
                <w:szCs w:val="20"/>
              </w:rPr>
            </w:pPr>
            <w:r>
              <w:rPr>
                <w:rFonts w:hint="eastAsia" w:ascii="宋体" w:hAnsi="宋体" w:cs="宋体"/>
                <w:color w:val="auto"/>
                <w:kern w:val="0"/>
                <w:sz w:val="20"/>
                <w:szCs w:val="20"/>
              </w:rPr>
              <w:t>Y＜200</w:t>
            </w:r>
          </w:p>
        </w:tc>
      </w:tr>
      <w:tr w14:paraId="30627A4B">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4F14A67">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仓储业</w:t>
            </w:r>
          </w:p>
        </w:tc>
        <w:tc>
          <w:tcPr>
            <w:tcW w:w="1633" w:type="dxa"/>
            <w:tcBorders>
              <w:top w:val="nil"/>
              <w:left w:val="nil"/>
              <w:bottom w:val="single" w:color="auto" w:sz="4" w:space="0"/>
              <w:right w:val="single" w:color="auto" w:sz="4" w:space="0"/>
            </w:tcBorders>
            <w:vAlign w:val="center"/>
          </w:tcPr>
          <w:p w14:paraId="24564FF7">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2AB83E89">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20EE63C6">
            <w:pPr>
              <w:widowControl/>
              <w:jc w:val="left"/>
              <w:rPr>
                <w:rFonts w:ascii="宋体" w:hAnsi="宋体" w:cs="宋体"/>
                <w:color w:val="auto"/>
                <w:kern w:val="0"/>
                <w:sz w:val="20"/>
                <w:szCs w:val="20"/>
              </w:rPr>
            </w:pPr>
            <w:r>
              <w:rPr>
                <w:rFonts w:hint="eastAsia" w:ascii="宋体" w:hAnsi="宋体" w:cs="宋体"/>
                <w:color w:val="auto"/>
                <w:kern w:val="0"/>
                <w:sz w:val="20"/>
                <w:szCs w:val="20"/>
              </w:rPr>
              <w:t>100≤X＜200</w:t>
            </w:r>
          </w:p>
        </w:tc>
        <w:tc>
          <w:tcPr>
            <w:tcW w:w="1699" w:type="dxa"/>
            <w:tcBorders>
              <w:top w:val="nil"/>
              <w:left w:val="nil"/>
              <w:bottom w:val="single" w:color="auto" w:sz="4" w:space="0"/>
              <w:right w:val="single" w:color="auto" w:sz="4" w:space="0"/>
            </w:tcBorders>
            <w:vAlign w:val="center"/>
          </w:tcPr>
          <w:p w14:paraId="3107F30F">
            <w:pPr>
              <w:widowControl/>
              <w:jc w:val="left"/>
              <w:rPr>
                <w:rFonts w:ascii="宋体" w:hAnsi="宋体" w:cs="宋体"/>
                <w:color w:val="auto"/>
                <w:kern w:val="0"/>
                <w:sz w:val="20"/>
                <w:szCs w:val="20"/>
              </w:rPr>
            </w:pPr>
            <w:r>
              <w:rPr>
                <w:rFonts w:hint="eastAsia" w:ascii="宋体" w:hAnsi="宋体" w:cs="宋体"/>
                <w:color w:val="auto"/>
                <w:kern w:val="0"/>
                <w:sz w:val="20"/>
                <w:szCs w:val="20"/>
              </w:rPr>
              <w:t>20≤X＜100</w:t>
            </w:r>
          </w:p>
        </w:tc>
        <w:tc>
          <w:tcPr>
            <w:tcW w:w="1091" w:type="dxa"/>
            <w:tcBorders>
              <w:top w:val="nil"/>
              <w:left w:val="nil"/>
              <w:bottom w:val="single" w:color="auto" w:sz="4" w:space="0"/>
              <w:right w:val="single" w:color="auto" w:sz="4" w:space="0"/>
            </w:tcBorders>
            <w:vAlign w:val="center"/>
          </w:tcPr>
          <w:p w14:paraId="6CD31445">
            <w:pPr>
              <w:widowControl/>
              <w:jc w:val="left"/>
              <w:rPr>
                <w:rFonts w:ascii="宋体" w:hAnsi="宋体" w:cs="宋体"/>
                <w:color w:val="auto"/>
                <w:kern w:val="0"/>
                <w:sz w:val="20"/>
                <w:szCs w:val="20"/>
              </w:rPr>
            </w:pPr>
            <w:r>
              <w:rPr>
                <w:rFonts w:hint="eastAsia" w:ascii="宋体" w:hAnsi="宋体" w:cs="宋体"/>
                <w:color w:val="auto"/>
                <w:kern w:val="0"/>
                <w:sz w:val="20"/>
                <w:szCs w:val="20"/>
              </w:rPr>
              <w:t>X＜20</w:t>
            </w:r>
          </w:p>
        </w:tc>
      </w:tr>
      <w:tr w14:paraId="47D21E6F">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E319A5C">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1F2DA8CA">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65ED0F4C">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7C9DA67F">
            <w:pPr>
              <w:widowControl/>
              <w:jc w:val="left"/>
              <w:rPr>
                <w:rFonts w:ascii="宋体" w:hAnsi="宋体" w:cs="宋体"/>
                <w:color w:val="auto"/>
                <w:kern w:val="0"/>
                <w:sz w:val="20"/>
                <w:szCs w:val="20"/>
              </w:rPr>
            </w:pPr>
            <w:r>
              <w:rPr>
                <w:rFonts w:hint="eastAsia" w:ascii="宋体" w:hAnsi="宋体" w:cs="宋体"/>
                <w:color w:val="auto"/>
                <w:kern w:val="0"/>
                <w:sz w:val="20"/>
                <w:szCs w:val="20"/>
              </w:rPr>
              <w:t>1000≤Y＜30000</w:t>
            </w:r>
          </w:p>
        </w:tc>
        <w:tc>
          <w:tcPr>
            <w:tcW w:w="1699" w:type="dxa"/>
            <w:tcBorders>
              <w:top w:val="nil"/>
              <w:left w:val="nil"/>
              <w:bottom w:val="single" w:color="auto" w:sz="4" w:space="0"/>
              <w:right w:val="single" w:color="auto" w:sz="4" w:space="0"/>
            </w:tcBorders>
            <w:vAlign w:val="center"/>
          </w:tcPr>
          <w:p w14:paraId="029519D6">
            <w:pPr>
              <w:widowControl/>
              <w:jc w:val="left"/>
              <w:rPr>
                <w:rFonts w:ascii="宋体" w:hAnsi="宋体" w:cs="宋体"/>
                <w:color w:val="auto"/>
                <w:kern w:val="0"/>
                <w:sz w:val="20"/>
                <w:szCs w:val="20"/>
              </w:rPr>
            </w:pPr>
            <w:r>
              <w:rPr>
                <w:rFonts w:hint="eastAsia" w:ascii="宋体" w:hAnsi="宋体" w:cs="宋体"/>
                <w:color w:val="auto"/>
                <w:kern w:val="0"/>
                <w:sz w:val="20"/>
                <w:szCs w:val="20"/>
              </w:rPr>
              <w:t>100≤Y＜1000</w:t>
            </w:r>
          </w:p>
        </w:tc>
        <w:tc>
          <w:tcPr>
            <w:tcW w:w="1091" w:type="dxa"/>
            <w:tcBorders>
              <w:top w:val="nil"/>
              <w:left w:val="nil"/>
              <w:bottom w:val="single" w:color="auto" w:sz="4" w:space="0"/>
              <w:right w:val="single" w:color="auto" w:sz="4" w:space="0"/>
            </w:tcBorders>
            <w:vAlign w:val="center"/>
          </w:tcPr>
          <w:p w14:paraId="0599B3B2">
            <w:pPr>
              <w:widowControl/>
              <w:jc w:val="left"/>
              <w:rPr>
                <w:rFonts w:ascii="宋体" w:hAnsi="宋体" w:cs="宋体"/>
                <w:color w:val="auto"/>
                <w:kern w:val="0"/>
                <w:sz w:val="20"/>
                <w:szCs w:val="20"/>
              </w:rPr>
            </w:pPr>
            <w:r>
              <w:rPr>
                <w:rFonts w:hint="eastAsia" w:ascii="宋体" w:hAnsi="宋体" w:cs="宋体"/>
                <w:color w:val="auto"/>
                <w:kern w:val="0"/>
                <w:sz w:val="20"/>
                <w:szCs w:val="20"/>
              </w:rPr>
              <w:t>Y＜100</w:t>
            </w:r>
          </w:p>
        </w:tc>
      </w:tr>
      <w:tr w14:paraId="746D4EA0">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7CA8DF19">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邮政业</w:t>
            </w:r>
          </w:p>
        </w:tc>
        <w:tc>
          <w:tcPr>
            <w:tcW w:w="1633" w:type="dxa"/>
            <w:tcBorders>
              <w:top w:val="nil"/>
              <w:left w:val="nil"/>
              <w:bottom w:val="single" w:color="auto" w:sz="4" w:space="0"/>
              <w:right w:val="single" w:color="auto" w:sz="4" w:space="0"/>
            </w:tcBorders>
            <w:vAlign w:val="center"/>
          </w:tcPr>
          <w:p w14:paraId="5052521D">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7404EB84">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6C3396C3">
            <w:pPr>
              <w:widowControl/>
              <w:jc w:val="left"/>
              <w:rPr>
                <w:rFonts w:ascii="宋体" w:hAnsi="宋体" w:cs="宋体"/>
                <w:color w:val="auto"/>
                <w:kern w:val="0"/>
                <w:sz w:val="20"/>
                <w:szCs w:val="20"/>
              </w:rPr>
            </w:pPr>
            <w:r>
              <w:rPr>
                <w:rFonts w:hint="eastAsia" w:ascii="宋体" w:hAnsi="宋体" w:cs="宋体"/>
                <w:color w:val="auto"/>
                <w:kern w:val="0"/>
                <w:sz w:val="20"/>
                <w:szCs w:val="20"/>
              </w:rPr>
              <w:t>300≤X＜1000</w:t>
            </w:r>
          </w:p>
        </w:tc>
        <w:tc>
          <w:tcPr>
            <w:tcW w:w="1699" w:type="dxa"/>
            <w:tcBorders>
              <w:top w:val="nil"/>
              <w:left w:val="nil"/>
              <w:bottom w:val="single" w:color="auto" w:sz="4" w:space="0"/>
              <w:right w:val="single" w:color="auto" w:sz="4" w:space="0"/>
            </w:tcBorders>
            <w:vAlign w:val="center"/>
          </w:tcPr>
          <w:p w14:paraId="1DF2E898">
            <w:pPr>
              <w:widowControl/>
              <w:jc w:val="left"/>
              <w:rPr>
                <w:rFonts w:ascii="宋体" w:hAnsi="宋体" w:cs="宋体"/>
                <w:color w:val="auto"/>
                <w:kern w:val="0"/>
                <w:sz w:val="20"/>
                <w:szCs w:val="20"/>
              </w:rPr>
            </w:pPr>
            <w:r>
              <w:rPr>
                <w:rFonts w:hint="eastAsia" w:ascii="宋体" w:hAnsi="宋体" w:cs="宋体"/>
                <w:color w:val="auto"/>
                <w:kern w:val="0"/>
                <w:sz w:val="20"/>
                <w:szCs w:val="20"/>
              </w:rPr>
              <w:t>20≤X＜300</w:t>
            </w:r>
          </w:p>
        </w:tc>
        <w:tc>
          <w:tcPr>
            <w:tcW w:w="1091" w:type="dxa"/>
            <w:tcBorders>
              <w:top w:val="nil"/>
              <w:left w:val="nil"/>
              <w:bottom w:val="single" w:color="auto" w:sz="4" w:space="0"/>
              <w:right w:val="single" w:color="auto" w:sz="4" w:space="0"/>
            </w:tcBorders>
            <w:vAlign w:val="center"/>
          </w:tcPr>
          <w:p w14:paraId="3C0F787B">
            <w:pPr>
              <w:widowControl/>
              <w:jc w:val="left"/>
              <w:rPr>
                <w:rFonts w:ascii="宋体" w:hAnsi="宋体" w:cs="宋体"/>
                <w:color w:val="auto"/>
                <w:kern w:val="0"/>
                <w:sz w:val="20"/>
                <w:szCs w:val="20"/>
              </w:rPr>
            </w:pPr>
            <w:r>
              <w:rPr>
                <w:rFonts w:hint="eastAsia" w:ascii="宋体" w:hAnsi="宋体" w:cs="宋体"/>
                <w:color w:val="auto"/>
                <w:kern w:val="0"/>
                <w:sz w:val="20"/>
                <w:szCs w:val="20"/>
              </w:rPr>
              <w:t>X＜20</w:t>
            </w:r>
          </w:p>
        </w:tc>
      </w:tr>
      <w:tr w14:paraId="56B6597B">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26F13FB3">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00A32A12">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5FDCA380">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32395044">
            <w:pPr>
              <w:widowControl/>
              <w:jc w:val="left"/>
              <w:rPr>
                <w:rFonts w:ascii="宋体" w:hAnsi="宋体" w:cs="宋体"/>
                <w:color w:val="auto"/>
                <w:kern w:val="0"/>
                <w:sz w:val="20"/>
                <w:szCs w:val="20"/>
              </w:rPr>
            </w:pPr>
            <w:r>
              <w:rPr>
                <w:rFonts w:hint="eastAsia" w:ascii="宋体" w:hAnsi="宋体" w:cs="宋体"/>
                <w:color w:val="auto"/>
                <w:kern w:val="0"/>
                <w:sz w:val="20"/>
                <w:szCs w:val="20"/>
              </w:rPr>
              <w:t>2000≤Y＜30000</w:t>
            </w:r>
          </w:p>
        </w:tc>
        <w:tc>
          <w:tcPr>
            <w:tcW w:w="1699" w:type="dxa"/>
            <w:tcBorders>
              <w:top w:val="nil"/>
              <w:left w:val="nil"/>
              <w:bottom w:val="single" w:color="auto" w:sz="4" w:space="0"/>
              <w:right w:val="single" w:color="auto" w:sz="4" w:space="0"/>
            </w:tcBorders>
            <w:vAlign w:val="center"/>
          </w:tcPr>
          <w:p w14:paraId="7FBC23EB">
            <w:pPr>
              <w:widowControl/>
              <w:jc w:val="left"/>
              <w:rPr>
                <w:rFonts w:ascii="宋体" w:hAnsi="宋体" w:cs="宋体"/>
                <w:color w:val="auto"/>
                <w:kern w:val="0"/>
                <w:sz w:val="20"/>
                <w:szCs w:val="20"/>
              </w:rPr>
            </w:pPr>
            <w:r>
              <w:rPr>
                <w:rFonts w:hint="eastAsia" w:ascii="宋体" w:hAnsi="宋体" w:cs="宋体"/>
                <w:color w:val="auto"/>
                <w:kern w:val="0"/>
                <w:sz w:val="20"/>
                <w:szCs w:val="20"/>
              </w:rPr>
              <w:t>100≤Y＜2000</w:t>
            </w:r>
          </w:p>
        </w:tc>
        <w:tc>
          <w:tcPr>
            <w:tcW w:w="1091" w:type="dxa"/>
            <w:tcBorders>
              <w:top w:val="nil"/>
              <w:left w:val="nil"/>
              <w:bottom w:val="single" w:color="auto" w:sz="4" w:space="0"/>
              <w:right w:val="single" w:color="auto" w:sz="4" w:space="0"/>
            </w:tcBorders>
            <w:vAlign w:val="center"/>
          </w:tcPr>
          <w:p w14:paraId="0AD1C54C">
            <w:pPr>
              <w:widowControl/>
              <w:jc w:val="left"/>
              <w:rPr>
                <w:rFonts w:ascii="宋体" w:hAnsi="宋体" w:cs="宋体"/>
                <w:color w:val="auto"/>
                <w:kern w:val="0"/>
                <w:sz w:val="20"/>
                <w:szCs w:val="20"/>
              </w:rPr>
            </w:pPr>
            <w:r>
              <w:rPr>
                <w:rFonts w:hint="eastAsia" w:ascii="宋体" w:hAnsi="宋体" w:cs="宋体"/>
                <w:color w:val="auto"/>
                <w:kern w:val="0"/>
                <w:sz w:val="20"/>
                <w:szCs w:val="20"/>
              </w:rPr>
              <w:t>Y＜100</w:t>
            </w:r>
          </w:p>
        </w:tc>
      </w:tr>
      <w:tr w14:paraId="00E5B02A">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7CFA7771">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住宿业</w:t>
            </w:r>
          </w:p>
        </w:tc>
        <w:tc>
          <w:tcPr>
            <w:tcW w:w="1633" w:type="dxa"/>
            <w:tcBorders>
              <w:top w:val="nil"/>
              <w:left w:val="nil"/>
              <w:bottom w:val="single" w:color="auto" w:sz="4" w:space="0"/>
              <w:right w:val="single" w:color="auto" w:sz="4" w:space="0"/>
            </w:tcBorders>
            <w:vAlign w:val="center"/>
          </w:tcPr>
          <w:p w14:paraId="1AB7335C">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4D031899">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63E5252E">
            <w:pPr>
              <w:widowControl/>
              <w:jc w:val="left"/>
              <w:rPr>
                <w:rFonts w:ascii="宋体" w:hAnsi="宋体" w:cs="宋体"/>
                <w:color w:val="auto"/>
                <w:kern w:val="0"/>
                <w:sz w:val="20"/>
                <w:szCs w:val="20"/>
              </w:rPr>
            </w:pPr>
            <w:r>
              <w:rPr>
                <w:rFonts w:hint="eastAsia" w:ascii="宋体" w:hAnsi="宋体" w:cs="宋体"/>
                <w:color w:val="auto"/>
                <w:kern w:val="0"/>
                <w:sz w:val="20"/>
                <w:szCs w:val="20"/>
              </w:rPr>
              <w:t>100≤X＜300</w:t>
            </w:r>
          </w:p>
        </w:tc>
        <w:tc>
          <w:tcPr>
            <w:tcW w:w="1699" w:type="dxa"/>
            <w:tcBorders>
              <w:top w:val="nil"/>
              <w:left w:val="nil"/>
              <w:bottom w:val="single" w:color="auto" w:sz="4" w:space="0"/>
              <w:right w:val="single" w:color="auto" w:sz="4" w:space="0"/>
            </w:tcBorders>
            <w:vAlign w:val="center"/>
          </w:tcPr>
          <w:p w14:paraId="5B7CBC42">
            <w:pPr>
              <w:widowControl/>
              <w:jc w:val="left"/>
              <w:rPr>
                <w:rFonts w:ascii="宋体" w:hAnsi="宋体" w:cs="宋体"/>
                <w:color w:val="auto"/>
                <w:kern w:val="0"/>
                <w:sz w:val="20"/>
                <w:szCs w:val="20"/>
              </w:rPr>
            </w:pPr>
            <w:r>
              <w:rPr>
                <w:rFonts w:hint="eastAsia" w:ascii="宋体" w:hAnsi="宋体" w:cs="宋体"/>
                <w:color w:val="auto"/>
                <w:kern w:val="0"/>
                <w:sz w:val="20"/>
                <w:szCs w:val="20"/>
              </w:rPr>
              <w:t>10≤X＜100</w:t>
            </w:r>
          </w:p>
        </w:tc>
        <w:tc>
          <w:tcPr>
            <w:tcW w:w="1091" w:type="dxa"/>
            <w:tcBorders>
              <w:top w:val="nil"/>
              <w:left w:val="nil"/>
              <w:bottom w:val="single" w:color="auto" w:sz="4" w:space="0"/>
              <w:right w:val="single" w:color="auto" w:sz="4" w:space="0"/>
            </w:tcBorders>
            <w:vAlign w:val="center"/>
          </w:tcPr>
          <w:p w14:paraId="16A53690">
            <w:pPr>
              <w:widowControl/>
              <w:jc w:val="left"/>
              <w:rPr>
                <w:rFonts w:ascii="宋体" w:hAnsi="宋体" w:cs="宋体"/>
                <w:color w:val="auto"/>
                <w:kern w:val="0"/>
                <w:sz w:val="20"/>
                <w:szCs w:val="20"/>
              </w:rPr>
            </w:pPr>
            <w:r>
              <w:rPr>
                <w:rFonts w:hint="eastAsia" w:ascii="宋体" w:hAnsi="宋体" w:cs="宋体"/>
                <w:color w:val="auto"/>
                <w:kern w:val="0"/>
                <w:sz w:val="20"/>
                <w:szCs w:val="20"/>
              </w:rPr>
              <w:t>X＜10</w:t>
            </w:r>
          </w:p>
        </w:tc>
      </w:tr>
      <w:tr w14:paraId="073278FA">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5085188">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4650073B">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4FA804DF">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2A1613F4">
            <w:pPr>
              <w:widowControl/>
              <w:jc w:val="left"/>
              <w:rPr>
                <w:rFonts w:ascii="宋体" w:hAnsi="宋体" w:cs="宋体"/>
                <w:color w:val="auto"/>
                <w:kern w:val="0"/>
                <w:sz w:val="20"/>
                <w:szCs w:val="20"/>
              </w:rPr>
            </w:pPr>
            <w:r>
              <w:rPr>
                <w:rFonts w:hint="eastAsia" w:ascii="宋体" w:hAnsi="宋体" w:cs="宋体"/>
                <w:color w:val="auto"/>
                <w:kern w:val="0"/>
                <w:sz w:val="20"/>
                <w:szCs w:val="20"/>
              </w:rPr>
              <w:t>2000≤Y＜10000</w:t>
            </w:r>
          </w:p>
        </w:tc>
        <w:tc>
          <w:tcPr>
            <w:tcW w:w="1699" w:type="dxa"/>
            <w:tcBorders>
              <w:top w:val="nil"/>
              <w:left w:val="nil"/>
              <w:bottom w:val="single" w:color="auto" w:sz="4" w:space="0"/>
              <w:right w:val="single" w:color="auto" w:sz="4" w:space="0"/>
            </w:tcBorders>
            <w:vAlign w:val="center"/>
          </w:tcPr>
          <w:p w14:paraId="6B522CCA">
            <w:pPr>
              <w:widowControl/>
              <w:jc w:val="left"/>
              <w:rPr>
                <w:rFonts w:ascii="宋体" w:hAnsi="宋体" w:cs="宋体"/>
                <w:color w:val="auto"/>
                <w:kern w:val="0"/>
                <w:sz w:val="20"/>
                <w:szCs w:val="20"/>
              </w:rPr>
            </w:pPr>
            <w:r>
              <w:rPr>
                <w:rFonts w:hint="eastAsia" w:ascii="宋体" w:hAnsi="宋体" w:cs="宋体"/>
                <w:color w:val="auto"/>
                <w:kern w:val="0"/>
                <w:sz w:val="20"/>
                <w:szCs w:val="20"/>
              </w:rPr>
              <w:t>100≤Y＜2000</w:t>
            </w:r>
          </w:p>
        </w:tc>
        <w:tc>
          <w:tcPr>
            <w:tcW w:w="1091" w:type="dxa"/>
            <w:tcBorders>
              <w:top w:val="nil"/>
              <w:left w:val="nil"/>
              <w:bottom w:val="single" w:color="auto" w:sz="4" w:space="0"/>
              <w:right w:val="single" w:color="auto" w:sz="4" w:space="0"/>
            </w:tcBorders>
            <w:vAlign w:val="center"/>
          </w:tcPr>
          <w:p w14:paraId="3A7E1BF1">
            <w:pPr>
              <w:widowControl/>
              <w:jc w:val="left"/>
              <w:rPr>
                <w:rFonts w:ascii="宋体" w:hAnsi="宋体" w:cs="宋体"/>
                <w:color w:val="auto"/>
                <w:kern w:val="0"/>
                <w:sz w:val="20"/>
                <w:szCs w:val="20"/>
              </w:rPr>
            </w:pPr>
            <w:r>
              <w:rPr>
                <w:rFonts w:hint="eastAsia" w:ascii="宋体" w:hAnsi="宋体" w:cs="宋体"/>
                <w:color w:val="auto"/>
                <w:kern w:val="0"/>
                <w:sz w:val="20"/>
                <w:szCs w:val="20"/>
              </w:rPr>
              <w:t>Y＜100</w:t>
            </w:r>
          </w:p>
        </w:tc>
      </w:tr>
      <w:tr w14:paraId="327254A9">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03769F87">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餐饮业</w:t>
            </w:r>
          </w:p>
        </w:tc>
        <w:tc>
          <w:tcPr>
            <w:tcW w:w="1633" w:type="dxa"/>
            <w:tcBorders>
              <w:top w:val="nil"/>
              <w:left w:val="nil"/>
              <w:bottom w:val="single" w:color="auto" w:sz="4" w:space="0"/>
              <w:right w:val="single" w:color="auto" w:sz="4" w:space="0"/>
            </w:tcBorders>
            <w:vAlign w:val="center"/>
          </w:tcPr>
          <w:p w14:paraId="4E33A7E6">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6A612A4C">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0973F473">
            <w:pPr>
              <w:widowControl/>
              <w:jc w:val="left"/>
              <w:rPr>
                <w:rFonts w:ascii="宋体" w:hAnsi="宋体" w:cs="宋体"/>
                <w:color w:val="auto"/>
                <w:kern w:val="0"/>
                <w:sz w:val="20"/>
                <w:szCs w:val="20"/>
              </w:rPr>
            </w:pPr>
            <w:r>
              <w:rPr>
                <w:rFonts w:hint="eastAsia" w:ascii="宋体" w:hAnsi="宋体" w:cs="宋体"/>
                <w:color w:val="auto"/>
                <w:kern w:val="0"/>
                <w:sz w:val="20"/>
                <w:szCs w:val="20"/>
              </w:rPr>
              <w:t>100≤X＜300</w:t>
            </w:r>
          </w:p>
        </w:tc>
        <w:tc>
          <w:tcPr>
            <w:tcW w:w="1699" w:type="dxa"/>
            <w:tcBorders>
              <w:top w:val="nil"/>
              <w:left w:val="nil"/>
              <w:bottom w:val="single" w:color="auto" w:sz="4" w:space="0"/>
              <w:right w:val="single" w:color="auto" w:sz="4" w:space="0"/>
            </w:tcBorders>
            <w:vAlign w:val="center"/>
          </w:tcPr>
          <w:p w14:paraId="2FFDF100">
            <w:pPr>
              <w:widowControl/>
              <w:jc w:val="left"/>
              <w:rPr>
                <w:rFonts w:ascii="宋体" w:hAnsi="宋体" w:cs="宋体"/>
                <w:color w:val="auto"/>
                <w:kern w:val="0"/>
                <w:sz w:val="20"/>
                <w:szCs w:val="20"/>
              </w:rPr>
            </w:pPr>
            <w:r>
              <w:rPr>
                <w:rFonts w:hint="eastAsia" w:ascii="宋体" w:hAnsi="宋体" w:cs="宋体"/>
                <w:color w:val="auto"/>
                <w:kern w:val="0"/>
                <w:sz w:val="20"/>
                <w:szCs w:val="20"/>
              </w:rPr>
              <w:t>10≤X＜100</w:t>
            </w:r>
          </w:p>
        </w:tc>
        <w:tc>
          <w:tcPr>
            <w:tcW w:w="1091" w:type="dxa"/>
            <w:tcBorders>
              <w:top w:val="nil"/>
              <w:left w:val="nil"/>
              <w:bottom w:val="single" w:color="auto" w:sz="4" w:space="0"/>
              <w:right w:val="single" w:color="auto" w:sz="4" w:space="0"/>
            </w:tcBorders>
            <w:vAlign w:val="center"/>
          </w:tcPr>
          <w:p w14:paraId="7447E49C">
            <w:pPr>
              <w:widowControl/>
              <w:jc w:val="left"/>
              <w:rPr>
                <w:rFonts w:ascii="宋体" w:hAnsi="宋体" w:cs="宋体"/>
                <w:color w:val="auto"/>
                <w:kern w:val="0"/>
                <w:sz w:val="20"/>
                <w:szCs w:val="20"/>
              </w:rPr>
            </w:pPr>
            <w:r>
              <w:rPr>
                <w:rFonts w:hint="eastAsia" w:ascii="宋体" w:hAnsi="宋体" w:cs="宋体"/>
                <w:color w:val="auto"/>
                <w:kern w:val="0"/>
                <w:sz w:val="20"/>
                <w:szCs w:val="20"/>
              </w:rPr>
              <w:t>X＜10</w:t>
            </w:r>
          </w:p>
        </w:tc>
      </w:tr>
      <w:tr w14:paraId="6C1B860D">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682DB2F">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4A2EB610">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6B17D966">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29ED07FF">
            <w:pPr>
              <w:widowControl/>
              <w:jc w:val="left"/>
              <w:rPr>
                <w:rFonts w:ascii="宋体" w:hAnsi="宋体" w:cs="宋体"/>
                <w:color w:val="auto"/>
                <w:kern w:val="0"/>
                <w:sz w:val="20"/>
                <w:szCs w:val="20"/>
              </w:rPr>
            </w:pPr>
            <w:r>
              <w:rPr>
                <w:rFonts w:hint="eastAsia" w:ascii="宋体" w:hAnsi="宋体" w:cs="宋体"/>
                <w:color w:val="auto"/>
                <w:kern w:val="0"/>
                <w:sz w:val="20"/>
                <w:szCs w:val="20"/>
              </w:rPr>
              <w:t>2000≤Y＜10000</w:t>
            </w:r>
          </w:p>
        </w:tc>
        <w:tc>
          <w:tcPr>
            <w:tcW w:w="1699" w:type="dxa"/>
            <w:tcBorders>
              <w:top w:val="nil"/>
              <w:left w:val="nil"/>
              <w:bottom w:val="single" w:color="auto" w:sz="4" w:space="0"/>
              <w:right w:val="single" w:color="auto" w:sz="4" w:space="0"/>
            </w:tcBorders>
            <w:vAlign w:val="center"/>
          </w:tcPr>
          <w:p w14:paraId="161C491A">
            <w:pPr>
              <w:widowControl/>
              <w:jc w:val="left"/>
              <w:rPr>
                <w:rFonts w:ascii="宋体" w:hAnsi="宋体" w:cs="宋体"/>
                <w:color w:val="auto"/>
                <w:kern w:val="0"/>
                <w:sz w:val="20"/>
                <w:szCs w:val="20"/>
              </w:rPr>
            </w:pPr>
            <w:r>
              <w:rPr>
                <w:rFonts w:hint="eastAsia" w:ascii="宋体" w:hAnsi="宋体" w:cs="宋体"/>
                <w:color w:val="auto"/>
                <w:kern w:val="0"/>
                <w:sz w:val="20"/>
                <w:szCs w:val="20"/>
              </w:rPr>
              <w:t>100≤Y＜2000</w:t>
            </w:r>
          </w:p>
        </w:tc>
        <w:tc>
          <w:tcPr>
            <w:tcW w:w="1091" w:type="dxa"/>
            <w:tcBorders>
              <w:top w:val="nil"/>
              <w:left w:val="nil"/>
              <w:bottom w:val="single" w:color="auto" w:sz="4" w:space="0"/>
              <w:right w:val="single" w:color="auto" w:sz="4" w:space="0"/>
            </w:tcBorders>
            <w:vAlign w:val="center"/>
          </w:tcPr>
          <w:p w14:paraId="2F1AE955">
            <w:pPr>
              <w:widowControl/>
              <w:jc w:val="left"/>
              <w:rPr>
                <w:rFonts w:ascii="宋体" w:hAnsi="宋体" w:cs="宋体"/>
                <w:color w:val="auto"/>
                <w:kern w:val="0"/>
                <w:sz w:val="20"/>
                <w:szCs w:val="20"/>
              </w:rPr>
            </w:pPr>
            <w:r>
              <w:rPr>
                <w:rFonts w:hint="eastAsia" w:ascii="宋体" w:hAnsi="宋体" w:cs="宋体"/>
                <w:color w:val="auto"/>
                <w:kern w:val="0"/>
                <w:sz w:val="20"/>
                <w:szCs w:val="20"/>
              </w:rPr>
              <w:t>Y＜100</w:t>
            </w:r>
          </w:p>
        </w:tc>
      </w:tr>
      <w:tr w14:paraId="6104849B">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75CC03BC">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信息传输业</w:t>
            </w:r>
          </w:p>
        </w:tc>
        <w:tc>
          <w:tcPr>
            <w:tcW w:w="1633" w:type="dxa"/>
            <w:tcBorders>
              <w:top w:val="nil"/>
              <w:left w:val="nil"/>
              <w:bottom w:val="single" w:color="auto" w:sz="4" w:space="0"/>
              <w:right w:val="single" w:color="auto" w:sz="4" w:space="0"/>
            </w:tcBorders>
            <w:vAlign w:val="center"/>
          </w:tcPr>
          <w:p w14:paraId="7FE54D56">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3756D75D">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0686DCC4">
            <w:pPr>
              <w:widowControl/>
              <w:jc w:val="left"/>
              <w:rPr>
                <w:rFonts w:ascii="宋体" w:hAnsi="宋体" w:cs="宋体"/>
                <w:color w:val="auto"/>
                <w:kern w:val="0"/>
                <w:sz w:val="20"/>
                <w:szCs w:val="20"/>
              </w:rPr>
            </w:pPr>
            <w:r>
              <w:rPr>
                <w:rFonts w:hint="eastAsia" w:ascii="宋体" w:hAnsi="宋体" w:cs="宋体"/>
                <w:color w:val="auto"/>
                <w:kern w:val="0"/>
                <w:sz w:val="20"/>
                <w:szCs w:val="20"/>
              </w:rPr>
              <w:t>100≤X＜2000</w:t>
            </w:r>
          </w:p>
        </w:tc>
        <w:tc>
          <w:tcPr>
            <w:tcW w:w="1699" w:type="dxa"/>
            <w:tcBorders>
              <w:top w:val="nil"/>
              <w:left w:val="nil"/>
              <w:bottom w:val="single" w:color="auto" w:sz="4" w:space="0"/>
              <w:right w:val="single" w:color="auto" w:sz="4" w:space="0"/>
            </w:tcBorders>
            <w:vAlign w:val="center"/>
          </w:tcPr>
          <w:p w14:paraId="6C78E4D8">
            <w:pPr>
              <w:widowControl/>
              <w:jc w:val="left"/>
              <w:rPr>
                <w:rFonts w:ascii="宋体" w:hAnsi="宋体" w:cs="宋体"/>
                <w:color w:val="auto"/>
                <w:kern w:val="0"/>
                <w:sz w:val="20"/>
                <w:szCs w:val="20"/>
              </w:rPr>
            </w:pPr>
            <w:r>
              <w:rPr>
                <w:rFonts w:hint="eastAsia" w:ascii="宋体" w:hAnsi="宋体" w:cs="宋体"/>
                <w:color w:val="auto"/>
                <w:kern w:val="0"/>
                <w:sz w:val="20"/>
                <w:szCs w:val="20"/>
              </w:rPr>
              <w:t>10≤X＜100</w:t>
            </w:r>
          </w:p>
        </w:tc>
        <w:tc>
          <w:tcPr>
            <w:tcW w:w="1091" w:type="dxa"/>
            <w:tcBorders>
              <w:top w:val="nil"/>
              <w:left w:val="nil"/>
              <w:bottom w:val="single" w:color="auto" w:sz="4" w:space="0"/>
              <w:right w:val="single" w:color="auto" w:sz="4" w:space="0"/>
            </w:tcBorders>
            <w:vAlign w:val="center"/>
          </w:tcPr>
          <w:p w14:paraId="04DC4A4D">
            <w:pPr>
              <w:widowControl/>
              <w:jc w:val="left"/>
              <w:rPr>
                <w:rFonts w:ascii="宋体" w:hAnsi="宋体" w:cs="宋体"/>
                <w:color w:val="auto"/>
                <w:kern w:val="0"/>
                <w:sz w:val="20"/>
                <w:szCs w:val="20"/>
              </w:rPr>
            </w:pPr>
            <w:r>
              <w:rPr>
                <w:rFonts w:hint="eastAsia" w:ascii="宋体" w:hAnsi="宋体" w:cs="宋体"/>
                <w:color w:val="auto"/>
                <w:kern w:val="0"/>
                <w:sz w:val="20"/>
                <w:szCs w:val="20"/>
              </w:rPr>
              <w:t>X＜10</w:t>
            </w:r>
          </w:p>
        </w:tc>
      </w:tr>
      <w:tr w14:paraId="3072F85E">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23BB844E">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7AE7FE0E">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7783D426">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3A73FA83">
            <w:pPr>
              <w:widowControl/>
              <w:jc w:val="left"/>
              <w:rPr>
                <w:rFonts w:ascii="宋体" w:hAnsi="宋体" w:cs="宋体"/>
                <w:color w:val="auto"/>
                <w:kern w:val="0"/>
                <w:sz w:val="20"/>
                <w:szCs w:val="20"/>
              </w:rPr>
            </w:pPr>
            <w:r>
              <w:rPr>
                <w:rFonts w:hint="eastAsia" w:ascii="宋体" w:hAnsi="宋体" w:cs="宋体"/>
                <w:color w:val="auto"/>
                <w:kern w:val="0"/>
                <w:sz w:val="20"/>
                <w:szCs w:val="20"/>
              </w:rPr>
              <w:t>1000≤Y＜100000</w:t>
            </w:r>
          </w:p>
        </w:tc>
        <w:tc>
          <w:tcPr>
            <w:tcW w:w="1699" w:type="dxa"/>
            <w:tcBorders>
              <w:top w:val="nil"/>
              <w:left w:val="nil"/>
              <w:bottom w:val="single" w:color="auto" w:sz="4" w:space="0"/>
              <w:right w:val="single" w:color="auto" w:sz="4" w:space="0"/>
            </w:tcBorders>
            <w:vAlign w:val="center"/>
          </w:tcPr>
          <w:p w14:paraId="428F0203">
            <w:pPr>
              <w:widowControl/>
              <w:jc w:val="left"/>
              <w:rPr>
                <w:rFonts w:ascii="宋体" w:hAnsi="宋体" w:cs="宋体"/>
                <w:color w:val="auto"/>
                <w:kern w:val="0"/>
                <w:sz w:val="20"/>
                <w:szCs w:val="20"/>
              </w:rPr>
            </w:pPr>
            <w:r>
              <w:rPr>
                <w:rFonts w:hint="eastAsia" w:ascii="宋体" w:hAnsi="宋体" w:cs="宋体"/>
                <w:color w:val="auto"/>
                <w:kern w:val="0"/>
                <w:sz w:val="20"/>
                <w:szCs w:val="20"/>
              </w:rPr>
              <w:t>100≤Y＜1000</w:t>
            </w:r>
          </w:p>
        </w:tc>
        <w:tc>
          <w:tcPr>
            <w:tcW w:w="1091" w:type="dxa"/>
            <w:tcBorders>
              <w:top w:val="nil"/>
              <w:left w:val="nil"/>
              <w:bottom w:val="single" w:color="auto" w:sz="4" w:space="0"/>
              <w:right w:val="single" w:color="auto" w:sz="4" w:space="0"/>
            </w:tcBorders>
            <w:vAlign w:val="center"/>
          </w:tcPr>
          <w:p w14:paraId="3E5F74EB">
            <w:pPr>
              <w:widowControl/>
              <w:jc w:val="left"/>
              <w:rPr>
                <w:rFonts w:ascii="宋体" w:hAnsi="宋体" w:cs="宋体"/>
                <w:color w:val="auto"/>
                <w:kern w:val="0"/>
                <w:sz w:val="20"/>
                <w:szCs w:val="20"/>
              </w:rPr>
            </w:pPr>
            <w:r>
              <w:rPr>
                <w:rFonts w:hint="eastAsia" w:ascii="宋体" w:hAnsi="宋体" w:cs="宋体"/>
                <w:color w:val="auto"/>
                <w:kern w:val="0"/>
                <w:sz w:val="20"/>
                <w:szCs w:val="20"/>
              </w:rPr>
              <w:t>Y＜100</w:t>
            </w:r>
          </w:p>
        </w:tc>
      </w:tr>
      <w:tr w14:paraId="195E7A43">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DA504CB">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软件和信息技术服务业</w:t>
            </w:r>
          </w:p>
        </w:tc>
        <w:tc>
          <w:tcPr>
            <w:tcW w:w="1633" w:type="dxa"/>
            <w:tcBorders>
              <w:top w:val="nil"/>
              <w:left w:val="nil"/>
              <w:bottom w:val="single" w:color="auto" w:sz="4" w:space="0"/>
              <w:right w:val="single" w:color="auto" w:sz="4" w:space="0"/>
            </w:tcBorders>
            <w:vAlign w:val="center"/>
          </w:tcPr>
          <w:p w14:paraId="7609BF36">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0FFE0C49">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0B714CE5">
            <w:pPr>
              <w:widowControl/>
              <w:jc w:val="left"/>
              <w:rPr>
                <w:rFonts w:ascii="宋体" w:hAnsi="宋体" w:cs="宋体"/>
                <w:color w:val="auto"/>
                <w:kern w:val="0"/>
                <w:sz w:val="20"/>
                <w:szCs w:val="20"/>
              </w:rPr>
            </w:pPr>
            <w:r>
              <w:rPr>
                <w:rFonts w:hint="eastAsia" w:ascii="宋体" w:hAnsi="宋体" w:cs="宋体"/>
                <w:color w:val="auto"/>
                <w:kern w:val="0"/>
                <w:sz w:val="20"/>
                <w:szCs w:val="20"/>
              </w:rPr>
              <w:t>100≤X＜300</w:t>
            </w:r>
          </w:p>
        </w:tc>
        <w:tc>
          <w:tcPr>
            <w:tcW w:w="1699" w:type="dxa"/>
            <w:tcBorders>
              <w:top w:val="nil"/>
              <w:left w:val="nil"/>
              <w:bottom w:val="single" w:color="auto" w:sz="4" w:space="0"/>
              <w:right w:val="single" w:color="auto" w:sz="4" w:space="0"/>
            </w:tcBorders>
            <w:vAlign w:val="center"/>
          </w:tcPr>
          <w:p w14:paraId="0504F042">
            <w:pPr>
              <w:widowControl/>
              <w:jc w:val="left"/>
              <w:rPr>
                <w:rFonts w:ascii="宋体" w:hAnsi="宋体" w:cs="宋体"/>
                <w:color w:val="auto"/>
                <w:kern w:val="0"/>
                <w:sz w:val="20"/>
                <w:szCs w:val="20"/>
              </w:rPr>
            </w:pPr>
            <w:r>
              <w:rPr>
                <w:rFonts w:hint="eastAsia" w:ascii="宋体" w:hAnsi="宋体" w:cs="宋体"/>
                <w:color w:val="auto"/>
                <w:kern w:val="0"/>
                <w:sz w:val="20"/>
                <w:szCs w:val="20"/>
              </w:rPr>
              <w:t>10≤X＜100</w:t>
            </w:r>
          </w:p>
        </w:tc>
        <w:tc>
          <w:tcPr>
            <w:tcW w:w="1091" w:type="dxa"/>
            <w:tcBorders>
              <w:top w:val="nil"/>
              <w:left w:val="nil"/>
              <w:bottom w:val="single" w:color="auto" w:sz="4" w:space="0"/>
              <w:right w:val="single" w:color="auto" w:sz="4" w:space="0"/>
            </w:tcBorders>
            <w:vAlign w:val="center"/>
          </w:tcPr>
          <w:p w14:paraId="1A9CA3BF">
            <w:pPr>
              <w:widowControl/>
              <w:jc w:val="left"/>
              <w:rPr>
                <w:rFonts w:ascii="宋体" w:hAnsi="宋体" w:cs="宋体"/>
                <w:color w:val="auto"/>
                <w:kern w:val="0"/>
                <w:sz w:val="20"/>
                <w:szCs w:val="20"/>
              </w:rPr>
            </w:pPr>
            <w:r>
              <w:rPr>
                <w:rFonts w:hint="eastAsia" w:ascii="宋体" w:hAnsi="宋体" w:cs="宋体"/>
                <w:color w:val="auto"/>
                <w:kern w:val="0"/>
                <w:sz w:val="20"/>
                <w:szCs w:val="20"/>
              </w:rPr>
              <w:t>X＜10</w:t>
            </w:r>
          </w:p>
        </w:tc>
      </w:tr>
      <w:tr w14:paraId="472E7F0F">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3F965FB">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7C667E3E">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18B5EA84">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69D2CDE2">
            <w:pPr>
              <w:widowControl/>
              <w:jc w:val="left"/>
              <w:rPr>
                <w:rFonts w:ascii="宋体" w:hAnsi="宋体" w:cs="宋体"/>
                <w:color w:val="auto"/>
                <w:kern w:val="0"/>
                <w:sz w:val="20"/>
                <w:szCs w:val="20"/>
              </w:rPr>
            </w:pPr>
            <w:r>
              <w:rPr>
                <w:rFonts w:hint="eastAsia" w:ascii="宋体" w:hAnsi="宋体" w:cs="宋体"/>
                <w:color w:val="auto"/>
                <w:kern w:val="0"/>
                <w:sz w:val="20"/>
                <w:szCs w:val="20"/>
              </w:rPr>
              <w:t>1000≤Y＜10000</w:t>
            </w:r>
          </w:p>
        </w:tc>
        <w:tc>
          <w:tcPr>
            <w:tcW w:w="1699" w:type="dxa"/>
            <w:tcBorders>
              <w:top w:val="nil"/>
              <w:left w:val="nil"/>
              <w:bottom w:val="single" w:color="auto" w:sz="4" w:space="0"/>
              <w:right w:val="single" w:color="auto" w:sz="4" w:space="0"/>
            </w:tcBorders>
            <w:vAlign w:val="center"/>
          </w:tcPr>
          <w:p w14:paraId="008C7816">
            <w:pPr>
              <w:widowControl/>
              <w:jc w:val="left"/>
              <w:rPr>
                <w:rFonts w:ascii="宋体" w:hAnsi="宋体" w:cs="宋体"/>
                <w:color w:val="auto"/>
                <w:kern w:val="0"/>
                <w:sz w:val="20"/>
                <w:szCs w:val="20"/>
              </w:rPr>
            </w:pPr>
            <w:r>
              <w:rPr>
                <w:rFonts w:hint="eastAsia" w:ascii="宋体" w:hAnsi="宋体" w:cs="宋体"/>
                <w:color w:val="auto"/>
                <w:kern w:val="0"/>
                <w:sz w:val="20"/>
                <w:szCs w:val="20"/>
              </w:rPr>
              <w:t>50≤Y＜1000</w:t>
            </w:r>
          </w:p>
        </w:tc>
        <w:tc>
          <w:tcPr>
            <w:tcW w:w="1091" w:type="dxa"/>
            <w:tcBorders>
              <w:top w:val="nil"/>
              <w:left w:val="nil"/>
              <w:bottom w:val="single" w:color="auto" w:sz="4" w:space="0"/>
              <w:right w:val="single" w:color="auto" w:sz="4" w:space="0"/>
            </w:tcBorders>
            <w:vAlign w:val="center"/>
          </w:tcPr>
          <w:p w14:paraId="1AE25B8A">
            <w:pPr>
              <w:widowControl/>
              <w:jc w:val="left"/>
              <w:rPr>
                <w:rFonts w:ascii="宋体" w:hAnsi="宋体" w:cs="宋体"/>
                <w:color w:val="auto"/>
                <w:kern w:val="0"/>
                <w:sz w:val="20"/>
                <w:szCs w:val="20"/>
              </w:rPr>
            </w:pPr>
            <w:r>
              <w:rPr>
                <w:rFonts w:hint="eastAsia" w:ascii="宋体" w:hAnsi="宋体" w:cs="宋体"/>
                <w:color w:val="auto"/>
                <w:kern w:val="0"/>
                <w:sz w:val="20"/>
                <w:szCs w:val="20"/>
              </w:rPr>
              <w:t>Y＜50</w:t>
            </w:r>
          </w:p>
        </w:tc>
      </w:tr>
      <w:tr w14:paraId="095A569E">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2AB3706">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房地产开发经营</w:t>
            </w:r>
          </w:p>
        </w:tc>
        <w:tc>
          <w:tcPr>
            <w:tcW w:w="1633" w:type="dxa"/>
            <w:tcBorders>
              <w:top w:val="nil"/>
              <w:left w:val="nil"/>
              <w:bottom w:val="single" w:color="auto" w:sz="4" w:space="0"/>
              <w:right w:val="single" w:color="auto" w:sz="4" w:space="0"/>
            </w:tcBorders>
            <w:vAlign w:val="center"/>
          </w:tcPr>
          <w:p w14:paraId="3C696D43">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69819D2E">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3B91FC26">
            <w:pPr>
              <w:widowControl/>
              <w:jc w:val="left"/>
              <w:rPr>
                <w:rFonts w:ascii="宋体" w:hAnsi="宋体" w:cs="宋体"/>
                <w:color w:val="auto"/>
                <w:kern w:val="0"/>
                <w:sz w:val="20"/>
                <w:szCs w:val="20"/>
              </w:rPr>
            </w:pPr>
            <w:r>
              <w:rPr>
                <w:rFonts w:hint="eastAsia" w:ascii="宋体" w:hAnsi="宋体" w:cs="宋体"/>
                <w:color w:val="auto"/>
                <w:kern w:val="0"/>
                <w:sz w:val="20"/>
                <w:szCs w:val="20"/>
              </w:rPr>
              <w:t>1000≤Y＜200000</w:t>
            </w:r>
          </w:p>
        </w:tc>
        <w:tc>
          <w:tcPr>
            <w:tcW w:w="1699" w:type="dxa"/>
            <w:tcBorders>
              <w:top w:val="nil"/>
              <w:left w:val="nil"/>
              <w:bottom w:val="single" w:color="auto" w:sz="4" w:space="0"/>
              <w:right w:val="single" w:color="auto" w:sz="4" w:space="0"/>
            </w:tcBorders>
            <w:vAlign w:val="center"/>
          </w:tcPr>
          <w:p w14:paraId="18A2EB33">
            <w:pPr>
              <w:widowControl/>
              <w:jc w:val="left"/>
              <w:rPr>
                <w:rFonts w:ascii="宋体" w:hAnsi="宋体" w:cs="宋体"/>
                <w:color w:val="auto"/>
                <w:kern w:val="0"/>
                <w:sz w:val="20"/>
                <w:szCs w:val="20"/>
              </w:rPr>
            </w:pPr>
            <w:r>
              <w:rPr>
                <w:rFonts w:hint="eastAsia" w:ascii="宋体" w:hAnsi="宋体" w:cs="宋体"/>
                <w:color w:val="auto"/>
                <w:kern w:val="0"/>
                <w:sz w:val="20"/>
                <w:szCs w:val="20"/>
              </w:rPr>
              <w:t>100≤X＜1000</w:t>
            </w:r>
          </w:p>
        </w:tc>
        <w:tc>
          <w:tcPr>
            <w:tcW w:w="1091" w:type="dxa"/>
            <w:tcBorders>
              <w:top w:val="nil"/>
              <w:left w:val="nil"/>
              <w:bottom w:val="single" w:color="auto" w:sz="4" w:space="0"/>
              <w:right w:val="single" w:color="auto" w:sz="4" w:space="0"/>
            </w:tcBorders>
            <w:vAlign w:val="center"/>
          </w:tcPr>
          <w:p w14:paraId="2121357B">
            <w:pPr>
              <w:widowControl/>
              <w:jc w:val="left"/>
              <w:rPr>
                <w:rFonts w:ascii="宋体" w:hAnsi="宋体" w:cs="宋体"/>
                <w:color w:val="auto"/>
                <w:kern w:val="0"/>
                <w:sz w:val="20"/>
                <w:szCs w:val="20"/>
              </w:rPr>
            </w:pPr>
            <w:r>
              <w:rPr>
                <w:rFonts w:hint="eastAsia" w:ascii="宋体" w:hAnsi="宋体" w:cs="宋体"/>
                <w:color w:val="auto"/>
                <w:kern w:val="0"/>
                <w:sz w:val="20"/>
                <w:szCs w:val="20"/>
              </w:rPr>
              <w:t>X＜100</w:t>
            </w:r>
          </w:p>
        </w:tc>
      </w:tr>
      <w:tr w14:paraId="1BFDC746">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25D6806C">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34616A9A">
            <w:pPr>
              <w:widowControl/>
              <w:jc w:val="left"/>
              <w:rPr>
                <w:rFonts w:ascii="宋体" w:hAnsi="宋体" w:cs="宋体"/>
                <w:color w:val="auto"/>
                <w:kern w:val="0"/>
                <w:sz w:val="20"/>
                <w:szCs w:val="20"/>
              </w:rPr>
            </w:pPr>
            <w:r>
              <w:rPr>
                <w:rFonts w:hint="eastAsia" w:ascii="宋体" w:hAnsi="宋体" w:cs="宋体"/>
                <w:color w:val="auto"/>
                <w:kern w:val="0"/>
                <w:sz w:val="20"/>
                <w:szCs w:val="20"/>
              </w:rPr>
              <w:t>资产总额（Z）</w:t>
            </w:r>
          </w:p>
        </w:tc>
        <w:tc>
          <w:tcPr>
            <w:tcW w:w="1077" w:type="dxa"/>
            <w:tcBorders>
              <w:top w:val="nil"/>
              <w:left w:val="nil"/>
              <w:bottom w:val="single" w:color="auto" w:sz="4" w:space="0"/>
              <w:right w:val="single" w:color="auto" w:sz="4" w:space="0"/>
            </w:tcBorders>
            <w:vAlign w:val="center"/>
          </w:tcPr>
          <w:p w14:paraId="7E196AE0">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0BF29BD4">
            <w:pPr>
              <w:widowControl/>
              <w:jc w:val="left"/>
              <w:rPr>
                <w:rFonts w:ascii="宋体" w:hAnsi="宋体" w:cs="宋体"/>
                <w:color w:val="auto"/>
                <w:kern w:val="0"/>
                <w:sz w:val="20"/>
                <w:szCs w:val="20"/>
              </w:rPr>
            </w:pPr>
            <w:r>
              <w:rPr>
                <w:rFonts w:hint="eastAsia" w:ascii="宋体" w:hAnsi="宋体" w:cs="宋体"/>
                <w:color w:val="auto"/>
                <w:kern w:val="0"/>
                <w:sz w:val="20"/>
                <w:szCs w:val="20"/>
              </w:rPr>
              <w:t>5000≤Z＜10000</w:t>
            </w:r>
          </w:p>
        </w:tc>
        <w:tc>
          <w:tcPr>
            <w:tcW w:w="1699" w:type="dxa"/>
            <w:tcBorders>
              <w:top w:val="nil"/>
              <w:left w:val="nil"/>
              <w:bottom w:val="single" w:color="auto" w:sz="4" w:space="0"/>
              <w:right w:val="single" w:color="auto" w:sz="4" w:space="0"/>
            </w:tcBorders>
            <w:vAlign w:val="center"/>
          </w:tcPr>
          <w:p w14:paraId="54FFB7CD">
            <w:pPr>
              <w:widowControl/>
              <w:jc w:val="left"/>
              <w:rPr>
                <w:rFonts w:ascii="宋体" w:hAnsi="宋体" w:cs="宋体"/>
                <w:color w:val="auto"/>
                <w:kern w:val="0"/>
                <w:sz w:val="20"/>
                <w:szCs w:val="20"/>
              </w:rPr>
            </w:pPr>
            <w:r>
              <w:rPr>
                <w:rFonts w:hint="eastAsia" w:ascii="宋体" w:hAnsi="宋体" w:cs="宋体"/>
                <w:color w:val="auto"/>
                <w:kern w:val="0"/>
                <w:sz w:val="20"/>
                <w:szCs w:val="20"/>
              </w:rPr>
              <w:t>2000≤Y＜5000</w:t>
            </w:r>
          </w:p>
        </w:tc>
        <w:tc>
          <w:tcPr>
            <w:tcW w:w="1091" w:type="dxa"/>
            <w:tcBorders>
              <w:top w:val="nil"/>
              <w:left w:val="nil"/>
              <w:bottom w:val="single" w:color="auto" w:sz="4" w:space="0"/>
              <w:right w:val="single" w:color="auto" w:sz="4" w:space="0"/>
            </w:tcBorders>
            <w:vAlign w:val="center"/>
          </w:tcPr>
          <w:p w14:paraId="49A67741">
            <w:pPr>
              <w:widowControl/>
              <w:jc w:val="left"/>
              <w:rPr>
                <w:rFonts w:ascii="宋体" w:hAnsi="宋体" w:cs="宋体"/>
                <w:color w:val="auto"/>
                <w:kern w:val="0"/>
                <w:sz w:val="20"/>
                <w:szCs w:val="20"/>
              </w:rPr>
            </w:pPr>
            <w:r>
              <w:rPr>
                <w:rFonts w:hint="eastAsia" w:ascii="宋体" w:hAnsi="宋体" w:cs="宋体"/>
                <w:color w:val="auto"/>
                <w:kern w:val="0"/>
                <w:sz w:val="20"/>
                <w:szCs w:val="20"/>
              </w:rPr>
              <w:t>Y＜2000</w:t>
            </w:r>
          </w:p>
        </w:tc>
      </w:tr>
      <w:tr w14:paraId="049080EF">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4AC89EC">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物业管理</w:t>
            </w:r>
          </w:p>
        </w:tc>
        <w:tc>
          <w:tcPr>
            <w:tcW w:w="1633" w:type="dxa"/>
            <w:tcBorders>
              <w:top w:val="nil"/>
              <w:left w:val="nil"/>
              <w:bottom w:val="single" w:color="auto" w:sz="4" w:space="0"/>
              <w:right w:val="single" w:color="auto" w:sz="4" w:space="0"/>
            </w:tcBorders>
            <w:vAlign w:val="center"/>
          </w:tcPr>
          <w:p w14:paraId="53A627B7">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3ED1EF6D">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1D0C4E7B">
            <w:pPr>
              <w:widowControl/>
              <w:jc w:val="left"/>
              <w:rPr>
                <w:rFonts w:ascii="宋体" w:hAnsi="宋体" w:cs="宋体"/>
                <w:color w:val="auto"/>
                <w:kern w:val="0"/>
                <w:sz w:val="20"/>
                <w:szCs w:val="20"/>
              </w:rPr>
            </w:pPr>
            <w:r>
              <w:rPr>
                <w:rFonts w:hint="eastAsia" w:ascii="宋体" w:hAnsi="宋体" w:cs="宋体"/>
                <w:color w:val="auto"/>
                <w:kern w:val="0"/>
                <w:sz w:val="20"/>
                <w:szCs w:val="20"/>
              </w:rPr>
              <w:t>300≤X＜1000</w:t>
            </w:r>
          </w:p>
        </w:tc>
        <w:tc>
          <w:tcPr>
            <w:tcW w:w="1699" w:type="dxa"/>
            <w:tcBorders>
              <w:top w:val="nil"/>
              <w:left w:val="nil"/>
              <w:bottom w:val="single" w:color="auto" w:sz="4" w:space="0"/>
              <w:right w:val="single" w:color="auto" w:sz="4" w:space="0"/>
            </w:tcBorders>
            <w:vAlign w:val="center"/>
          </w:tcPr>
          <w:p w14:paraId="16354F22">
            <w:pPr>
              <w:widowControl/>
              <w:jc w:val="left"/>
              <w:rPr>
                <w:rFonts w:ascii="宋体" w:hAnsi="宋体" w:cs="宋体"/>
                <w:color w:val="auto"/>
                <w:kern w:val="0"/>
                <w:sz w:val="20"/>
                <w:szCs w:val="20"/>
              </w:rPr>
            </w:pPr>
            <w:r>
              <w:rPr>
                <w:rFonts w:hint="eastAsia" w:ascii="宋体" w:hAnsi="宋体" w:cs="宋体"/>
                <w:color w:val="auto"/>
                <w:kern w:val="0"/>
                <w:sz w:val="20"/>
                <w:szCs w:val="20"/>
              </w:rPr>
              <w:t>100≤X＜300</w:t>
            </w:r>
          </w:p>
        </w:tc>
        <w:tc>
          <w:tcPr>
            <w:tcW w:w="1091" w:type="dxa"/>
            <w:tcBorders>
              <w:top w:val="nil"/>
              <w:left w:val="nil"/>
              <w:bottom w:val="single" w:color="auto" w:sz="4" w:space="0"/>
              <w:right w:val="single" w:color="auto" w:sz="4" w:space="0"/>
            </w:tcBorders>
            <w:vAlign w:val="center"/>
          </w:tcPr>
          <w:p w14:paraId="43C026FB">
            <w:pPr>
              <w:widowControl/>
              <w:jc w:val="left"/>
              <w:rPr>
                <w:rFonts w:ascii="宋体" w:hAnsi="宋体" w:cs="宋体"/>
                <w:color w:val="auto"/>
                <w:kern w:val="0"/>
                <w:sz w:val="20"/>
                <w:szCs w:val="20"/>
              </w:rPr>
            </w:pPr>
            <w:r>
              <w:rPr>
                <w:rFonts w:hint="eastAsia" w:ascii="宋体" w:hAnsi="宋体" w:cs="宋体"/>
                <w:color w:val="auto"/>
                <w:kern w:val="0"/>
                <w:sz w:val="20"/>
                <w:szCs w:val="20"/>
              </w:rPr>
              <w:t>X＜100</w:t>
            </w:r>
          </w:p>
        </w:tc>
      </w:tr>
      <w:tr w14:paraId="276F89BB">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94B7797">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18397561">
            <w:pPr>
              <w:widowControl/>
              <w:jc w:val="left"/>
              <w:rPr>
                <w:rFonts w:ascii="宋体" w:hAnsi="宋体" w:cs="宋体"/>
                <w:color w:val="auto"/>
                <w:kern w:val="0"/>
                <w:sz w:val="20"/>
                <w:szCs w:val="20"/>
              </w:rPr>
            </w:pPr>
            <w:r>
              <w:rPr>
                <w:rFonts w:hint="eastAsia" w:ascii="宋体" w:hAnsi="宋体" w:cs="宋体"/>
                <w:color w:val="auto"/>
                <w:kern w:val="0"/>
                <w:sz w:val="20"/>
                <w:szCs w:val="20"/>
              </w:rPr>
              <w:t>营业收入（Y）</w:t>
            </w:r>
          </w:p>
        </w:tc>
        <w:tc>
          <w:tcPr>
            <w:tcW w:w="1077" w:type="dxa"/>
            <w:tcBorders>
              <w:top w:val="nil"/>
              <w:left w:val="nil"/>
              <w:bottom w:val="single" w:color="auto" w:sz="4" w:space="0"/>
              <w:right w:val="single" w:color="auto" w:sz="4" w:space="0"/>
            </w:tcBorders>
            <w:vAlign w:val="center"/>
          </w:tcPr>
          <w:p w14:paraId="2A68B7B7">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4BE8255C">
            <w:pPr>
              <w:widowControl/>
              <w:jc w:val="left"/>
              <w:rPr>
                <w:rFonts w:ascii="宋体" w:hAnsi="宋体" w:cs="宋体"/>
                <w:color w:val="auto"/>
                <w:kern w:val="0"/>
                <w:sz w:val="20"/>
                <w:szCs w:val="20"/>
              </w:rPr>
            </w:pPr>
            <w:r>
              <w:rPr>
                <w:rFonts w:hint="eastAsia" w:ascii="宋体" w:hAnsi="宋体" w:cs="宋体"/>
                <w:color w:val="auto"/>
                <w:kern w:val="0"/>
                <w:sz w:val="20"/>
                <w:szCs w:val="20"/>
              </w:rPr>
              <w:t>1000≤Y＜5000</w:t>
            </w:r>
          </w:p>
        </w:tc>
        <w:tc>
          <w:tcPr>
            <w:tcW w:w="1699" w:type="dxa"/>
            <w:tcBorders>
              <w:top w:val="nil"/>
              <w:left w:val="nil"/>
              <w:bottom w:val="single" w:color="auto" w:sz="4" w:space="0"/>
              <w:right w:val="single" w:color="auto" w:sz="4" w:space="0"/>
            </w:tcBorders>
            <w:vAlign w:val="center"/>
          </w:tcPr>
          <w:p w14:paraId="0C79356D">
            <w:pPr>
              <w:widowControl/>
              <w:jc w:val="left"/>
              <w:rPr>
                <w:rFonts w:ascii="宋体" w:hAnsi="宋体" w:cs="宋体"/>
                <w:color w:val="auto"/>
                <w:kern w:val="0"/>
                <w:sz w:val="20"/>
                <w:szCs w:val="20"/>
              </w:rPr>
            </w:pPr>
            <w:r>
              <w:rPr>
                <w:rFonts w:hint="eastAsia" w:ascii="宋体" w:hAnsi="宋体" w:cs="宋体"/>
                <w:color w:val="auto"/>
                <w:kern w:val="0"/>
                <w:sz w:val="20"/>
                <w:szCs w:val="20"/>
              </w:rPr>
              <w:t>500≤Y＜1000</w:t>
            </w:r>
          </w:p>
        </w:tc>
        <w:tc>
          <w:tcPr>
            <w:tcW w:w="1091" w:type="dxa"/>
            <w:tcBorders>
              <w:top w:val="nil"/>
              <w:left w:val="nil"/>
              <w:bottom w:val="single" w:color="auto" w:sz="4" w:space="0"/>
              <w:right w:val="single" w:color="auto" w:sz="4" w:space="0"/>
            </w:tcBorders>
            <w:vAlign w:val="center"/>
          </w:tcPr>
          <w:p w14:paraId="0C39865C">
            <w:pPr>
              <w:widowControl/>
              <w:jc w:val="left"/>
              <w:rPr>
                <w:rFonts w:ascii="宋体" w:hAnsi="宋体" w:cs="宋体"/>
                <w:color w:val="auto"/>
                <w:kern w:val="0"/>
                <w:sz w:val="20"/>
                <w:szCs w:val="20"/>
              </w:rPr>
            </w:pPr>
            <w:r>
              <w:rPr>
                <w:rFonts w:hint="eastAsia" w:ascii="宋体" w:hAnsi="宋体" w:cs="宋体"/>
                <w:color w:val="auto"/>
                <w:kern w:val="0"/>
                <w:sz w:val="20"/>
                <w:szCs w:val="20"/>
              </w:rPr>
              <w:t>Y＜500</w:t>
            </w:r>
          </w:p>
        </w:tc>
      </w:tr>
      <w:tr w14:paraId="0BA82686">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05A34DDF">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租赁和商务服务业</w:t>
            </w:r>
          </w:p>
        </w:tc>
        <w:tc>
          <w:tcPr>
            <w:tcW w:w="1633" w:type="dxa"/>
            <w:tcBorders>
              <w:top w:val="nil"/>
              <w:left w:val="nil"/>
              <w:bottom w:val="single" w:color="auto" w:sz="4" w:space="0"/>
              <w:right w:val="single" w:color="auto" w:sz="4" w:space="0"/>
            </w:tcBorders>
            <w:vAlign w:val="center"/>
          </w:tcPr>
          <w:p w14:paraId="1D80FD2F">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370122E0">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04A1CDBE">
            <w:pPr>
              <w:widowControl/>
              <w:jc w:val="left"/>
              <w:rPr>
                <w:rFonts w:ascii="宋体" w:hAnsi="宋体" w:cs="宋体"/>
                <w:color w:val="auto"/>
                <w:kern w:val="0"/>
                <w:sz w:val="20"/>
                <w:szCs w:val="20"/>
              </w:rPr>
            </w:pPr>
            <w:r>
              <w:rPr>
                <w:rFonts w:hint="eastAsia" w:ascii="宋体" w:hAnsi="宋体" w:cs="宋体"/>
                <w:color w:val="auto"/>
                <w:kern w:val="0"/>
                <w:sz w:val="20"/>
                <w:szCs w:val="20"/>
              </w:rPr>
              <w:t>100≤X＜300</w:t>
            </w:r>
          </w:p>
        </w:tc>
        <w:tc>
          <w:tcPr>
            <w:tcW w:w="1699" w:type="dxa"/>
            <w:tcBorders>
              <w:top w:val="nil"/>
              <w:left w:val="nil"/>
              <w:bottom w:val="single" w:color="auto" w:sz="4" w:space="0"/>
              <w:right w:val="single" w:color="auto" w:sz="4" w:space="0"/>
            </w:tcBorders>
            <w:vAlign w:val="center"/>
          </w:tcPr>
          <w:p w14:paraId="00A5FBAB">
            <w:pPr>
              <w:widowControl/>
              <w:jc w:val="left"/>
              <w:rPr>
                <w:rFonts w:ascii="宋体" w:hAnsi="宋体" w:cs="宋体"/>
                <w:color w:val="auto"/>
                <w:kern w:val="0"/>
                <w:sz w:val="20"/>
                <w:szCs w:val="20"/>
              </w:rPr>
            </w:pPr>
            <w:r>
              <w:rPr>
                <w:rFonts w:hint="eastAsia" w:ascii="宋体" w:hAnsi="宋体" w:cs="宋体"/>
                <w:color w:val="auto"/>
                <w:kern w:val="0"/>
                <w:sz w:val="20"/>
                <w:szCs w:val="20"/>
              </w:rPr>
              <w:t>10≤X＜100</w:t>
            </w:r>
          </w:p>
        </w:tc>
        <w:tc>
          <w:tcPr>
            <w:tcW w:w="1091" w:type="dxa"/>
            <w:tcBorders>
              <w:top w:val="nil"/>
              <w:left w:val="nil"/>
              <w:bottom w:val="single" w:color="auto" w:sz="4" w:space="0"/>
              <w:right w:val="single" w:color="auto" w:sz="4" w:space="0"/>
            </w:tcBorders>
            <w:vAlign w:val="center"/>
          </w:tcPr>
          <w:p w14:paraId="268F4E93">
            <w:pPr>
              <w:widowControl/>
              <w:jc w:val="left"/>
              <w:rPr>
                <w:rFonts w:ascii="宋体" w:hAnsi="宋体" w:cs="宋体"/>
                <w:color w:val="auto"/>
                <w:kern w:val="0"/>
                <w:sz w:val="20"/>
                <w:szCs w:val="20"/>
              </w:rPr>
            </w:pPr>
            <w:r>
              <w:rPr>
                <w:rFonts w:hint="eastAsia" w:ascii="宋体" w:hAnsi="宋体" w:cs="宋体"/>
                <w:color w:val="auto"/>
                <w:kern w:val="0"/>
                <w:sz w:val="20"/>
                <w:szCs w:val="20"/>
              </w:rPr>
              <w:t>X＜10</w:t>
            </w:r>
          </w:p>
        </w:tc>
      </w:tr>
      <w:tr w14:paraId="1D0781D1">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665CBC1F">
            <w:pPr>
              <w:widowControl/>
              <w:jc w:val="left"/>
              <w:rPr>
                <w:rFonts w:ascii="宋体" w:hAnsi="宋体" w:cs="宋体"/>
                <w:b/>
                <w:bCs/>
                <w:color w:val="auto"/>
                <w:kern w:val="0"/>
                <w:sz w:val="20"/>
                <w:szCs w:val="20"/>
              </w:rPr>
            </w:pPr>
          </w:p>
        </w:tc>
        <w:tc>
          <w:tcPr>
            <w:tcW w:w="1633" w:type="dxa"/>
            <w:tcBorders>
              <w:top w:val="nil"/>
              <w:left w:val="nil"/>
              <w:bottom w:val="single" w:color="auto" w:sz="4" w:space="0"/>
              <w:right w:val="single" w:color="auto" w:sz="4" w:space="0"/>
            </w:tcBorders>
            <w:vAlign w:val="center"/>
          </w:tcPr>
          <w:p w14:paraId="14C19FCD">
            <w:pPr>
              <w:widowControl/>
              <w:jc w:val="left"/>
              <w:rPr>
                <w:rFonts w:ascii="宋体" w:hAnsi="宋体" w:cs="宋体"/>
                <w:color w:val="auto"/>
                <w:kern w:val="0"/>
                <w:sz w:val="20"/>
                <w:szCs w:val="20"/>
              </w:rPr>
            </w:pPr>
            <w:r>
              <w:rPr>
                <w:rFonts w:hint="eastAsia" w:ascii="宋体" w:hAnsi="宋体" w:cs="宋体"/>
                <w:color w:val="auto"/>
                <w:kern w:val="0"/>
                <w:sz w:val="20"/>
                <w:szCs w:val="20"/>
              </w:rPr>
              <w:t>资产总额（Z）</w:t>
            </w:r>
          </w:p>
        </w:tc>
        <w:tc>
          <w:tcPr>
            <w:tcW w:w="1077" w:type="dxa"/>
            <w:tcBorders>
              <w:top w:val="nil"/>
              <w:left w:val="nil"/>
              <w:bottom w:val="single" w:color="auto" w:sz="4" w:space="0"/>
              <w:right w:val="single" w:color="auto" w:sz="4" w:space="0"/>
            </w:tcBorders>
            <w:vAlign w:val="center"/>
          </w:tcPr>
          <w:p w14:paraId="66862AE1">
            <w:pPr>
              <w:widowControl/>
              <w:jc w:val="left"/>
              <w:rPr>
                <w:rFonts w:ascii="宋体" w:hAnsi="宋体" w:cs="宋体"/>
                <w:color w:val="auto"/>
                <w:kern w:val="0"/>
                <w:sz w:val="20"/>
                <w:szCs w:val="20"/>
              </w:rPr>
            </w:pPr>
            <w:r>
              <w:rPr>
                <w:rFonts w:hint="eastAsia" w:ascii="宋体" w:hAnsi="宋体" w:cs="宋体"/>
                <w:color w:val="auto"/>
                <w:kern w:val="0"/>
                <w:sz w:val="20"/>
                <w:szCs w:val="20"/>
              </w:rPr>
              <w:t>万元</w:t>
            </w:r>
          </w:p>
        </w:tc>
        <w:tc>
          <w:tcPr>
            <w:tcW w:w="1911" w:type="dxa"/>
            <w:tcBorders>
              <w:top w:val="nil"/>
              <w:left w:val="nil"/>
              <w:bottom w:val="single" w:color="auto" w:sz="4" w:space="0"/>
              <w:right w:val="single" w:color="auto" w:sz="4" w:space="0"/>
            </w:tcBorders>
            <w:vAlign w:val="center"/>
          </w:tcPr>
          <w:p w14:paraId="416D07A1">
            <w:pPr>
              <w:widowControl/>
              <w:jc w:val="left"/>
              <w:rPr>
                <w:rFonts w:ascii="宋体" w:hAnsi="宋体" w:cs="宋体"/>
                <w:color w:val="auto"/>
                <w:kern w:val="0"/>
                <w:sz w:val="20"/>
                <w:szCs w:val="20"/>
              </w:rPr>
            </w:pPr>
            <w:r>
              <w:rPr>
                <w:rFonts w:hint="eastAsia" w:ascii="宋体" w:hAnsi="宋体" w:cs="宋体"/>
                <w:color w:val="auto"/>
                <w:kern w:val="0"/>
                <w:sz w:val="20"/>
                <w:szCs w:val="20"/>
              </w:rPr>
              <w:t>8000≤Z＜120000</w:t>
            </w:r>
          </w:p>
        </w:tc>
        <w:tc>
          <w:tcPr>
            <w:tcW w:w="1699" w:type="dxa"/>
            <w:tcBorders>
              <w:top w:val="nil"/>
              <w:left w:val="nil"/>
              <w:bottom w:val="single" w:color="auto" w:sz="4" w:space="0"/>
              <w:right w:val="single" w:color="auto" w:sz="4" w:space="0"/>
            </w:tcBorders>
            <w:vAlign w:val="center"/>
          </w:tcPr>
          <w:p w14:paraId="58BCAF98">
            <w:pPr>
              <w:widowControl/>
              <w:jc w:val="left"/>
              <w:rPr>
                <w:rFonts w:ascii="宋体" w:hAnsi="宋体" w:cs="宋体"/>
                <w:color w:val="auto"/>
                <w:kern w:val="0"/>
                <w:sz w:val="20"/>
                <w:szCs w:val="20"/>
              </w:rPr>
            </w:pPr>
            <w:r>
              <w:rPr>
                <w:rFonts w:hint="eastAsia" w:ascii="宋体" w:hAnsi="宋体" w:cs="宋体"/>
                <w:color w:val="auto"/>
                <w:kern w:val="0"/>
                <w:sz w:val="20"/>
                <w:szCs w:val="20"/>
              </w:rPr>
              <w:t>100≤Z＜8000</w:t>
            </w:r>
          </w:p>
        </w:tc>
        <w:tc>
          <w:tcPr>
            <w:tcW w:w="1091" w:type="dxa"/>
            <w:tcBorders>
              <w:top w:val="nil"/>
              <w:left w:val="nil"/>
              <w:bottom w:val="single" w:color="auto" w:sz="4" w:space="0"/>
              <w:right w:val="single" w:color="auto" w:sz="4" w:space="0"/>
            </w:tcBorders>
            <w:vAlign w:val="center"/>
          </w:tcPr>
          <w:p w14:paraId="10F52D36">
            <w:pPr>
              <w:widowControl/>
              <w:jc w:val="left"/>
              <w:rPr>
                <w:rFonts w:ascii="宋体" w:hAnsi="宋体" w:cs="宋体"/>
                <w:color w:val="auto"/>
                <w:kern w:val="0"/>
                <w:sz w:val="20"/>
                <w:szCs w:val="20"/>
              </w:rPr>
            </w:pPr>
            <w:r>
              <w:rPr>
                <w:rFonts w:hint="eastAsia" w:ascii="宋体" w:hAnsi="宋体" w:cs="宋体"/>
                <w:color w:val="auto"/>
                <w:kern w:val="0"/>
                <w:sz w:val="20"/>
                <w:szCs w:val="20"/>
              </w:rPr>
              <w:t>Y＜100</w:t>
            </w:r>
          </w:p>
        </w:tc>
      </w:tr>
      <w:tr w14:paraId="12D6E42F">
        <w:tblPrEx>
          <w:tblCellMar>
            <w:top w:w="0" w:type="dxa"/>
            <w:left w:w="108" w:type="dxa"/>
            <w:bottom w:w="0" w:type="dxa"/>
            <w:right w:w="108" w:type="dxa"/>
          </w:tblCellMar>
        </w:tblPrEx>
        <w:trPr>
          <w:trHeight w:val="375" w:hRule="atLeast"/>
        </w:trPr>
        <w:tc>
          <w:tcPr>
            <w:tcW w:w="2007" w:type="dxa"/>
            <w:tcBorders>
              <w:top w:val="nil"/>
              <w:left w:val="single" w:color="auto" w:sz="4" w:space="0"/>
              <w:bottom w:val="single" w:color="auto" w:sz="4" w:space="0"/>
              <w:right w:val="single" w:color="auto" w:sz="4" w:space="0"/>
            </w:tcBorders>
            <w:vAlign w:val="bottom"/>
          </w:tcPr>
          <w:p w14:paraId="349EDF03">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其他未列明行业</w:t>
            </w:r>
          </w:p>
        </w:tc>
        <w:tc>
          <w:tcPr>
            <w:tcW w:w="1633" w:type="dxa"/>
            <w:tcBorders>
              <w:top w:val="nil"/>
              <w:left w:val="nil"/>
              <w:bottom w:val="single" w:color="auto" w:sz="4" w:space="0"/>
              <w:right w:val="single" w:color="auto" w:sz="4" w:space="0"/>
            </w:tcBorders>
            <w:vAlign w:val="center"/>
          </w:tcPr>
          <w:p w14:paraId="63AA09BF">
            <w:pPr>
              <w:widowControl/>
              <w:jc w:val="left"/>
              <w:rPr>
                <w:rFonts w:ascii="宋体" w:hAnsi="宋体" w:cs="宋体"/>
                <w:color w:val="auto"/>
                <w:kern w:val="0"/>
                <w:sz w:val="20"/>
                <w:szCs w:val="20"/>
              </w:rPr>
            </w:pPr>
            <w:r>
              <w:rPr>
                <w:rFonts w:hint="eastAsia" w:ascii="宋体" w:hAnsi="宋体" w:cs="宋体"/>
                <w:color w:val="auto"/>
                <w:kern w:val="0"/>
                <w:sz w:val="20"/>
                <w:szCs w:val="20"/>
              </w:rPr>
              <w:t>从业人员（X）</w:t>
            </w:r>
          </w:p>
        </w:tc>
        <w:tc>
          <w:tcPr>
            <w:tcW w:w="1077" w:type="dxa"/>
            <w:tcBorders>
              <w:top w:val="nil"/>
              <w:left w:val="nil"/>
              <w:bottom w:val="single" w:color="auto" w:sz="4" w:space="0"/>
              <w:right w:val="single" w:color="auto" w:sz="4" w:space="0"/>
            </w:tcBorders>
            <w:vAlign w:val="center"/>
          </w:tcPr>
          <w:p w14:paraId="7D94DC5F">
            <w:pPr>
              <w:widowControl/>
              <w:jc w:val="left"/>
              <w:rPr>
                <w:rFonts w:ascii="宋体" w:hAnsi="宋体" w:cs="宋体"/>
                <w:color w:val="auto"/>
                <w:kern w:val="0"/>
                <w:sz w:val="20"/>
                <w:szCs w:val="20"/>
              </w:rPr>
            </w:pPr>
            <w:r>
              <w:rPr>
                <w:rFonts w:hint="eastAsia" w:ascii="宋体" w:hAnsi="宋体" w:cs="宋体"/>
                <w:color w:val="auto"/>
                <w:kern w:val="0"/>
                <w:sz w:val="20"/>
                <w:szCs w:val="20"/>
              </w:rPr>
              <w:t>人</w:t>
            </w:r>
          </w:p>
        </w:tc>
        <w:tc>
          <w:tcPr>
            <w:tcW w:w="1911" w:type="dxa"/>
            <w:tcBorders>
              <w:top w:val="nil"/>
              <w:left w:val="nil"/>
              <w:bottom w:val="single" w:color="auto" w:sz="4" w:space="0"/>
              <w:right w:val="single" w:color="auto" w:sz="4" w:space="0"/>
            </w:tcBorders>
            <w:vAlign w:val="center"/>
          </w:tcPr>
          <w:p w14:paraId="3C31CA14">
            <w:pPr>
              <w:widowControl/>
              <w:jc w:val="left"/>
              <w:rPr>
                <w:rFonts w:ascii="宋体" w:hAnsi="宋体" w:cs="宋体"/>
                <w:color w:val="auto"/>
                <w:kern w:val="0"/>
                <w:sz w:val="20"/>
                <w:szCs w:val="20"/>
              </w:rPr>
            </w:pPr>
            <w:r>
              <w:rPr>
                <w:rFonts w:hint="eastAsia" w:ascii="宋体" w:hAnsi="宋体" w:cs="宋体"/>
                <w:color w:val="auto"/>
                <w:kern w:val="0"/>
                <w:sz w:val="20"/>
                <w:szCs w:val="20"/>
              </w:rPr>
              <w:t>100≤X＜300</w:t>
            </w:r>
          </w:p>
        </w:tc>
        <w:tc>
          <w:tcPr>
            <w:tcW w:w="1699" w:type="dxa"/>
            <w:tcBorders>
              <w:top w:val="nil"/>
              <w:left w:val="nil"/>
              <w:bottom w:val="single" w:color="auto" w:sz="4" w:space="0"/>
              <w:right w:val="single" w:color="auto" w:sz="4" w:space="0"/>
            </w:tcBorders>
            <w:vAlign w:val="center"/>
          </w:tcPr>
          <w:p w14:paraId="04E4A237">
            <w:pPr>
              <w:widowControl/>
              <w:jc w:val="left"/>
              <w:rPr>
                <w:rFonts w:ascii="宋体" w:hAnsi="宋体" w:cs="宋体"/>
                <w:color w:val="auto"/>
                <w:kern w:val="0"/>
                <w:sz w:val="20"/>
                <w:szCs w:val="20"/>
              </w:rPr>
            </w:pPr>
            <w:r>
              <w:rPr>
                <w:rFonts w:hint="eastAsia" w:ascii="宋体" w:hAnsi="宋体" w:cs="宋体"/>
                <w:color w:val="auto"/>
                <w:kern w:val="0"/>
                <w:sz w:val="20"/>
                <w:szCs w:val="20"/>
              </w:rPr>
              <w:t>10≤X＜100</w:t>
            </w:r>
          </w:p>
        </w:tc>
        <w:tc>
          <w:tcPr>
            <w:tcW w:w="1091" w:type="dxa"/>
            <w:tcBorders>
              <w:top w:val="nil"/>
              <w:left w:val="nil"/>
              <w:bottom w:val="single" w:color="auto" w:sz="4" w:space="0"/>
              <w:right w:val="single" w:color="auto" w:sz="4" w:space="0"/>
            </w:tcBorders>
            <w:vAlign w:val="center"/>
          </w:tcPr>
          <w:p w14:paraId="65517C36">
            <w:pPr>
              <w:widowControl/>
              <w:jc w:val="left"/>
              <w:rPr>
                <w:rFonts w:ascii="宋体" w:hAnsi="宋体" w:cs="宋体"/>
                <w:color w:val="auto"/>
                <w:kern w:val="0"/>
                <w:sz w:val="20"/>
                <w:szCs w:val="20"/>
              </w:rPr>
            </w:pPr>
            <w:r>
              <w:rPr>
                <w:rFonts w:hint="eastAsia" w:ascii="宋体" w:hAnsi="宋体" w:cs="宋体"/>
                <w:color w:val="auto"/>
                <w:kern w:val="0"/>
                <w:sz w:val="20"/>
                <w:szCs w:val="20"/>
              </w:rPr>
              <w:t>X＜10</w:t>
            </w:r>
          </w:p>
        </w:tc>
      </w:tr>
    </w:tbl>
    <w:p w14:paraId="565AFD14">
      <w:pPr>
        <w:ind w:firstLine="602" w:firstLineChars="250"/>
        <w:rPr>
          <w:rFonts w:ascii="楷体" w:hAnsi="楷体" w:eastAsia="楷体" w:cs="宋体"/>
          <w:b/>
          <w:color w:val="auto"/>
          <w:sz w:val="24"/>
        </w:rPr>
      </w:pPr>
      <w:r>
        <w:rPr>
          <w:rFonts w:hint="eastAsia" w:ascii="楷体" w:hAnsi="楷体" w:eastAsia="楷体" w:cs="宋体"/>
          <w:b/>
          <w:color w:val="auto"/>
          <w:sz w:val="24"/>
        </w:rPr>
        <w:t>说明：</w:t>
      </w:r>
    </w:p>
    <w:p w14:paraId="39481729">
      <w:pPr>
        <w:ind w:firstLine="600" w:firstLineChars="250"/>
        <w:rPr>
          <w:rFonts w:ascii="楷体" w:hAnsi="楷体" w:eastAsia="楷体" w:cs="宋体"/>
          <w:color w:val="auto"/>
          <w:sz w:val="24"/>
        </w:rPr>
      </w:pPr>
      <w:r>
        <w:rPr>
          <w:rFonts w:hint="eastAsia" w:ascii="楷体" w:hAnsi="楷体" w:eastAsia="楷体" w:cs="宋体"/>
          <w:color w:val="auto"/>
          <w:sz w:val="24"/>
        </w:rPr>
        <w:t>上述标准参照《关于印发中小企业划型标准规定的通知》（工信部联企业</w:t>
      </w:r>
      <w:r>
        <w:rPr>
          <w:rFonts w:ascii="楷体" w:hAnsi="楷体" w:eastAsia="楷体" w:cs="宋体"/>
          <w:color w:val="auto"/>
          <w:sz w:val="24"/>
        </w:rPr>
        <w:t>[2011]300号），大型、中型和小型企业须同时满足所列指标的下限，否则下划一档；微型企业只须满足所列指标中的一项即可。</w:t>
      </w:r>
    </w:p>
    <w:p w14:paraId="3986BCA4">
      <w:pPr>
        <w:widowControl/>
        <w:jc w:val="left"/>
        <w:rPr>
          <w:rFonts w:ascii="宋体" w:hAnsi="宋体" w:cs="宋体"/>
          <w:color w:val="auto"/>
          <w:sz w:val="24"/>
        </w:rPr>
        <w:sectPr>
          <w:footerReference r:id="rId5" w:type="default"/>
          <w:pgSz w:w="11906" w:h="16838"/>
          <w:pgMar w:top="1417" w:right="1417" w:bottom="1417" w:left="1417" w:header="720" w:footer="720" w:gutter="0"/>
          <w:pgNumType w:start="1"/>
          <w:cols w:space="720" w:num="1"/>
          <w:docGrid w:type="lines" w:linePitch="331" w:charSpace="0"/>
        </w:sectPr>
      </w:pPr>
    </w:p>
    <w:p w14:paraId="536F90F6">
      <w:pPr>
        <w:pStyle w:val="2"/>
        <w:spacing w:before="0" w:after="0" w:line="360" w:lineRule="auto"/>
        <w:ind w:firstLine="883" w:firstLineChars="200"/>
        <w:jc w:val="left"/>
        <w:rPr>
          <w:rFonts w:ascii="宋体" w:hAnsi="宋体" w:cs="宋体"/>
          <w:color w:val="auto"/>
        </w:rPr>
      </w:pPr>
      <w:bookmarkStart w:id="35" w:name="_Toc3333"/>
      <w:r>
        <w:rPr>
          <w:rFonts w:hint="eastAsia" w:ascii="宋体" w:hAnsi="宋体" w:cs="宋体"/>
          <w:color w:val="auto"/>
        </w:rPr>
        <w:t xml:space="preserve">第四章  </w:t>
      </w:r>
      <w:bookmarkStart w:id="36" w:name="_Hlk68601507"/>
      <w:r>
        <w:rPr>
          <w:rFonts w:hint="eastAsia" w:ascii="宋体" w:hAnsi="宋体" w:cs="宋体"/>
          <w:color w:val="auto"/>
        </w:rPr>
        <w:t>评审程序和评定成交的标准</w:t>
      </w:r>
      <w:bookmarkEnd w:id="35"/>
      <w:bookmarkEnd w:id="36"/>
    </w:p>
    <w:p w14:paraId="3210665B">
      <w:pPr>
        <w:spacing w:line="360" w:lineRule="auto"/>
        <w:jc w:val="center"/>
        <w:rPr>
          <w:rFonts w:ascii="宋体" w:hAnsi="宋体" w:cs="宋体"/>
          <w:b/>
          <w:color w:val="auto"/>
          <w:sz w:val="32"/>
          <w:szCs w:val="32"/>
        </w:rPr>
      </w:pPr>
    </w:p>
    <w:p w14:paraId="6E47B314">
      <w:pPr>
        <w:jc w:val="center"/>
        <w:rPr>
          <w:rFonts w:ascii="宋体" w:hAnsi="宋体" w:cs="宋体"/>
          <w:b/>
          <w:color w:val="auto"/>
          <w:sz w:val="32"/>
          <w:szCs w:val="32"/>
        </w:rPr>
      </w:pPr>
      <w:r>
        <w:rPr>
          <w:rFonts w:hint="eastAsia" w:ascii="宋体" w:hAnsi="宋体" w:cs="宋体"/>
          <w:b/>
          <w:color w:val="auto"/>
          <w:sz w:val="32"/>
          <w:szCs w:val="32"/>
        </w:rPr>
        <w:t>一、评审程序</w:t>
      </w:r>
    </w:p>
    <w:p w14:paraId="6C1D8D75">
      <w:pPr>
        <w:spacing w:line="360" w:lineRule="auto"/>
        <w:ind w:firstLine="482" w:firstLineChars="200"/>
        <w:rPr>
          <w:rFonts w:ascii="宋体" w:hAnsi="宋体" w:cs="宋体"/>
          <w:b/>
          <w:bCs/>
          <w:color w:val="auto"/>
          <w:sz w:val="24"/>
        </w:rPr>
      </w:pPr>
    </w:p>
    <w:p w14:paraId="5F018AD8">
      <w:pPr>
        <w:spacing w:line="360" w:lineRule="auto"/>
        <w:ind w:firstLine="442" w:firstLineChars="200"/>
        <w:rPr>
          <w:rFonts w:ascii="宋体" w:hAnsi="宋体" w:cs="宋体"/>
          <w:b/>
          <w:bCs/>
          <w:color w:val="auto"/>
          <w:sz w:val="22"/>
          <w:szCs w:val="22"/>
        </w:rPr>
      </w:pPr>
      <w:r>
        <w:rPr>
          <w:rFonts w:hint="eastAsia" w:ascii="宋体" w:hAnsi="宋体" w:cs="宋体"/>
          <w:b/>
          <w:bCs/>
          <w:color w:val="auto"/>
          <w:sz w:val="22"/>
          <w:szCs w:val="22"/>
        </w:rPr>
        <w:t>1.确认谈判文件</w:t>
      </w:r>
    </w:p>
    <w:p w14:paraId="5696FA86">
      <w:pPr>
        <w:spacing w:line="360" w:lineRule="auto"/>
        <w:ind w:firstLine="420" w:firstLineChars="200"/>
        <w:rPr>
          <w:rFonts w:ascii="宋体" w:hAnsi="宋体" w:cs="宋体"/>
          <w:color w:val="auto"/>
          <w:szCs w:val="21"/>
        </w:rPr>
      </w:pPr>
      <w:r>
        <w:rPr>
          <w:rFonts w:hint="eastAsia" w:ascii="宋体" w:hAnsi="宋体" w:cs="宋体"/>
          <w:color w:val="auto"/>
          <w:szCs w:val="21"/>
        </w:rPr>
        <w:t>由谈判小组确认谈判文件。</w:t>
      </w:r>
    </w:p>
    <w:p w14:paraId="65FDFE31">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2.资格审查</w:t>
      </w:r>
    </w:p>
    <w:p w14:paraId="32521B82">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2.1响应文件开启后，谈判小组依法对供应商的资格证明文件进行审查。</w:t>
      </w:r>
    </w:p>
    <w:p w14:paraId="6BF12494">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（1）查询渠道：中国执行信息公开网（https://zxgk.court.gov.cn/）、“信用中国”网站（www.creditchina.gov.cn）、中国政府采购网（</w:t>
      </w:r>
      <w:r>
        <w:rPr>
          <w:color w:val="auto"/>
        </w:rPr>
        <w:fldChar w:fldCharType="begin"/>
      </w:r>
      <w:r>
        <w:rPr>
          <w:color w:val="auto"/>
        </w:rPr>
        <w:instrText xml:space="preserve"> HYPERLINK "http://www.ccgp.gov.cn" </w:instrText>
      </w:r>
      <w:r>
        <w:rPr>
          <w:color w:val="auto"/>
        </w:rPr>
        <w:fldChar w:fldCharType="separate"/>
      </w:r>
      <w:r>
        <w:rPr>
          <w:rFonts w:hint="eastAsia" w:ascii="宋体" w:hAnsi="宋体" w:cs="宋体"/>
          <w:color w:val="auto"/>
          <w:szCs w:val="21"/>
        </w:rPr>
        <w:t>www.ccgp.gov.cn</w:t>
      </w:r>
      <w:r>
        <w:rPr>
          <w:rFonts w:hint="eastAsia" w:ascii="宋体" w:hAnsi="宋体" w:cs="宋体"/>
          <w:color w:val="auto"/>
          <w:szCs w:val="21"/>
        </w:rPr>
        <w:fldChar w:fldCharType="end"/>
      </w:r>
      <w:r>
        <w:rPr>
          <w:rFonts w:hint="eastAsia" w:ascii="宋体" w:hAnsi="宋体" w:cs="宋体"/>
          <w:color w:val="auto"/>
          <w:szCs w:val="21"/>
        </w:rPr>
        <w:t xml:space="preserve">） </w:t>
      </w:r>
    </w:p>
    <w:p w14:paraId="502D02D8">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（2）信用查询截止时点：资格审查结束前</w:t>
      </w:r>
    </w:p>
    <w:p w14:paraId="59FDFC4D">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（3）查询记录和证据留存方式：将查询网站中的查询记录截图并作为评审资料保存。</w:t>
      </w:r>
    </w:p>
    <w:p w14:paraId="7F38BCEF">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4）信用信息使用规则：根据财政部《关于在政府采购活动中查询及使用信用记录有关问题的通知》（财库〔2016〕125号）的规定，对在中国执行信息公开网（https://zxgk.court.gov.cn/）、“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F6E8105">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2.2资格审查标准为本谈判文件中载明对供应商资格要求的条件。本项目资格审查采用合格制，凡符合谈判文件规定的供应商资格要求的供应商均通过资格审查。</w:t>
      </w:r>
    </w:p>
    <w:p w14:paraId="7946EFD2">
      <w:pPr>
        <w:spacing w:line="360" w:lineRule="auto"/>
        <w:ind w:firstLine="420" w:firstLineChars="200"/>
        <w:rPr>
          <w:rFonts w:ascii="宋体" w:hAnsi="宋体" w:cs="宋体"/>
          <w:color w:val="auto"/>
          <w:szCs w:val="21"/>
        </w:rPr>
      </w:pPr>
      <w:r>
        <w:rPr>
          <w:rFonts w:hint="eastAsia" w:ascii="宋体" w:hAnsi="宋体" w:cs="宋体"/>
          <w:color w:val="auto"/>
          <w:szCs w:val="21"/>
        </w:rPr>
        <w:t>2.3 供应商有下列情形之一的，资格审查不通过，其响应文件按无效响应处理：</w:t>
      </w:r>
    </w:p>
    <w:p w14:paraId="4D9B8474">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（1）不具备谈判文件中规定的资格要求的；</w:t>
      </w:r>
    </w:p>
    <w:p w14:paraId="579063C2">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（2）响应文件中的资格证明文件缺少任一项“供应商须知前附表”资格证明文件规定的“必须提供”的文件资料的；</w:t>
      </w:r>
    </w:p>
    <w:p w14:paraId="2253A3AD">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（3）响应文件中的资格证明文件出现任一项不符合“供应商须知前附表”资格证明文件规定的“必须提供”的文件资料要求或者无效的；</w:t>
      </w:r>
    </w:p>
    <w:p w14:paraId="54AD2276">
      <w:pPr>
        <w:spacing w:line="360" w:lineRule="auto"/>
        <w:ind w:firstLine="420" w:firstLineChars="200"/>
        <w:rPr>
          <w:rFonts w:ascii="宋体" w:hAnsi="宋体" w:cs="宋体"/>
          <w:color w:val="auto"/>
          <w:szCs w:val="21"/>
        </w:rPr>
      </w:pPr>
      <w:r>
        <w:rPr>
          <w:rFonts w:hint="eastAsia" w:ascii="宋体" w:hAnsi="宋体" w:cs="宋体"/>
          <w:color w:val="auto"/>
          <w:szCs w:val="21"/>
        </w:rPr>
        <w:t>（4）同一合同项下的不同供应商，单位负责人为同一人或者存在直接控股、管理关系的；为本项目提供过整体设计、规范编制或者项目管理、监理、检测等服务的供应商，再参加该采购项目的其他采购活动的。</w:t>
      </w:r>
    </w:p>
    <w:p w14:paraId="45D0514B">
      <w:pPr>
        <w:spacing w:line="360" w:lineRule="auto"/>
        <w:ind w:firstLine="420" w:firstLineChars="200"/>
        <w:rPr>
          <w:rFonts w:ascii="宋体" w:hAnsi="宋体" w:cs="宋体"/>
          <w:color w:val="auto"/>
          <w:szCs w:val="21"/>
        </w:rPr>
      </w:pPr>
      <w:r>
        <w:rPr>
          <w:rFonts w:hint="eastAsia" w:ascii="宋体" w:hAnsi="宋体" w:cs="宋体"/>
          <w:color w:val="auto"/>
          <w:szCs w:val="21"/>
        </w:rPr>
        <w:t>2.4通过资格审查的合格供应商不足3家（本章3.7条规定除外）的，不得进入符合性审查环节，应当重新开展采购活动。</w:t>
      </w:r>
    </w:p>
    <w:p w14:paraId="1A8FA5A7">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3.符合性审查</w:t>
      </w:r>
    </w:p>
    <w:p w14:paraId="687B88A6">
      <w:pPr>
        <w:spacing w:line="360" w:lineRule="auto"/>
        <w:ind w:firstLine="420" w:firstLineChars="200"/>
        <w:rPr>
          <w:rFonts w:ascii="宋体" w:hAnsi="宋体" w:cs="宋体"/>
          <w:color w:val="auto"/>
          <w:szCs w:val="21"/>
        </w:rPr>
      </w:pPr>
      <w:r>
        <w:rPr>
          <w:rFonts w:hint="eastAsia" w:ascii="宋体" w:hAnsi="宋体" w:cs="宋体"/>
          <w:color w:val="auto"/>
          <w:szCs w:val="21"/>
        </w:rPr>
        <w:t>3.1由谈判小组对资格审查的合格的供应商的响应文件进行</w:t>
      </w:r>
      <w:r>
        <w:rPr>
          <w:rFonts w:hint="eastAsia" w:ascii="宋体" w:hAnsi="宋体" w:cs="宋体"/>
          <w:color w:val="auto"/>
          <w:szCs w:val="21"/>
          <w:lang w:bidi="ar"/>
        </w:rPr>
        <w:t>竞争性谈判</w:t>
      </w:r>
      <w:r>
        <w:rPr>
          <w:rFonts w:hint="eastAsia" w:ascii="宋体" w:hAnsi="宋体" w:cs="宋体"/>
          <w:color w:val="auto"/>
          <w:szCs w:val="21"/>
        </w:rPr>
        <w:t>报价、商务、技术等实质性要求符合性审查，以确定其是否满足谈判文件的实质性要求。</w:t>
      </w:r>
    </w:p>
    <w:p w14:paraId="64C1E0AF">
      <w:pPr>
        <w:spacing w:line="360" w:lineRule="auto"/>
        <w:ind w:firstLine="420" w:firstLineChars="200"/>
        <w:rPr>
          <w:rFonts w:ascii="宋体" w:hAnsi="宋体" w:cs="宋体"/>
          <w:color w:val="auto"/>
          <w:szCs w:val="21"/>
        </w:rPr>
      </w:pPr>
      <w:r>
        <w:rPr>
          <w:rFonts w:hint="eastAsia" w:ascii="宋体" w:hAnsi="宋体" w:cs="宋体"/>
          <w:color w:val="auto"/>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8055441">
      <w:pPr>
        <w:spacing w:line="360" w:lineRule="auto"/>
        <w:ind w:firstLine="420" w:firstLineChars="200"/>
        <w:rPr>
          <w:rFonts w:ascii="宋体" w:hAnsi="宋体" w:cs="宋体"/>
          <w:color w:val="auto"/>
          <w:spacing w:val="-6"/>
          <w:szCs w:val="21"/>
        </w:rPr>
      </w:pPr>
      <w:r>
        <w:rPr>
          <w:rFonts w:hint="eastAsia" w:ascii="宋体" w:hAnsi="宋体" w:cs="宋体"/>
          <w:color w:val="auto"/>
          <w:szCs w:val="21"/>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供应商公章。</w:t>
      </w:r>
    </w:p>
    <w:p w14:paraId="7C6EBC29">
      <w:pPr>
        <w:spacing w:line="360" w:lineRule="auto"/>
        <w:ind w:firstLine="396" w:firstLineChars="200"/>
        <w:rPr>
          <w:rFonts w:ascii="宋体" w:hAnsi="宋体" w:cs="宋体"/>
          <w:color w:val="auto"/>
          <w:szCs w:val="21"/>
        </w:rPr>
      </w:pPr>
      <w:r>
        <w:rPr>
          <w:rFonts w:hint="eastAsia" w:ascii="宋体" w:hAnsi="宋体" w:cs="宋体"/>
          <w:color w:val="auto"/>
          <w:spacing w:val="-6"/>
          <w:szCs w:val="21"/>
        </w:rPr>
        <w:t>3.4</w:t>
      </w:r>
      <w:r>
        <w:rPr>
          <w:rFonts w:hint="eastAsia" w:ascii="宋体" w:hAnsi="宋体" w:cs="宋体"/>
          <w:color w:val="auto"/>
          <w:szCs w:val="21"/>
        </w:rPr>
        <w:t xml:space="preserve">首次响应文件报价出现前后不一致的，按照下列规定修正： </w:t>
      </w:r>
    </w:p>
    <w:p w14:paraId="798C855C">
      <w:pPr>
        <w:spacing w:line="360" w:lineRule="auto"/>
        <w:ind w:firstLine="420" w:firstLineChars="200"/>
        <w:rPr>
          <w:rFonts w:ascii="宋体" w:hAnsi="宋体" w:cs="宋体"/>
          <w:color w:val="auto"/>
          <w:szCs w:val="21"/>
        </w:rPr>
      </w:pPr>
      <w:r>
        <w:rPr>
          <w:rFonts w:hint="eastAsia" w:ascii="宋体" w:hAnsi="宋体" w:cs="宋体"/>
          <w:color w:val="auto"/>
          <w:szCs w:val="21"/>
        </w:rPr>
        <w:t>（1）响应文件中报价表内容与响应文件中相应内容不一致的，以报价表为准；</w:t>
      </w:r>
    </w:p>
    <w:p w14:paraId="1200A635">
      <w:pPr>
        <w:spacing w:line="360" w:lineRule="auto"/>
        <w:ind w:firstLine="420" w:firstLineChars="200"/>
        <w:rPr>
          <w:rFonts w:ascii="宋体" w:hAnsi="宋体" w:cs="宋体"/>
          <w:color w:val="auto"/>
          <w:szCs w:val="21"/>
        </w:rPr>
      </w:pPr>
      <w:r>
        <w:rPr>
          <w:rFonts w:hint="eastAsia" w:ascii="宋体" w:hAnsi="宋体" w:cs="宋体"/>
          <w:color w:val="auto"/>
          <w:szCs w:val="21"/>
        </w:rPr>
        <w:t>（2）大写金额和小写金额不一致的，以大写金额为准；</w:t>
      </w:r>
    </w:p>
    <w:p w14:paraId="771AC061">
      <w:pPr>
        <w:spacing w:line="360" w:lineRule="auto"/>
        <w:ind w:firstLine="420" w:firstLineChars="200"/>
        <w:rPr>
          <w:rFonts w:ascii="宋体" w:hAnsi="宋体" w:cs="宋体"/>
          <w:color w:val="auto"/>
          <w:szCs w:val="21"/>
        </w:rPr>
      </w:pPr>
      <w:r>
        <w:rPr>
          <w:rFonts w:hint="eastAsia" w:ascii="宋体" w:hAnsi="宋体" w:cs="宋体"/>
          <w:color w:val="auto"/>
          <w:szCs w:val="21"/>
        </w:rPr>
        <w:t>（3）单价金额小数点或者百分比有明显错位的，以报价表的总价为准，并修改单价；</w:t>
      </w:r>
    </w:p>
    <w:p w14:paraId="735D412E">
      <w:pPr>
        <w:spacing w:line="360" w:lineRule="auto"/>
        <w:ind w:firstLine="420" w:firstLineChars="200"/>
        <w:rPr>
          <w:rFonts w:ascii="宋体" w:hAnsi="宋体" w:cs="宋体"/>
          <w:color w:val="auto"/>
          <w:szCs w:val="21"/>
        </w:rPr>
      </w:pPr>
      <w:r>
        <w:rPr>
          <w:rFonts w:hint="eastAsia" w:ascii="宋体" w:hAnsi="宋体" w:cs="宋体"/>
          <w:color w:val="auto"/>
          <w:szCs w:val="21"/>
        </w:rPr>
        <w:t>（4）总价金额与按单价汇总金额不一致的，以单价金额计算结果为准。</w:t>
      </w:r>
    </w:p>
    <w:p w14:paraId="1C283BD1">
      <w:pPr>
        <w:spacing w:line="360" w:lineRule="auto"/>
        <w:ind w:firstLine="420" w:firstLineChars="200"/>
        <w:rPr>
          <w:rFonts w:ascii="宋体" w:hAnsi="宋体" w:cs="宋体"/>
          <w:color w:val="auto"/>
          <w:szCs w:val="21"/>
        </w:rPr>
      </w:pPr>
      <w:r>
        <w:rPr>
          <w:rFonts w:hint="eastAsia" w:ascii="宋体" w:hAnsi="宋体" w:cs="宋体"/>
          <w:color w:val="auto"/>
          <w:szCs w:val="21"/>
        </w:rPr>
        <w:t>同时出现两种以上不一致的，按照以上（1）-（4）规定的顺序逐条进行修正。修正后的报价经供应商确认后产生约束力，供应商不确认的，其响应文件按无效响应处理。</w:t>
      </w:r>
    </w:p>
    <w:p w14:paraId="6ED01DBA">
      <w:pPr>
        <w:spacing w:line="360" w:lineRule="auto"/>
        <w:ind w:firstLine="420" w:firstLineChars="200"/>
        <w:rPr>
          <w:rFonts w:ascii="宋体" w:hAnsi="宋体" w:cs="宋体"/>
          <w:color w:val="auto"/>
          <w:szCs w:val="21"/>
        </w:rPr>
      </w:pPr>
      <w:r>
        <w:rPr>
          <w:rFonts w:hint="eastAsia" w:ascii="宋体" w:hAnsi="宋体" w:cs="宋体"/>
          <w:color w:val="auto"/>
          <w:szCs w:val="21"/>
        </w:rPr>
        <w:t>3.5商务技术报价评审</w:t>
      </w:r>
    </w:p>
    <w:p w14:paraId="29DBDBEB">
      <w:pPr>
        <w:spacing w:line="360" w:lineRule="auto"/>
        <w:ind w:firstLine="420" w:firstLineChars="200"/>
        <w:rPr>
          <w:rFonts w:ascii="宋体" w:hAnsi="宋体" w:cs="宋体"/>
          <w:color w:val="auto"/>
          <w:szCs w:val="21"/>
        </w:rPr>
      </w:pPr>
      <w:r>
        <w:rPr>
          <w:rFonts w:hint="eastAsia" w:ascii="宋体" w:hAnsi="宋体" w:cs="宋体"/>
          <w:color w:val="auto"/>
          <w:szCs w:val="21"/>
        </w:rPr>
        <w:t>在评审时，如发现下列情形之一的，将被视为响应文件无效响应处理：</w:t>
      </w:r>
    </w:p>
    <w:p w14:paraId="00EE97B0">
      <w:pPr>
        <w:spacing w:line="360" w:lineRule="auto"/>
        <w:ind w:firstLine="420" w:firstLineChars="200"/>
        <w:rPr>
          <w:rFonts w:ascii="宋体" w:hAnsi="宋体" w:cs="宋体"/>
          <w:color w:val="auto"/>
          <w:szCs w:val="21"/>
        </w:rPr>
      </w:pPr>
      <w:r>
        <w:rPr>
          <w:rFonts w:hint="eastAsia" w:ascii="宋体" w:hAnsi="宋体" w:cs="宋体"/>
          <w:color w:val="auto"/>
          <w:szCs w:val="21"/>
        </w:rPr>
        <w:t>（1）商务技术评审</w:t>
      </w:r>
    </w:p>
    <w:p w14:paraId="2E36B26A">
      <w:pPr>
        <w:spacing w:line="360" w:lineRule="auto"/>
        <w:ind w:firstLine="420" w:firstLineChars="200"/>
        <w:rPr>
          <w:rFonts w:ascii="宋体" w:hAnsi="宋体" w:cs="宋体"/>
          <w:color w:val="auto"/>
          <w:szCs w:val="21"/>
        </w:rPr>
      </w:pPr>
      <w:r>
        <w:rPr>
          <w:rFonts w:hint="eastAsia" w:ascii="宋体" w:hAnsi="宋体" w:cs="宋体"/>
          <w:color w:val="auto"/>
          <w:szCs w:val="21"/>
        </w:rPr>
        <w:t>1）响应文件未按谈判文件要求签署、盖章的；</w:t>
      </w:r>
    </w:p>
    <w:p w14:paraId="42267805">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2）委托代理人未能出具有效身份证或者出具的身份证与授权委托书中的信息不符的； </w:t>
      </w:r>
    </w:p>
    <w:p w14:paraId="5423B01A">
      <w:pPr>
        <w:spacing w:line="360" w:lineRule="auto"/>
        <w:ind w:firstLine="420" w:firstLineChars="200"/>
        <w:rPr>
          <w:rFonts w:ascii="宋体" w:hAnsi="宋体" w:cs="宋体"/>
          <w:color w:val="auto"/>
          <w:szCs w:val="21"/>
        </w:rPr>
      </w:pPr>
      <w:r>
        <w:rPr>
          <w:rFonts w:hint="eastAsia" w:ascii="宋体" w:hAnsi="宋体" w:cs="宋体"/>
          <w:color w:val="auto"/>
          <w:szCs w:val="21"/>
        </w:rPr>
        <w:t>3）提交的谈判保证金无效的或者未按照谈判文件的规定提交谈判保证金；</w:t>
      </w:r>
    </w:p>
    <w:p w14:paraId="670CAA7E">
      <w:pPr>
        <w:spacing w:line="360" w:lineRule="auto"/>
        <w:ind w:firstLine="420" w:firstLineChars="200"/>
        <w:rPr>
          <w:rFonts w:ascii="宋体" w:hAnsi="宋体" w:cs="宋体"/>
          <w:color w:val="auto"/>
          <w:szCs w:val="21"/>
        </w:rPr>
      </w:pPr>
      <w:r>
        <w:rPr>
          <w:rFonts w:hint="eastAsia" w:ascii="宋体" w:hAnsi="宋体" w:cs="宋体"/>
          <w:color w:val="auto"/>
          <w:szCs w:val="21"/>
        </w:rPr>
        <w:t>4）响应文件中的报价商务技术文件出现任一项不符合“供应商须知前附表”中“必须提供”或者“委托时必须提供”文件资料要求的规定或者提供的报价商务技术文件无效。</w:t>
      </w:r>
    </w:p>
    <w:p w14:paraId="6F91EFE7">
      <w:pPr>
        <w:spacing w:line="360" w:lineRule="auto"/>
        <w:ind w:firstLine="420" w:firstLineChars="200"/>
        <w:rPr>
          <w:rFonts w:ascii="宋体" w:hAnsi="宋体" w:cs="宋体"/>
          <w:color w:val="auto"/>
          <w:szCs w:val="21"/>
        </w:rPr>
      </w:pPr>
      <w:r>
        <w:rPr>
          <w:rFonts w:hint="eastAsia" w:ascii="宋体" w:hAnsi="宋体" w:cs="宋体"/>
          <w:color w:val="auto"/>
          <w:szCs w:val="21"/>
        </w:rPr>
        <w:t>5）商务条款中标“▲”的条款发生负偏离或者允许负偏离的条款数超过“供应商须知前附表”规定项数的；</w:t>
      </w:r>
    </w:p>
    <w:p w14:paraId="2EE71C42">
      <w:pPr>
        <w:spacing w:line="360" w:lineRule="auto"/>
        <w:ind w:firstLine="420" w:firstLineChars="200"/>
        <w:rPr>
          <w:rFonts w:ascii="宋体" w:hAnsi="宋体" w:cs="宋体"/>
          <w:color w:val="auto"/>
          <w:szCs w:val="21"/>
        </w:rPr>
      </w:pPr>
      <w:r>
        <w:rPr>
          <w:rFonts w:hint="eastAsia" w:ascii="宋体" w:hAnsi="宋体" w:cs="宋体"/>
          <w:color w:val="auto"/>
          <w:szCs w:val="21"/>
        </w:rPr>
        <w:t>6）未对</w:t>
      </w:r>
      <w:r>
        <w:rPr>
          <w:rFonts w:hint="eastAsia" w:ascii="宋体" w:hAnsi="宋体" w:cs="宋体"/>
          <w:color w:val="auto"/>
          <w:szCs w:val="21"/>
          <w:lang w:bidi="ar"/>
        </w:rPr>
        <w:t>竞争性谈判</w:t>
      </w:r>
      <w:r>
        <w:rPr>
          <w:rFonts w:hint="eastAsia" w:ascii="宋体" w:hAnsi="宋体" w:cs="宋体"/>
          <w:color w:val="auto"/>
          <w:szCs w:val="21"/>
        </w:rPr>
        <w:t>有效期作出响应或者响应文件承诺的</w:t>
      </w:r>
      <w:r>
        <w:rPr>
          <w:rFonts w:hint="eastAsia" w:ascii="宋体" w:hAnsi="宋体" w:cs="宋体"/>
          <w:color w:val="auto"/>
          <w:szCs w:val="21"/>
          <w:lang w:bidi="ar"/>
        </w:rPr>
        <w:t>竞争性谈判</w:t>
      </w:r>
      <w:r>
        <w:rPr>
          <w:rFonts w:hint="eastAsia" w:ascii="宋体" w:hAnsi="宋体" w:cs="宋体"/>
          <w:color w:val="auto"/>
          <w:szCs w:val="21"/>
        </w:rPr>
        <w:t>有效期不满足谈判文件要求；</w:t>
      </w:r>
    </w:p>
    <w:p w14:paraId="5CD27E27">
      <w:pPr>
        <w:spacing w:line="360" w:lineRule="auto"/>
        <w:ind w:firstLine="420" w:firstLineChars="200"/>
        <w:rPr>
          <w:rFonts w:ascii="宋体" w:hAnsi="宋体" w:cs="宋体"/>
          <w:color w:val="auto"/>
          <w:szCs w:val="21"/>
        </w:rPr>
      </w:pPr>
      <w:r>
        <w:rPr>
          <w:rFonts w:hint="eastAsia" w:ascii="宋体" w:hAnsi="宋体" w:cs="宋体"/>
          <w:color w:val="auto"/>
          <w:szCs w:val="21"/>
        </w:rPr>
        <w:t>7）响应文件的实质性内容未使用中文表述、使用计量单位不符合谈判文件要求的；</w:t>
      </w:r>
    </w:p>
    <w:p w14:paraId="54B02EEE">
      <w:pPr>
        <w:spacing w:line="360" w:lineRule="auto"/>
        <w:ind w:firstLine="420" w:firstLineChars="200"/>
        <w:rPr>
          <w:rFonts w:ascii="宋体" w:hAnsi="宋体" w:cs="宋体"/>
          <w:color w:val="auto"/>
          <w:szCs w:val="21"/>
        </w:rPr>
      </w:pPr>
      <w:r>
        <w:rPr>
          <w:rFonts w:hint="eastAsia" w:ascii="宋体" w:hAnsi="宋体" w:cs="宋体"/>
          <w:color w:val="auto"/>
          <w:szCs w:val="21"/>
        </w:rPr>
        <w:t>8）响应文件中的文件资料因填写不齐全或者内容虚假或者出现其他情形而导致被谈判小组认定无效的；</w:t>
      </w:r>
    </w:p>
    <w:p w14:paraId="5B0630CE">
      <w:pPr>
        <w:spacing w:line="360" w:lineRule="auto"/>
        <w:ind w:firstLine="420" w:firstLineChars="200"/>
        <w:rPr>
          <w:rFonts w:ascii="宋体" w:hAnsi="宋体" w:cs="宋体"/>
          <w:color w:val="auto"/>
          <w:szCs w:val="21"/>
        </w:rPr>
      </w:pPr>
      <w:r>
        <w:rPr>
          <w:rFonts w:hint="eastAsia" w:ascii="宋体" w:hAnsi="宋体" w:cs="宋体"/>
          <w:color w:val="auto"/>
          <w:szCs w:val="21"/>
        </w:rPr>
        <w:t>9）响应文件含有采购人不能接受的附加条件的；</w:t>
      </w:r>
    </w:p>
    <w:p w14:paraId="232F0750">
      <w:pPr>
        <w:spacing w:line="360" w:lineRule="auto"/>
        <w:ind w:firstLine="420" w:firstLineChars="200"/>
        <w:rPr>
          <w:rFonts w:ascii="宋体" w:hAnsi="宋体" w:cs="宋体"/>
          <w:color w:val="auto"/>
          <w:szCs w:val="21"/>
        </w:rPr>
      </w:pPr>
      <w:r>
        <w:rPr>
          <w:rFonts w:hint="eastAsia" w:ascii="宋体" w:hAnsi="宋体" w:cs="宋体"/>
          <w:color w:val="auto"/>
          <w:szCs w:val="21"/>
        </w:rPr>
        <w:t>10）属于“供应商须知正文”第7.</w:t>
      </w:r>
      <w:r>
        <w:rPr>
          <w:rFonts w:ascii="宋体" w:hAnsi="宋体" w:cs="宋体"/>
          <w:color w:val="auto"/>
          <w:szCs w:val="21"/>
        </w:rPr>
        <w:t>4</w:t>
      </w:r>
      <w:r>
        <w:rPr>
          <w:rFonts w:hint="eastAsia" w:ascii="宋体" w:hAnsi="宋体" w:cs="宋体"/>
          <w:color w:val="auto"/>
          <w:szCs w:val="21"/>
        </w:rPr>
        <w:t>条的情形的；</w:t>
      </w:r>
    </w:p>
    <w:p w14:paraId="029312CC">
      <w:pPr>
        <w:spacing w:line="360" w:lineRule="auto"/>
        <w:ind w:firstLine="420" w:firstLineChars="200"/>
        <w:rPr>
          <w:rFonts w:ascii="宋体" w:hAnsi="宋体" w:cs="宋体"/>
          <w:color w:val="auto"/>
          <w:szCs w:val="21"/>
        </w:rPr>
      </w:pPr>
      <w:r>
        <w:rPr>
          <w:rFonts w:hint="eastAsia" w:ascii="宋体" w:hAnsi="宋体" w:cs="宋体"/>
          <w:color w:val="auto"/>
          <w:szCs w:val="21"/>
        </w:rPr>
        <w:t>11）技术要求中标“▲”的条款发生负偏离或允许负偏离的条款数超过“供应商须知前附表”规定项数的；</w:t>
      </w:r>
    </w:p>
    <w:p w14:paraId="1A5E8EE4">
      <w:pPr>
        <w:spacing w:line="360" w:lineRule="auto"/>
        <w:ind w:firstLine="420" w:firstLineChars="200"/>
        <w:rPr>
          <w:rFonts w:ascii="宋体" w:hAnsi="宋体" w:cs="宋体"/>
          <w:color w:val="auto"/>
          <w:szCs w:val="21"/>
        </w:rPr>
      </w:pPr>
      <w:r>
        <w:rPr>
          <w:rFonts w:hint="eastAsia" w:ascii="宋体" w:hAnsi="宋体" w:cs="宋体"/>
          <w:color w:val="auto"/>
          <w:szCs w:val="21"/>
        </w:rPr>
        <w:t>12）虚假响应，或者出现其他情形而导致被谈判小组认定无效的；</w:t>
      </w:r>
    </w:p>
    <w:p w14:paraId="274DD268">
      <w:pPr>
        <w:spacing w:line="360" w:lineRule="auto"/>
        <w:ind w:firstLine="420" w:firstLineChars="200"/>
        <w:rPr>
          <w:rFonts w:ascii="宋体" w:hAnsi="宋体" w:cs="宋体"/>
          <w:color w:val="auto"/>
          <w:szCs w:val="21"/>
        </w:rPr>
      </w:pPr>
      <w:r>
        <w:rPr>
          <w:rFonts w:hint="eastAsia" w:ascii="宋体" w:hAnsi="宋体" w:cs="宋体"/>
          <w:color w:val="auto"/>
          <w:szCs w:val="21"/>
        </w:rPr>
        <w:t>13）</w:t>
      </w:r>
      <w:bookmarkStart w:id="37" w:name="_Hlk71704147"/>
      <w:r>
        <w:rPr>
          <w:rFonts w:hint="eastAsia" w:ascii="宋体" w:hAnsi="宋体" w:cs="宋体"/>
          <w:color w:val="auto"/>
          <w:szCs w:val="21"/>
        </w:rPr>
        <w:t>谈判文件未载明允许提供备选（替代）响应方案或明确不允许提供备选（替代）响应方案时，供应商提供了备选（替代）响应方案的；</w:t>
      </w:r>
      <w:bookmarkEnd w:id="37"/>
    </w:p>
    <w:p w14:paraId="15490B01">
      <w:pPr>
        <w:spacing w:line="360" w:lineRule="auto"/>
        <w:ind w:firstLine="420" w:firstLineChars="200"/>
        <w:rPr>
          <w:rFonts w:ascii="宋体" w:hAnsi="宋体" w:cs="宋体"/>
          <w:color w:val="auto"/>
          <w:szCs w:val="21"/>
        </w:rPr>
      </w:pPr>
      <w:r>
        <w:rPr>
          <w:rFonts w:hint="eastAsia" w:ascii="宋体" w:hAnsi="宋体" w:cs="宋体"/>
          <w:color w:val="auto"/>
          <w:szCs w:val="21"/>
        </w:rPr>
        <w:t>14）响应文件标注的项目名称或者项目编号与谈判文件标注的项目名称或者项目编号不一致的；</w:t>
      </w:r>
    </w:p>
    <w:p w14:paraId="2398E2D6">
      <w:pPr>
        <w:spacing w:line="360" w:lineRule="auto"/>
        <w:ind w:firstLine="420" w:firstLineChars="200"/>
        <w:rPr>
          <w:rFonts w:ascii="宋体" w:hAnsi="宋体" w:cs="宋体"/>
          <w:color w:val="auto"/>
          <w:szCs w:val="21"/>
        </w:rPr>
      </w:pPr>
      <w:r>
        <w:rPr>
          <w:rFonts w:hint="eastAsia" w:ascii="宋体" w:hAnsi="宋体" w:cs="宋体"/>
          <w:color w:val="auto"/>
          <w:szCs w:val="21"/>
        </w:rPr>
        <w:t>15）</w:t>
      </w:r>
      <w:r>
        <w:rPr>
          <w:rFonts w:hint="eastAsia" w:ascii="宋体" w:hAnsi="宋体" w:cs="宋体"/>
          <w:b/>
          <w:color w:val="auto"/>
          <w:szCs w:val="21"/>
        </w:rPr>
        <w:t>谈判文件明确不允许分包，响应文件拟分包的；</w:t>
      </w:r>
    </w:p>
    <w:p w14:paraId="00A9C13F">
      <w:pPr>
        <w:spacing w:line="360" w:lineRule="auto"/>
        <w:ind w:firstLine="420" w:firstLineChars="200"/>
        <w:rPr>
          <w:rFonts w:ascii="宋体" w:hAnsi="宋体" w:cs="宋体"/>
          <w:color w:val="auto"/>
          <w:szCs w:val="21"/>
        </w:rPr>
      </w:pPr>
      <w:r>
        <w:rPr>
          <w:rFonts w:hint="eastAsia" w:ascii="宋体" w:hAnsi="宋体" w:cs="宋体"/>
          <w:color w:val="auto"/>
          <w:szCs w:val="21"/>
        </w:rPr>
        <w:t>16）未响应谈判文件实质性要求；</w:t>
      </w:r>
    </w:p>
    <w:p w14:paraId="127F1E03">
      <w:pPr>
        <w:spacing w:line="360" w:lineRule="auto"/>
        <w:ind w:firstLine="420" w:firstLineChars="200"/>
        <w:rPr>
          <w:rFonts w:ascii="宋体" w:hAnsi="宋体" w:cs="宋体"/>
          <w:color w:val="auto"/>
          <w:szCs w:val="21"/>
        </w:rPr>
      </w:pPr>
      <w:r>
        <w:rPr>
          <w:rFonts w:hint="eastAsia" w:ascii="宋体" w:hAnsi="宋体" w:cs="宋体"/>
          <w:color w:val="auto"/>
          <w:szCs w:val="21"/>
        </w:rPr>
        <w:t>17）法律、法规和谈判文件规定的其他无效情形。</w:t>
      </w:r>
    </w:p>
    <w:p w14:paraId="462E8FC0">
      <w:pPr>
        <w:spacing w:line="360" w:lineRule="auto"/>
        <w:ind w:firstLine="420" w:firstLineChars="200"/>
        <w:rPr>
          <w:rFonts w:ascii="宋体" w:hAnsi="宋体" w:cs="宋体"/>
          <w:color w:val="auto"/>
          <w:szCs w:val="21"/>
        </w:rPr>
      </w:pPr>
      <w:r>
        <w:rPr>
          <w:rFonts w:hint="eastAsia" w:ascii="宋体" w:hAnsi="宋体" w:cs="宋体"/>
          <w:color w:val="auto"/>
          <w:szCs w:val="21"/>
        </w:rPr>
        <w:t>（2）报价评审</w:t>
      </w:r>
    </w:p>
    <w:p w14:paraId="7DBAF85B">
      <w:pPr>
        <w:spacing w:line="360" w:lineRule="auto"/>
        <w:ind w:firstLine="420" w:firstLineChars="200"/>
        <w:rPr>
          <w:rFonts w:ascii="宋体" w:hAnsi="宋体" w:cs="宋体"/>
          <w:color w:val="auto"/>
          <w:szCs w:val="21"/>
        </w:rPr>
      </w:pPr>
      <w:r>
        <w:rPr>
          <w:rFonts w:hint="eastAsia" w:ascii="宋体" w:hAnsi="宋体" w:cs="宋体"/>
          <w:color w:val="auto"/>
          <w:szCs w:val="21"/>
        </w:rPr>
        <w:t>1）响应文件未提供“供应商须知前附表” 报价商务技术文件中规定的“</w:t>
      </w:r>
      <w:r>
        <w:rPr>
          <w:rFonts w:hint="eastAsia" w:ascii="宋体" w:hAnsi="宋体" w:cs="宋体"/>
          <w:color w:val="auto"/>
          <w:szCs w:val="21"/>
          <w:lang w:bidi="ar"/>
        </w:rPr>
        <w:t>竞争性谈判</w:t>
      </w:r>
      <w:r>
        <w:rPr>
          <w:rFonts w:hint="eastAsia" w:ascii="宋体" w:hAnsi="宋体" w:cs="宋体"/>
          <w:color w:val="auto"/>
          <w:szCs w:val="21"/>
        </w:rPr>
        <w:t>报价表”的；</w:t>
      </w:r>
    </w:p>
    <w:p w14:paraId="4A462537">
      <w:pPr>
        <w:spacing w:line="360" w:lineRule="auto"/>
        <w:ind w:firstLine="420" w:firstLineChars="200"/>
        <w:rPr>
          <w:rFonts w:ascii="宋体" w:hAnsi="宋体" w:cs="宋体"/>
          <w:color w:val="auto"/>
          <w:szCs w:val="21"/>
        </w:rPr>
      </w:pPr>
      <w:r>
        <w:rPr>
          <w:rFonts w:hint="eastAsia" w:ascii="宋体" w:hAnsi="宋体" w:cs="宋体"/>
          <w:color w:val="auto"/>
          <w:szCs w:val="21"/>
        </w:rPr>
        <w:t>2）未采用人民币报价或者未按照谈判文件标明的币种报价的；</w:t>
      </w:r>
    </w:p>
    <w:p w14:paraId="5CA8EE68">
      <w:pPr>
        <w:spacing w:line="360" w:lineRule="auto"/>
        <w:ind w:firstLine="420" w:firstLineChars="200"/>
        <w:rPr>
          <w:rFonts w:ascii="宋体" w:hAnsi="宋体" w:cs="宋体"/>
          <w:color w:val="auto"/>
          <w:szCs w:val="21"/>
        </w:rPr>
      </w:pPr>
      <w:r>
        <w:rPr>
          <w:rFonts w:hint="eastAsia" w:ascii="宋体" w:hAnsi="宋体" w:cs="宋体"/>
          <w:color w:val="auto"/>
          <w:szCs w:val="21"/>
        </w:rPr>
        <w:t>3）供应商未就所参与</w:t>
      </w:r>
      <w:r>
        <w:rPr>
          <w:rFonts w:hint="eastAsia" w:ascii="宋体" w:hAnsi="宋体" w:cs="宋体"/>
          <w:color w:val="auto"/>
          <w:szCs w:val="21"/>
          <w:lang w:bidi="ar"/>
        </w:rPr>
        <w:t>竞争性谈判</w:t>
      </w:r>
      <w:r>
        <w:rPr>
          <w:rFonts w:hint="eastAsia" w:ascii="宋体" w:hAnsi="宋体" w:cs="宋体"/>
          <w:color w:val="auto"/>
          <w:szCs w:val="21"/>
        </w:rPr>
        <w:t>分标进行报价或者存在漏项报价的；供应商未就所参与</w:t>
      </w:r>
      <w:r>
        <w:rPr>
          <w:rFonts w:hint="eastAsia" w:ascii="宋体" w:hAnsi="宋体" w:cs="宋体"/>
          <w:color w:val="auto"/>
          <w:szCs w:val="21"/>
          <w:lang w:bidi="ar"/>
        </w:rPr>
        <w:t>竞争性谈判</w:t>
      </w:r>
      <w:r>
        <w:rPr>
          <w:rFonts w:hint="eastAsia" w:ascii="宋体" w:hAnsi="宋体" w:cs="宋体"/>
          <w:color w:val="auto"/>
          <w:szCs w:val="21"/>
        </w:rPr>
        <w:t>分标的单项内容作唯一报价的；供应商未就所参与</w:t>
      </w:r>
      <w:r>
        <w:rPr>
          <w:rFonts w:hint="eastAsia" w:ascii="宋体" w:hAnsi="宋体" w:cs="宋体"/>
          <w:color w:val="auto"/>
          <w:szCs w:val="21"/>
          <w:lang w:bidi="ar"/>
        </w:rPr>
        <w:t>竞争性谈判</w:t>
      </w:r>
      <w:r>
        <w:rPr>
          <w:rFonts w:hint="eastAsia" w:ascii="宋体" w:hAnsi="宋体" w:cs="宋体"/>
          <w:color w:val="auto"/>
          <w:szCs w:val="21"/>
        </w:rPr>
        <w:t>分标的全部内容作完整唯一总价报价的；供应商响应文件中存在有选择、有条件报价的（谈判文件允许有备选方案或者其他约定的除外）；</w:t>
      </w:r>
    </w:p>
    <w:p w14:paraId="12D4FCBB">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hint="eastAsia" w:ascii="宋体" w:hAnsi="宋体" w:cs="宋体"/>
          <w:color w:val="auto"/>
          <w:szCs w:val="21"/>
          <w:lang w:bidi="ar"/>
        </w:rPr>
        <w:t>竞争性谈判</w:t>
      </w:r>
      <w:r>
        <w:rPr>
          <w:rFonts w:hint="eastAsia" w:ascii="宋体" w:hAnsi="宋体" w:cs="宋体"/>
          <w:color w:val="auto"/>
          <w:szCs w:val="21"/>
        </w:rPr>
        <w:t>报价（包含首次报价、最后报价）超过所参与</w:t>
      </w:r>
      <w:r>
        <w:rPr>
          <w:rFonts w:hint="eastAsia" w:ascii="宋体" w:hAnsi="宋体" w:cs="宋体"/>
          <w:color w:val="auto"/>
          <w:szCs w:val="21"/>
          <w:lang w:bidi="ar"/>
        </w:rPr>
        <w:t>竞争性谈判</w:t>
      </w:r>
      <w:r>
        <w:rPr>
          <w:rFonts w:hint="eastAsia" w:ascii="宋体" w:hAnsi="宋体" w:cs="宋体"/>
          <w:color w:val="auto"/>
          <w:szCs w:val="21"/>
        </w:rPr>
        <w:t>分标规定的采购预算金额或者最高限价的；</w:t>
      </w:r>
    </w:p>
    <w:p w14:paraId="3284F81C">
      <w:pPr>
        <w:spacing w:line="360" w:lineRule="auto"/>
        <w:ind w:firstLine="420" w:firstLineChars="200"/>
        <w:rPr>
          <w:rFonts w:ascii="宋体" w:hAnsi="宋体" w:cs="宋体"/>
          <w:color w:val="auto"/>
          <w:szCs w:val="21"/>
        </w:rPr>
      </w:pPr>
      <w:r>
        <w:rPr>
          <w:rFonts w:hint="eastAsia" w:ascii="宋体" w:hAnsi="宋体" w:cs="宋体"/>
          <w:color w:val="auto"/>
          <w:szCs w:val="21"/>
        </w:rPr>
        <w:t>5）</w:t>
      </w:r>
      <w:r>
        <w:rPr>
          <w:rFonts w:hint="eastAsia" w:ascii="宋体" w:hAnsi="宋体" w:cs="宋体"/>
          <w:color w:val="auto"/>
          <w:szCs w:val="21"/>
          <w:lang w:bidi="ar"/>
        </w:rPr>
        <w:t>竞争性谈判</w:t>
      </w:r>
      <w:r>
        <w:rPr>
          <w:rFonts w:hint="eastAsia" w:ascii="宋体" w:hAnsi="宋体" w:cs="宋体"/>
          <w:color w:val="auto"/>
          <w:szCs w:val="21"/>
        </w:rPr>
        <w:t>报价（包含首次报价、最后报价）超过分项采购预算金额或者最高限价的，其响应文件将作无效处理；</w:t>
      </w:r>
    </w:p>
    <w:p w14:paraId="0792859B">
      <w:pPr>
        <w:spacing w:line="360" w:lineRule="auto"/>
        <w:ind w:firstLine="420" w:firstLineChars="200"/>
        <w:rPr>
          <w:rFonts w:ascii="宋体" w:hAnsi="宋体" w:cs="宋体"/>
          <w:color w:val="auto"/>
          <w:szCs w:val="21"/>
        </w:rPr>
      </w:pPr>
      <w:r>
        <w:rPr>
          <w:rFonts w:ascii="宋体" w:hAnsi="宋体" w:cs="宋体"/>
          <w:color w:val="auto"/>
          <w:szCs w:val="21"/>
        </w:rPr>
        <w:t>6</w:t>
      </w:r>
      <w:r>
        <w:rPr>
          <w:rFonts w:hint="eastAsia" w:ascii="宋体" w:hAnsi="宋体" w:cs="宋体"/>
          <w:color w:val="auto"/>
          <w:szCs w:val="21"/>
        </w:rPr>
        <w:t>）修正后的报价，供应商不确认的；或者经供应商确认修正后的最后报价超过所参与</w:t>
      </w:r>
      <w:r>
        <w:rPr>
          <w:rFonts w:hint="eastAsia" w:ascii="宋体" w:hAnsi="宋体" w:cs="宋体"/>
          <w:color w:val="auto"/>
          <w:szCs w:val="21"/>
          <w:lang w:bidi="ar"/>
        </w:rPr>
        <w:t>竞争性谈判</w:t>
      </w:r>
      <w:r>
        <w:rPr>
          <w:rFonts w:hint="eastAsia" w:ascii="宋体" w:hAnsi="宋体" w:cs="宋体"/>
          <w:color w:val="auto"/>
          <w:szCs w:val="21"/>
        </w:rPr>
        <w:t>分标规定的采购预算金额或者最高限价（如本项目公布了最高限价）；</w:t>
      </w:r>
    </w:p>
    <w:p w14:paraId="2D2FE34E">
      <w:pPr>
        <w:spacing w:line="360" w:lineRule="auto"/>
        <w:ind w:firstLine="420" w:firstLineChars="200"/>
        <w:rPr>
          <w:rFonts w:ascii="宋体" w:hAnsi="宋体" w:cs="宋体"/>
          <w:color w:val="auto"/>
          <w:szCs w:val="21"/>
        </w:rPr>
      </w:pPr>
      <w:r>
        <w:rPr>
          <w:rFonts w:ascii="宋体" w:hAnsi="宋体" w:cs="宋体"/>
          <w:color w:val="auto"/>
          <w:szCs w:val="21"/>
        </w:rPr>
        <w:t>7</w:t>
      </w:r>
      <w:r>
        <w:rPr>
          <w:rFonts w:hint="eastAsia" w:ascii="宋体" w:hAnsi="宋体" w:cs="宋体"/>
          <w:color w:val="auto"/>
          <w:szCs w:val="21"/>
        </w:rPr>
        <w:t>）响应文件响应的标的数量及单位与竞争性谈判采购文件要求实质性不一致的。</w:t>
      </w:r>
    </w:p>
    <w:p w14:paraId="72375393">
      <w:pPr>
        <w:spacing w:line="360" w:lineRule="auto"/>
        <w:ind w:firstLine="420" w:firstLineChars="200"/>
        <w:rPr>
          <w:rFonts w:ascii="宋体" w:hAnsi="宋体" w:cs="宋体"/>
          <w:color w:val="auto"/>
          <w:szCs w:val="21"/>
        </w:rPr>
      </w:pPr>
      <w:r>
        <w:rPr>
          <w:rFonts w:hint="eastAsia" w:ascii="宋体" w:hAnsi="宋体" w:cs="宋体"/>
          <w:color w:val="auto"/>
          <w:szCs w:val="21"/>
        </w:rPr>
        <w:t>3.6谈判小组对响应文件进行评审，未实质性响应谈判文件的响应文件按无效响应处理。谈判小组应当将资格和符合性不通过的情况告知有关供应商。谈判小组从符合谈判文件规定的相应资格条件的供应商名单中确定不少于3家的供应商参加谈判。</w:t>
      </w:r>
    </w:p>
    <w:p w14:paraId="697AF486">
      <w:pPr>
        <w:spacing w:line="360" w:lineRule="auto"/>
        <w:ind w:firstLine="420" w:firstLineChars="200"/>
        <w:rPr>
          <w:rFonts w:ascii="宋体" w:hAnsi="宋体" w:cs="宋体"/>
          <w:color w:val="auto"/>
          <w:szCs w:val="21"/>
        </w:rPr>
      </w:pPr>
      <w:r>
        <w:rPr>
          <w:rFonts w:hint="eastAsia" w:ascii="宋体" w:hAnsi="宋体" w:cs="宋体"/>
          <w:color w:val="auto"/>
          <w:szCs w:val="21"/>
        </w:rPr>
        <w:t>3.7竞争性谈判方式采购的货物、服务项目，竞争性谈判过程中提交响应文件或者经评审实质性响应文件要求的供应商只有两家时，采购人、采购代理机构按照《政府采购非招标采购方式管理办法》（财政部74号令）第四条经本级财政部门批准后可以与该两家供应商进行竞争性谈判采购，采购人、采购代理机构应当根据</w:t>
      </w:r>
      <w:r>
        <w:rPr>
          <w:rFonts w:hint="eastAsia" w:ascii="宋体" w:hAnsi="宋体" w:cs="宋体"/>
          <w:color w:val="auto"/>
          <w:szCs w:val="21"/>
          <w:lang w:bidi="ar"/>
        </w:rPr>
        <w:t>竞争性谈判</w:t>
      </w:r>
      <w:r>
        <w:rPr>
          <w:rFonts w:hint="eastAsia" w:ascii="宋体" w:hAnsi="宋体" w:cs="宋体"/>
          <w:color w:val="auto"/>
          <w:szCs w:val="21"/>
        </w:rPr>
        <w:t>文件中的采购需求编制谈判文件，成立谈判小组，由谈判小组对谈判文件进行确认。</w:t>
      </w:r>
    </w:p>
    <w:p w14:paraId="496CB347">
      <w:pPr>
        <w:spacing w:line="360" w:lineRule="auto"/>
        <w:ind w:firstLine="420" w:firstLineChars="200"/>
        <w:rPr>
          <w:rFonts w:ascii="宋体" w:hAnsi="宋体" w:cs="宋体"/>
          <w:color w:val="auto"/>
          <w:szCs w:val="21"/>
        </w:rPr>
      </w:pPr>
      <w:r>
        <w:rPr>
          <w:rFonts w:hint="eastAsia" w:ascii="宋体" w:hAnsi="宋体" w:cs="宋体"/>
          <w:color w:val="auto"/>
          <w:szCs w:val="21"/>
        </w:rPr>
        <w:t>3.8通过符合性审查的合格供应商不足3家的，不得进入谈判环节，应当重新开展采购活动。</w:t>
      </w:r>
    </w:p>
    <w:p w14:paraId="31A3F0EB">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4.谈判程序</w:t>
      </w:r>
    </w:p>
    <w:p w14:paraId="2C5AEB01">
      <w:pPr>
        <w:spacing w:line="360" w:lineRule="auto"/>
        <w:ind w:firstLine="420" w:firstLineChars="200"/>
        <w:rPr>
          <w:rFonts w:ascii="宋体" w:hAnsi="宋体" w:cs="宋体"/>
          <w:color w:val="auto"/>
          <w:szCs w:val="21"/>
        </w:rPr>
      </w:pPr>
      <w:r>
        <w:rPr>
          <w:rFonts w:hint="eastAsia" w:ascii="宋体" w:hAnsi="宋体" w:cs="宋体"/>
          <w:color w:val="auto"/>
          <w:kern w:val="0"/>
          <w:szCs w:val="21"/>
        </w:rPr>
        <w:t>4.1谈判小组按照“供应商须知前附表”第26条确定的</w:t>
      </w:r>
      <w:r>
        <w:rPr>
          <w:rFonts w:hint="eastAsia" w:ascii="宋体" w:hAnsi="宋体" w:cs="宋体"/>
          <w:color w:val="auto"/>
          <w:szCs w:val="21"/>
        </w:rPr>
        <w:t>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5BE24827">
      <w:pPr>
        <w:spacing w:line="360" w:lineRule="auto"/>
        <w:ind w:firstLine="420" w:firstLineChars="200"/>
        <w:rPr>
          <w:rFonts w:ascii="宋体" w:hAnsi="宋体" w:cs="宋体"/>
          <w:color w:val="auto"/>
          <w:szCs w:val="21"/>
        </w:rPr>
      </w:pPr>
      <w:r>
        <w:rPr>
          <w:rFonts w:hint="eastAsia" w:ascii="宋体" w:hAnsi="宋体" w:cs="宋体"/>
          <w:color w:val="auto"/>
          <w:szCs w:val="21"/>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2407353E">
      <w:pPr>
        <w:spacing w:line="360" w:lineRule="auto"/>
        <w:ind w:firstLine="420" w:firstLineChars="200"/>
        <w:rPr>
          <w:rFonts w:ascii="宋体" w:hAnsi="宋体" w:cs="宋体"/>
          <w:color w:val="auto"/>
          <w:szCs w:val="21"/>
        </w:rPr>
      </w:pPr>
      <w:r>
        <w:rPr>
          <w:rFonts w:hint="eastAsia" w:ascii="宋体" w:hAnsi="宋体" w:cs="宋体"/>
          <w:color w:val="auto"/>
          <w:szCs w:val="21"/>
        </w:rPr>
        <w:t>4.3对谈判文件作出的实质性变动是谈判文件的有效组成部分，谈判小组应当及时以电子谈判记录形式同时通知所有参加谈判的供应商。</w:t>
      </w:r>
    </w:p>
    <w:p w14:paraId="6334DD54">
      <w:pPr>
        <w:spacing w:line="360" w:lineRule="auto"/>
        <w:ind w:firstLine="420" w:firstLineChars="200"/>
        <w:rPr>
          <w:rFonts w:ascii="宋体" w:hAnsi="宋体" w:cs="宋体"/>
          <w:color w:val="auto"/>
          <w:szCs w:val="21"/>
        </w:rPr>
      </w:pPr>
      <w:r>
        <w:rPr>
          <w:rFonts w:hint="eastAsia" w:ascii="宋体" w:hAnsi="宋体" w:cs="宋体"/>
          <w:color w:val="auto"/>
          <w:szCs w:val="21"/>
        </w:rPr>
        <w:t>4.4供应商必须按照谈判文件的变动情况和谈判小组的要求以电子回函的形式重新提交响应文件，并由其法定代表人或者委托代理人签字或者加盖供应商公章。由委托代理人签字的，</w:t>
      </w:r>
      <w:r>
        <w:rPr>
          <w:rFonts w:hint="eastAsia" w:ascii="宋体" w:hAnsi="宋体" w:cs="宋体"/>
          <w:bCs/>
          <w:color w:val="auto"/>
          <w:szCs w:val="21"/>
        </w:rPr>
        <w:t>若委托代理人不是响应文件中授权的委托代理人时，必须同时出示有效的授权委托书原件</w:t>
      </w:r>
      <w:r>
        <w:rPr>
          <w:rFonts w:hint="eastAsia" w:ascii="宋体" w:hAnsi="宋体" w:cs="宋体"/>
          <w:color w:val="auto"/>
          <w:szCs w:val="21"/>
        </w:rPr>
        <w:t>。供应商为自然人的，必须由本人签字并附身份证明。参加谈判的供应商未在规定时间内以电子回函的形式重新提交响应文件的，视同退出谈判，其响应文件按无效响应处理。</w:t>
      </w:r>
    </w:p>
    <w:p w14:paraId="457A08B3">
      <w:pPr>
        <w:spacing w:line="360" w:lineRule="auto"/>
        <w:ind w:firstLine="420" w:firstLineChars="200"/>
        <w:rPr>
          <w:rFonts w:ascii="宋体" w:hAnsi="宋体" w:cs="宋体"/>
          <w:color w:val="auto"/>
          <w:szCs w:val="21"/>
        </w:rPr>
      </w:pPr>
      <w:r>
        <w:rPr>
          <w:rFonts w:hint="eastAsia" w:ascii="宋体" w:hAnsi="宋体" w:cs="宋体"/>
          <w:color w:val="auto"/>
          <w:szCs w:val="21"/>
        </w:rPr>
        <w:t>4.5谈判中，谈判的任何一方不得透露与谈判有关的其他供应商的技术资料、价格和其他信息。</w:t>
      </w:r>
    </w:p>
    <w:p w14:paraId="2647DCCF">
      <w:pPr>
        <w:tabs>
          <w:tab w:val="left" w:pos="2835"/>
        </w:tabs>
        <w:spacing w:line="360" w:lineRule="auto"/>
        <w:ind w:firstLine="420" w:firstLineChars="200"/>
        <w:rPr>
          <w:rFonts w:ascii="宋体" w:hAnsi="宋体" w:cs="宋体"/>
          <w:color w:val="auto"/>
          <w:szCs w:val="21"/>
        </w:rPr>
      </w:pPr>
      <w:r>
        <w:rPr>
          <w:rFonts w:hint="eastAsia" w:ascii="宋体" w:hAnsi="宋体" w:cs="宋体"/>
          <w:color w:val="auto"/>
          <w:szCs w:val="21"/>
        </w:rPr>
        <w:t>4.6对谈判过程提交的响应文件进行有效性、完整性和响应程度审查，通过审查的合格供应商不足3家的，采购人或者采购代理机构应当重新开展采购活动。</w:t>
      </w:r>
    </w:p>
    <w:p w14:paraId="0A194168">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5.最后报价</w:t>
      </w:r>
    </w:p>
    <w:p w14:paraId="393DFD98">
      <w:pPr>
        <w:spacing w:line="360" w:lineRule="auto"/>
        <w:ind w:firstLine="420" w:firstLineChars="200"/>
        <w:rPr>
          <w:rFonts w:ascii="宋体" w:hAnsi="宋体" w:cs="宋体"/>
          <w:color w:val="auto"/>
          <w:szCs w:val="21"/>
        </w:rPr>
      </w:pPr>
      <w:r>
        <w:rPr>
          <w:rFonts w:hint="eastAsia" w:ascii="宋体" w:hAnsi="宋体" w:cs="宋体"/>
          <w:color w:val="auto"/>
          <w:szCs w:val="21"/>
        </w:rPr>
        <w:t>5.1谈判文件能够详细列明采购标的的技术、服务要求的，谈判结束后，谈判小组应当要求所有继续参加谈判的供应商在规定时间内以电子文件形式提交最后报价，提交最后报价的供应商不得少于3家，除本章第3.7条外，否则必须重新采购。</w:t>
      </w:r>
    </w:p>
    <w:p w14:paraId="3DFFA1E3">
      <w:pPr>
        <w:spacing w:line="360" w:lineRule="auto"/>
        <w:ind w:firstLine="420" w:firstLineChars="200"/>
        <w:rPr>
          <w:rFonts w:ascii="宋体" w:hAnsi="宋体" w:cs="宋体"/>
          <w:color w:val="auto"/>
          <w:szCs w:val="21"/>
        </w:rPr>
      </w:pPr>
      <w:r>
        <w:rPr>
          <w:rFonts w:hint="eastAsia" w:ascii="宋体" w:hAnsi="宋体" w:cs="宋体"/>
          <w:color w:val="auto"/>
          <w:szCs w:val="21"/>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以电子文件形式提交最后报价。</w:t>
      </w:r>
    </w:p>
    <w:p w14:paraId="0F45DF26">
      <w:pPr>
        <w:spacing w:line="360" w:lineRule="auto"/>
        <w:ind w:firstLine="420" w:firstLineChars="200"/>
        <w:rPr>
          <w:rFonts w:ascii="宋体" w:hAnsi="宋体" w:cs="宋体"/>
          <w:color w:val="auto"/>
          <w:szCs w:val="21"/>
        </w:rPr>
      </w:pPr>
      <w:r>
        <w:rPr>
          <w:rFonts w:hint="eastAsia" w:ascii="宋体" w:hAnsi="宋体" w:cs="宋体"/>
          <w:color w:val="auto"/>
          <w:szCs w:val="21"/>
        </w:rPr>
        <w:t>5.3最后报价是供应商响应文件的有效组成部分。</w:t>
      </w:r>
    </w:p>
    <w:p w14:paraId="7FD6B44E">
      <w:pPr>
        <w:spacing w:line="360" w:lineRule="auto"/>
        <w:ind w:firstLine="420" w:firstLineChars="200"/>
        <w:rPr>
          <w:rFonts w:ascii="宋体" w:hAnsi="宋体" w:cs="宋体"/>
          <w:color w:val="auto"/>
          <w:szCs w:val="21"/>
        </w:rPr>
      </w:pPr>
      <w:r>
        <w:rPr>
          <w:rFonts w:hint="eastAsia" w:ascii="宋体" w:hAnsi="宋体" w:cs="宋体"/>
          <w:color w:val="auto"/>
          <w:szCs w:val="21"/>
        </w:rPr>
        <w:t>5.4已经提交响应文件的供应商，在提交最后报价之前，可以根据谈判情况退出谈判。采购人、采购代理机构将退还退出谈判的供应商的保证金。</w:t>
      </w:r>
    </w:p>
    <w:p w14:paraId="195C50F8">
      <w:pPr>
        <w:spacing w:line="360" w:lineRule="auto"/>
        <w:ind w:firstLine="420" w:firstLineChars="200"/>
        <w:rPr>
          <w:rFonts w:ascii="宋体" w:hAnsi="宋体" w:cs="宋体"/>
          <w:color w:val="auto"/>
          <w:szCs w:val="21"/>
        </w:rPr>
      </w:pPr>
      <w:r>
        <w:rPr>
          <w:rFonts w:hint="eastAsia" w:ascii="宋体" w:hAnsi="宋体" w:cs="宋体"/>
          <w:color w:val="auto"/>
          <w:szCs w:val="21"/>
        </w:rPr>
        <w:t>5.5供应商未在规定时间内提交最后报价的，视为退出谈判，其响应文件按无效响应处理。</w:t>
      </w:r>
    </w:p>
    <w:p w14:paraId="5090A549">
      <w:pPr>
        <w:spacing w:line="360" w:lineRule="auto"/>
        <w:ind w:firstLine="420" w:firstLineChars="200"/>
        <w:rPr>
          <w:rFonts w:ascii="宋体" w:hAnsi="宋体" w:cs="宋体"/>
          <w:color w:val="auto"/>
          <w:szCs w:val="21"/>
        </w:rPr>
      </w:pPr>
      <w:r>
        <w:rPr>
          <w:rFonts w:hint="eastAsia" w:ascii="宋体" w:hAnsi="宋体" w:cs="宋体"/>
          <w:color w:val="auto"/>
          <w:szCs w:val="21"/>
        </w:rPr>
        <w:t>5.6谈判小组收齐某一分标最后报价后或达到规定时间后统一开启，谈判小组对最后报价进行有效性、完整性和响应程度的审查。</w:t>
      </w:r>
    </w:p>
    <w:p w14:paraId="39BA1A9A">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5.7响应文件首次及最后报价出现前后不一致的，按照本章第3.4条的规定修正。 </w:t>
      </w:r>
    </w:p>
    <w:p w14:paraId="639AC7C3">
      <w:pPr>
        <w:spacing w:line="360" w:lineRule="auto"/>
        <w:ind w:firstLine="420" w:firstLineChars="200"/>
        <w:rPr>
          <w:rFonts w:ascii="宋体" w:hAnsi="宋体" w:cs="宋体"/>
          <w:color w:val="auto"/>
          <w:szCs w:val="21"/>
        </w:rPr>
      </w:pPr>
      <w:r>
        <w:rPr>
          <w:rFonts w:hint="eastAsia" w:ascii="宋体" w:hAnsi="宋体" w:cs="宋体"/>
          <w:color w:val="auto"/>
          <w:szCs w:val="21"/>
        </w:rPr>
        <w:t>5.8经供应商确认修正后的最后报价作为评审及签订合同的依据。</w:t>
      </w:r>
    </w:p>
    <w:p w14:paraId="58BD3683">
      <w:pPr>
        <w:spacing w:line="360" w:lineRule="auto"/>
        <w:ind w:firstLine="420" w:firstLineChars="200"/>
        <w:rPr>
          <w:rFonts w:ascii="宋体" w:hAnsi="宋体" w:cs="宋体"/>
          <w:color w:val="auto"/>
          <w:szCs w:val="21"/>
        </w:rPr>
      </w:pPr>
      <w:r>
        <w:rPr>
          <w:rFonts w:hint="eastAsia" w:ascii="宋体" w:hAnsi="宋体" w:cs="宋体"/>
          <w:color w:val="auto"/>
          <w:szCs w:val="21"/>
        </w:rPr>
        <w:t>5.9供应商出现最后报价按无效响应处理或者响应文件按无效响应处理时，谈判小组应当告知有关供应商。</w:t>
      </w:r>
    </w:p>
    <w:p w14:paraId="4EDCFA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5.10最后报价结束后，谈判小组不得再与供应商进行任何形式的商谈。</w:t>
      </w:r>
    </w:p>
    <w:p w14:paraId="247F41BA">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5.11</w:t>
      </w:r>
      <w:bookmarkStart w:id="38" w:name="政府采购异常低价审查"/>
      <w:r>
        <w:rPr>
          <w:rFonts w:hint="eastAsia" w:asciiTheme="minorEastAsia" w:hAnsiTheme="minorEastAsia" w:eastAsiaTheme="minorEastAsia" w:cstheme="minorEastAsia"/>
          <w:color w:val="auto"/>
          <w:szCs w:val="21"/>
          <w:highlight w:val="none"/>
        </w:rPr>
        <w:t>政府采购异常低价审查</w:t>
      </w:r>
    </w:p>
    <w:bookmarkEnd w:id="38"/>
    <w:p w14:paraId="1BFF7B99">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（一）政府采购评审中出现下列情形之一的，谈判小组应当启动异常低价响应审查程序：</w:t>
      </w:r>
    </w:p>
    <w:p w14:paraId="1AFD9FAB">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1)最后报价低于全部通过符合性审查供应商投标最后报价平均值50%的，即最后报价＜全部通过符合性审查供应商最后报价平均值×50%；</w:t>
      </w:r>
    </w:p>
    <w:p w14:paraId="2350AD96">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2）最后报价低于通过符合性审查的次低报价供应商最后报价50%的，即最后报价＜通过符合性审查的次低报价供应商投标最后报价×50%；</w:t>
      </w:r>
    </w:p>
    <w:p w14:paraId="108B6C16">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3）最后报价低于采购项目最高限价45%的，即最后报价＜采购项目最高限价×45%；</w:t>
      </w:r>
    </w:p>
    <w:p w14:paraId="315B987F">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4）谈判小组基于专业判断，认为供应商报价过低，有可能影响产品质量或者不能诚信履约的其他情形。</w:t>
      </w:r>
    </w:p>
    <w:p w14:paraId="1F1EADD5">
      <w:pPr>
        <w:spacing w:line="360" w:lineRule="auto"/>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二）谈判小组启动异常低价响应审查后，属于前述第1项至第4项情形的，应当要求相关供应商在评审现场合理的时间内对最后报价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158D05AD">
      <w:pPr>
        <w:spacing w:line="360" w:lineRule="auto"/>
        <w:ind w:firstLine="420" w:firstLineChars="200"/>
        <w:rPr>
          <w:color w:val="auto"/>
          <w:szCs w:val="21"/>
        </w:rPr>
      </w:pPr>
      <w:r>
        <w:rPr>
          <w:rFonts w:hint="eastAsia" w:asciiTheme="minorEastAsia" w:hAnsiTheme="minorEastAsia" w:eastAsiaTheme="minorEastAsia" w:cstheme="minorEastAsia"/>
          <w:color w:val="auto"/>
          <w:szCs w:val="21"/>
        </w:rPr>
        <w:t>谈判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最后报价应当将其作为无效响应处理。</w:t>
      </w:r>
    </w:p>
    <w:p w14:paraId="12A0B976">
      <w:pPr>
        <w:spacing w:line="360" w:lineRule="auto"/>
        <w:ind w:firstLine="413" w:firstLineChars="196"/>
        <w:rPr>
          <w:rFonts w:ascii="宋体" w:hAnsi="宋体" w:cs="宋体"/>
          <w:b/>
          <w:bCs/>
          <w:color w:val="auto"/>
          <w:szCs w:val="21"/>
        </w:rPr>
      </w:pPr>
      <w:r>
        <w:rPr>
          <w:rFonts w:hint="eastAsia" w:ascii="宋体" w:hAnsi="宋体" w:cs="宋体"/>
          <w:b/>
          <w:bCs/>
          <w:color w:val="auto"/>
          <w:szCs w:val="21"/>
        </w:rPr>
        <w:t>6.最后报价政府采购政策性扣除</w:t>
      </w:r>
    </w:p>
    <w:p w14:paraId="7443063F">
      <w:pPr>
        <w:spacing w:line="360" w:lineRule="auto"/>
        <w:ind w:firstLine="420" w:firstLineChars="200"/>
        <w:rPr>
          <w:rFonts w:ascii="宋体" w:hAnsi="宋体" w:cs="宋体"/>
          <w:color w:val="auto"/>
          <w:szCs w:val="21"/>
        </w:rPr>
      </w:pPr>
      <w:r>
        <w:rPr>
          <w:rFonts w:hint="eastAsia" w:ascii="宋体" w:hAnsi="宋体" w:cs="宋体"/>
          <w:color w:val="auto"/>
          <w:szCs w:val="21"/>
        </w:rPr>
        <w:t>6.1评标价为供应商的最后报价进行政策性扣除后的价格，评标价只是作为评审时使用。最终成交供应商的成交金额等于最后报价（如有修正，以确认修正后的最后报价为准）。</w:t>
      </w:r>
    </w:p>
    <w:p w14:paraId="1F7712C5">
      <w:pPr>
        <w:spacing w:line="360" w:lineRule="auto"/>
        <w:ind w:firstLine="420" w:firstLineChars="200"/>
        <w:rPr>
          <w:rFonts w:ascii="宋体" w:hAnsi="宋体" w:cs="宋体"/>
          <w:color w:val="auto"/>
          <w:szCs w:val="21"/>
        </w:rPr>
      </w:pPr>
      <w:r>
        <w:rPr>
          <w:rFonts w:hint="eastAsia" w:ascii="宋体" w:hAnsi="宋体" w:cs="宋体"/>
          <w:color w:val="auto"/>
          <w:szCs w:val="21"/>
        </w:rPr>
        <w:t>6.2政策性扣除计算方法。</w:t>
      </w:r>
    </w:p>
    <w:p w14:paraId="08F577B8">
      <w:pPr>
        <w:spacing w:line="360" w:lineRule="auto"/>
        <w:ind w:firstLine="420" w:firstLineChars="200"/>
        <w:rPr>
          <w:rFonts w:ascii="宋体" w:hAnsi="宋体" w:cs="宋体"/>
          <w:color w:val="auto"/>
          <w:szCs w:val="21"/>
        </w:rPr>
      </w:pPr>
      <w:r>
        <w:rPr>
          <w:rFonts w:hint="eastAsia" w:ascii="宋体" w:hAnsi="宋体" w:cs="宋体"/>
          <w:color w:val="auto"/>
          <w:szCs w:val="21"/>
        </w:rPr>
        <w:t>根据《政府采购促进中小企业发展管理办法》</w:t>
      </w:r>
      <w:r>
        <w:rPr>
          <w:rFonts w:hint="eastAsia" w:hAnsi="宋体" w:cs="宋体"/>
          <w:bCs/>
          <w:color w:val="auto"/>
          <w:szCs w:val="21"/>
        </w:rPr>
        <w:t>及《广西壮族自治区财政厅关于持续优化政府采购营商环境推动高质量发展的通知》</w:t>
      </w:r>
      <w:r>
        <w:rPr>
          <w:rFonts w:hint="eastAsia" w:ascii="宋体" w:hAnsi="宋体" w:cs="宋体"/>
          <w:color w:val="auto"/>
          <w:szCs w:val="21"/>
        </w:rPr>
        <w:t>的规定，</w:t>
      </w:r>
      <w:r>
        <w:rPr>
          <w:rFonts w:hint="eastAsia" w:hAnsi="宋体" w:cs="宋体"/>
          <w:bCs/>
          <w:color w:val="auto"/>
          <w:szCs w:val="21"/>
        </w:rPr>
        <w:t>调整对小微企业的价格评审优惠幅度</w:t>
      </w:r>
      <w:r>
        <w:rPr>
          <w:rFonts w:hint="eastAsia" w:ascii="宋体" w:hAnsi="宋体" w:cs="宋体"/>
          <w:color w:val="auto"/>
          <w:szCs w:val="21"/>
        </w:rPr>
        <w:t>，供应商属于《政府采购促进中小企业发展管理办法》规定的小微企业的，对</w:t>
      </w:r>
      <w:r>
        <w:rPr>
          <w:rFonts w:hint="eastAsia" w:ascii="宋体" w:hAnsi="宋体" w:cs="宋体"/>
          <w:color w:val="auto"/>
          <w:szCs w:val="21"/>
          <w:lang w:bidi="ar"/>
        </w:rPr>
        <w:t>竞争性谈判</w:t>
      </w:r>
      <w:r>
        <w:rPr>
          <w:rFonts w:hint="eastAsia" w:ascii="宋体" w:hAnsi="宋体" w:cs="宋体"/>
          <w:color w:val="auto"/>
          <w:szCs w:val="21"/>
        </w:rPr>
        <w:t>报价给予20%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最后报价×（1 - 扣除比例）。</w:t>
      </w:r>
    </w:p>
    <w:p w14:paraId="262F1623">
      <w:pPr>
        <w:spacing w:line="360" w:lineRule="auto"/>
        <w:ind w:firstLine="420" w:firstLineChars="200"/>
        <w:rPr>
          <w:rFonts w:ascii="宋体" w:hAnsi="宋体" w:cs="宋体"/>
          <w:color w:val="auto"/>
          <w:szCs w:val="21"/>
        </w:rPr>
      </w:pPr>
      <w:r>
        <w:rPr>
          <w:rFonts w:hint="eastAsia" w:ascii="宋体" w:hAnsi="宋体" w:cs="宋体"/>
          <w:color w:val="auto"/>
          <w:szCs w:val="21"/>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BB8A3A9">
      <w:pPr>
        <w:spacing w:line="360" w:lineRule="auto"/>
        <w:ind w:firstLine="420" w:firstLineChars="200"/>
        <w:rPr>
          <w:rFonts w:ascii="宋体" w:hAnsi="宋体" w:cs="宋体"/>
          <w:color w:val="auto"/>
          <w:szCs w:val="21"/>
        </w:rPr>
      </w:pPr>
      <w:r>
        <w:rPr>
          <w:rFonts w:hint="eastAsia" w:ascii="宋体" w:hAnsi="宋体" w:cs="宋体"/>
          <w:color w:val="auto"/>
          <w:szCs w:val="21"/>
        </w:rPr>
        <w:t>6.4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8986338">
      <w:pPr>
        <w:spacing w:line="360" w:lineRule="auto"/>
        <w:ind w:firstLine="420" w:firstLineChars="200"/>
        <w:rPr>
          <w:rFonts w:ascii="宋体" w:hAnsi="宋体" w:cs="宋体"/>
          <w:color w:val="auto"/>
          <w:sz w:val="24"/>
        </w:rPr>
      </w:pPr>
      <w:r>
        <w:rPr>
          <w:rFonts w:hint="eastAsia" w:ascii="宋体" w:hAnsi="宋体" w:cs="宋体"/>
          <w:color w:val="auto"/>
          <w:szCs w:val="21"/>
        </w:rPr>
        <w:t>6.5除上述情况外，评审价＝最后报价。</w:t>
      </w:r>
    </w:p>
    <w:p w14:paraId="23965BE8">
      <w:pPr>
        <w:spacing w:line="360" w:lineRule="auto"/>
        <w:ind w:firstLine="480" w:firstLineChars="200"/>
        <w:rPr>
          <w:rFonts w:ascii="宋体" w:hAnsi="宋体" w:cs="宋体"/>
          <w:color w:val="auto"/>
          <w:sz w:val="24"/>
        </w:rPr>
      </w:pPr>
    </w:p>
    <w:p w14:paraId="2CE7E7ED">
      <w:pPr>
        <w:spacing w:line="360" w:lineRule="auto"/>
        <w:jc w:val="center"/>
        <w:rPr>
          <w:rFonts w:ascii="宋体" w:hAnsi="宋体" w:cs="宋体"/>
          <w:b/>
          <w:color w:val="auto"/>
          <w:sz w:val="24"/>
        </w:rPr>
      </w:pPr>
    </w:p>
    <w:p w14:paraId="26162D38">
      <w:pPr>
        <w:spacing w:line="360" w:lineRule="auto"/>
        <w:jc w:val="center"/>
        <w:rPr>
          <w:rFonts w:ascii="宋体" w:hAnsi="宋体" w:cs="宋体"/>
          <w:b/>
          <w:color w:val="auto"/>
          <w:sz w:val="32"/>
          <w:szCs w:val="32"/>
        </w:rPr>
      </w:pPr>
      <w:r>
        <w:rPr>
          <w:rFonts w:hint="eastAsia" w:ascii="宋体" w:hAnsi="宋体" w:cs="宋体"/>
          <w:b/>
          <w:color w:val="auto"/>
          <w:sz w:val="32"/>
          <w:szCs w:val="32"/>
        </w:rPr>
        <w:t>二、评定成交的标准</w:t>
      </w:r>
    </w:p>
    <w:p w14:paraId="30329356">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7.成交候选人推荐原则</w:t>
      </w:r>
    </w:p>
    <w:p w14:paraId="15B4BA06">
      <w:pPr>
        <w:spacing w:line="360" w:lineRule="auto"/>
        <w:ind w:firstLine="420" w:firstLineChars="200"/>
        <w:rPr>
          <w:rFonts w:ascii="宋体" w:hAnsi="宋体" w:cs="宋体"/>
          <w:color w:val="auto"/>
          <w:sz w:val="24"/>
        </w:rPr>
      </w:pPr>
      <w:r>
        <w:rPr>
          <w:rFonts w:hint="eastAsia" w:ascii="宋体" w:hAnsi="宋体" w:cs="宋体"/>
          <w:color w:val="auto"/>
          <w:szCs w:val="21"/>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26条规定的顺序推荐）,并编写评审报告。</w:t>
      </w:r>
    </w:p>
    <w:p w14:paraId="22D443D0">
      <w:pPr>
        <w:pStyle w:val="2"/>
        <w:spacing w:before="0" w:after="0" w:line="360" w:lineRule="auto"/>
        <w:jc w:val="center"/>
        <w:rPr>
          <w:rFonts w:ascii="宋体" w:hAnsi="宋体" w:cs="宋体"/>
          <w:color w:val="auto"/>
        </w:rPr>
      </w:pPr>
      <w:r>
        <w:rPr>
          <w:rFonts w:hint="eastAsia" w:ascii="宋体" w:hAnsi="宋体" w:cs="宋体"/>
          <w:color w:val="auto"/>
          <w:sz w:val="24"/>
          <w:szCs w:val="24"/>
        </w:rPr>
        <w:br w:type="page"/>
      </w:r>
    </w:p>
    <w:p w14:paraId="5C7E3DFE">
      <w:pPr>
        <w:rPr>
          <w:rFonts w:ascii="宋体" w:hAnsi="宋体" w:cs="宋体"/>
          <w:color w:val="auto"/>
        </w:rPr>
      </w:pPr>
    </w:p>
    <w:p w14:paraId="18D89C5E">
      <w:pPr>
        <w:pStyle w:val="2"/>
        <w:spacing w:before="0" w:after="0"/>
        <w:jc w:val="center"/>
        <w:rPr>
          <w:rFonts w:ascii="宋体" w:hAnsi="宋体" w:cs="宋体"/>
          <w:color w:val="auto"/>
        </w:rPr>
      </w:pPr>
      <w:bookmarkStart w:id="39" w:name="_Toc27214"/>
      <w:r>
        <w:rPr>
          <w:rFonts w:hint="eastAsia" w:ascii="宋体" w:hAnsi="宋体" w:cs="宋体"/>
          <w:color w:val="auto"/>
        </w:rPr>
        <w:t>第五章 响应文件格式</w:t>
      </w:r>
      <w:bookmarkEnd w:id="39"/>
    </w:p>
    <w:p w14:paraId="7C77B020">
      <w:pPr>
        <w:spacing w:line="240" w:lineRule="atLeast"/>
        <w:rPr>
          <w:rFonts w:ascii="宋体" w:hAnsi="宋体" w:cs="宋体"/>
          <w:b/>
          <w:color w:val="auto"/>
          <w:sz w:val="32"/>
          <w:szCs w:val="32"/>
        </w:rPr>
      </w:pPr>
    </w:p>
    <w:p w14:paraId="54B36728">
      <w:pPr>
        <w:spacing w:line="240" w:lineRule="atLeast"/>
        <w:rPr>
          <w:rFonts w:ascii="宋体" w:hAnsi="宋体" w:cs="宋体"/>
          <w:b/>
          <w:color w:val="auto"/>
          <w:sz w:val="32"/>
          <w:szCs w:val="32"/>
        </w:rPr>
      </w:pPr>
    </w:p>
    <w:p w14:paraId="0562620F">
      <w:pPr>
        <w:spacing w:line="360" w:lineRule="auto"/>
        <w:rPr>
          <w:rFonts w:ascii="宋体" w:hAnsi="宋体" w:cs="宋体"/>
          <w:b/>
          <w:color w:val="auto"/>
          <w:sz w:val="32"/>
          <w:szCs w:val="32"/>
        </w:rPr>
      </w:pPr>
      <w:bookmarkStart w:id="40" w:name="_Toc71365382"/>
      <w:bookmarkStart w:id="41" w:name="_Toc71366060"/>
      <w:r>
        <w:rPr>
          <w:rFonts w:hint="eastAsia" w:ascii="宋体" w:hAnsi="宋体" w:cs="宋体"/>
          <w:b/>
          <w:color w:val="auto"/>
          <w:sz w:val="32"/>
          <w:szCs w:val="32"/>
        </w:rPr>
        <w:t>一、资格证明文件格式</w:t>
      </w:r>
      <w:bookmarkEnd w:id="40"/>
      <w:bookmarkEnd w:id="41"/>
    </w:p>
    <w:p w14:paraId="62DBC23C">
      <w:pPr>
        <w:snapToGrid w:val="0"/>
        <w:spacing w:line="360" w:lineRule="auto"/>
        <w:jc w:val="left"/>
        <w:rPr>
          <w:rFonts w:ascii="宋体" w:hAnsi="宋体" w:cs="宋体"/>
          <w:b/>
          <w:color w:val="auto"/>
          <w:sz w:val="24"/>
        </w:rPr>
      </w:pPr>
      <w:r>
        <w:rPr>
          <w:rFonts w:hint="eastAsia" w:ascii="宋体" w:hAnsi="宋体" w:cs="宋体"/>
          <w:b/>
          <w:color w:val="auto"/>
          <w:sz w:val="32"/>
          <w:szCs w:val="32"/>
        </w:rPr>
        <w:t>1.资格证明文件封面格式：</w:t>
      </w:r>
      <w:r>
        <w:rPr>
          <w:rFonts w:hint="eastAsia" w:ascii="宋体" w:hAnsi="宋体" w:cs="宋体"/>
          <w:b/>
          <w:color w:val="auto"/>
          <w:sz w:val="24"/>
        </w:rPr>
        <w:t xml:space="preserve"> </w:t>
      </w:r>
    </w:p>
    <w:p w14:paraId="2A20E590">
      <w:pPr>
        <w:snapToGrid w:val="0"/>
        <w:spacing w:line="360" w:lineRule="auto"/>
        <w:rPr>
          <w:rFonts w:ascii="宋体" w:hAnsi="宋体" w:cs="宋体"/>
          <w:bCs/>
          <w:color w:val="auto"/>
          <w:sz w:val="32"/>
          <w:szCs w:val="20"/>
        </w:rPr>
      </w:pPr>
      <w:r>
        <w:rPr>
          <w:rFonts w:hint="eastAsia" w:ascii="宋体" w:hAnsi="宋体" w:cs="宋体"/>
          <w:color w:val="auto"/>
          <w:sz w:val="24"/>
        </w:rPr>
        <w:t xml:space="preserve">                                                  </w:t>
      </w:r>
    </w:p>
    <w:p w14:paraId="7E0CF100">
      <w:pPr>
        <w:snapToGrid w:val="0"/>
        <w:spacing w:line="360" w:lineRule="auto"/>
        <w:jc w:val="center"/>
        <w:rPr>
          <w:rFonts w:ascii="宋体" w:hAnsi="宋体" w:cs="宋体"/>
          <w:bCs/>
          <w:color w:val="auto"/>
          <w:sz w:val="44"/>
          <w:szCs w:val="44"/>
        </w:rPr>
      </w:pPr>
    </w:p>
    <w:p w14:paraId="203B28FE">
      <w:pPr>
        <w:snapToGrid w:val="0"/>
        <w:spacing w:line="360" w:lineRule="auto"/>
        <w:jc w:val="center"/>
        <w:rPr>
          <w:rFonts w:ascii="宋体" w:hAnsi="宋体" w:cs="宋体"/>
          <w:bCs/>
          <w:color w:val="auto"/>
          <w:sz w:val="84"/>
          <w:szCs w:val="84"/>
        </w:rPr>
      </w:pPr>
      <w:r>
        <w:rPr>
          <w:rFonts w:hint="eastAsia" w:ascii="宋体" w:hAnsi="宋体" w:cs="宋体"/>
          <w:bCs/>
          <w:color w:val="auto"/>
          <w:sz w:val="84"/>
          <w:szCs w:val="84"/>
        </w:rPr>
        <w:t>响  应  文  件</w:t>
      </w:r>
    </w:p>
    <w:p w14:paraId="4563B162">
      <w:pPr>
        <w:snapToGrid w:val="0"/>
        <w:spacing w:line="360" w:lineRule="auto"/>
        <w:rPr>
          <w:rFonts w:ascii="宋体" w:hAnsi="宋体" w:cs="宋体"/>
          <w:color w:val="auto"/>
          <w:sz w:val="24"/>
          <w:szCs w:val="20"/>
        </w:rPr>
      </w:pPr>
    </w:p>
    <w:p w14:paraId="704817F3">
      <w:pPr>
        <w:snapToGrid w:val="0"/>
        <w:spacing w:line="360" w:lineRule="auto"/>
        <w:jc w:val="center"/>
        <w:rPr>
          <w:rFonts w:ascii="宋体" w:hAnsi="宋体" w:cs="宋体"/>
          <w:bCs/>
          <w:color w:val="auto"/>
          <w:sz w:val="32"/>
          <w:szCs w:val="32"/>
        </w:rPr>
      </w:pPr>
      <w:r>
        <w:rPr>
          <w:rFonts w:hint="eastAsia" w:ascii="宋体" w:hAnsi="宋体" w:cs="宋体"/>
          <w:bCs/>
          <w:color w:val="auto"/>
          <w:sz w:val="32"/>
          <w:szCs w:val="32"/>
        </w:rPr>
        <w:t>资  格  证  明  文  件</w:t>
      </w:r>
    </w:p>
    <w:p w14:paraId="025BBC2F">
      <w:pPr>
        <w:snapToGrid w:val="0"/>
        <w:spacing w:line="360" w:lineRule="auto"/>
        <w:rPr>
          <w:rFonts w:ascii="宋体" w:hAnsi="宋体" w:cs="宋体"/>
          <w:bCs/>
          <w:color w:val="auto"/>
          <w:sz w:val="24"/>
          <w:szCs w:val="20"/>
        </w:rPr>
      </w:pPr>
    </w:p>
    <w:p w14:paraId="48171AD7">
      <w:pPr>
        <w:snapToGrid w:val="0"/>
        <w:spacing w:line="360" w:lineRule="auto"/>
        <w:rPr>
          <w:rFonts w:ascii="宋体" w:hAnsi="宋体" w:cs="宋体"/>
          <w:bCs/>
          <w:color w:val="auto"/>
          <w:sz w:val="24"/>
          <w:szCs w:val="20"/>
        </w:rPr>
      </w:pPr>
    </w:p>
    <w:p w14:paraId="7A76CB5E">
      <w:pPr>
        <w:snapToGrid w:val="0"/>
        <w:spacing w:line="360" w:lineRule="auto"/>
        <w:ind w:firstLine="2739" w:firstLineChars="856"/>
        <w:rPr>
          <w:rFonts w:ascii="宋体" w:hAnsi="宋体" w:cs="宋体"/>
          <w:bCs/>
          <w:color w:val="auto"/>
          <w:sz w:val="32"/>
          <w:szCs w:val="32"/>
        </w:rPr>
      </w:pPr>
      <w:r>
        <w:rPr>
          <w:rFonts w:hint="eastAsia" w:ascii="宋体" w:hAnsi="宋体" w:cs="宋体"/>
          <w:bCs/>
          <w:color w:val="auto"/>
          <w:sz w:val="32"/>
          <w:szCs w:val="32"/>
        </w:rPr>
        <w:t>项目名称：</w:t>
      </w:r>
    </w:p>
    <w:p w14:paraId="5B760CA6">
      <w:pPr>
        <w:snapToGrid w:val="0"/>
        <w:spacing w:line="360" w:lineRule="auto"/>
        <w:ind w:firstLine="2739" w:firstLineChars="856"/>
        <w:rPr>
          <w:rFonts w:ascii="宋体" w:hAnsi="宋体" w:cs="宋体"/>
          <w:bCs/>
          <w:color w:val="auto"/>
          <w:sz w:val="32"/>
          <w:szCs w:val="32"/>
        </w:rPr>
      </w:pPr>
      <w:r>
        <w:rPr>
          <w:rFonts w:hint="eastAsia" w:ascii="宋体" w:hAnsi="宋体" w:cs="宋体"/>
          <w:bCs/>
          <w:color w:val="auto"/>
          <w:sz w:val="32"/>
          <w:szCs w:val="32"/>
        </w:rPr>
        <w:t xml:space="preserve">项目编号： </w:t>
      </w:r>
    </w:p>
    <w:p w14:paraId="7074E206">
      <w:pPr>
        <w:snapToGrid w:val="0"/>
        <w:spacing w:line="360" w:lineRule="auto"/>
        <w:ind w:firstLine="2739" w:firstLineChars="856"/>
        <w:rPr>
          <w:rFonts w:ascii="宋体" w:hAnsi="宋体" w:cs="宋体"/>
          <w:bCs/>
          <w:color w:val="auto"/>
          <w:sz w:val="32"/>
          <w:szCs w:val="32"/>
        </w:rPr>
      </w:pPr>
      <w:r>
        <w:rPr>
          <w:rFonts w:hint="eastAsia" w:ascii="宋体" w:hAnsi="宋体" w:cs="宋体"/>
          <w:bCs/>
          <w:color w:val="auto"/>
          <w:sz w:val="32"/>
          <w:szCs w:val="32"/>
        </w:rPr>
        <w:t>所竞分标（如有）：</w:t>
      </w:r>
    </w:p>
    <w:p w14:paraId="16D803C7">
      <w:pPr>
        <w:pStyle w:val="7"/>
        <w:snapToGrid w:val="0"/>
        <w:spacing w:line="360" w:lineRule="auto"/>
        <w:ind w:firstLine="2739" w:firstLineChars="856"/>
        <w:rPr>
          <w:rFonts w:ascii="宋体" w:hAnsi="宋体" w:cs="宋体"/>
          <w:bCs/>
          <w:color w:val="auto"/>
          <w:sz w:val="32"/>
          <w:szCs w:val="32"/>
        </w:rPr>
      </w:pPr>
      <w:r>
        <w:rPr>
          <w:rFonts w:hint="eastAsia" w:ascii="宋体" w:hAnsi="宋体" w:cs="宋体"/>
          <w:bCs/>
          <w:color w:val="auto"/>
          <w:sz w:val="32"/>
          <w:szCs w:val="32"/>
        </w:rPr>
        <w:t>供应商名称：</w:t>
      </w:r>
    </w:p>
    <w:p w14:paraId="72E7DA35">
      <w:pPr>
        <w:pStyle w:val="7"/>
        <w:snapToGrid w:val="0"/>
        <w:spacing w:line="360" w:lineRule="auto"/>
        <w:ind w:firstLine="0"/>
        <w:rPr>
          <w:rFonts w:ascii="宋体" w:hAnsi="宋体" w:cs="宋体"/>
          <w:bCs/>
          <w:color w:val="auto"/>
          <w:sz w:val="32"/>
          <w:szCs w:val="32"/>
        </w:rPr>
      </w:pPr>
    </w:p>
    <w:p w14:paraId="23747D1F">
      <w:pPr>
        <w:pStyle w:val="7"/>
        <w:snapToGrid w:val="0"/>
        <w:spacing w:line="360" w:lineRule="auto"/>
        <w:ind w:firstLine="1280" w:firstLineChars="400"/>
        <w:rPr>
          <w:rFonts w:ascii="宋体" w:hAnsi="宋体" w:cs="宋体"/>
          <w:bCs/>
          <w:color w:val="auto"/>
          <w:sz w:val="32"/>
          <w:szCs w:val="32"/>
        </w:rPr>
      </w:pPr>
    </w:p>
    <w:p w14:paraId="7C262435">
      <w:pPr>
        <w:snapToGrid w:val="0"/>
        <w:spacing w:line="360" w:lineRule="auto"/>
        <w:jc w:val="center"/>
        <w:rPr>
          <w:rFonts w:ascii="宋体" w:hAnsi="宋体" w:cs="宋体"/>
          <w:color w:val="auto"/>
          <w:sz w:val="32"/>
          <w:szCs w:val="32"/>
        </w:rPr>
      </w:pPr>
      <w:r>
        <w:rPr>
          <w:rFonts w:hint="eastAsia" w:ascii="宋体" w:hAnsi="宋体" w:cs="宋体"/>
          <w:color w:val="auto"/>
          <w:sz w:val="32"/>
          <w:szCs w:val="32"/>
        </w:rPr>
        <w:t>年    月    日</w:t>
      </w:r>
    </w:p>
    <w:p w14:paraId="68E0E81E">
      <w:pPr>
        <w:snapToGrid w:val="0"/>
        <w:spacing w:line="360" w:lineRule="auto"/>
        <w:jc w:val="left"/>
        <w:rPr>
          <w:rFonts w:ascii="宋体" w:hAnsi="宋体" w:cs="宋体"/>
          <w:b/>
          <w:bCs/>
          <w:color w:val="auto"/>
          <w:sz w:val="32"/>
          <w:szCs w:val="32"/>
        </w:rPr>
      </w:pPr>
      <w:r>
        <w:rPr>
          <w:rFonts w:hint="eastAsia" w:ascii="宋体" w:hAnsi="宋体" w:cs="宋体"/>
          <w:color w:val="auto"/>
          <w:sz w:val="24"/>
        </w:rPr>
        <w:br w:type="page"/>
      </w:r>
      <w:r>
        <w:rPr>
          <w:rFonts w:hint="eastAsia" w:ascii="宋体" w:hAnsi="宋体" w:cs="宋体"/>
          <w:b/>
          <w:bCs/>
          <w:color w:val="auto"/>
          <w:sz w:val="32"/>
          <w:szCs w:val="32"/>
        </w:rPr>
        <w:t>2.资格证明文件目录</w:t>
      </w:r>
    </w:p>
    <w:p w14:paraId="637575A1">
      <w:pPr>
        <w:snapToGrid w:val="0"/>
        <w:spacing w:line="360" w:lineRule="auto"/>
        <w:ind w:firstLine="645"/>
        <w:rPr>
          <w:rFonts w:ascii="宋体" w:hAnsi="宋体" w:cs="宋体"/>
          <w:color w:val="auto"/>
          <w:sz w:val="32"/>
          <w:szCs w:val="32"/>
        </w:rPr>
      </w:pPr>
      <w:r>
        <w:rPr>
          <w:rFonts w:hint="eastAsia" w:ascii="宋体" w:hAnsi="宋体" w:cs="宋体"/>
          <w:color w:val="auto"/>
          <w:sz w:val="32"/>
          <w:szCs w:val="32"/>
        </w:rPr>
        <w:t>根据谈判文件规定及供应商提供的材料自行编写目录（部分格式后附）。</w:t>
      </w:r>
    </w:p>
    <w:p w14:paraId="251E5CB9">
      <w:pPr>
        <w:snapToGrid w:val="0"/>
        <w:spacing w:line="360" w:lineRule="auto"/>
        <w:rPr>
          <w:rFonts w:ascii="宋体" w:hAnsi="宋体" w:cs="宋体"/>
          <w:color w:val="auto"/>
          <w:sz w:val="24"/>
          <w:szCs w:val="20"/>
        </w:rPr>
      </w:pPr>
      <w:r>
        <w:rPr>
          <w:rFonts w:hint="eastAsia" w:ascii="宋体" w:hAnsi="宋体" w:cs="宋体"/>
          <w:color w:val="auto"/>
          <w:sz w:val="24"/>
          <w:szCs w:val="20"/>
        </w:rPr>
        <w:t xml:space="preserve"> </w:t>
      </w:r>
    </w:p>
    <w:p w14:paraId="4D67A687">
      <w:pPr>
        <w:spacing w:line="360" w:lineRule="auto"/>
        <w:rPr>
          <w:rFonts w:ascii="宋体" w:hAnsi="宋体" w:cs="宋体"/>
          <w:color w:val="auto"/>
          <w:szCs w:val="21"/>
        </w:rPr>
      </w:pPr>
    </w:p>
    <w:p w14:paraId="6D03FC8B">
      <w:pPr>
        <w:spacing w:line="360" w:lineRule="auto"/>
        <w:rPr>
          <w:rFonts w:ascii="宋体" w:hAnsi="宋体" w:cs="宋体"/>
          <w:color w:val="auto"/>
          <w:szCs w:val="21"/>
        </w:rPr>
      </w:pPr>
    </w:p>
    <w:p w14:paraId="5B11BEB8">
      <w:pPr>
        <w:spacing w:line="360" w:lineRule="auto"/>
        <w:rPr>
          <w:rFonts w:ascii="宋体" w:hAnsi="宋体" w:cs="宋体"/>
          <w:color w:val="auto"/>
          <w:szCs w:val="21"/>
        </w:rPr>
      </w:pPr>
    </w:p>
    <w:p w14:paraId="3E604B9B">
      <w:pPr>
        <w:spacing w:line="360" w:lineRule="auto"/>
        <w:rPr>
          <w:rFonts w:ascii="宋体" w:hAnsi="宋体" w:cs="宋体"/>
          <w:color w:val="auto"/>
          <w:szCs w:val="21"/>
        </w:rPr>
      </w:pPr>
    </w:p>
    <w:p w14:paraId="6BCE2751">
      <w:pPr>
        <w:spacing w:line="360" w:lineRule="auto"/>
        <w:rPr>
          <w:rFonts w:ascii="宋体" w:hAnsi="宋体" w:cs="宋体"/>
          <w:color w:val="auto"/>
          <w:szCs w:val="21"/>
        </w:rPr>
      </w:pPr>
    </w:p>
    <w:p w14:paraId="3345FE93">
      <w:pPr>
        <w:spacing w:line="360" w:lineRule="auto"/>
        <w:rPr>
          <w:rFonts w:ascii="宋体" w:hAnsi="宋体" w:cs="宋体"/>
          <w:color w:val="auto"/>
          <w:szCs w:val="21"/>
        </w:rPr>
      </w:pPr>
    </w:p>
    <w:p w14:paraId="32B0C829">
      <w:pPr>
        <w:spacing w:line="360" w:lineRule="auto"/>
        <w:rPr>
          <w:rFonts w:ascii="宋体" w:hAnsi="宋体" w:cs="宋体"/>
          <w:color w:val="auto"/>
          <w:szCs w:val="21"/>
        </w:rPr>
      </w:pPr>
    </w:p>
    <w:p w14:paraId="01C7158C">
      <w:pPr>
        <w:spacing w:line="360" w:lineRule="auto"/>
        <w:rPr>
          <w:rFonts w:ascii="宋体" w:hAnsi="宋体" w:cs="宋体"/>
          <w:color w:val="auto"/>
          <w:szCs w:val="21"/>
        </w:rPr>
      </w:pPr>
    </w:p>
    <w:p w14:paraId="729D2A76">
      <w:pPr>
        <w:spacing w:line="360" w:lineRule="auto"/>
        <w:rPr>
          <w:rFonts w:ascii="宋体" w:hAnsi="宋体" w:cs="宋体"/>
          <w:color w:val="auto"/>
          <w:szCs w:val="21"/>
        </w:rPr>
      </w:pPr>
    </w:p>
    <w:p w14:paraId="46ED8175">
      <w:pPr>
        <w:spacing w:line="360" w:lineRule="auto"/>
        <w:rPr>
          <w:rFonts w:ascii="宋体" w:hAnsi="宋体" w:cs="宋体"/>
          <w:color w:val="auto"/>
          <w:szCs w:val="21"/>
        </w:rPr>
      </w:pPr>
    </w:p>
    <w:p w14:paraId="55F5B440">
      <w:pPr>
        <w:spacing w:line="360" w:lineRule="auto"/>
        <w:rPr>
          <w:rFonts w:ascii="宋体" w:hAnsi="宋体" w:cs="宋体"/>
          <w:color w:val="auto"/>
          <w:szCs w:val="21"/>
        </w:rPr>
      </w:pPr>
    </w:p>
    <w:p w14:paraId="01733629">
      <w:pPr>
        <w:spacing w:line="360" w:lineRule="auto"/>
        <w:rPr>
          <w:rFonts w:ascii="宋体" w:hAnsi="宋体" w:cs="宋体"/>
          <w:color w:val="auto"/>
          <w:szCs w:val="21"/>
        </w:rPr>
      </w:pPr>
    </w:p>
    <w:p w14:paraId="16071735">
      <w:pPr>
        <w:spacing w:line="360" w:lineRule="auto"/>
        <w:rPr>
          <w:rFonts w:ascii="宋体" w:hAnsi="宋体" w:cs="宋体"/>
          <w:color w:val="auto"/>
          <w:szCs w:val="21"/>
        </w:rPr>
      </w:pPr>
    </w:p>
    <w:p w14:paraId="49E22935">
      <w:pPr>
        <w:spacing w:line="360" w:lineRule="auto"/>
        <w:rPr>
          <w:rFonts w:ascii="宋体" w:hAnsi="宋体" w:cs="宋体"/>
          <w:color w:val="auto"/>
          <w:szCs w:val="21"/>
        </w:rPr>
      </w:pPr>
    </w:p>
    <w:p w14:paraId="2A47C833">
      <w:pPr>
        <w:spacing w:line="360" w:lineRule="auto"/>
        <w:rPr>
          <w:rFonts w:ascii="宋体" w:hAnsi="宋体" w:cs="宋体"/>
          <w:color w:val="auto"/>
          <w:szCs w:val="21"/>
        </w:rPr>
      </w:pPr>
    </w:p>
    <w:p w14:paraId="0056A2AE">
      <w:pPr>
        <w:spacing w:line="360" w:lineRule="auto"/>
        <w:jc w:val="left"/>
        <w:rPr>
          <w:rFonts w:ascii="宋体" w:hAnsi="宋体" w:cs="宋体"/>
          <w:color w:val="auto"/>
          <w:szCs w:val="21"/>
        </w:rPr>
      </w:pPr>
    </w:p>
    <w:p w14:paraId="3757F028">
      <w:pPr>
        <w:snapToGrid w:val="0"/>
        <w:spacing w:line="360" w:lineRule="auto"/>
        <w:jc w:val="center"/>
        <w:rPr>
          <w:rFonts w:ascii="宋体" w:hAnsi="宋体" w:cs="宋体"/>
          <w:b/>
          <w:color w:val="auto"/>
          <w:sz w:val="32"/>
          <w:szCs w:val="32"/>
        </w:rPr>
      </w:pPr>
      <w:r>
        <w:rPr>
          <w:rFonts w:hint="eastAsia" w:ascii="宋体" w:hAnsi="宋体" w:cs="宋体"/>
          <w:b/>
          <w:color w:val="auto"/>
          <w:sz w:val="32"/>
          <w:szCs w:val="32"/>
        </w:rPr>
        <w:br w:type="page"/>
      </w:r>
      <w:r>
        <w:rPr>
          <w:rFonts w:hint="eastAsia" w:ascii="宋体" w:hAnsi="宋体" w:cs="宋体"/>
          <w:b/>
          <w:color w:val="auto"/>
          <w:sz w:val="32"/>
          <w:szCs w:val="32"/>
        </w:rPr>
        <w:t>3.供应商直接控股、管理关系信息表</w:t>
      </w:r>
    </w:p>
    <w:p w14:paraId="28761C4E">
      <w:pPr>
        <w:snapToGrid w:val="0"/>
        <w:spacing w:line="360" w:lineRule="auto"/>
        <w:jc w:val="center"/>
        <w:rPr>
          <w:rFonts w:ascii="宋体" w:hAnsi="宋体" w:cs="宋体"/>
          <w:b/>
          <w:color w:val="auto"/>
          <w:sz w:val="32"/>
          <w:szCs w:val="32"/>
        </w:rPr>
      </w:pPr>
    </w:p>
    <w:p w14:paraId="096EB4CA">
      <w:pPr>
        <w:snapToGrid w:val="0"/>
        <w:spacing w:line="360" w:lineRule="auto"/>
        <w:jc w:val="center"/>
        <w:rPr>
          <w:rFonts w:ascii="宋体" w:hAnsi="宋体" w:cs="宋体"/>
          <w:b/>
          <w:color w:val="auto"/>
          <w:sz w:val="32"/>
          <w:szCs w:val="32"/>
        </w:rPr>
      </w:pPr>
      <w:r>
        <w:rPr>
          <w:rFonts w:hint="eastAsia" w:ascii="宋体" w:hAnsi="宋体" w:cs="宋体"/>
          <w:b/>
          <w:color w:val="auto"/>
          <w:sz w:val="32"/>
          <w:szCs w:val="32"/>
        </w:rPr>
        <w:t>供应商直接控股股东信息表</w:t>
      </w:r>
    </w:p>
    <w:p w14:paraId="78F6C185">
      <w:pPr>
        <w:snapToGrid w:val="0"/>
        <w:spacing w:line="360" w:lineRule="auto"/>
        <w:jc w:val="center"/>
        <w:rPr>
          <w:rFonts w:ascii="宋体" w:hAnsi="宋体" w:cs="宋体"/>
          <w:b/>
          <w:color w:val="auto"/>
          <w:sz w:val="32"/>
          <w:szCs w:val="32"/>
        </w:rPr>
      </w:pPr>
    </w:p>
    <w:tbl>
      <w:tblPr>
        <w:tblStyle w:val="27"/>
        <w:tblW w:w="9318" w:type="dxa"/>
        <w:jc w:val="center"/>
        <w:shd w:val="clear" w:color="auto" w:fill="FBFBFB"/>
        <w:tblLayout w:type="fixed"/>
        <w:tblCellMar>
          <w:top w:w="0" w:type="dxa"/>
          <w:left w:w="0" w:type="dxa"/>
          <w:bottom w:w="0" w:type="dxa"/>
          <w:right w:w="0" w:type="dxa"/>
        </w:tblCellMar>
      </w:tblPr>
      <w:tblGrid>
        <w:gridCol w:w="880"/>
        <w:gridCol w:w="2655"/>
        <w:gridCol w:w="1455"/>
        <w:gridCol w:w="3503"/>
        <w:gridCol w:w="825"/>
      </w:tblGrid>
      <w:tr w14:paraId="4BFE3684">
        <w:tblPrEx>
          <w:shd w:val="clear" w:color="auto" w:fill="FBFBFB"/>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F0167C2">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05DDBCC">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87C7DD">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出资比例</w:t>
            </w:r>
          </w:p>
        </w:tc>
        <w:tc>
          <w:tcPr>
            <w:tcW w:w="350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EDF63D0">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身份证号码或者统一社会信用代码</w:t>
            </w:r>
          </w:p>
        </w:tc>
        <w:tc>
          <w:tcPr>
            <w:tcW w:w="82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1FD5CC">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备注</w:t>
            </w:r>
          </w:p>
        </w:tc>
      </w:tr>
      <w:tr w14:paraId="4DF3752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F58353">
            <w:pPr>
              <w:widowControl/>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721329">
            <w:pPr>
              <w:widowControl/>
              <w:spacing w:line="360" w:lineRule="auto"/>
              <w:jc w:val="center"/>
              <w:rPr>
                <w:rFonts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5D8EAD">
            <w:pPr>
              <w:widowControl/>
              <w:spacing w:line="360" w:lineRule="auto"/>
              <w:jc w:val="center"/>
              <w:rPr>
                <w:rFonts w:ascii="宋体" w:hAnsi="宋体" w:cs="宋体"/>
                <w:color w:val="auto"/>
                <w:kern w:val="0"/>
                <w:sz w:val="28"/>
                <w:szCs w:val="28"/>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AFFC8B">
            <w:pPr>
              <w:widowControl/>
              <w:spacing w:line="360" w:lineRule="auto"/>
              <w:jc w:val="center"/>
              <w:rPr>
                <w:rFonts w:ascii="宋体" w:hAnsi="宋体" w:cs="宋体"/>
                <w:color w:val="auto"/>
                <w:kern w:val="0"/>
                <w:sz w:val="28"/>
                <w:szCs w:val="28"/>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838E88">
            <w:pPr>
              <w:widowControl/>
              <w:spacing w:line="360" w:lineRule="auto"/>
              <w:jc w:val="center"/>
              <w:rPr>
                <w:rFonts w:ascii="宋体" w:hAnsi="宋体" w:cs="宋体"/>
                <w:color w:val="auto"/>
                <w:kern w:val="0"/>
                <w:sz w:val="28"/>
                <w:szCs w:val="28"/>
              </w:rPr>
            </w:pPr>
          </w:p>
        </w:tc>
      </w:tr>
      <w:tr w14:paraId="3502561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7B3134">
            <w:pPr>
              <w:widowControl/>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E65BB2">
            <w:pPr>
              <w:widowControl/>
              <w:spacing w:line="360" w:lineRule="auto"/>
              <w:jc w:val="center"/>
              <w:rPr>
                <w:rFonts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B2D2B0">
            <w:pPr>
              <w:widowControl/>
              <w:spacing w:line="360" w:lineRule="auto"/>
              <w:jc w:val="center"/>
              <w:rPr>
                <w:rFonts w:ascii="宋体" w:hAnsi="宋体" w:cs="宋体"/>
                <w:color w:val="auto"/>
                <w:kern w:val="0"/>
                <w:sz w:val="28"/>
                <w:szCs w:val="28"/>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AFFBE7">
            <w:pPr>
              <w:widowControl/>
              <w:spacing w:line="360" w:lineRule="auto"/>
              <w:jc w:val="center"/>
              <w:rPr>
                <w:rFonts w:ascii="宋体" w:hAnsi="宋体" w:cs="宋体"/>
                <w:color w:val="auto"/>
                <w:kern w:val="0"/>
                <w:sz w:val="28"/>
                <w:szCs w:val="28"/>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53D5DD">
            <w:pPr>
              <w:widowControl/>
              <w:spacing w:line="360" w:lineRule="auto"/>
              <w:jc w:val="center"/>
              <w:rPr>
                <w:rFonts w:ascii="宋体" w:hAnsi="宋体" w:cs="宋体"/>
                <w:color w:val="auto"/>
                <w:kern w:val="0"/>
                <w:sz w:val="28"/>
                <w:szCs w:val="28"/>
              </w:rPr>
            </w:pPr>
          </w:p>
        </w:tc>
      </w:tr>
      <w:tr w14:paraId="0D3E43B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F7AEF2">
            <w:pPr>
              <w:widowControl/>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6B12E7">
            <w:pPr>
              <w:widowControl/>
              <w:spacing w:line="360" w:lineRule="auto"/>
              <w:jc w:val="center"/>
              <w:rPr>
                <w:rFonts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6408FA">
            <w:pPr>
              <w:widowControl/>
              <w:spacing w:line="360" w:lineRule="auto"/>
              <w:jc w:val="center"/>
              <w:rPr>
                <w:rFonts w:ascii="宋体" w:hAnsi="宋体" w:cs="宋体"/>
                <w:color w:val="auto"/>
                <w:kern w:val="0"/>
                <w:sz w:val="28"/>
                <w:szCs w:val="28"/>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28183E">
            <w:pPr>
              <w:widowControl/>
              <w:spacing w:line="360" w:lineRule="auto"/>
              <w:jc w:val="center"/>
              <w:rPr>
                <w:rFonts w:ascii="宋体" w:hAnsi="宋体" w:cs="宋体"/>
                <w:color w:val="auto"/>
                <w:kern w:val="0"/>
                <w:sz w:val="28"/>
                <w:szCs w:val="28"/>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C0C7D3">
            <w:pPr>
              <w:widowControl/>
              <w:spacing w:line="360" w:lineRule="auto"/>
              <w:jc w:val="center"/>
              <w:rPr>
                <w:rFonts w:ascii="宋体" w:hAnsi="宋体" w:cs="宋体"/>
                <w:color w:val="auto"/>
                <w:kern w:val="0"/>
                <w:sz w:val="28"/>
                <w:szCs w:val="28"/>
              </w:rPr>
            </w:pPr>
          </w:p>
        </w:tc>
      </w:tr>
      <w:tr w14:paraId="5A099B9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1F7D2B">
            <w:pPr>
              <w:widowControl/>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1E00AB">
            <w:pPr>
              <w:widowControl/>
              <w:spacing w:line="360" w:lineRule="auto"/>
              <w:jc w:val="center"/>
              <w:rPr>
                <w:rFonts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20FF76">
            <w:pPr>
              <w:widowControl/>
              <w:spacing w:line="360" w:lineRule="auto"/>
              <w:jc w:val="center"/>
              <w:rPr>
                <w:rFonts w:ascii="宋体" w:hAnsi="宋体" w:cs="宋体"/>
                <w:color w:val="auto"/>
                <w:kern w:val="0"/>
                <w:sz w:val="28"/>
                <w:szCs w:val="28"/>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D823C1">
            <w:pPr>
              <w:widowControl/>
              <w:spacing w:line="360" w:lineRule="auto"/>
              <w:jc w:val="center"/>
              <w:rPr>
                <w:rFonts w:ascii="宋体" w:hAnsi="宋体" w:cs="宋体"/>
                <w:color w:val="auto"/>
                <w:kern w:val="0"/>
                <w:sz w:val="28"/>
                <w:szCs w:val="28"/>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CA03DC">
            <w:pPr>
              <w:widowControl/>
              <w:spacing w:line="360" w:lineRule="auto"/>
              <w:jc w:val="center"/>
              <w:rPr>
                <w:rFonts w:ascii="宋体" w:hAnsi="宋体" w:cs="宋体"/>
                <w:color w:val="auto"/>
                <w:kern w:val="0"/>
                <w:sz w:val="28"/>
                <w:szCs w:val="28"/>
              </w:rPr>
            </w:pPr>
          </w:p>
        </w:tc>
      </w:tr>
    </w:tbl>
    <w:p w14:paraId="79B64393">
      <w:pPr>
        <w:spacing w:line="360" w:lineRule="auto"/>
        <w:contextualSpacing/>
        <w:jc w:val="left"/>
        <w:rPr>
          <w:rFonts w:ascii="楷体" w:hAnsi="楷体" w:eastAsia="楷体" w:cs="宋体"/>
          <w:b/>
          <w:color w:val="auto"/>
          <w:sz w:val="24"/>
        </w:rPr>
      </w:pPr>
      <w:r>
        <w:rPr>
          <w:rFonts w:hint="eastAsia" w:ascii="楷体" w:hAnsi="楷体" w:eastAsia="楷体" w:cs="宋体"/>
          <w:b/>
          <w:color w:val="auto"/>
          <w:sz w:val="24"/>
        </w:rPr>
        <w:t>注：</w:t>
      </w:r>
    </w:p>
    <w:p w14:paraId="3581E1B4">
      <w:pPr>
        <w:spacing w:line="360" w:lineRule="auto"/>
        <w:ind w:firstLine="480" w:firstLineChars="200"/>
        <w:contextualSpacing/>
        <w:jc w:val="left"/>
        <w:rPr>
          <w:rFonts w:ascii="楷体" w:hAnsi="楷体" w:eastAsia="楷体" w:cs="宋体"/>
          <w:color w:val="auto"/>
          <w:sz w:val="24"/>
        </w:rPr>
      </w:pPr>
      <w:r>
        <w:rPr>
          <w:rFonts w:ascii="楷体" w:hAnsi="楷体" w:eastAsia="楷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8408B93">
      <w:pPr>
        <w:spacing w:line="360" w:lineRule="auto"/>
        <w:ind w:firstLine="480" w:firstLineChars="200"/>
        <w:contextualSpacing/>
        <w:jc w:val="left"/>
        <w:rPr>
          <w:rFonts w:ascii="楷体" w:hAnsi="楷体" w:eastAsia="楷体" w:cs="宋体"/>
          <w:color w:val="auto"/>
          <w:sz w:val="24"/>
        </w:rPr>
      </w:pPr>
      <w:r>
        <w:rPr>
          <w:rFonts w:ascii="楷体" w:hAnsi="楷体" w:eastAsia="楷体" w:cs="宋体"/>
          <w:color w:val="auto"/>
          <w:sz w:val="24"/>
        </w:rPr>
        <w:t>2.本表所指的控股关系仅限于直接控股关系，不包括间接的控股关系。公司实际控制人与公司之间的关系不属于本表所指的直接控股关系。</w:t>
      </w:r>
    </w:p>
    <w:p w14:paraId="5DED8EFA">
      <w:pPr>
        <w:spacing w:line="360" w:lineRule="auto"/>
        <w:ind w:firstLine="480" w:firstLineChars="200"/>
        <w:contextualSpacing/>
        <w:jc w:val="left"/>
        <w:rPr>
          <w:rFonts w:ascii="楷体" w:hAnsi="楷体" w:eastAsia="楷体" w:cs="宋体"/>
          <w:color w:val="auto"/>
          <w:sz w:val="24"/>
        </w:rPr>
      </w:pPr>
      <w:r>
        <w:rPr>
          <w:rFonts w:ascii="楷体" w:hAnsi="楷体" w:eastAsia="楷体" w:cs="宋体"/>
          <w:color w:val="auto"/>
          <w:sz w:val="24"/>
        </w:rPr>
        <w:t>3.供应商不存在直接控股股东的，则填“无”。</w:t>
      </w:r>
    </w:p>
    <w:p w14:paraId="56E4723D">
      <w:pPr>
        <w:spacing w:line="360" w:lineRule="auto"/>
        <w:ind w:firstLine="420" w:firstLineChars="200"/>
        <w:contextualSpacing/>
        <w:jc w:val="left"/>
        <w:rPr>
          <w:rFonts w:ascii="宋体" w:hAnsi="宋体" w:cs="宋体"/>
          <w:color w:val="auto"/>
          <w:szCs w:val="21"/>
        </w:rPr>
      </w:pPr>
    </w:p>
    <w:p w14:paraId="6DD47444">
      <w:pPr>
        <w:spacing w:line="360" w:lineRule="auto"/>
        <w:ind w:firstLine="560" w:firstLineChars="200"/>
        <w:contextualSpacing/>
        <w:jc w:val="left"/>
        <w:rPr>
          <w:rFonts w:ascii="宋体" w:hAnsi="宋体" w:cs="宋体"/>
          <w:color w:val="auto"/>
          <w:sz w:val="28"/>
          <w:szCs w:val="28"/>
        </w:rPr>
      </w:pPr>
    </w:p>
    <w:p w14:paraId="372BD8C7">
      <w:pPr>
        <w:spacing w:line="360" w:lineRule="auto"/>
        <w:contextualSpacing/>
        <w:jc w:val="center"/>
        <w:rPr>
          <w:rFonts w:ascii="宋体" w:hAnsi="宋体" w:cs="宋体"/>
          <w:color w:val="auto"/>
          <w:sz w:val="24"/>
          <w:u w:val="single"/>
        </w:rPr>
      </w:pPr>
      <w:r>
        <w:rPr>
          <w:rFonts w:hint="eastAsia" w:ascii="宋体" w:hAnsi="宋体" w:cs="宋体"/>
          <w:color w:val="auto"/>
          <w:sz w:val="24"/>
        </w:rPr>
        <w:t xml:space="preserve">        法定代表人或者委托代理人签字：</w:t>
      </w:r>
      <w:r>
        <w:rPr>
          <w:rFonts w:hint="eastAsia" w:ascii="宋体" w:hAnsi="宋体" w:cs="宋体"/>
          <w:color w:val="auto"/>
          <w:sz w:val="24"/>
          <w:u w:val="single"/>
        </w:rPr>
        <w:t xml:space="preserve">                    </w:t>
      </w:r>
    </w:p>
    <w:p w14:paraId="6ACC2474">
      <w:pPr>
        <w:spacing w:line="360" w:lineRule="auto"/>
        <w:ind w:firstLine="3120" w:firstLineChars="1300"/>
        <w:contextualSpacing/>
        <w:rPr>
          <w:rFonts w:ascii="宋体" w:hAnsi="宋体" w:cs="宋体"/>
          <w:color w:val="auto"/>
          <w:sz w:val="24"/>
          <w:u w:val="single"/>
        </w:rPr>
      </w:pPr>
      <w:r>
        <w:rPr>
          <w:rFonts w:hint="eastAsia" w:ascii="宋体" w:hAnsi="宋体" w:cs="宋体"/>
          <w:color w:val="auto"/>
          <w:sz w:val="24"/>
        </w:rPr>
        <w:t xml:space="preserve">供应商（公章 ）： </w:t>
      </w:r>
      <w:r>
        <w:rPr>
          <w:rFonts w:hint="eastAsia" w:ascii="宋体" w:hAnsi="宋体" w:cs="宋体"/>
          <w:color w:val="auto"/>
          <w:sz w:val="24"/>
          <w:u w:val="single"/>
        </w:rPr>
        <w:t xml:space="preserve">                              </w:t>
      </w:r>
    </w:p>
    <w:p w14:paraId="5A701EF1">
      <w:pPr>
        <w:spacing w:line="360" w:lineRule="auto"/>
        <w:ind w:firstLine="3120" w:firstLineChars="1300"/>
        <w:contextualSpacing/>
        <w:rPr>
          <w:rFonts w:ascii="宋体" w:hAnsi="宋体" w:cs="宋体"/>
          <w:b/>
          <w:color w:val="auto"/>
          <w:sz w:val="28"/>
          <w:szCs w:val="28"/>
        </w:rPr>
      </w:pPr>
      <w:r>
        <w:rPr>
          <w:rFonts w:hint="eastAsia" w:ascii="宋体" w:hAnsi="宋体" w:cs="宋体"/>
          <w:color w:val="auto"/>
          <w:sz w:val="24"/>
        </w:rPr>
        <w:t>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r>
        <w:rPr>
          <w:rFonts w:hint="eastAsia" w:ascii="宋体" w:hAnsi="宋体" w:cs="宋体"/>
          <w:b/>
          <w:color w:val="auto"/>
          <w:sz w:val="28"/>
          <w:szCs w:val="28"/>
        </w:rPr>
        <w:br w:type="page"/>
      </w:r>
    </w:p>
    <w:p w14:paraId="2A3BE519">
      <w:pPr>
        <w:snapToGrid w:val="0"/>
        <w:spacing w:line="360" w:lineRule="auto"/>
        <w:jc w:val="center"/>
        <w:rPr>
          <w:rFonts w:ascii="宋体" w:hAnsi="宋体" w:cs="宋体"/>
          <w:b/>
          <w:color w:val="auto"/>
          <w:sz w:val="32"/>
          <w:szCs w:val="32"/>
        </w:rPr>
      </w:pPr>
      <w:r>
        <w:rPr>
          <w:rFonts w:hint="eastAsia" w:ascii="宋体" w:hAnsi="宋体" w:cs="宋体"/>
          <w:b/>
          <w:color w:val="auto"/>
          <w:sz w:val="32"/>
          <w:szCs w:val="32"/>
        </w:rPr>
        <w:t>供应商直接管理关系信息表</w:t>
      </w:r>
    </w:p>
    <w:p w14:paraId="23E7C4D3">
      <w:pPr>
        <w:snapToGrid w:val="0"/>
        <w:spacing w:line="360" w:lineRule="auto"/>
        <w:jc w:val="center"/>
        <w:rPr>
          <w:rFonts w:ascii="宋体" w:hAnsi="宋体" w:cs="宋体"/>
          <w:b/>
          <w:color w:val="auto"/>
          <w:sz w:val="32"/>
          <w:szCs w:val="32"/>
        </w:rPr>
      </w:pPr>
    </w:p>
    <w:tbl>
      <w:tblPr>
        <w:tblStyle w:val="27"/>
        <w:tblW w:w="8942" w:type="dxa"/>
        <w:jc w:val="center"/>
        <w:shd w:val="clear" w:color="auto" w:fill="FBFBFB"/>
        <w:tblLayout w:type="fixed"/>
        <w:tblCellMar>
          <w:top w:w="0" w:type="dxa"/>
          <w:left w:w="0" w:type="dxa"/>
          <w:bottom w:w="0" w:type="dxa"/>
          <w:right w:w="0" w:type="dxa"/>
        </w:tblCellMar>
      </w:tblPr>
      <w:tblGrid>
        <w:gridCol w:w="808"/>
        <w:gridCol w:w="3600"/>
        <w:gridCol w:w="3555"/>
        <w:gridCol w:w="979"/>
      </w:tblGrid>
      <w:tr w14:paraId="50C96616">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85CE93">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1C3198">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A007FD7">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统一社会信用代码</w:t>
            </w:r>
          </w:p>
        </w:tc>
        <w:tc>
          <w:tcPr>
            <w:tcW w:w="9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9401278">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备注</w:t>
            </w:r>
          </w:p>
        </w:tc>
      </w:tr>
      <w:tr w14:paraId="43BE917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F39A07">
            <w:pPr>
              <w:widowControl/>
              <w:wordWrap w:val="0"/>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58EA32">
            <w:pPr>
              <w:widowControl/>
              <w:wordWrap w:val="0"/>
              <w:spacing w:line="360" w:lineRule="auto"/>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6B6A3C">
            <w:pPr>
              <w:widowControl/>
              <w:wordWrap w:val="0"/>
              <w:spacing w:line="360" w:lineRule="auto"/>
              <w:jc w:val="center"/>
              <w:rPr>
                <w:rFonts w:ascii="宋体" w:hAnsi="宋体" w:cs="宋体"/>
                <w:color w:val="auto"/>
                <w:kern w:val="0"/>
                <w:sz w:val="28"/>
                <w:szCs w:val="28"/>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70D667">
            <w:pPr>
              <w:widowControl/>
              <w:wordWrap w:val="0"/>
              <w:spacing w:line="360" w:lineRule="auto"/>
              <w:jc w:val="center"/>
              <w:rPr>
                <w:rFonts w:ascii="宋体" w:hAnsi="宋体" w:cs="宋体"/>
                <w:color w:val="auto"/>
                <w:kern w:val="0"/>
                <w:sz w:val="28"/>
                <w:szCs w:val="28"/>
              </w:rPr>
            </w:pPr>
          </w:p>
        </w:tc>
      </w:tr>
      <w:tr w14:paraId="5368ACD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FA7814">
            <w:pPr>
              <w:widowControl/>
              <w:wordWrap w:val="0"/>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1247DC">
            <w:pPr>
              <w:widowControl/>
              <w:wordWrap w:val="0"/>
              <w:spacing w:line="360" w:lineRule="auto"/>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C1DCC5">
            <w:pPr>
              <w:widowControl/>
              <w:wordWrap w:val="0"/>
              <w:spacing w:line="360" w:lineRule="auto"/>
              <w:jc w:val="center"/>
              <w:rPr>
                <w:rFonts w:ascii="宋体" w:hAnsi="宋体" w:cs="宋体"/>
                <w:color w:val="auto"/>
                <w:kern w:val="0"/>
                <w:sz w:val="28"/>
                <w:szCs w:val="28"/>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F81075">
            <w:pPr>
              <w:widowControl/>
              <w:wordWrap w:val="0"/>
              <w:spacing w:line="360" w:lineRule="auto"/>
              <w:jc w:val="center"/>
              <w:rPr>
                <w:rFonts w:ascii="宋体" w:hAnsi="宋体" w:cs="宋体"/>
                <w:color w:val="auto"/>
                <w:kern w:val="0"/>
                <w:sz w:val="28"/>
                <w:szCs w:val="28"/>
              </w:rPr>
            </w:pPr>
          </w:p>
        </w:tc>
      </w:tr>
      <w:tr w14:paraId="2B8F75C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A201D1">
            <w:pPr>
              <w:widowControl/>
              <w:wordWrap w:val="0"/>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0DE704">
            <w:pPr>
              <w:widowControl/>
              <w:wordWrap w:val="0"/>
              <w:spacing w:line="360" w:lineRule="auto"/>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22113A">
            <w:pPr>
              <w:widowControl/>
              <w:wordWrap w:val="0"/>
              <w:spacing w:line="360" w:lineRule="auto"/>
              <w:jc w:val="center"/>
              <w:rPr>
                <w:rFonts w:ascii="宋体" w:hAnsi="宋体" w:cs="宋体"/>
                <w:color w:val="auto"/>
                <w:kern w:val="0"/>
                <w:sz w:val="28"/>
                <w:szCs w:val="28"/>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7C1C98">
            <w:pPr>
              <w:widowControl/>
              <w:wordWrap w:val="0"/>
              <w:spacing w:line="360" w:lineRule="auto"/>
              <w:jc w:val="center"/>
              <w:rPr>
                <w:rFonts w:ascii="宋体" w:hAnsi="宋体" w:cs="宋体"/>
                <w:color w:val="auto"/>
                <w:kern w:val="0"/>
                <w:sz w:val="28"/>
                <w:szCs w:val="28"/>
              </w:rPr>
            </w:pPr>
          </w:p>
        </w:tc>
      </w:tr>
      <w:tr w14:paraId="60393A6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D1A39F">
            <w:pPr>
              <w:widowControl/>
              <w:wordWrap w:val="0"/>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DE6558">
            <w:pPr>
              <w:widowControl/>
              <w:wordWrap w:val="0"/>
              <w:spacing w:line="360" w:lineRule="auto"/>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E5952A">
            <w:pPr>
              <w:widowControl/>
              <w:wordWrap w:val="0"/>
              <w:spacing w:line="360" w:lineRule="auto"/>
              <w:jc w:val="center"/>
              <w:rPr>
                <w:rFonts w:ascii="宋体" w:hAnsi="宋体" w:cs="宋体"/>
                <w:color w:val="auto"/>
                <w:kern w:val="0"/>
                <w:sz w:val="28"/>
                <w:szCs w:val="28"/>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4D7509">
            <w:pPr>
              <w:widowControl/>
              <w:wordWrap w:val="0"/>
              <w:spacing w:line="360" w:lineRule="auto"/>
              <w:jc w:val="center"/>
              <w:rPr>
                <w:rFonts w:ascii="宋体" w:hAnsi="宋体" w:cs="宋体"/>
                <w:color w:val="auto"/>
                <w:kern w:val="0"/>
                <w:sz w:val="28"/>
                <w:szCs w:val="28"/>
              </w:rPr>
            </w:pPr>
          </w:p>
        </w:tc>
      </w:tr>
    </w:tbl>
    <w:p w14:paraId="56B2D42E">
      <w:pPr>
        <w:spacing w:line="360" w:lineRule="auto"/>
        <w:contextualSpacing/>
        <w:jc w:val="left"/>
        <w:rPr>
          <w:rFonts w:ascii="楷体" w:hAnsi="楷体" w:eastAsia="楷体" w:cs="宋体"/>
          <w:b/>
          <w:color w:val="auto"/>
          <w:sz w:val="24"/>
        </w:rPr>
      </w:pPr>
      <w:r>
        <w:rPr>
          <w:rFonts w:hint="eastAsia" w:ascii="楷体" w:hAnsi="楷体" w:eastAsia="楷体" w:cs="宋体"/>
          <w:b/>
          <w:color w:val="auto"/>
          <w:sz w:val="24"/>
        </w:rPr>
        <w:t>注：</w:t>
      </w:r>
    </w:p>
    <w:p w14:paraId="552CBB43">
      <w:pPr>
        <w:spacing w:line="360" w:lineRule="auto"/>
        <w:ind w:firstLine="480" w:firstLineChars="200"/>
        <w:contextualSpacing/>
        <w:jc w:val="left"/>
        <w:rPr>
          <w:rFonts w:ascii="楷体" w:hAnsi="楷体" w:eastAsia="楷体" w:cs="宋体"/>
          <w:color w:val="auto"/>
          <w:sz w:val="24"/>
        </w:rPr>
      </w:pPr>
      <w:r>
        <w:rPr>
          <w:rFonts w:ascii="楷体" w:hAnsi="楷体" w:eastAsia="楷体" w:cs="宋体"/>
          <w:color w:val="auto"/>
          <w:sz w:val="24"/>
        </w:rPr>
        <w:t>1.管理关系：是指不具有出资持股关系的其他单位之间存在的管理与被管理关系，如一些上下级关系的事业单位和团体组织。</w:t>
      </w:r>
    </w:p>
    <w:p w14:paraId="41AA7913">
      <w:pPr>
        <w:spacing w:line="360" w:lineRule="auto"/>
        <w:ind w:firstLine="480" w:firstLineChars="200"/>
        <w:contextualSpacing/>
        <w:jc w:val="left"/>
        <w:rPr>
          <w:rFonts w:ascii="楷体" w:hAnsi="楷体" w:eastAsia="楷体" w:cs="宋体"/>
          <w:color w:val="auto"/>
          <w:sz w:val="24"/>
        </w:rPr>
      </w:pPr>
      <w:r>
        <w:rPr>
          <w:rFonts w:ascii="楷体" w:hAnsi="楷体" w:eastAsia="楷体" w:cs="宋体"/>
          <w:color w:val="auto"/>
          <w:sz w:val="24"/>
        </w:rPr>
        <w:t>2.</w:t>
      </w:r>
      <w:r>
        <w:rPr>
          <w:rFonts w:hint="eastAsia" w:ascii="楷体" w:hAnsi="楷体" w:eastAsia="楷体" w:cs="宋体"/>
          <w:color w:val="auto"/>
          <w:spacing w:val="-6"/>
          <w:sz w:val="24"/>
        </w:rPr>
        <w:t>本表所指的管理关系仅限于直接管理关系，不包括间接的管理关系。</w:t>
      </w:r>
    </w:p>
    <w:p w14:paraId="27623175">
      <w:pPr>
        <w:spacing w:line="360" w:lineRule="auto"/>
        <w:ind w:firstLine="480" w:firstLineChars="200"/>
        <w:contextualSpacing/>
        <w:jc w:val="left"/>
        <w:rPr>
          <w:rFonts w:ascii="楷体" w:hAnsi="楷体" w:eastAsia="楷体" w:cs="宋体"/>
          <w:color w:val="auto"/>
          <w:sz w:val="24"/>
        </w:rPr>
      </w:pPr>
      <w:r>
        <w:rPr>
          <w:rFonts w:ascii="楷体" w:hAnsi="楷体" w:eastAsia="楷体" w:cs="宋体"/>
          <w:color w:val="auto"/>
          <w:sz w:val="24"/>
        </w:rPr>
        <w:t>3.供应商不存在直接管理关系的，则填“无”。</w:t>
      </w:r>
    </w:p>
    <w:p w14:paraId="60A1752A">
      <w:pPr>
        <w:spacing w:line="360" w:lineRule="auto"/>
        <w:contextualSpacing/>
        <w:jc w:val="left"/>
        <w:rPr>
          <w:rFonts w:ascii="宋体" w:hAnsi="宋体" w:cs="宋体"/>
          <w:color w:val="auto"/>
          <w:sz w:val="28"/>
          <w:szCs w:val="28"/>
        </w:rPr>
      </w:pPr>
    </w:p>
    <w:p w14:paraId="0BF67E5E">
      <w:pPr>
        <w:spacing w:line="360" w:lineRule="auto"/>
        <w:contextualSpacing/>
        <w:jc w:val="left"/>
        <w:rPr>
          <w:rFonts w:ascii="宋体" w:hAnsi="宋体" w:cs="宋体"/>
          <w:color w:val="auto"/>
          <w:sz w:val="28"/>
          <w:szCs w:val="28"/>
        </w:rPr>
      </w:pPr>
    </w:p>
    <w:p w14:paraId="166AF49C">
      <w:pPr>
        <w:spacing w:line="360" w:lineRule="auto"/>
        <w:contextualSpacing/>
        <w:jc w:val="left"/>
        <w:rPr>
          <w:rFonts w:ascii="宋体" w:hAnsi="宋体" w:cs="宋体"/>
          <w:color w:val="auto"/>
          <w:sz w:val="28"/>
          <w:szCs w:val="28"/>
        </w:rPr>
      </w:pPr>
    </w:p>
    <w:p w14:paraId="55007BEC">
      <w:pPr>
        <w:spacing w:line="360" w:lineRule="auto"/>
        <w:contextualSpacing/>
        <w:jc w:val="left"/>
        <w:rPr>
          <w:rFonts w:ascii="宋体" w:hAnsi="宋体" w:cs="宋体"/>
          <w:color w:val="auto"/>
          <w:sz w:val="28"/>
          <w:szCs w:val="28"/>
        </w:rPr>
      </w:pPr>
    </w:p>
    <w:p w14:paraId="540B8305">
      <w:pPr>
        <w:spacing w:line="360" w:lineRule="auto"/>
        <w:contextualSpacing/>
        <w:jc w:val="left"/>
        <w:rPr>
          <w:rFonts w:ascii="宋体" w:hAnsi="宋体" w:cs="宋体"/>
          <w:color w:val="auto"/>
          <w:sz w:val="28"/>
          <w:szCs w:val="28"/>
        </w:rPr>
      </w:pPr>
    </w:p>
    <w:p w14:paraId="7D8A13E2">
      <w:pPr>
        <w:spacing w:line="360" w:lineRule="auto"/>
        <w:contextualSpacing/>
        <w:jc w:val="left"/>
        <w:rPr>
          <w:rFonts w:ascii="宋体" w:hAnsi="宋体" w:cs="宋体"/>
          <w:color w:val="auto"/>
          <w:sz w:val="28"/>
          <w:szCs w:val="28"/>
        </w:rPr>
      </w:pPr>
    </w:p>
    <w:p w14:paraId="377CBC4A">
      <w:pPr>
        <w:spacing w:line="360" w:lineRule="auto"/>
        <w:contextualSpacing/>
        <w:jc w:val="center"/>
        <w:rPr>
          <w:rFonts w:ascii="宋体" w:hAnsi="宋体" w:cs="宋体"/>
          <w:color w:val="auto"/>
          <w:sz w:val="24"/>
          <w:u w:val="single"/>
        </w:rPr>
      </w:pPr>
      <w:r>
        <w:rPr>
          <w:rFonts w:hint="eastAsia" w:ascii="宋体" w:hAnsi="宋体" w:cs="宋体"/>
          <w:color w:val="auto"/>
          <w:sz w:val="24"/>
        </w:rPr>
        <w:t xml:space="preserve">              法定代表人或者委托代理人签字：</w:t>
      </w:r>
      <w:r>
        <w:rPr>
          <w:rFonts w:hint="eastAsia" w:ascii="宋体" w:hAnsi="宋体" w:cs="宋体"/>
          <w:color w:val="auto"/>
          <w:sz w:val="24"/>
          <w:u w:val="single"/>
        </w:rPr>
        <w:t xml:space="preserve">                   </w:t>
      </w:r>
    </w:p>
    <w:p w14:paraId="4D5C0807">
      <w:pPr>
        <w:spacing w:line="360" w:lineRule="auto"/>
        <w:ind w:firstLine="3600" w:firstLineChars="1500"/>
        <w:contextualSpacing/>
        <w:rPr>
          <w:rFonts w:ascii="宋体" w:hAnsi="宋体" w:cs="宋体"/>
          <w:color w:val="auto"/>
          <w:sz w:val="24"/>
        </w:rPr>
      </w:pPr>
      <w:r>
        <w:rPr>
          <w:rFonts w:hint="eastAsia" w:ascii="宋体" w:hAnsi="宋体" w:cs="宋体"/>
          <w:color w:val="auto"/>
          <w:sz w:val="24"/>
        </w:rPr>
        <w:t>供应商（公章）：</w:t>
      </w:r>
      <w:r>
        <w:rPr>
          <w:rFonts w:hint="eastAsia" w:ascii="宋体" w:hAnsi="宋体" w:cs="宋体"/>
          <w:color w:val="auto"/>
          <w:sz w:val="24"/>
          <w:u w:val="single"/>
        </w:rPr>
        <w:t xml:space="preserve">                </w:t>
      </w:r>
    </w:p>
    <w:p w14:paraId="3C3ADBFC">
      <w:pPr>
        <w:spacing w:line="360" w:lineRule="auto"/>
        <w:ind w:firstLine="240" w:firstLineChars="100"/>
        <w:contextualSpacing/>
        <w:jc w:val="center"/>
        <w:rPr>
          <w:rFonts w:ascii="宋体" w:hAnsi="宋体" w:cs="宋体"/>
          <w:color w:val="auto"/>
          <w:sz w:val="28"/>
          <w:szCs w:val="28"/>
        </w:rPr>
      </w:pPr>
      <w:r>
        <w:rPr>
          <w:rFonts w:hint="eastAsia" w:ascii="宋体" w:hAnsi="宋体" w:cs="宋体"/>
          <w:color w:val="auto"/>
          <w:sz w:val="24"/>
        </w:rPr>
        <w:t xml:space="preserve">        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71EE1B17">
      <w:pPr>
        <w:spacing w:line="360" w:lineRule="auto"/>
        <w:jc w:val="center"/>
        <w:rPr>
          <w:rFonts w:ascii="宋体" w:hAnsi="宋体" w:cs="宋体"/>
          <w:b/>
          <w:color w:val="auto"/>
          <w:sz w:val="32"/>
          <w:szCs w:val="32"/>
        </w:rPr>
      </w:pPr>
      <w:r>
        <w:rPr>
          <w:rFonts w:hint="eastAsia" w:ascii="宋体" w:hAnsi="宋体" w:cs="宋体"/>
          <w:b/>
          <w:color w:val="auto"/>
          <w:sz w:val="32"/>
          <w:szCs w:val="32"/>
        </w:rPr>
        <w:br w:type="page"/>
      </w:r>
      <w:r>
        <w:rPr>
          <w:rFonts w:hint="eastAsia" w:ascii="宋体" w:hAnsi="宋体" w:cs="宋体"/>
          <w:b/>
          <w:color w:val="auto"/>
          <w:sz w:val="32"/>
          <w:szCs w:val="32"/>
        </w:rPr>
        <w:t>参与竞争性谈判声明</w:t>
      </w:r>
    </w:p>
    <w:p w14:paraId="0AD3ADA4">
      <w:pPr>
        <w:spacing w:line="360" w:lineRule="auto"/>
        <w:jc w:val="center"/>
        <w:rPr>
          <w:rFonts w:ascii="宋体" w:hAnsi="宋体" w:cs="宋体"/>
          <w:color w:val="auto"/>
          <w:sz w:val="24"/>
          <w:szCs w:val="20"/>
        </w:rPr>
      </w:pPr>
    </w:p>
    <w:p w14:paraId="47225461">
      <w:pPr>
        <w:spacing w:line="360" w:lineRule="auto"/>
        <w:contextualSpacing/>
        <w:rPr>
          <w:rFonts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（采购人名称）</w:t>
      </w:r>
      <w:r>
        <w:rPr>
          <w:rFonts w:hint="eastAsia" w:ascii="宋体" w:hAnsi="宋体" w:cs="宋体"/>
          <w:color w:val="auto"/>
          <w:sz w:val="24"/>
        </w:rPr>
        <w:t>：</w:t>
      </w:r>
    </w:p>
    <w:p w14:paraId="2AD1F326">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w:t>
      </w: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w:t>
      </w:r>
      <w:r>
        <w:rPr>
          <w:rFonts w:hint="eastAsia" w:ascii="宋体" w:hAnsi="宋体" w:cs="宋体"/>
          <w:color w:val="auto"/>
          <w:sz w:val="24"/>
          <w:u w:val="single"/>
        </w:rPr>
        <w:t xml:space="preserve">                              </w:t>
      </w:r>
      <w:r>
        <w:rPr>
          <w:rFonts w:hint="eastAsia" w:ascii="宋体" w:hAnsi="宋体" w:cs="宋体"/>
          <w:color w:val="auto"/>
          <w:sz w:val="24"/>
        </w:rPr>
        <w:t>。</w:t>
      </w:r>
    </w:p>
    <w:p w14:paraId="126581B8">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w:t>
      </w:r>
      <w:r>
        <w:rPr>
          <w:rFonts w:hint="eastAsia" w:ascii="宋体" w:hAnsi="宋体" w:cs="宋体"/>
          <w:color w:val="auto"/>
          <w:sz w:val="24"/>
        </w:rPr>
        <w:t>项目的</w:t>
      </w:r>
      <w:r>
        <w:rPr>
          <w:rFonts w:hint="eastAsia" w:ascii="宋体" w:hAnsi="宋体" w:cs="宋体"/>
          <w:color w:val="auto"/>
          <w:sz w:val="24"/>
          <w:lang w:bidi="ar"/>
        </w:rPr>
        <w:t>竞争性谈判</w:t>
      </w:r>
      <w:r>
        <w:rPr>
          <w:rFonts w:hint="eastAsia" w:ascii="宋体" w:hAnsi="宋体" w:cs="宋体"/>
          <w:color w:val="auto"/>
          <w:sz w:val="24"/>
        </w:rPr>
        <w:t>，为便于贵方公正、择优地确定成交供应商及其参与</w:t>
      </w:r>
      <w:r>
        <w:rPr>
          <w:rFonts w:hint="eastAsia" w:ascii="宋体" w:hAnsi="宋体" w:cs="宋体"/>
          <w:color w:val="auto"/>
          <w:sz w:val="24"/>
          <w:lang w:bidi="ar"/>
        </w:rPr>
        <w:t>竞争性谈判的</w:t>
      </w:r>
      <w:r>
        <w:rPr>
          <w:rFonts w:hint="eastAsia" w:ascii="宋体" w:hAnsi="宋体" w:cs="宋体"/>
          <w:color w:val="auto"/>
          <w:sz w:val="24"/>
        </w:rPr>
        <w:t>产品和服务，我方就本次参与</w:t>
      </w:r>
      <w:r>
        <w:rPr>
          <w:rFonts w:hint="eastAsia" w:ascii="宋体" w:hAnsi="宋体" w:cs="宋体"/>
          <w:color w:val="auto"/>
          <w:sz w:val="24"/>
          <w:lang w:bidi="ar"/>
        </w:rPr>
        <w:t>竞争性谈判</w:t>
      </w:r>
      <w:r>
        <w:rPr>
          <w:rFonts w:hint="eastAsia" w:ascii="宋体" w:hAnsi="宋体" w:cs="宋体"/>
          <w:color w:val="auto"/>
          <w:sz w:val="24"/>
        </w:rPr>
        <w:t>有关事项郑重声明如下：</w:t>
      </w:r>
    </w:p>
    <w:p w14:paraId="795FCEEE">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1.我方向贵方提交的所有响应文件、资料都是准确的和真实的。</w:t>
      </w:r>
    </w:p>
    <w:p w14:paraId="78730460">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2.我方不是为本次采购项目提供整体设计、规范编制或者项目管理、监理、检测等服务的供应商。</w:t>
      </w:r>
    </w:p>
    <w:p w14:paraId="26F76E7A">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3.在此，我方宣布同意如下：</w:t>
      </w:r>
    </w:p>
    <w:p w14:paraId="03D73B8B">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（1）将按谈判文件的约定履行合同责任和义务；</w:t>
      </w:r>
    </w:p>
    <w:p w14:paraId="3E50B036">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（2）已详细审查全部谈判文件，包括补遗文件（如有）；</w:t>
      </w:r>
    </w:p>
    <w:p w14:paraId="6349B1B7">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（3）同意提供按照贵方可能要求的与谈判有关的一切数据或者资料；</w:t>
      </w:r>
    </w:p>
    <w:p w14:paraId="472139F5">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（4）响应谈判文件规定的</w:t>
      </w:r>
      <w:r>
        <w:rPr>
          <w:rFonts w:hint="eastAsia" w:ascii="宋体" w:hAnsi="宋体" w:cs="宋体"/>
          <w:color w:val="auto"/>
          <w:sz w:val="24"/>
          <w:lang w:bidi="ar"/>
        </w:rPr>
        <w:t>竞争性谈判</w:t>
      </w:r>
      <w:r>
        <w:rPr>
          <w:rFonts w:hint="eastAsia" w:ascii="宋体" w:hAnsi="宋体" w:cs="宋体"/>
          <w:color w:val="auto"/>
          <w:sz w:val="24"/>
        </w:rPr>
        <w:t>有效期。</w:t>
      </w:r>
    </w:p>
    <w:p w14:paraId="2B14C245">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4.我方承诺符合《中华人民共和国政府采购法》第二十二条规定：</w:t>
      </w:r>
    </w:p>
    <w:p w14:paraId="1D789D17">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（1）具有独立承担民事责任的能力；</w:t>
      </w:r>
    </w:p>
    <w:p w14:paraId="74E3F3F8">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（2）具有良好的商业信誉和健全的财务会计制度；</w:t>
      </w:r>
    </w:p>
    <w:p w14:paraId="76FAFF98">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（3）具有履行合同所必需的设备和专业技术能力；</w:t>
      </w:r>
    </w:p>
    <w:p w14:paraId="7BD6D82B">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（4）有依法缴纳税收和社会保障资金的良好记录；</w:t>
      </w:r>
    </w:p>
    <w:p w14:paraId="780E1EF5">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（5）参加政府采购活动前三年内，在经营活动中没有重大违法记录；</w:t>
      </w:r>
    </w:p>
    <w:p w14:paraId="0F2B0BEE">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（6）法律、行政法规规定的其他条件。</w:t>
      </w:r>
    </w:p>
    <w:p w14:paraId="507BE167">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4E8790E">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41EE9CF">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14:paraId="505D9FD3">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888E1CC">
      <w:pPr>
        <w:pStyle w:val="15"/>
        <w:spacing w:line="360" w:lineRule="auto"/>
        <w:ind w:firstLine="480" w:firstLineChars="200"/>
        <w:contextualSpacing/>
        <w:rPr>
          <w:rFonts w:hAnsi="宋体" w:cs="宋体"/>
          <w:color w:val="auto"/>
          <w:sz w:val="24"/>
          <w:szCs w:val="24"/>
          <w:u w:val="single"/>
        </w:rPr>
      </w:pPr>
      <w:r>
        <w:rPr>
          <w:rFonts w:hint="eastAsia" w:hAnsi="宋体" w:cs="宋体"/>
          <w:color w:val="auto"/>
          <w:sz w:val="24"/>
          <w:szCs w:val="24"/>
        </w:rPr>
        <w:t>7.与本谈判有关的一切正式往来信函请寄：</w:t>
      </w:r>
      <w:r>
        <w:rPr>
          <w:rFonts w:hint="eastAsia" w:hAnsi="宋体" w:cs="宋体"/>
          <w:color w:val="auto"/>
          <w:sz w:val="24"/>
          <w:szCs w:val="24"/>
          <w:u w:val="single"/>
        </w:rPr>
        <w:t xml:space="preserve">                  </w:t>
      </w:r>
      <w:r>
        <w:rPr>
          <w:rFonts w:hint="eastAsia" w:hAnsi="宋体" w:cs="宋体"/>
          <w:color w:val="auto"/>
          <w:sz w:val="24"/>
          <w:szCs w:val="24"/>
        </w:rPr>
        <w:t>邮政编码：</w:t>
      </w:r>
      <w:r>
        <w:rPr>
          <w:rFonts w:hint="eastAsia" w:hAnsi="宋体" w:cs="宋体"/>
          <w:color w:val="auto"/>
          <w:sz w:val="24"/>
          <w:szCs w:val="24"/>
          <w:u w:val="single"/>
        </w:rPr>
        <w:t xml:space="preserve">    </w:t>
      </w:r>
    </w:p>
    <w:p w14:paraId="3181E59C">
      <w:pPr>
        <w:pStyle w:val="15"/>
        <w:spacing w:line="360" w:lineRule="auto"/>
        <w:ind w:firstLine="480" w:firstLineChars="200"/>
        <w:contextualSpacing/>
        <w:rPr>
          <w:rFonts w:hAnsi="宋体" w:cs="宋体"/>
          <w:color w:val="auto"/>
          <w:sz w:val="24"/>
          <w:szCs w:val="24"/>
        </w:rPr>
      </w:pPr>
      <w:r>
        <w:rPr>
          <w:rFonts w:hint="eastAsia" w:hAnsi="宋体" w:cs="宋体"/>
          <w:color w:val="auto"/>
          <w:sz w:val="24"/>
          <w:szCs w:val="24"/>
        </w:rPr>
        <w:t>电话/传真：</w:t>
      </w:r>
      <w:r>
        <w:rPr>
          <w:rFonts w:hint="eastAsia" w:hAnsi="宋体" w:cs="宋体"/>
          <w:color w:val="auto"/>
          <w:sz w:val="24"/>
          <w:szCs w:val="24"/>
          <w:u w:val="single"/>
        </w:rPr>
        <w:t xml:space="preserve">                        </w:t>
      </w:r>
      <w:r>
        <w:rPr>
          <w:rFonts w:hint="eastAsia" w:hAnsi="宋体" w:cs="宋体"/>
          <w:color w:val="auto"/>
          <w:sz w:val="24"/>
          <w:szCs w:val="24"/>
        </w:rPr>
        <w:t xml:space="preserve"> 电子函件：</w:t>
      </w:r>
      <w:r>
        <w:rPr>
          <w:rFonts w:hint="eastAsia" w:hAnsi="宋体" w:cs="宋体"/>
          <w:color w:val="auto"/>
          <w:sz w:val="24"/>
          <w:szCs w:val="24"/>
          <w:u w:val="single"/>
        </w:rPr>
        <w:t xml:space="preserve">             </w:t>
      </w:r>
      <w:r>
        <w:rPr>
          <w:rFonts w:hint="eastAsia" w:hAnsi="宋体" w:cs="宋体"/>
          <w:color w:val="auto"/>
          <w:sz w:val="24"/>
          <w:szCs w:val="24"/>
        </w:rPr>
        <w:t xml:space="preserve">    </w:t>
      </w:r>
    </w:p>
    <w:p w14:paraId="5DB7A9A9">
      <w:pPr>
        <w:pStyle w:val="13"/>
        <w:tabs>
          <w:tab w:val="left" w:pos="939"/>
        </w:tabs>
        <w:spacing w:line="360" w:lineRule="auto"/>
        <w:ind w:left="0" w:leftChars="0" w:firstLine="360" w:firstLineChars="150"/>
        <w:rPr>
          <w:rFonts w:ascii="宋体" w:hAnsi="宋体" w:cs="宋体"/>
          <w:color w:val="auto"/>
          <w:sz w:val="24"/>
          <w:u w:val="single"/>
        </w:rPr>
      </w:pPr>
      <w:r>
        <w:rPr>
          <w:rFonts w:hint="eastAsia" w:ascii="宋体" w:hAnsi="宋体" w:cs="宋体"/>
          <w:color w:val="auto"/>
          <w:sz w:val="24"/>
        </w:rPr>
        <w:t>开户银行：</w:t>
      </w:r>
      <w:r>
        <w:rPr>
          <w:rFonts w:hint="eastAsia" w:ascii="宋体" w:hAnsi="宋体" w:cs="宋体"/>
          <w:color w:val="auto"/>
          <w:sz w:val="24"/>
          <w:u w:val="single"/>
        </w:rPr>
        <w:t xml:space="preserve">                         </w:t>
      </w:r>
      <w:r>
        <w:rPr>
          <w:rFonts w:hint="eastAsia" w:ascii="宋体" w:hAnsi="宋体" w:cs="宋体"/>
          <w:color w:val="auto"/>
          <w:sz w:val="24"/>
        </w:rPr>
        <w:t xml:space="preserve">  账号/行号：</w:t>
      </w:r>
      <w:r>
        <w:rPr>
          <w:rFonts w:hint="eastAsia" w:ascii="宋体" w:hAnsi="宋体" w:cs="宋体"/>
          <w:color w:val="auto"/>
          <w:sz w:val="24"/>
          <w:u w:val="single"/>
        </w:rPr>
        <w:t xml:space="preserve">           </w:t>
      </w:r>
    </w:p>
    <w:p w14:paraId="16D8892F">
      <w:pPr>
        <w:pStyle w:val="13"/>
        <w:tabs>
          <w:tab w:val="left" w:pos="939"/>
        </w:tabs>
        <w:spacing w:line="360" w:lineRule="auto"/>
        <w:ind w:left="0" w:leftChars="0" w:firstLine="360" w:firstLineChars="150"/>
        <w:rPr>
          <w:rFonts w:ascii="宋体" w:hAnsi="宋体" w:cs="宋体"/>
          <w:color w:val="auto"/>
          <w:sz w:val="24"/>
        </w:rPr>
      </w:pPr>
      <w:r>
        <w:rPr>
          <w:rFonts w:ascii="宋体" w:hAnsi="宋体" w:cs="宋体"/>
          <w:color w:val="auto"/>
          <w:sz w:val="24"/>
        </w:rPr>
        <w:t>8</w:t>
      </w:r>
      <w:r>
        <w:rPr>
          <w:rFonts w:hint="eastAsia" w:ascii="宋体" w:hAnsi="宋体" w:cs="宋体"/>
          <w:color w:val="auto"/>
          <w:sz w:val="24"/>
        </w:rPr>
        <w:t>.</w:t>
      </w:r>
      <w:r>
        <w:rPr>
          <w:rFonts w:ascii="宋体" w:hAnsi="宋体" w:cs="宋体"/>
          <w:color w:val="auto"/>
          <w:sz w:val="24"/>
        </w:rPr>
        <w:t>我方若</w:t>
      </w:r>
      <w:r>
        <w:rPr>
          <w:rFonts w:hint="eastAsia" w:ascii="宋体" w:hAnsi="宋体" w:cs="宋体"/>
          <w:color w:val="auto"/>
          <w:sz w:val="24"/>
        </w:rPr>
        <w:t>参与</w:t>
      </w:r>
      <w:r>
        <w:rPr>
          <w:rFonts w:hint="eastAsia" w:ascii="宋体" w:hAnsi="宋体" w:cs="宋体"/>
          <w:color w:val="auto"/>
          <w:sz w:val="24"/>
          <w:lang w:bidi="ar"/>
        </w:rPr>
        <w:t>竞争性谈判</w:t>
      </w:r>
      <w:r>
        <w:rPr>
          <w:rFonts w:hint="eastAsia" w:ascii="宋体" w:hAnsi="宋体" w:cs="宋体"/>
          <w:color w:val="auto"/>
          <w:sz w:val="24"/>
        </w:rPr>
        <w:t>成功</w:t>
      </w:r>
      <w:r>
        <w:rPr>
          <w:rFonts w:ascii="宋体" w:hAnsi="宋体" w:cs="宋体"/>
          <w:color w:val="auto"/>
          <w:sz w:val="24"/>
        </w:rPr>
        <w:t>，将采取</w:t>
      </w:r>
      <w:r>
        <w:rPr>
          <w:rFonts w:ascii="宋体" w:hAnsi="宋体" w:cs="宋体"/>
          <w:color w:val="auto"/>
          <w:sz w:val="24"/>
          <w:u w:val="single"/>
        </w:rPr>
        <w:t>      </w:t>
      </w:r>
      <w:r>
        <w:rPr>
          <w:rFonts w:ascii="宋体" w:hAnsi="宋体" w:cs="宋体"/>
          <w:color w:val="auto"/>
          <w:sz w:val="24"/>
        </w:rPr>
        <w:t>（</w:t>
      </w:r>
      <w:r>
        <w:rPr>
          <w:rFonts w:hint="eastAsia" w:ascii="宋体" w:hAnsi="宋体" w:cs="宋体"/>
          <w:color w:val="auto"/>
          <w:sz w:val="24"/>
        </w:rPr>
        <w:t>汽车、火车、飞机等</w:t>
      </w:r>
      <w:r>
        <w:rPr>
          <w:rFonts w:ascii="宋体" w:hAnsi="宋体" w:cs="宋体"/>
          <w:color w:val="auto"/>
          <w:sz w:val="24"/>
        </w:rPr>
        <w:t>）方式运输货物。</w:t>
      </w:r>
    </w:p>
    <w:p w14:paraId="4B1AF9E3">
      <w:pPr>
        <w:pStyle w:val="13"/>
        <w:tabs>
          <w:tab w:val="left" w:pos="939"/>
        </w:tabs>
        <w:spacing w:line="360" w:lineRule="auto"/>
        <w:ind w:left="0" w:leftChars="0" w:firstLine="360" w:firstLineChars="150"/>
        <w:rPr>
          <w:rFonts w:ascii="宋体" w:hAnsi="宋体" w:cs="宋体"/>
          <w:color w:val="auto"/>
          <w:sz w:val="24"/>
        </w:rPr>
      </w:pPr>
      <w:r>
        <w:rPr>
          <w:rFonts w:hint="eastAsia" w:ascii="宋体" w:hAnsi="宋体" w:cs="宋体"/>
          <w:color w:val="auto"/>
          <w:sz w:val="24"/>
        </w:rPr>
        <w:t>9</w:t>
      </w:r>
      <w:r>
        <w:rPr>
          <w:rFonts w:ascii="宋体" w:hAnsi="宋体" w:cs="宋体"/>
          <w:color w:val="auto"/>
          <w:sz w:val="24"/>
        </w:rPr>
        <w:t>.</w:t>
      </w:r>
      <w:r>
        <w:rPr>
          <w:rFonts w:hint="eastAsia" w:ascii="宋体" w:hAnsi="宋体" w:cs="宋体"/>
          <w:color w:val="auto"/>
          <w:sz w:val="24"/>
        </w:rPr>
        <w:t>我方若参与</w:t>
      </w:r>
      <w:r>
        <w:rPr>
          <w:rFonts w:hint="eastAsia" w:ascii="宋体" w:hAnsi="宋体" w:cs="宋体"/>
          <w:color w:val="auto"/>
          <w:sz w:val="24"/>
          <w:lang w:bidi="ar"/>
        </w:rPr>
        <w:t>竞争性谈判</w:t>
      </w:r>
      <w:r>
        <w:rPr>
          <w:rFonts w:hint="eastAsia" w:ascii="宋体" w:hAnsi="宋体" w:cs="宋体"/>
          <w:color w:val="auto"/>
          <w:sz w:val="24"/>
        </w:rPr>
        <w:t>成功，除非发生不可抗力，承诺与采购人及时签订《合同书》。如果放弃，自愿按照本文件之《供应商须知正文》第2</w:t>
      </w:r>
      <w:r>
        <w:rPr>
          <w:rFonts w:ascii="宋体" w:hAnsi="宋体" w:cs="宋体"/>
          <w:color w:val="auto"/>
          <w:sz w:val="24"/>
        </w:rPr>
        <w:t>7.5</w:t>
      </w:r>
      <w:r>
        <w:rPr>
          <w:rFonts w:hint="eastAsia" w:ascii="宋体" w:hAnsi="宋体" w:cs="宋体"/>
          <w:color w:val="auto"/>
          <w:sz w:val="24"/>
        </w:rPr>
        <w:t>条的要求承担法律责任和失信惩戒。</w:t>
      </w:r>
    </w:p>
    <w:p w14:paraId="157896C1">
      <w:pPr>
        <w:pStyle w:val="13"/>
        <w:tabs>
          <w:tab w:val="left" w:pos="939"/>
        </w:tabs>
        <w:spacing w:line="360" w:lineRule="auto"/>
        <w:ind w:left="0" w:leftChars="0" w:firstLine="360" w:firstLineChars="150"/>
        <w:rPr>
          <w:rFonts w:ascii="宋体" w:hAnsi="宋体" w:cs="宋体"/>
          <w:color w:val="auto"/>
          <w:sz w:val="24"/>
        </w:rPr>
      </w:pPr>
      <w:r>
        <w:rPr>
          <w:rFonts w:ascii="宋体" w:hAnsi="宋体" w:cs="宋体"/>
          <w:color w:val="auto"/>
          <w:sz w:val="24"/>
        </w:rPr>
        <w:t>10</w:t>
      </w:r>
      <w:r>
        <w:rPr>
          <w:rFonts w:hint="eastAsia" w:ascii="宋体" w:hAnsi="宋体" w:cs="宋体"/>
          <w:color w:val="auto"/>
          <w:sz w:val="24"/>
        </w:rPr>
        <w:t>.以上事项如有虚假或者隐瞒，我方愿意承担一切后果，并不再寻求任何旨在减轻或者免除法律责任的辩解。</w:t>
      </w:r>
    </w:p>
    <w:p w14:paraId="4EB92DD4">
      <w:pPr>
        <w:pStyle w:val="13"/>
        <w:tabs>
          <w:tab w:val="left" w:pos="939"/>
        </w:tabs>
        <w:spacing w:line="360" w:lineRule="auto"/>
        <w:ind w:left="0" w:leftChars="0" w:firstLine="360" w:firstLineChars="150"/>
        <w:rPr>
          <w:rFonts w:ascii="宋体" w:hAnsi="宋体" w:cs="宋体"/>
          <w:color w:val="auto"/>
          <w:szCs w:val="21"/>
        </w:rPr>
      </w:pPr>
      <w:r>
        <w:rPr>
          <w:rFonts w:hint="eastAsia" w:ascii="宋体" w:hAnsi="宋体" w:cs="宋体"/>
          <w:color w:val="auto"/>
          <w:sz w:val="24"/>
        </w:rPr>
        <w:t>特此承诺。</w:t>
      </w:r>
    </w:p>
    <w:p w14:paraId="77751183">
      <w:pPr>
        <w:spacing w:line="360" w:lineRule="auto"/>
        <w:contextualSpacing/>
        <w:jc w:val="left"/>
        <w:rPr>
          <w:rFonts w:ascii="楷体" w:hAnsi="楷体" w:eastAsia="楷体" w:cs="宋体"/>
          <w:b/>
          <w:color w:val="auto"/>
          <w:sz w:val="24"/>
        </w:rPr>
      </w:pPr>
      <w:r>
        <w:rPr>
          <w:rFonts w:hint="eastAsia" w:ascii="宋体" w:hAnsi="宋体" w:cs="宋体"/>
          <w:b/>
          <w:color w:val="auto"/>
          <w:sz w:val="24"/>
        </w:rPr>
        <w:t xml:space="preserve">   </w:t>
      </w:r>
      <w:r>
        <w:rPr>
          <w:rFonts w:hint="eastAsia" w:ascii="楷体" w:hAnsi="楷体" w:eastAsia="楷体" w:cs="宋体"/>
          <w:b/>
          <w:color w:val="auto"/>
          <w:sz w:val="24"/>
        </w:rPr>
        <w:t xml:space="preserve"> 注：如为联合体参与</w:t>
      </w:r>
      <w:r>
        <w:rPr>
          <w:rFonts w:hint="eastAsia" w:ascii="楷体" w:hAnsi="楷体" w:eastAsia="楷体" w:cs="宋体"/>
          <w:b/>
          <w:color w:val="auto"/>
          <w:sz w:val="24"/>
          <w:lang w:bidi="ar"/>
        </w:rPr>
        <w:t>竞争性谈判</w:t>
      </w:r>
      <w:r>
        <w:rPr>
          <w:rFonts w:hint="eastAsia" w:ascii="楷体" w:hAnsi="楷体" w:eastAsia="楷体" w:cs="宋体"/>
          <w:b/>
          <w:color w:val="auto"/>
          <w:sz w:val="24"/>
        </w:rPr>
        <w:t>，盖章处须加盖联合体各方公章并由联合体各方法定代表人分别签署，否则响应文件按无效响应处理。</w:t>
      </w:r>
    </w:p>
    <w:p w14:paraId="1744B244">
      <w:pPr>
        <w:spacing w:line="360" w:lineRule="auto"/>
        <w:contextualSpacing/>
        <w:jc w:val="left"/>
        <w:rPr>
          <w:rFonts w:ascii="宋体" w:hAnsi="宋体" w:cs="宋体"/>
          <w:color w:val="auto"/>
          <w:szCs w:val="21"/>
        </w:rPr>
      </w:pPr>
    </w:p>
    <w:p w14:paraId="21488A50">
      <w:pPr>
        <w:spacing w:line="360" w:lineRule="auto"/>
        <w:ind w:firstLine="4320" w:firstLineChars="1800"/>
        <w:contextualSpacing/>
        <w:rPr>
          <w:rFonts w:ascii="宋体" w:hAnsi="宋体" w:cs="宋体"/>
          <w:color w:val="auto"/>
          <w:sz w:val="24"/>
        </w:rPr>
      </w:pPr>
      <w:r>
        <w:rPr>
          <w:rFonts w:hint="eastAsia" w:ascii="宋体" w:hAnsi="宋体" w:cs="宋体"/>
          <w:color w:val="auto"/>
          <w:sz w:val="24"/>
        </w:rPr>
        <w:t>法定代表人（签字）：</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06E9AA9F">
      <w:pPr>
        <w:spacing w:line="360" w:lineRule="auto"/>
        <w:ind w:firstLine="4320" w:firstLineChars="1800"/>
        <w:contextualSpacing/>
        <w:rPr>
          <w:rFonts w:ascii="宋体" w:hAnsi="宋体" w:cs="宋体"/>
          <w:color w:val="auto"/>
          <w:sz w:val="24"/>
          <w:u w:val="single"/>
        </w:rPr>
      </w:pPr>
      <w:r>
        <w:rPr>
          <w:rFonts w:hint="eastAsia" w:ascii="宋体" w:hAnsi="宋体" w:cs="宋体"/>
          <w:color w:val="auto"/>
          <w:sz w:val="24"/>
        </w:rPr>
        <w:t>供应商（公章）：</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4BE11DDE">
      <w:pPr>
        <w:spacing w:line="360" w:lineRule="auto"/>
        <w:ind w:firstLine="240" w:firstLineChars="100"/>
        <w:contextualSpacing/>
        <w:jc w:val="center"/>
        <w:rPr>
          <w:rFonts w:ascii="宋体" w:hAnsi="宋体" w:cs="宋体"/>
          <w:b/>
          <w:color w:val="auto"/>
          <w:sz w:val="32"/>
          <w:szCs w:val="32"/>
        </w:rPr>
      </w:pPr>
      <w:r>
        <w:rPr>
          <w:rFonts w:hint="eastAsia" w:ascii="宋体" w:hAnsi="宋体" w:cs="宋体"/>
          <w:color w:val="auto"/>
          <w:sz w:val="24"/>
        </w:rPr>
        <w:t xml:space="preserve">                      日期： </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r>
        <w:rPr>
          <w:rFonts w:hint="eastAsia" w:ascii="宋体" w:hAnsi="宋体" w:cs="宋体"/>
          <w:color w:val="auto"/>
          <w:sz w:val="32"/>
          <w:szCs w:val="32"/>
        </w:rPr>
        <w:br w:type="page"/>
      </w:r>
      <w:r>
        <w:rPr>
          <w:rFonts w:hint="eastAsia" w:ascii="宋体" w:hAnsi="宋体" w:cs="宋体"/>
          <w:b/>
          <w:color w:val="auto"/>
          <w:sz w:val="32"/>
          <w:szCs w:val="32"/>
        </w:rPr>
        <w:t>联合体参与竞争性谈判协议书</w:t>
      </w:r>
    </w:p>
    <w:p w14:paraId="02F7D93F">
      <w:pPr>
        <w:pStyle w:val="7"/>
        <w:overflowPunct w:val="0"/>
        <w:spacing w:line="360" w:lineRule="auto"/>
        <w:ind w:firstLine="0"/>
        <w:contextualSpacing/>
        <w:rPr>
          <w:rFonts w:ascii="宋体" w:hAnsi="宋体" w:cs="宋体"/>
          <w:color w:val="auto"/>
          <w:sz w:val="24"/>
          <w:szCs w:val="24"/>
        </w:rPr>
      </w:pPr>
    </w:p>
    <w:p w14:paraId="25272E9C">
      <w:pPr>
        <w:pStyle w:val="7"/>
        <w:overflowPunct w:val="0"/>
        <w:spacing w:line="360" w:lineRule="auto"/>
        <w:ind w:firstLine="480" w:firstLineChars="200"/>
        <w:contextualSpacing/>
        <w:rPr>
          <w:rFonts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（所有成员单位名称）自愿组成</w:t>
      </w:r>
      <w:r>
        <w:rPr>
          <w:rFonts w:hint="eastAsia" w:ascii="宋体" w:hAnsi="宋体" w:cs="宋体"/>
          <w:color w:val="auto"/>
          <w:sz w:val="24"/>
          <w:szCs w:val="24"/>
          <w:u w:val="single"/>
        </w:rPr>
        <w:t xml:space="preserve">      </w:t>
      </w:r>
      <w:r>
        <w:rPr>
          <w:rFonts w:hint="eastAsia" w:ascii="宋体" w:hAnsi="宋体" w:cs="宋体"/>
          <w:color w:val="auto"/>
          <w:sz w:val="24"/>
          <w:szCs w:val="24"/>
        </w:rPr>
        <w:t>（联合体名称）联合体，共同参加</w:t>
      </w:r>
      <w:r>
        <w:rPr>
          <w:rFonts w:hint="eastAsia" w:ascii="宋体" w:hAnsi="宋体" w:cs="宋体"/>
          <w:color w:val="auto"/>
          <w:sz w:val="24"/>
          <w:szCs w:val="24"/>
          <w:u w:val="single"/>
        </w:rPr>
        <w:t xml:space="preserve">      </w:t>
      </w:r>
      <w:r>
        <w:rPr>
          <w:rFonts w:hint="eastAsia" w:ascii="宋体" w:hAnsi="宋体" w:cs="宋体"/>
          <w:color w:val="auto"/>
          <w:sz w:val="24"/>
          <w:szCs w:val="24"/>
        </w:rPr>
        <w:t>（项目名称）采购项目</w:t>
      </w:r>
      <w:r>
        <w:rPr>
          <w:rFonts w:hint="eastAsia" w:ascii="宋体" w:hAnsi="宋体" w:cs="宋体"/>
          <w:color w:val="auto"/>
          <w:sz w:val="24"/>
          <w:lang w:bidi="ar"/>
        </w:rPr>
        <w:t>竞争性谈判</w:t>
      </w:r>
      <w:r>
        <w:rPr>
          <w:rFonts w:hint="eastAsia" w:ascii="宋体" w:hAnsi="宋体" w:cs="宋体"/>
          <w:color w:val="auto"/>
          <w:sz w:val="24"/>
          <w:szCs w:val="24"/>
        </w:rPr>
        <w:t>。现就联合体参与</w:t>
      </w:r>
      <w:r>
        <w:rPr>
          <w:rFonts w:hint="eastAsia" w:ascii="宋体" w:hAnsi="宋体" w:cs="宋体"/>
          <w:color w:val="auto"/>
          <w:sz w:val="24"/>
          <w:lang w:bidi="ar"/>
        </w:rPr>
        <w:t>竞争性谈判</w:t>
      </w:r>
      <w:r>
        <w:rPr>
          <w:rFonts w:hint="eastAsia" w:ascii="宋体" w:hAnsi="宋体" w:cs="宋体"/>
          <w:color w:val="auto"/>
          <w:sz w:val="24"/>
          <w:szCs w:val="24"/>
        </w:rPr>
        <w:t>事宜订立如下协议。</w:t>
      </w:r>
    </w:p>
    <w:p w14:paraId="1A8766BA">
      <w:pPr>
        <w:pStyle w:val="7"/>
        <w:overflowPunct w:val="0"/>
        <w:spacing w:line="360" w:lineRule="auto"/>
        <w:ind w:firstLine="480" w:firstLineChars="200"/>
        <w:contextualSpacing/>
        <w:rPr>
          <w:rFonts w:ascii="宋体" w:hAnsi="宋体" w:cs="宋体"/>
          <w:color w:val="auto"/>
          <w:sz w:val="24"/>
          <w:szCs w:val="24"/>
        </w:rPr>
      </w:pPr>
      <w:r>
        <w:rPr>
          <w:rFonts w:hint="eastAsia" w:ascii="宋体" w:hAnsi="宋体" w:cs="宋体"/>
          <w:color w:val="auto"/>
          <w:sz w:val="24"/>
          <w:szCs w:val="24"/>
        </w:rPr>
        <w:t>1.</w:t>
      </w:r>
      <w:r>
        <w:rPr>
          <w:rFonts w:hint="eastAsia" w:ascii="宋体" w:hAnsi="宋体" w:cs="宋体"/>
          <w:color w:val="auto"/>
          <w:sz w:val="24"/>
          <w:szCs w:val="24"/>
          <w:u w:val="single"/>
        </w:rPr>
        <w:t xml:space="preserve"> </w:t>
      </w:r>
      <w:r>
        <w:rPr>
          <w:rFonts w:hint="eastAsia" w:ascii="宋体" w:hAnsi="宋体" w:cs="宋体"/>
          <w:color w:val="auto"/>
          <w:sz w:val="24"/>
          <w:szCs w:val="24"/>
          <w:u w:val="single"/>
        </w:rPr>
        <w:tab/>
      </w:r>
      <w:r>
        <w:rPr>
          <w:rFonts w:hint="eastAsia" w:ascii="宋体" w:hAnsi="宋体" w:cs="宋体"/>
          <w:color w:val="auto"/>
          <w:sz w:val="24"/>
          <w:szCs w:val="24"/>
          <w:u w:val="single"/>
        </w:rPr>
        <w:t xml:space="preserve">   </w:t>
      </w:r>
      <w:r>
        <w:rPr>
          <w:rFonts w:hint="eastAsia" w:ascii="宋体" w:hAnsi="宋体" w:cs="宋体"/>
          <w:color w:val="auto"/>
          <w:sz w:val="24"/>
          <w:szCs w:val="24"/>
        </w:rPr>
        <w:t>（某成员单位名称）为</w:t>
      </w:r>
      <w:r>
        <w:rPr>
          <w:rFonts w:hint="eastAsia" w:ascii="宋体" w:hAnsi="宋体" w:cs="宋体"/>
          <w:color w:val="auto"/>
          <w:sz w:val="24"/>
          <w:szCs w:val="24"/>
          <w:u w:val="single"/>
        </w:rPr>
        <w:t xml:space="preserve">     </w:t>
      </w:r>
      <w:r>
        <w:rPr>
          <w:rFonts w:hint="eastAsia" w:ascii="宋体" w:hAnsi="宋体" w:cs="宋体"/>
          <w:color w:val="auto"/>
          <w:sz w:val="24"/>
          <w:szCs w:val="24"/>
        </w:rPr>
        <w:t>（联合体名称）牵头人。</w:t>
      </w:r>
    </w:p>
    <w:p w14:paraId="0F4BC6B0">
      <w:pPr>
        <w:pStyle w:val="7"/>
        <w:overflowPunct w:val="0"/>
        <w:spacing w:line="360" w:lineRule="auto"/>
        <w:ind w:firstLine="480" w:firstLineChars="200"/>
        <w:contextualSpacing/>
        <w:rPr>
          <w:rFonts w:ascii="宋体" w:hAnsi="宋体" w:cs="宋体"/>
          <w:color w:val="auto"/>
          <w:sz w:val="24"/>
          <w:szCs w:val="24"/>
        </w:rPr>
      </w:pPr>
      <w:r>
        <w:rPr>
          <w:rFonts w:hint="eastAsia" w:ascii="宋体" w:hAnsi="宋体" w:cs="宋体"/>
          <w:color w:val="auto"/>
          <w:sz w:val="24"/>
          <w:szCs w:val="24"/>
        </w:rPr>
        <w:t>2.联合体各成员授权牵头人代表联合体参加</w:t>
      </w:r>
      <w:r>
        <w:rPr>
          <w:rFonts w:hint="eastAsia" w:ascii="宋体" w:hAnsi="宋体" w:cs="宋体"/>
          <w:color w:val="auto"/>
          <w:sz w:val="24"/>
          <w:lang w:bidi="ar"/>
        </w:rPr>
        <w:t>竞争性谈判</w:t>
      </w:r>
      <w:r>
        <w:rPr>
          <w:rFonts w:hint="eastAsia" w:ascii="宋体" w:hAnsi="宋体" w:cs="宋体"/>
          <w:color w:val="auto"/>
          <w:sz w:val="24"/>
          <w:szCs w:val="24"/>
        </w:rPr>
        <w:t>活动，签署文件及对文件的盖章，提交和接收相关的资料、信息及指示，进行合同谈判活动，负责合同实施阶段的组织和协调工作，以及处理与本</w:t>
      </w:r>
      <w:r>
        <w:rPr>
          <w:rFonts w:hint="eastAsia" w:ascii="宋体" w:hAnsi="宋体" w:cs="宋体"/>
          <w:color w:val="auto"/>
          <w:sz w:val="24"/>
          <w:lang w:bidi="ar"/>
        </w:rPr>
        <w:t>竞争性谈判</w:t>
      </w:r>
      <w:r>
        <w:rPr>
          <w:rFonts w:hint="eastAsia" w:ascii="宋体" w:hAnsi="宋体" w:cs="宋体"/>
          <w:color w:val="auto"/>
          <w:sz w:val="24"/>
          <w:szCs w:val="24"/>
        </w:rPr>
        <w:t>项目有关的一切事宜。</w:t>
      </w:r>
    </w:p>
    <w:p w14:paraId="290ED7EF">
      <w:pPr>
        <w:pStyle w:val="7"/>
        <w:overflowPunct w:val="0"/>
        <w:spacing w:line="360" w:lineRule="auto"/>
        <w:ind w:firstLine="480" w:firstLineChars="200"/>
        <w:contextualSpacing/>
        <w:rPr>
          <w:rFonts w:ascii="宋体" w:hAnsi="宋体" w:cs="宋体"/>
          <w:color w:val="auto"/>
          <w:sz w:val="24"/>
          <w:szCs w:val="24"/>
        </w:rPr>
      </w:pPr>
      <w:r>
        <w:rPr>
          <w:rFonts w:hint="eastAsia" w:ascii="宋体" w:hAnsi="宋体" w:cs="宋体"/>
          <w:color w:val="auto"/>
          <w:sz w:val="24"/>
          <w:szCs w:val="24"/>
        </w:rPr>
        <w:t>3.联合体牵头人在本项目中签署和盖章的一切文件和处理的一切事宜，联合体各成员均予以承认。联合体各成员将严格按照谈判文件、响应文件和合同的要求全面履行义务，并向采购人承担连带责任。</w:t>
      </w:r>
    </w:p>
    <w:p w14:paraId="694612DB">
      <w:pPr>
        <w:pStyle w:val="7"/>
        <w:overflowPunct w:val="0"/>
        <w:spacing w:line="360" w:lineRule="auto"/>
        <w:ind w:firstLine="480" w:firstLineChars="200"/>
        <w:contextualSpacing/>
        <w:rPr>
          <w:rFonts w:ascii="宋体" w:hAnsi="宋体" w:cs="宋体"/>
          <w:color w:val="auto"/>
          <w:sz w:val="24"/>
          <w:szCs w:val="24"/>
        </w:rPr>
      </w:pPr>
      <w:r>
        <w:rPr>
          <w:rFonts w:hint="eastAsia" w:ascii="宋体" w:hAnsi="宋体" w:cs="宋体"/>
          <w:color w:val="auto"/>
          <w:sz w:val="24"/>
          <w:szCs w:val="24"/>
        </w:rPr>
        <w:t>4.联合体各成员单位内部的职责分工如下：</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4C0B0A86">
      <w:pPr>
        <w:pStyle w:val="7"/>
        <w:overflowPunct w:val="0"/>
        <w:spacing w:line="360" w:lineRule="auto"/>
        <w:ind w:firstLine="480" w:firstLineChars="200"/>
        <w:contextualSpacing/>
        <w:rPr>
          <w:rFonts w:ascii="宋体" w:hAnsi="宋体" w:cs="宋体"/>
          <w:color w:val="auto"/>
          <w:sz w:val="24"/>
          <w:szCs w:val="24"/>
        </w:rPr>
      </w:pPr>
      <w:r>
        <w:rPr>
          <w:rFonts w:hint="eastAsia" w:ascii="宋体" w:hAnsi="宋体" w:cs="宋体"/>
          <w:color w:val="auto"/>
          <w:sz w:val="24"/>
          <w:szCs w:val="24"/>
        </w:rPr>
        <w:t>5.本</w:t>
      </w:r>
      <w:r>
        <w:rPr>
          <w:rFonts w:hint="eastAsia" w:ascii="宋体" w:hAnsi="宋体" w:cs="宋体"/>
          <w:color w:val="auto"/>
          <w:spacing w:val="-6"/>
          <w:sz w:val="24"/>
          <w:szCs w:val="24"/>
        </w:rPr>
        <w:t>协议书自所有成员单位法定代表人或者其委托代理人签字或者盖单位章之日起生效，合同履行完毕后自动失效。</w:t>
      </w:r>
    </w:p>
    <w:p w14:paraId="490E8587">
      <w:pPr>
        <w:pStyle w:val="7"/>
        <w:overflowPunct w:val="0"/>
        <w:spacing w:line="360" w:lineRule="auto"/>
        <w:ind w:firstLine="480" w:firstLineChars="200"/>
        <w:contextualSpacing/>
        <w:rPr>
          <w:rFonts w:ascii="宋体" w:hAnsi="宋体" w:cs="宋体"/>
          <w:color w:val="auto"/>
          <w:sz w:val="24"/>
          <w:szCs w:val="24"/>
        </w:rPr>
      </w:pPr>
      <w:r>
        <w:rPr>
          <w:rFonts w:hint="eastAsia" w:ascii="宋体" w:hAnsi="宋体" w:cs="宋体"/>
          <w:color w:val="auto"/>
          <w:sz w:val="24"/>
          <w:szCs w:val="24"/>
        </w:rPr>
        <w:t>6.本协议书一式</w:t>
      </w:r>
      <w:r>
        <w:rPr>
          <w:rFonts w:hint="eastAsia" w:ascii="宋体" w:hAnsi="宋体" w:cs="宋体"/>
          <w:color w:val="auto"/>
          <w:sz w:val="24"/>
          <w:szCs w:val="24"/>
          <w:u w:val="single"/>
        </w:rPr>
        <w:t xml:space="preserve"> </w:t>
      </w:r>
      <w:r>
        <w:rPr>
          <w:rFonts w:hint="eastAsia" w:ascii="宋体" w:hAnsi="宋体" w:cs="宋体"/>
          <w:color w:val="auto"/>
          <w:sz w:val="24"/>
          <w:szCs w:val="24"/>
          <w:u w:val="single"/>
        </w:rPr>
        <w:tab/>
      </w:r>
      <w:r>
        <w:rPr>
          <w:rFonts w:hint="eastAsia" w:ascii="宋体" w:hAnsi="宋体" w:cs="宋体"/>
          <w:color w:val="auto"/>
          <w:sz w:val="24"/>
          <w:szCs w:val="24"/>
        </w:rPr>
        <w:t>份，联合体成员和采购人各执壹份。</w:t>
      </w:r>
    </w:p>
    <w:p w14:paraId="25FAD618">
      <w:pPr>
        <w:pStyle w:val="7"/>
        <w:overflowPunct w:val="0"/>
        <w:spacing w:line="360" w:lineRule="auto"/>
        <w:ind w:firstLine="480" w:firstLineChars="200"/>
        <w:contextualSpacing/>
        <w:rPr>
          <w:rFonts w:ascii="宋体" w:hAnsi="宋体" w:cs="宋体"/>
          <w:color w:val="auto"/>
          <w:sz w:val="24"/>
          <w:szCs w:val="24"/>
        </w:rPr>
      </w:pPr>
      <w:r>
        <w:rPr>
          <w:rFonts w:hint="eastAsia" w:ascii="宋体" w:hAnsi="宋体" w:cs="宋体"/>
          <w:color w:val="auto"/>
          <w:sz w:val="24"/>
          <w:szCs w:val="24"/>
        </w:rPr>
        <w:t>注：本协议书由法定代表人签字的，应附法定代表人身份证明；由委托代理人签字的，应附联合体协议签订授权委托书（格式自拟）。</w:t>
      </w:r>
    </w:p>
    <w:p w14:paraId="0FE71555">
      <w:pPr>
        <w:pStyle w:val="7"/>
        <w:overflowPunct w:val="0"/>
        <w:spacing w:line="360" w:lineRule="auto"/>
        <w:ind w:firstLineChars="175"/>
        <w:contextualSpacing/>
        <w:rPr>
          <w:rFonts w:ascii="宋体" w:hAnsi="宋体" w:cs="宋体"/>
          <w:color w:val="auto"/>
          <w:sz w:val="24"/>
          <w:szCs w:val="24"/>
        </w:rPr>
      </w:pPr>
    </w:p>
    <w:p w14:paraId="3E92ADDD">
      <w:pPr>
        <w:pStyle w:val="7"/>
        <w:overflowPunct w:val="0"/>
        <w:spacing w:line="360" w:lineRule="auto"/>
        <w:ind w:firstLine="0"/>
        <w:contextualSpacing/>
        <w:rPr>
          <w:rFonts w:ascii="宋体" w:hAnsi="宋体" w:cs="宋体"/>
          <w:color w:val="auto"/>
          <w:sz w:val="24"/>
          <w:szCs w:val="24"/>
          <w:u w:val="single"/>
        </w:rPr>
      </w:pPr>
      <w:r>
        <w:rPr>
          <w:rFonts w:hint="eastAsia" w:ascii="宋体" w:hAnsi="宋体" w:cs="宋体"/>
          <w:color w:val="auto"/>
          <w:sz w:val="24"/>
          <w:szCs w:val="24"/>
        </w:rPr>
        <w:t>联合体牵头人名称（公章）：</w:t>
      </w:r>
      <w:r>
        <w:rPr>
          <w:rFonts w:hint="eastAsia" w:ascii="宋体" w:hAnsi="宋体" w:cs="宋体"/>
          <w:color w:val="auto"/>
          <w:sz w:val="24"/>
          <w:szCs w:val="24"/>
          <w:u w:val="single"/>
        </w:rPr>
        <w:t xml:space="preserve"> </w:t>
      </w:r>
      <w:r>
        <w:rPr>
          <w:rFonts w:ascii="宋体" w:hAnsi="宋体" w:cs="宋体"/>
          <w:color w:val="auto"/>
          <w:sz w:val="24"/>
          <w:szCs w:val="24"/>
          <w:u w:val="single"/>
        </w:rPr>
        <w:t xml:space="preserve">               </w:t>
      </w:r>
    </w:p>
    <w:p w14:paraId="41004311">
      <w:pPr>
        <w:pStyle w:val="7"/>
        <w:overflowPunct w:val="0"/>
        <w:spacing w:line="360" w:lineRule="auto"/>
        <w:ind w:firstLine="0"/>
        <w:contextualSpacing/>
        <w:rPr>
          <w:rFonts w:ascii="宋体" w:hAnsi="宋体" w:cs="宋体"/>
          <w:color w:val="auto"/>
          <w:sz w:val="24"/>
          <w:szCs w:val="24"/>
          <w:u w:val="single"/>
        </w:rPr>
      </w:pPr>
      <w:r>
        <w:rPr>
          <w:rFonts w:hint="eastAsia" w:ascii="宋体" w:hAnsi="宋体" w:cs="宋体"/>
          <w:color w:val="auto"/>
          <w:sz w:val="24"/>
          <w:szCs w:val="24"/>
        </w:rPr>
        <w:t>法定代表人或者其委托代理人（签字）：</w:t>
      </w:r>
      <w:r>
        <w:rPr>
          <w:rFonts w:hint="eastAsia" w:ascii="宋体" w:hAnsi="宋体" w:cs="宋体"/>
          <w:color w:val="auto"/>
          <w:sz w:val="24"/>
          <w:szCs w:val="24"/>
          <w:u w:val="single"/>
        </w:rPr>
        <w:t xml:space="preserve"> </w:t>
      </w:r>
      <w:r>
        <w:rPr>
          <w:rFonts w:ascii="宋体" w:hAnsi="宋体" w:cs="宋体"/>
          <w:color w:val="auto"/>
          <w:sz w:val="24"/>
          <w:szCs w:val="24"/>
          <w:u w:val="single"/>
        </w:rPr>
        <w:t xml:space="preserve">               </w:t>
      </w:r>
    </w:p>
    <w:p w14:paraId="1FC4B1DD">
      <w:pPr>
        <w:pStyle w:val="7"/>
        <w:overflowPunct w:val="0"/>
        <w:spacing w:line="360" w:lineRule="auto"/>
        <w:ind w:firstLine="0"/>
        <w:contextualSpacing/>
        <w:rPr>
          <w:rFonts w:ascii="宋体" w:hAnsi="宋体" w:cs="宋体"/>
          <w:color w:val="auto"/>
          <w:sz w:val="24"/>
          <w:szCs w:val="24"/>
        </w:rPr>
      </w:pPr>
    </w:p>
    <w:p w14:paraId="4144F9B8">
      <w:pPr>
        <w:pStyle w:val="7"/>
        <w:overflowPunct w:val="0"/>
        <w:spacing w:line="360" w:lineRule="auto"/>
        <w:ind w:firstLine="0"/>
        <w:contextualSpacing/>
        <w:rPr>
          <w:rFonts w:ascii="宋体" w:hAnsi="宋体" w:cs="宋体"/>
          <w:color w:val="auto"/>
          <w:sz w:val="24"/>
          <w:szCs w:val="24"/>
          <w:u w:val="single"/>
        </w:rPr>
      </w:pPr>
      <w:r>
        <w:rPr>
          <w:rFonts w:hint="eastAsia" w:ascii="宋体" w:hAnsi="宋体" w:cs="宋体"/>
          <w:color w:val="auto"/>
          <w:sz w:val="24"/>
          <w:szCs w:val="24"/>
        </w:rPr>
        <w:t>联合体成员名称（公章）：</w:t>
      </w:r>
      <w:r>
        <w:rPr>
          <w:rFonts w:ascii="宋体" w:hAnsi="宋体" w:cs="宋体"/>
          <w:color w:val="auto"/>
          <w:sz w:val="24"/>
          <w:szCs w:val="24"/>
          <w:u w:val="single"/>
        </w:rPr>
        <w:t xml:space="preserve">               </w:t>
      </w:r>
    </w:p>
    <w:p w14:paraId="2EF78127">
      <w:pPr>
        <w:pStyle w:val="7"/>
        <w:overflowPunct w:val="0"/>
        <w:spacing w:line="360" w:lineRule="auto"/>
        <w:ind w:firstLine="0"/>
        <w:contextualSpacing/>
        <w:rPr>
          <w:rFonts w:ascii="宋体" w:hAnsi="宋体" w:cs="宋体"/>
          <w:color w:val="auto"/>
          <w:sz w:val="24"/>
          <w:szCs w:val="24"/>
          <w:u w:val="single"/>
        </w:rPr>
      </w:pPr>
      <w:r>
        <w:rPr>
          <w:rFonts w:hint="eastAsia" w:ascii="宋体" w:hAnsi="宋体" w:cs="宋体"/>
          <w:color w:val="auto"/>
          <w:sz w:val="24"/>
          <w:szCs w:val="24"/>
        </w:rPr>
        <w:t>法定代表人或者其委托代理人（签字）：</w:t>
      </w:r>
      <w:r>
        <w:rPr>
          <w:rFonts w:hint="eastAsia" w:ascii="宋体" w:hAnsi="宋体" w:cs="宋体"/>
          <w:color w:val="auto"/>
          <w:sz w:val="24"/>
          <w:szCs w:val="24"/>
          <w:u w:val="single"/>
        </w:rPr>
        <w:t xml:space="preserve"> </w:t>
      </w:r>
      <w:r>
        <w:rPr>
          <w:rFonts w:ascii="宋体" w:hAnsi="宋体" w:cs="宋体"/>
          <w:color w:val="auto"/>
          <w:sz w:val="24"/>
          <w:szCs w:val="24"/>
          <w:u w:val="single"/>
        </w:rPr>
        <w:t xml:space="preserve">              </w:t>
      </w:r>
    </w:p>
    <w:p w14:paraId="7CFC03C3">
      <w:pPr>
        <w:pStyle w:val="7"/>
        <w:overflowPunct w:val="0"/>
        <w:spacing w:line="360" w:lineRule="auto"/>
        <w:ind w:firstLine="0"/>
        <w:contextualSpacing/>
        <w:rPr>
          <w:rFonts w:ascii="宋体" w:hAnsi="宋体" w:cs="宋体"/>
          <w:color w:val="auto"/>
          <w:sz w:val="24"/>
          <w:szCs w:val="24"/>
        </w:rPr>
      </w:pPr>
    </w:p>
    <w:p w14:paraId="1BA9360A">
      <w:pPr>
        <w:pStyle w:val="7"/>
        <w:overflowPunct w:val="0"/>
        <w:spacing w:line="360" w:lineRule="auto"/>
        <w:ind w:firstLine="0"/>
        <w:contextualSpacing/>
        <w:rPr>
          <w:rFonts w:ascii="宋体" w:hAnsi="宋体" w:cs="宋体"/>
          <w:color w:val="auto"/>
          <w:sz w:val="24"/>
          <w:szCs w:val="24"/>
          <w:u w:val="single"/>
        </w:rPr>
      </w:pPr>
      <w:r>
        <w:rPr>
          <w:rFonts w:hint="eastAsia" w:ascii="宋体" w:hAnsi="宋体" w:cs="宋体"/>
          <w:color w:val="auto"/>
          <w:sz w:val="24"/>
          <w:szCs w:val="24"/>
        </w:rPr>
        <w:t>联合体成员名称（公章）：</w:t>
      </w:r>
      <w:r>
        <w:rPr>
          <w:rFonts w:hint="eastAsia" w:ascii="宋体" w:hAnsi="宋体" w:cs="宋体"/>
          <w:color w:val="auto"/>
          <w:sz w:val="24"/>
          <w:szCs w:val="24"/>
          <w:u w:val="single"/>
        </w:rPr>
        <w:t xml:space="preserve"> </w:t>
      </w:r>
      <w:r>
        <w:rPr>
          <w:rFonts w:ascii="宋体" w:hAnsi="宋体" w:cs="宋体"/>
          <w:color w:val="auto"/>
          <w:sz w:val="24"/>
          <w:szCs w:val="24"/>
          <w:u w:val="single"/>
        </w:rPr>
        <w:t xml:space="preserve">                </w:t>
      </w:r>
    </w:p>
    <w:p w14:paraId="24F80288">
      <w:pPr>
        <w:pStyle w:val="7"/>
        <w:overflowPunct w:val="0"/>
        <w:spacing w:line="360" w:lineRule="auto"/>
        <w:ind w:firstLine="0"/>
        <w:contextualSpacing/>
        <w:rPr>
          <w:rFonts w:ascii="宋体" w:hAnsi="宋体" w:cs="宋体"/>
          <w:color w:val="auto"/>
          <w:sz w:val="24"/>
          <w:szCs w:val="24"/>
          <w:u w:val="single"/>
        </w:rPr>
      </w:pPr>
      <w:r>
        <w:rPr>
          <w:rFonts w:hint="eastAsia" w:ascii="宋体" w:hAnsi="宋体" w:cs="宋体"/>
          <w:color w:val="auto"/>
          <w:sz w:val="24"/>
          <w:szCs w:val="24"/>
        </w:rPr>
        <w:t>法定代表人或者其委托代理人（签字）：</w:t>
      </w:r>
      <w:r>
        <w:rPr>
          <w:rFonts w:hint="eastAsia" w:ascii="宋体" w:hAnsi="宋体" w:cs="宋体"/>
          <w:color w:val="auto"/>
          <w:sz w:val="24"/>
          <w:szCs w:val="24"/>
          <w:u w:val="single"/>
        </w:rPr>
        <w:t xml:space="preserve"> </w:t>
      </w:r>
      <w:r>
        <w:rPr>
          <w:rFonts w:ascii="宋体" w:hAnsi="宋体" w:cs="宋体"/>
          <w:color w:val="auto"/>
          <w:sz w:val="24"/>
          <w:szCs w:val="24"/>
          <w:u w:val="single"/>
        </w:rPr>
        <w:t xml:space="preserve">             </w:t>
      </w:r>
    </w:p>
    <w:p w14:paraId="211D531D">
      <w:pPr>
        <w:pStyle w:val="7"/>
        <w:overflowPunct w:val="0"/>
        <w:spacing w:line="360" w:lineRule="auto"/>
        <w:ind w:firstLine="0"/>
        <w:contextualSpacing/>
        <w:rPr>
          <w:rFonts w:ascii="宋体" w:hAnsi="宋体" w:cs="宋体"/>
          <w:color w:val="auto"/>
          <w:sz w:val="24"/>
          <w:szCs w:val="24"/>
        </w:rPr>
      </w:pPr>
      <w:r>
        <w:rPr>
          <w:rFonts w:hint="eastAsia" w:ascii="宋体" w:hAnsi="宋体" w:cs="宋体"/>
          <w:color w:val="auto"/>
          <w:sz w:val="24"/>
          <w:szCs w:val="24"/>
        </w:rPr>
        <w:t>……</w:t>
      </w:r>
    </w:p>
    <w:p w14:paraId="0448D1FB">
      <w:pPr>
        <w:spacing w:line="360" w:lineRule="auto"/>
        <w:contextualSpacing/>
        <w:jc w:val="right"/>
        <w:rPr>
          <w:rFonts w:ascii="宋体" w:hAnsi="宋体" w:cs="宋体"/>
          <w:color w:val="auto"/>
          <w:sz w:val="24"/>
        </w:rPr>
      </w:pPr>
      <w:r>
        <w:rPr>
          <w:rFonts w:hint="eastAsia" w:ascii="宋体" w:hAnsi="宋体" w:cs="宋体"/>
          <w:color w:val="auto"/>
          <w:sz w:val="24"/>
        </w:rPr>
        <w:t>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r>
        <w:rPr>
          <w:rFonts w:hint="eastAsia" w:ascii="宋体" w:hAnsi="宋体" w:cs="宋体"/>
          <w:color w:val="auto"/>
          <w:sz w:val="32"/>
          <w:szCs w:val="32"/>
        </w:rPr>
        <w:t xml:space="preserve"> </w:t>
      </w:r>
    </w:p>
    <w:p w14:paraId="29683D68">
      <w:pPr>
        <w:spacing w:line="360" w:lineRule="auto"/>
        <w:contextualSpacing/>
        <w:jc w:val="left"/>
        <w:rPr>
          <w:rFonts w:ascii="宋体" w:hAnsi="宋体" w:cs="宋体"/>
          <w:b/>
          <w:color w:val="auto"/>
          <w:sz w:val="32"/>
          <w:szCs w:val="32"/>
        </w:rPr>
      </w:pPr>
      <w:r>
        <w:rPr>
          <w:rFonts w:hint="eastAsia" w:ascii="宋体" w:hAnsi="宋体" w:cs="宋体"/>
          <w:color w:val="auto"/>
          <w:szCs w:val="21"/>
        </w:rPr>
        <w:br w:type="page"/>
      </w:r>
      <w:r>
        <w:rPr>
          <w:rFonts w:hint="eastAsia" w:ascii="宋体" w:hAnsi="宋体" w:cs="宋体"/>
          <w:b/>
          <w:bCs/>
          <w:color w:val="auto"/>
          <w:sz w:val="32"/>
          <w:szCs w:val="32"/>
        </w:rPr>
        <w:t>二、</w:t>
      </w:r>
      <w:r>
        <w:rPr>
          <w:rFonts w:hint="eastAsia" w:ascii="宋体" w:hAnsi="宋体" w:cs="宋体"/>
          <w:b/>
          <w:color w:val="auto"/>
          <w:sz w:val="32"/>
          <w:szCs w:val="32"/>
        </w:rPr>
        <w:t xml:space="preserve">报价商务技术文件格式 </w:t>
      </w:r>
    </w:p>
    <w:p w14:paraId="4F3E8F09">
      <w:pPr>
        <w:snapToGrid w:val="0"/>
        <w:spacing w:line="360" w:lineRule="auto"/>
        <w:jc w:val="left"/>
        <w:rPr>
          <w:rFonts w:ascii="宋体" w:hAnsi="宋体" w:cs="宋体"/>
          <w:b/>
          <w:color w:val="auto"/>
          <w:sz w:val="32"/>
          <w:szCs w:val="32"/>
        </w:rPr>
      </w:pPr>
      <w:r>
        <w:rPr>
          <w:rFonts w:hint="eastAsia" w:ascii="宋体" w:hAnsi="宋体" w:cs="宋体"/>
          <w:b/>
          <w:color w:val="auto"/>
          <w:sz w:val="32"/>
          <w:szCs w:val="32"/>
        </w:rPr>
        <w:t>1.报价商务技术文件封面格式</w:t>
      </w:r>
    </w:p>
    <w:p w14:paraId="6F707A11">
      <w:pPr>
        <w:snapToGrid w:val="0"/>
        <w:spacing w:line="360" w:lineRule="auto"/>
        <w:rPr>
          <w:rFonts w:ascii="宋体" w:hAnsi="宋体" w:cs="宋体"/>
          <w:color w:val="auto"/>
          <w:sz w:val="24"/>
        </w:rPr>
      </w:pPr>
      <w:r>
        <w:rPr>
          <w:rFonts w:hint="eastAsia" w:ascii="宋体" w:hAnsi="宋体" w:cs="宋体"/>
          <w:color w:val="auto"/>
          <w:sz w:val="24"/>
        </w:rPr>
        <w:t xml:space="preserve">                                                   </w:t>
      </w:r>
    </w:p>
    <w:p w14:paraId="6D5DB9D9">
      <w:pPr>
        <w:snapToGrid w:val="0"/>
        <w:spacing w:line="360" w:lineRule="auto"/>
        <w:rPr>
          <w:rFonts w:ascii="宋体" w:hAnsi="宋体" w:cs="宋体"/>
          <w:color w:val="auto"/>
          <w:sz w:val="24"/>
        </w:rPr>
      </w:pPr>
    </w:p>
    <w:p w14:paraId="0466416A">
      <w:pPr>
        <w:snapToGrid w:val="0"/>
        <w:spacing w:line="360" w:lineRule="auto"/>
        <w:rPr>
          <w:rFonts w:ascii="宋体" w:hAnsi="宋体" w:cs="宋体"/>
          <w:color w:val="auto"/>
          <w:sz w:val="24"/>
          <w:szCs w:val="20"/>
        </w:rPr>
      </w:pPr>
    </w:p>
    <w:p w14:paraId="29B66F25">
      <w:pPr>
        <w:snapToGrid w:val="0"/>
        <w:spacing w:line="360" w:lineRule="auto"/>
        <w:jc w:val="center"/>
        <w:rPr>
          <w:rFonts w:ascii="宋体" w:hAnsi="宋体" w:cs="宋体"/>
          <w:bCs/>
          <w:color w:val="auto"/>
          <w:sz w:val="84"/>
          <w:szCs w:val="84"/>
        </w:rPr>
      </w:pPr>
      <w:r>
        <w:rPr>
          <w:rFonts w:hint="eastAsia" w:ascii="宋体" w:hAnsi="宋体" w:cs="宋体"/>
          <w:b/>
          <w:color w:val="auto"/>
          <w:sz w:val="84"/>
          <w:szCs w:val="84"/>
        </w:rPr>
        <w:t>响  应  文  件</w:t>
      </w:r>
    </w:p>
    <w:p w14:paraId="4C160AE4">
      <w:pPr>
        <w:snapToGrid w:val="0"/>
        <w:spacing w:line="360" w:lineRule="auto"/>
        <w:rPr>
          <w:rFonts w:ascii="宋体" w:hAnsi="宋体" w:cs="宋体"/>
          <w:color w:val="auto"/>
          <w:sz w:val="24"/>
          <w:szCs w:val="20"/>
        </w:rPr>
      </w:pPr>
    </w:p>
    <w:p w14:paraId="44077448">
      <w:pPr>
        <w:snapToGrid w:val="0"/>
        <w:spacing w:line="360" w:lineRule="auto"/>
        <w:jc w:val="center"/>
        <w:rPr>
          <w:rFonts w:ascii="宋体" w:hAnsi="宋体" w:cs="宋体"/>
          <w:bCs/>
          <w:color w:val="auto"/>
          <w:sz w:val="32"/>
          <w:szCs w:val="32"/>
        </w:rPr>
      </w:pPr>
      <w:r>
        <w:rPr>
          <w:rFonts w:hint="eastAsia" w:ascii="宋体" w:hAnsi="宋体" w:cs="宋体"/>
          <w:bCs/>
          <w:color w:val="auto"/>
          <w:sz w:val="32"/>
          <w:szCs w:val="32"/>
        </w:rPr>
        <w:t>报价商务技术文件</w:t>
      </w:r>
    </w:p>
    <w:p w14:paraId="2C6AD5DC">
      <w:pPr>
        <w:snapToGrid w:val="0"/>
        <w:spacing w:line="360" w:lineRule="auto"/>
        <w:rPr>
          <w:rFonts w:ascii="宋体" w:hAnsi="宋体" w:cs="宋体"/>
          <w:bCs/>
          <w:color w:val="auto"/>
          <w:sz w:val="28"/>
          <w:szCs w:val="28"/>
        </w:rPr>
      </w:pPr>
    </w:p>
    <w:p w14:paraId="7B85BD0A">
      <w:pPr>
        <w:snapToGrid w:val="0"/>
        <w:spacing w:line="360" w:lineRule="auto"/>
        <w:rPr>
          <w:rFonts w:ascii="宋体" w:hAnsi="宋体" w:cs="宋体"/>
          <w:bCs/>
          <w:color w:val="auto"/>
          <w:sz w:val="28"/>
          <w:szCs w:val="28"/>
        </w:rPr>
      </w:pPr>
    </w:p>
    <w:p w14:paraId="328A6AFA">
      <w:pPr>
        <w:snapToGrid w:val="0"/>
        <w:spacing w:line="360" w:lineRule="auto"/>
        <w:ind w:firstLine="1680" w:firstLineChars="600"/>
        <w:rPr>
          <w:rFonts w:ascii="宋体" w:hAnsi="宋体" w:cs="宋体"/>
          <w:bCs/>
          <w:color w:val="auto"/>
          <w:sz w:val="28"/>
          <w:szCs w:val="28"/>
        </w:rPr>
      </w:pPr>
      <w:r>
        <w:rPr>
          <w:rFonts w:hint="eastAsia" w:ascii="宋体" w:hAnsi="宋体" w:cs="宋体"/>
          <w:bCs/>
          <w:color w:val="auto"/>
          <w:sz w:val="28"/>
          <w:szCs w:val="28"/>
        </w:rPr>
        <w:t>项目名称：</w:t>
      </w:r>
    </w:p>
    <w:p w14:paraId="5166204D">
      <w:pPr>
        <w:snapToGrid w:val="0"/>
        <w:spacing w:line="360" w:lineRule="auto"/>
        <w:ind w:firstLine="1680" w:firstLineChars="600"/>
        <w:rPr>
          <w:rFonts w:ascii="宋体" w:hAnsi="宋体" w:cs="宋体"/>
          <w:bCs/>
          <w:color w:val="auto"/>
          <w:sz w:val="28"/>
          <w:szCs w:val="28"/>
        </w:rPr>
      </w:pPr>
      <w:r>
        <w:rPr>
          <w:rFonts w:hint="eastAsia" w:ascii="宋体" w:hAnsi="宋体" w:cs="宋体"/>
          <w:bCs/>
          <w:color w:val="auto"/>
          <w:sz w:val="28"/>
          <w:szCs w:val="28"/>
        </w:rPr>
        <w:t xml:space="preserve">项目编号： </w:t>
      </w:r>
    </w:p>
    <w:p w14:paraId="4F35347A">
      <w:pPr>
        <w:snapToGrid w:val="0"/>
        <w:spacing w:line="360" w:lineRule="auto"/>
        <w:ind w:firstLine="1680" w:firstLineChars="600"/>
        <w:rPr>
          <w:rFonts w:ascii="宋体" w:hAnsi="宋体" w:cs="宋体"/>
          <w:bCs/>
          <w:color w:val="auto"/>
          <w:sz w:val="28"/>
          <w:szCs w:val="28"/>
        </w:rPr>
      </w:pPr>
      <w:r>
        <w:rPr>
          <w:rFonts w:hint="eastAsia" w:ascii="宋体" w:hAnsi="宋体" w:cs="宋体"/>
          <w:bCs/>
          <w:color w:val="auto"/>
          <w:sz w:val="28"/>
          <w:szCs w:val="28"/>
        </w:rPr>
        <w:t>所竞分标（如有）：</w:t>
      </w:r>
    </w:p>
    <w:p w14:paraId="1946E5D7">
      <w:pPr>
        <w:pStyle w:val="7"/>
        <w:snapToGrid w:val="0"/>
        <w:spacing w:line="360" w:lineRule="auto"/>
        <w:ind w:firstLine="1680" w:firstLineChars="600"/>
        <w:rPr>
          <w:rFonts w:ascii="宋体" w:hAnsi="宋体" w:cs="宋体"/>
          <w:bCs/>
          <w:color w:val="auto"/>
          <w:sz w:val="28"/>
          <w:szCs w:val="28"/>
        </w:rPr>
      </w:pPr>
      <w:r>
        <w:rPr>
          <w:rFonts w:hint="eastAsia" w:ascii="宋体" w:hAnsi="宋体" w:cs="宋体"/>
          <w:bCs/>
          <w:color w:val="auto"/>
          <w:sz w:val="28"/>
          <w:szCs w:val="28"/>
        </w:rPr>
        <w:t>供应商名称：</w:t>
      </w:r>
    </w:p>
    <w:p w14:paraId="2895F07A">
      <w:pPr>
        <w:pStyle w:val="7"/>
        <w:snapToGrid w:val="0"/>
        <w:spacing w:line="360" w:lineRule="auto"/>
        <w:ind w:firstLine="1680" w:firstLineChars="600"/>
        <w:rPr>
          <w:rFonts w:ascii="宋体" w:hAnsi="宋体" w:cs="宋体"/>
          <w:bCs/>
          <w:color w:val="auto"/>
          <w:sz w:val="28"/>
          <w:szCs w:val="28"/>
        </w:rPr>
      </w:pPr>
    </w:p>
    <w:p w14:paraId="031E0DC0">
      <w:pPr>
        <w:snapToGrid w:val="0"/>
        <w:spacing w:line="360" w:lineRule="auto"/>
        <w:jc w:val="center"/>
        <w:rPr>
          <w:rFonts w:ascii="宋体" w:hAnsi="宋体" w:cs="宋体"/>
          <w:color w:val="auto"/>
          <w:sz w:val="28"/>
          <w:szCs w:val="28"/>
        </w:rPr>
      </w:pPr>
      <w:r>
        <w:rPr>
          <w:rFonts w:hint="eastAsia" w:ascii="宋体" w:hAnsi="宋体" w:cs="宋体"/>
          <w:color w:val="auto"/>
          <w:sz w:val="28"/>
          <w:szCs w:val="28"/>
        </w:rPr>
        <w:t>年    月    日</w:t>
      </w:r>
    </w:p>
    <w:p w14:paraId="02627936">
      <w:pPr>
        <w:snapToGrid w:val="0"/>
        <w:spacing w:line="360" w:lineRule="auto"/>
        <w:jc w:val="left"/>
        <w:rPr>
          <w:rFonts w:ascii="宋体" w:hAnsi="宋体" w:cs="宋体"/>
          <w:b/>
          <w:bCs/>
          <w:color w:val="auto"/>
          <w:sz w:val="24"/>
        </w:rPr>
      </w:pPr>
      <w:r>
        <w:rPr>
          <w:rFonts w:hint="eastAsia" w:ascii="宋体" w:hAnsi="宋体" w:cs="宋体"/>
          <w:color w:val="auto"/>
          <w:sz w:val="28"/>
          <w:szCs w:val="28"/>
        </w:rPr>
        <w:br w:type="page"/>
      </w:r>
      <w:r>
        <w:rPr>
          <w:rFonts w:hint="eastAsia" w:ascii="宋体" w:hAnsi="宋体" w:cs="宋体"/>
          <w:b/>
          <w:bCs/>
          <w:color w:val="auto"/>
          <w:sz w:val="32"/>
          <w:szCs w:val="32"/>
        </w:rPr>
        <w:t>2.报价商务技术文件目录</w:t>
      </w:r>
    </w:p>
    <w:p w14:paraId="074F9375">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根据谈判文件规定及供应商提供的材料自行编写目录（部分格式后附）。</w:t>
      </w:r>
    </w:p>
    <w:p w14:paraId="23067B04">
      <w:pPr>
        <w:spacing w:line="360" w:lineRule="auto"/>
        <w:rPr>
          <w:rFonts w:ascii="宋体" w:hAnsi="宋体" w:cs="宋体"/>
          <w:color w:val="auto"/>
          <w:sz w:val="32"/>
          <w:szCs w:val="32"/>
        </w:rPr>
      </w:pPr>
    </w:p>
    <w:p w14:paraId="3002E3C6">
      <w:pPr>
        <w:spacing w:line="360" w:lineRule="auto"/>
        <w:jc w:val="center"/>
        <w:rPr>
          <w:rFonts w:ascii="宋体" w:hAnsi="宋体" w:cs="宋体"/>
          <w:b/>
          <w:color w:val="auto"/>
          <w:sz w:val="32"/>
          <w:szCs w:val="32"/>
        </w:rPr>
      </w:pPr>
      <w:r>
        <w:rPr>
          <w:rFonts w:hint="eastAsia" w:ascii="宋体" w:hAnsi="宋体" w:cs="宋体"/>
          <w:color w:val="auto"/>
          <w:sz w:val="44"/>
          <w:szCs w:val="44"/>
        </w:rPr>
        <w:br w:type="page"/>
      </w:r>
      <w:r>
        <w:rPr>
          <w:rFonts w:hint="eastAsia" w:ascii="宋体" w:hAnsi="宋体" w:cs="宋体"/>
          <w:b/>
          <w:color w:val="auto"/>
          <w:sz w:val="44"/>
          <w:szCs w:val="44"/>
        </w:rPr>
        <w:t>无串通参与竞争性谈判行为的承诺函</w:t>
      </w:r>
    </w:p>
    <w:p w14:paraId="54114DE0">
      <w:pPr>
        <w:spacing w:line="360" w:lineRule="auto"/>
        <w:ind w:firstLine="640" w:firstLineChars="200"/>
        <w:contextualSpacing/>
        <w:rPr>
          <w:rFonts w:ascii="宋体" w:hAnsi="宋体" w:cs="宋体"/>
          <w:color w:val="auto"/>
          <w:sz w:val="32"/>
          <w:szCs w:val="32"/>
        </w:rPr>
      </w:pPr>
    </w:p>
    <w:p w14:paraId="5D6E1BF0">
      <w:pPr>
        <w:spacing w:line="360" w:lineRule="auto"/>
        <w:ind w:firstLine="482" w:firstLineChars="200"/>
        <w:contextualSpacing/>
        <w:rPr>
          <w:rFonts w:ascii="宋体" w:hAnsi="宋体" w:cs="宋体"/>
          <w:b/>
          <w:bCs/>
          <w:color w:val="auto"/>
          <w:sz w:val="24"/>
        </w:rPr>
      </w:pPr>
      <w:r>
        <w:rPr>
          <w:rFonts w:hint="eastAsia" w:ascii="宋体" w:hAnsi="宋体" w:cs="宋体"/>
          <w:b/>
          <w:bCs/>
          <w:color w:val="auto"/>
          <w:sz w:val="24"/>
        </w:rPr>
        <w:t>一、我方承诺无下列相互串通参与</w:t>
      </w:r>
      <w:r>
        <w:rPr>
          <w:rFonts w:hint="eastAsia" w:ascii="宋体" w:hAnsi="宋体" w:cs="宋体"/>
          <w:b/>
          <w:color w:val="auto"/>
          <w:sz w:val="24"/>
          <w:lang w:bidi="ar"/>
        </w:rPr>
        <w:t>竞争性谈判</w:t>
      </w:r>
      <w:r>
        <w:rPr>
          <w:rFonts w:hint="eastAsia" w:ascii="宋体" w:hAnsi="宋体" w:cs="宋体"/>
          <w:b/>
          <w:bCs/>
          <w:color w:val="auto"/>
          <w:sz w:val="24"/>
        </w:rPr>
        <w:t>的情形：</w:t>
      </w:r>
    </w:p>
    <w:p w14:paraId="16C05EF0">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1.不同供应商的响应文件由同一单位或者个人编制；或者上传提交响应文件硬件设备CPU编号、硬盘编号、网卡地址一致的情况；</w:t>
      </w:r>
    </w:p>
    <w:p w14:paraId="7AEFD2F2">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2.不同供应商委托同一单位或者个人办理参与</w:t>
      </w:r>
      <w:r>
        <w:rPr>
          <w:rFonts w:hint="eastAsia" w:ascii="宋体" w:hAnsi="宋体" w:cs="宋体"/>
          <w:color w:val="auto"/>
          <w:sz w:val="24"/>
          <w:lang w:bidi="ar"/>
        </w:rPr>
        <w:t>竞争性谈判</w:t>
      </w:r>
      <w:r>
        <w:rPr>
          <w:rFonts w:hint="eastAsia" w:ascii="宋体" w:hAnsi="宋体" w:cs="宋体"/>
          <w:color w:val="auto"/>
          <w:sz w:val="24"/>
        </w:rPr>
        <w:t>事宜；</w:t>
      </w:r>
    </w:p>
    <w:p w14:paraId="4D84BA07">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3.不同的供应商的响应文件载明的项目管理员为同一个人；</w:t>
      </w:r>
    </w:p>
    <w:p w14:paraId="11785A66">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4.不</w:t>
      </w:r>
      <w:r>
        <w:rPr>
          <w:rFonts w:hint="eastAsia" w:ascii="宋体" w:hAnsi="宋体" w:cs="宋体"/>
          <w:color w:val="auto"/>
          <w:spacing w:val="-6"/>
          <w:sz w:val="24"/>
        </w:rPr>
        <w:t>同供应商的响应文件异常一致或者参与</w:t>
      </w:r>
      <w:r>
        <w:rPr>
          <w:rFonts w:hint="eastAsia" w:ascii="宋体" w:hAnsi="宋体" w:cs="宋体"/>
          <w:color w:val="auto"/>
          <w:sz w:val="24"/>
          <w:lang w:bidi="ar"/>
        </w:rPr>
        <w:t>竞争性谈判的</w:t>
      </w:r>
      <w:r>
        <w:rPr>
          <w:rFonts w:hint="eastAsia" w:ascii="宋体" w:hAnsi="宋体" w:cs="宋体"/>
          <w:color w:val="auto"/>
          <w:spacing w:val="-6"/>
          <w:sz w:val="24"/>
        </w:rPr>
        <w:t>报价呈规律性差异；</w:t>
      </w:r>
    </w:p>
    <w:p w14:paraId="47AE3218">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5.不同供应商的响应文件相互混装；</w:t>
      </w:r>
    </w:p>
    <w:p w14:paraId="633A89F7">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6.不同供应商的谈判保证金从同一单位或者个人账户转出。</w:t>
      </w:r>
    </w:p>
    <w:p w14:paraId="1CE9BC67">
      <w:pPr>
        <w:spacing w:line="360" w:lineRule="auto"/>
        <w:ind w:firstLine="482" w:firstLineChars="200"/>
        <w:contextualSpacing/>
        <w:rPr>
          <w:rFonts w:ascii="宋体" w:hAnsi="宋体" w:cs="宋体"/>
          <w:b/>
          <w:bCs/>
          <w:color w:val="auto"/>
          <w:sz w:val="24"/>
        </w:rPr>
      </w:pPr>
      <w:r>
        <w:rPr>
          <w:rFonts w:hint="eastAsia" w:ascii="宋体" w:hAnsi="宋体" w:cs="宋体"/>
          <w:b/>
          <w:bCs/>
          <w:color w:val="auto"/>
          <w:sz w:val="24"/>
        </w:rPr>
        <w:t>二、我方承诺无下列恶意串通的情形：</w:t>
      </w:r>
    </w:p>
    <w:p w14:paraId="345C03C7">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1.供应商直接或者间接从采购人或者采购代理机构处获得其他供应商的相关信息并修改其响应文件；</w:t>
      </w:r>
    </w:p>
    <w:p w14:paraId="2313DB7A">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2.供应商按照采购人或者采购代理机构的授意撤换、修改响应文件；</w:t>
      </w:r>
    </w:p>
    <w:p w14:paraId="70537E6A">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3.供</w:t>
      </w:r>
      <w:r>
        <w:rPr>
          <w:rFonts w:hint="eastAsia" w:ascii="宋体" w:hAnsi="宋体" w:cs="宋体"/>
          <w:color w:val="auto"/>
          <w:spacing w:val="-6"/>
          <w:sz w:val="24"/>
        </w:rPr>
        <w:t>应商之间协商报价、技术方案等响应文件的实质性内容；</w:t>
      </w:r>
    </w:p>
    <w:p w14:paraId="040B08B7">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4.属于同一集团、协会、商会等组织成员的供应商按照该组织要求协同参加政府采购活动；</w:t>
      </w:r>
    </w:p>
    <w:p w14:paraId="3C2DBC62">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5.供应商之间事先约定一致抬高或者压低</w:t>
      </w:r>
      <w:r>
        <w:rPr>
          <w:rFonts w:hint="eastAsia" w:ascii="宋体" w:hAnsi="宋体" w:cs="宋体"/>
          <w:color w:val="auto"/>
          <w:sz w:val="24"/>
          <w:lang w:bidi="ar"/>
        </w:rPr>
        <w:t>竞争性谈判</w:t>
      </w:r>
      <w:r>
        <w:rPr>
          <w:rFonts w:hint="eastAsia" w:ascii="宋体" w:hAnsi="宋体" w:cs="宋体"/>
          <w:color w:val="auto"/>
          <w:sz w:val="24"/>
        </w:rPr>
        <w:t>报价,或者在竞争性谈判项目中事先约定轮流以高价位或者低价位成交,或者事先约定由某一特定供应商成交,然后再参加</w:t>
      </w:r>
      <w:r>
        <w:rPr>
          <w:rFonts w:hint="eastAsia" w:ascii="宋体" w:hAnsi="宋体" w:cs="宋体"/>
          <w:color w:val="auto"/>
          <w:sz w:val="24"/>
          <w:lang w:bidi="ar"/>
        </w:rPr>
        <w:t>竞争性谈判</w:t>
      </w:r>
      <w:r>
        <w:rPr>
          <w:rFonts w:hint="eastAsia" w:ascii="宋体" w:hAnsi="宋体" w:cs="宋体"/>
          <w:color w:val="auto"/>
          <w:sz w:val="24"/>
        </w:rPr>
        <w:t>；</w:t>
      </w:r>
    </w:p>
    <w:p w14:paraId="4C79C804">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6.供应商之间商定部分供应商放弃参加政府采购活动或者放弃成交；</w:t>
      </w:r>
    </w:p>
    <w:p w14:paraId="17E6A53C">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7.供应商与采购人或者采购代理机构之间、供应商相互之间，为</w:t>
      </w:r>
      <w:r>
        <w:rPr>
          <w:rFonts w:hint="eastAsia" w:ascii="宋体" w:hAnsi="宋体" w:cs="宋体"/>
          <w:color w:val="auto"/>
          <w:spacing w:val="-6"/>
          <w:sz w:val="24"/>
        </w:rPr>
        <w:t>谋求特定供应商成交或者排斥其他供应商的其他串通行为。</w:t>
      </w:r>
    </w:p>
    <w:p w14:paraId="5AB61E57">
      <w:pPr>
        <w:spacing w:line="360" w:lineRule="auto"/>
        <w:ind w:firstLine="480" w:firstLineChars="200"/>
        <w:contextualSpacing/>
        <w:rPr>
          <w:rFonts w:ascii="宋体" w:hAnsi="宋体" w:cs="宋体"/>
          <w:color w:val="auto"/>
          <w:sz w:val="24"/>
        </w:rPr>
      </w:pPr>
    </w:p>
    <w:p w14:paraId="6D00D416">
      <w:pPr>
        <w:spacing w:line="360" w:lineRule="auto"/>
        <w:ind w:firstLine="482" w:firstLineChars="200"/>
        <w:contextualSpacing/>
        <w:rPr>
          <w:rFonts w:ascii="宋体" w:hAnsi="宋体" w:cs="宋体"/>
          <w:b/>
          <w:bCs/>
          <w:color w:val="auto"/>
          <w:sz w:val="24"/>
        </w:rPr>
      </w:pPr>
      <w:r>
        <w:rPr>
          <w:rFonts w:hint="eastAsia" w:ascii="宋体" w:hAnsi="宋体" w:cs="宋体"/>
          <w:b/>
          <w:bCs/>
          <w:color w:val="auto"/>
          <w:sz w:val="24"/>
        </w:rPr>
        <w:t>以上情形一经核查属实，我方愿意承担一切后果，并不再寻求任何旨在减轻或者免除法律责任的辩解。</w:t>
      </w:r>
    </w:p>
    <w:p w14:paraId="207A9F85">
      <w:pPr>
        <w:spacing w:line="360" w:lineRule="auto"/>
        <w:ind w:firstLine="3600" w:firstLineChars="1500"/>
        <w:contextualSpacing/>
        <w:rPr>
          <w:rFonts w:ascii="宋体" w:hAnsi="宋体" w:cs="宋体"/>
          <w:color w:val="auto"/>
          <w:sz w:val="24"/>
          <w:u w:val="single"/>
        </w:rPr>
      </w:pPr>
      <w:r>
        <w:rPr>
          <w:rFonts w:hint="eastAsia" w:ascii="宋体" w:hAnsi="宋体" w:cs="宋体"/>
          <w:color w:val="auto"/>
          <w:sz w:val="24"/>
        </w:rPr>
        <w:t>供应商（公章 ）：</w:t>
      </w:r>
      <w:r>
        <w:rPr>
          <w:rFonts w:hint="eastAsia" w:ascii="宋体" w:hAnsi="宋体" w:cs="宋体"/>
          <w:color w:val="auto"/>
          <w:sz w:val="24"/>
          <w:u w:val="single"/>
        </w:rPr>
        <w:t xml:space="preserve"> </w:t>
      </w:r>
      <w:r>
        <w:rPr>
          <w:rFonts w:ascii="宋体" w:hAnsi="宋体" w:cs="宋体"/>
          <w:color w:val="auto"/>
          <w:sz w:val="24"/>
          <w:u w:val="single"/>
        </w:rPr>
        <w:t xml:space="preserve">                 </w:t>
      </w:r>
    </w:p>
    <w:p w14:paraId="43FEEF89">
      <w:pPr>
        <w:spacing w:line="360" w:lineRule="auto"/>
        <w:ind w:firstLine="480" w:firstLineChars="200"/>
        <w:contextualSpacing/>
        <w:jc w:val="center"/>
        <w:rPr>
          <w:rFonts w:ascii="宋体" w:hAnsi="宋体" w:cs="宋体"/>
          <w:color w:val="auto"/>
          <w:sz w:val="24"/>
        </w:rPr>
      </w:pPr>
      <w:r>
        <w:rPr>
          <w:rFonts w:hint="eastAsia" w:ascii="宋体" w:hAnsi="宋体" w:cs="宋体"/>
          <w:color w:val="auto"/>
          <w:sz w:val="24"/>
        </w:rPr>
        <w:t xml:space="preserve">                              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3BFC1DDB">
      <w:pPr>
        <w:tabs>
          <w:tab w:val="left" w:pos="3479"/>
        </w:tabs>
        <w:spacing w:line="360" w:lineRule="auto"/>
        <w:jc w:val="center"/>
        <w:rPr>
          <w:rFonts w:ascii="宋体" w:hAnsi="宋体" w:cs="宋体"/>
          <w:b/>
          <w:bCs/>
          <w:color w:val="auto"/>
          <w:sz w:val="32"/>
          <w:szCs w:val="32"/>
        </w:rPr>
      </w:pPr>
      <w:r>
        <w:rPr>
          <w:rFonts w:hint="eastAsia" w:ascii="宋体" w:hAnsi="宋体" w:cs="宋体"/>
          <w:b/>
          <w:bCs/>
          <w:color w:val="auto"/>
          <w:sz w:val="44"/>
          <w:szCs w:val="44"/>
        </w:rPr>
        <w:t>竞争性谈判报价表</w:t>
      </w:r>
    </w:p>
    <w:p w14:paraId="46688EBE">
      <w:pPr>
        <w:spacing w:line="360" w:lineRule="auto"/>
        <w:jc w:val="center"/>
        <w:rPr>
          <w:rFonts w:ascii="宋体" w:hAnsi="宋体" w:cs="宋体"/>
          <w:bCs/>
          <w:color w:val="auto"/>
          <w:sz w:val="24"/>
        </w:rPr>
      </w:pPr>
    </w:p>
    <w:p w14:paraId="1BD1F469">
      <w:pPr>
        <w:snapToGrid w:val="0"/>
        <w:spacing w:line="360" w:lineRule="auto"/>
        <w:rPr>
          <w:rFonts w:ascii="宋体" w:hAnsi="宋体" w:cs="宋体"/>
          <w:color w:val="auto"/>
          <w:sz w:val="24"/>
        </w:rPr>
      </w:pPr>
      <w:r>
        <w:rPr>
          <w:rFonts w:hint="eastAsia" w:ascii="宋体" w:hAnsi="宋体" w:cs="宋体"/>
          <w:color w:val="auto"/>
          <w:sz w:val="24"/>
        </w:rPr>
        <w:t>项目名称：</w:t>
      </w:r>
      <w:r>
        <w:rPr>
          <w:rFonts w:hint="eastAsia" w:ascii="宋体" w:hAnsi="宋体" w:cs="宋体"/>
          <w:color w:val="auto"/>
          <w:sz w:val="24"/>
          <w:u w:val="single"/>
        </w:rPr>
        <w:t xml:space="preserve">                </w:t>
      </w:r>
      <w:r>
        <w:rPr>
          <w:rFonts w:hint="eastAsia" w:ascii="宋体" w:hAnsi="宋体" w:cs="宋体"/>
          <w:color w:val="auto"/>
          <w:sz w:val="24"/>
        </w:rPr>
        <w:t>项目编号：</w:t>
      </w:r>
      <w:r>
        <w:rPr>
          <w:rFonts w:hint="eastAsia" w:ascii="宋体" w:hAnsi="宋体" w:cs="宋体"/>
          <w:color w:val="auto"/>
          <w:sz w:val="24"/>
          <w:u w:val="single"/>
        </w:rPr>
        <w:t xml:space="preserve">               </w:t>
      </w:r>
      <w:r>
        <w:rPr>
          <w:rFonts w:hint="eastAsia" w:ascii="宋体" w:hAnsi="宋体" w:cs="宋体"/>
          <w:color w:val="auto"/>
          <w:sz w:val="24"/>
        </w:rPr>
        <w:t xml:space="preserve"> 分标（如有）：</w:t>
      </w:r>
      <w:r>
        <w:rPr>
          <w:rFonts w:hint="eastAsia" w:ascii="宋体" w:hAnsi="宋体" w:cs="宋体"/>
          <w:color w:val="auto"/>
          <w:sz w:val="24"/>
          <w:u w:val="single"/>
        </w:rPr>
        <w:t xml:space="preserve">            </w:t>
      </w:r>
    </w:p>
    <w:p w14:paraId="2515C87C">
      <w:pPr>
        <w:snapToGrid w:val="0"/>
        <w:spacing w:line="360" w:lineRule="auto"/>
        <w:rPr>
          <w:rFonts w:ascii="宋体" w:hAnsi="宋体" w:cs="宋体"/>
          <w:color w:val="auto"/>
          <w:sz w:val="24"/>
        </w:rPr>
      </w:pPr>
      <w:r>
        <w:rPr>
          <w:rFonts w:hint="eastAsia" w:ascii="宋体" w:hAnsi="宋体" w:cs="宋体"/>
          <w:color w:val="auto"/>
          <w:sz w:val="24"/>
        </w:rPr>
        <w:t>供应商名称：</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5E14DE87">
      <w:pPr>
        <w:snapToGrid w:val="0"/>
        <w:spacing w:line="360" w:lineRule="auto"/>
        <w:ind w:firstLine="5520" w:firstLineChars="2300"/>
        <w:rPr>
          <w:rFonts w:ascii="宋体" w:hAnsi="宋体" w:cs="宋体"/>
          <w:color w:val="auto"/>
          <w:sz w:val="24"/>
        </w:rPr>
      </w:pPr>
      <w:r>
        <w:rPr>
          <w:rFonts w:hint="eastAsia" w:ascii="宋体" w:hAnsi="宋体" w:cs="宋体"/>
          <w:color w:val="auto"/>
          <w:sz w:val="24"/>
        </w:rPr>
        <w:t>货币单位：人民币元</w:t>
      </w:r>
    </w:p>
    <w:tbl>
      <w:tblPr>
        <w:tblStyle w:val="27"/>
        <w:tblW w:w="10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1134"/>
        <w:gridCol w:w="1276"/>
        <w:gridCol w:w="1134"/>
        <w:gridCol w:w="992"/>
        <w:gridCol w:w="709"/>
        <w:gridCol w:w="830"/>
        <w:gridCol w:w="1722"/>
        <w:gridCol w:w="1276"/>
      </w:tblGrid>
      <w:tr w14:paraId="1950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9" w:type="dxa"/>
            <w:vAlign w:val="center"/>
          </w:tcPr>
          <w:p w14:paraId="0E0273F8">
            <w:pPr>
              <w:snapToGrid w:val="0"/>
              <w:spacing w:line="460" w:lineRule="exact"/>
              <w:jc w:val="center"/>
              <w:rPr>
                <w:rFonts w:ascii="宋体" w:hAnsi="宋体" w:cs="宋体"/>
                <w:color w:val="auto"/>
                <w:sz w:val="24"/>
              </w:rPr>
            </w:pPr>
            <w:r>
              <w:rPr>
                <w:rFonts w:hint="eastAsia" w:ascii="宋体" w:hAnsi="宋体" w:cs="宋体"/>
                <w:color w:val="auto"/>
                <w:sz w:val="24"/>
              </w:rPr>
              <w:t>序号</w:t>
            </w:r>
          </w:p>
        </w:tc>
        <w:tc>
          <w:tcPr>
            <w:tcW w:w="1034" w:type="dxa"/>
            <w:vAlign w:val="center"/>
          </w:tcPr>
          <w:p w14:paraId="030EF38B">
            <w:pPr>
              <w:snapToGrid w:val="0"/>
              <w:spacing w:line="460" w:lineRule="exact"/>
              <w:jc w:val="center"/>
              <w:rPr>
                <w:rFonts w:ascii="宋体" w:hAnsi="宋体" w:cs="宋体"/>
                <w:color w:val="auto"/>
                <w:sz w:val="24"/>
              </w:rPr>
            </w:pPr>
            <w:r>
              <w:rPr>
                <w:rFonts w:hint="eastAsia" w:ascii="宋体" w:hAnsi="宋体" w:cs="宋体"/>
                <w:color w:val="auto"/>
                <w:sz w:val="24"/>
              </w:rPr>
              <w:t>货物名称</w:t>
            </w:r>
          </w:p>
        </w:tc>
        <w:tc>
          <w:tcPr>
            <w:tcW w:w="1134" w:type="dxa"/>
            <w:vAlign w:val="center"/>
          </w:tcPr>
          <w:p w14:paraId="444ECA95">
            <w:pPr>
              <w:snapToGrid w:val="0"/>
              <w:spacing w:line="460" w:lineRule="exact"/>
              <w:jc w:val="center"/>
              <w:rPr>
                <w:rFonts w:ascii="宋体" w:hAnsi="宋体" w:cs="宋体"/>
                <w:color w:val="auto"/>
                <w:sz w:val="24"/>
              </w:rPr>
            </w:pPr>
            <w:r>
              <w:rPr>
                <w:rFonts w:hint="eastAsia" w:ascii="宋体" w:hAnsi="宋体" w:cs="宋体"/>
                <w:color w:val="auto"/>
                <w:sz w:val="24"/>
              </w:rPr>
              <w:t>品牌</w:t>
            </w:r>
          </w:p>
        </w:tc>
        <w:tc>
          <w:tcPr>
            <w:tcW w:w="1276" w:type="dxa"/>
            <w:vAlign w:val="center"/>
          </w:tcPr>
          <w:p w14:paraId="74E18247">
            <w:pPr>
              <w:snapToGrid w:val="0"/>
              <w:spacing w:line="460" w:lineRule="exact"/>
              <w:jc w:val="center"/>
              <w:rPr>
                <w:rFonts w:ascii="宋体" w:hAnsi="宋体" w:cs="宋体"/>
                <w:color w:val="auto"/>
                <w:sz w:val="24"/>
              </w:rPr>
            </w:pPr>
            <w:r>
              <w:rPr>
                <w:rFonts w:hint="eastAsia" w:ascii="宋体" w:hAnsi="宋体" w:cs="宋体"/>
                <w:color w:val="auto"/>
                <w:sz w:val="24"/>
              </w:rPr>
              <w:t>型号（与铭牌一致）</w:t>
            </w:r>
          </w:p>
        </w:tc>
        <w:tc>
          <w:tcPr>
            <w:tcW w:w="1134" w:type="dxa"/>
            <w:vAlign w:val="center"/>
          </w:tcPr>
          <w:p w14:paraId="18332254">
            <w:pPr>
              <w:snapToGrid w:val="0"/>
              <w:jc w:val="center"/>
              <w:rPr>
                <w:rFonts w:ascii="宋体" w:hAnsi="宋体" w:cs="宋体"/>
                <w:color w:val="auto"/>
                <w:sz w:val="24"/>
              </w:rPr>
            </w:pPr>
            <w:r>
              <w:rPr>
                <w:rFonts w:hint="eastAsia" w:ascii="宋体" w:hAnsi="宋体" w:cs="宋体"/>
                <w:color w:val="auto"/>
                <w:sz w:val="24"/>
              </w:rPr>
              <w:t>生产厂家</w:t>
            </w:r>
          </w:p>
        </w:tc>
        <w:tc>
          <w:tcPr>
            <w:tcW w:w="992" w:type="dxa"/>
            <w:vAlign w:val="center"/>
          </w:tcPr>
          <w:p w14:paraId="3F6693D1">
            <w:pPr>
              <w:snapToGrid w:val="0"/>
              <w:jc w:val="center"/>
              <w:rPr>
                <w:rFonts w:ascii="宋体" w:hAnsi="宋体" w:cs="宋体"/>
                <w:color w:val="auto"/>
                <w:sz w:val="24"/>
              </w:rPr>
            </w:pPr>
            <w:r>
              <w:rPr>
                <w:rFonts w:hint="eastAsia" w:ascii="宋体" w:hAnsi="宋体" w:cs="宋体"/>
                <w:color w:val="auto"/>
                <w:sz w:val="24"/>
              </w:rPr>
              <w:t>产地</w:t>
            </w:r>
          </w:p>
        </w:tc>
        <w:tc>
          <w:tcPr>
            <w:tcW w:w="709" w:type="dxa"/>
            <w:vAlign w:val="center"/>
          </w:tcPr>
          <w:p w14:paraId="2E82ABB6">
            <w:pPr>
              <w:snapToGrid w:val="0"/>
              <w:jc w:val="center"/>
              <w:rPr>
                <w:rFonts w:ascii="宋体" w:hAnsi="宋体" w:cs="宋体"/>
                <w:color w:val="auto"/>
                <w:sz w:val="24"/>
              </w:rPr>
            </w:pPr>
            <w:r>
              <w:rPr>
                <w:rFonts w:hint="eastAsia" w:ascii="宋体" w:hAnsi="宋体" w:cs="宋体"/>
                <w:color w:val="auto"/>
                <w:sz w:val="24"/>
              </w:rPr>
              <w:t>数  量①</w:t>
            </w:r>
          </w:p>
        </w:tc>
        <w:tc>
          <w:tcPr>
            <w:tcW w:w="830" w:type="dxa"/>
            <w:vAlign w:val="center"/>
          </w:tcPr>
          <w:p w14:paraId="7E4F565D">
            <w:pPr>
              <w:snapToGrid w:val="0"/>
              <w:jc w:val="center"/>
              <w:rPr>
                <w:rFonts w:ascii="宋体" w:hAnsi="宋体" w:cs="宋体"/>
                <w:color w:val="auto"/>
                <w:sz w:val="24"/>
              </w:rPr>
            </w:pPr>
            <w:r>
              <w:rPr>
                <w:rFonts w:hint="eastAsia" w:ascii="宋体" w:hAnsi="宋体" w:cs="宋体"/>
                <w:color w:val="auto"/>
                <w:sz w:val="24"/>
              </w:rPr>
              <w:t>单位</w:t>
            </w:r>
          </w:p>
        </w:tc>
        <w:tc>
          <w:tcPr>
            <w:tcW w:w="1722" w:type="dxa"/>
            <w:vAlign w:val="center"/>
          </w:tcPr>
          <w:p w14:paraId="34F59CB9">
            <w:pPr>
              <w:snapToGrid w:val="0"/>
              <w:jc w:val="center"/>
              <w:rPr>
                <w:rFonts w:ascii="宋体" w:hAnsi="宋体" w:cs="宋体"/>
                <w:color w:val="auto"/>
                <w:sz w:val="24"/>
              </w:rPr>
            </w:pPr>
            <w:r>
              <w:rPr>
                <w:rFonts w:hint="eastAsia" w:ascii="宋体" w:hAnsi="宋体" w:cs="宋体"/>
                <w:color w:val="auto"/>
                <w:sz w:val="24"/>
              </w:rPr>
              <w:t>单  价</w:t>
            </w:r>
          </w:p>
          <w:p w14:paraId="7B05302B">
            <w:pPr>
              <w:snapToGrid w:val="0"/>
              <w:jc w:val="center"/>
              <w:rPr>
                <w:rFonts w:ascii="宋体" w:hAnsi="宋体" w:cs="宋体"/>
                <w:color w:val="auto"/>
                <w:sz w:val="24"/>
              </w:rPr>
            </w:pPr>
            <w:r>
              <w:rPr>
                <w:rFonts w:hint="eastAsia" w:ascii="宋体" w:hAnsi="宋体" w:cs="宋体"/>
                <w:color w:val="auto"/>
                <w:sz w:val="24"/>
              </w:rPr>
              <w:t>②</w:t>
            </w:r>
          </w:p>
        </w:tc>
        <w:tc>
          <w:tcPr>
            <w:tcW w:w="1276" w:type="dxa"/>
            <w:vAlign w:val="center"/>
          </w:tcPr>
          <w:p w14:paraId="42565976">
            <w:pPr>
              <w:snapToGrid w:val="0"/>
              <w:spacing w:before="50" w:after="50" w:line="360" w:lineRule="auto"/>
              <w:jc w:val="center"/>
              <w:rPr>
                <w:rFonts w:ascii="宋体" w:hAnsi="宋体" w:cs="宋体"/>
                <w:color w:val="auto"/>
                <w:sz w:val="24"/>
              </w:rPr>
            </w:pPr>
            <w:r>
              <w:rPr>
                <w:rFonts w:hint="eastAsia" w:ascii="宋体" w:hAnsi="宋体" w:cs="宋体"/>
                <w:color w:val="auto"/>
                <w:sz w:val="24"/>
                <w:lang w:bidi="ar"/>
              </w:rPr>
              <w:t>竞争性谈判</w:t>
            </w:r>
            <w:r>
              <w:rPr>
                <w:rFonts w:hint="eastAsia" w:ascii="宋体" w:hAnsi="宋体" w:cs="宋体"/>
                <w:color w:val="auto"/>
                <w:sz w:val="24"/>
              </w:rPr>
              <w:t>报价</w:t>
            </w:r>
          </w:p>
          <w:p w14:paraId="54C5B515">
            <w:pPr>
              <w:snapToGrid w:val="0"/>
              <w:jc w:val="center"/>
              <w:rPr>
                <w:rFonts w:ascii="宋体" w:hAnsi="宋体" w:cs="宋体"/>
                <w:color w:val="auto"/>
                <w:sz w:val="24"/>
              </w:rPr>
            </w:pPr>
            <w:r>
              <w:rPr>
                <w:rFonts w:hint="eastAsia" w:ascii="宋体" w:hAnsi="宋体" w:cs="宋体"/>
                <w:color w:val="auto"/>
                <w:sz w:val="24"/>
              </w:rPr>
              <w:t>③=①×②</w:t>
            </w:r>
          </w:p>
        </w:tc>
      </w:tr>
      <w:tr w14:paraId="432F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709" w:type="dxa"/>
            <w:vAlign w:val="center"/>
          </w:tcPr>
          <w:p w14:paraId="2F094337">
            <w:pPr>
              <w:snapToGrid w:val="0"/>
              <w:spacing w:line="460" w:lineRule="exact"/>
              <w:jc w:val="center"/>
              <w:rPr>
                <w:rFonts w:ascii="宋体" w:hAnsi="宋体" w:cs="宋体"/>
                <w:color w:val="auto"/>
                <w:sz w:val="24"/>
              </w:rPr>
            </w:pPr>
            <w:r>
              <w:rPr>
                <w:rFonts w:hint="eastAsia" w:ascii="宋体" w:hAnsi="宋体" w:cs="宋体"/>
                <w:color w:val="auto"/>
                <w:sz w:val="24"/>
              </w:rPr>
              <w:t>1</w:t>
            </w:r>
          </w:p>
        </w:tc>
        <w:tc>
          <w:tcPr>
            <w:tcW w:w="1034" w:type="dxa"/>
            <w:vAlign w:val="center"/>
          </w:tcPr>
          <w:p w14:paraId="26D60118">
            <w:pPr>
              <w:snapToGrid w:val="0"/>
              <w:spacing w:line="460" w:lineRule="exact"/>
              <w:jc w:val="center"/>
              <w:rPr>
                <w:rFonts w:ascii="宋体" w:hAnsi="宋体" w:cs="宋体"/>
                <w:color w:val="auto"/>
                <w:sz w:val="24"/>
              </w:rPr>
            </w:pPr>
          </w:p>
        </w:tc>
        <w:tc>
          <w:tcPr>
            <w:tcW w:w="1134" w:type="dxa"/>
            <w:vAlign w:val="center"/>
          </w:tcPr>
          <w:p w14:paraId="54867BEC">
            <w:pPr>
              <w:snapToGrid w:val="0"/>
              <w:spacing w:line="460" w:lineRule="exact"/>
              <w:jc w:val="center"/>
              <w:rPr>
                <w:rFonts w:ascii="宋体" w:hAnsi="宋体" w:cs="宋体"/>
                <w:color w:val="auto"/>
                <w:sz w:val="24"/>
              </w:rPr>
            </w:pPr>
          </w:p>
        </w:tc>
        <w:tc>
          <w:tcPr>
            <w:tcW w:w="1276" w:type="dxa"/>
            <w:vAlign w:val="center"/>
          </w:tcPr>
          <w:p w14:paraId="74289611">
            <w:pPr>
              <w:snapToGrid w:val="0"/>
              <w:spacing w:line="460" w:lineRule="exact"/>
              <w:jc w:val="center"/>
              <w:rPr>
                <w:rFonts w:ascii="宋体" w:hAnsi="宋体" w:cs="宋体"/>
                <w:color w:val="auto"/>
                <w:sz w:val="24"/>
              </w:rPr>
            </w:pPr>
          </w:p>
        </w:tc>
        <w:tc>
          <w:tcPr>
            <w:tcW w:w="1134" w:type="dxa"/>
          </w:tcPr>
          <w:p w14:paraId="50A63120">
            <w:pPr>
              <w:snapToGrid w:val="0"/>
              <w:spacing w:line="460" w:lineRule="exact"/>
              <w:jc w:val="center"/>
              <w:rPr>
                <w:rFonts w:ascii="宋体" w:hAnsi="宋体" w:cs="宋体"/>
                <w:color w:val="auto"/>
                <w:sz w:val="24"/>
              </w:rPr>
            </w:pPr>
          </w:p>
        </w:tc>
        <w:tc>
          <w:tcPr>
            <w:tcW w:w="992" w:type="dxa"/>
            <w:vAlign w:val="center"/>
          </w:tcPr>
          <w:p w14:paraId="5C8294C2">
            <w:pPr>
              <w:snapToGrid w:val="0"/>
              <w:spacing w:line="460" w:lineRule="exact"/>
              <w:jc w:val="center"/>
              <w:rPr>
                <w:rFonts w:ascii="宋体" w:hAnsi="宋体" w:cs="宋体"/>
                <w:color w:val="auto"/>
                <w:sz w:val="24"/>
              </w:rPr>
            </w:pPr>
          </w:p>
        </w:tc>
        <w:tc>
          <w:tcPr>
            <w:tcW w:w="709" w:type="dxa"/>
            <w:vAlign w:val="center"/>
          </w:tcPr>
          <w:p w14:paraId="5BE48C99">
            <w:pPr>
              <w:pStyle w:val="78"/>
              <w:snapToGrid w:val="0"/>
              <w:spacing w:line="460" w:lineRule="exact"/>
              <w:ind w:left="360" w:firstLine="0" w:firstLineChars="0"/>
              <w:rPr>
                <w:rFonts w:ascii="宋体" w:hAnsi="宋体" w:cs="宋体"/>
                <w:color w:val="auto"/>
                <w:sz w:val="24"/>
              </w:rPr>
            </w:pPr>
          </w:p>
        </w:tc>
        <w:tc>
          <w:tcPr>
            <w:tcW w:w="830" w:type="dxa"/>
          </w:tcPr>
          <w:p w14:paraId="3F6750CE">
            <w:pPr>
              <w:snapToGrid w:val="0"/>
              <w:spacing w:line="460" w:lineRule="exact"/>
              <w:jc w:val="center"/>
              <w:rPr>
                <w:rFonts w:ascii="宋体" w:hAnsi="宋体" w:cs="宋体"/>
                <w:color w:val="auto"/>
                <w:sz w:val="24"/>
              </w:rPr>
            </w:pPr>
          </w:p>
        </w:tc>
        <w:tc>
          <w:tcPr>
            <w:tcW w:w="1722" w:type="dxa"/>
            <w:vAlign w:val="center"/>
          </w:tcPr>
          <w:p w14:paraId="10492721">
            <w:pPr>
              <w:pStyle w:val="78"/>
              <w:snapToGrid w:val="0"/>
              <w:spacing w:line="460" w:lineRule="exact"/>
              <w:ind w:left="360" w:firstLine="0" w:firstLineChars="0"/>
              <w:rPr>
                <w:rFonts w:ascii="宋体" w:hAnsi="宋体" w:cs="宋体"/>
                <w:color w:val="auto"/>
                <w:sz w:val="24"/>
              </w:rPr>
            </w:pPr>
          </w:p>
        </w:tc>
        <w:tc>
          <w:tcPr>
            <w:tcW w:w="1276" w:type="dxa"/>
          </w:tcPr>
          <w:p w14:paraId="5E0E5C37">
            <w:pPr>
              <w:snapToGrid w:val="0"/>
              <w:spacing w:line="460" w:lineRule="exact"/>
              <w:jc w:val="center"/>
              <w:rPr>
                <w:rFonts w:ascii="宋体" w:hAnsi="宋体" w:cs="宋体"/>
                <w:color w:val="auto"/>
                <w:sz w:val="24"/>
              </w:rPr>
            </w:pPr>
          </w:p>
        </w:tc>
      </w:tr>
      <w:tr w14:paraId="663D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10816" w:type="dxa"/>
            <w:gridSpan w:val="10"/>
          </w:tcPr>
          <w:p w14:paraId="515135A1">
            <w:pPr>
              <w:snapToGrid w:val="0"/>
              <w:spacing w:line="460" w:lineRule="exact"/>
              <w:jc w:val="left"/>
              <w:rPr>
                <w:color w:val="auto"/>
              </w:rPr>
            </w:pPr>
            <w:r>
              <w:rPr>
                <w:rFonts w:hint="eastAsia" w:ascii="宋体" w:hAnsi="宋体" w:cs="宋体"/>
                <w:color w:val="auto"/>
                <w:sz w:val="24"/>
              </w:rPr>
              <w:t>合计金额（人民币大写</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b/>
                <w:bCs/>
                <w:color w:val="auto"/>
                <w:sz w:val="24"/>
                <w:u w:val="single"/>
              </w:rPr>
              <w:t xml:space="preserve"> </w:t>
            </w:r>
            <w:r>
              <w:rPr>
                <w:rFonts w:ascii="宋体" w:hAnsi="宋体" w:cs="宋体"/>
                <w:b/>
                <w:bCs/>
                <w:color w:val="auto"/>
                <w:sz w:val="24"/>
                <w:u w:val="single"/>
              </w:rPr>
              <w:t xml:space="preserve">              </w:t>
            </w:r>
            <w:r>
              <w:rPr>
                <w:rFonts w:hint="eastAsia" w:ascii="宋体" w:hAnsi="宋体" w:cs="宋体"/>
                <w:bCs/>
                <w:color w:val="auto"/>
                <w:sz w:val="24"/>
                <w:u w:val="single"/>
              </w:rPr>
              <w:t>元整</w:t>
            </w:r>
            <w:r>
              <w:rPr>
                <w:rFonts w:hint="eastAsia" w:ascii="宋体" w:hAnsi="宋体" w:cs="宋体"/>
                <w:bCs/>
                <w:color w:val="auto"/>
                <w:sz w:val="24"/>
              </w:rPr>
              <w:t>（小写）</w:t>
            </w:r>
            <w:r>
              <w:rPr>
                <w:rFonts w:hint="eastAsia" w:ascii="宋体" w:hAnsi="宋体" w:cs="宋体"/>
                <w:bCs/>
                <w:color w:val="auto"/>
                <w:sz w:val="24"/>
                <w:u w:val="single"/>
              </w:rPr>
              <w:t xml:space="preserve">¥ </w:t>
            </w:r>
            <w:r>
              <w:rPr>
                <w:rFonts w:ascii="宋体" w:hAnsi="宋体" w:cs="宋体"/>
                <w:bCs/>
                <w:color w:val="auto"/>
                <w:sz w:val="24"/>
                <w:u w:val="single"/>
              </w:rPr>
              <w:t xml:space="preserve">         </w:t>
            </w:r>
          </w:p>
        </w:tc>
      </w:tr>
      <w:tr w14:paraId="038F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10816" w:type="dxa"/>
            <w:gridSpan w:val="10"/>
          </w:tcPr>
          <w:p w14:paraId="03B2A452">
            <w:pPr>
              <w:snapToGrid w:val="0"/>
              <w:spacing w:line="460" w:lineRule="exact"/>
              <w:jc w:val="left"/>
              <w:rPr>
                <w:rFonts w:ascii="宋体" w:hAnsi="宋体" w:cs="宋体"/>
                <w:color w:val="auto"/>
                <w:sz w:val="24"/>
              </w:rPr>
            </w:pPr>
            <w:r>
              <w:rPr>
                <w:rFonts w:hint="eastAsia" w:ascii="宋体" w:hAnsi="宋体" w:cs="宋体"/>
                <w:color w:val="auto"/>
                <w:sz w:val="24"/>
              </w:rPr>
              <w:t>交货时间：合同签订后</w:t>
            </w:r>
            <w:r>
              <w:rPr>
                <w:rFonts w:hint="eastAsia" w:ascii="宋体" w:hAnsi="宋体" w:cs="宋体"/>
                <w:color w:val="auto"/>
                <w:sz w:val="24"/>
                <w:u w:val="single"/>
              </w:rPr>
              <w:t xml:space="preserve">    </w:t>
            </w:r>
            <w:r>
              <w:rPr>
                <w:rFonts w:hint="eastAsia" w:ascii="宋体" w:hAnsi="宋体" w:cs="宋体"/>
                <w:color w:val="auto"/>
                <w:sz w:val="24"/>
              </w:rPr>
              <w:t>日内全部完成设备的供货并安装调试完毕。。</w:t>
            </w:r>
          </w:p>
        </w:tc>
      </w:tr>
    </w:tbl>
    <w:p w14:paraId="631F2D37">
      <w:pPr>
        <w:pStyle w:val="40"/>
        <w:rPr>
          <w:color w:val="auto"/>
        </w:rPr>
      </w:pPr>
    </w:p>
    <w:p w14:paraId="115ED70A">
      <w:pPr>
        <w:spacing w:line="300" w:lineRule="exact"/>
        <w:contextualSpacing/>
        <w:jc w:val="left"/>
        <w:rPr>
          <w:rFonts w:ascii="楷体" w:hAnsi="楷体" w:eastAsia="楷体" w:cs="宋体"/>
          <w:b/>
          <w:color w:val="auto"/>
          <w:sz w:val="24"/>
        </w:rPr>
      </w:pPr>
      <w:r>
        <w:rPr>
          <w:rFonts w:hint="eastAsia" w:ascii="楷体" w:hAnsi="楷体" w:eastAsia="楷体" w:cs="宋体"/>
          <w:b/>
          <w:color w:val="auto"/>
          <w:sz w:val="24"/>
        </w:rPr>
        <w:t>注</w:t>
      </w:r>
      <w:r>
        <w:rPr>
          <w:rFonts w:ascii="楷体" w:hAnsi="楷体" w:eastAsia="楷体" w:cs="宋体"/>
          <w:b/>
          <w:color w:val="auto"/>
          <w:sz w:val="24"/>
        </w:rPr>
        <w:t xml:space="preserve">: </w:t>
      </w:r>
    </w:p>
    <w:p w14:paraId="37CC7B6F">
      <w:pPr>
        <w:spacing w:line="300" w:lineRule="exact"/>
        <w:ind w:firstLine="480" w:firstLineChars="200"/>
        <w:contextualSpacing/>
        <w:jc w:val="left"/>
        <w:rPr>
          <w:rFonts w:ascii="楷体" w:hAnsi="楷体" w:eastAsia="楷体" w:cs="宋体"/>
          <w:b/>
          <w:color w:val="auto"/>
          <w:sz w:val="24"/>
        </w:rPr>
      </w:pPr>
      <w:r>
        <w:rPr>
          <w:rFonts w:ascii="楷体" w:hAnsi="楷体" w:eastAsia="楷体" w:cs="宋体"/>
          <w:color w:val="auto"/>
          <w:sz w:val="24"/>
        </w:rPr>
        <w:t>1.</w:t>
      </w:r>
      <w:r>
        <w:rPr>
          <w:rFonts w:hint="eastAsia" w:ascii="楷体" w:hAnsi="楷体" w:eastAsia="楷体" w:cs="宋体"/>
          <w:color w:val="auto"/>
          <w:sz w:val="24"/>
        </w:rPr>
        <w:t>竞争性谈判报价表中“货物名称、数量、单位、品牌、型号、生产厂家、产地”必须如实填写完整，定制产品在型号栏中填写“定制”。</w:t>
      </w:r>
      <w:r>
        <w:rPr>
          <w:rFonts w:hint="eastAsia" w:ascii="楷体" w:hAnsi="楷体" w:eastAsia="楷体" w:cs="宋体"/>
          <w:b/>
          <w:color w:val="auto"/>
          <w:sz w:val="24"/>
        </w:rPr>
        <w:t>填写有缺漏</w:t>
      </w:r>
      <w:r>
        <w:rPr>
          <w:rFonts w:hint="eastAsia" w:ascii="楷体" w:hAnsi="楷体" w:eastAsia="楷体" w:cs="宋体"/>
          <w:b/>
          <w:bCs/>
          <w:color w:val="auto"/>
          <w:sz w:val="24"/>
        </w:rPr>
        <w:t>的，</w:t>
      </w:r>
      <w:r>
        <w:rPr>
          <w:rFonts w:hint="eastAsia" w:ascii="楷体" w:hAnsi="楷体" w:eastAsia="楷体" w:cs="宋体"/>
          <w:b/>
          <w:color w:val="auto"/>
          <w:sz w:val="24"/>
        </w:rPr>
        <w:t>其响应文件按无效响应处理。</w:t>
      </w:r>
    </w:p>
    <w:p w14:paraId="56A92387">
      <w:pPr>
        <w:snapToGrid w:val="0"/>
        <w:spacing w:before="50" w:after="50" w:line="300" w:lineRule="exact"/>
        <w:ind w:firstLine="482" w:firstLineChars="200"/>
        <w:jc w:val="left"/>
        <w:rPr>
          <w:rFonts w:ascii="楷体" w:hAnsi="楷体" w:eastAsia="楷体"/>
          <w:color w:val="auto"/>
        </w:rPr>
      </w:pPr>
      <w:r>
        <w:rPr>
          <w:rFonts w:ascii="楷体" w:hAnsi="楷体" w:eastAsia="楷体" w:cs="宋体"/>
          <w:b/>
          <w:color w:val="auto"/>
          <w:sz w:val="24"/>
        </w:rPr>
        <w:t>2.所填写的型号与货物铭牌一致。</w:t>
      </w:r>
    </w:p>
    <w:p w14:paraId="597B0BA1">
      <w:pPr>
        <w:spacing w:line="300" w:lineRule="exact"/>
        <w:ind w:firstLine="480" w:firstLineChars="200"/>
        <w:contextualSpacing/>
        <w:jc w:val="left"/>
        <w:rPr>
          <w:rFonts w:ascii="楷体" w:hAnsi="楷体" w:eastAsia="楷体" w:cs="宋体"/>
          <w:color w:val="auto"/>
          <w:sz w:val="24"/>
        </w:rPr>
      </w:pPr>
      <w:r>
        <w:rPr>
          <w:rFonts w:ascii="楷体" w:hAnsi="楷体" w:eastAsia="楷体" w:cs="宋体"/>
          <w:color w:val="auto"/>
          <w:sz w:val="24"/>
        </w:rPr>
        <w:t>3.供应商的报价表必须加盖供应商公章并由法定代表人或者委托代理人签字，</w:t>
      </w:r>
      <w:r>
        <w:rPr>
          <w:rFonts w:hint="eastAsia" w:ascii="楷体" w:hAnsi="楷体" w:eastAsia="楷体" w:cs="宋体"/>
          <w:b/>
          <w:color w:val="auto"/>
          <w:sz w:val="24"/>
        </w:rPr>
        <w:t>否则其响应文件按无效响应处理</w:t>
      </w:r>
      <w:r>
        <w:rPr>
          <w:rFonts w:hint="eastAsia" w:ascii="楷体" w:hAnsi="楷体" w:eastAsia="楷体" w:cs="宋体"/>
          <w:color w:val="auto"/>
          <w:sz w:val="24"/>
        </w:rPr>
        <w:t>。</w:t>
      </w:r>
    </w:p>
    <w:p w14:paraId="4AC8EF70">
      <w:pPr>
        <w:spacing w:line="300" w:lineRule="exact"/>
        <w:ind w:firstLine="480" w:firstLineChars="200"/>
        <w:contextualSpacing/>
        <w:jc w:val="left"/>
        <w:rPr>
          <w:rFonts w:ascii="楷体" w:hAnsi="楷体" w:eastAsia="楷体" w:cs="宋体"/>
          <w:b/>
          <w:color w:val="auto"/>
          <w:sz w:val="24"/>
        </w:rPr>
      </w:pPr>
      <w:r>
        <w:rPr>
          <w:rFonts w:ascii="楷体" w:hAnsi="楷体" w:eastAsia="楷体" w:cs="宋体"/>
          <w:bCs/>
          <w:color w:val="auto"/>
          <w:sz w:val="24"/>
        </w:rPr>
        <w:t>4.</w:t>
      </w:r>
      <w:r>
        <w:rPr>
          <w:rFonts w:hint="eastAsia" w:ascii="楷体" w:hAnsi="楷体" w:eastAsia="楷体" w:cs="宋体"/>
          <w:color w:val="auto"/>
          <w:sz w:val="24"/>
        </w:rPr>
        <w:t>报价一经涂改，应在涂改处加盖供应商公章或者由法定代表人或者授权委托人签字或者盖章</w:t>
      </w:r>
      <w:r>
        <w:rPr>
          <w:rFonts w:hint="eastAsia" w:ascii="楷体" w:hAnsi="楷体" w:eastAsia="楷体" w:cs="宋体"/>
          <w:b/>
          <w:color w:val="auto"/>
          <w:sz w:val="24"/>
        </w:rPr>
        <w:t>，否则其响应文件按无效响应处理。</w:t>
      </w:r>
    </w:p>
    <w:p w14:paraId="7D5CB68C">
      <w:pPr>
        <w:spacing w:line="300" w:lineRule="exact"/>
        <w:ind w:firstLine="480" w:firstLineChars="200"/>
        <w:contextualSpacing/>
        <w:jc w:val="left"/>
        <w:rPr>
          <w:rFonts w:ascii="楷体" w:hAnsi="楷体" w:eastAsia="楷体" w:cs="宋体"/>
          <w:color w:val="auto"/>
          <w:sz w:val="24"/>
        </w:rPr>
      </w:pPr>
      <w:r>
        <w:rPr>
          <w:rFonts w:ascii="楷体" w:hAnsi="楷体" w:eastAsia="楷体" w:cs="宋体"/>
          <w:color w:val="auto"/>
          <w:sz w:val="24"/>
        </w:rPr>
        <w:t>5.谈判文件中列明采购专用耗材的，应按谈判文件规定的耗材量或者按耗材的常规</w:t>
      </w:r>
      <w:r>
        <w:rPr>
          <w:rFonts w:hint="eastAsia" w:ascii="楷体" w:hAnsi="楷体" w:eastAsia="楷体" w:cs="宋体"/>
          <w:color w:val="auto"/>
          <w:sz w:val="24"/>
        </w:rPr>
        <w:t>使用量提供报价。</w:t>
      </w:r>
    </w:p>
    <w:p w14:paraId="3BBD1072">
      <w:pPr>
        <w:spacing w:line="300" w:lineRule="exact"/>
        <w:ind w:firstLine="480" w:firstLineChars="200"/>
        <w:contextualSpacing/>
        <w:jc w:val="left"/>
        <w:rPr>
          <w:rFonts w:ascii="楷体" w:hAnsi="楷体" w:eastAsia="楷体" w:cs="宋体"/>
          <w:color w:val="auto"/>
          <w:sz w:val="24"/>
        </w:rPr>
      </w:pPr>
      <w:r>
        <w:rPr>
          <w:rFonts w:ascii="楷体" w:hAnsi="楷体" w:eastAsia="楷体" w:cs="宋体"/>
          <w:color w:val="auto"/>
          <w:sz w:val="24"/>
        </w:rPr>
        <w:t>6.如为联合体</w:t>
      </w:r>
      <w:r>
        <w:rPr>
          <w:rFonts w:hint="eastAsia" w:ascii="楷体" w:hAnsi="楷体" w:eastAsia="楷体" w:cs="宋体"/>
          <w:color w:val="auto"/>
          <w:sz w:val="24"/>
        </w:rPr>
        <w:t>参与竞争性谈判</w:t>
      </w:r>
      <w:r>
        <w:rPr>
          <w:rFonts w:ascii="楷体" w:hAnsi="楷体" w:eastAsia="楷体" w:cs="宋体"/>
          <w:color w:val="auto"/>
          <w:sz w:val="24"/>
        </w:rPr>
        <w:t>,“供应商名称”处必须列明联合体各方名称，标注联合体牵头人名称，</w:t>
      </w:r>
      <w:r>
        <w:rPr>
          <w:rFonts w:hint="eastAsia" w:ascii="楷体" w:hAnsi="楷体" w:eastAsia="楷体" w:cs="宋体"/>
          <w:b/>
          <w:color w:val="auto"/>
          <w:sz w:val="24"/>
        </w:rPr>
        <w:t>否则其响应文件按无效响应处理。（采购人可根据项目情况自行修改是否需要联合体各方签字盖章）</w:t>
      </w:r>
    </w:p>
    <w:p w14:paraId="5BD1DCB2">
      <w:pPr>
        <w:spacing w:line="300" w:lineRule="exact"/>
        <w:ind w:firstLine="480" w:firstLineChars="200"/>
        <w:contextualSpacing/>
        <w:jc w:val="left"/>
        <w:rPr>
          <w:rFonts w:ascii="楷体" w:hAnsi="楷体" w:eastAsia="楷体" w:cs="宋体"/>
          <w:color w:val="auto"/>
          <w:sz w:val="24"/>
        </w:rPr>
      </w:pPr>
      <w:r>
        <w:rPr>
          <w:rFonts w:ascii="楷体" w:hAnsi="楷体" w:eastAsia="楷体" w:cs="宋体"/>
          <w:color w:val="auto"/>
          <w:sz w:val="24"/>
        </w:rPr>
        <w:t>7.如为联合体</w:t>
      </w:r>
      <w:r>
        <w:rPr>
          <w:rFonts w:hint="eastAsia" w:ascii="楷体" w:hAnsi="楷体" w:eastAsia="楷体" w:cs="宋体"/>
          <w:color w:val="auto"/>
          <w:sz w:val="24"/>
        </w:rPr>
        <w:t>参与竞争性谈判</w:t>
      </w:r>
      <w:r>
        <w:rPr>
          <w:rFonts w:ascii="楷体" w:hAnsi="楷体" w:eastAsia="楷体" w:cs="宋体"/>
          <w:color w:val="auto"/>
          <w:sz w:val="24"/>
        </w:rPr>
        <w:t>,盖章处须加盖联合体各方公章，</w:t>
      </w:r>
      <w:r>
        <w:rPr>
          <w:rFonts w:hint="eastAsia" w:ascii="楷体" w:hAnsi="楷体" w:eastAsia="楷体" w:cs="宋体"/>
          <w:b/>
          <w:color w:val="auto"/>
          <w:sz w:val="24"/>
        </w:rPr>
        <w:t>否则其响应文件按无效响应处理。</w:t>
      </w:r>
    </w:p>
    <w:p w14:paraId="00DD043A">
      <w:pPr>
        <w:spacing w:line="300" w:lineRule="exact"/>
        <w:ind w:firstLine="480" w:firstLineChars="200"/>
        <w:contextualSpacing/>
        <w:rPr>
          <w:rFonts w:ascii="楷体" w:hAnsi="楷体" w:eastAsia="楷体" w:cs="宋体"/>
          <w:b/>
          <w:color w:val="auto"/>
          <w:sz w:val="24"/>
        </w:rPr>
      </w:pPr>
      <w:r>
        <w:rPr>
          <w:rFonts w:ascii="楷体" w:hAnsi="楷体" w:eastAsia="楷体" w:cs="宋体"/>
          <w:color w:val="auto"/>
          <w:sz w:val="24"/>
        </w:rPr>
        <w:t>8.</w:t>
      </w:r>
      <w:r>
        <w:rPr>
          <w:rFonts w:hint="eastAsia" w:ascii="楷体" w:hAnsi="楷体" w:eastAsia="楷体" w:cs="宋体"/>
          <w:color w:val="auto"/>
          <w:spacing w:val="-6"/>
          <w:sz w:val="24"/>
        </w:rPr>
        <w:t>如有多分标，分别列明各分标的报价表，</w:t>
      </w:r>
      <w:r>
        <w:rPr>
          <w:rFonts w:hint="eastAsia" w:ascii="楷体" w:hAnsi="楷体" w:eastAsia="楷体" w:cs="宋体"/>
          <w:b/>
          <w:color w:val="auto"/>
          <w:spacing w:val="-6"/>
          <w:sz w:val="24"/>
        </w:rPr>
        <w:t>否则其响应文件按无效响应处理。</w:t>
      </w:r>
      <w:r>
        <w:rPr>
          <w:rFonts w:hint="eastAsia" w:ascii="楷体" w:hAnsi="楷体" w:eastAsia="楷体" w:cs="宋体"/>
          <w:b/>
          <w:color w:val="auto"/>
          <w:sz w:val="24"/>
        </w:rPr>
        <w:t>（采购人可根据项目情况自行修改是否需要联合体各方签字盖章）</w:t>
      </w:r>
    </w:p>
    <w:p w14:paraId="1CCCDF39">
      <w:pPr>
        <w:pStyle w:val="40"/>
        <w:rPr>
          <w:color w:val="auto"/>
        </w:rPr>
      </w:pPr>
    </w:p>
    <w:p w14:paraId="583B2745">
      <w:pPr>
        <w:spacing w:line="360" w:lineRule="auto"/>
        <w:ind w:firstLine="2640" w:firstLineChars="1100"/>
        <w:contextualSpacing/>
        <w:rPr>
          <w:rFonts w:ascii="宋体" w:hAnsi="宋体" w:cs="宋体"/>
          <w:color w:val="auto"/>
          <w:sz w:val="24"/>
        </w:rPr>
      </w:pPr>
      <w:r>
        <w:rPr>
          <w:rFonts w:hint="eastAsia" w:ascii="宋体" w:hAnsi="宋体" w:cs="宋体"/>
          <w:color w:val="auto"/>
          <w:sz w:val="24"/>
        </w:rPr>
        <w:t>法定代表人或者委托代理人（签字）：</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 xml:space="preserve">                    </w:t>
      </w:r>
    </w:p>
    <w:p w14:paraId="01C7527C">
      <w:pPr>
        <w:spacing w:line="360" w:lineRule="auto"/>
        <w:ind w:firstLine="2640" w:firstLineChars="1100"/>
        <w:contextualSpacing/>
        <w:rPr>
          <w:rFonts w:ascii="宋体" w:hAnsi="宋体" w:cs="宋体"/>
          <w:color w:val="auto"/>
          <w:sz w:val="24"/>
        </w:rPr>
      </w:pPr>
      <w:r>
        <w:rPr>
          <w:rFonts w:hint="eastAsia" w:ascii="宋体" w:hAnsi="宋体" w:cs="宋体"/>
          <w:color w:val="auto"/>
          <w:sz w:val="24"/>
        </w:rPr>
        <w:t>供应商（公章）：</w:t>
      </w:r>
      <w:r>
        <w:rPr>
          <w:rFonts w:ascii="宋体" w:hAnsi="宋体" w:cs="宋体"/>
          <w:color w:val="auto"/>
          <w:sz w:val="24"/>
          <w:u w:val="single"/>
        </w:rPr>
        <w:t xml:space="preserve">                          </w:t>
      </w:r>
      <w:r>
        <w:rPr>
          <w:rFonts w:hint="eastAsia" w:ascii="宋体" w:hAnsi="宋体" w:cs="宋体"/>
          <w:color w:val="auto"/>
          <w:sz w:val="24"/>
        </w:rPr>
        <w:t xml:space="preserve"> </w:t>
      </w:r>
    </w:p>
    <w:p w14:paraId="4B6058DD">
      <w:pPr>
        <w:spacing w:line="360" w:lineRule="auto"/>
        <w:ind w:firstLine="2640" w:firstLineChars="1100"/>
        <w:contextualSpacing/>
        <w:rPr>
          <w:rFonts w:ascii="宋体" w:hAnsi="宋体" w:cs="宋体"/>
          <w:b/>
          <w:color w:val="auto"/>
          <w:sz w:val="24"/>
        </w:rPr>
      </w:pPr>
      <w:r>
        <w:rPr>
          <w:rFonts w:hint="eastAsia" w:ascii="宋体" w:hAnsi="宋体" w:cs="宋体"/>
          <w:color w:val="auto"/>
          <w:sz w:val="24"/>
        </w:rPr>
        <w:t>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5E623850">
      <w:pPr>
        <w:spacing w:line="360" w:lineRule="auto"/>
        <w:jc w:val="center"/>
        <w:rPr>
          <w:rFonts w:ascii="宋体" w:hAnsi="宋体" w:cs="宋体"/>
          <w:b/>
          <w:color w:val="auto"/>
          <w:sz w:val="32"/>
          <w:szCs w:val="32"/>
        </w:rPr>
      </w:pPr>
      <w:r>
        <w:rPr>
          <w:rFonts w:hint="eastAsia" w:ascii="宋体" w:hAnsi="宋体" w:cs="宋体"/>
          <w:b/>
          <w:color w:val="auto"/>
          <w:sz w:val="32"/>
          <w:szCs w:val="32"/>
        </w:rPr>
        <w:br w:type="page"/>
      </w:r>
      <w:r>
        <w:rPr>
          <w:rFonts w:hint="eastAsia" w:ascii="宋体" w:hAnsi="宋体" w:cs="宋体"/>
          <w:b/>
          <w:bCs/>
          <w:color w:val="auto"/>
          <w:sz w:val="44"/>
          <w:szCs w:val="44"/>
        </w:rPr>
        <w:t>法定代表人身份证明</w:t>
      </w:r>
    </w:p>
    <w:p w14:paraId="3217834C">
      <w:pPr>
        <w:spacing w:line="360" w:lineRule="auto"/>
        <w:contextualSpacing/>
        <w:rPr>
          <w:rFonts w:ascii="宋体" w:hAnsi="宋体" w:cs="宋体"/>
          <w:color w:val="auto"/>
          <w:sz w:val="32"/>
          <w:szCs w:val="32"/>
        </w:rPr>
      </w:pPr>
    </w:p>
    <w:p w14:paraId="1AE6D942">
      <w:pPr>
        <w:spacing w:line="360" w:lineRule="auto"/>
        <w:contextualSpacing/>
        <w:rPr>
          <w:rFonts w:ascii="宋体" w:hAnsi="宋体" w:cs="宋体"/>
          <w:color w:val="auto"/>
          <w:sz w:val="24"/>
        </w:rPr>
      </w:pPr>
      <w:r>
        <w:rPr>
          <w:rFonts w:hint="eastAsia" w:ascii="宋体" w:hAnsi="宋体" w:cs="宋体"/>
          <w:color w:val="auto"/>
          <w:sz w:val="24"/>
        </w:rPr>
        <w:t>供应商名称：</w:t>
      </w:r>
      <w:r>
        <w:rPr>
          <w:rFonts w:hint="eastAsia" w:ascii="宋体" w:hAnsi="宋体" w:cs="宋体"/>
          <w:color w:val="auto"/>
          <w:sz w:val="24"/>
          <w:u w:val="single"/>
        </w:rPr>
        <w:t xml:space="preserve">                                                        </w:t>
      </w:r>
    </w:p>
    <w:p w14:paraId="6DC2D366">
      <w:pPr>
        <w:spacing w:line="360" w:lineRule="auto"/>
        <w:contextualSpacing/>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14:paraId="59BD41B8">
      <w:pPr>
        <w:spacing w:line="360" w:lineRule="auto"/>
        <w:contextualSpacing/>
        <w:rPr>
          <w:rFonts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xml:space="preserve">                        </w:t>
      </w:r>
      <w:r>
        <w:rPr>
          <w:rFonts w:hint="eastAsia" w:ascii="宋体" w:hAnsi="宋体" w:cs="宋体"/>
          <w:color w:val="auto"/>
          <w:sz w:val="24"/>
        </w:rPr>
        <w:t>性      别：</w:t>
      </w:r>
      <w:r>
        <w:rPr>
          <w:rFonts w:hint="eastAsia" w:ascii="宋体" w:hAnsi="宋体" w:cs="宋体"/>
          <w:color w:val="auto"/>
          <w:sz w:val="24"/>
          <w:u w:val="single"/>
        </w:rPr>
        <w:t xml:space="preserve">                      </w:t>
      </w:r>
    </w:p>
    <w:p w14:paraId="38DEED4F">
      <w:pPr>
        <w:spacing w:line="360" w:lineRule="auto"/>
        <w:contextualSpacing/>
        <w:rPr>
          <w:rFonts w:ascii="宋体" w:hAnsi="宋体" w:cs="宋体"/>
          <w:color w:val="auto"/>
          <w:sz w:val="24"/>
          <w:u w:val="single"/>
        </w:rPr>
      </w:pPr>
      <w:r>
        <w:rPr>
          <w:rFonts w:hint="eastAsia" w:ascii="宋体" w:hAnsi="宋体" w:cs="宋体"/>
          <w:color w:val="auto"/>
          <w:sz w:val="24"/>
        </w:rPr>
        <w:t>年    龄：</w:t>
      </w:r>
      <w:r>
        <w:rPr>
          <w:rFonts w:hint="eastAsia" w:ascii="宋体" w:hAnsi="宋体" w:cs="宋体"/>
          <w:color w:val="auto"/>
          <w:sz w:val="24"/>
          <w:u w:val="single"/>
        </w:rPr>
        <w:t xml:space="preserve">                        </w:t>
      </w:r>
      <w:r>
        <w:rPr>
          <w:rFonts w:hint="eastAsia" w:ascii="宋体" w:hAnsi="宋体" w:cs="宋体"/>
          <w:color w:val="auto"/>
          <w:sz w:val="24"/>
        </w:rPr>
        <w:t>职      务：</w:t>
      </w:r>
      <w:r>
        <w:rPr>
          <w:rFonts w:hint="eastAsia" w:ascii="宋体" w:hAnsi="宋体" w:cs="宋体"/>
          <w:color w:val="auto"/>
          <w:sz w:val="24"/>
          <w:u w:val="single"/>
        </w:rPr>
        <w:t xml:space="preserve">                      </w:t>
      </w:r>
    </w:p>
    <w:p w14:paraId="54E69FD8">
      <w:pPr>
        <w:spacing w:line="360" w:lineRule="auto"/>
        <w:contextualSpacing/>
        <w:rPr>
          <w:rFonts w:ascii="宋体" w:hAnsi="宋体" w:cs="宋体"/>
          <w:color w:val="auto"/>
          <w:sz w:val="24"/>
        </w:rPr>
      </w:pPr>
      <w:r>
        <w:rPr>
          <w:rFonts w:hint="eastAsia" w:ascii="宋体" w:hAnsi="宋体" w:cs="宋体"/>
          <w:color w:val="auto"/>
          <w:sz w:val="24"/>
        </w:rPr>
        <w:t>身份证号码：</w:t>
      </w:r>
      <w:r>
        <w:rPr>
          <w:rFonts w:hint="eastAsia" w:ascii="宋体" w:hAnsi="宋体" w:cs="宋体"/>
          <w:color w:val="auto"/>
          <w:sz w:val="24"/>
          <w:u w:val="single"/>
        </w:rPr>
        <w:t xml:space="preserve">                                                        </w:t>
      </w:r>
    </w:p>
    <w:p w14:paraId="6594A856">
      <w:pPr>
        <w:spacing w:line="360" w:lineRule="auto"/>
        <w:contextualSpacing/>
        <w:rPr>
          <w:rFonts w:ascii="宋体" w:hAnsi="宋体" w:cs="宋体"/>
          <w:color w:val="auto"/>
          <w:sz w:val="24"/>
        </w:rPr>
      </w:pPr>
      <w:r>
        <w:rPr>
          <w:rFonts w:hint="eastAsia" w:ascii="宋体" w:hAnsi="宋体" w:cs="宋体"/>
          <w:color w:val="auto"/>
          <w:sz w:val="24"/>
        </w:rPr>
        <w:t>系</w:t>
      </w:r>
      <w:r>
        <w:rPr>
          <w:rFonts w:hint="eastAsia" w:ascii="宋体" w:hAnsi="宋体" w:cs="宋体"/>
          <w:color w:val="auto"/>
          <w:sz w:val="24"/>
          <w:u w:val="single"/>
        </w:rPr>
        <w:t xml:space="preserve">    （供应商名称）   </w:t>
      </w:r>
      <w:r>
        <w:rPr>
          <w:rFonts w:hint="eastAsia" w:ascii="宋体" w:hAnsi="宋体" w:cs="宋体"/>
          <w:color w:val="auto"/>
          <w:sz w:val="24"/>
        </w:rPr>
        <w:t>的法定代表人。</w:t>
      </w:r>
    </w:p>
    <w:p w14:paraId="5FAAC850">
      <w:pPr>
        <w:spacing w:line="360" w:lineRule="auto"/>
        <w:contextualSpacing/>
        <w:rPr>
          <w:rFonts w:ascii="宋体" w:hAnsi="宋体" w:cs="宋体"/>
          <w:color w:val="auto"/>
          <w:sz w:val="24"/>
        </w:rPr>
      </w:pPr>
      <w:r>
        <w:rPr>
          <w:rFonts w:hint="eastAsia" w:ascii="宋体" w:hAnsi="宋体" w:cs="宋体"/>
          <w:color w:val="auto"/>
          <w:sz w:val="24"/>
        </w:rPr>
        <w:t>特此证明。</w:t>
      </w:r>
    </w:p>
    <w:p w14:paraId="5147B7E0">
      <w:pPr>
        <w:spacing w:line="360" w:lineRule="auto"/>
        <w:contextualSpacing/>
        <w:rPr>
          <w:rFonts w:ascii="宋体" w:hAnsi="宋体" w:cs="宋体"/>
          <w:color w:val="auto"/>
          <w:sz w:val="24"/>
        </w:rPr>
      </w:pPr>
    </w:p>
    <w:p w14:paraId="35AB9889">
      <w:pPr>
        <w:spacing w:line="360" w:lineRule="auto"/>
        <w:contextualSpacing/>
        <w:rPr>
          <w:rFonts w:ascii="宋体" w:hAnsi="宋体" w:cs="宋体"/>
          <w:color w:val="auto"/>
          <w:sz w:val="24"/>
        </w:rPr>
      </w:pPr>
    </w:p>
    <w:p w14:paraId="03E391D1">
      <w:pPr>
        <w:spacing w:line="360" w:lineRule="auto"/>
        <w:contextualSpacing/>
        <w:rPr>
          <w:rFonts w:ascii="宋体" w:hAnsi="宋体" w:cs="宋体"/>
          <w:color w:val="auto"/>
          <w:sz w:val="24"/>
        </w:rPr>
      </w:pPr>
    </w:p>
    <w:p w14:paraId="22BF5A03">
      <w:pPr>
        <w:spacing w:line="360" w:lineRule="auto"/>
        <w:contextualSpacing/>
        <w:rPr>
          <w:rFonts w:ascii="宋体" w:hAnsi="宋体" w:cs="宋体"/>
          <w:color w:val="auto"/>
          <w:sz w:val="24"/>
        </w:rPr>
      </w:pPr>
      <w:r>
        <w:rPr>
          <w:rFonts w:hint="eastAsia" w:ascii="宋体" w:hAnsi="宋体" w:cs="宋体"/>
          <w:color w:val="auto"/>
          <w:sz w:val="24"/>
        </w:rPr>
        <w:t>附件：法定代表人有效身份证正反面复印件</w:t>
      </w:r>
    </w:p>
    <w:p w14:paraId="21948D0D">
      <w:pPr>
        <w:spacing w:line="360" w:lineRule="auto"/>
        <w:contextualSpacing/>
        <w:rPr>
          <w:rFonts w:ascii="宋体" w:hAnsi="宋体" w:cs="宋体"/>
          <w:color w:val="auto"/>
          <w:sz w:val="24"/>
        </w:rPr>
      </w:pPr>
    </w:p>
    <w:p w14:paraId="5CC5F9B2">
      <w:pPr>
        <w:spacing w:line="360" w:lineRule="auto"/>
        <w:ind w:right="960" w:firstLine="5040" w:firstLineChars="2100"/>
        <w:contextualSpacing/>
        <w:rPr>
          <w:rFonts w:ascii="宋体" w:hAnsi="宋体" w:cs="宋体"/>
          <w:color w:val="auto"/>
          <w:sz w:val="24"/>
        </w:rPr>
      </w:pPr>
      <w:r>
        <w:rPr>
          <w:rFonts w:hint="eastAsia" w:ascii="宋体" w:hAnsi="宋体" w:cs="宋体"/>
          <w:color w:val="auto"/>
          <w:sz w:val="24"/>
        </w:rPr>
        <w:t>供应商（公章）：</w:t>
      </w:r>
      <w:r>
        <w:rPr>
          <w:rFonts w:hint="eastAsia" w:ascii="宋体" w:hAnsi="宋体" w:cs="宋体"/>
          <w:color w:val="auto"/>
          <w:sz w:val="24"/>
          <w:u w:val="single"/>
        </w:rPr>
        <w:t xml:space="preserve">               </w:t>
      </w:r>
    </w:p>
    <w:p w14:paraId="166C2946">
      <w:pPr>
        <w:spacing w:line="360" w:lineRule="auto"/>
        <w:ind w:firstLine="5040" w:firstLineChars="2100"/>
        <w:contextualSpacing/>
        <w:rPr>
          <w:rFonts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A4A8301">
      <w:pPr>
        <w:spacing w:line="360" w:lineRule="auto"/>
        <w:contextualSpacing/>
        <w:jc w:val="center"/>
        <w:rPr>
          <w:rFonts w:ascii="宋体" w:hAnsi="宋体" w:cs="宋体"/>
          <w:b/>
          <w:color w:val="auto"/>
          <w:sz w:val="24"/>
        </w:rPr>
      </w:pPr>
    </w:p>
    <w:p w14:paraId="680E28B9">
      <w:pPr>
        <w:spacing w:line="360" w:lineRule="auto"/>
        <w:contextualSpacing/>
        <w:jc w:val="left"/>
        <w:rPr>
          <w:rFonts w:ascii="楷体" w:hAnsi="楷体" w:eastAsia="楷体" w:cs="宋体"/>
          <w:b/>
          <w:color w:val="auto"/>
          <w:sz w:val="24"/>
        </w:rPr>
      </w:pPr>
      <w:r>
        <w:rPr>
          <w:rFonts w:hint="eastAsia" w:ascii="楷体" w:hAnsi="楷体" w:eastAsia="楷体" w:cs="宋体"/>
          <w:b/>
          <w:color w:val="auto"/>
          <w:sz w:val="24"/>
        </w:rPr>
        <w:t>注：</w:t>
      </w:r>
    </w:p>
    <w:p w14:paraId="0187A5DC">
      <w:pPr>
        <w:spacing w:line="360" w:lineRule="auto"/>
        <w:ind w:firstLine="480" w:firstLineChars="200"/>
        <w:contextualSpacing/>
        <w:jc w:val="left"/>
        <w:rPr>
          <w:rFonts w:ascii="楷体" w:hAnsi="楷体" w:eastAsia="楷体" w:cs="宋体"/>
          <w:color w:val="auto"/>
          <w:sz w:val="24"/>
        </w:rPr>
      </w:pPr>
      <w:r>
        <w:rPr>
          <w:rFonts w:hint="eastAsia" w:ascii="楷体" w:hAnsi="楷体" w:eastAsia="楷体" w:cs="宋体"/>
          <w:color w:val="auto"/>
          <w:sz w:val="24"/>
        </w:rPr>
        <w:t>自然人参与</w:t>
      </w:r>
      <w:r>
        <w:rPr>
          <w:rFonts w:hint="eastAsia" w:ascii="楷体" w:hAnsi="楷体" w:eastAsia="楷体" w:cs="宋体"/>
          <w:color w:val="auto"/>
          <w:sz w:val="24"/>
          <w:lang w:bidi="ar"/>
        </w:rPr>
        <w:t>竞争性谈判</w:t>
      </w:r>
      <w:r>
        <w:rPr>
          <w:rFonts w:hint="eastAsia" w:ascii="楷体" w:hAnsi="楷体" w:eastAsia="楷体" w:cs="宋体"/>
          <w:color w:val="auto"/>
          <w:sz w:val="24"/>
        </w:rPr>
        <w:t>的无需提供，联合体参与</w:t>
      </w:r>
      <w:r>
        <w:rPr>
          <w:rFonts w:hint="eastAsia" w:ascii="楷体" w:hAnsi="楷体" w:eastAsia="楷体" w:cs="宋体"/>
          <w:color w:val="auto"/>
          <w:sz w:val="24"/>
          <w:lang w:bidi="ar"/>
        </w:rPr>
        <w:t>竞争性谈判</w:t>
      </w:r>
      <w:r>
        <w:rPr>
          <w:rFonts w:hint="eastAsia" w:ascii="楷体" w:hAnsi="楷体" w:eastAsia="楷体" w:cs="宋体"/>
          <w:color w:val="auto"/>
          <w:sz w:val="24"/>
        </w:rPr>
        <w:t>的只需牵头人出具。</w:t>
      </w:r>
    </w:p>
    <w:p w14:paraId="4EE42795">
      <w:pPr>
        <w:adjustRightInd w:val="0"/>
        <w:snapToGrid w:val="0"/>
        <w:spacing w:line="360" w:lineRule="auto"/>
        <w:jc w:val="left"/>
        <w:rPr>
          <w:rFonts w:ascii="楷体" w:hAnsi="楷体" w:eastAsia="楷体" w:cs="宋体"/>
          <w:b/>
          <w:color w:val="auto"/>
          <w:szCs w:val="21"/>
        </w:rPr>
      </w:pPr>
    </w:p>
    <w:p w14:paraId="56030E4B">
      <w:pPr>
        <w:spacing w:line="360" w:lineRule="auto"/>
        <w:jc w:val="center"/>
        <w:rPr>
          <w:rFonts w:ascii="宋体" w:hAnsi="宋体" w:cs="宋体"/>
          <w:b/>
          <w:color w:val="auto"/>
          <w:sz w:val="44"/>
          <w:szCs w:val="44"/>
        </w:rPr>
      </w:pPr>
      <w:r>
        <w:rPr>
          <w:rFonts w:hint="eastAsia" w:ascii="宋体" w:hAnsi="宋体" w:cs="宋体"/>
          <w:color w:val="auto"/>
          <w:sz w:val="44"/>
          <w:szCs w:val="44"/>
        </w:rPr>
        <w:br w:type="page"/>
      </w:r>
      <w:r>
        <w:rPr>
          <w:rFonts w:hint="eastAsia" w:ascii="宋体" w:hAnsi="宋体" w:cs="宋体"/>
          <w:b/>
          <w:color w:val="auto"/>
          <w:sz w:val="44"/>
          <w:szCs w:val="44"/>
        </w:rPr>
        <w:t>授权委托书</w:t>
      </w:r>
    </w:p>
    <w:p w14:paraId="7AE3A7B5">
      <w:pPr>
        <w:spacing w:line="360" w:lineRule="auto"/>
        <w:jc w:val="center"/>
        <w:rPr>
          <w:rFonts w:ascii="宋体" w:hAnsi="宋体" w:cs="宋体"/>
          <w:color w:val="auto"/>
          <w:sz w:val="28"/>
          <w:szCs w:val="28"/>
        </w:rPr>
      </w:pPr>
      <w:r>
        <w:rPr>
          <w:rFonts w:hint="eastAsia" w:ascii="宋体" w:hAnsi="宋体" w:cs="宋体"/>
          <w:color w:val="auto"/>
          <w:sz w:val="28"/>
          <w:szCs w:val="28"/>
        </w:rPr>
        <w:t>（非联合体参与竞争性谈判格式）</w:t>
      </w:r>
    </w:p>
    <w:p w14:paraId="1CA65430">
      <w:pPr>
        <w:spacing w:line="360" w:lineRule="auto"/>
        <w:jc w:val="center"/>
        <w:rPr>
          <w:rFonts w:ascii="宋体" w:hAnsi="宋体" w:cs="宋体"/>
          <w:color w:val="auto"/>
          <w:sz w:val="28"/>
          <w:szCs w:val="28"/>
        </w:rPr>
      </w:pPr>
      <w:r>
        <w:rPr>
          <w:rFonts w:hint="eastAsia" w:ascii="宋体" w:hAnsi="宋体" w:cs="宋体"/>
          <w:color w:val="auto"/>
          <w:sz w:val="28"/>
          <w:szCs w:val="28"/>
        </w:rPr>
        <w:t>（如有委托时）</w:t>
      </w:r>
    </w:p>
    <w:p w14:paraId="5D65AA3E">
      <w:pPr>
        <w:spacing w:line="360" w:lineRule="auto"/>
        <w:contextualSpacing/>
        <w:rPr>
          <w:rFonts w:ascii="宋体" w:hAnsi="宋体" w:cs="宋体"/>
          <w:color w:val="auto"/>
          <w:sz w:val="32"/>
          <w:szCs w:val="32"/>
        </w:rPr>
      </w:pPr>
    </w:p>
    <w:p w14:paraId="51576489">
      <w:pPr>
        <w:spacing w:line="360" w:lineRule="auto"/>
        <w:contextualSpacing/>
        <w:rPr>
          <w:rFonts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（采购人名称）</w:t>
      </w:r>
      <w:r>
        <w:rPr>
          <w:rFonts w:hint="eastAsia" w:ascii="宋体" w:hAnsi="宋体" w:cs="宋体"/>
          <w:color w:val="auto"/>
          <w:sz w:val="24"/>
        </w:rPr>
        <w:t>：</w:t>
      </w:r>
    </w:p>
    <w:p w14:paraId="4B73668E">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w:t>
      </w:r>
      <w:r>
        <w:rPr>
          <w:rFonts w:hint="eastAsia" w:ascii="宋体" w:hAnsi="宋体" w:cs="宋体"/>
          <w:color w:val="auto"/>
          <w:sz w:val="24"/>
          <w:u w:val="single"/>
        </w:rPr>
        <w:t xml:space="preserve">  （姓名）  </w:t>
      </w:r>
      <w:r>
        <w:rPr>
          <w:rFonts w:hint="eastAsia" w:ascii="宋体" w:hAnsi="宋体" w:cs="宋体"/>
          <w:color w:val="auto"/>
          <w:sz w:val="24"/>
        </w:rPr>
        <w:t>系</w:t>
      </w:r>
      <w:r>
        <w:rPr>
          <w:rFonts w:hint="eastAsia" w:ascii="宋体" w:hAnsi="宋体" w:cs="宋体"/>
          <w:color w:val="auto"/>
          <w:sz w:val="24"/>
          <w:u w:val="single"/>
        </w:rPr>
        <w:t xml:space="preserve">  （供应商名称）  </w:t>
      </w:r>
      <w:r>
        <w:rPr>
          <w:rFonts w:hint="eastAsia" w:ascii="宋体" w:hAnsi="宋体" w:cs="宋体"/>
          <w:color w:val="auto"/>
          <w:sz w:val="24"/>
        </w:rPr>
        <w:t>的（</w:t>
      </w:r>
      <w:r>
        <w:rPr>
          <w:rFonts w:hint="eastAsia" w:ascii="宋体" w:hAnsi="宋体" w:cs="宋体"/>
          <w:color w:val="auto"/>
          <w:sz w:val="24"/>
          <w:u w:val="single"/>
        </w:rPr>
        <w:t>□法定代表人/□负责人/□自然人本人</w:t>
      </w:r>
      <w:r>
        <w:rPr>
          <w:rFonts w:hint="eastAsia" w:ascii="宋体" w:hAnsi="宋体" w:cs="宋体"/>
          <w:color w:val="auto"/>
          <w:sz w:val="24"/>
        </w:rPr>
        <w:t>），现授权</w:t>
      </w:r>
      <w:r>
        <w:rPr>
          <w:rFonts w:hint="eastAsia" w:ascii="宋体" w:hAnsi="宋体" w:cs="宋体"/>
          <w:color w:val="auto"/>
          <w:sz w:val="24"/>
          <w:u w:val="single"/>
        </w:rPr>
        <w:t xml:space="preserve"> （姓名） </w:t>
      </w:r>
      <w:r>
        <w:rPr>
          <w:rFonts w:hint="eastAsia" w:ascii="宋体" w:hAnsi="宋体" w:cs="宋体"/>
          <w:color w:val="auto"/>
          <w:sz w:val="24"/>
        </w:rPr>
        <w:t>以我方的名义参加</w:t>
      </w:r>
      <w:r>
        <w:rPr>
          <w:rFonts w:hint="eastAsia" w:ascii="宋体" w:hAnsi="宋体" w:cs="宋体"/>
          <w:color w:val="auto"/>
          <w:sz w:val="24"/>
          <w:u w:val="single"/>
        </w:rPr>
        <w:t xml:space="preserve">              </w:t>
      </w:r>
      <w:r>
        <w:rPr>
          <w:rFonts w:hint="eastAsia" w:ascii="宋体" w:hAnsi="宋体" w:cs="宋体"/>
          <w:color w:val="auto"/>
          <w:sz w:val="24"/>
        </w:rPr>
        <w:t>项目的</w:t>
      </w:r>
      <w:r>
        <w:rPr>
          <w:rFonts w:hint="eastAsia" w:ascii="宋体" w:hAnsi="宋体" w:cs="宋体"/>
          <w:color w:val="auto"/>
          <w:sz w:val="24"/>
          <w:lang w:bidi="ar"/>
        </w:rPr>
        <w:t>竞争性谈判</w:t>
      </w:r>
      <w:r>
        <w:rPr>
          <w:rFonts w:hint="eastAsia" w:ascii="宋体" w:hAnsi="宋体" w:cs="宋体"/>
          <w:color w:val="auto"/>
          <w:sz w:val="24"/>
        </w:rPr>
        <w:t>活动，并代表我方全权办理针对上述项目的所有采购程序和环节的具体事务和签署相关文件。</w:t>
      </w:r>
    </w:p>
    <w:p w14:paraId="551892F6">
      <w:pPr>
        <w:spacing w:line="360" w:lineRule="auto"/>
        <w:contextualSpacing/>
        <w:rPr>
          <w:rFonts w:ascii="宋体" w:hAnsi="宋体" w:cs="宋体"/>
          <w:color w:val="auto"/>
          <w:sz w:val="24"/>
        </w:rPr>
      </w:pPr>
      <w:r>
        <w:rPr>
          <w:rFonts w:hint="eastAsia" w:ascii="宋体" w:hAnsi="宋体" w:cs="宋体"/>
          <w:color w:val="auto"/>
          <w:sz w:val="24"/>
        </w:rPr>
        <w:t xml:space="preserve">    我方对委托代理人的签字事项负全部责任。</w:t>
      </w:r>
    </w:p>
    <w:p w14:paraId="1A5B4077">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本授权书自签署之日起生效，在撤销授权的书面通知以前，本授权书一直有效。委托代理人在授权书有效期内签署的所有文件不因授权的撤销而失效。</w:t>
      </w:r>
    </w:p>
    <w:p w14:paraId="1323CD42">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委托代理人无转委托权，特此委托。</w:t>
      </w:r>
    </w:p>
    <w:p w14:paraId="79BA731C">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附：法定代表人身份证明及委托代理人有效身份证正反面复印件</w:t>
      </w:r>
    </w:p>
    <w:p w14:paraId="172046CD">
      <w:pPr>
        <w:spacing w:line="360" w:lineRule="auto"/>
        <w:contextualSpacing/>
        <w:rPr>
          <w:rFonts w:ascii="宋体" w:hAnsi="宋体" w:cs="宋体"/>
          <w:color w:val="auto"/>
          <w:sz w:val="24"/>
        </w:rPr>
      </w:pPr>
    </w:p>
    <w:p w14:paraId="74BCE045">
      <w:pPr>
        <w:spacing w:line="360" w:lineRule="auto"/>
        <w:contextualSpacing/>
        <w:rPr>
          <w:rFonts w:ascii="宋体" w:hAnsi="宋体" w:cs="宋体"/>
          <w:color w:val="auto"/>
          <w:sz w:val="24"/>
        </w:rPr>
      </w:pPr>
      <w:r>
        <w:rPr>
          <w:rFonts w:hint="eastAsia" w:ascii="宋体" w:hAnsi="宋体" w:cs="宋体"/>
          <w:color w:val="auto"/>
          <w:sz w:val="24"/>
        </w:rPr>
        <w:t>委托代理人（签字）：</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 xml:space="preserve">         法定代表人（签字）：</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 xml:space="preserve">                    </w:t>
      </w:r>
    </w:p>
    <w:p w14:paraId="49EFB7C6">
      <w:pPr>
        <w:spacing w:line="360" w:lineRule="auto"/>
        <w:contextualSpacing/>
        <w:rPr>
          <w:rFonts w:ascii="宋体" w:hAnsi="宋体" w:cs="宋体"/>
          <w:color w:val="auto"/>
          <w:sz w:val="24"/>
        </w:rPr>
      </w:pPr>
      <w:r>
        <w:rPr>
          <w:rFonts w:hint="eastAsia" w:ascii="宋体" w:hAnsi="宋体" w:cs="宋体"/>
          <w:color w:val="auto"/>
          <w:sz w:val="24"/>
        </w:rPr>
        <w:t>委托代理人身份证号码：</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 xml:space="preserve">                              </w:t>
      </w:r>
    </w:p>
    <w:p w14:paraId="5F1EEA7E">
      <w:pPr>
        <w:spacing w:line="360" w:lineRule="auto"/>
        <w:contextualSpacing/>
        <w:rPr>
          <w:rFonts w:ascii="宋体" w:hAnsi="宋体" w:cs="宋体"/>
          <w:color w:val="auto"/>
          <w:sz w:val="24"/>
        </w:rPr>
      </w:pPr>
      <w:r>
        <w:rPr>
          <w:rFonts w:hint="eastAsia" w:ascii="宋体" w:hAnsi="宋体" w:cs="宋体"/>
          <w:color w:val="auto"/>
          <w:sz w:val="24"/>
        </w:rPr>
        <w:t xml:space="preserve">                                </w:t>
      </w:r>
    </w:p>
    <w:p w14:paraId="2E3476D8">
      <w:pPr>
        <w:spacing w:line="360" w:lineRule="auto"/>
        <w:contextualSpacing/>
        <w:rPr>
          <w:rFonts w:ascii="宋体" w:hAnsi="宋体" w:cs="宋体"/>
          <w:color w:val="auto"/>
          <w:sz w:val="24"/>
        </w:rPr>
      </w:pPr>
      <w:r>
        <w:rPr>
          <w:rFonts w:hint="eastAsia" w:ascii="宋体" w:hAnsi="宋体" w:cs="宋体"/>
          <w:color w:val="auto"/>
          <w:sz w:val="24"/>
        </w:rPr>
        <w:t xml:space="preserve">                         供应商（公章）：</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 xml:space="preserve">                      </w:t>
      </w:r>
    </w:p>
    <w:p w14:paraId="0C432F8C">
      <w:pPr>
        <w:spacing w:line="360" w:lineRule="auto"/>
        <w:contextualSpacing/>
        <w:rPr>
          <w:rFonts w:ascii="宋体" w:hAnsi="宋体" w:cs="宋体"/>
          <w:color w:val="auto"/>
          <w:sz w:val="24"/>
        </w:rPr>
      </w:pPr>
      <w:r>
        <w:rPr>
          <w:rFonts w:hint="eastAsia" w:ascii="宋体" w:hAnsi="宋体" w:cs="宋体"/>
          <w:color w:val="auto"/>
          <w:sz w:val="24"/>
        </w:rPr>
        <w:t xml:space="preserve">                         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612820D1">
      <w:pPr>
        <w:spacing w:line="360" w:lineRule="auto"/>
        <w:contextualSpacing/>
        <w:rPr>
          <w:rFonts w:ascii="宋体" w:hAnsi="宋体" w:cs="宋体"/>
          <w:color w:val="auto"/>
          <w:sz w:val="24"/>
        </w:rPr>
      </w:pPr>
    </w:p>
    <w:p w14:paraId="7B40D91C">
      <w:pPr>
        <w:spacing w:line="360" w:lineRule="auto"/>
        <w:contextualSpacing/>
        <w:rPr>
          <w:rFonts w:ascii="楷体" w:hAnsi="楷体" w:eastAsia="楷体" w:cs="宋体"/>
          <w:b/>
          <w:color w:val="auto"/>
          <w:sz w:val="24"/>
        </w:rPr>
      </w:pPr>
      <w:r>
        <w:rPr>
          <w:rFonts w:hint="eastAsia" w:ascii="楷体" w:hAnsi="楷体" w:eastAsia="楷体" w:cs="宋体"/>
          <w:b/>
          <w:color w:val="auto"/>
          <w:sz w:val="24"/>
        </w:rPr>
        <w:t>注：</w:t>
      </w:r>
    </w:p>
    <w:p w14:paraId="25151E8D">
      <w:pPr>
        <w:spacing w:line="360" w:lineRule="auto"/>
        <w:ind w:firstLine="480" w:firstLineChars="200"/>
        <w:contextualSpacing/>
        <w:rPr>
          <w:rFonts w:ascii="楷体" w:hAnsi="楷体" w:eastAsia="楷体" w:cs="宋体"/>
          <w:color w:val="auto"/>
          <w:sz w:val="24"/>
        </w:rPr>
      </w:pPr>
      <w:r>
        <w:rPr>
          <w:rFonts w:ascii="楷体" w:hAnsi="楷体" w:eastAsia="楷体" w:cs="宋体"/>
          <w:color w:val="auto"/>
          <w:sz w:val="24"/>
        </w:rPr>
        <w:t>1.</w:t>
      </w:r>
      <w:r>
        <w:rPr>
          <w:rFonts w:hint="eastAsia" w:ascii="楷体" w:hAnsi="楷体" w:eastAsia="楷体" w:cs="宋体"/>
          <w:color w:val="auto"/>
          <w:sz w:val="24"/>
        </w:rPr>
        <w:t>法定代表人必须在授权委托书上亲笔签字或者盖章，委托代理人必须在授权委托书上亲笔签字，</w:t>
      </w:r>
      <w:r>
        <w:rPr>
          <w:rFonts w:hint="eastAsia" w:ascii="楷体" w:hAnsi="楷体" w:eastAsia="楷体" w:cs="宋体"/>
          <w:b/>
          <w:color w:val="auto"/>
          <w:sz w:val="24"/>
        </w:rPr>
        <w:t>否则其响应文件按无效响应处理。</w:t>
      </w:r>
    </w:p>
    <w:p w14:paraId="760F39AD">
      <w:pPr>
        <w:spacing w:line="360" w:lineRule="auto"/>
        <w:ind w:firstLine="480" w:firstLineChars="200"/>
        <w:contextualSpacing/>
        <w:jc w:val="left"/>
        <w:rPr>
          <w:rFonts w:ascii="楷体" w:hAnsi="楷体" w:eastAsia="楷体" w:cs="宋体"/>
          <w:color w:val="auto"/>
          <w:sz w:val="24"/>
        </w:rPr>
      </w:pPr>
      <w:r>
        <w:rPr>
          <w:rFonts w:ascii="楷体" w:hAnsi="楷体" w:eastAsia="楷体" w:cs="宋体"/>
          <w:color w:val="auto"/>
          <w:sz w:val="24"/>
        </w:rPr>
        <w:t>2.法人、其他组织</w:t>
      </w:r>
      <w:r>
        <w:rPr>
          <w:rFonts w:hint="eastAsia" w:ascii="楷体" w:hAnsi="楷体" w:eastAsia="楷体" w:cs="宋体"/>
          <w:color w:val="auto"/>
          <w:sz w:val="24"/>
        </w:rPr>
        <w:t>参与</w:t>
      </w:r>
      <w:r>
        <w:rPr>
          <w:rFonts w:hint="eastAsia" w:ascii="楷体" w:hAnsi="楷体" w:eastAsia="楷体" w:cs="宋体"/>
          <w:color w:val="auto"/>
          <w:sz w:val="24"/>
          <w:lang w:bidi="ar"/>
        </w:rPr>
        <w:t>竞争性谈判</w:t>
      </w:r>
      <w:r>
        <w:rPr>
          <w:rFonts w:hint="eastAsia" w:ascii="楷体" w:hAnsi="楷体" w:eastAsia="楷体" w:cs="宋体"/>
          <w:color w:val="auto"/>
          <w:sz w:val="24"/>
        </w:rPr>
        <w:t>时“我方”是指“我单位”，自然人参与</w:t>
      </w:r>
      <w:r>
        <w:rPr>
          <w:rFonts w:hint="eastAsia" w:ascii="楷体" w:hAnsi="楷体" w:eastAsia="楷体" w:cs="宋体"/>
          <w:color w:val="auto"/>
          <w:sz w:val="24"/>
          <w:lang w:bidi="ar"/>
        </w:rPr>
        <w:t>竞争性谈判</w:t>
      </w:r>
      <w:r>
        <w:rPr>
          <w:rFonts w:hint="eastAsia" w:ascii="楷体" w:hAnsi="楷体" w:eastAsia="楷体" w:cs="宋体"/>
          <w:color w:val="auto"/>
          <w:sz w:val="24"/>
        </w:rPr>
        <w:t>时“我方”是指“本人”。</w:t>
      </w:r>
    </w:p>
    <w:p w14:paraId="4784B759">
      <w:pPr>
        <w:spacing w:line="360" w:lineRule="auto"/>
        <w:ind w:firstLine="420" w:firstLineChars="200"/>
        <w:contextualSpacing/>
        <w:jc w:val="left"/>
        <w:rPr>
          <w:rFonts w:ascii="宋体" w:hAnsi="宋体" w:cs="宋体"/>
          <w:color w:val="auto"/>
          <w:szCs w:val="21"/>
        </w:rPr>
      </w:pPr>
    </w:p>
    <w:p w14:paraId="3033825F">
      <w:pPr>
        <w:spacing w:line="360" w:lineRule="auto"/>
        <w:contextualSpacing/>
        <w:jc w:val="center"/>
        <w:rPr>
          <w:rFonts w:ascii="宋体" w:hAnsi="宋体" w:cs="宋体"/>
          <w:b/>
          <w:color w:val="auto"/>
          <w:sz w:val="44"/>
          <w:szCs w:val="44"/>
        </w:rPr>
      </w:pPr>
      <w:r>
        <w:rPr>
          <w:rFonts w:hint="eastAsia" w:ascii="宋体" w:hAnsi="宋体" w:cs="宋体"/>
          <w:color w:val="auto"/>
          <w:szCs w:val="21"/>
        </w:rPr>
        <w:br w:type="page"/>
      </w:r>
      <w:r>
        <w:rPr>
          <w:rFonts w:hint="eastAsia" w:ascii="宋体" w:hAnsi="宋体" w:cs="宋体"/>
          <w:b/>
          <w:color w:val="auto"/>
          <w:sz w:val="44"/>
          <w:szCs w:val="44"/>
        </w:rPr>
        <w:t>授权委托书</w:t>
      </w:r>
    </w:p>
    <w:p w14:paraId="75CDAD18">
      <w:pPr>
        <w:spacing w:line="360" w:lineRule="auto"/>
        <w:contextualSpacing/>
        <w:jc w:val="center"/>
        <w:rPr>
          <w:rFonts w:ascii="宋体" w:hAnsi="宋体" w:cs="宋体"/>
          <w:color w:val="auto"/>
          <w:sz w:val="28"/>
          <w:szCs w:val="28"/>
        </w:rPr>
      </w:pPr>
      <w:r>
        <w:rPr>
          <w:rFonts w:hint="eastAsia" w:ascii="宋体" w:hAnsi="宋体" w:cs="宋体"/>
          <w:color w:val="auto"/>
          <w:sz w:val="28"/>
          <w:szCs w:val="28"/>
        </w:rPr>
        <w:t>（联合体参与竞争性谈判格式）</w:t>
      </w:r>
    </w:p>
    <w:p w14:paraId="767A7C01">
      <w:pPr>
        <w:spacing w:line="360" w:lineRule="auto"/>
        <w:contextualSpacing/>
        <w:jc w:val="center"/>
        <w:rPr>
          <w:rFonts w:ascii="宋体" w:hAnsi="宋体" w:cs="宋体"/>
          <w:color w:val="auto"/>
          <w:sz w:val="28"/>
          <w:szCs w:val="28"/>
        </w:rPr>
      </w:pPr>
      <w:r>
        <w:rPr>
          <w:rFonts w:hint="eastAsia" w:ascii="宋体" w:hAnsi="宋体" w:cs="宋体"/>
          <w:color w:val="auto"/>
          <w:sz w:val="28"/>
          <w:szCs w:val="28"/>
        </w:rPr>
        <w:t>（如有委托时）</w:t>
      </w:r>
    </w:p>
    <w:p w14:paraId="19C85101">
      <w:pPr>
        <w:spacing w:line="360" w:lineRule="auto"/>
        <w:contextualSpacing/>
        <w:rPr>
          <w:rFonts w:ascii="宋体" w:hAnsi="宋体" w:cs="宋体"/>
          <w:color w:val="auto"/>
          <w:sz w:val="32"/>
          <w:szCs w:val="32"/>
        </w:rPr>
      </w:pPr>
    </w:p>
    <w:p w14:paraId="0C6D5C30">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本授权委托书声明：根据</w:t>
      </w:r>
      <w:r>
        <w:rPr>
          <w:rFonts w:hint="eastAsia" w:ascii="宋体" w:hAnsi="宋体" w:cs="宋体"/>
          <w:color w:val="auto"/>
          <w:sz w:val="24"/>
          <w:u w:val="single"/>
        </w:rPr>
        <w:t xml:space="preserve">                </w:t>
      </w:r>
      <w:r>
        <w:rPr>
          <w:rFonts w:hint="eastAsia" w:ascii="宋体" w:hAnsi="宋体" w:cs="宋体"/>
          <w:color w:val="auto"/>
          <w:sz w:val="24"/>
        </w:rPr>
        <w:t>（牵头人名称）与</w:t>
      </w:r>
      <w:r>
        <w:rPr>
          <w:rFonts w:hint="eastAsia" w:ascii="宋体" w:hAnsi="宋体" w:cs="宋体"/>
          <w:color w:val="auto"/>
          <w:sz w:val="24"/>
          <w:u w:val="single"/>
        </w:rPr>
        <w:t xml:space="preserve">              </w:t>
      </w:r>
      <w:r>
        <w:rPr>
          <w:rFonts w:hint="eastAsia" w:ascii="宋体" w:hAnsi="宋体" w:cs="宋体"/>
          <w:color w:val="auto"/>
          <w:sz w:val="24"/>
        </w:rPr>
        <w:t>（联合体其他成员名称）签订的《联合体参与竞争性谈判协议书》的内容，</w:t>
      </w:r>
      <w:r>
        <w:rPr>
          <w:rFonts w:hint="eastAsia" w:ascii="宋体" w:hAnsi="宋体" w:cs="宋体"/>
          <w:color w:val="auto"/>
          <w:sz w:val="24"/>
          <w:u w:val="single"/>
        </w:rPr>
        <w:t xml:space="preserve">                       </w:t>
      </w:r>
      <w:r>
        <w:rPr>
          <w:rFonts w:hint="eastAsia" w:ascii="宋体" w:hAnsi="宋体" w:cs="宋体"/>
          <w:color w:val="auto"/>
          <w:sz w:val="24"/>
        </w:rPr>
        <w:t>（牵头人名称）的法定代表人</w:t>
      </w:r>
      <w:r>
        <w:rPr>
          <w:rFonts w:hint="eastAsia" w:ascii="宋体" w:hAnsi="宋体" w:cs="宋体"/>
          <w:color w:val="auto"/>
          <w:sz w:val="24"/>
          <w:u w:val="single"/>
        </w:rPr>
        <w:t xml:space="preserve">      </w:t>
      </w:r>
      <w:r>
        <w:rPr>
          <w:rFonts w:hint="eastAsia" w:ascii="宋体" w:hAnsi="宋体" w:cs="宋体"/>
          <w:color w:val="auto"/>
          <w:sz w:val="24"/>
        </w:rPr>
        <w:t>（姓名）现授权</w:t>
      </w:r>
      <w:r>
        <w:rPr>
          <w:rFonts w:hint="eastAsia" w:ascii="宋体" w:hAnsi="宋体" w:cs="宋体"/>
          <w:color w:val="auto"/>
          <w:sz w:val="24"/>
          <w:u w:val="single"/>
        </w:rPr>
        <w:t xml:space="preserve">      </w:t>
      </w:r>
      <w:r>
        <w:rPr>
          <w:rFonts w:hint="eastAsia" w:ascii="宋体" w:hAnsi="宋体" w:cs="宋体"/>
          <w:color w:val="auto"/>
          <w:sz w:val="24"/>
        </w:rPr>
        <w:t>（姓名）为联合委托代理人，并代表我方全权办理针对上述项目的所有采购程序和环节的具体事务和签署相关文件。</w:t>
      </w:r>
    </w:p>
    <w:p w14:paraId="1BF0A3B3">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我方对委托代理人的签字事项负全部责任。</w:t>
      </w:r>
    </w:p>
    <w:p w14:paraId="61D4FCE2">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本授权书自签署之日起生效，在撤销授权的书面通知以前，本授权书一直有效。委托代理人在授权书有效期内签署的所有文件不因授权的撤销而失效。</w:t>
      </w:r>
    </w:p>
    <w:p w14:paraId="0E206A8A">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委托代理人无转委托权，特此委托。</w:t>
      </w:r>
    </w:p>
    <w:p w14:paraId="53E0D82E">
      <w:pPr>
        <w:spacing w:line="360" w:lineRule="auto"/>
        <w:contextualSpacing/>
        <w:rPr>
          <w:rFonts w:ascii="宋体" w:hAnsi="宋体" w:cs="宋体"/>
          <w:color w:val="auto"/>
          <w:sz w:val="24"/>
        </w:rPr>
      </w:pPr>
      <w:r>
        <w:rPr>
          <w:rFonts w:hint="eastAsia" w:ascii="宋体" w:hAnsi="宋体" w:cs="宋体"/>
          <w:color w:val="auto"/>
          <w:sz w:val="24"/>
        </w:rPr>
        <w:t xml:space="preserve">    附：法定代表人身份证明及委托代理人有效身份证正反面复印件</w:t>
      </w:r>
    </w:p>
    <w:p w14:paraId="7793B9FF">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牵头人法定代表人（签字）：</w:t>
      </w:r>
    </w:p>
    <w:p w14:paraId="47AB54C7">
      <w:pPr>
        <w:spacing w:line="360" w:lineRule="auto"/>
        <w:ind w:firstLine="3120" w:firstLineChars="1300"/>
        <w:contextualSpacing/>
        <w:rPr>
          <w:rFonts w:ascii="宋体" w:hAnsi="宋体" w:cs="宋体"/>
          <w:color w:val="auto"/>
          <w:sz w:val="24"/>
          <w:u w:val="single"/>
        </w:rPr>
      </w:pPr>
      <w:r>
        <w:rPr>
          <w:rFonts w:hint="eastAsia" w:ascii="宋体" w:hAnsi="宋体" w:cs="宋体"/>
          <w:color w:val="auto"/>
          <w:sz w:val="24"/>
        </w:rPr>
        <w:t>牵头人（公章）：</w:t>
      </w:r>
      <w:r>
        <w:rPr>
          <w:rFonts w:hint="eastAsia" w:ascii="宋体" w:hAnsi="宋体" w:cs="宋体"/>
          <w:color w:val="auto"/>
          <w:sz w:val="24"/>
          <w:u w:val="single"/>
        </w:rPr>
        <w:t xml:space="preserve"> </w:t>
      </w:r>
      <w:r>
        <w:rPr>
          <w:rFonts w:ascii="宋体" w:hAnsi="宋体" w:cs="宋体"/>
          <w:color w:val="auto"/>
          <w:sz w:val="24"/>
          <w:u w:val="single"/>
        </w:rPr>
        <w:t xml:space="preserve">            </w:t>
      </w:r>
    </w:p>
    <w:p w14:paraId="2CDB023F">
      <w:pPr>
        <w:spacing w:line="360" w:lineRule="auto"/>
        <w:ind w:firstLine="3840" w:firstLineChars="1600"/>
        <w:contextualSpacing/>
        <w:rPr>
          <w:rFonts w:ascii="宋体" w:hAnsi="宋体" w:cs="宋体"/>
          <w:color w:val="auto"/>
          <w:sz w:val="24"/>
        </w:rPr>
      </w:pPr>
      <w:r>
        <w:rPr>
          <w:rFonts w:hint="eastAsia" w:ascii="宋体" w:hAnsi="宋体" w:cs="宋体"/>
          <w:color w:val="auto"/>
          <w:sz w:val="24"/>
        </w:rPr>
        <w:t>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74763D03">
      <w:pPr>
        <w:spacing w:line="360" w:lineRule="auto"/>
        <w:contextualSpacing/>
        <w:rPr>
          <w:rFonts w:ascii="宋体" w:hAnsi="宋体" w:cs="宋体"/>
          <w:color w:val="auto"/>
          <w:sz w:val="24"/>
        </w:rPr>
      </w:pPr>
    </w:p>
    <w:p w14:paraId="29FB3F13">
      <w:pPr>
        <w:spacing w:line="360" w:lineRule="auto"/>
        <w:ind w:firstLine="3120" w:firstLineChars="1300"/>
        <w:contextualSpacing/>
        <w:rPr>
          <w:rFonts w:ascii="宋体" w:hAnsi="宋体" w:cs="宋体"/>
          <w:color w:val="auto"/>
          <w:sz w:val="24"/>
          <w:u w:val="single"/>
        </w:rPr>
      </w:pPr>
      <w:r>
        <w:rPr>
          <w:rFonts w:hint="eastAsia" w:ascii="宋体" w:hAnsi="宋体" w:cs="宋体"/>
          <w:color w:val="auto"/>
          <w:sz w:val="24"/>
        </w:rPr>
        <w:t>被授权人（签字）：</w:t>
      </w:r>
      <w:r>
        <w:rPr>
          <w:rFonts w:hint="eastAsia" w:ascii="宋体" w:hAnsi="宋体" w:cs="宋体"/>
          <w:color w:val="auto"/>
          <w:sz w:val="24"/>
          <w:u w:val="single"/>
        </w:rPr>
        <w:t xml:space="preserve"> </w:t>
      </w:r>
      <w:r>
        <w:rPr>
          <w:rFonts w:ascii="宋体" w:hAnsi="宋体" w:cs="宋体"/>
          <w:color w:val="auto"/>
          <w:sz w:val="24"/>
          <w:u w:val="single"/>
        </w:rPr>
        <w:t xml:space="preserve">                  </w:t>
      </w:r>
    </w:p>
    <w:p w14:paraId="76D6BAEF">
      <w:pPr>
        <w:spacing w:line="360" w:lineRule="auto"/>
        <w:ind w:firstLine="3840" w:firstLineChars="1600"/>
        <w:contextualSpacing/>
        <w:rPr>
          <w:rFonts w:ascii="宋体" w:hAnsi="宋体" w:cs="宋体"/>
          <w:color w:val="auto"/>
          <w:sz w:val="24"/>
        </w:rPr>
      </w:pPr>
      <w:r>
        <w:rPr>
          <w:rFonts w:hint="eastAsia" w:ascii="宋体" w:hAnsi="宋体" w:cs="宋体"/>
          <w:color w:val="auto"/>
          <w:sz w:val="24"/>
        </w:rPr>
        <w:t>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1EB99561">
      <w:pPr>
        <w:spacing w:line="360" w:lineRule="auto"/>
        <w:contextualSpacing/>
        <w:rPr>
          <w:rFonts w:ascii="宋体" w:hAnsi="宋体" w:cs="宋体"/>
          <w:color w:val="auto"/>
          <w:sz w:val="24"/>
        </w:rPr>
      </w:pPr>
    </w:p>
    <w:p w14:paraId="28B89293">
      <w:pPr>
        <w:spacing w:line="360" w:lineRule="auto"/>
        <w:contextualSpacing/>
        <w:rPr>
          <w:rFonts w:ascii="楷体" w:hAnsi="楷体" w:eastAsia="楷体" w:cs="宋体"/>
          <w:b/>
          <w:color w:val="auto"/>
          <w:sz w:val="24"/>
        </w:rPr>
      </w:pPr>
      <w:r>
        <w:rPr>
          <w:rFonts w:hint="eastAsia" w:ascii="楷体" w:hAnsi="楷体" w:eastAsia="楷体" w:cs="宋体"/>
          <w:b/>
          <w:color w:val="auto"/>
          <w:sz w:val="24"/>
        </w:rPr>
        <w:t>注：</w:t>
      </w:r>
    </w:p>
    <w:p w14:paraId="70CCA46A">
      <w:pPr>
        <w:spacing w:line="360" w:lineRule="auto"/>
        <w:ind w:firstLine="480" w:firstLineChars="200"/>
        <w:contextualSpacing/>
        <w:rPr>
          <w:rFonts w:ascii="楷体" w:hAnsi="楷体" w:eastAsia="楷体" w:cs="宋体"/>
          <w:color w:val="auto"/>
          <w:sz w:val="24"/>
        </w:rPr>
      </w:pPr>
      <w:r>
        <w:rPr>
          <w:rFonts w:ascii="楷体" w:hAnsi="楷体" w:eastAsia="楷体" w:cs="宋体"/>
          <w:color w:val="auto"/>
          <w:sz w:val="24"/>
        </w:rPr>
        <w:t>1.</w:t>
      </w:r>
      <w:r>
        <w:rPr>
          <w:rFonts w:hint="eastAsia" w:ascii="楷体" w:hAnsi="楷体" w:eastAsia="楷体" w:cs="宋体"/>
          <w:color w:val="auto"/>
          <w:sz w:val="24"/>
        </w:rPr>
        <w:t>法定代表人必须在授权委托书上亲笔签字或者盖章，委托代理人必须在授权委托书上亲笔签字，</w:t>
      </w:r>
      <w:r>
        <w:rPr>
          <w:rFonts w:hint="eastAsia" w:ascii="楷体" w:hAnsi="楷体" w:eastAsia="楷体" w:cs="宋体"/>
          <w:b/>
          <w:bCs/>
          <w:color w:val="auto"/>
          <w:sz w:val="24"/>
        </w:rPr>
        <w:t>否</w:t>
      </w:r>
      <w:r>
        <w:rPr>
          <w:rFonts w:hint="eastAsia" w:ascii="楷体" w:hAnsi="楷体" w:eastAsia="楷体" w:cs="宋体"/>
          <w:b/>
          <w:color w:val="auto"/>
          <w:sz w:val="24"/>
        </w:rPr>
        <w:t>则其响应文件按无效响应处理。</w:t>
      </w:r>
    </w:p>
    <w:p w14:paraId="06961E78">
      <w:pPr>
        <w:spacing w:line="360" w:lineRule="auto"/>
        <w:ind w:firstLine="480" w:firstLineChars="200"/>
        <w:contextualSpacing/>
        <w:jc w:val="left"/>
        <w:rPr>
          <w:rFonts w:ascii="楷体" w:hAnsi="楷体" w:eastAsia="楷体" w:cs="宋体"/>
          <w:color w:val="auto"/>
          <w:sz w:val="24"/>
        </w:rPr>
      </w:pPr>
      <w:r>
        <w:rPr>
          <w:rFonts w:ascii="楷体" w:hAnsi="楷体" w:eastAsia="楷体" w:cs="宋体"/>
          <w:color w:val="auto"/>
          <w:sz w:val="24"/>
        </w:rPr>
        <w:t>2.本授权委托书应由联合体牵头人的法定代表人按上述规定签署。</w:t>
      </w:r>
    </w:p>
    <w:p w14:paraId="7ACC6926">
      <w:pPr>
        <w:spacing w:line="360" w:lineRule="auto"/>
        <w:ind w:firstLine="480" w:firstLineChars="200"/>
        <w:contextualSpacing/>
        <w:jc w:val="left"/>
        <w:rPr>
          <w:rFonts w:ascii="楷体" w:hAnsi="楷体" w:eastAsia="楷体" w:cs="宋体"/>
          <w:color w:val="auto"/>
          <w:szCs w:val="21"/>
        </w:rPr>
      </w:pPr>
      <w:r>
        <w:rPr>
          <w:rFonts w:ascii="楷体" w:hAnsi="楷体" w:eastAsia="楷体" w:cs="宋体"/>
          <w:color w:val="auto"/>
          <w:sz w:val="24"/>
        </w:rPr>
        <w:t>3.法人、其他组织</w:t>
      </w:r>
      <w:r>
        <w:rPr>
          <w:rFonts w:hint="eastAsia" w:ascii="楷体" w:hAnsi="楷体" w:eastAsia="楷体" w:cs="宋体"/>
          <w:color w:val="auto"/>
          <w:sz w:val="24"/>
        </w:rPr>
        <w:t>参与竞争性谈判时“我方”是指“我单位”，自然人参与竞争性谈判时“我方”是指“本人”。</w:t>
      </w:r>
    </w:p>
    <w:p w14:paraId="3E2BC761">
      <w:pPr>
        <w:spacing w:line="360" w:lineRule="auto"/>
        <w:jc w:val="center"/>
        <w:rPr>
          <w:rFonts w:ascii="宋体" w:hAnsi="宋体" w:cs="宋体"/>
          <w:b/>
          <w:bCs/>
          <w:color w:val="auto"/>
          <w:sz w:val="44"/>
          <w:szCs w:val="44"/>
        </w:rPr>
      </w:pPr>
      <w:r>
        <w:rPr>
          <w:rFonts w:hint="eastAsia" w:ascii="宋体" w:hAnsi="宋体" w:cs="宋体"/>
          <w:color w:val="auto"/>
          <w:sz w:val="32"/>
          <w:szCs w:val="32"/>
        </w:rPr>
        <w:br w:type="page"/>
      </w:r>
      <w:r>
        <w:rPr>
          <w:rFonts w:hint="eastAsia" w:ascii="宋体" w:hAnsi="宋体" w:cs="宋体"/>
          <w:b/>
          <w:bCs/>
          <w:color w:val="auto"/>
          <w:sz w:val="44"/>
          <w:szCs w:val="44"/>
        </w:rPr>
        <w:t>商务要求偏离表格式</w:t>
      </w:r>
    </w:p>
    <w:p w14:paraId="387A1327">
      <w:pPr>
        <w:spacing w:line="360" w:lineRule="auto"/>
        <w:jc w:val="center"/>
        <w:rPr>
          <w:rFonts w:ascii="宋体" w:hAnsi="宋体" w:cs="宋体"/>
          <w:b/>
          <w:color w:val="auto"/>
          <w:sz w:val="28"/>
          <w:szCs w:val="28"/>
        </w:rPr>
      </w:pPr>
      <w:r>
        <w:rPr>
          <w:rFonts w:hint="eastAsia" w:ascii="宋体" w:hAnsi="宋体" w:cs="宋体"/>
          <w:bCs/>
          <w:color w:val="auto"/>
          <w:sz w:val="28"/>
          <w:szCs w:val="28"/>
        </w:rPr>
        <w:t>（注：按采购需求具体条款修改）</w:t>
      </w:r>
    </w:p>
    <w:p w14:paraId="6B60D0B7">
      <w:pPr>
        <w:snapToGrid w:val="0"/>
        <w:spacing w:line="360" w:lineRule="auto"/>
        <w:jc w:val="left"/>
        <w:rPr>
          <w:rFonts w:ascii="宋体" w:hAnsi="宋体" w:cs="宋体"/>
          <w:color w:val="auto"/>
          <w:sz w:val="24"/>
        </w:rPr>
      </w:pPr>
    </w:p>
    <w:p w14:paraId="63DEEEE4">
      <w:pPr>
        <w:spacing w:line="360" w:lineRule="auto"/>
        <w:rPr>
          <w:rFonts w:ascii="宋体" w:hAnsi="宋体" w:cs="宋体"/>
          <w:color w:val="auto"/>
          <w:sz w:val="24"/>
          <w:u w:val="single"/>
        </w:rPr>
      </w:pPr>
      <w:r>
        <w:rPr>
          <w:rFonts w:hint="eastAsia" w:ascii="宋体" w:hAnsi="宋体" w:cs="宋体"/>
          <w:color w:val="auto"/>
          <w:sz w:val="24"/>
        </w:rPr>
        <w:t>采购项目编号：</w:t>
      </w:r>
      <w:r>
        <w:rPr>
          <w:rFonts w:hint="eastAsia" w:ascii="宋体" w:hAnsi="宋体" w:cs="宋体"/>
          <w:color w:val="auto"/>
          <w:sz w:val="24"/>
          <w:u w:val="single"/>
        </w:rPr>
        <w:t xml:space="preserve">                 </w:t>
      </w:r>
    </w:p>
    <w:p w14:paraId="211277DD">
      <w:pPr>
        <w:spacing w:line="360" w:lineRule="auto"/>
        <w:rPr>
          <w:rFonts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6B0FA52D">
      <w:pPr>
        <w:spacing w:line="360" w:lineRule="auto"/>
        <w:rPr>
          <w:rFonts w:ascii="宋体" w:hAnsi="宋体" w:cs="宋体"/>
          <w:color w:val="auto"/>
          <w:sz w:val="24"/>
          <w:u w:val="single"/>
        </w:rPr>
      </w:pPr>
      <w:r>
        <w:rPr>
          <w:rFonts w:hint="eastAsia" w:ascii="宋体" w:hAnsi="宋体" w:cs="宋体"/>
          <w:color w:val="auto"/>
          <w:sz w:val="24"/>
        </w:rPr>
        <w:t>分标号：</w:t>
      </w:r>
      <w:r>
        <w:rPr>
          <w:rFonts w:hint="eastAsia" w:ascii="宋体" w:hAnsi="宋体" w:cs="宋体"/>
          <w:color w:val="auto"/>
          <w:sz w:val="24"/>
          <w:u w:val="single"/>
        </w:rPr>
        <w:t xml:space="preserve">                       </w:t>
      </w:r>
    </w:p>
    <w:tbl>
      <w:tblPr>
        <w:tblStyle w:val="27"/>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3CECC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6D6B42B8">
            <w:pPr>
              <w:snapToGrid w:val="0"/>
              <w:spacing w:line="500" w:lineRule="exact"/>
              <w:jc w:val="center"/>
              <w:rPr>
                <w:rFonts w:ascii="宋体" w:hAnsi="宋体" w:cs="宋体"/>
                <w:color w:val="auto"/>
                <w:sz w:val="24"/>
              </w:rPr>
            </w:pPr>
            <w:r>
              <w:rPr>
                <w:rFonts w:hint="eastAsia" w:ascii="宋体" w:hAnsi="宋体" w:cs="宋体"/>
                <w:color w:val="auto"/>
                <w:sz w:val="24"/>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4CFACAFF">
            <w:pPr>
              <w:snapToGrid w:val="0"/>
              <w:spacing w:line="500" w:lineRule="exact"/>
              <w:jc w:val="center"/>
              <w:rPr>
                <w:rFonts w:ascii="宋体" w:hAnsi="宋体" w:cs="宋体"/>
                <w:color w:val="auto"/>
                <w:sz w:val="24"/>
              </w:rPr>
            </w:pPr>
            <w:r>
              <w:rPr>
                <w:rFonts w:hint="eastAsia" w:ascii="宋体" w:hAnsi="宋体" w:cs="宋体"/>
                <w:color w:val="auto"/>
                <w:sz w:val="24"/>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259CA925">
            <w:pPr>
              <w:snapToGrid w:val="0"/>
              <w:spacing w:line="500" w:lineRule="exact"/>
              <w:jc w:val="center"/>
              <w:rPr>
                <w:rFonts w:ascii="宋体" w:hAnsi="宋体" w:cs="宋体"/>
                <w:color w:val="auto"/>
                <w:sz w:val="24"/>
              </w:rPr>
            </w:pPr>
            <w:r>
              <w:rPr>
                <w:rFonts w:hint="eastAsia" w:ascii="宋体" w:hAnsi="宋体" w:cs="宋体"/>
                <w:color w:val="auto"/>
                <w:sz w:val="24"/>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3D0C0055">
            <w:pPr>
              <w:snapToGrid w:val="0"/>
              <w:spacing w:line="500" w:lineRule="exact"/>
              <w:jc w:val="center"/>
              <w:rPr>
                <w:rFonts w:ascii="宋体" w:hAnsi="宋体" w:cs="宋体"/>
                <w:color w:val="auto"/>
                <w:sz w:val="24"/>
              </w:rPr>
            </w:pPr>
            <w:r>
              <w:rPr>
                <w:rFonts w:hint="eastAsia" w:ascii="宋体" w:hAnsi="宋体" w:cs="宋体"/>
                <w:color w:val="auto"/>
                <w:sz w:val="24"/>
              </w:rPr>
              <w:t>偏离说明</w:t>
            </w:r>
          </w:p>
        </w:tc>
      </w:tr>
      <w:tr w14:paraId="5F2F50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74B7940C">
            <w:pPr>
              <w:spacing w:line="500" w:lineRule="exact"/>
              <w:jc w:val="center"/>
              <w:rPr>
                <w:rFonts w:ascii="宋体" w:hAnsi="宋体" w:cs="宋体"/>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5FA4B740">
            <w:pPr>
              <w:spacing w:line="500" w:lineRule="exact"/>
              <w:jc w:val="center"/>
              <w:rPr>
                <w:rFonts w:ascii="宋体" w:hAnsi="宋体" w:cs="宋体"/>
                <w:color w:val="auto"/>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6677A593">
            <w:pPr>
              <w:snapToGrid w:val="0"/>
              <w:spacing w:line="500" w:lineRule="exact"/>
              <w:jc w:val="center"/>
              <w:rPr>
                <w:rFonts w:ascii="宋体" w:hAnsi="宋体" w:cs="宋体"/>
                <w:color w:val="auto"/>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576AC3FF">
            <w:pPr>
              <w:snapToGrid w:val="0"/>
              <w:spacing w:line="500" w:lineRule="exact"/>
              <w:jc w:val="center"/>
              <w:rPr>
                <w:rFonts w:ascii="宋体" w:hAnsi="宋体" w:cs="宋体"/>
                <w:color w:val="auto"/>
                <w:sz w:val="24"/>
              </w:rPr>
            </w:pPr>
          </w:p>
        </w:tc>
      </w:tr>
      <w:tr w14:paraId="55C94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34C2C28">
            <w:pPr>
              <w:spacing w:line="500" w:lineRule="exact"/>
              <w:jc w:val="center"/>
              <w:rPr>
                <w:rFonts w:ascii="宋体" w:hAnsi="宋体" w:cs="宋体"/>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1C9AA411">
            <w:pPr>
              <w:spacing w:line="500" w:lineRule="exact"/>
              <w:jc w:val="center"/>
              <w:rPr>
                <w:rFonts w:ascii="宋体" w:hAnsi="宋体" w:cs="宋体"/>
                <w:color w:val="auto"/>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0A048286">
            <w:pPr>
              <w:snapToGrid w:val="0"/>
              <w:spacing w:line="500" w:lineRule="exact"/>
              <w:jc w:val="center"/>
              <w:rPr>
                <w:rFonts w:ascii="宋体" w:hAnsi="宋体" w:cs="宋体"/>
                <w:color w:val="auto"/>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41982D06">
            <w:pPr>
              <w:snapToGrid w:val="0"/>
              <w:spacing w:line="500" w:lineRule="exact"/>
              <w:jc w:val="center"/>
              <w:rPr>
                <w:rFonts w:ascii="宋体" w:hAnsi="宋体" w:cs="宋体"/>
                <w:color w:val="auto"/>
                <w:sz w:val="24"/>
              </w:rPr>
            </w:pPr>
          </w:p>
        </w:tc>
      </w:tr>
      <w:tr w14:paraId="666A7C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5C5C42E0">
            <w:pPr>
              <w:snapToGrid w:val="0"/>
              <w:spacing w:line="500" w:lineRule="exact"/>
              <w:jc w:val="center"/>
              <w:rPr>
                <w:rFonts w:ascii="宋体" w:hAnsi="宋体" w:cs="宋体"/>
                <w:color w:val="auto"/>
                <w:sz w:val="24"/>
              </w:rPr>
            </w:pPr>
            <w:r>
              <w:rPr>
                <w:rFonts w:hint="eastAsia" w:ascii="宋体" w:hAnsi="宋体" w:cs="宋体"/>
                <w:color w:val="auto"/>
                <w:sz w:val="24"/>
              </w:rPr>
              <w:t>…</w:t>
            </w:r>
          </w:p>
        </w:tc>
        <w:tc>
          <w:tcPr>
            <w:tcW w:w="2668" w:type="dxa"/>
            <w:tcBorders>
              <w:top w:val="single" w:color="auto" w:sz="4" w:space="0"/>
              <w:left w:val="single" w:color="auto" w:sz="4" w:space="0"/>
              <w:bottom w:val="single" w:color="auto" w:sz="4" w:space="0"/>
              <w:right w:val="single" w:color="auto" w:sz="4" w:space="0"/>
            </w:tcBorders>
            <w:vAlign w:val="center"/>
          </w:tcPr>
          <w:p w14:paraId="65919869">
            <w:pPr>
              <w:snapToGrid w:val="0"/>
              <w:spacing w:line="500" w:lineRule="exact"/>
              <w:jc w:val="center"/>
              <w:rPr>
                <w:rFonts w:ascii="宋体" w:hAnsi="宋体" w:cs="宋体"/>
                <w:color w:val="auto"/>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58E7E360">
            <w:pPr>
              <w:snapToGrid w:val="0"/>
              <w:spacing w:line="500" w:lineRule="exact"/>
              <w:jc w:val="center"/>
              <w:rPr>
                <w:rFonts w:ascii="宋体" w:hAnsi="宋体" w:cs="宋体"/>
                <w:color w:val="auto"/>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1F261F04">
            <w:pPr>
              <w:snapToGrid w:val="0"/>
              <w:spacing w:line="500" w:lineRule="exact"/>
              <w:jc w:val="center"/>
              <w:rPr>
                <w:rFonts w:ascii="宋体" w:hAnsi="宋体" w:cs="宋体"/>
                <w:color w:val="auto"/>
                <w:sz w:val="24"/>
              </w:rPr>
            </w:pPr>
          </w:p>
        </w:tc>
      </w:tr>
    </w:tbl>
    <w:p w14:paraId="055FC552">
      <w:pPr>
        <w:pStyle w:val="10"/>
        <w:spacing w:after="0" w:line="360" w:lineRule="auto"/>
        <w:contextualSpacing/>
        <w:rPr>
          <w:rFonts w:ascii="楷体" w:hAnsi="楷体" w:eastAsia="楷体" w:cs="宋体"/>
          <w:b/>
          <w:color w:val="auto"/>
          <w:kern w:val="0"/>
          <w:sz w:val="24"/>
          <w:szCs w:val="24"/>
        </w:rPr>
      </w:pPr>
      <w:r>
        <w:rPr>
          <w:rFonts w:hint="eastAsia" w:ascii="楷体" w:hAnsi="楷体" w:eastAsia="楷体" w:cs="宋体"/>
          <w:b/>
          <w:color w:val="auto"/>
          <w:kern w:val="0"/>
          <w:sz w:val="24"/>
          <w:szCs w:val="24"/>
        </w:rPr>
        <w:t>注：</w:t>
      </w:r>
    </w:p>
    <w:p w14:paraId="7878C5BB">
      <w:pPr>
        <w:pStyle w:val="10"/>
        <w:spacing w:after="0" w:line="360" w:lineRule="auto"/>
        <w:ind w:firstLine="480" w:firstLineChars="200"/>
        <w:contextualSpacing/>
        <w:rPr>
          <w:rFonts w:ascii="楷体" w:hAnsi="楷体" w:eastAsia="楷体" w:cs="宋体"/>
          <w:color w:val="auto"/>
          <w:kern w:val="0"/>
          <w:sz w:val="24"/>
          <w:szCs w:val="24"/>
        </w:rPr>
      </w:pPr>
      <w:r>
        <w:rPr>
          <w:rFonts w:ascii="楷体" w:hAnsi="楷体" w:eastAsia="楷体" w:cs="宋体"/>
          <w:color w:val="auto"/>
          <w:kern w:val="0"/>
          <w:sz w:val="24"/>
          <w:szCs w:val="24"/>
        </w:rPr>
        <w:t xml:space="preserve">1.说明：应对照谈判文件“第三章 </w:t>
      </w:r>
      <w:r>
        <w:rPr>
          <w:rFonts w:hint="eastAsia" w:ascii="楷体" w:hAnsi="楷体" w:eastAsia="楷体" w:cs="宋体"/>
          <w:color w:val="auto"/>
          <w:kern w:val="0"/>
          <w:sz w:val="24"/>
          <w:szCs w:val="24"/>
        </w:rPr>
        <w:t>采购需求”中的商务要求逐条明确响应，并作出偏离说明。</w:t>
      </w:r>
    </w:p>
    <w:p w14:paraId="2F2850D8">
      <w:pPr>
        <w:pStyle w:val="10"/>
        <w:spacing w:after="0" w:line="360" w:lineRule="auto"/>
        <w:ind w:firstLine="480" w:firstLineChars="200"/>
        <w:contextualSpacing/>
        <w:rPr>
          <w:rFonts w:ascii="楷体" w:hAnsi="楷体" w:eastAsia="楷体" w:cs="宋体"/>
          <w:color w:val="auto"/>
          <w:kern w:val="0"/>
          <w:sz w:val="24"/>
          <w:szCs w:val="24"/>
        </w:rPr>
      </w:pPr>
      <w:r>
        <w:rPr>
          <w:rFonts w:ascii="楷体" w:hAnsi="楷体" w:eastAsia="楷体" w:cs="宋体"/>
          <w:color w:val="auto"/>
          <w:kern w:val="0"/>
          <w:sz w:val="24"/>
          <w:szCs w:val="24"/>
        </w:rPr>
        <w:t>2.供应商应根据自身的承诺，对照谈判文件要求在“偏离说明”中注明“正偏离”、“负偏离”或者“无偏离”。既不属于“正偏离”也不属于“负偏离”即为“无偏离”。</w:t>
      </w:r>
    </w:p>
    <w:p w14:paraId="56A60B70">
      <w:pPr>
        <w:spacing w:line="360" w:lineRule="auto"/>
        <w:contextualSpacing/>
        <w:jc w:val="left"/>
        <w:rPr>
          <w:rFonts w:ascii="宋体" w:hAnsi="宋体" w:cs="宋体"/>
          <w:color w:val="auto"/>
          <w:sz w:val="24"/>
          <w:u w:val="single"/>
        </w:rPr>
      </w:pPr>
    </w:p>
    <w:p w14:paraId="37E6A591">
      <w:pPr>
        <w:spacing w:line="360" w:lineRule="auto"/>
        <w:contextualSpacing/>
        <w:jc w:val="left"/>
        <w:rPr>
          <w:rFonts w:ascii="宋体" w:hAnsi="宋体" w:cs="宋体"/>
          <w:color w:val="auto"/>
          <w:sz w:val="24"/>
          <w:u w:val="single"/>
        </w:rPr>
      </w:pPr>
    </w:p>
    <w:p w14:paraId="50716F06">
      <w:pPr>
        <w:spacing w:line="360" w:lineRule="auto"/>
        <w:contextualSpacing/>
        <w:rPr>
          <w:rFonts w:ascii="宋体" w:hAnsi="宋体" w:cs="宋体"/>
          <w:color w:val="auto"/>
          <w:sz w:val="24"/>
        </w:rPr>
      </w:pPr>
    </w:p>
    <w:p w14:paraId="09B66F3C">
      <w:pPr>
        <w:spacing w:line="360" w:lineRule="auto"/>
        <w:contextualSpacing/>
        <w:jc w:val="center"/>
        <w:rPr>
          <w:rFonts w:ascii="宋体" w:hAnsi="宋体" w:cs="宋体"/>
          <w:color w:val="auto"/>
          <w:sz w:val="24"/>
          <w:u w:val="single"/>
        </w:rPr>
      </w:pPr>
      <w:r>
        <w:rPr>
          <w:rFonts w:hint="eastAsia" w:ascii="宋体" w:hAnsi="宋体" w:cs="宋体"/>
          <w:color w:val="auto"/>
          <w:sz w:val="24"/>
        </w:rPr>
        <w:t>法定代表人或者委托代理人（签字）：</w:t>
      </w:r>
      <w:r>
        <w:rPr>
          <w:rFonts w:hint="eastAsia" w:ascii="宋体" w:hAnsi="宋体" w:cs="宋体"/>
          <w:color w:val="auto"/>
          <w:sz w:val="24"/>
          <w:u w:val="single"/>
        </w:rPr>
        <w:t xml:space="preserve"> </w:t>
      </w:r>
      <w:r>
        <w:rPr>
          <w:rFonts w:ascii="宋体" w:hAnsi="宋体" w:cs="宋体"/>
          <w:color w:val="auto"/>
          <w:sz w:val="24"/>
          <w:u w:val="single"/>
        </w:rPr>
        <w:t xml:space="preserve">                   </w:t>
      </w:r>
    </w:p>
    <w:p w14:paraId="42769BAA">
      <w:pPr>
        <w:spacing w:line="360" w:lineRule="auto"/>
        <w:ind w:firstLine="3240" w:firstLineChars="1350"/>
        <w:contextualSpacing/>
        <w:rPr>
          <w:rFonts w:ascii="宋体" w:hAnsi="宋体" w:cs="宋体"/>
          <w:color w:val="auto"/>
          <w:sz w:val="24"/>
        </w:rPr>
      </w:pPr>
      <w:r>
        <w:rPr>
          <w:rFonts w:hint="eastAsia" w:ascii="宋体" w:hAnsi="宋体" w:cs="宋体"/>
          <w:color w:val="auto"/>
          <w:sz w:val="24"/>
        </w:rPr>
        <w:t>供应商（公章）：</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 xml:space="preserve">      </w:t>
      </w:r>
    </w:p>
    <w:p w14:paraId="675EC9EF">
      <w:pPr>
        <w:spacing w:line="360" w:lineRule="auto"/>
        <w:ind w:firstLine="3240" w:firstLineChars="1350"/>
        <w:contextualSpacing/>
        <w:rPr>
          <w:rFonts w:ascii="宋体" w:hAnsi="宋体" w:cs="宋体"/>
          <w:color w:val="auto"/>
          <w:sz w:val="24"/>
        </w:rPr>
      </w:pPr>
      <w:r>
        <w:rPr>
          <w:rFonts w:hint="eastAsia" w:ascii="宋体" w:hAnsi="宋体" w:cs="宋体"/>
          <w:color w:val="auto"/>
          <w:sz w:val="24"/>
        </w:rPr>
        <w:t>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06279550">
      <w:pPr>
        <w:adjustRightInd w:val="0"/>
        <w:snapToGrid w:val="0"/>
        <w:spacing w:line="360" w:lineRule="auto"/>
        <w:ind w:firstLine="7040" w:firstLineChars="1600"/>
        <w:jc w:val="center"/>
        <w:rPr>
          <w:rFonts w:ascii="宋体" w:hAnsi="宋体" w:cs="宋体"/>
          <w:bCs/>
          <w:color w:val="auto"/>
          <w:sz w:val="44"/>
          <w:szCs w:val="44"/>
        </w:rPr>
      </w:pPr>
    </w:p>
    <w:p w14:paraId="410DD80A">
      <w:pPr>
        <w:adjustRightInd w:val="0"/>
        <w:snapToGrid w:val="0"/>
        <w:spacing w:line="360" w:lineRule="auto"/>
        <w:jc w:val="center"/>
        <w:rPr>
          <w:rFonts w:ascii="宋体" w:hAnsi="宋体" w:cs="宋体"/>
          <w:b/>
          <w:color w:val="auto"/>
          <w:sz w:val="32"/>
          <w:szCs w:val="32"/>
        </w:rPr>
      </w:pPr>
      <w:r>
        <w:rPr>
          <w:rFonts w:hint="eastAsia" w:ascii="宋体" w:hAnsi="宋体" w:cs="宋体"/>
          <w:bCs/>
          <w:color w:val="auto"/>
          <w:sz w:val="44"/>
          <w:szCs w:val="44"/>
        </w:rPr>
        <w:br w:type="page"/>
      </w:r>
      <w:r>
        <w:rPr>
          <w:rFonts w:hint="eastAsia" w:ascii="宋体" w:hAnsi="宋体" w:cs="宋体"/>
          <w:b/>
          <w:bCs/>
          <w:color w:val="auto"/>
          <w:sz w:val="44"/>
          <w:szCs w:val="44"/>
        </w:rPr>
        <w:t>货物配置清单</w:t>
      </w:r>
    </w:p>
    <w:p w14:paraId="3A17912F">
      <w:pPr>
        <w:spacing w:line="360" w:lineRule="auto"/>
        <w:rPr>
          <w:rFonts w:ascii="宋体" w:hAnsi="宋体" w:cs="宋体"/>
          <w:color w:val="auto"/>
          <w:sz w:val="24"/>
        </w:rPr>
      </w:pPr>
      <w:r>
        <w:rPr>
          <w:rFonts w:hint="eastAsia" w:ascii="宋体" w:hAnsi="宋体" w:cs="宋体"/>
          <w:color w:val="auto"/>
          <w:sz w:val="24"/>
        </w:rPr>
        <w:t>项目名称：</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3CAB8B82">
      <w:pPr>
        <w:spacing w:line="360" w:lineRule="auto"/>
        <w:rPr>
          <w:rFonts w:ascii="宋体" w:hAnsi="宋体" w:cs="宋体"/>
          <w:color w:val="auto"/>
          <w:sz w:val="24"/>
        </w:rPr>
      </w:pPr>
      <w:r>
        <w:rPr>
          <w:rFonts w:hint="eastAsia" w:ascii="宋体" w:hAnsi="宋体" w:cs="宋体"/>
          <w:color w:val="auto"/>
          <w:sz w:val="24"/>
        </w:rPr>
        <w:t>项目编号：</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5BA484A5">
      <w:pPr>
        <w:spacing w:line="360" w:lineRule="auto"/>
        <w:rPr>
          <w:rFonts w:ascii="宋体" w:hAnsi="宋体" w:cs="宋体"/>
          <w:color w:val="auto"/>
          <w:sz w:val="24"/>
          <w:u w:val="single"/>
        </w:rPr>
      </w:pPr>
      <w:r>
        <w:rPr>
          <w:rFonts w:hint="eastAsia" w:ascii="宋体" w:hAnsi="宋体" w:cs="宋体"/>
          <w:color w:val="auto"/>
          <w:sz w:val="24"/>
        </w:rPr>
        <w:t>所竞分标（如有）：</w:t>
      </w:r>
      <w:r>
        <w:rPr>
          <w:rFonts w:hint="eastAsia" w:ascii="宋体" w:hAnsi="宋体" w:cs="宋体"/>
          <w:color w:val="auto"/>
          <w:sz w:val="24"/>
          <w:u w:val="single"/>
        </w:rPr>
        <w:t xml:space="preserve">                 </w:t>
      </w:r>
    </w:p>
    <w:tbl>
      <w:tblPr>
        <w:tblStyle w:val="27"/>
        <w:tblW w:w="108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7"/>
        <w:gridCol w:w="1293"/>
        <w:gridCol w:w="929"/>
        <w:gridCol w:w="1854"/>
        <w:gridCol w:w="1293"/>
        <w:gridCol w:w="765"/>
        <w:gridCol w:w="797"/>
        <w:gridCol w:w="971"/>
        <w:gridCol w:w="2147"/>
      </w:tblGrid>
      <w:tr w14:paraId="24ACE6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64736B23">
            <w:pPr>
              <w:snapToGrid w:val="0"/>
              <w:spacing w:before="50" w:after="50"/>
              <w:jc w:val="center"/>
              <w:rPr>
                <w:rFonts w:ascii="宋体" w:hAnsi="宋体" w:cs="宋体"/>
                <w:color w:val="auto"/>
                <w:sz w:val="24"/>
              </w:rPr>
            </w:pPr>
            <w:r>
              <w:rPr>
                <w:rFonts w:hint="eastAsia" w:ascii="宋体" w:hAnsi="宋体" w:cs="宋体"/>
                <w:color w:val="auto"/>
                <w:sz w:val="24"/>
              </w:rPr>
              <w:t>序号</w:t>
            </w:r>
          </w:p>
        </w:tc>
        <w:tc>
          <w:tcPr>
            <w:tcW w:w="1293" w:type="dxa"/>
            <w:tcBorders>
              <w:top w:val="single" w:color="auto" w:sz="4" w:space="0"/>
              <w:left w:val="single" w:color="auto" w:sz="4" w:space="0"/>
              <w:bottom w:val="single" w:color="auto" w:sz="4" w:space="0"/>
              <w:right w:val="single" w:color="auto" w:sz="4" w:space="0"/>
            </w:tcBorders>
            <w:vAlign w:val="center"/>
          </w:tcPr>
          <w:p w14:paraId="21060AC6">
            <w:pPr>
              <w:snapToGrid w:val="0"/>
              <w:spacing w:before="50" w:after="50"/>
              <w:jc w:val="center"/>
              <w:rPr>
                <w:rFonts w:ascii="宋体" w:hAnsi="宋体" w:cs="宋体"/>
                <w:color w:val="auto"/>
                <w:sz w:val="24"/>
              </w:rPr>
            </w:pPr>
            <w:r>
              <w:rPr>
                <w:rFonts w:hint="eastAsia" w:ascii="宋体" w:hAnsi="宋体" w:cs="宋体"/>
                <w:color w:val="auto"/>
                <w:sz w:val="24"/>
              </w:rPr>
              <w:t>货物名称</w:t>
            </w:r>
          </w:p>
        </w:tc>
        <w:tc>
          <w:tcPr>
            <w:tcW w:w="929" w:type="dxa"/>
            <w:tcBorders>
              <w:top w:val="single" w:color="auto" w:sz="4" w:space="0"/>
              <w:left w:val="single" w:color="auto" w:sz="4" w:space="0"/>
              <w:bottom w:val="single" w:color="auto" w:sz="4" w:space="0"/>
              <w:right w:val="single" w:color="auto" w:sz="4" w:space="0"/>
            </w:tcBorders>
            <w:vAlign w:val="center"/>
          </w:tcPr>
          <w:p w14:paraId="06BAE53C">
            <w:pPr>
              <w:snapToGrid w:val="0"/>
              <w:spacing w:before="50" w:after="50"/>
              <w:jc w:val="center"/>
              <w:rPr>
                <w:rFonts w:ascii="宋体" w:hAnsi="宋体" w:cs="宋体"/>
                <w:color w:val="auto"/>
                <w:sz w:val="24"/>
              </w:rPr>
            </w:pPr>
            <w:r>
              <w:rPr>
                <w:rFonts w:hint="eastAsia" w:ascii="宋体" w:hAnsi="宋体" w:cs="宋体"/>
                <w:color w:val="auto"/>
                <w:sz w:val="24"/>
              </w:rPr>
              <w:t>品牌</w:t>
            </w:r>
          </w:p>
        </w:tc>
        <w:tc>
          <w:tcPr>
            <w:tcW w:w="1854" w:type="dxa"/>
            <w:tcBorders>
              <w:top w:val="single" w:color="auto" w:sz="4" w:space="0"/>
              <w:left w:val="single" w:color="auto" w:sz="4" w:space="0"/>
              <w:bottom w:val="single" w:color="auto" w:sz="4" w:space="0"/>
              <w:right w:val="single" w:color="auto" w:sz="4" w:space="0"/>
            </w:tcBorders>
            <w:vAlign w:val="center"/>
          </w:tcPr>
          <w:p w14:paraId="73FF5FDB">
            <w:pPr>
              <w:snapToGrid w:val="0"/>
              <w:spacing w:before="50" w:after="50"/>
              <w:jc w:val="center"/>
              <w:rPr>
                <w:rFonts w:ascii="宋体" w:hAnsi="宋体" w:cs="宋体"/>
                <w:color w:val="auto"/>
                <w:sz w:val="24"/>
              </w:rPr>
            </w:pPr>
            <w:r>
              <w:rPr>
                <w:rFonts w:hint="eastAsia" w:ascii="宋体" w:hAnsi="宋体" w:cs="宋体"/>
                <w:color w:val="auto"/>
                <w:sz w:val="24"/>
              </w:rPr>
              <w:t>型号</w:t>
            </w:r>
          </w:p>
        </w:tc>
        <w:tc>
          <w:tcPr>
            <w:tcW w:w="1293" w:type="dxa"/>
            <w:tcBorders>
              <w:top w:val="single" w:color="auto" w:sz="4" w:space="0"/>
              <w:left w:val="single" w:color="auto" w:sz="4" w:space="0"/>
              <w:bottom w:val="single" w:color="auto" w:sz="4" w:space="0"/>
              <w:right w:val="single" w:color="auto" w:sz="4" w:space="0"/>
            </w:tcBorders>
            <w:vAlign w:val="center"/>
          </w:tcPr>
          <w:p w14:paraId="5582AD0A">
            <w:pPr>
              <w:snapToGrid w:val="0"/>
              <w:spacing w:before="50" w:after="50"/>
              <w:jc w:val="center"/>
              <w:rPr>
                <w:rFonts w:ascii="宋体" w:hAnsi="宋体" w:cs="宋体"/>
                <w:color w:val="auto"/>
                <w:sz w:val="24"/>
              </w:rPr>
            </w:pPr>
            <w:r>
              <w:rPr>
                <w:rFonts w:hint="eastAsia" w:ascii="宋体" w:hAnsi="宋体" w:cs="宋体"/>
                <w:color w:val="auto"/>
                <w:sz w:val="24"/>
              </w:rPr>
              <w:t>生产厂家</w:t>
            </w:r>
          </w:p>
        </w:tc>
        <w:tc>
          <w:tcPr>
            <w:tcW w:w="765" w:type="dxa"/>
            <w:tcBorders>
              <w:top w:val="single" w:color="auto" w:sz="4" w:space="0"/>
              <w:left w:val="single" w:color="auto" w:sz="4" w:space="0"/>
              <w:bottom w:val="single" w:color="auto" w:sz="4" w:space="0"/>
              <w:right w:val="single" w:color="auto" w:sz="4" w:space="0"/>
            </w:tcBorders>
            <w:vAlign w:val="center"/>
          </w:tcPr>
          <w:p w14:paraId="446ACE52">
            <w:pPr>
              <w:snapToGrid w:val="0"/>
              <w:spacing w:before="50" w:after="50"/>
              <w:jc w:val="center"/>
              <w:rPr>
                <w:rFonts w:ascii="宋体" w:hAnsi="宋体" w:cs="宋体"/>
                <w:color w:val="auto"/>
                <w:sz w:val="24"/>
              </w:rPr>
            </w:pPr>
            <w:r>
              <w:rPr>
                <w:rFonts w:hint="eastAsia" w:ascii="宋体" w:hAnsi="宋体" w:cs="宋体"/>
                <w:color w:val="auto"/>
                <w:sz w:val="24"/>
              </w:rPr>
              <w:t>产地</w:t>
            </w:r>
          </w:p>
        </w:tc>
        <w:tc>
          <w:tcPr>
            <w:tcW w:w="797" w:type="dxa"/>
            <w:tcBorders>
              <w:top w:val="single" w:color="auto" w:sz="4" w:space="0"/>
              <w:left w:val="single" w:color="auto" w:sz="4" w:space="0"/>
              <w:bottom w:val="single" w:color="auto" w:sz="4" w:space="0"/>
              <w:right w:val="single" w:color="auto" w:sz="4" w:space="0"/>
            </w:tcBorders>
            <w:vAlign w:val="center"/>
          </w:tcPr>
          <w:p w14:paraId="3890BC24">
            <w:pPr>
              <w:snapToGrid w:val="0"/>
              <w:spacing w:before="50" w:after="50"/>
              <w:jc w:val="center"/>
              <w:rPr>
                <w:rFonts w:ascii="宋体" w:hAnsi="宋体" w:cs="宋体"/>
                <w:color w:val="auto"/>
                <w:sz w:val="24"/>
              </w:rPr>
            </w:pPr>
            <w:r>
              <w:rPr>
                <w:rFonts w:hint="eastAsia" w:ascii="宋体" w:hAnsi="宋体" w:cs="宋体"/>
                <w:color w:val="auto"/>
                <w:sz w:val="24"/>
              </w:rPr>
              <w:t>数量</w:t>
            </w:r>
          </w:p>
        </w:tc>
        <w:tc>
          <w:tcPr>
            <w:tcW w:w="971" w:type="dxa"/>
            <w:tcBorders>
              <w:top w:val="single" w:color="auto" w:sz="4" w:space="0"/>
              <w:left w:val="single" w:color="auto" w:sz="4" w:space="0"/>
              <w:bottom w:val="single" w:color="auto" w:sz="4" w:space="0"/>
              <w:right w:val="single" w:color="auto" w:sz="4" w:space="0"/>
            </w:tcBorders>
            <w:vAlign w:val="center"/>
          </w:tcPr>
          <w:p w14:paraId="1DCED92F">
            <w:pPr>
              <w:snapToGrid w:val="0"/>
              <w:spacing w:before="50" w:after="50"/>
              <w:jc w:val="center"/>
              <w:rPr>
                <w:rFonts w:ascii="宋体" w:hAnsi="宋体" w:cs="宋体"/>
                <w:color w:val="auto"/>
                <w:sz w:val="24"/>
              </w:rPr>
            </w:pPr>
            <w:r>
              <w:rPr>
                <w:rFonts w:hint="eastAsia" w:ascii="宋体" w:hAnsi="宋体" w:cs="宋体"/>
                <w:color w:val="auto"/>
                <w:sz w:val="24"/>
              </w:rPr>
              <w:t>单位</w:t>
            </w:r>
          </w:p>
        </w:tc>
        <w:tc>
          <w:tcPr>
            <w:tcW w:w="2147" w:type="dxa"/>
            <w:tcBorders>
              <w:top w:val="single" w:color="auto" w:sz="4" w:space="0"/>
              <w:left w:val="single" w:color="auto" w:sz="4" w:space="0"/>
              <w:bottom w:val="single" w:color="auto" w:sz="4" w:space="0"/>
              <w:right w:val="single" w:color="auto" w:sz="4" w:space="0"/>
            </w:tcBorders>
            <w:vAlign w:val="center"/>
          </w:tcPr>
          <w:p w14:paraId="7D0B5993">
            <w:pPr>
              <w:snapToGrid w:val="0"/>
              <w:spacing w:before="50" w:after="50"/>
              <w:jc w:val="center"/>
              <w:rPr>
                <w:rFonts w:ascii="宋体" w:hAnsi="宋体" w:cs="宋体"/>
                <w:color w:val="auto"/>
                <w:sz w:val="24"/>
              </w:rPr>
            </w:pPr>
            <w:r>
              <w:rPr>
                <w:rFonts w:hint="eastAsia" w:ascii="宋体" w:hAnsi="宋体" w:cs="宋体"/>
                <w:color w:val="auto"/>
                <w:sz w:val="24"/>
              </w:rPr>
              <w:t>参数性能、指标及配置</w:t>
            </w:r>
          </w:p>
        </w:tc>
      </w:tr>
      <w:tr w14:paraId="4129B1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5191CDB8">
            <w:pPr>
              <w:snapToGrid w:val="0"/>
              <w:spacing w:before="50" w:after="50"/>
              <w:jc w:val="center"/>
              <w:rPr>
                <w:rFonts w:ascii="宋体" w:hAnsi="宋体" w:cs="宋体"/>
                <w:color w:val="auto"/>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04C60A78">
            <w:pPr>
              <w:snapToGrid w:val="0"/>
              <w:spacing w:before="50" w:after="50"/>
              <w:jc w:val="center"/>
              <w:rPr>
                <w:rFonts w:ascii="宋体" w:hAnsi="宋体" w:cs="宋体"/>
                <w:color w:val="auto"/>
                <w:sz w:val="24"/>
              </w:rPr>
            </w:pPr>
          </w:p>
        </w:tc>
        <w:tc>
          <w:tcPr>
            <w:tcW w:w="929" w:type="dxa"/>
            <w:tcBorders>
              <w:top w:val="single" w:color="auto" w:sz="4" w:space="0"/>
              <w:left w:val="single" w:color="auto" w:sz="4" w:space="0"/>
              <w:bottom w:val="single" w:color="auto" w:sz="4" w:space="0"/>
              <w:right w:val="single" w:color="auto" w:sz="4" w:space="0"/>
            </w:tcBorders>
            <w:vAlign w:val="center"/>
          </w:tcPr>
          <w:p w14:paraId="5F8885A6">
            <w:pPr>
              <w:snapToGrid w:val="0"/>
              <w:spacing w:before="50" w:after="50"/>
              <w:jc w:val="center"/>
              <w:rPr>
                <w:rFonts w:ascii="宋体" w:hAnsi="宋体" w:cs="宋体"/>
                <w:color w:val="auto"/>
                <w:sz w:val="24"/>
              </w:rPr>
            </w:pPr>
          </w:p>
        </w:tc>
        <w:tc>
          <w:tcPr>
            <w:tcW w:w="1854" w:type="dxa"/>
            <w:tcBorders>
              <w:top w:val="single" w:color="auto" w:sz="4" w:space="0"/>
              <w:left w:val="single" w:color="auto" w:sz="4" w:space="0"/>
              <w:bottom w:val="single" w:color="auto" w:sz="4" w:space="0"/>
              <w:right w:val="single" w:color="auto" w:sz="4" w:space="0"/>
            </w:tcBorders>
          </w:tcPr>
          <w:p w14:paraId="3463A589">
            <w:pPr>
              <w:snapToGrid w:val="0"/>
              <w:spacing w:before="50" w:after="50"/>
              <w:jc w:val="center"/>
              <w:rPr>
                <w:rFonts w:ascii="宋体" w:hAnsi="宋体" w:cs="宋体"/>
                <w:color w:val="auto"/>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61E057C4">
            <w:pPr>
              <w:snapToGrid w:val="0"/>
              <w:spacing w:before="50" w:after="50"/>
              <w:jc w:val="center"/>
              <w:rPr>
                <w:rFonts w:ascii="宋体" w:hAnsi="宋体" w:cs="宋体"/>
                <w:color w:val="auto"/>
                <w:sz w:val="24"/>
              </w:rPr>
            </w:pPr>
          </w:p>
        </w:tc>
        <w:tc>
          <w:tcPr>
            <w:tcW w:w="765" w:type="dxa"/>
            <w:tcBorders>
              <w:top w:val="single" w:color="auto" w:sz="4" w:space="0"/>
              <w:left w:val="single" w:color="auto" w:sz="4" w:space="0"/>
              <w:bottom w:val="single" w:color="auto" w:sz="4" w:space="0"/>
              <w:right w:val="single" w:color="auto" w:sz="4" w:space="0"/>
            </w:tcBorders>
            <w:vAlign w:val="center"/>
          </w:tcPr>
          <w:p w14:paraId="419FD1CF">
            <w:pPr>
              <w:snapToGrid w:val="0"/>
              <w:spacing w:before="50" w:after="50"/>
              <w:jc w:val="center"/>
              <w:rPr>
                <w:rFonts w:ascii="宋体" w:hAnsi="宋体" w:cs="宋体"/>
                <w:color w:val="auto"/>
                <w:sz w:val="24"/>
              </w:rPr>
            </w:pPr>
          </w:p>
        </w:tc>
        <w:tc>
          <w:tcPr>
            <w:tcW w:w="797" w:type="dxa"/>
            <w:tcBorders>
              <w:top w:val="single" w:color="auto" w:sz="4" w:space="0"/>
              <w:left w:val="single" w:color="auto" w:sz="4" w:space="0"/>
              <w:bottom w:val="single" w:color="auto" w:sz="4" w:space="0"/>
              <w:right w:val="single" w:color="auto" w:sz="4" w:space="0"/>
            </w:tcBorders>
          </w:tcPr>
          <w:p w14:paraId="4E5AAC7A">
            <w:pPr>
              <w:snapToGrid w:val="0"/>
              <w:spacing w:before="50" w:after="50"/>
              <w:jc w:val="center"/>
              <w:rPr>
                <w:rFonts w:ascii="宋体" w:hAnsi="宋体" w:cs="宋体"/>
                <w:color w:val="auto"/>
                <w:sz w:val="24"/>
              </w:rPr>
            </w:pPr>
          </w:p>
        </w:tc>
        <w:tc>
          <w:tcPr>
            <w:tcW w:w="971" w:type="dxa"/>
            <w:tcBorders>
              <w:top w:val="single" w:color="auto" w:sz="4" w:space="0"/>
              <w:left w:val="single" w:color="auto" w:sz="4" w:space="0"/>
              <w:bottom w:val="single" w:color="auto" w:sz="4" w:space="0"/>
              <w:right w:val="single" w:color="auto" w:sz="4" w:space="0"/>
            </w:tcBorders>
          </w:tcPr>
          <w:p w14:paraId="1AFC9AF9">
            <w:pPr>
              <w:snapToGrid w:val="0"/>
              <w:spacing w:before="50" w:after="50"/>
              <w:jc w:val="center"/>
              <w:rPr>
                <w:rFonts w:ascii="宋体" w:hAnsi="宋体" w:cs="宋体"/>
                <w:color w:val="auto"/>
                <w:sz w:val="24"/>
              </w:rPr>
            </w:pPr>
          </w:p>
        </w:tc>
        <w:tc>
          <w:tcPr>
            <w:tcW w:w="2147" w:type="dxa"/>
            <w:tcBorders>
              <w:top w:val="single" w:color="auto" w:sz="4" w:space="0"/>
              <w:left w:val="single" w:color="auto" w:sz="4" w:space="0"/>
              <w:bottom w:val="single" w:color="auto" w:sz="4" w:space="0"/>
              <w:right w:val="single" w:color="auto" w:sz="4" w:space="0"/>
            </w:tcBorders>
            <w:vAlign w:val="center"/>
          </w:tcPr>
          <w:p w14:paraId="0105B690">
            <w:pPr>
              <w:snapToGrid w:val="0"/>
              <w:spacing w:before="50" w:after="50"/>
              <w:jc w:val="center"/>
              <w:rPr>
                <w:rFonts w:ascii="宋体" w:hAnsi="宋体" w:cs="宋体"/>
                <w:color w:val="auto"/>
                <w:sz w:val="24"/>
              </w:rPr>
            </w:pPr>
          </w:p>
        </w:tc>
      </w:tr>
      <w:tr w14:paraId="7CD265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5AD3C01C">
            <w:pPr>
              <w:snapToGrid w:val="0"/>
              <w:spacing w:before="50" w:after="50"/>
              <w:jc w:val="center"/>
              <w:rPr>
                <w:rFonts w:ascii="宋体" w:hAnsi="宋体" w:cs="宋体"/>
                <w:color w:val="auto"/>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59FCDA93">
            <w:pPr>
              <w:snapToGrid w:val="0"/>
              <w:spacing w:before="50" w:after="50"/>
              <w:jc w:val="center"/>
              <w:rPr>
                <w:rFonts w:ascii="宋体" w:hAnsi="宋体" w:cs="宋体"/>
                <w:color w:val="auto"/>
                <w:sz w:val="24"/>
              </w:rPr>
            </w:pPr>
          </w:p>
        </w:tc>
        <w:tc>
          <w:tcPr>
            <w:tcW w:w="929" w:type="dxa"/>
            <w:tcBorders>
              <w:top w:val="single" w:color="auto" w:sz="4" w:space="0"/>
              <w:left w:val="single" w:color="auto" w:sz="4" w:space="0"/>
              <w:bottom w:val="single" w:color="auto" w:sz="4" w:space="0"/>
              <w:right w:val="single" w:color="auto" w:sz="4" w:space="0"/>
            </w:tcBorders>
            <w:vAlign w:val="center"/>
          </w:tcPr>
          <w:p w14:paraId="1F0AADB6">
            <w:pPr>
              <w:snapToGrid w:val="0"/>
              <w:spacing w:before="50" w:after="50"/>
              <w:jc w:val="center"/>
              <w:rPr>
                <w:rFonts w:ascii="宋体" w:hAnsi="宋体" w:cs="宋体"/>
                <w:color w:val="auto"/>
                <w:sz w:val="24"/>
              </w:rPr>
            </w:pPr>
          </w:p>
        </w:tc>
        <w:tc>
          <w:tcPr>
            <w:tcW w:w="1854" w:type="dxa"/>
            <w:tcBorders>
              <w:top w:val="single" w:color="auto" w:sz="4" w:space="0"/>
              <w:left w:val="single" w:color="auto" w:sz="4" w:space="0"/>
              <w:bottom w:val="single" w:color="auto" w:sz="4" w:space="0"/>
              <w:right w:val="single" w:color="auto" w:sz="4" w:space="0"/>
            </w:tcBorders>
          </w:tcPr>
          <w:p w14:paraId="0EC95D37">
            <w:pPr>
              <w:snapToGrid w:val="0"/>
              <w:spacing w:before="50" w:after="50"/>
              <w:jc w:val="center"/>
              <w:rPr>
                <w:rFonts w:ascii="宋体" w:hAnsi="宋体" w:cs="宋体"/>
                <w:color w:val="auto"/>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2F4CBF82">
            <w:pPr>
              <w:snapToGrid w:val="0"/>
              <w:spacing w:before="50" w:after="50"/>
              <w:jc w:val="center"/>
              <w:rPr>
                <w:rFonts w:ascii="宋体" w:hAnsi="宋体" w:cs="宋体"/>
                <w:color w:val="auto"/>
                <w:sz w:val="24"/>
              </w:rPr>
            </w:pPr>
          </w:p>
        </w:tc>
        <w:tc>
          <w:tcPr>
            <w:tcW w:w="765" w:type="dxa"/>
            <w:tcBorders>
              <w:top w:val="single" w:color="auto" w:sz="4" w:space="0"/>
              <w:left w:val="single" w:color="auto" w:sz="4" w:space="0"/>
              <w:bottom w:val="single" w:color="auto" w:sz="4" w:space="0"/>
              <w:right w:val="single" w:color="auto" w:sz="4" w:space="0"/>
            </w:tcBorders>
            <w:vAlign w:val="center"/>
          </w:tcPr>
          <w:p w14:paraId="51BF26F1">
            <w:pPr>
              <w:snapToGrid w:val="0"/>
              <w:spacing w:before="50" w:after="50"/>
              <w:jc w:val="center"/>
              <w:rPr>
                <w:rFonts w:ascii="宋体" w:hAnsi="宋体" w:cs="宋体"/>
                <w:color w:val="auto"/>
                <w:sz w:val="24"/>
              </w:rPr>
            </w:pPr>
          </w:p>
        </w:tc>
        <w:tc>
          <w:tcPr>
            <w:tcW w:w="797" w:type="dxa"/>
            <w:tcBorders>
              <w:top w:val="single" w:color="auto" w:sz="4" w:space="0"/>
              <w:left w:val="single" w:color="auto" w:sz="4" w:space="0"/>
              <w:bottom w:val="single" w:color="auto" w:sz="4" w:space="0"/>
              <w:right w:val="single" w:color="auto" w:sz="4" w:space="0"/>
            </w:tcBorders>
          </w:tcPr>
          <w:p w14:paraId="3B85A435">
            <w:pPr>
              <w:snapToGrid w:val="0"/>
              <w:spacing w:before="50" w:after="50"/>
              <w:jc w:val="center"/>
              <w:rPr>
                <w:rFonts w:ascii="宋体" w:hAnsi="宋体" w:cs="宋体"/>
                <w:color w:val="auto"/>
                <w:sz w:val="24"/>
              </w:rPr>
            </w:pPr>
          </w:p>
        </w:tc>
        <w:tc>
          <w:tcPr>
            <w:tcW w:w="971" w:type="dxa"/>
            <w:tcBorders>
              <w:top w:val="single" w:color="auto" w:sz="4" w:space="0"/>
              <w:left w:val="single" w:color="auto" w:sz="4" w:space="0"/>
              <w:bottom w:val="single" w:color="auto" w:sz="4" w:space="0"/>
              <w:right w:val="single" w:color="auto" w:sz="4" w:space="0"/>
            </w:tcBorders>
          </w:tcPr>
          <w:p w14:paraId="53E94A8B">
            <w:pPr>
              <w:snapToGrid w:val="0"/>
              <w:spacing w:before="50" w:after="50"/>
              <w:jc w:val="center"/>
              <w:rPr>
                <w:rFonts w:ascii="宋体" w:hAnsi="宋体" w:cs="宋体"/>
                <w:color w:val="auto"/>
                <w:sz w:val="24"/>
              </w:rPr>
            </w:pPr>
          </w:p>
        </w:tc>
        <w:tc>
          <w:tcPr>
            <w:tcW w:w="2147" w:type="dxa"/>
            <w:tcBorders>
              <w:top w:val="single" w:color="auto" w:sz="4" w:space="0"/>
              <w:left w:val="single" w:color="auto" w:sz="4" w:space="0"/>
              <w:bottom w:val="single" w:color="auto" w:sz="4" w:space="0"/>
              <w:right w:val="single" w:color="auto" w:sz="4" w:space="0"/>
            </w:tcBorders>
            <w:vAlign w:val="center"/>
          </w:tcPr>
          <w:p w14:paraId="7B2B737A">
            <w:pPr>
              <w:snapToGrid w:val="0"/>
              <w:spacing w:before="50" w:after="50"/>
              <w:jc w:val="center"/>
              <w:rPr>
                <w:rFonts w:ascii="宋体" w:hAnsi="宋体" w:cs="宋体"/>
                <w:color w:val="auto"/>
                <w:sz w:val="24"/>
              </w:rPr>
            </w:pPr>
          </w:p>
        </w:tc>
      </w:tr>
      <w:tr w14:paraId="3E69ED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5C260A3A">
            <w:pPr>
              <w:snapToGrid w:val="0"/>
              <w:spacing w:before="50" w:after="50"/>
              <w:jc w:val="center"/>
              <w:rPr>
                <w:rFonts w:ascii="宋体" w:hAnsi="宋体" w:cs="宋体"/>
                <w:color w:val="auto"/>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4A08035F">
            <w:pPr>
              <w:snapToGrid w:val="0"/>
              <w:spacing w:before="50" w:after="50"/>
              <w:jc w:val="center"/>
              <w:rPr>
                <w:rFonts w:ascii="宋体" w:hAnsi="宋体" w:cs="宋体"/>
                <w:color w:val="auto"/>
                <w:sz w:val="24"/>
              </w:rPr>
            </w:pPr>
          </w:p>
        </w:tc>
        <w:tc>
          <w:tcPr>
            <w:tcW w:w="929" w:type="dxa"/>
            <w:tcBorders>
              <w:top w:val="single" w:color="auto" w:sz="4" w:space="0"/>
              <w:left w:val="single" w:color="auto" w:sz="4" w:space="0"/>
              <w:bottom w:val="single" w:color="auto" w:sz="4" w:space="0"/>
              <w:right w:val="single" w:color="auto" w:sz="4" w:space="0"/>
            </w:tcBorders>
            <w:vAlign w:val="center"/>
          </w:tcPr>
          <w:p w14:paraId="4B6D62EC">
            <w:pPr>
              <w:snapToGrid w:val="0"/>
              <w:spacing w:before="50" w:after="50"/>
              <w:jc w:val="center"/>
              <w:rPr>
                <w:rFonts w:ascii="宋体" w:hAnsi="宋体" w:cs="宋体"/>
                <w:color w:val="auto"/>
                <w:sz w:val="24"/>
              </w:rPr>
            </w:pPr>
          </w:p>
        </w:tc>
        <w:tc>
          <w:tcPr>
            <w:tcW w:w="1854" w:type="dxa"/>
            <w:tcBorders>
              <w:top w:val="single" w:color="auto" w:sz="4" w:space="0"/>
              <w:left w:val="single" w:color="auto" w:sz="4" w:space="0"/>
              <w:bottom w:val="single" w:color="auto" w:sz="4" w:space="0"/>
              <w:right w:val="single" w:color="auto" w:sz="4" w:space="0"/>
            </w:tcBorders>
          </w:tcPr>
          <w:p w14:paraId="00DF9B98">
            <w:pPr>
              <w:snapToGrid w:val="0"/>
              <w:spacing w:before="50" w:after="50"/>
              <w:jc w:val="center"/>
              <w:rPr>
                <w:rFonts w:ascii="宋体" w:hAnsi="宋体" w:cs="宋体"/>
                <w:color w:val="auto"/>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1A32484F">
            <w:pPr>
              <w:snapToGrid w:val="0"/>
              <w:spacing w:before="50" w:after="50"/>
              <w:jc w:val="center"/>
              <w:rPr>
                <w:rFonts w:ascii="宋体" w:hAnsi="宋体" w:cs="宋体"/>
                <w:color w:val="auto"/>
                <w:sz w:val="24"/>
              </w:rPr>
            </w:pPr>
          </w:p>
        </w:tc>
        <w:tc>
          <w:tcPr>
            <w:tcW w:w="765" w:type="dxa"/>
            <w:tcBorders>
              <w:top w:val="single" w:color="auto" w:sz="4" w:space="0"/>
              <w:left w:val="single" w:color="auto" w:sz="4" w:space="0"/>
              <w:bottom w:val="single" w:color="auto" w:sz="4" w:space="0"/>
              <w:right w:val="single" w:color="auto" w:sz="4" w:space="0"/>
            </w:tcBorders>
            <w:vAlign w:val="center"/>
          </w:tcPr>
          <w:p w14:paraId="208303D2">
            <w:pPr>
              <w:snapToGrid w:val="0"/>
              <w:spacing w:before="50" w:after="50"/>
              <w:jc w:val="center"/>
              <w:rPr>
                <w:rFonts w:ascii="宋体" w:hAnsi="宋体" w:cs="宋体"/>
                <w:color w:val="auto"/>
                <w:sz w:val="24"/>
              </w:rPr>
            </w:pPr>
          </w:p>
        </w:tc>
        <w:tc>
          <w:tcPr>
            <w:tcW w:w="797" w:type="dxa"/>
            <w:tcBorders>
              <w:top w:val="single" w:color="auto" w:sz="4" w:space="0"/>
              <w:left w:val="single" w:color="auto" w:sz="4" w:space="0"/>
              <w:bottom w:val="single" w:color="auto" w:sz="4" w:space="0"/>
              <w:right w:val="single" w:color="auto" w:sz="4" w:space="0"/>
            </w:tcBorders>
          </w:tcPr>
          <w:p w14:paraId="6BDAB295">
            <w:pPr>
              <w:snapToGrid w:val="0"/>
              <w:spacing w:before="50" w:after="50"/>
              <w:jc w:val="center"/>
              <w:rPr>
                <w:rFonts w:ascii="宋体" w:hAnsi="宋体" w:cs="宋体"/>
                <w:color w:val="auto"/>
                <w:sz w:val="24"/>
              </w:rPr>
            </w:pPr>
          </w:p>
        </w:tc>
        <w:tc>
          <w:tcPr>
            <w:tcW w:w="971" w:type="dxa"/>
            <w:tcBorders>
              <w:top w:val="single" w:color="auto" w:sz="4" w:space="0"/>
              <w:left w:val="single" w:color="auto" w:sz="4" w:space="0"/>
              <w:bottom w:val="single" w:color="auto" w:sz="4" w:space="0"/>
              <w:right w:val="single" w:color="auto" w:sz="4" w:space="0"/>
            </w:tcBorders>
          </w:tcPr>
          <w:p w14:paraId="6BCF8328">
            <w:pPr>
              <w:snapToGrid w:val="0"/>
              <w:spacing w:before="50" w:after="50"/>
              <w:jc w:val="center"/>
              <w:rPr>
                <w:rFonts w:ascii="宋体" w:hAnsi="宋体" w:cs="宋体"/>
                <w:color w:val="auto"/>
                <w:sz w:val="24"/>
              </w:rPr>
            </w:pPr>
          </w:p>
        </w:tc>
        <w:tc>
          <w:tcPr>
            <w:tcW w:w="2147" w:type="dxa"/>
            <w:tcBorders>
              <w:top w:val="single" w:color="auto" w:sz="4" w:space="0"/>
              <w:left w:val="single" w:color="auto" w:sz="4" w:space="0"/>
              <w:bottom w:val="single" w:color="auto" w:sz="4" w:space="0"/>
              <w:right w:val="single" w:color="auto" w:sz="4" w:space="0"/>
            </w:tcBorders>
            <w:vAlign w:val="center"/>
          </w:tcPr>
          <w:p w14:paraId="4CB7FC4E">
            <w:pPr>
              <w:snapToGrid w:val="0"/>
              <w:spacing w:before="50" w:after="50"/>
              <w:jc w:val="center"/>
              <w:rPr>
                <w:rFonts w:ascii="宋体" w:hAnsi="宋体" w:cs="宋体"/>
                <w:color w:val="auto"/>
                <w:sz w:val="24"/>
              </w:rPr>
            </w:pPr>
          </w:p>
        </w:tc>
      </w:tr>
    </w:tbl>
    <w:p w14:paraId="7B22859F">
      <w:pPr>
        <w:spacing w:line="360" w:lineRule="auto"/>
        <w:contextualSpacing/>
        <w:rPr>
          <w:rFonts w:ascii="楷体" w:hAnsi="楷体" w:eastAsia="楷体" w:cs="宋体"/>
          <w:b/>
          <w:color w:val="auto"/>
          <w:sz w:val="24"/>
        </w:rPr>
      </w:pPr>
      <w:r>
        <w:rPr>
          <w:rFonts w:hint="eastAsia" w:ascii="楷体" w:hAnsi="楷体" w:eastAsia="楷体" w:cs="宋体"/>
          <w:b/>
          <w:color w:val="auto"/>
          <w:sz w:val="24"/>
        </w:rPr>
        <w:t>备注：</w:t>
      </w:r>
    </w:p>
    <w:p w14:paraId="5EC5C32C">
      <w:pPr>
        <w:tabs>
          <w:tab w:val="left" w:pos="1065"/>
        </w:tabs>
        <w:adjustRightInd w:val="0"/>
        <w:spacing w:line="360" w:lineRule="auto"/>
        <w:ind w:firstLine="482" w:firstLineChars="200"/>
        <w:contextualSpacing/>
        <w:rPr>
          <w:rFonts w:ascii="楷体" w:hAnsi="楷体" w:eastAsia="楷体" w:cs="宋体"/>
          <w:color w:val="auto"/>
          <w:sz w:val="24"/>
        </w:rPr>
      </w:pPr>
      <w:r>
        <w:rPr>
          <w:rFonts w:hint="eastAsia" w:ascii="楷体" w:hAnsi="楷体" w:eastAsia="楷体" w:cs="宋体"/>
          <w:b/>
          <w:bCs/>
          <w:color w:val="auto"/>
          <w:sz w:val="24"/>
        </w:rPr>
        <w:t>以上货物配置清单中“货物名称、数量、单位、品牌、型号、生产厂家、产地、参数性能、指标及配置”必须如实填写完整，定制产品在型号栏中填写“定制”。填写有缺漏的，响应文件按无效响应处理</w:t>
      </w:r>
      <w:r>
        <w:rPr>
          <w:rFonts w:hint="eastAsia" w:ascii="楷体" w:hAnsi="楷体" w:eastAsia="楷体" w:cs="宋体"/>
          <w:b/>
          <w:color w:val="auto"/>
          <w:sz w:val="24"/>
        </w:rPr>
        <w:t>。</w:t>
      </w:r>
      <w:r>
        <w:rPr>
          <w:rFonts w:hint="eastAsia" w:ascii="楷体" w:hAnsi="楷体" w:eastAsia="楷体" w:cs="宋体"/>
          <w:color w:val="auto"/>
          <w:sz w:val="24"/>
        </w:rPr>
        <w:t>货物名称、数量、单位、品牌等必须与“</w:t>
      </w:r>
      <w:r>
        <w:rPr>
          <w:rFonts w:hint="eastAsia" w:ascii="楷体" w:hAnsi="楷体" w:eastAsia="楷体" w:cs="宋体"/>
          <w:color w:val="auto"/>
          <w:sz w:val="24"/>
          <w:lang w:bidi="ar"/>
        </w:rPr>
        <w:t>竞争性谈判</w:t>
      </w:r>
      <w:r>
        <w:rPr>
          <w:rFonts w:hint="eastAsia" w:ascii="楷体" w:hAnsi="楷体" w:eastAsia="楷体" w:cs="宋体"/>
          <w:color w:val="auto"/>
          <w:sz w:val="24"/>
        </w:rPr>
        <w:t>报价表”一致，</w:t>
      </w:r>
      <w:r>
        <w:rPr>
          <w:rFonts w:hint="eastAsia" w:ascii="楷体" w:hAnsi="楷体" w:eastAsia="楷体" w:cs="宋体"/>
          <w:bCs/>
          <w:color w:val="auto"/>
          <w:sz w:val="24"/>
        </w:rPr>
        <w:t>否则响应文件按无效响应处理</w:t>
      </w:r>
      <w:r>
        <w:rPr>
          <w:rFonts w:hint="eastAsia" w:ascii="楷体" w:hAnsi="楷体" w:eastAsia="楷体" w:cs="宋体"/>
          <w:b/>
          <w:color w:val="auto"/>
          <w:sz w:val="24"/>
        </w:rPr>
        <w:t>。</w:t>
      </w:r>
      <w:r>
        <w:rPr>
          <w:rFonts w:ascii="楷体" w:hAnsi="楷体" w:eastAsia="楷体" w:cs="宋体"/>
          <w:color w:val="auto"/>
          <w:sz w:val="24"/>
        </w:rPr>
        <w:tab/>
      </w:r>
    </w:p>
    <w:p w14:paraId="2FA311CE">
      <w:pPr>
        <w:adjustRightInd w:val="0"/>
        <w:spacing w:line="360" w:lineRule="auto"/>
        <w:contextualSpacing/>
        <w:jc w:val="left"/>
        <w:rPr>
          <w:rFonts w:ascii="宋体" w:hAnsi="宋体" w:cs="宋体"/>
          <w:color w:val="auto"/>
          <w:sz w:val="24"/>
        </w:rPr>
      </w:pPr>
    </w:p>
    <w:p w14:paraId="3773689C">
      <w:pPr>
        <w:adjustRightInd w:val="0"/>
        <w:spacing w:line="360" w:lineRule="auto"/>
        <w:contextualSpacing/>
        <w:jc w:val="left"/>
        <w:rPr>
          <w:rFonts w:ascii="宋体" w:hAnsi="宋体" w:cs="宋体"/>
          <w:color w:val="auto"/>
          <w:sz w:val="24"/>
        </w:rPr>
      </w:pPr>
    </w:p>
    <w:p w14:paraId="3CABBC2E">
      <w:pPr>
        <w:adjustRightInd w:val="0"/>
        <w:spacing w:line="360" w:lineRule="auto"/>
        <w:contextualSpacing/>
        <w:jc w:val="left"/>
        <w:rPr>
          <w:rFonts w:ascii="宋体" w:hAnsi="宋体" w:cs="宋体"/>
          <w:color w:val="auto"/>
          <w:sz w:val="24"/>
        </w:rPr>
      </w:pPr>
    </w:p>
    <w:p w14:paraId="7855DD3D">
      <w:pPr>
        <w:spacing w:line="360" w:lineRule="auto"/>
        <w:contextualSpacing/>
        <w:jc w:val="center"/>
        <w:rPr>
          <w:rFonts w:ascii="宋体" w:hAnsi="宋体" w:cs="宋体"/>
          <w:color w:val="auto"/>
          <w:sz w:val="24"/>
          <w:u w:val="single"/>
        </w:rPr>
      </w:pPr>
      <w:r>
        <w:rPr>
          <w:rFonts w:hint="eastAsia" w:ascii="宋体" w:hAns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法定代表人或者委托代理人（签字）：</w:t>
      </w:r>
      <w:r>
        <w:rPr>
          <w:rFonts w:hint="eastAsia" w:ascii="宋体" w:hAnsi="宋体" w:cs="宋体"/>
          <w:color w:val="auto"/>
          <w:sz w:val="24"/>
          <w:u w:val="single"/>
        </w:rPr>
        <w:t xml:space="preserve"> </w:t>
      </w:r>
      <w:r>
        <w:rPr>
          <w:rFonts w:ascii="宋体" w:hAnsi="宋体" w:cs="宋体"/>
          <w:color w:val="auto"/>
          <w:sz w:val="24"/>
          <w:u w:val="single"/>
        </w:rPr>
        <w:t xml:space="preserve">             </w:t>
      </w:r>
    </w:p>
    <w:p w14:paraId="70C80628">
      <w:pPr>
        <w:spacing w:line="360" w:lineRule="auto"/>
        <w:ind w:firstLine="3240" w:firstLineChars="1350"/>
        <w:contextualSpacing/>
        <w:rPr>
          <w:rFonts w:ascii="宋体" w:hAnsi="宋体" w:cs="宋体"/>
          <w:color w:val="auto"/>
          <w:sz w:val="24"/>
        </w:rPr>
      </w:pPr>
      <w:r>
        <w:rPr>
          <w:rFonts w:hint="eastAsia" w:ascii="宋体" w:hAnsi="宋体" w:cs="宋体"/>
          <w:color w:val="auto"/>
          <w:sz w:val="24"/>
        </w:rPr>
        <w:t>供应商（公章）：</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 xml:space="preserve">      </w:t>
      </w:r>
    </w:p>
    <w:p w14:paraId="1B44664E">
      <w:pPr>
        <w:spacing w:line="360" w:lineRule="auto"/>
        <w:ind w:firstLine="3240" w:firstLineChars="1350"/>
        <w:contextualSpacing/>
        <w:rPr>
          <w:rFonts w:ascii="宋体" w:hAnsi="宋体" w:cs="宋体"/>
          <w:color w:val="auto"/>
          <w:szCs w:val="21"/>
          <w:u w:val="single"/>
        </w:rPr>
      </w:pPr>
      <w:r>
        <w:rPr>
          <w:rFonts w:hint="eastAsia" w:ascii="宋体" w:hAnsi="宋体" w:cs="宋体"/>
          <w:color w:val="auto"/>
          <w:sz w:val="24"/>
        </w:rPr>
        <w:t>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0AC49E33">
      <w:pPr>
        <w:adjustRightInd w:val="0"/>
        <w:snapToGrid w:val="0"/>
        <w:spacing w:line="360" w:lineRule="auto"/>
        <w:rPr>
          <w:rFonts w:ascii="宋体" w:hAnsi="宋体" w:cs="宋体"/>
          <w:color w:val="auto"/>
          <w:szCs w:val="21"/>
          <w:u w:val="single"/>
        </w:rPr>
      </w:pPr>
    </w:p>
    <w:p w14:paraId="2E79842D">
      <w:pPr>
        <w:adjustRightInd w:val="0"/>
        <w:snapToGrid w:val="0"/>
        <w:spacing w:line="360" w:lineRule="auto"/>
        <w:rPr>
          <w:rFonts w:ascii="宋体" w:hAnsi="宋体" w:cs="宋体"/>
          <w:color w:val="auto"/>
          <w:szCs w:val="21"/>
          <w:u w:val="single"/>
        </w:rPr>
      </w:pPr>
    </w:p>
    <w:p w14:paraId="38800E14">
      <w:pPr>
        <w:adjustRightInd w:val="0"/>
        <w:snapToGrid w:val="0"/>
        <w:spacing w:line="360" w:lineRule="auto"/>
        <w:rPr>
          <w:rFonts w:ascii="宋体" w:hAnsi="宋体" w:cs="宋体"/>
          <w:color w:val="auto"/>
          <w:szCs w:val="21"/>
          <w:u w:val="single"/>
        </w:rPr>
      </w:pPr>
    </w:p>
    <w:p w14:paraId="28C53157">
      <w:pPr>
        <w:adjustRightInd w:val="0"/>
        <w:snapToGrid w:val="0"/>
        <w:spacing w:line="360" w:lineRule="auto"/>
        <w:rPr>
          <w:rFonts w:ascii="宋体" w:hAnsi="宋体" w:cs="宋体"/>
          <w:color w:val="auto"/>
          <w:szCs w:val="21"/>
          <w:u w:val="single"/>
        </w:rPr>
      </w:pPr>
    </w:p>
    <w:p w14:paraId="0BF0CE5B">
      <w:pPr>
        <w:adjustRightInd w:val="0"/>
        <w:snapToGrid w:val="0"/>
        <w:spacing w:line="360" w:lineRule="auto"/>
        <w:rPr>
          <w:rFonts w:ascii="宋体" w:hAnsi="宋体" w:cs="宋体"/>
          <w:color w:val="auto"/>
          <w:szCs w:val="21"/>
          <w:u w:val="single"/>
        </w:rPr>
      </w:pPr>
    </w:p>
    <w:p w14:paraId="7EEE65C3">
      <w:pPr>
        <w:adjustRightInd w:val="0"/>
        <w:snapToGrid w:val="0"/>
        <w:spacing w:line="360" w:lineRule="auto"/>
        <w:jc w:val="center"/>
        <w:rPr>
          <w:rFonts w:ascii="宋体" w:hAnsi="宋体" w:cs="宋体"/>
          <w:b/>
          <w:bCs/>
          <w:color w:val="auto"/>
          <w:sz w:val="44"/>
          <w:szCs w:val="44"/>
        </w:rPr>
      </w:pPr>
      <w:r>
        <w:rPr>
          <w:rFonts w:hint="eastAsia" w:ascii="宋体" w:hAnsi="宋体" w:cs="宋体"/>
          <w:bCs/>
          <w:color w:val="auto"/>
          <w:sz w:val="44"/>
          <w:szCs w:val="44"/>
        </w:rPr>
        <w:br w:type="page"/>
      </w:r>
      <w:r>
        <w:rPr>
          <w:rFonts w:hint="eastAsia" w:ascii="宋体" w:hAnsi="宋体" w:cs="宋体"/>
          <w:b/>
          <w:bCs/>
          <w:color w:val="auto"/>
          <w:sz w:val="44"/>
          <w:szCs w:val="44"/>
        </w:rPr>
        <w:t>技术要求偏离表</w:t>
      </w:r>
    </w:p>
    <w:p w14:paraId="665BDB44">
      <w:pPr>
        <w:spacing w:line="360" w:lineRule="auto"/>
        <w:rPr>
          <w:rFonts w:ascii="宋体" w:hAnsi="宋体" w:cs="宋体"/>
          <w:color w:val="auto"/>
          <w:sz w:val="32"/>
          <w:szCs w:val="32"/>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2D56CEB">
      <w:pPr>
        <w:spacing w:line="360" w:lineRule="auto"/>
        <w:rPr>
          <w:rFonts w:ascii="宋体" w:hAnsi="宋体" w:cs="宋体"/>
          <w:color w:val="auto"/>
          <w:sz w:val="24"/>
        </w:rPr>
      </w:pPr>
      <w:r>
        <w:rPr>
          <w:rFonts w:hint="eastAsia" w:ascii="宋体" w:hAnsi="宋体" w:cs="宋体"/>
          <w:color w:val="auto"/>
          <w:sz w:val="24"/>
        </w:rPr>
        <w:t>采购项目编号：</w:t>
      </w:r>
      <w:r>
        <w:rPr>
          <w:rFonts w:hint="eastAsia" w:ascii="宋体" w:hAnsi="宋体" w:cs="宋体"/>
          <w:color w:val="auto"/>
          <w:sz w:val="24"/>
          <w:u w:val="single"/>
        </w:rPr>
        <w:t xml:space="preserve">                 </w:t>
      </w:r>
    </w:p>
    <w:p w14:paraId="02AAE768">
      <w:pPr>
        <w:spacing w:line="360" w:lineRule="auto"/>
        <w:rPr>
          <w:rFonts w:ascii="宋体" w:hAnsi="宋体" w:cs="宋体"/>
          <w:color w:val="auto"/>
          <w:sz w:val="24"/>
          <w:u w:val="single"/>
        </w:rPr>
      </w:pPr>
      <w:r>
        <w:rPr>
          <w:rFonts w:hint="eastAsia" w:ascii="宋体" w:hAnsi="宋体" w:cs="宋体"/>
          <w:color w:val="auto"/>
          <w:sz w:val="24"/>
        </w:rPr>
        <w:t>分标号：</w:t>
      </w:r>
      <w:r>
        <w:rPr>
          <w:rFonts w:hint="eastAsia" w:ascii="宋体" w:hAnsi="宋体" w:cs="宋体"/>
          <w:color w:val="auto"/>
          <w:sz w:val="24"/>
          <w:u w:val="single"/>
        </w:rPr>
        <w:t xml:space="preserve">                       </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33"/>
        <w:gridCol w:w="933"/>
        <w:gridCol w:w="3104"/>
        <w:gridCol w:w="2793"/>
        <w:gridCol w:w="1524"/>
      </w:tblGrid>
      <w:tr w14:paraId="1D7CB6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4F0D9BF9">
            <w:pPr>
              <w:pStyle w:val="12"/>
              <w:spacing w:line="500" w:lineRule="exact"/>
              <w:ind w:firstLine="0" w:firstLineChars="0"/>
              <w:jc w:val="center"/>
              <w:rPr>
                <w:rFonts w:ascii="宋体" w:hAnsi="宋体" w:eastAsia="宋体" w:cs="宋体"/>
                <w:color w:val="auto"/>
                <w:kern w:val="2"/>
                <w:sz w:val="24"/>
                <w:szCs w:val="24"/>
              </w:rPr>
            </w:pPr>
            <w:r>
              <w:rPr>
                <w:rFonts w:hint="eastAsia" w:ascii="宋体" w:hAnsi="宋体" w:eastAsia="宋体" w:cs="宋体"/>
                <w:color w:val="auto"/>
                <w:kern w:val="2"/>
                <w:sz w:val="24"/>
                <w:szCs w:val="24"/>
              </w:rPr>
              <w:t>序号</w:t>
            </w:r>
          </w:p>
        </w:tc>
        <w:tc>
          <w:tcPr>
            <w:tcW w:w="502" w:type="pct"/>
            <w:tcBorders>
              <w:right w:val="single" w:color="auto" w:sz="4" w:space="0"/>
            </w:tcBorders>
            <w:vAlign w:val="center"/>
          </w:tcPr>
          <w:p w14:paraId="3F59AF63">
            <w:pPr>
              <w:pStyle w:val="12"/>
              <w:spacing w:line="500" w:lineRule="exact"/>
              <w:ind w:firstLine="0" w:firstLineChars="0"/>
              <w:jc w:val="center"/>
              <w:rPr>
                <w:rFonts w:ascii="宋体" w:hAnsi="宋体" w:eastAsia="宋体" w:cs="宋体"/>
                <w:color w:val="auto"/>
                <w:kern w:val="2"/>
                <w:sz w:val="24"/>
                <w:szCs w:val="24"/>
              </w:rPr>
            </w:pPr>
            <w:r>
              <w:rPr>
                <w:rFonts w:hint="eastAsia" w:ascii="宋体" w:hAnsi="宋体" w:eastAsia="宋体" w:cs="宋体"/>
                <w:color w:val="auto"/>
                <w:kern w:val="2"/>
                <w:sz w:val="24"/>
                <w:szCs w:val="24"/>
              </w:rPr>
              <w:t>货物名称</w:t>
            </w:r>
          </w:p>
        </w:tc>
        <w:tc>
          <w:tcPr>
            <w:tcW w:w="1670" w:type="pct"/>
            <w:tcBorders>
              <w:left w:val="single" w:color="auto" w:sz="4" w:space="0"/>
            </w:tcBorders>
            <w:vAlign w:val="center"/>
          </w:tcPr>
          <w:p w14:paraId="580483CF">
            <w:pPr>
              <w:pStyle w:val="12"/>
              <w:spacing w:line="500" w:lineRule="exact"/>
              <w:ind w:firstLine="0" w:firstLineChars="0"/>
              <w:jc w:val="center"/>
              <w:rPr>
                <w:rFonts w:ascii="宋体" w:hAnsi="宋体" w:eastAsia="宋体" w:cs="宋体"/>
                <w:color w:val="auto"/>
                <w:kern w:val="2"/>
                <w:sz w:val="24"/>
                <w:szCs w:val="24"/>
              </w:rPr>
            </w:pPr>
            <w:r>
              <w:rPr>
                <w:rFonts w:hint="eastAsia" w:ascii="宋体" w:hAnsi="宋体" w:eastAsia="宋体" w:cs="宋体"/>
                <w:color w:val="auto"/>
                <w:kern w:val="2"/>
                <w:sz w:val="24"/>
                <w:szCs w:val="24"/>
              </w:rPr>
              <w:t>技术要求</w:t>
            </w:r>
          </w:p>
        </w:tc>
        <w:tc>
          <w:tcPr>
            <w:tcW w:w="1503" w:type="pct"/>
            <w:vAlign w:val="center"/>
          </w:tcPr>
          <w:p w14:paraId="12ACA29F">
            <w:pPr>
              <w:pStyle w:val="12"/>
              <w:spacing w:line="500" w:lineRule="exact"/>
              <w:ind w:firstLine="0" w:firstLineChars="0"/>
              <w:jc w:val="center"/>
              <w:rPr>
                <w:rFonts w:ascii="宋体" w:hAnsi="宋体" w:eastAsia="宋体" w:cs="宋体"/>
                <w:color w:val="auto"/>
                <w:kern w:val="2"/>
                <w:sz w:val="24"/>
                <w:szCs w:val="24"/>
              </w:rPr>
            </w:pPr>
            <w:r>
              <w:rPr>
                <w:rFonts w:hint="eastAsia" w:ascii="宋体" w:hAnsi="宋体" w:eastAsia="宋体" w:cs="宋体"/>
                <w:color w:val="auto"/>
                <w:kern w:val="2"/>
                <w:sz w:val="24"/>
                <w:szCs w:val="24"/>
              </w:rPr>
              <w:t>竞争性谈判响应</w:t>
            </w:r>
          </w:p>
        </w:tc>
        <w:tc>
          <w:tcPr>
            <w:tcW w:w="820" w:type="pct"/>
            <w:vAlign w:val="center"/>
          </w:tcPr>
          <w:p w14:paraId="63E2D2E3">
            <w:pPr>
              <w:pStyle w:val="12"/>
              <w:spacing w:line="500" w:lineRule="exact"/>
              <w:ind w:firstLine="0" w:firstLineChars="0"/>
              <w:jc w:val="center"/>
              <w:rPr>
                <w:rFonts w:ascii="宋体" w:hAnsi="宋体" w:eastAsia="宋体" w:cs="宋体"/>
                <w:color w:val="auto"/>
                <w:kern w:val="2"/>
                <w:sz w:val="24"/>
                <w:szCs w:val="24"/>
              </w:rPr>
            </w:pPr>
            <w:r>
              <w:rPr>
                <w:rFonts w:hint="eastAsia" w:ascii="宋体" w:hAnsi="宋体" w:eastAsia="宋体" w:cs="宋体"/>
                <w:color w:val="auto"/>
                <w:kern w:val="2"/>
                <w:sz w:val="24"/>
                <w:szCs w:val="24"/>
              </w:rPr>
              <w:t>偏离说明</w:t>
            </w:r>
          </w:p>
        </w:tc>
      </w:tr>
      <w:tr w14:paraId="4CBAC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6BFD6899">
            <w:pPr>
              <w:pStyle w:val="12"/>
              <w:spacing w:line="500" w:lineRule="exact"/>
              <w:ind w:firstLine="0" w:firstLineChars="0"/>
              <w:jc w:val="center"/>
              <w:rPr>
                <w:rFonts w:ascii="宋体" w:hAnsi="宋体" w:eastAsia="宋体" w:cs="宋体"/>
                <w:color w:val="auto"/>
                <w:kern w:val="2"/>
                <w:sz w:val="24"/>
                <w:szCs w:val="24"/>
              </w:rPr>
            </w:pPr>
            <w:r>
              <w:rPr>
                <w:rFonts w:hint="eastAsia" w:ascii="宋体" w:hAnsi="宋体" w:eastAsia="宋体" w:cs="宋体"/>
                <w:color w:val="auto"/>
                <w:kern w:val="2"/>
                <w:sz w:val="24"/>
                <w:szCs w:val="24"/>
              </w:rPr>
              <w:t>1</w:t>
            </w:r>
          </w:p>
        </w:tc>
        <w:tc>
          <w:tcPr>
            <w:tcW w:w="502" w:type="pct"/>
            <w:tcBorders>
              <w:right w:val="single" w:color="auto" w:sz="4" w:space="0"/>
            </w:tcBorders>
            <w:vAlign w:val="center"/>
          </w:tcPr>
          <w:p w14:paraId="130CF6BC">
            <w:pPr>
              <w:pStyle w:val="12"/>
              <w:spacing w:line="500" w:lineRule="exact"/>
              <w:ind w:firstLine="0" w:firstLineChars="0"/>
              <w:jc w:val="center"/>
              <w:rPr>
                <w:rFonts w:ascii="宋体" w:hAnsi="宋体" w:eastAsia="宋体" w:cs="宋体"/>
                <w:color w:val="auto"/>
                <w:kern w:val="2"/>
                <w:sz w:val="24"/>
                <w:szCs w:val="24"/>
              </w:rPr>
            </w:pPr>
          </w:p>
        </w:tc>
        <w:tc>
          <w:tcPr>
            <w:tcW w:w="1670" w:type="pct"/>
            <w:tcBorders>
              <w:left w:val="single" w:color="auto" w:sz="4" w:space="0"/>
            </w:tcBorders>
            <w:vAlign w:val="center"/>
          </w:tcPr>
          <w:p w14:paraId="1A712992">
            <w:pPr>
              <w:pStyle w:val="12"/>
              <w:spacing w:line="500" w:lineRule="exact"/>
              <w:ind w:firstLine="0" w:firstLineChars="0"/>
              <w:jc w:val="center"/>
              <w:rPr>
                <w:rFonts w:ascii="宋体" w:hAnsi="宋体" w:eastAsia="宋体" w:cs="宋体"/>
                <w:color w:val="auto"/>
                <w:kern w:val="2"/>
                <w:sz w:val="24"/>
                <w:szCs w:val="24"/>
              </w:rPr>
            </w:pPr>
          </w:p>
        </w:tc>
        <w:tc>
          <w:tcPr>
            <w:tcW w:w="1503" w:type="pct"/>
            <w:vAlign w:val="center"/>
          </w:tcPr>
          <w:p w14:paraId="75142FAC">
            <w:pPr>
              <w:pStyle w:val="12"/>
              <w:spacing w:line="500" w:lineRule="exact"/>
              <w:ind w:firstLine="0" w:firstLineChars="0"/>
              <w:jc w:val="center"/>
              <w:rPr>
                <w:rFonts w:ascii="宋体" w:hAnsi="宋体" w:eastAsia="宋体" w:cs="宋体"/>
                <w:color w:val="auto"/>
                <w:kern w:val="2"/>
                <w:sz w:val="24"/>
                <w:szCs w:val="24"/>
              </w:rPr>
            </w:pPr>
          </w:p>
        </w:tc>
        <w:tc>
          <w:tcPr>
            <w:tcW w:w="820" w:type="pct"/>
            <w:vAlign w:val="center"/>
          </w:tcPr>
          <w:p w14:paraId="4EA8E97A">
            <w:pPr>
              <w:pStyle w:val="12"/>
              <w:spacing w:line="500" w:lineRule="exact"/>
              <w:ind w:firstLine="0" w:firstLineChars="0"/>
              <w:jc w:val="center"/>
              <w:rPr>
                <w:rFonts w:ascii="宋体" w:hAnsi="宋体" w:eastAsia="宋体" w:cs="宋体"/>
                <w:color w:val="auto"/>
                <w:kern w:val="2"/>
                <w:sz w:val="24"/>
                <w:szCs w:val="24"/>
              </w:rPr>
            </w:pPr>
          </w:p>
        </w:tc>
      </w:tr>
      <w:tr w14:paraId="3590F3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02A6AF33">
            <w:pPr>
              <w:pStyle w:val="12"/>
              <w:spacing w:line="500" w:lineRule="exact"/>
              <w:ind w:firstLine="0" w:firstLineChars="0"/>
              <w:jc w:val="center"/>
              <w:rPr>
                <w:rFonts w:ascii="宋体" w:hAnsi="宋体" w:eastAsia="宋体" w:cs="宋体"/>
                <w:color w:val="auto"/>
                <w:kern w:val="2"/>
                <w:sz w:val="24"/>
                <w:szCs w:val="24"/>
              </w:rPr>
            </w:pPr>
            <w:r>
              <w:rPr>
                <w:rFonts w:hint="eastAsia" w:ascii="宋体" w:hAnsi="宋体" w:eastAsia="宋体" w:cs="宋体"/>
                <w:color w:val="auto"/>
                <w:kern w:val="2"/>
                <w:sz w:val="24"/>
                <w:szCs w:val="24"/>
              </w:rPr>
              <w:t>2</w:t>
            </w:r>
          </w:p>
        </w:tc>
        <w:tc>
          <w:tcPr>
            <w:tcW w:w="502" w:type="pct"/>
            <w:tcBorders>
              <w:right w:val="single" w:color="auto" w:sz="4" w:space="0"/>
            </w:tcBorders>
            <w:vAlign w:val="center"/>
          </w:tcPr>
          <w:p w14:paraId="78EE4DC9">
            <w:pPr>
              <w:pStyle w:val="12"/>
              <w:spacing w:line="500" w:lineRule="exact"/>
              <w:ind w:firstLine="0" w:firstLineChars="0"/>
              <w:jc w:val="center"/>
              <w:rPr>
                <w:rFonts w:ascii="宋体" w:hAnsi="宋体" w:eastAsia="宋体" w:cs="宋体"/>
                <w:color w:val="auto"/>
                <w:kern w:val="2"/>
                <w:sz w:val="24"/>
                <w:szCs w:val="24"/>
              </w:rPr>
            </w:pPr>
          </w:p>
        </w:tc>
        <w:tc>
          <w:tcPr>
            <w:tcW w:w="1670" w:type="pct"/>
            <w:tcBorders>
              <w:left w:val="single" w:color="auto" w:sz="4" w:space="0"/>
            </w:tcBorders>
            <w:vAlign w:val="center"/>
          </w:tcPr>
          <w:p w14:paraId="606E0CEF">
            <w:pPr>
              <w:pStyle w:val="12"/>
              <w:spacing w:line="500" w:lineRule="exact"/>
              <w:ind w:firstLine="0" w:firstLineChars="0"/>
              <w:jc w:val="center"/>
              <w:rPr>
                <w:rFonts w:ascii="宋体" w:hAnsi="宋体" w:eastAsia="宋体" w:cs="宋体"/>
                <w:color w:val="auto"/>
                <w:kern w:val="2"/>
                <w:sz w:val="24"/>
                <w:szCs w:val="24"/>
              </w:rPr>
            </w:pPr>
          </w:p>
        </w:tc>
        <w:tc>
          <w:tcPr>
            <w:tcW w:w="1503" w:type="pct"/>
            <w:vAlign w:val="center"/>
          </w:tcPr>
          <w:p w14:paraId="5DF5D6EE">
            <w:pPr>
              <w:pStyle w:val="12"/>
              <w:spacing w:line="500" w:lineRule="exact"/>
              <w:ind w:firstLine="0" w:firstLineChars="0"/>
              <w:jc w:val="center"/>
              <w:rPr>
                <w:rFonts w:ascii="宋体" w:hAnsi="宋体" w:eastAsia="宋体" w:cs="宋体"/>
                <w:color w:val="auto"/>
                <w:kern w:val="2"/>
                <w:sz w:val="24"/>
                <w:szCs w:val="24"/>
              </w:rPr>
            </w:pPr>
          </w:p>
        </w:tc>
        <w:tc>
          <w:tcPr>
            <w:tcW w:w="820" w:type="pct"/>
            <w:vAlign w:val="center"/>
          </w:tcPr>
          <w:p w14:paraId="4BEBB57C">
            <w:pPr>
              <w:pStyle w:val="12"/>
              <w:spacing w:line="500" w:lineRule="exact"/>
              <w:ind w:firstLine="0" w:firstLineChars="0"/>
              <w:jc w:val="center"/>
              <w:rPr>
                <w:rFonts w:ascii="宋体" w:hAnsi="宋体" w:eastAsia="宋体" w:cs="宋体"/>
                <w:color w:val="auto"/>
                <w:kern w:val="2"/>
                <w:sz w:val="24"/>
                <w:szCs w:val="24"/>
              </w:rPr>
            </w:pPr>
          </w:p>
        </w:tc>
      </w:tr>
      <w:tr w14:paraId="6D486A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6F09057D">
            <w:pPr>
              <w:pStyle w:val="12"/>
              <w:spacing w:line="500" w:lineRule="exact"/>
              <w:ind w:firstLine="0" w:firstLineChars="0"/>
              <w:jc w:val="center"/>
              <w:rPr>
                <w:rFonts w:ascii="宋体" w:hAnsi="宋体" w:eastAsia="宋体" w:cs="宋体"/>
                <w:color w:val="auto"/>
                <w:kern w:val="2"/>
                <w:sz w:val="24"/>
                <w:szCs w:val="24"/>
              </w:rPr>
            </w:pPr>
            <w:r>
              <w:rPr>
                <w:rFonts w:hint="eastAsia" w:ascii="宋体" w:hAnsi="宋体" w:eastAsia="宋体" w:cs="宋体"/>
                <w:color w:val="auto"/>
                <w:kern w:val="2"/>
                <w:sz w:val="24"/>
                <w:szCs w:val="24"/>
              </w:rPr>
              <w:t>3</w:t>
            </w:r>
          </w:p>
        </w:tc>
        <w:tc>
          <w:tcPr>
            <w:tcW w:w="502" w:type="pct"/>
            <w:tcBorders>
              <w:right w:val="single" w:color="auto" w:sz="4" w:space="0"/>
            </w:tcBorders>
            <w:vAlign w:val="center"/>
          </w:tcPr>
          <w:p w14:paraId="79441EDD">
            <w:pPr>
              <w:pStyle w:val="12"/>
              <w:spacing w:line="500" w:lineRule="exact"/>
              <w:ind w:firstLine="0" w:firstLineChars="0"/>
              <w:jc w:val="center"/>
              <w:rPr>
                <w:rFonts w:ascii="宋体" w:hAnsi="宋体" w:eastAsia="宋体" w:cs="宋体"/>
                <w:color w:val="auto"/>
                <w:kern w:val="2"/>
                <w:sz w:val="24"/>
                <w:szCs w:val="24"/>
              </w:rPr>
            </w:pPr>
          </w:p>
        </w:tc>
        <w:tc>
          <w:tcPr>
            <w:tcW w:w="1670" w:type="pct"/>
            <w:tcBorders>
              <w:left w:val="single" w:color="auto" w:sz="4" w:space="0"/>
            </w:tcBorders>
            <w:vAlign w:val="center"/>
          </w:tcPr>
          <w:p w14:paraId="1B1A6293">
            <w:pPr>
              <w:pStyle w:val="12"/>
              <w:spacing w:line="500" w:lineRule="exact"/>
              <w:ind w:firstLine="0" w:firstLineChars="0"/>
              <w:jc w:val="center"/>
              <w:rPr>
                <w:rFonts w:ascii="宋体" w:hAnsi="宋体" w:eastAsia="宋体" w:cs="宋体"/>
                <w:color w:val="auto"/>
                <w:kern w:val="2"/>
                <w:sz w:val="24"/>
                <w:szCs w:val="24"/>
              </w:rPr>
            </w:pPr>
          </w:p>
        </w:tc>
        <w:tc>
          <w:tcPr>
            <w:tcW w:w="1503" w:type="pct"/>
            <w:vAlign w:val="center"/>
          </w:tcPr>
          <w:p w14:paraId="7CD5711D">
            <w:pPr>
              <w:pStyle w:val="12"/>
              <w:spacing w:line="500" w:lineRule="exact"/>
              <w:ind w:firstLine="0" w:firstLineChars="0"/>
              <w:jc w:val="center"/>
              <w:rPr>
                <w:rFonts w:ascii="宋体" w:hAnsi="宋体" w:eastAsia="宋体" w:cs="宋体"/>
                <w:color w:val="auto"/>
                <w:kern w:val="2"/>
                <w:sz w:val="24"/>
                <w:szCs w:val="24"/>
              </w:rPr>
            </w:pPr>
          </w:p>
        </w:tc>
        <w:tc>
          <w:tcPr>
            <w:tcW w:w="820" w:type="pct"/>
            <w:vAlign w:val="center"/>
          </w:tcPr>
          <w:p w14:paraId="5FA7C129">
            <w:pPr>
              <w:pStyle w:val="12"/>
              <w:spacing w:line="500" w:lineRule="exact"/>
              <w:ind w:firstLine="0" w:firstLineChars="0"/>
              <w:jc w:val="center"/>
              <w:rPr>
                <w:rFonts w:ascii="宋体" w:hAnsi="宋体" w:eastAsia="宋体" w:cs="宋体"/>
                <w:color w:val="auto"/>
                <w:kern w:val="2"/>
                <w:sz w:val="24"/>
                <w:szCs w:val="24"/>
              </w:rPr>
            </w:pPr>
          </w:p>
        </w:tc>
      </w:tr>
      <w:tr w14:paraId="37E614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2" w:type="pct"/>
            <w:vAlign w:val="center"/>
          </w:tcPr>
          <w:p w14:paraId="3CC73B86">
            <w:pPr>
              <w:pStyle w:val="12"/>
              <w:spacing w:line="500" w:lineRule="exact"/>
              <w:ind w:firstLine="0" w:firstLineChars="0"/>
              <w:jc w:val="center"/>
              <w:rPr>
                <w:rFonts w:ascii="宋体" w:hAnsi="宋体" w:eastAsia="宋体" w:cs="宋体"/>
                <w:color w:val="auto"/>
                <w:kern w:val="2"/>
                <w:sz w:val="24"/>
                <w:szCs w:val="24"/>
              </w:rPr>
            </w:pPr>
            <w:r>
              <w:rPr>
                <w:rFonts w:hint="eastAsia" w:ascii="宋体" w:hAnsi="宋体" w:eastAsia="宋体" w:cs="宋体"/>
                <w:color w:val="auto"/>
                <w:kern w:val="2"/>
                <w:sz w:val="24"/>
                <w:szCs w:val="24"/>
              </w:rPr>
              <w:t>…</w:t>
            </w:r>
          </w:p>
        </w:tc>
        <w:tc>
          <w:tcPr>
            <w:tcW w:w="502" w:type="pct"/>
            <w:tcBorders>
              <w:right w:val="single" w:color="auto" w:sz="4" w:space="0"/>
            </w:tcBorders>
            <w:vAlign w:val="center"/>
          </w:tcPr>
          <w:p w14:paraId="4886D591">
            <w:pPr>
              <w:pStyle w:val="12"/>
              <w:spacing w:line="500" w:lineRule="exact"/>
              <w:ind w:firstLine="0" w:firstLineChars="0"/>
              <w:jc w:val="center"/>
              <w:rPr>
                <w:rFonts w:ascii="宋体" w:hAnsi="宋体" w:eastAsia="宋体" w:cs="宋体"/>
                <w:color w:val="auto"/>
                <w:kern w:val="2"/>
                <w:sz w:val="24"/>
                <w:szCs w:val="24"/>
              </w:rPr>
            </w:pPr>
          </w:p>
        </w:tc>
        <w:tc>
          <w:tcPr>
            <w:tcW w:w="1670" w:type="pct"/>
            <w:tcBorders>
              <w:left w:val="single" w:color="auto" w:sz="4" w:space="0"/>
            </w:tcBorders>
            <w:vAlign w:val="center"/>
          </w:tcPr>
          <w:p w14:paraId="0DFED264">
            <w:pPr>
              <w:pStyle w:val="12"/>
              <w:spacing w:line="500" w:lineRule="exact"/>
              <w:ind w:firstLine="0" w:firstLineChars="0"/>
              <w:jc w:val="center"/>
              <w:rPr>
                <w:rFonts w:ascii="宋体" w:hAnsi="宋体" w:eastAsia="宋体" w:cs="宋体"/>
                <w:color w:val="auto"/>
                <w:kern w:val="2"/>
                <w:sz w:val="24"/>
                <w:szCs w:val="24"/>
              </w:rPr>
            </w:pPr>
          </w:p>
        </w:tc>
        <w:tc>
          <w:tcPr>
            <w:tcW w:w="1503" w:type="pct"/>
            <w:vAlign w:val="center"/>
          </w:tcPr>
          <w:p w14:paraId="4B2F9061">
            <w:pPr>
              <w:pStyle w:val="12"/>
              <w:spacing w:line="500" w:lineRule="exact"/>
              <w:ind w:firstLine="0" w:firstLineChars="0"/>
              <w:jc w:val="center"/>
              <w:rPr>
                <w:rFonts w:ascii="宋体" w:hAnsi="宋体" w:eastAsia="宋体" w:cs="宋体"/>
                <w:color w:val="auto"/>
                <w:kern w:val="2"/>
                <w:sz w:val="24"/>
                <w:szCs w:val="24"/>
              </w:rPr>
            </w:pPr>
          </w:p>
        </w:tc>
        <w:tc>
          <w:tcPr>
            <w:tcW w:w="820" w:type="pct"/>
            <w:tcBorders>
              <w:right w:val="single" w:color="auto" w:sz="4" w:space="0"/>
            </w:tcBorders>
            <w:vAlign w:val="center"/>
          </w:tcPr>
          <w:p w14:paraId="785FD33F">
            <w:pPr>
              <w:pStyle w:val="12"/>
              <w:spacing w:line="500" w:lineRule="exact"/>
              <w:ind w:firstLine="0" w:firstLineChars="0"/>
              <w:jc w:val="center"/>
              <w:rPr>
                <w:rFonts w:ascii="宋体" w:hAnsi="宋体" w:eastAsia="宋体" w:cs="宋体"/>
                <w:color w:val="auto"/>
                <w:kern w:val="2"/>
                <w:sz w:val="24"/>
                <w:szCs w:val="24"/>
              </w:rPr>
            </w:pPr>
          </w:p>
        </w:tc>
      </w:tr>
    </w:tbl>
    <w:p w14:paraId="3C79AE4B">
      <w:pPr>
        <w:pStyle w:val="12"/>
        <w:spacing w:line="360" w:lineRule="auto"/>
        <w:ind w:firstLine="0" w:firstLineChars="0"/>
        <w:contextualSpacing/>
        <w:rPr>
          <w:rFonts w:ascii="楷体" w:hAnsi="楷体" w:eastAsia="楷体" w:cs="宋体"/>
          <w:b/>
          <w:color w:val="auto"/>
          <w:sz w:val="24"/>
          <w:szCs w:val="24"/>
        </w:rPr>
      </w:pPr>
      <w:r>
        <w:rPr>
          <w:rFonts w:hint="eastAsia" w:ascii="楷体" w:hAnsi="楷体" w:eastAsia="楷体" w:cs="宋体"/>
          <w:b/>
          <w:color w:val="auto"/>
          <w:sz w:val="24"/>
          <w:szCs w:val="24"/>
        </w:rPr>
        <w:t>注：</w:t>
      </w:r>
    </w:p>
    <w:p w14:paraId="45D554B7">
      <w:pPr>
        <w:pStyle w:val="12"/>
        <w:spacing w:line="360" w:lineRule="auto"/>
        <w:ind w:firstLine="480" w:firstLineChars="200"/>
        <w:contextualSpacing/>
        <w:rPr>
          <w:rFonts w:ascii="楷体" w:hAnsi="楷体" w:eastAsia="楷体" w:cs="宋体"/>
          <w:color w:val="auto"/>
          <w:sz w:val="24"/>
          <w:szCs w:val="24"/>
        </w:rPr>
      </w:pPr>
      <w:r>
        <w:rPr>
          <w:rFonts w:ascii="楷体" w:hAnsi="楷体" w:eastAsia="楷体" w:cs="宋体"/>
          <w:color w:val="auto"/>
          <w:sz w:val="24"/>
          <w:szCs w:val="24"/>
        </w:rPr>
        <w:t>1.</w:t>
      </w:r>
      <w:r>
        <w:rPr>
          <w:rFonts w:hint="eastAsia" w:ascii="楷体" w:hAnsi="楷体" w:eastAsia="楷体" w:cs="宋体"/>
          <w:color w:val="auto"/>
          <w:sz w:val="24"/>
          <w:szCs w:val="24"/>
        </w:rPr>
        <w:t>说明：应对照谈判文件“第三章</w:t>
      </w:r>
      <w:r>
        <w:rPr>
          <w:rFonts w:ascii="楷体" w:hAnsi="楷体" w:eastAsia="楷体" w:cs="宋体"/>
          <w:color w:val="auto"/>
          <w:sz w:val="24"/>
          <w:szCs w:val="24"/>
        </w:rPr>
        <w:t xml:space="preserve"> </w:t>
      </w:r>
      <w:r>
        <w:rPr>
          <w:rFonts w:hint="eastAsia" w:ascii="楷体" w:hAnsi="楷体" w:eastAsia="楷体" w:cs="宋体"/>
          <w:color w:val="auto"/>
          <w:sz w:val="24"/>
          <w:szCs w:val="24"/>
        </w:rPr>
        <w:t>采购需求”中的技术要求逐条实质性响应，并作出偏离说明。</w:t>
      </w:r>
    </w:p>
    <w:p w14:paraId="4401457B">
      <w:pPr>
        <w:pStyle w:val="12"/>
        <w:spacing w:line="360" w:lineRule="auto"/>
        <w:ind w:firstLine="480" w:firstLineChars="200"/>
        <w:contextualSpacing/>
        <w:rPr>
          <w:rFonts w:ascii="楷体" w:hAnsi="楷体" w:eastAsia="楷体" w:cs="宋体"/>
          <w:color w:val="auto"/>
          <w:sz w:val="24"/>
          <w:szCs w:val="24"/>
        </w:rPr>
      </w:pPr>
      <w:r>
        <w:rPr>
          <w:rFonts w:ascii="楷体" w:hAnsi="楷体" w:eastAsia="楷体" w:cs="宋体"/>
          <w:color w:val="auto"/>
          <w:sz w:val="24"/>
          <w:szCs w:val="24"/>
        </w:rPr>
        <w:t>2.供应商应根据</w:t>
      </w:r>
      <w:r>
        <w:rPr>
          <w:rFonts w:hint="eastAsia" w:ascii="楷体" w:hAnsi="楷体" w:eastAsia="楷体" w:cs="宋体"/>
          <w:color w:val="auto"/>
          <w:sz w:val="24"/>
          <w:szCs w:val="24"/>
        </w:rPr>
        <w:t>其参与</w:t>
      </w:r>
      <w:r>
        <w:rPr>
          <w:rFonts w:hint="eastAsia" w:ascii="楷体" w:hAnsi="楷体" w:eastAsia="楷体" w:cs="宋体"/>
          <w:color w:val="auto"/>
          <w:sz w:val="24"/>
          <w:lang w:bidi="ar"/>
        </w:rPr>
        <w:t>竞争性谈判</w:t>
      </w:r>
      <w:r>
        <w:rPr>
          <w:rFonts w:hint="eastAsia" w:ascii="楷体" w:hAnsi="楷体" w:eastAsia="楷体" w:cs="宋体"/>
          <w:color w:val="auto"/>
          <w:sz w:val="24"/>
          <w:szCs w:val="24"/>
        </w:rPr>
        <w:t>设备的性能指标，对照谈判文件要求，在“偏离说明”中注明“正偏离”、“负偏离”或者“无偏离”。既不属于“正偏离”也不属于“负偏离”即为“无偏离”。</w:t>
      </w:r>
    </w:p>
    <w:p w14:paraId="7725F575">
      <w:pPr>
        <w:pStyle w:val="12"/>
        <w:spacing w:line="360" w:lineRule="auto"/>
        <w:ind w:firstLine="480" w:firstLineChars="200"/>
        <w:contextualSpacing/>
        <w:rPr>
          <w:rFonts w:ascii="楷体" w:hAnsi="楷体" w:eastAsia="楷体" w:cs="宋体"/>
          <w:color w:val="auto"/>
          <w:sz w:val="24"/>
          <w:szCs w:val="24"/>
        </w:rPr>
      </w:pPr>
      <w:r>
        <w:rPr>
          <w:rFonts w:ascii="楷体" w:hAnsi="楷体" w:eastAsia="楷体" w:cs="宋体"/>
          <w:color w:val="auto"/>
          <w:sz w:val="24"/>
          <w:szCs w:val="24"/>
        </w:rPr>
        <w:t>3.供应商认为其</w:t>
      </w:r>
      <w:r>
        <w:rPr>
          <w:rFonts w:hint="eastAsia" w:ascii="楷体" w:hAnsi="楷体" w:eastAsia="楷体" w:cs="宋体"/>
          <w:color w:val="auto"/>
          <w:sz w:val="24"/>
          <w:lang w:bidi="ar"/>
        </w:rPr>
        <w:t>竞争性谈判</w:t>
      </w:r>
      <w:r>
        <w:rPr>
          <w:rFonts w:hint="eastAsia" w:ascii="楷体" w:hAnsi="楷体" w:eastAsia="楷体" w:cs="宋体"/>
          <w:color w:val="auto"/>
          <w:sz w:val="24"/>
          <w:szCs w:val="24"/>
        </w:rPr>
        <w:t>响应有正偏离的，请在技术偏离表中列明，且在响应文件中提供参与</w:t>
      </w:r>
      <w:r>
        <w:rPr>
          <w:rFonts w:hint="eastAsia" w:ascii="楷体" w:hAnsi="楷体" w:eastAsia="楷体" w:cs="宋体"/>
          <w:color w:val="auto"/>
          <w:sz w:val="24"/>
          <w:lang w:bidi="ar"/>
        </w:rPr>
        <w:t>竞争性谈判</w:t>
      </w:r>
      <w:r>
        <w:rPr>
          <w:rFonts w:hint="eastAsia" w:ascii="楷体" w:hAnsi="楷体" w:eastAsia="楷体" w:cs="宋体"/>
          <w:color w:val="auto"/>
          <w:sz w:val="24"/>
          <w:szCs w:val="24"/>
        </w:rPr>
        <w:t>产品的彩页或国家认可有资质的第三方检测机构出具的检测报告复印件或产品生产厂家出具的技术参数说明证明作为佐证，以上佐证材料均需加盖生产厂家或代理商（附生产厂家授权资料）公章。</w:t>
      </w:r>
    </w:p>
    <w:p w14:paraId="5276263B">
      <w:pPr>
        <w:pStyle w:val="12"/>
        <w:spacing w:line="360" w:lineRule="auto"/>
        <w:ind w:firstLine="480" w:firstLineChars="200"/>
        <w:contextualSpacing/>
        <w:rPr>
          <w:rFonts w:ascii="楷体" w:hAnsi="楷体" w:eastAsia="楷体" w:cs="宋体"/>
          <w:color w:val="auto"/>
          <w:sz w:val="24"/>
          <w:szCs w:val="24"/>
        </w:rPr>
      </w:pPr>
      <w:r>
        <w:rPr>
          <w:rFonts w:ascii="楷体" w:hAnsi="楷体" w:eastAsia="楷体" w:cs="宋体"/>
          <w:color w:val="auto"/>
          <w:sz w:val="24"/>
          <w:szCs w:val="24"/>
        </w:rPr>
        <w:t>4.</w:t>
      </w:r>
      <w:r>
        <w:rPr>
          <w:rFonts w:hint="eastAsia" w:ascii="楷体" w:hAnsi="楷体" w:eastAsia="楷体" w:cs="宋体"/>
          <w:color w:val="auto"/>
          <w:sz w:val="24"/>
          <w:szCs w:val="24"/>
        </w:rPr>
        <w:t>如技术偏离表中的</w:t>
      </w:r>
      <w:r>
        <w:rPr>
          <w:rFonts w:hint="eastAsia" w:ascii="楷体" w:hAnsi="楷体" w:eastAsia="楷体" w:cs="宋体"/>
          <w:color w:val="auto"/>
          <w:sz w:val="24"/>
          <w:lang w:bidi="ar"/>
        </w:rPr>
        <w:t>竞争性谈判</w:t>
      </w:r>
      <w:r>
        <w:rPr>
          <w:rFonts w:hint="eastAsia" w:ascii="楷体" w:hAnsi="楷体" w:eastAsia="楷体" w:cs="宋体"/>
          <w:color w:val="auto"/>
          <w:sz w:val="24"/>
          <w:szCs w:val="24"/>
        </w:rPr>
        <w:t>响应与佐证材料不一致的，以佐证材料为准。</w:t>
      </w:r>
    </w:p>
    <w:p w14:paraId="439F3926">
      <w:pPr>
        <w:pStyle w:val="12"/>
        <w:spacing w:line="360" w:lineRule="auto"/>
        <w:ind w:firstLine="0" w:firstLineChars="0"/>
        <w:contextualSpacing/>
        <w:rPr>
          <w:rFonts w:ascii="宋体" w:hAnsi="宋体" w:eastAsia="宋体" w:cs="宋体"/>
          <w:color w:val="auto"/>
          <w:sz w:val="24"/>
          <w:szCs w:val="24"/>
        </w:rPr>
      </w:pPr>
    </w:p>
    <w:p w14:paraId="4CC11F99">
      <w:pPr>
        <w:spacing w:line="360" w:lineRule="auto"/>
        <w:contextualSpacing/>
        <w:rPr>
          <w:rFonts w:ascii="宋体" w:hAnsi="宋体" w:cs="宋体"/>
          <w:color w:val="auto"/>
          <w:sz w:val="24"/>
        </w:rPr>
      </w:pPr>
    </w:p>
    <w:p w14:paraId="55C927CC">
      <w:pPr>
        <w:spacing w:line="360" w:lineRule="auto"/>
        <w:contextualSpacing/>
        <w:jc w:val="center"/>
        <w:rPr>
          <w:rFonts w:ascii="宋体" w:hAnsi="宋体" w:cs="宋体"/>
          <w:color w:val="auto"/>
          <w:sz w:val="24"/>
          <w:u w:val="single"/>
        </w:rPr>
      </w:pPr>
      <w:r>
        <w:rPr>
          <w:rFonts w:hint="eastAsia" w:ascii="宋体" w:hAns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法定代表人或者委托代理人（签字）：</w:t>
      </w:r>
      <w:r>
        <w:rPr>
          <w:rFonts w:hint="eastAsia" w:ascii="宋体" w:hAnsi="宋体" w:cs="宋体"/>
          <w:color w:val="auto"/>
          <w:sz w:val="24"/>
          <w:u w:val="single"/>
        </w:rPr>
        <w:t xml:space="preserve"> </w:t>
      </w:r>
      <w:r>
        <w:rPr>
          <w:rFonts w:ascii="宋体" w:hAnsi="宋体" w:cs="宋体"/>
          <w:color w:val="auto"/>
          <w:sz w:val="24"/>
          <w:u w:val="single"/>
        </w:rPr>
        <w:t xml:space="preserve">                 </w:t>
      </w:r>
    </w:p>
    <w:p w14:paraId="76EF69AB">
      <w:pPr>
        <w:spacing w:line="360" w:lineRule="auto"/>
        <w:ind w:firstLine="2880" w:firstLineChars="1200"/>
        <w:contextualSpacing/>
        <w:rPr>
          <w:rFonts w:ascii="宋体" w:hAnsi="宋体" w:cs="宋体"/>
          <w:color w:val="auto"/>
          <w:sz w:val="24"/>
        </w:rPr>
      </w:pPr>
      <w:r>
        <w:rPr>
          <w:rFonts w:hint="eastAsia" w:ascii="宋体" w:hAnsi="宋体" w:cs="宋体"/>
          <w:color w:val="auto"/>
          <w:sz w:val="24"/>
        </w:rPr>
        <w:t>供应商（公章）：</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 xml:space="preserve">      </w:t>
      </w:r>
    </w:p>
    <w:p w14:paraId="70344416">
      <w:pPr>
        <w:spacing w:line="360" w:lineRule="auto"/>
        <w:ind w:firstLine="2880" w:firstLineChars="1200"/>
        <w:contextualSpacing/>
        <w:rPr>
          <w:rFonts w:ascii="宋体" w:hAnsi="宋体" w:cs="宋体"/>
          <w:color w:val="auto"/>
          <w:sz w:val="32"/>
          <w:szCs w:val="32"/>
        </w:rPr>
      </w:pPr>
      <w:r>
        <w:rPr>
          <w:rFonts w:hint="eastAsia" w:ascii="宋体" w:hAnsi="宋体" w:cs="宋体"/>
          <w:color w:val="auto"/>
          <w:sz w:val="24"/>
        </w:rPr>
        <w:t>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79E5D32B">
      <w:pPr>
        <w:spacing w:line="360" w:lineRule="auto"/>
        <w:rPr>
          <w:rFonts w:ascii="宋体" w:hAnsi="宋体" w:cs="宋体"/>
          <w:color w:val="auto"/>
          <w:szCs w:val="21"/>
        </w:rPr>
      </w:pPr>
      <w:r>
        <w:rPr>
          <w:rFonts w:hint="eastAsia" w:ascii="宋体" w:hAnsi="宋体" w:cs="宋体"/>
          <w:b/>
          <w:bCs/>
          <w:color w:val="auto"/>
          <w:sz w:val="24"/>
        </w:rPr>
        <w:br w:type="page"/>
      </w:r>
      <w:r>
        <w:rPr>
          <w:rFonts w:hint="eastAsia" w:ascii="宋体" w:hAnsi="宋体" w:cs="宋体"/>
          <w:b/>
          <w:bCs/>
          <w:color w:val="auto"/>
          <w:sz w:val="24"/>
        </w:rPr>
        <w:t>其他文书、文件格式</w:t>
      </w:r>
    </w:p>
    <w:p w14:paraId="195935F2">
      <w:pPr>
        <w:adjustRightInd w:val="0"/>
        <w:snapToGrid w:val="0"/>
        <w:spacing w:line="360" w:lineRule="auto"/>
        <w:jc w:val="center"/>
        <w:rPr>
          <w:rFonts w:ascii="宋体" w:hAnsi="宋体" w:cs="宋体"/>
          <w:b/>
          <w:bCs/>
          <w:color w:val="auto"/>
          <w:sz w:val="44"/>
          <w:szCs w:val="44"/>
        </w:rPr>
      </w:pPr>
      <w:bookmarkStart w:id="42" w:name="_Toc71366061"/>
      <w:bookmarkStart w:id="43" w:name="_Toc71365383"/>
      <w:r>
        <w:rPr>
          <w:rFonts w:hint="eastAsia" w:ascii="宋体" w:hAnsi="宋体" w:cs="宋体"/>
          <w:b/>
          <w:bCs/>
          <w:color w:val="auto"/>
          <w:sz w:val="44"/>
          <w:szCs w:val="44"/>
        </w:rPr>
        <w:t>中小企业声明函（货物）</w:t>
      </w:r>
      <w:bookmarkEnd w:id="42"/>
      <w:bookmarkEnd w:id="43"/>
    </w:p>
    <w:p w14:paraId="64ADAEF3">
      <w:pPr>
        <w:spacing w:line="360" w:lineRule="auto"/>
        <w:rPr>
          <w:rFonts w:ascii="宋体" w:hAnsi="宋体" w:cs="宋体"/>
          <w:color w:val="auto"/>
        </w:rPr>
      </w:pPr>
    </w:p>
    <w:p w14:paraId="250F1625">
      <w:pPr>
        <w:pStyle w:val="11"/>
        <w:spacing w:after="0" w:line="360" w:lineRule="auto"/>
        <w:ind w:firstLine="640"/>
        <w:contextualSpacing/>
        <w:rPr>
          <w:rFonts w:ascii="宋体" w:hAnsi="宋体" w:cs="宋体"/>
          <w:color w:val="auto"/>
          <w:sz w:val="24"/>
        </w:rPr>
      </w:pPr>
      <w:r>
        <w:rPr>
          <w:rFonts w:hint="eastAsia" w:ascii="宋体" w:hAnsi="宋体" w:cs="宋体"/>
          <w:color w:val="auto"/>
          <w:sz w:val="24"/>
        </w:rPr>
        <w:t>本公司（联合体）郑重声明，根据《政府采购促进中小企业发展管理办法》（财库﹝2020﹞46号）的规定，本公司（联合体）参加</w:t>
      </w:r>
      <w:r>
        <w:rPr>
          <w:rFonts w:hint="eastAsia" w:ascii="宋体" w:hAnsi="宋体" w:cs="宋体"/>
          <w:color w:val="auto"/>
          <w:sz w:val="24"/>
          <w:u w:val="single"/>
        </w:rPr>
        <w:t>（单位名称）</w:t>
      </w:r>
      <w:r>
        <w:rPr>
          <w:rFonts w:hint="eastAsia" w:ascii="宋体" w:hAnsi="宋体" w:cs="宋体"/>
          <w:color w:val="auto"/>
          <w:sz w:val="24"/>
        </w:rPr>
        <w:t>的</w:t>
      </w:r>
      <w:r>
        <w:rPr>
          <w:rFonts w:hint="eastAsia" w:ascii="宋体" w:hAnsi="宋体" w:cs="宋体"/>
          <w:color w:val="auto"/>
          <w:sz w:val="24"/>
          <w:u w:val="single"/>
        </w:rPr>
        <w:t>（项目名称）</w:t>
      </w:r>
      <w:r>
        <w:rPr>
          <w:rFonts w:hint="eastAsia" w:ascii="宋体" w:hAnsi="宋体" w:cs="宋体"/>
          <w:color w:val="auto"/>
          <w:sz w:val="24"/>
        </w:rPr>
        <w:t>采购活动，提供的货物全部由符合政策要求的中小企业制造。相关企业（含联合体中的中小企业、签订分包意向协议的中小企业）的具体情况如下：</w:t>
      </w:r>
    </w:p>
    <w:p w14:paraId="140C867F">
      <w:pPr>
        <w:tabs>
          <w:tab w:val="left" w:pos="1384"/>
          <w:tab w:val="left" w:pos="4562"/>
          <w:tab w:val="left" w:pos="6803"/>
        </w:tabs>
        <w:spacing w:line="360" w:lineRule="auto"/>
        <w:ind w:firstLine="655"/>
        <w:contextualSpacing/>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u w:val="single"/>
        </w:rPr>
        <w:t>（标的名称）</w:t>
      </w:r>
      <w:r>
        <w:rPr>
          <w:rFonts w:hint="eastAsia" w:ascii="宋体" w:hAnsi="宋体" w:cs="宋体"/>
          <w:color w:val="auto"/>
          <w:sz w:val="24"/>
        </w:rPr>
        <w:t>，属于</w:t>
      </w:r>
      <w:r>
        <w:rPr>
          <w:rFonts w:hint="eastAsia" w:ascii="宋体" w:hAnsi="宋体" w:cs="宋体"/>
          <w:color w:val="auto"/>
          <w:sz w:val="24"/>
          <w:u w:val="single"/>
        </w:rPr>
        <w:t>（采购文件中明确的所属行业）</w:t>
      </w:r>
      <w:r>
        <w:rPr>
          <w:rFonts w:hint="eastAsia" w:ascii="宋体" w:hAnsi="宋体" w:cs="宋体"/>
          <w:color w:val="auto"/>
          <w:sz w:val="24"/>
        </w:rPr>
        <w:t>行业；制造商为</w:t>
      </w:r>
      <w:r>
        <w:rPr>
          <w:rFonts w:hint="eastAsia" w:ascii="宋体" w:hAnsi="宋体" w:cs="宋体"/>
          <w:color w:val="auto"/>
          <w:sz w:val="24"/>
          <w:u w:val="single"/>
        </w:rPr>
        <w:t>（企业名称）</w:t>
      </w:r>
      <w:r>
        <w:rPr>
          <w:rFonts w:hint="eastAsia" w:ascii="宋体" w:hAnsi="宋体" w:cs="宋体"/>
          <w:color w:val="auto"/>
          <w:sz w:val="24"/>
        </w:rPr>
        <w:t>，从业人员</w:t>
      </w:r>
      <w:r>
        <w:rPr>
          <w:rFonts w:hint="eastAsia" w:ascii="宋体" w:hAnsi="宋体" w:cs="宋体"/>
          <w:color w:val="auto"/>
          <w:sz w:val="24"/>
          <w:u w:val="single"/>
        </w:rPr>
        <w:t xml:space="preserve">      </w:t>
      </w:r>
      <w:r>
        <w:rPr>
          <w:rFonts w:hint="eastAsia" w:ascii="宋体" w:hAnsi="宋体" w:cs="宋体"/>
          <w:color w:val="auto"/>
          <w:sz w:val="24"/>
        </w:rPr>
        <w:t>人，营业收入为</w:t>
      </w:r>
      <w:r>
        <w:rPr>
          <w:rFonts w:hint="eastAsia" w:ascii="宋体" w:hAnsi="宋体" w:cs="宋体"/>
          <w:color w:val="auto"/>
          <w:sz w:val="24"/>
          <w:u w:val="single"/>
        </w:rPr>
        <w:t xml:space="preserve">      </w:t>
      </w:r>
      <w:r>
        <w:rPr>
          <w:rFonts w:hint="eastAsia" w:ascii="宋体" w:hAnsi="宋体" w:cs="宋体"/>
          <w:color w:val="auto"/>
          <w:sz w:val="24"/>
        </w:rPr>
        <w:t>万元，资产总额为</w:t>
      </w:r>
      <w:r>
        <w:rPr>
          <w:rFonts w:hint="eastAsia" w:ascii="宋体" w:hAnsi="宋体" w:cs="宋体"/>
          <w:color w:val="auto"/>
          <w:sz w:val="24"/>
          <w:u w:val="single"/>
        </w:rPr>
        <w:t xml:space="preserve">      </w:t>
      </w:r>
      <w:r>
        <w:rPr>
          <w:rFonts w:hint="eastAsia" w:ascii="宋体" w:hAnsi="宋体" w:cs="宋体"/>
          <w:color w:val="auto"/>
          <w:sz w:val="24"/>
        </w:rPr>
        <w:t>万元，属于</w:t>
      </w:r>
      <w:r>
        <w:rPr>
          <w:rFonts w:hint="eastAsia" w:ascii="宋体" w:hAnsi="宋体" w:cs="宋体"/>
          <w:color w:val="auto"/>
          <w:sz w:val="24"/>
          <w:u w:val="single"/>
        </w:rPr>
        <w:t>（中型企业、小型企业、微型企业）</w:t>
      </w:r>
      <w:r>
        <w:rPr>
          <w:rFonts w:hint="eastAsia" w:ascii="宋体" w:hAnsi="宋体" w:cs="宋体"/>
          <w:color w:val="auto"/>
          <w:sz w:val="24"/>
        </w:rPr>
        <w:t>；</w:t>
      </w:r>
    </w:p>
    <w:p w14:paraId="2B17F490">
      <w:pPr>
        <w:tabs>
          <w:tab w:val="left" w:pos="1065"/>
          <w:tab w:val="left" w:pos="6477"/>
        </w:tabs>
        <w:spacing w:line="360" w:lineRule="auto"/>
        <w:ind w:firstLine="655"/>
        <w:contextualSpacing/>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u w:val="single"/>
        </w:rPr>
        <w:t>（标的名称）</w:t>
      </w:r>
      <w:r>
        <w:rPr>
          <w:rFonts w:hint="eastAsia" w:ascii="宋体" w:hAnsi="宋体" w:cs="宋体"/>
          <w:color w:val="auto"/>
          <w:sz w:val="24"/>
        </w:rPr>
        <w:t>，属于</w:t>
      </w:r>
      <w:r>
        <w:rPr>
          <w:rFonts w:hint="eastAsia" w:ascii="宋体" w:hAnsi="宋体" w:cs="宋体"/>
          <w:color w:val="auto"/>
          <w:sz w:val="24"/>
          <w:u w:val="single"/>
        </w:rPr>
        <w:t>（采购文件中明确的所属行业）</w:t>
      </w:r>
      <w:r>
        <w:rPr>
          <w:rFonts w:hint="eastAsia" w:ascii="宋体" w:hAnsi="宋体" w:cs="宋体"/>
          <w:color w:val="auto"/>
          <w:sz w:val="24"/>
        </w:rPr>
        <w:t>行业；制造商为</w:t>
      </w:r>
      <w:r>
        <w:rPr>
          <w:rFonts w:hint="eastAsia" w:ascii="宋体" w:hAnsi="宋体" w:cs="宋体"/>
          <w:color w:val="auto"/>
          <w:sz w:val="24"/>
          <w:u w:val="single"/>
        </w:rPr>
        <w:t>（企业名称）</w:t>
      </w:r>
      <w:r>
        <w:rPr>
          <w:rFonts w:hint="eastAsia" w:ascii="宋体" w:hAnsi="宋体" w:cs="宋体"/>
          <w:color w:val="auto"/>
          <w:sz w:val="24"/>
        </w:rPr>
        <w:t>，从业人员</w:t>
      </w:r>
      <w:r>
        <w:rPr>
          <w:rFonts w:hint="eastAsia" w:ascii="宋体" w:hAnsi="宋体" w:cs="宋体"/>
          <w:color w:val="auto"/>
          <w:sz w:val="24"/>
          <w:u w:val="single"/>
        </w:rPr>
        <w:t xml:space="preserve">      </w:t>
      </w:r>
      <w:r>
        <w:rPr>
          <w:rFonts w:hint="eastAsia" w:ascii="宋体" w:hAnsi="宋体" w:cs="宋体"/>
          <w:color w:val="auto"/>
          <w:sz w:val="24"/>
        </w:rPr>
        <w:t>人，营业收入为</w:t>
      </w:r>
      <w:r>
        <w:rPr>
          <w:rFonts w:hint="eastAsia" w:ascii="宋体" w:hAnsi="宋体" w:cs="宋体"/>
          <w:color w:val="auto"/>
          <w:sz w:val="24"/>
          <w:u w:val="single"/>
        </w:rPr>
        <w:t xml:space="preserve">      </w:t>
      </w:r>
      <w:r>
        <w:rPr>
          <w:rFonts w:hint="eastAsia" w:ascii="宋体" w:hAnsi="宋体" w:cs="宋体"/>
          <w:color w:val="auto"/>
          <w:sz w:val="24"/>
        </w:rPr>
        <w:t>万元，资产总额为</w:t>
      </w:r>
      <w:r>
        <w:rPr>
          <w:rFonts w:hint="eastAsia" w:ascii="宋体" w:hAnsi="宋体" w:cs="宋体"/>
          <w:color w:val="auto"/>
          <w:sz w:val="24"/>
          <w:u w:val="single"/>
        </w:rPr>
        <w:t xml:space="preserve">      </w:t>
      </w:r>
      <w:r>
        <w:rPr>
          <w:rFonts w:hint="eastAsia" w:ascii="宋体" w:hAnsi="宋体" w:cs="宋体"/>
          <w:color w:val="auto"/>
          <w:sz w:val="24"/>
        </w:rPr>
        <w:t>万元，属于</w:t>
      </w:r>
      <w:r>
        <w:rPr>
          <w:rFonts w:hint="eastAsia" w:ascii="宋体" w:hAnsi="宋体" w:cs="宋体"/>
          <w:color w:val="auto"/>
          <w:sz w:val="24"/>
          <w:u w:val="single"/>
        </w:rPr>
        <w:t>（中型企业、小型企业、微型企业）</w:t>
      </w:r>
      <w:r>
        <w:rPr>
          <w:rFonts w:hint="eastAsia" w:ascii="宋体" w:hAnsi="宋体" w:cs="宋体"/>
          <w:color w:val="auto"/>
          <w:sz w:val="24"/>
        </w:rPr>
        <w:t>；</w:t>
      </w:r>
    </w:p>
    <w:p w14:paraId="7996282B">
      <w:pPr>
        <w:pStyle w:val="11"/>
        <w:spacing w:after="0" w:line="360" w:lineRule="auto"/>
        <w:contextualSpacing/>
        <w:rPr>
          <w:rFonts w:ascii="宋体" w:hAnsi="宋体" w:cs="宋体"/>
          <w:color w:val="auto"/>
          <w:sz w:val="24"/>
        </w:rPr>
      </w:pPr>
      <w:r>
        <w:rPr>
          <w:rFonts w:hint="eastAsia" w:ascii="宋体" w:hAnsi="宋体" w:cs="宋体"/>
          <w:color w:val="auto"/>
          <w:sz w:val="24"/>
        </w:rPr>
        <w:t xml:space="preserve">…… </w:t>
      </w:r>
    </w:p>
    <w:p w14:paraId="17CD5E90">
      <w:pPr>
        <w:pStyle w:val="11"/>
        <w:spacing w:after="0" w:line="360" w:lineRule="auto"/>
        <w:ind w:firstLine="453" w:firstLineChars="189"/>
        <w:contextualSpacing/>
        <w:rPr>
          <w:rFonts w:ascii="宋体" w:hAnsi="宋体" w:cs="宋体"/>
          <w:color w:val="auto"/>
          <w:sz w:val="24"/>
        </w:rPr>
      </w:pPr>
      <w:r>
        <w:rPr>
          <w:rFonts w:hint="eastAsia" w:ascii="宋体" w:hAnsi="宋体" w:cs="宋体"/>
          <w:color w:val="auto"/>
          <w:sz w:val="24"/>
        </w:rPr>
        <w:t>以上企业，不属于大企业的分支机构，不存在控股股东为大企业的情形，也不存在与大企业的负责人为同一人的情形。</w:t>
      </w:r>
    </w:p>
    <w:p w14:paraId="39CBA225">
      <w:pPr>
        <w:pStyle w:val="11"/>
        <w:spacing w:after="0" w:line="360" w:lineRule="auto"/>
        <w:ind w:firstLine="567"/>
        <w:contextualSpacing/>
        <w:rPr>
          <w:rFonts w:ascii="宋体" w:hAnsi="宋体" w:cs="宋体"/>
          <w:color w:val="auto"/>
          <w:sz w:val="24"/>
        </w:rPr>
      </w:pPr>
      <w:r>
        <w:rPr>
          <w:rFonts w:hint="eastAsia" w:ascii="宋体" w:hAnsi="宋体" w:cs="宋体"/>
          <w:color w:val="auto"/>
          <w:sz w:val="24"/>
        </w:rPr>
        <w:t>本企业对上述声明内容的真实性负责。如有虚假，将依法承担相应责任。</w:t>
      </w:r>
    </w:p>
    <w:p w14:paraId="2D8B6C89">
      <w:pPr>
        <w:pStyle w:val="11"/>
        <w:spacing w:after="0" w:line="360" w:lineRule="auto"/>
        <w:contextualSpacing/>
        <w:rPr>
          <w:rFonts w:ascii="宋体" w:hAnsi="宋体" w:cs="宋体"/>
          <w:color w:val="auto"/>
          <w:sz w:val="24"/>
        </w:rPr>
      </w:pPr>
    </w:p>
    <w:p w14:paraId="393E0B01">
      <w:pPr>
        <w:pStyle w:val="11"/>
        <w:spacing w:after="0" w:line="360" w:lineRule="auto"/>
        <w:ind w:firstLine="3360" w:firstLineChars="1400"/>
        <w:contextualSpacing/>
        <w:rPr>
          <w:rFonts w:ascii="宋体" w:hAnsi="宋体" w:cs="宋体"/>
          <w:color w:val="auto"/>
          <w:sz w:val="24"/>
          <w:u w:val="single"/>
        </w:rPr>
      </w:pPr>
      <w:r>
        <w:rPr>
          <w:rFonts w:hint="eastAsia" w:ascii="宋体" w:hAnsi="宋体" w:cs="宋体"/>
          <w:color w:val="auto"/>
          <w:sz w:val="24"/>
        </w:rPr>
        <w:t xml:space="preserve">企业名称（公章）： </w:t>
      </w:r>
      <w:r>
        <w:rPr>
          <w:rFonts w:ascii="宋体" w:hAnsi="宋体" w:cs="宋体"/>
          <w:color w:val="auto"/>
          <w:sz w:val="24"/>
          <w:u w:val="single"/>
        </w:rPr>
        <w:t xml:space="preserve">                   </w:t>
      </w:r>
    </w:p>
    <w:p w14:paraId="71A239D9">
      <w:pPr>
        <w:pStyle w:val="11"/>
        <w:spacing w:after="0" w:line="360" w:lineRule="auto"/>
        <w:ind w:firstLine="3360" w:firstLineChars="1400"/>
        <w:contextualSpacing/>
        <w:rPr>
          <w:rFonts w:ascii="宋体" w:hAnsi="宋体" w:cs="宋体"/>
          <w:color w:val="auto"/>
          <w:sz w:val="24"/>
        </w:rPr>
      </w:pPr>
      <w:r>
        <w:rPr>
          <w:rFonts w:hint="eastAsia" w:ascii="宋体" w:hAnsi="宋体" w:cs="宋体"/>
          <w:color w:val="auto"/>
          <w:sz w:val="24"/>
        </w:rPr>
        <w:t>日 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53EABDA3">
      <w:pPr>
        <w:pStyle w:val="11"/>
        <w:spacing w:after="0" w:line="360" w:lineRule="auto"/>
        <w:contextualSpacing/>
        <w:rPr>
          <w:rFonts w:ascii="宋体" w:hAnsi="宋体" w:cs="宋体"/>
          <w:color w:val="auto"/>
        </w:rPr>
      </w:pPr>
    </w:p>
    <w:p w14:paraId="160BFE1A">
      <w:pPr>
        <w:spacing w:line="360" w:lineRule="auto"/>
        <w:contextualSpacing/>
        <w:jc w:val="left"/>
        <w:rPr>
          <w:rFonts w:ascii="楷体" w:hAnsi="楷体" w:eastAsia="楷体" w:cs="宋体"/>
          <w:b/>
          <w:color w:val="auto"/>
          <w:sz w:val="24"/>
        </w:rPr>
      </w:pPr>
      <w:r>
        <w:rPr>
          <w:rFonts w:hint="eastAsia" w:ascii="楷体" w:hAnsi="楷体" w:eastAsia="楷体" w:cs="宋体"/>
          <w:b/>
          <w:color w:val="auto"/>
          <w:sz w:val="24"/>
        </w:rPr>
        <w:t>注：</w:t>
      </w:r>
    </w:p>
    <w:p w14:paraId="72D24171">
      <w:pPr>
        <w:spacing w:line="360" w:lineRule="auto"/>
        <w:ind w:firstLine="480" w:firstLineChars="200"/>
        <w:contextualSpacing/>
        <w:jc w:val="left"/>
        <w:rPr>
          <w:rFonts w:ascii="楷体" w:hAnsi="楷体" w:eastAsia="楷体" w:cs="宋体"/>
          <w:color w:val="auto"/>
          <w:sz w:val="24"/>
        </w:rPr>
      </w:pPr>
      <w:r>
        <w:rPr>
          <w:rFonts w:hint="eastAsia" w:ascii="楷体" w:hAnsi="楷体" w:eastAsia="楷体" w:cs="宋体"/>
          <w:color w:val="auto"/>
          <w:sz w:val="24"/>
        </w:rPr>
        <w:t>享受《政府采购促进中小企业发展管理办法》（财库〔</w:t>
      </w:r>
      <w:r>
        <w:rPr>
          <w:rFonts w:ascii="楷体" w:hAnsi="楷体" w:eastAsia="楷体" w:cs="宋体"/>
          <w:color w:val="auto"/>
          <w:sz w:val="24"/>
        </w:rPr>
        <w:t>2020〕46号）规定的中小企业扶持政策的，采购人、采购代理机构应当随成交结果公开成交供应商的《中小企业声明函》。从业人员、营业收入、资产总额填报上一年度数据，无上一年度数据的新成立企业可不填报。</w:t>
      </w:r>
    </w:p>
    <w:p w14:paraId="0D9B6D44">
      <w:pPr>
        <w:spacing w:line="360" w:lineRule="auto"/>
        <w:contextualSpacing/>
        <w:jc w:val="center"/>
        <w:rPr>
          <w:rFonts w:ascii="宋体" w:hAnsi="宋体" w:cs="宋体"/>
          <w:color w:val="auto"/>
          <w:sz w:val="24"/>
        </w:rPr>
      </w:pPr>
    </w:p>
    <w:p w14:paraId="1BE72B84">
      <w:pPr>
        <w:spacing w:line="360" w:lineRule="auto"/>
        <w:contextualSpacing/>
        <w:jc w:val="center"/>
        <w:rPr>
          <w:rFonts w:ascii="宋体" w:hAnsi="宋体" w:cs="宋体"/>
          <w:color w:val="auto"/>
          <w:sz w:val="24"/>
        </w:rPr>
      </w:pPr>
    </w:p>
    <w:p w14:paraId="0396FB30">
      <w:pPr>
        <w:spacing w:line="360" w:lineRule="auto"/>
        <w:ind w:firstLine="800" w:firstLineChars="250"/>
        <w:jc w:val="center"/>
        <w:rPr>
          <w:rFonts w:ascii="宋体" w:hAnsi="宋体" w:cs="宋体"/>
          <w:b/>
          <w:color w:val="auto"/>
          <w:sz w:val="32"/>
          <w:szCs w:val="32"/>
        </w:rPr>
      </w:pPr>
      <w:r>
        <w:rPr>
          <w:rFonts w:hint="eastAsia" w:hAnsi="宋体" w:cs="宋体"/>
          <w:color w:val="auto"/>
          <w:sz w:val="32"/>
          <w:szCs w:val="32"/>
        </w:rPr>
        <w:br w:type="page"/>
      </w:r>
      <w:r>
        <w:rPr>
          <w:rFonts w:hint="eastAsia" w:ascii="宋体" w:hAnsi="宋体" w:cs="宋体"/>
          <w:b/>
          <w:color w:val="auto"/>
          <w:sz w:val="44"/>
          <w:szCs w:val="44"/>
        </w:rPr>
        <w:t>残疾人福利性单位声明函</w:t>
      </w:r>
    </w:p>
    <w:p w14:paraId="742DC55D">
      <w:pPr>
        <w:spacing w:line="360" w:lineRule="auto"/>
        <w:rPr>
          <w:rFonts w:ascii="宋体" w:hAnsi="宋体" w:cs="宋体"/>
          <w:color w:val="auto"/>
          <w:sz w:val="32"/>
          <w:szCs w:val="32"/>
        </w:rPr>
      </w:pPr>
    </w:p>
    <w:p w14:paraId="1D188C34">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u w:val="single"/>
        </w:rPr>
        <w:t xml:space="preserve">       </w:t>
      </w:r>
      <w:r>
        <w:rPr>
          <w:rFonts w:hint="eastAsia" w:ascii="宋体" w:hAnsi="宋体" w:cs="宋体"/>
          <w:color w:val="auto"/>
          <w:sz w:val="24"/>
        </w:rPr>
        <w:t>单位的</w:t>
      </w:r>
      <w:r>
        <w:rPr>
          <w:rFonts w:hint="eastAsia" w:ascii="宋体" w:hAnsi="宋体" w:cs="宋体"/>
          <w:color w:val="auto"/>
          <w:sz w:val="24"/>
          <w:u w:val="single"/>
        </w:rPr>
        <w:t xml:space="preserve">        </w:t>
      </w:r>
      <w:r>
        <w:rPr>
          <w:rFonts w:hint="eastAsia" w:ascii="宋体" w:hAnsi="宋体" w:cs="宋体"/>
          <w:color w:val="auto"/>
          <w:sz w:val="24"/>
        </w:rPr>
        <w:t>项目采购活动提供本单位制造的货物（由本单位承担工程/提供服务），或者提供其他残疾人福利性单位制造的货物（不包括使用非残疾人福利性单位注册商标的货物）。</w:t>
      </w:r>
    </w:p>
    <w:p w14:paraId="3B19CF53">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本单位对上述声明的真实性负责。如有虚假，将依法承担相应责任。</w:t>
      </w:r>
    </w:p>
    <w:p w14:paraId="060DBE10">
      <w:pPr>
        <w:spacing w:line="360" w:lineRule="auto"/>
        <w:contextualSpacing/>
        <w:rPr>
          <w:rFonts w:ascii="宋体" w:hAnsi="宋体" w:cs="宋体"/>
          <w:color w:val="auto"/>
          <w:sz w:val="24"/>
        </w:rPr>
      </w:pPr>
    </w:p>
    <w:p w14:paraId="0C6EE30D">
      <w:pPr>
        <w:spacing w:line="360" w:lineRule="auto"/>
        <w:contextualSpacing/>
        <w:rPr>
          <w:rFonts w:ascii="宋体" w:hAnsi="宋体" w:cs="宋体"/>
          <w:color w:val="auto"/>
          <w:sz w:val="24"/>
        </w:rPr>
      </w:pPr>
    </w:p>
    <w:p w14:paraId="7F469F18">
      <w:pPr>
        <w:spacing w:line="360" w:lineRule="auto"/>
        <w:contextualSpacing/>
        <w:rPr>
          <w:rFonts w:ascii="宋体" w:hAnsi="宋体" w:cs="宋体"/>
          <w:color w:val="auto"/>
          <w:sz w:val="24"/>
        </w:rPr>
      </w:pPr>
    </w:p>
    <w:p w14:paraId="171CD4DD">
      <w:pPr>
        <w:spacing w:line="360" w:lineRule="auto"/>
        <w:ind w:firstLine="3600" w:firstLineChars="1500"/>
        <w:contextualSpacing/>
        <w:rPr>
          <w:rFonts w:ascii="宋体" w:hAnsi="宋体" w:cs="宋体"/>
          <w:color w:val="auto"/>
          <w:sz w:val="24"/>
          <w:u w:val="single"/>
        </w:rPr>
      </w:pPr>
      <w:r>
        <w:rPr>
          <w:rFonts w:hint="eastAsia" w:ascii="宋体" w:hAnsi="宋体" w:cs="宋体"/>
          <w:color w:val="auto"/>
          <w:sz w:val="24"/>
        </w:rPr>
        <w:t>单位名称（公章）：</w:t>
      </w:r>
      <w:r>
        <w:rPr>
          <w:rFonts w:hint="eastAsia" w:ascii="宋体" w:hAnsi="宋体" w:cs="宋体"/>
          <w:color w:val="auto"/>
          <w:sz w:val="24"/>
          <w:u w:val="single"/>
        </w:rPr>
        <w:t xml:space="preserve"> </w:t>
      </w:r>
      <w:r>
        <w:rPr>
          <w:rFonts w:ascii="宋体" w:hAnsi="宋体" w:cs="宋体"/>
          <w:color w:val="auto"/>
          <w:sz w:val="24"/>
          <w:u w:val="single"/>
        </w:rPr>
        <w:t xml:space="preserve">                   </w:t>
      </w:r>
    </w:p>
    <w:p w14:paraId="50890EEC">
      <w:pPr>
        <w:spacing w:line="360" w:lineRule="auto"/>
        <w:ind w:firstLine="3600" w:firstLineChars="1500"/>
        <w:contextualSpacing/>
        <w:rPr>
          <w:rFonts w:ascii="宋体" w:hAnsi="宋体" w:cs="宋体"/>
          <w:color w:val="auto"/>
          <w:sz w:val="24"/>
        </w:rPr>
      </w:pPr>
      <w:r>
        <w:rPr>
          <w:rFonts w:hint="eastAsia" w:ascii="宋体" w:hAnsi="宋体" w:cs="宋体"/>
          <w:color w:val="auto"/>
          <w:sz w:val="24"/>
        </w:rPr>
        <w:t>日  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561B73F5">
      <w:pPr>
        <w:spacing w:line="360" w:lineRule="auto"/>
        <w:contextualSpacing/>
        <w:rPr>
          <w:rFonts w:ascii="宋体" w:hAnsi="宋体" w:cs="宋体"/>
          <w:color w:val="auto"/>
          <w:sz w:val="24"/>
        </w:rPr>
      </w:pPr>
    </w:p>
    <w:p w14:paraId="354DDA5A">
      <w:pPr>
        <w:spacing w:line="360" w:lineRule="auto"/>
        <w:contextualSpacing/>
        <w:rPr>
          <w:rFonts w:ascii="宋体" w:hAnsi="宋体" w:cs="宋体"/>
          <w:color w:val="auto"/>
          <w:sz w:val="24"/>
        </w:rPr>
      </w:pPr>
    </w:p>
    <w:p w14:paraId="711D93D3">
      <w:pPr>
        <w:spacing w:line="360" w:lineRule="auto"/>
        <w:contextualSpacing/>
        <w:rPr>
          <w:rFonts w:ascii="宋体" w:hAnsi="宋体" w:cs="宋体"/>
          <w:color w:val="auto"/>
          <w:sz w:val="24"/>
        </w:rPr>
      </w:pPr>
    </w:p>
    <w:p w14:paraId="30563C20">
      <w:pPr>
        <w:spacing w:line="360" w:lineRule="auto"/>
        <w:contextualSpacing/>
        <w:rPr>
          <w:rFonts w:ascii="楷体" w:hAnsi="楷体" w:eastAsia="楷体" w:cs="宋体"/>
          <w:b/>
          <w:color w:val="auto"/>
          <w:sz w:val="24"/>
        </w:rPr>
      </w:pPr>
      <w:r>
        <w:rPr>
          <w:rFonts w:hint="eastAsia" w:ascii="楷体" w:hAnsi="楷体" w:eastAsia="楷体" w:cs="宋体"/>
          <w:b/>
          <w:color w:val="auto"/>
          <w:sz w:val="24"/>
        </w:rPr>
        <w:t>注：</w:t>
      </w:r>
    </w:p>
    <w:p w14:paraId="66F3EE2C">
      <w:pPr>
        <w:spacing w:line="360" w:lineRule="auto"/>
        <w:ind w:firstLine="480" w:firstLineChars="200"/>
        <w:contextualSpacing/>
        <w:rPr>
          <w:rFonts w:ascii="楷体" w:hAnsi="楷体" w:eastAsia="楷体" w:cs="宋体"/>
          <w:color w:val="auto"/>
          <w:sz w:val="24"/>
        </w:rPr>
      </w:pPr>
      <w:r>
        <w:rPr>
          <w:rFonts w:hint="eastAsia" w:ascii="楷体" w:hAnsi="楷体" w:eastAsia="楷体" w:cs="宋体"/>
          <w:color w:val="auto"/>
          <w:sz w:val="24"/>
        </w:rPr>
        <w:t>请根据自己的真实情况出具《残疾人福利性单位声明函》。依法享受中小企业优惠政策的，采购人或者采购代理机构在公告中标结果时，同时公告其《残疾人福利性单位声明函》，接受社会监督。</w:t>
      </w:r>
    </w:p>
    <w:p w14:paraId="6B358AEF">
      <w:pPr>
        <w:rPr>
          <w:rFonts w:ascii="宋体" w:hAnsi="宋体" w:cs="宋体"/>
          <w:color w:val="auto"/>
          <w:sz w:val="24"/>
        </w:rPr>
      </w:pPr>
      <w:r>
        <w:rPr>
          <w:rFonts w:hint="eastAsia" w:ascii="宋体" w:hAnsi="宋体" w:cs="宋体"/>
          <w:color w:val="auto"/>
          <w:sz w:val="24"/>
        </w:rPr>
        <w:br w:type="page"/>
      </w:r>
    </w:p>
    <w:p w14:paraId="58D262B9">
      <w:pP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如供应商提供的产品属于本国产品，按以下格式提供关于符合本国产品标准的声明函</w:t>
      </w:r>
    </w:p>
    <w:p w14:paraId="177DDC8D">
      <w:pPr>
        <w:rPr>
          <w:rFonts w:asciiTheme="minorEastAsia" w:hAnsiTheme="minorEastAsia" w:eastAsiaTheme="minorEastAsia" w:cstheme="minorEastAsia"/>
          <w:color w:val="auto"/>
        </w:rPr>
      </w:pPr>
    </w:p>
    <w:p w14:paraId="11217E95">
      <w:pPr>
        <w:spacing w:line="360" w:lineRule="auto"/>
        <w:jc w:val="center"/>
        <w:rPr>
          <w:rFonts w:asciiTheme="minorEastAsia" w:hAnsiTheme="minorEastAsia" w:eastAsiaTheme="minorEastAsia" w:cstheme="minorEastAsia"/>
          <w:b/>
          <w:color w:val="auto"/>
          <w:sz w:val="44"/>
          <w:szCs w:val="44"/>
        </w:rPr>
      </w:pPr>
      <w:r>
        <w:rPr>
          <w:rFonts w:hint="eastAsia" w:asciiTheme="minorEastAsia" w:hAnsiTheme="minorEastAsia" w:eastAsiaTheme="minorEastAsia" w:cstheme="minorEastAsia"/>
          <w:b/>
          <w:color w:val="auto"/>
          <w:sz w:val="44"/>
          <w:szCs w:val="44"/>
        </w:rPr>
        <w:t>关于符合本国产品标准的声明函</w:t>
      </w:r>
    </w:p>
    <w:p w14:paraId="11AB0146">
      <w:pPr>
        <w:rPr>
          <w:rFonts w:asciiTheme="minorEastAsia" w:hAnsiTheme="minorEastAsia" w:eastAsiaTheme="minorEastAsia" w:cstheme="minorEastAsia"/>
          <w:color w:val="auto"/>
        </w:rPr>
      </w:pPr>
    </w:p>
    <w:p w14:paraId="61F0146D">
      <w:pPr>
        <w:spacing w:line="360" w:lineRule="auto"/>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本公司（单位）郑重声明，根据《国务院办公厅关于在政府采购中实施本国产品标准及相关政策的通知》（国办发〔2025〕34号）的规定，本公司（单位）提供的以下产品属于本国产品。具体情况如下：</w:t>
      </w:r>
    </w:p>
    <w:p w14:paraId="094DC4D2">
      <w:pPr>
        <w:spacing w:line="360" w:lineRule="auto"/>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w:t>
      </w:r>
      <w:r>
        <w:rPr>
          <w:rFonts w:hint="eastAsia" w:asciiTheme="minorEastAsia" w:hAnsiTheme="minorEastAsia" w:eastAsiaTheme="minorEastAsia" w:cstheme="minorEastAsia"/>
          <w:color w:val="auto"/>
          <w:sz w:val="24"/>
          <w:u w:val="single"/>
        </w:rPr>
        <w:t>（产品名称1）1</w:t>
      </w:r>
      <w:r>
        <w:rPr>
          <w:rFonts w:hint="eastAsia" w:asciiTheme="minorEastAsia" w:hAnsiTheme="minorEastAsia" w:eastAsiaTheme="minorEastAsia" w:cstheme="minorEastAsia"/>
          <w:color w:val="auto"/>
          <w:sz w:val="24"/>
        </w:rPr>
        <w:t>，生产厂为</w:t>
      </w:r>
      <w:r>
        <w:rPr>
          <w:rFonts w:hint="eastAsia" w:asciiTheme="minorEastAsia" w:hAnsiTheme="minorEastAsia" w:eastAsiaTheme="minorEastAsia" w:cstheme="minorEastAsia"/>
          <w:color w:val="auto"/>
          <w:sz w:val="24"/>
          <w:u w:val="single"/>
        </w:rPr>
        <w:t>（厂名）2</w:t>
      </w:r>
      <w:r>
        <w:rPr>
          <w:rFonts w:hint="eastAsia" w:asciiTheme="minorEastAsia" w:hAnsiTheme="minorEastAsia" w:eastAsiaTheme="minorEastAsia" w:cstheme="minorEastAsia"/>
          <w:color w:val="auto"/>
          <w:sz w:val="24"/>
        </w:rPr>
        <w:t>，厂址为</w:t>
      </w:r>
      <w:r>
        <w:rPr>
          <w:rFonts w:hint="eastAsia" w:asciiTheme="minorEastAsia" w:hAnsiTheme="minorEastAsia" w:eastAsiaTheme="minorEastAsia" w:cstheme="minorEastAsia"/>
          <w:color w:val="auto"/>
          <w:sz w:val="24"/>
          <w:u w:val="single"/>
        </w:rPr>
        <w:t>（生产厂址）</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u w:val="single"/>
        </w:rPr>
        <w:t>（产品名称1）</w:t>
      </w:r>
      <w:r>
        <w:rPr>
          <w:rFonts w:hint="eastAsia" w:asciiTheme="minorEastAsia" w:hAnsiTheme="minorEastAsia" w:eastAsiaTheme="minorEastAsia" w:cstheme="minorEastAsia"/>
          <w:color w:val="auto"/>
          <w:sz w:val="24"/>
        </w:rPr>
        <w:t>的中国境内生产的组件成本占比≥</w:t>
      </w:r>
      <w:r>
        <w:rPr>
          <w:rFonts w:hint="eastAsia" w:asciiTheme="minorEastAsia" w:hAnsiTheme="minorEastAsia" w:eastAsiaTheme="minorEastAsia" w:cstheme="minorEastAsia"/>
          <w:color w:val="auto"/>
          <w:sz w:val="24"/>
          <w:u w:val="single"/>
        </w:rPr>
        <w:t>（规定比例）3</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u w:val="single"/>
        </w:rPr>
        <w:t>（产品名称1）</w:t>
      </w:r>
      <w:r>
        <w:rPr>
          <w:rFonts w:hint="eastAsia" w:asciiTheme="minorEastAsia" w:hAnsiTheme="minorEastAsia" w:eastAsiaTheme="minorEastAsia" w:cstheme="minorEastAsia"/>
          <w:color w:val="auto"/>
          <w:sz w:val="24"/>
        </w:rPr>
        <w:t>的</w:t>
      </w:r>
      <w:r>
        <w:rPr>
          <w:rFonts w:hint="eastAsia" w:asciiTheme="minorEastAsia" w:hAnsiTheme="minorEastAsia" w:eastAsiaTheme="minorEastAsia" w:cstheme="minorEastAsia"/>
          <w:color w:val="auto"/>
          <w:sz w:val="24"/>
          <w:u w:val="single"/>
        </w:rPr>
        <w:t>（关键组件）4</w:t>
      </w:r>
      <w:r>
        <w:rPr>
          <w:rFonts w:hint="eastAsia" w:asciiTheme="minorEastAsia" w:hAnsiTheme="minorEastAsia" w:eastAsiaTheme="minorEastAsia" w:cstheme="minorEastAsia"/>
          <w:color w:val="auto"/>
          <w:sz w:val="24"/>
        </w:rPr>
        <w:t>在中国境内生产。（产品名称1）的（关键工序）5在中国境内完成。</w:t>
      </w:r>
    </w:p>
    <w:p w14:paraId="715A681B">
      <w:pPr>
        <w:spacing w:line="360" w:lineRule="auto"/>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w:t>
      </w:r>
      <w:r>
        <w:rPr>
          <w:rFonts w:hint="eastAsia" w:asciiTheme="minorEastAsia" w:hAnsiTheme="minorEastAsia" w:eastAsiaTheme="minorEastAsia" w:cstheme="minorEastAsia"/>
          <w:color w:val="auto"/>
          <w:sz w:val="24"/>
          <w:u w:val="single"/>
        </w:rPr>
        <w:t>（产品名称2）</w:t>
      </w:r>
      <w:r>
        <w:rPr>
          <w:rFonts w:hint="eastAsia" w:asciiTheme="minorEastAsia" w:hAnsiTheme="minorEastAsia" w:eastAsiaTheme="minorEastAsia" w:cstheme="minorEastAsia"/>
          <w:color w:val="auto"/>
          <w:sz w:val="24"/>
        </w:rPr>
        <w:t>，生产厂为</w:t>
      </w:r>
      <w:r>
        <w:rPr>
          <w:rFonts w:hint="eastAsia" w:asciiTheme="minorEastAsia" w:hAnsiTheme="minorEastAsia" w:eastAsiaTheme="minorEastAsia" w:cstheme="minorEastAsia"/>
          <w:color w:val="auto"/>
          <w:sz w:val="24"/>
          <w:u w:val="single"/>
        </w:rPr>
        <w:t>（厂名）</w:t>
      </w:r>
      <w:r>
        <w:rPr>
          <w:rFonts w:hint="eastAsia" w:asciiTheme="minorEastAsia" w:hAnsiTheme="minorEastAsia" w:eastAsiaTheme="minorEastAsia" w:cstheme="minorEastAsia"/>
          <w:color w:val="auto"/>
          <w:sz w:val="24"/>
        </w:rPr>
        <w:t>，厂址为</w:t>
      </w:r>
      <w:r>
        <w:rPr>
          <w:rFonts w:hint="eastAsia" w:asciiTheme="minorEastAsia" w:hAnsiTheme="minorEastAsia" w:eastAsiaTheme="minorEastAsia" w:cstheme="minorEastAsia"/>
          <w:color w:val="auto"/>
          <w:sz w:val="24"/>
          <w:u w:val="single"/>
        </w:rPr>
        <w:t>（生产厂址）</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u w:val="single"/>
        </w:rPr>
        <w:t>（产品名称2）</w:t>
      </w:r>
      <w:r>
        <w:rPr>
          <w:rFonts w:hint="eastAsia" w:asciiTheme="minorEastAsia" w:hAnsiTheme="minorEastAsia" w:eastAsiaTheme="minorEastAsia" w:cstheme="minorEastAsia"/>
          <w:color w:val="auto"/>
          <w:sz w:val="24"/>
        </w:rPr>
        <w:t>的中国境内生产的组件成本占比≥</w:t>
      </w:r>
      <w:r>
        <w:rPr>
          <w:rFonts w:hint="eastAsia" w:asciiTheme="minorEastAsia" w:hAnsiTheme="minorEastAsia" w:eastAsiaTheme="minorEastAsia" w:cstheme="minorEastAsia"/>
          <w:color w:val="auto"/>
          <w:sz w:val="24"/>
          <w:u w:val="single"/>
        </w:rPr>
        <w:t>（规定比例）</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u w:val="single"/>
        </w:rPr>
        <w:t>（产品名称2）</w:t>
      </w:r>
      <w:r>
        <w:rPr>
          <w:rFonts w:hint="eastAsia" w:asciiTheme="minorEastAsia" w:hAnsiTheme="minorEastAsia" w:eastAsiaTheme="minorEastAsia" w:cstheme="minorEastAsia"/>
          <w:color w:val="auto"/>
          <w:sz w:val="24"/>
        </w:rPr>
        <w:t>的</w:t>
      </w:r>
      <w:r>
        <w:rPr>
          <w:rFonts w:hint="eastAsia" w:asciiTheme="minorEastAsia" w:hAnsiTheme="minorEastAsia" w:eastAsiaTheme="minorEastAsia" w:cstheme="minorEastAsia"/>
          <w:color w:val="auto"/>
          <w:sz w:val="24"/>
          <w:u w:val="single"/>
        </w:rPr>
        <w:t>（关键组件）</w:t>
      </w:r>
      <w:r>
        <w:rPr>
          <w:rFonts w:hint="eastAsia" w:asciiTheme="minorEastAsia" w:hAnsiTheme="minorEastAsia" w:eastAsiaTheme="minorEastAsia" w:cstheme="minorEastAsia"/>
          <w:color w:val="auto"/>
          <w:sz w:val="24"/>
        </w:rPr>
        <w:t>在中国境内生产。</w:t>
      </w:r>
      <w:r>
        <w:rPr>
          <w:rFonts w:hint="eastAsia" w:asciiTheme="minorEastAsia" w:hAnsiTheme="minorEastAsia" w:eastAsiaTheme="minorEastAsia" w:cstheme="minorEastAsia"/>
          <w:color w:val="auto"/>
          <w:sz w:val="24"/>
          <w:u w:val="single"/>
        </w:rPr>
        <w:t>（产品名称2）</w:t>
      </w:r>
      <w:r>
        <w:rPr>
          <w:rFonts w:hint="eastAsia" w:asciiTheme="minorEastAsia" w:hAnsiTheme="minorEastAsia" w:eastAsiaTheme="minorEastAsia" w:cstheme="minorEastAsia"/>
          <w:color w:val="auto"/>
          <w:sz w:val="24"/>
        </w:rPr>
        <w:t>的</w:t>
      </w:r>
      <w:r>
        <w:rPr>
          <w:rFonts w:hint="eastAsia" w:asciiTheme="minorEastAsia" w:hAnsiTheme="minorEastAsia" w:eastAsiaTheme="minorEastAsia" w:cstheme="minorEastAsia"/>
          <w:color w:val="auto"/>
          <w:sz w:val="24"/>
          <w:u w:val="single"/>
        </w:rPr>
        <w:t>（关键工序）</w:t>
      </w:r>
      <w:r>
        <w:rPr>
          <w:rFonts w:hint="eastAsia" w:asciiTheme="minorEastAsia" w:hAnsiTheme="minorEastAsia" w:eastAsiaTheme="minorEastAsia" w:cstheme="minorEastAsia"/>
          <w:color w:val="auto"/>
          <w:sz w:val="24"/>
        </w:rPr>
        <w:t>在中国境内完成。</w:t>
      </w:r>
    </w:p>
    <w:p w14:paraId="144F2A7A">
      <w:pPr>
        <w:spacing w:line="360" w:lineRule="auto"/>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w:t>
      </w:r>
    </w:p>
    <w:p w14:paraId="0077BCCE">
      <w:pPr>
        <w:spacing w:line="360" w:lineRule="auto"/>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本公司（单位）对上述声明内容的真实性负责。如有虚假，愿承担相应法律责任。</w:t>
      </w:r>
    </w:p>
    <w:p w14:paraId="31CD7B58">
      <w:pPr>
        <w:spacing w:line="360" w:lineRule="auto"/>
        <w:rPr>
          <w:rFonts w:asciiTheme="minorEastAsia" w:hAnsiTheme="minorEastAsia" w:eastAsiaTheme="minorEastAsia" w:cstheme="minorEastAsia"/>
          <w:color w:val="auto"/>
          <w:sz w:val="24"/>
        </w:rPr>
      </w:pPr>
    </w:p>
    <w:p w14:paraId="5FA7E626">
      <w:pPr>
        <w:spacing w:line="360" w:lineRule="auto"/>
        <w:ind w:firstLine="4080" w:firstLineChars="17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单位名称（公章）：                   </w:t>
      </w:r>
    </w:p>
    <w:p w14:paraId="3456D7E9">
      <w:pPr>
        <w:spacing w:line="360" w:lineRule="auto"/>
        <w:ind w:firstLine="4080" w:firstLineChars="17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日  期：     年    月    日</w:t>
      </w:r>
    </w:p>
    <w:p w14:paraId="455CF4FE">
      <w:pPr>
        <w:spacing w:line="360" w:lineRule="auto"/>
        <w:rPr>
          <w:rFonts w:asciiTheme="minorEastAsia" w:hAnsiTheme="minorEastAsia" w:eastAsiaTheme="minorEastAsia" w:cstheme="minorEastAsia"/>
          <w:color w:val="auto"/>
          <w:sz w:val="24"/>
        </w:rPr>
      </w:pPr>
    </w:p>
    <w:p w14:paraId="13358587">
      <w:pPr>
        <w:spacing w:line="360" w:lineRule="auto"/>
        <w:contextualSpacing/>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 w:val="24"/>
        </w:rPr>
        <w:t>注：</w:t>
      </w:r>
    </w:p>
    <w:p w14:paraId="2E11D62B">
      <w:pPr>
        <w:spacing w:line="360" w:lineRule="auto"/>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1.产品如有型号，请在“产品名称”栏一并填写。</w:t>
      </w:r>
    </w:p>
    <w:p w14:paraId="4D5CD1B6">
      <w:pPr>
        <w:spacing w:line="360" w:lineRule="auto"/>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2.生产厂名与厂址应与生产厂营业执照载明的相关信息保持一致。</w:t>
      </w:r>
    </w:p>
    <w:p w14:paraId="5646EFE7">
      <w:pPr>
        <w:spacing w:line="360" w:lineRule="auto"/>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3.该产品的中国境内生产的组件成本占比相关要求实施前，“规定比例”栏可不填，下同。</w:t>
      </w:r>
    </w:p>
    <w:p w14:paraId="3BDABD87">
      <w:pPr>
        <w:spacing w:line="360" w:lineRule="auto"/>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4.该产品的关键组件要求实施前，“关键组件”栏可不填，下同。</w:t>
      </w:r>
    </w:p>
    <w:p w14:paraId="712EE262">
      <w:pPr>
        <w:spacing w:line="360" w:lineRule="auto"/>
        <w:rPr>
          <w:rFonts w:asciiTheme="minorEastAsia" w:hAnsiTheme="minorEastAsia" w:eastAsiaTheme="minorEastAsia" w:cstheme="minorEastAsia"/>
          <w:color w:val="auto"/>
          <w:szCs w:val="21"/>
        </w:rPr>
        <w:sectPr>
          <w:pgSz w:w="11905" w:h="16838"/>
          <w:pgMar w:top="1417" w:right="1417" w:bottom="1417" w:left="1417" w:header="850" w:footer="992" w:gutter="0"/>
          <w:cols w:space="720" w:num="1"/>
          <w:titlePg/>
          <w:docGrid w:type="lines" w:linePitch="318" w:charSpace="0"/>
        </w:sectPr>
      </w:pPr>
      <w:r>
        <w:rPr>
          <w:rFonts w:hint="eastAsia" w:asciiTheme="minorEastAsia" w:hAnsiTheme="minorEastAsia" w:eastAsiaTheme="minorEastAsia" w:cstheme="minorEastAsia"/>
          <w:color w:val="auto"/>
          <w:szCs w:val="21"/>
        </w:rPr>
        <w:t>5.该产品的关键工序要求实施前，“关键工序”栏可不填，下同</w:t>
      </w:r>
    </w:p>
    <w:p w14:paraId="4000276D">
      <w:pPr>
        <w:spacing w:line="360" w:lineRule="auto"/>
        <w:jc w:val="center"/>
        <w:rPr>
          <w:rFonts w:ascii="宋体" w:hAnsi="宋体" w:cs="宋体"/>
          <w:b/>
          <w:bCs/>
          <w:color w:val="auto"/>
          <w:sz w:val="32"/>
          <w:szCs w:val="32"/>
        </w:rPr>
      </w:pPr>
      <w:r>
        <w:rPr>
          <w:rFonts w:hint="eastAsia" w:ascii="宋体" w:hAnsi="宋体" w:cs="宋体"/>
          <w:b/>
          <w:color w:val="auto"/>
          <w:sz w:val="44"/>
          <w:szCs w:val="44"/>
        </w:rPr>
        <w:t>质疑函</w:t>
      </w:r>
      <w:r>
        <w:rPr>
          <w:rFonts w:hint="eastAsia" w:ascii="宋体" w:hAnsi="宋体" w:cs="宋体"/>
          <w:color w:val="auto"/>
          <w:sz w:val="28"/>
          <w:szCs w:val="28"/>
        </w:rPr>
        <w:t>（格式）</w:t>
      </w:r>
    </w:p>
    <w:p w14:paraId="6CB1D73E">
      <w:pPr>
        <w:spacing w:line="360" w:lineRule="auto"/>
        <w:jc w:val="center"/>
        <w:rPr>
          <w:rFonts w:ascii="宋体" w:hAnsi="宋体" w:cs="宋体"/>
          <w:b/>
          <w:bCs/>
          <w:color w:val="auto"/>
          <w:sz w:val="32"/>
          <w:szCs w:val="32"/>
        </w:rPr>
      </w:pPr>
    </w:p>
    <w:p w14:paraId="12C5E767">
      <w:pPr>
        <w:pStyle w:val="15"/>
        <w:spacing w:line="360" w:lineRule="auto"/>
        <w:ind w:firstLine="482" w:firstLineChars="200"/>
        <w:contextualSpacing/>
        <w:rPr>
          <w:rFonts w:hAnsi="宋体" w:cs="宋体"/>
          <w:b/>
          <w:bCs/>
          <w:color w:val="auto"/>
          <w:sz w:val="24"/>
          <w:szCs w:val="24"/>
        </w:rPr>
      </w:pPr>
      <w:r>
        <w:rPr>
          <w:rFonts w:hint="eastAsia" w:hAnsi="宋体" w:cs="宋体"/>
          <w:b/>
          <w:bCs/>
          <w:color w:val="auto"/>
          <w:sz w:val="24"/>
          <w:szCs w:val="24"/>
        </w:rPr>
        <w:t>一、质疑供应商基本信息：</w:t>
      </w:r>
    </w:p>
    <w:p w14:paraId="2DA53FE7">
      <w:pPr>
        <w:pStyle w:val="15"/>
        <w:spacing w:line="360" w:lineRule="auto"/>
        <w:ind w:firstLine="480" w:firstLineChars="200"/>
        <w:contextualSpacing/>
        <w:rPr>
          <w:rFonts w:hAnsi="宋体" w:cs="宋体"/>
          <w:bCs/>
          <w:color w:val="auto"/>
          <w:sz w:val="24"/>
          <w:szCs w:val="24"/>
          <w:u w:val="single"/>
        </w:rPr>
      </w:pPr>
      <w:r>
        <w:rPr>
          <w:rFonts w:hint="eastAsia" w:hAnsi="宋体" w:cs="宋体"/>
          <w:bCs/>
          <w:color w:val="auto"/>
          <w:sz w:val="24"/>
          <w:szCs w:val="24"/>
        </w:rPr>
        <w:t>质疑供应商：</w:t>
      </w:r>
      <w:r>
        <w:rPr>
          <w:rFonts w:hint="eastAsia" w:hAnsi="宋体" w:cs="宋体"/>
          <w:bCs/>
          <w:color w:val="auto"/>
          <w:sz w:val="24"/>
          <w:szCs w:val="24"/>
          <w:u w:val="single"/>
        </w:rPr>
        <w:t xml:space="preserve">                                       </w:t>
      </w:r>
      <w:r>
        <w:rPr>
          <w:rFonts w:hint="eastAsia" w:hAnsi="宋体" w:cs="宋体"/>
          <w:bCs/>
          <w:color w:val="auto"/>
          <w:sz w:val="24"/>
          <w:szCs w:val="24"/>
        </w:rPr>
        <w:t xml:space="preserve">                 </w:t>
      </w:r>
    </w:p>
    <w:p w14:paraId="67EC3BFB">
      <w:pPr>
        <w:pStyle w:val="15"/>
        <w:spacing w:line="360" w:lineRule="auto"/>
        <w:ind w:firstLine="480" w:firstLineChars="200"/>
        <w:contextualSpacing/>
        <w:rPr>
          <w:rFonts w:hAnsi="宋体" w:cs="宋体"/>
          <w:bCs/>
          <w:color w:val="auto"/>
          <w:sz w:val="24"/>
          <w:szCs w:val="24"/>
        </w:rPr>
      </w:pPr>
      <w:r>
        <w:rPr>
          <w:rFonts w:hint="eastAsia" w:hAnsi="宋体" w:cs="宋体"/>
          <w:bCs/>
          <w:color w:val="auto"/>
          <w:sz w:val="24"/>
          <w:szCs w:val="24"/>
        </w:rPr>
        <w:t>地址：</w:t>
      </w:r>
      <w:r>
        <w:rPr>
          <w:rFonts w:hint="eastAsia" w:hAnsi="宋体" w:cs="宋体"/>
          <w:bCs/>
          <w:color w:val="auto"/>
          <w:sz w:val="24"/>
          <w:szCs w:val="24"/>
          <w:u w:val="single"/>
        </w:rPr>
        <w:t xml:space="preserve">                                          </w:t>
      </w:r>
      <w:r>
        <w:rPr>
          <w:rFonts w:hint="eastAsia" w:hAnsi="宋体" w:cs="宋体"/>
          <w:bCs/>
          <w:color w:val="auto"/>
          <w:sz w:val="24"/>
          <w:szCs w:val="24"/>
        </w:rPr>
        <w:t>邮编：</w:t>
      </w:r>
      <w:r>
        <w:rPr>
          <w:rFonts w:hint="eastAsia" w:hAnsi="宋体" w:cs="宋体"/>
          <w:bCs/>
          <w:color w:val="auto"/>
          <w:sz w:val="24"/>
          <w:szCs w:val="24"/>
          <w:u w:val="single"/>
        </w:rPr>
        <w:t xml:space="preserve">                  </w:t>
      </w:r>
      <w:r>
        <w:rPr>
          <w:rFonts w:hint="eastAsia" w:hAnsi="宋体" w:cs="宋体"/>
          <w:bCs/>
          <w:color w:val="auto"/>
          <w:sz w:val="24"/>
          <w:szCs w:val="24"/>
        </w:rPr>
        <w:t xml:space="preserve">                 </w:t>
      </w:r>
    </w:p>
    <w:p w14:paraId="0F492F2A">
      <w:pPr>
        <w:pStyle w:val="15"/>
        <w:spacing w:line="360" w:lineRule="auto"/>
        <w:ind w:firstLine="480" w:firstLineChars="200"/>
        <w:contextualSpacing/>
        <w:rPr>
          <w:rFonts w:hAnsi="宋体" w:cs="宋体"/>
          <w:bCs/>
          <w:color w:val="auto"/>
          <w:sz w:val="24"/>
          <w:szCs w:val="24"/>
        </w:rPr>
      </w:pPr>
      <w:r>
        <w:rPr>
          <w:rFonts w:hint="eastAsia" w:hAnsi="宋体" w:cs="宋体"/>
          <w:bCs/>
          <w:color w:val="auto"/>
          <w:sz w:val="24"/>
          <w:szCs w:val="24"/>
        </w:rPr>
        <w:t>联系人：</w:t>
      </w:r>
      <w:r>
        <w:rPr>
          <w:rFonts w:hint="eastAsia" w:hAnsi="宋体" w:cs="宋体"/>
          <w:bCs/>
          <w:color w:val="auto"/>
          <w:sz w:val="24"/>
          <w:szCs w:val="24"/>
          <w:u w:val="single"/>
        </w:rPr>
        <w:t xml:space="preserve">                     </w:t>
      </w:r>
      <w:r>
        <w:rPr>
          <w:rFonts w:hint="eastAsia" w:hAnsi="宋体" w:cs="宋体"/>
          <w:bCs/>
          <w:color w:val="auto"/>
          <w:sz w:val="24"/>
          <w:szCs w:val="24"/>
        </w:rPr>
        <w:t>联系电话：</w:t>
      </w:r>
      <w:r>
        <w:rPr>
          <w:rFonts w:hint="eastAsia" w:hAnsi="宋体" w:cs="宋体"/>
          <w:bCs/>
          <w:color w:val="auto"/>
          <w:sz w:val="24"/>
          <w:szCs w:val="24"/>
          <w:u w:val="single"/>
        </w:rPr>
        <w:t xml:space="preserve">                 </w:t>
      </w:r>
    </w:p>
    <w:p w14:paraId="32D4A61C">
      <w:pPr>
        <w:pStyle w:val="15"/>
        <w:spacing w:line="360" w:lineRule="auto"/>
        <w:ind w:firstLine="480" w:firstLineChars="200"/>
        <w:contextualSpacing/>
        <w:rPr>
          <w:rFonts w:hAnsi="宋体" w:cs="宋体"/>
          <w:bCs/>
          <w:color w:val="auto"/>
          <w:sz w:val="24"/>
          <w:szCs w:val="24"/>
        </w:rPr>
      </w:pPr>
      <w:r>
        <w:rPr>
          <w:rFonts w:hint="eastAsia" w:hAnsi="宋体" w:cs="宋体"/>
          <w:bCs/>
          <w:color w:val="auto"/>
          <w:sz w:val="24"/>
          <w:szCs w:val="24"/>
        </w:rPr>
        <w:t>授权代表：</w:t>
      </w:r>
      <w:r>
        <w:rPr>
          <w:rFonts w:hint="eastAsia" w:hAnsi="宋体" w:cs="宋体"/>
          <w:bCs/>
          <w:color w:val="auto"/>
          <w:sz w:val="24"/>
          <w:szCs w:val="24"/>
          <w:u w:val="single"/>
        </w:rPr>
        <w:t xml:space="preserve">                      </w:t>
      </w:r>
    </w:p>
    <w:p w14:paraId="6C62199A">
      <w:pPr>
        <w:pStyle w:val="15"/>
        <w:spacing w:line="360" w:lineRule="auto"/>
        <w:ind w:firstLine="480" w:firstLineChars="200"/>
        <w:contextualSpacing/>
        <w:rPr>
          <w:rFonts w:hAnsi="宋体" w:cs="宋体"/>
          <w:bCs/>
          <w:color w:val="auto"/>
          <w:sz w:val="24"/>
          <w:szCs w:val="24"/>
          <w:u w:val="single"/>
        </w:rPr>
      </w:pPr>
      <w:r>
        <w:rPr>
          <w:rFonts w:hint="eastAsia" w:hAnsi="宋体" w:cs="宋体"/>
          <w:bCs/>
          <w:color w:val="auto"/>
          <w:sz w:val="24"/>
          <w:szCs w:val="24"/>
        </w:rPr>
        <w:t>联系电话：</w:t>
      </w:r>
      <w:r>
        <w:rPr>
          <w:rFonts w:hint="eastAsia" w:hAnsi="宋体" w:cs="宋体"/>
          <w:bCs/>
          <w:color w:val="auto"/>
          <w:sz w:val="24"/>
          <w:szCs w:val="24"/>
          <w:u w:val="single"/>
        </w:rPr>
        <w:t xml:space="preserve">                      </w:t>
      </w:r>
    </w:p>
    <w:p w14:paraId="18D7E03E">
      <w:pPr>
        <w:pStyle w:val="15"/>
        <w:spacing w:line="360" w:lineRule="auto"/>
        <w:ind w:firstLine="480" w:firstLineChars="200"/>
        <w:contextualSpacing/>
        <w:rPr>
          <w:rFonts w:hAnsi="宋体" w:cs="宋体"/>
          <w:bCs/>
          <w:color w:val="auto"/>
          <w:sz w:val="24"/>
          <w:szCs w:val="24"/>
        </w:rPr>
      </w:pPr>
      <w:r>
        <w:rPr>
          <w:rFonts w:hint="eastAsia" w:hAnsi="宋体" w:cs="宋体"/>
          <w:bCs/>
          <w:color w:val="auto"/>
          <w:sz w:val="24"/>
          <w:szCs w:val="24"/>
        </w:rPr>
        <w:t>地址：</w:t>
      </w:r>
      <w:r>
        <w:rPr>
          <w:rFonts w:hint="eastAsia" w:hAnsi="宋体" w:cs="宋体"/>
          <w:bCs/>
          <w:color w:val="auto"/>
          <w:sz w:val="24"/>
          <w:szCs w:val="24"/>
          <w:u w:val="single"/>
        </w:rPr>
        <w:t xml:space="preserve">                 </w:t>
      </w:r>
      <w:r>
        <w:rPr>
          <w:rFonts w:hint="eastAsia" w:hAnsi="宋体" w:cs="宋体"/>
          <w:bCs/>
          <w:color w:val="auto"/>
          <w:sz w:val="24"/>
          <w:szCs w:val="24"/>
        </w:rPr>
        <w:t>邮编：</w:t>
      </w:r>
      <w:r>
        <w:rPr>
          <w:rFonts w:hint="eastAsia" w:hAnsi="宋体" w:cs="宋体"/>
          <w:bCs/>
          <w:color w:val="auto"/>
          <w:sz w:val="24"/>
          <w:szCs w:val="24"/>
          <w:u w:val="single"/>
        </w:rPr>
        <w:t xml:space="preserve">                  </w:t>
      </w:r>
      <w:r>
        <w:rPr>
          <w:rFonts w:hint="eastAsia" w:hAnsi="宋体" w:cs="宋体"/>
          <w:bCs/>
          <w:color w:val="auto"/>
          <w:sz w:val="24"/>
          <w:szCs w:val="24"/>
        </w:rPr>
        <w:t xml:space="preserve">     </w:t>
      </w:r>
    </w:p>
    <w:p w14:paraId="42124571">
      <w:pPr>
        <w:pStyle w:val="15"/>
        <w:spacing w:line="360" w:lineRule="auto"/>
        <w:ind w:firstLine="482" w:firstLineChars="200"/>
        <w:contextualSpacing/>
        <w:rPr>
          <w:rFonts w:hAnsi="宋体" w:cs="宋体"/>
          <w:b/>
          <w:bCs/>
          <w:color w:val="auto"/>
          <w:sz w:val="24"/>
          <w:szCs w:val="24"/>
        </w:rPr>
      </w:pPr>
      <w:r>
        <w:rPr>
          <w:rFonts w:hint="eastAsia" w:hAnsi="宋体" w:cs="宋体"/>
          <w:b/>
          <w:bCs/>
          <w:color w:val="auto"/>
          <w:sz w:val="24"/>
          <w:szCs w:val="24"/>
        </w:rPr>
        <w:t>二、质疑项目基本情况：</w:t>
      </w:r>
    </w:p>
    <w:p w14:paraId="15A925E2">
      <w:pPr>
        <w:pStyle w:val="15"/>
        <w:spacing w:line="360" w:lineRule="auto"/>
        <w:ind w:firstLine="472" w:firstLineChars="197"/>
        <w:contextualSpacing/>
        <w:rPr>
          <w:rFonts w:hAnsi="宋体" w:cs="宋体"/>
          <w:color w:val="auto"/>
          <w:sz w:val="24"/>
          <w:szCs w:val="24"/>
        </w:rPr>
      </w:pPr>
      <w:r>
        <w:rPr>
          <w:rFonts w:hint="eastAsia" w:hAnsi="宋体" w:cs="宋体"/>
          <w:bCs/>
          <w:color w:val="auto"/>
          <w:sz w:val="24"/>
          <w:szCs w:val="24"/>
        </w:rPr>
        <w:t>质疑</w:t>
      </w:r>
      <w:r>
        <w:rPr>
          <w:rFonts w:hint="eastAsia" w:hAnsi="宋体" w:cs="宋体"/>
          <w:color w:val="auto"/>
          <w:sz w:val="24"/>
          <w:szCs w:val="24"/>
        </w:rPr>
        <w:t>项目的名称：</w:t>
      </w:r>
      <w:r>
        <w:rPr>
          <w:rFonts w:hint="eastAsia" w:hAnsi="宋体" w:cs="宋体"/>
          <w:bCs/>
          <w:color w:val="auto"/>
          <w:sz w:val="24"/>
          <w:szCs w:val="24"/>
          <w:u w:val="single"/>
        </w:rPr>
        <w:t xml:space="preserve">                                     </w:t>
      </w:r>
    </w:p>
    <w:p w14:paraId="0BDC142F">
      <w:pPr>
        <w:pStyle w:val="15"/>
        <w:spacing w:line="360" w:lineRule="auto"/>
        <w:ind w:firstLine="472" w:firstLineChars="197"/>
        <w:contextualSpacing/>
        <w:rPr>
          <w:rFonts w:hAnsi="宋体" w:cs="宋体"/>
          <w:color w:val="auto"/>
          <w:sz w:val="24"/>
          <w:szCs w:val="24"/>
        </w:rPr>
      </w:pPr>
      <w:r>
        <w:rPr>
          <w:rFonts w:hint="eastAsia" w:hAnsi="宋体" w:cs="宋体"/>
          <w:bCs/>
          <w:color w:val="auto"/>
          <w:sz w:val="24"/>
          <w:szCs w:val="24"/>
        </w:rPr>
        <w:t>质疑</w:t>
      </w:r>
      <w:r>
        <w:rPr>
          <w:rFonts w:hint="eastAsia" w:hAnsi="宋体" w:cs="宋体"/>
          <w:color w:val="auto"/>
          <w:sz w:val="24"/>
          <w:szCs w:val="24"/>
        </w:rPr>
        <w:t>项目的编号：</w:t>
      </w:r>
      <w:r>
        <w:rPr>
          <w:rFonts w:hint="eastAsia" w:hAnsi="宋体" w:cs="宋体"/>
          <w:bCs/>
          <w:color w:val="auto"/>
          <w:sz w:val="24"/>
          <w:szCs w:val="24"/>
          <w:u w:val="single"/>
        </w:rPr>
        <w:t xml:space="preserve">                                     </w:t>
      </w:r>
    </w:p>
    <w:p w14:paraId="01DF433A">
      <w:pPr>
        <w:pStyle w:val="15"/>
        <w:spacing w:line="360" w:lineRule="auto"/>
        <w:ind w:firstLine="472" w:firstLineChars="197"/>
        <w:contextualSpacing/>
        <w:rPr>
          <w:rFonts w:hAnsi="宋体" w:cs="宋体"/>
          <w:color w:val="auto"/>
          <w:sz w:val="24"/>
          <w:szCs w:val="24"/>
        </w:rPr>
      </w:pPr>
      <w:r>
        <w:rPr>
          <w:rFonts w:hint="eastAsia" w:hAnsi="宋体" w:cs="宋体"/>
          <w:color w:val="auto"/>
          <w:sz w:val="24"/>
          <w:szCs w:val="24"/>
        </w:rPr>
        <w:t>采购人名称：</w:t>
      </w:r>
      <w:r>
        <w:rPr>
          <w:rFonts w:hint="eastAsia" w:hAnsi="宋体" w:cs="宋体"/>
          <w:bCs/>
          <w:color w:val="auto"/>
          <w:sz w:val="24"/>
          <w:szCs w:val="24"/>
          <w:u w:val="single"/>
        </w:rPr>
        <w:t xml:space="preserve">                                         </w:t>
      </w:r>
    </w:p>
    <w:p w14:paraId="505E1311">
      <w:pPr>
        <w:pStyle w:val="15"/>
        <w:spacing w:line="360" w:lineRule="auto"/>
        <w:ind w:firstLine="472" w:firstLineChars="197"/>
        <w:contextualSpacing/>
        <w:rPr>
          <w:rFonts w:hAnsi="宋体" w:cs="宋体"/>
          <w:color w:val="auto"/>
          <w:sz w:val="24"/>
          <w:szCs w:val="24"/>
        </w:rPr>
      </w:pPr>
      <w:r>
        <w:rPr>
          <w:rFonts w:hint="eastAsia" w:hAnsi="宋体" w:cs="宋体"/>
          <w:color w:val="auto"/>
          <w:sz w:val="24"/>
          <w:szCs w:val="24"/>
        </w:rPr>
        <w:t>质疑事项：</w:t>
      </w:r>
    </w:p>
    <w:p w14:paraId="699C9DDF">
      <w:pPr>
        <w:pStyle w:val="15"/>
        <w:spacing w:line="360" w:lineRule="auto"/>
        <w:ind w:firstLine="352" w:firstLineChars="147"/>
        <w:contextualSpacing/>
        <w:rPr>
          <w:rFonts w:hAnsi="宋体" w:cs="宋体"/>
          <w:color w:val="auto"/>
          <w:sz w:val="24"/>
          <w:szCs w:val="24"/>
        </w:rPr>
      </w:pPr>
      <w:r>
        <w:rPr>
          <w:rFonts w:hint="eastAsia" w:hAnsi="宋体" w:cs="宋体"/>
          <w:color w:val="auto"/>
          <w:sz w:val="24"/>
          <w:szCs w:val="24"/>
        </w:rPr>
        <w:t>□采购文件   采购文件获取日期：</w:t>
      </w:r>
      <w:r>
        <w:rPr>
          <w:rFonts w:hint="eastAsia" w:hAnsi="宋体" w:cs="宋体"/>
          <w:bCs/>
          <w:color w:val="auto"/>
          <w:sz w:val="24"/>
          <w:szCs w:val="24"/>
          <w:u w:val="single"/>
        </w:rPr>
        <w:t xml:space="preserve">                                   </w:t>
      </w:r>
    </w:p>
    <w:p w14:paraId="28421396">
      <w:pPr>
        <w:pStyle w:val="15"/>
        <w:spacing w:line="360" w:lineRule="auto"/>
        <w:ind w:firstLine="352" w:firstLineChars="147"/>
        <w:contextualSpacing/>
        <w:rPr>
          <w:rFonts w:hAnsi="宋体" w:cs="宋体"/>
          <w:color w:val="auto"/>
          <w:sz w:val="24"/>
          <w:szCs w:val="24"/>
        </w:rPr>
      </w:pPr>
      <w:r>
        <w:rPr>
          <w:rFonts w:hint="eastAsia" w:hAnsi="宋体" w:cs="宋体"/>
          <w:color w:val="auto"/>
          <w:sz w:val="24"/>
          <w:szCs w:val="24"/>
        </w:rPr>
        <w:t xml:space="preserve">□采购过程   </w:t>
      </w:r>
    </w:p>
    <w:p w14:paraId="6B6D9A9A">
      <w:pPr>
        <w:pStyle w:val="15"/>
        <w:spacing w:line="360" w:lineRule="auto"/>
        <w:ind w:firstLine="352" w:firstLineChars="147"/>
        <w:contextualSpacing/>
        <w:rPr>
          <w:rFonts w:hAnsi="宋体" w:cs="宋体"/>
          <w:bCs/>
          <w:color w:val="auto"/>
          <w:sz w:val="24"/>
          <w:szCs w:val="24"/>
          <w:u w:val="single"/>
        </w:rPr>
      </w:pPr>
      <w:r>
        <w:rPr>
          <w:rFonts w:hint="eastAsia" w:hAnsi="宋体" w:cs="宋体"/>
          <w:color w:val="auto"/>
          <w:sz w:val="24"/>
          <w:szCs w:val="24"/>
        </w:rPr>
        <w:t xml:space="preserve">□成交结果   </w:t>
      </w:r>
    </w:p>
    <w:p w14:paraId="47D91B26">
      <w:pPr>
        <w:pStyle w:val="15"/>
        <w:spacing w:line="360" w:lineRule="auto"/>
        <w:ind w:firstLine="472" w:firstLineChars="196"/>
        <w:contextualSpacing/>
        <w:rPr>
          <w:rFonts w:hAnsi="宋体" w:cs="宋体"/>
          <w:b/>
          <w:color w:val="auto"/>
          <w:sz w:val="24"/>
          <w:szCs w:val="24"/>
        </w:rPr>
      </w:pPr>
      <w:r>
        <w:rPr>
          <w:rFonts w:hint="eastAsia" w:hAnsi="宋体" w:cs="宋体"/>
          <w:b/>
          <w:color w:val="auto"/>
          <w:sz w:val="24"/>
          <w:szCs w:val="24"/>
        </w:rPr>
        <w:t>三、质疑事项具体内容</w:t>
      </w:r>
    </w:p>
    <w:p w14:paraId="19FE94F8">
      <w:pPr>
        <w:pStyle w:val="15"/>
        <w:spacing w:line="360" w:lineRule="auto"/>
        <w:ind w:firstLine="472" w:firstLineChars="197"/>
        <w:contextualSpacing/>
        <w:rPr>
          <w:rFonts w:hAnsi="宋体" w:cs="宋体"/>
          <w:color w:val="auto"/>
          <w:sz w:val="24"/>
          <w:szCs w:val="24"/>
        </w:rPr>
      </w:pPr>
      <w:r>
        <w:rPr>
          <w:rFonts w:hint="eastAsia" w:hAnsi="宋体" w:cs="宋体"/>
          <w:color w:val="auto"/>
          <w:sz w:val="24"/>
          <w:szCs w:val="24"/>
        </w:rPr>
        <w:t>质疑事项1：</w:t>
      </w:r>
      <w:r>
        <w:rPr>
          <w:rFonts w:hint="eastAsia" w:hAnsi="宋体" w:cs="宋体"/>
          <w:bCs/>
          <w:color w:val="auto"/>
          <w:sz w:val="24"/>
          <w:szCs w:val="24"/>
          <w:u w:val="single"/>
        </w:rPr>
        <w:t xml:space="preserve">                                                                    </w:t>
      </w:r>
    </w:p>
    <w:p w14:paraId="1FF18B0B">
      <w:pPr>
        <w:pStyle w:val="15"/>
        <w:spacing w:line="360" w:lineRule="auto"/>
        <w:ind w:firstLine="472" w:firstLineChars="197"/>
        <w:contextualSpacing/>
        <w:rPr>
          <w:rFonts w:hAnsi="宋体" w:cs="宋体"/>
          <w:color w:val="auto"/>
          <w:sz w:val="24"/>
          <w:szCs w:val="24"/>
        </w:rPr>
      </w:pPr>
      <w:r>
        <w:rPr>
          <w:rFonts w:hint="eastAsia" w:hAnsi="宋体" w:cs="宋体"/>
          <w:color w:val="auto"/>
          <w:sz w:val="24"/>
          <w:szCs w:val="24"/>
        </w:rPr>
        <w:t>事实依据：</w:t>
      </w:r>
      <w:r>
        <w:rPr>
          <w:rFonts w:hint="eastAsia" w:hAnsi="宋体" w:cs="宋体"/>
          <w:bCs/>
          <w:color w:val="auto"/>
          <w:sz w:val="24"/>
          <w:szCs w:val="24"/>
          <w:u w:val="single"/>
        </w:rPr>
        <w:t xml:space="preserve">                                                                      </w:t>
      </w:r>
    </w:p>
    <w:p w14:paraId="0DF43928">
      <w:pPr>
        <w:pStyle w:val="15"/>
        <w:spacing w:line="360" w:lineRule="auto"/>
        <w:ind w:firstLine="472" w:firstLineChars="197"/>
        <w:contextualSpacing/>
        <w:rPr>
          <w:rFonts w:hAnsi="宋体" w:cs="宋体"/>
          <w:color w:val="auto"/>
          <w:sz w:val="24"/>
          <w:szCs w:val="24"/>
        </w:rPr>
      </w:pPr>
      <w:r>
        <w:rPr>
          <w:rFonts w:hint="eastAsia" w:hAnsi="宋体" w:cs="宋体"/>
          <w:color w:val="auto"/>
          <w:sz w:val="24"/>
          <w:szCs w:val="24"/>
        </w:rPr>
        <w:t>法律依据：</w:t>
      </w:r>
      <w:r>
        <w:rPr>
          <w:rFonts w:hint="eastAsia" w:hAnsi="宋体" w:cs="宋体"/>
          <w:color w:val="auto"/>
          <w:sz w:val="24"/>
          <w:szCs w:val="24"/>
          <w:u w:val="single"/>
        </w:rPr>
        <w:t xml:space="preserve">                                                        </w:t>
      </w:r>
      <w:r>
        <w:rPr>
          <w:rFonts w:hint="eastAsia" w:hAnsi="宋体" w:cs="宋体"/>
          <w:bCs/>
          <w:color w:val="auto"/>
          <w:sz w:val="24"/>
          <w:szCs w:val="24"/>
          <w:u w:val="single"/>
        </w:rPr>
        <w:t xml:space="preserve">               </w:t>
      </w:r>
    </w:p>
    <w:p w14:paraId="643895B5">
      <w:pPr>
        <w:pStyle w:val="15"/>
        <w:spacing w:line="360" w:lineRule="auto"/>
        <w:ind w:firstLine="472" w:firstLineChars="197"/>
        <w:contextualSpacing/>
        <w:rPr>
          <w:rFonts w:hAnsi="宋体" w:cs="宋体"/>
          <w:color w:val="auto"/>
          <w:sz w:val="24"/>
          <w:szCs w:val="24"/>
        </w:rPr>
      </w:pPr>
      <w:r>
        <w:rPr>
          <w:rFonts w:hint="eastAsia" w:hAnsi="宋体" w:cs="宋体"/>
          <w:color w:val="auto"/>
          <w:sz w:val="24"/>
          <w:szCs w:val="24"/>
        </w:rPr>
        <w:t>质疑事项2</w:t>
      </w:r>
    </w:p>
    <w:p w14:paraId="296903D8">
      <w:pPr>
        <w:pStyle w:val="15"/>
        <w:spacing w:line="360" w:lineRule="auto"/>
        <w:ind w:firstLine="472" w:firstLineChars="197"/>
        <w:contextualSpacing/>
        <w:rPr>
          <w:rFonts w:hAnsi="宋体" w:cs="宋体"/>
          <w:color w:val="auto"/>
          <w:sz w:val="24"/>
          <w:szCs w:val="24"/>
        </w:rPr>
      </w:pPr>
      <w:r>
        <w:rPr>
          <w:rFonts w:hint="eastAsia" w:hAnsi="宋体" w:cs="宋体"/>
          <w:color w:val="auto"/>
          <w:sz w:val="24"/>
          <w:szCs w:val="24"/>
        </w:rPr>
        <w:t>……</w:t>
      </w:r>
    </w:p>
    <w:p w14:paraId="55BC84D9">
      <w:pPr>
        <w:pStyle w:val="15"/>
        <w:spacing w:line="360" w:lineRule="auto"/>
        <w:ind w:firstLine="472" w:firstLineChars="197"/>
        <w:contextualSpacing/>
        <w:rPr>
          <w:rFonts w:hAnsi="宋体" w:cs="宋体"/>
          <w:color w:val="auto"/>
          <w:sz w:val="24"/>
          <w:szCs w:val="24"/>
        </w:rPr>
      </w:pPr>
      <w:r>
        <w:rPr>
          <w:rFonts w:hint="eastAsia" w:hAnsi="宋体" w:cs="宋体"/>
          <w:color w:val="auto"/>
          <w:sz w:val="24"/>
          <w:szCs w:val="24"/>
        </w:rPr>
        <w:t>四、与质疑事项相关的质疑请求：</w:t>
      </w:r>
    </w:p>
    <w:p w14:paraId="4A6ACB8E">
      <w:pPr>
        <w:pStyle w:val="15"/>
        <w:spacing w:line="360" w:lineRule="auto"/>
        <w:ind w:firstLine="472" w:firstLineChars="197"/>
        <w:contextualSpacing/>
        <w:rPr>
          <w:rFonts w:hAnsi="宋体" w:cs="宋体"/>
          <w:color w:val="auto"/>
          <w:sz w:val="24"/>
          <w:szCs w:val="24"/>
        </w:rPr>
      </w:pPr>
      <w:r>
        <w:rPr>
          <w:rFonts w:hint="eastAsia" w:hAnsi="宋体" w:cs="宋体"/>
          <w:color w:val="auto"/>
          <w:sz w:val="24"/>
          <w:szCs w:val="24"/>
        </w:rPr>
        <w:t>请求：</w:t>
      </w:r>
      <w:r>
        <w:rPr>
          <w:rFonts w:hint="eastAsia" w:hAnsi="宋体" w:cs="宋体"/>
          <w:bCs/>
          <w:color w:val="auto"/>
          <w:sz w:val="24"/>
          <w:szCs w:val="24"/>
          <w:u w:val="single"/>
        </w:rPr>
        <w:t xml:space="preserve">                                                                </w:t>
      </w:r>
    </w:p>
    <w:p w14:paraId="1DD6879B">
      <w:pPr>
        <w:pStyle w:val="15"/>
        <w:spacing w:line="360" w:lineRule="auto"/>
        <w:ind w:firstLine="352" w:firstLineChars="147"/>
        <w:contextualSpacing/>
        <w:rPr>
          <w:rFonts w:hAnsi="宋体" w:cs="宋体"/>
          <w:color w:val="auto"/>
          <w:sz w:val="24"/>
          <w:szCs w:val="24"/>
        </w:rPr>
      </w:pPr>
    </w:p>
    <w:p w14:paraId="46A2DB17">
      <w:pPr>
        <w:pStyle w:val="15"/>
        <w:spacing w:line="360" w:lineRule="auto"/>
        <w:ind w:firstLine="472" w:firstLineChars="197"/>
        <w:contextualSpacing/>
        <w:rPr>
          <w:rFonts w:hAnsi="宋体" w:cs="宋体"/>
          <w:color w:val="auto"/>
          <w:sz w:val="24"/>
          <w:szCs w:val="24"/>
          <w:u w:val="single"/>
        </w:rPr>
      </w:pPr>
      <w:r>
        <w:rPr>
          <w:rFonts w:hint="eastAsia" w:hAnsi="宋体" w:cs="宋体"/>
          <w:color w:val="auto"/>
          <w:sz w:val="24"/>
          <w:szCs w:val="24"/>
        </w:rPr>
        <w:t>签字（签章）：</w:t>
      </w:r>
      <w:r>
        <w:rPr>
          <w:rFonts w:hint="eastAsia" w:hAnsi="宋体" w:cs="宋体"/>
          <w:color w:val="auto"/>
          <w:sz w:val="24"/>
          <w:szCs w:val="24"/>
          <w:u w:val="single"/>
        </w:rPr>
        <w:t xml:space="preserve"> </w:t>
      </w:r>
      <w:r>
        <w:rPr>
          <w:rFonts w:hAnsi="宋体" w:cs="宋体"/>
          <w:color w:val="auto"/>
          <w:sz w:val="24"/>
          <w:szCs w:val="24"/>
          <w:u w:val="single"/>
        </w:rPr>
        <w:t xml:space="preserve">              </w:t>
      </w:r>
      <w:r>
        <w:rPr>
          <w:rFonts w:hint="eastAsia" w:hAnsi="宋体" w:cs="宋体"/>
          <w:color w:val="auto"/>
          <w:sz w:val="24"/>
          <w:szCs w:val="24"/>
        </w:rPr>
        <w:t xml:space="preserve">                     公章：</w:t>
      </w:r>
      <w:r>
        <w:rPr>
          <w:rFonts w:hint="eastAsia" w:hAnsi="宋体" w:cs="宋体"/>
          <w:color w:val="auto"/>
          <w:sz w:val="24"/>
          <w:szCs w:val="24"/>
          <w:u w:val="single"/>
        </w:rPr>
        <w:t xml:space="preserve"> </w:t>
      </w:r>
      <w:r>
        <w:rPr>
          <w:rFonts w:hAnsi="宋体" w:cs="宋体"/>
          <w:color w:val="auto"/>
          <w:sz w:val="24"/>
          <w:szCs w:val="24"/>
          <w:u w:val="single"/>
        </w:rPr>
        <w:t xml:space="preserve">                 </w:t>
      </w:r>
    </w:p>
    <w:p w14:paraId="0A5CF352">
      <w:pPr>
        <w:pStyle w:val="15"/>
        <w:spacing w:line="360" w:lineRule="auto"/>
        <w:ind w:firstLine="472" w:firstLineChars="197"/>
        <w:contextualSpacing/>
        <w:rPr>
          <w:rFonts w:hAnsi="宋体" w:cs="宋体"/>
          <w:color w:val="auto"/>
          <w:sz w:val="24"/>
          <w:szCs w:val="24"/>
        </w:rPr>
      </w:pPr>
      <w:r>
        <w:rPr>
          <w:rFonts w:hint="eastAsia" w:hAnsi="宋体" w:cs="宋体"/>
          <w:color w:val="auto"/>
          <w:sz w:val="24"/>
          <w:szCs w:val="24"/>
        </w:rPr>
        <w:t>日期：</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p>
    <w:p w14:paraId="63CD6CAD">
      <w:pPr>
        <w:pStyle w:val="15"/>
        <w:spacing w:line="360" w:lineRule="auto"/>
        <w:contextualSpacing/>
        <w:rPr>
          <w:rFonts w:hAnsi="宋体" w:cs="宋体"/>
          <w:b/>
          <w:color w:val="auto"/>
          <w:sz w:val="24"/>
          <w:szCs w:val="24"/>
        </w:rPr>
      </w:pPr>
    </w:p>
    <w:p w14:paraId="0E821DDD">
      <w:pPr>
        <w:pStyle w:val="15"/>
        <w:spacing w:line="360" w:lineRule="auto"/>
        <w:contextualSpacing/>
        <w:rPr>
          <w:rFonts w:ascii="楷体" w:hAnsi="楷体" w:eastAsia="楷体" w:cs="宋体"/>
          <w:b/>
          <w:color w:val="auto"/>
          <w:sz w:val="24"/>
          <w:szCs w:val="24"/>
        </w:rPr>
      </w:pPr>
      <w:r>
        <w:rPr>
          <w:rFonts w:hint="eastAsia" w:ascii="楷体" w:hAnsi="楷体" w:eastAsia="楷体" w:cs="宋体"/>
          <w:b/>
          <w:color w:val="auto"/>
          <w:sz w:val="24"/>
          <w:szCs w:val="24"/>
        </w:rPr>
        <w:t>说明：</w:t>
      </w:r>
    </w:p>
    <w:p w14:paraId="6D4255CF">
      <w:pPr>
        <w:pStyle w:val="15"/>
        <w:spacing w:line="360" w:lineRule="auto"/>
        <w:ind w:firstLine="354" w:firstLineChars="147"/>
        <w:contextualSpacing/>
        <w:rPr>
          <w:rFonts w:ascii="楷体" w:hAnsi="楷体" w:eastAsia="楷体" w:cs="宋体"/>
          <w:b/>
          <w:bCs/>
          <w:color w:val="auto"/>
          <w:sz w:val="24"/>
          <w:szCs w:val="24"/>
        </w:rPr>
      </w:pPr>
      <w:r>
        <w:rPr>
          <w:rFonts w:ascii="楷体" w:hAnsi="楷体" w:eastAsia="楷体" w:cs="宋体"/>
          <w:b/>
          <w:color w:val="auto"/>
          <w:sz w:val="24"/>
          <w:szCs w:val="24"/>
        </w:rPr>
        <w:t>1.供应商提出质疑时，应提交质疑函和必要的证明材料</w:t>
      </w:r>
      <w:r>
        <w:rPr>
          <w:rFonts w:hint="eastAsia" w:ascii="楷体" w:hAnsi="楷体" w:eastAsia="楷体" w:cs="宋体"/>
          <w:b/>
          <w:bCs/>
          <w:color w:val="auto"/>
          <w:sz w:val="24"/>
          <w:szCs w:val="24"/>
        </w:rPr>
        <w:t>。</w:t>
      </w:r>
    </w:p>
    <w:p w14:paraId="4EE238F8">
      <w:pPr>
        <w:pStyle w:val="15"/>
        <w:spacing w:line="360" w:lineRule="auto"/>
        <w:ind w:firstLine="354" w:firstLineChars="147"/>
        <w:contextualSpacing/>
        <w:rPr>
          <w:rFonts w:ascii="楷体" w:hAnsi="楷体" w:eastAsia="楷体" w:cs="宋体"/>
          <w:b/>
          <w:color w:val="auto"/>
          <w:sz w:val="24"/>
          <w:szCs w:val="24"/>
        </w:rPr>
      </w:pPr>
      <w:r>
        <w:rPr>
          <w:rFonts w:ascii="楷体" w:hAnsi="楷体" w:eastAsia="楷体" w:cs="宋体"/>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680DE02">
      <w:pPr>
        <w:pStyle w:val="15"/>
        <w:spacing w:line="360" w:lineRule="auto"/>
        <w:ind w:firstLine="354" w:firstLineChars="147"/>
        <w:contextualSpacing/>
        <w:rPr>
          <w:rFonts w:ascii="楷体" w:hAnsi="楷体" w:eastAsia="楷体" w:cs="宋体"/>
          <w:b/>
          <w:color w:val="auto"/>
          <w:sz w:val="24"/>
          <w:szCs w:val="24"/>
        </w:rPr>
      </w:pPr>
      <w:r>
        <w:rPr>
          <w:rFonts w:ascii="楷体" w:hAnsi="楷体" w:eastAsia="楷体" w:cs="宋体"/>
          <w:b/>
          <w:color w:val="auto"/>
          <w:sz w:val="24"/>
          <w:szCs w:val="24"/>
        </w:rPr>
        <w:t>3.质疑函的质疑事项应具体、明确，并有必要的事实依据和法律依据。</w:t>
      </w:r>
    </w:p>
    <w:p w14:paraId="3D1F7124">
      <w:pPr>
        <w:pStyle w:val="15"/>
        <w:spacing w:line="360" w:lineRule="auto"/>
        <w:ind w:firstLine="354" w:firstLineChars="147"/>
        <w:contextualSpacing/>
        <w:rPr>
          <w:rFonts w:ascii="楷体" w:hAnsi="楷体" w:eastAsia="楷体" w:cs="宋体"/>
          <w:b/>
          <w:color w:val="auto"/>
          <w:sz w:val="24"/>
          <w:szCs w:val="24"/>
        </w:rPr>
      </w:pPr>
      <w:r>
        <w:rPr>
          <w:rFonts w:ascii="楷体" w:hAnsi="楷体" w:eastAsia="楷体" w:cs="宋体"/>
          <w:b/>
          <w:color w:val="auto"/>
          <w:sz w:val="24"/>
          <w:szCs w:val="24"/>
        </w:rPr>
        <w:t>4.质疑函的质疑请求应与质疑事项相关。</w:t>
      </w:r>
    </w:p>
    <w:p w14:paraId="5B9E47FB">
      <w:pPr>
        <w:pStyle w:val="15"/>
        <w:spacing w:line="360" w:lineRule="auto"/>
        <w:ind w:firstLine="354" w:firstLineChars="147"/>
        <w:contextualSpacing/>
        <w:rPr>
          <w:rFonts w:ascii="楷体" w:hAnsi="楷体" w:eastAsia="楷体" w:cs="宋体"/>
          <w:b/>
          <w:color w:val="auto"/>
        </w:rPr>
      </w:pPr>
      <w:r>
        <w:rPr>
          <w:rFonts w:ascii="楷体" w:hAnsi="楷体" w:eastAsia="楷体" w:cs="宋体"/>
          <w:b/>
          <w:color w:val="auto"/>
          <w:sz w:val="24"/>
          <w:szCs w:val="24"/>
        </w:rPr>
        <w:t>5.质疑供应商为法人或者其他组织的，质疑函应由法定代表人、主要负责人，或者其授权代表签字或者盖章，并加盖公章。</w:t>
      </w:r>
    </w:p>
    <w:p w14:paraId="101D7036">
      <w:pPr>
        <w:pStyle w:val="15"/>
        <w:snapToGrid w:val="0"/>
        <w:spacing w:line="360" w:lineRule="auto"/>
        <w:rPr>
          <w:rFonts w:hAnsi="宋体" w:cs="宋体"/>
          <w:b/>
          <w:color w:val="auto"/>
          <w:sz w:val="24"/>
          <w:szCs w:val="24"/>
        </w:rPr>
      </w:pPr>
    </w:p>
    <w:p w14:paraId="57A79B12">
      <w:pPr>
        <w:spacing w:line="360" w:lineRule="auto"/>
        <w:rPr>
          <w:rFonts w:ascii="宋体" w:hAnsi="宋体" w:cs="宋体"/>
          <w:color w:val="auto"/>
        </w:rPr>
      </w:pPr>
      <w:r>
        <w:rPr>
          <w:rFonts w:hint="eastAsia" w:ascii="宋体" w:hAnsi="宋体" w:cs="宋体"/>
          <w:color w:val="auto"/>
        </w:rPr>
        <w:br w:type="page"/>
      </w:r>
    </w:p>
    <w:p w14:paraId="7605B410">
      <w:pPr>
        <w:spacing w:line="360" w:lineRule="auto"/>
        <w:jc w:val="center"/>
        <w:rPr>
          <w:rFonts w:ascii="宋体" w:hAnsi="宋体" w:cs="宋体"/>
          <w:color w:val="auto"/>
          <w:sz w:val="44"/>
          <w:szCs w:val="44"/>
        </w:rPr>
      </w:pPr>
      <w:r>
        <w:rPr>
          <w:rFonts w:hint="eastAsia" w:ascii="宋体" w:hAnsi="宋体" w:cs="宋体"/>
          <w:b/>
          <w:color w:val="auto"/>
          <w:sz w:val="44"/>
          <w:szCs w:val="44"/>
        </w:rPr>
        <w:t>投诉书</w:t>
      </w:r>
      <w:r>
        <w:rPr>
          <w:rFonts w:hint="eastAsia" w:ascii="宋体" w:hAnsi="宋体" w:cs="宋体"/>
          <w:color w:val="auto"/>
          <w:sz w:val="28"/>
          <w:szCs w:val="28"/>
        </w:rPr>
        <w:t>（格式）</w:t>
      </w:r>
    </w:p>
    <w:p w14:paraId="51EF477D">
      <w:pPr>
        <w:pStyle w:val="15"/>
        <w:snapToGrid w:val="0"/>
        <w:spacing w:line="360" w:lineRule="auto"/>
        <w:ind w:firstLine="482" w:firstLineChars="200"/>
        <w:rPr>
          <w:rFonts w:hAnsi="宋体" w:cs="宋体"/>
          <w:b/>
          <w:bCs/>
          <w:color w:val="auto"/>
          <w:sz w:val="24"/>
          <w:szCs w:val="24"/>
        </w:rPr>
      </w:pPr>
      <w:r>
        <w:rPr>
          <w:rFonts w:hint="eastAsia" w:hAnsi="宋体" w:cs="宋体"/>
          <w:b/>
          <w:bCs/>
          <w:color w:val="auto"/>
          <w:sz w:val="24"/>
          <w:szCs w:val="24"/>
        </w:rPr>
        <w:t>一、投诉相关主体基本情况：</w:t>
      </w:r>
    </w:p>
    <w:p w14:paraId="211217F2">
      <w:pPr>
        <w:pStyle w:val="15"/>
        <w:snapToGrid w:val="0"/>
        <w:spacing w:line="360" w:lineRule="auto"/>
        <w:ind w:firstLine="480" w:firstLineChars="200"/>
        <w:rPr>
          <w:rFonts w:hAnsi="宋体" w:cs="宋体"/>
          <w:bCs/>
          <w:color w:val="auto"/>
          <w:sz w:val="24"/>
          <w:szCs w:val="24"/>
          <w:u w:val="single"/>
        </w:rPr>
      </w:pPr>
      <w:r>
        <w:rPr>
          <w:rFonts w:hint="eastAsia" w:hAnsi="宋体" w:cs="宋体"/>
          <w:bCs/>
          <w:color w:val="auto"/>
          <w:sz w:val="24"/>
          <w:szCs w:val="24"/>
        </w:rPr>
        <w:t>供应商：</w:t>
      </w:r>
      <w:r>
        <w:rPr>
          <w:rFonts w:hint="eastAsia" w:hAnsi="宋体" w:cs="宋体"/>
          <w:bCs/>
          <w:color w:val="auto"/>
          <w:sz w:val="24"/>
          <w:szCs w:val="24"/>
          <w:u w:val="single"/>
        </w:rPr>
        <w:t xml:space="preserve">                                                                        </w:t>
      </w:r>
      <w:r>
        <w:rPr>
          <w:rFonts w:hint="eastAsia" w:hAnsi="宋体" w:cs="宋体"/>
          <w:bCs/>
          <w:color w:val="auto"/>
          <w:sz w:val="24"/>
          <w:szCs w:val="24"/>
        </w:rPr>
        <w:t xml:space="preserve">                 </w:t>
      </w:r>
    </w:p>
    <w:p w14:paraId="1FF5DCC3">
      <w:pPr>
        <w:pStyle w:val="15"/>
        <w:snapToGrid w:val="0"/>
        <w:spacing w:line="360" w:lineRule="auto"/>
        <w:ind w:firstLine="480" w:firstLineChars="200"/>
        <w:rPr>
          <w:rFonts w:hAnsi="宋体" w:cs="宋体"/>
          <w:bCs/>
          <w:color w:val="auto"/>
          <w:sz w:val="24"/>
          <w:szCs w:val="24"/>
        </w:rPr>
      </w:pPr>
      <w:r>
        <w:rPr>
          <w:rFonts w:hint="eastAsia" w:hAnsi="宋体" w:cs="宋体"/>
          <w:bCs/>
          <w:color w:val="auto"/>
          <w:sz w:val="24"/>
          <w:szCs w:val="24"/>
        </w:rPr>
        <w:t>地址：</w:t>
      </w:r>
      <w:r>
        <w:rPr>
          <w:rFonts w:hint="eastAsia" w:hAnsi="宋体" w:cs="宋体"/>
          <w:bCs/>
          <w:color w:val="auto"/>
          <w:sz w:val="24"/>
          <w:szCs w:val="24"/>
          <w:u w:val="single"/>
        </w:rPr>
        <w:t xml:space="preserve">                                          </w:t>
      </w:r>
      <w:r>
        <w:rPr>
          <w:rFonts w:hint="eastAsia" w:hAnsi="宋体" w:cs="宋体"/>
          <w:bCs/>
          <w:color w:val="auto"/>
          <w:sz w:val="24"/>
          <w:szCs w:val="24"/>
        </w:rPr>
        <w:t>邮编：</w:t>
      </w:r>
      <w:r>
        <w:rPr>
          <w:rFonts w:hint="eastAsia" w:hAnsi="宋体" w:cs="宋体"/>
          <w:bCs/>
          <w:color w:val="auto"/>
          <w:sz w:val="24"/>
          <w:szCs w:val="24"/>
          <w:u w:val="single"/>
        </w:rPr>
        <w:t xml:space="preserve">                          </w:t>
      </w:r>
      <w:r>
        <w:rPr>
          <w:rFonts w:hint="eastAsia" w:hAnsi="宋体" w:cs="宋体"/>
          <w:bCs/>
          <w:color w:val="auto"/>
          <w:sz w:val="24"/>
          <w:szCs w:val="24"/>
        </w:rPr>
        <w:t xml:space="preserve">                 </w:t>
      </w:r>
    </w:p>
    <w:p w14:paraId="11BC02F5">
      <w:pPr>
        <w:pStyle w:val="15"/>
        <w:snapToGrid w:val="0"/>
        <w:spacing w:line="360" w:lineRule="auto"/>
        <w:ind w:firstLine="480" w:firstLineChars="200"/>
        <w:rPr>
          <w:rFonts w:hAnsi="宋体" w:cs="宋体"/>
          <w:bCs/>
          <w:color w:val="auto"/>
          <w:sz w:val="24"/>
          <w:szCs w:val="24"/>
          <w:u w:val="single"/>
        </w:rPr>
      </w:pPr>
      <w:r>
        <w:rPr>
          <w:rFonts w:hint="eastAsia" w:hAnsi="宋体" w:cs="宋体"/>
          <w:bCs/>
          <w:color w:val="auto"/>
          <w:sz w:val="24"/>
          <w:szCs w:val="24"/>
        </w:rPr>
        <w:t>法定代表人/主要负责人：</w:t>
      </w:r>
      <w:r>
        <w:rPr>
          <w:rFonts w:hint="eastAsia" w:hAnsi="宋体" w:cs="宋体"/>
          <w:bCs/>
          <w:color w:val="auto"/>
          <w:sz w:val="24"/>
          <w:szCs w:val="24"/>
          <w:u w:val="single"/>
        </w:rPr>
        <w:t xml:space="preserve">                                                         </w:t>
      </w:r>
    </w:p>
    <w:p w14:paraId="240CC888">
      <w:pPr>
        <w:pStyle w:val="15"/>
        <w:snapToGrid w:val="0"/>
        <w:spacing w:line="360" w:lineRule="auto"/>
        <w:ind w:firstLine="480" w:firstLineChars="200"/>
        <w:rPr>
          <w:rFonts w:hAnsi="宋体" w:cs="宋体"/>
          <w:bCs/>
          <w:color w:val="auto"/>
          <w:sz w:val="24"/>
          <w:szCs w:val="24"/>
        </w:rPr>
      </w:pPr>
      <w:r>
        <w:rPr>
          <w:rFonts w:hint="eastAsia" w:hAnsi="宋体" w:cs="宋体"/>
          <w:bCs/>
          <w:color w:val="auto"/>
          <w:sz w:val="24"/>
          <w:szCs w:val="24"/>
        </w:rPr>
        <w:t>联系电话：</w:t>
      </w:r>
      <w:r>
        <w:rPr>
          <w:rFonts w:hint="eastAsia" w:hAnsi="宋体" w:cs="宋体"/>
          <w:bCs/>
          <w:color w:val="auto"/>
          <w:sz w:val="24"/>
          <w:szCs w:val="24"/>
          <w:u w:val="single"/>
        </w:rPr>
        <w:t xml:space="preserve">                                         </w:t>
      </w:r>
    </w:p>
    <w:p w14:paraId="77E06907">
      <w:pPr>
        <w:pStyle w:val="15"/>
        <w:snapToGrid w:val="0"/>
        <w:spacing w:line="360" w:lineRule="auto"/>
        <w:ind w:firstLine="480" w:firstLineChars="200"/>
        <w:rPr>
          <w:rFonts w:hAnsi="宋体" w:cs="宋体"/>
          <w:bCs/>
          <w:color w:val="auto"/>
          <w:sz w:val="24"/>
          <w:szCs w:val="24"/>
          <w:u w:val="single"/>
        </w:rPr>
      </w:pPr>
      <w:r>
        <w:rPr>
          <w:rFonts w:hint="eastAsia" w:hAnsi="宋体" w:cs="宋体"/>
          <w:bCs/>
          <w:color w:val="auto"/>
          <w:sz w:val="24"/>
          <w:szCs w:val="24"/>
        </w:rPr>
        <w:t>授权代表：</w:t>
      </w:r>
      <w:r>
        <w:rPr>
          <w:rFonts w:hint="eastAsia" w:hAnsi="宋体" w:cs="宋体"/>
          <w:bCs/>
          <w:color w:val="auto"/>
          <w:sz w:val="24"/>
          <w:szCs w:val="24"/>
          <w:u w:val="single"/>
        </w:rPr>
        <w:t xml:space="preserve">                                         </w:t>
      </w:r>
      <w:r>
        <w:rPr>
          <w:rFonts w:hint="eastAsia" w:hAnsi="宋体" w:cs="宋体"/>
          <w:bCs/>
          <w:color w:val="auto"/>
          <w:sz w:val="24"/>
          <w:szCs w:val="24"/>
        </w:rPr>
        <w:t>联系电话：</w:t>
      </w:r>
      <w:r>
        <w:rPr>
          <w:rFonts w:hint="eastAsia" w:hAnsi="宋体" w:cs="宋体"/>
          <w:bCs/>
          <w:color w:val="auto"/>
          <w:sz w:val="24"/>
          <w:szCs w:val="24"/>
          <w:u w:val="single"/>
        </w:rPr>
        <w:t xml:space="preserve">                   </w:t>
      </w:r>
    </w:p>
    <w:p w14:paraId="0A74B7BB">
      <w:pPr>
        <w:pStyle w:val="15"/>
        <w:snapToGrid w:val="0"/>
        <w:spacing w:line="360" w:lineRule="auto"/>
        <w:ind w:firstLine="480" w:firstLineChars="200"/>
        <w:rPr>
          <w:rFonts w:hAnsi="宋体" w:cs="宋体"/>
          <w:bCs/>
          <w:color w:val="auto"/>
          <w:sz w:val="24"/>
          <w:szCs w:val="24"/>
          <w:u w:val="single"/>
        </w:rPr>
      </w:pPr>
      <w:r>
        <w:rPr>
          <w:rFonts w:hint="eastAsia" w:hAnsi="宋体" w:cs="宋体"/>
          <w:bCs/>
          <w:color w:val="auto"/>
          <w:sz w:val="24"/>
          <w:szCs w:val="24"/>
        </w:rPr>
        <w:t>地址：</w:t>
      </w:r>
      <w:r>
        <w:rPr>
          <w:rFonts w:hint="eastAsia" w:hAnsi="宋体" w:cs="宋体"/>
          <w:bCs/>
          <w:color w:val="auto"/>
          <w:sz w:val="24"/>
          <w:szCs w:val="24"/>
          <w:u w:val="single"/>
        </w:rPr>
        <w:t xml:space="preserve">                                                            </w:t>
      </w:r>
    </w:p>
    <w:p w14:paraId="7592B82D">
      <w:pPr>
        <w:pStyle w:val="15"/>
        <w:snapToGrid w:val="0"/>
        <w:spacing w:line="360" w:lineRule="auto"/>
        <w:ind w:firstLine="480" w:firstLineChars="200"/>
        <w:rPr>
          <w:rFonts w:hAnsi="宋体" w:cs="宋体"/>
          <w:bCs/>
          <w:color w:val="auto"/>
          <w:sz w:val="24"/>
          <w:szCs w:val="24"/>
        </w:rPr>
      </w:pPr>
      <w:r>
        <w:rPr>
          <w:rFonts w:hint="eastAsia" w:hAnsi="宋体" w:cs="宋体"/>
          <w:bCs/>
          <w:color w:val="auto"/>
          <w:sz w:val="24"/>
          <w:szCs w:val="24"/>
        </w:rPr>
        <w:t>邮编：</w:t>
      </w:r>
      <w:r>
        <w:rPr>
          <w:rFonts w:hint="eastAsia" w:hAnsi="宋体" w:cs="宋体"/>
          <w:bCs/>
          <w:color w:val="auto"/>
          <w:sz w:val="24"/>
          <w:szCs w:val="24"/>
          <w:u w:val="single"/>
        </w:rPr>
        <w:t xml:space="preserve">         </w:t>
      </w:r>
      <w:r>
        <w:rPr>
          <w:rFonts w:hint="eastAsia" w:hAnsi="宋体" w:cs="宋体"/>
          <w:bCs/>
          <w:color w:val="auto"/>
          <w:sz w:val="24"/>
          <w:szCs w:val="24"/>
        </w:rPr>
        <w:t xml:space="preserve">   </w:t>
      </w:r>
    </w:p>
    <w:p w14:paraId="64A73807">
      <w:pPr>
        <w:pStyle w:val="15"/>
        <w:snapToGrid w:val="0"/>
        <w:spacing w:line="360" w:lineRule="auto"/>
        <w:ind w:firstLine="480" w:firstLineChars="200"/>
        <w:rPr>
          <w:rFonts w:hAnsi="宋体" w:cs="宋体"/>
          <w:bCs/>
          <w:color w:val="auto"/>
          <w:sz w:val="24"/>
          <w:szCs w:val="24"/>
        </w:rPr>
      </w:pPr>
      <w:r>
        <w:rPr>
          <w:rFonts w:hint="eastAsia" w:hAnsi="宋体" w:cs="宋体"/>
          <w:bCs/>
          <w:color w:val="auto"/>
          <w:sz w:val="24"/>
          <w:szCs w:val="24"/>
        </w:rPr>
        <w:t>被投诉人1：</w:t>
      </w:r>
    </w:p>
    <w:p w14:paraId="2DD6A3FD">
      <w:pPr>
        <w:pStyle w:val="15"/>
        <w:snapToGrid w:val="0"/>
        <w:spacing w:line="360" w:lineRule="auto"/>
        <w:ind w:firstLine="480" w:firstLineChars="200"/>
        <w:rPr>
          <w:rFonts w:hAnsi="宋体" w:cs="宋体"/>
          <w:bCs/>
          <w:color w:val="auto"/>
          <w:sz w:val="24"/>
          <w:szCs w:val="24"/>
          <w:u w:val="single"/>
        </w:rPr>
      </w:pPr>
      <w:r>
        <w:rPr>
          <w:rFonts w:hint="eastAsia" w:hAnsi="宋体" w:cs="宋体"/>
          <w:bCs/>
          <w:color w:val="auto"/>
          <w:sz w:val="24"/>
          <w:szCs w:val="24"/>
        </w:rPr>
        <w:t>地址：</w:t>
      </w:r>
      <w:r>
        <w:rPr>
          <w:rFonts w:hint="eastAsia" w:hAnsi="宋体" w:cs="宋体"/>
          <w:bCs/>
          <w:color w:val="auto"/>
          <w:sz w:val="24"/>
          <w:szCs w:val="24"/>
          <w:u w:val="single"/>
        </w:rPr>
        <w:t xml:space="preserve">                                                            </w:t>
      </w:r>
    </w:p>
    <w:p w14:paraId="46B71CF9">
      <w:pPr>
        <w:pStyle w:val="15"/>
        <w:snapToGrid w:val="0"/>
        <w:spacing w:line="360" w:lineRule="auto"/>
        <w:ind w:firstLine="480" w:firstLineChars="200"/>
        <w:rPr>
          <w:rFonts w:hAnsi="宋体" w:cs="宋体"/>
          <w:bCs/>
          <w:color w:val="auto"/>
          <w:sz w:val="24"/>
          <w:szCs w:val="24"/>
        </w:rPr>
      </w:pPr>
      <w:r>
        <w:rPr>
          <w:rFonts w:hint="eastAsia" w:hAnsi="宋体" w:cs="宋体"/>
          <w:bCs/>
          <w:color w:val="auto"/>
          <w:sz w:val="24"/>
          <w:szCs w:val="24"/>
        </w:rPr>
        <w:t>邮编：</w:t>
      </w:r>
      <w:r>
        <w:rPr>
          <w:rFonts w:hint="eastAsia" w:hAnsi="宋体" w:cs="宋体"/>
          <w:bCs/>
          <w:color w:val="auto"/>
          <w:sz w:val="24"/>
          <w:szCs w:val="24"/>
          <w:u w:val="single"/>
        </w:rPr>
        <w:t xml:space="preserve">         </w:t>
      </w:r>
      <w:r>
        <w:rPr>
          <w:rFonts w:hint="eastAsia" w:hAnsi="宋体" w:cs="宋体"/>
          <w:bCs/>
          <w:color w:val="auto"/>
          <w:sz w:val="24"/>
          <w:szCs w:val="24"/>
        </w:rPr>
        <w:t xml:space="preserve">  </w:t>
      </w:r>
    </w:p>
    <w:p w14:paraId="117C3DA2">
      <w:pPr>
        <w:pStyle w:val="15"/>
        <w:snapToGrid w:val="0"/>
        <w:spacing w:line="360" w:lineRule="auto"/>
        <w:ind w:firstLine="480" w:firstLineChars="200"/>
        <w:rPr>
          <w:rFonts w:hAnsi="宋体" w:cs="宋体"/>
          <w:bCs/>
          <w:color w:val="auto"/>
          <w:sz w:val="24"/>
          <w:szCs w:val="24"/>
          <w:u w:val="single"/>
        </w:rPr>
      </w:pPr>
      <w:r>
        <w:rPr>
          <w:rFonts w:hint="eastAsia" w:hAnsi="宋体" w:cs="宋体"/>
          <w:bCs/>
          <w:color w:val="auto"/>
          <w:sz w:val="24"/>
          <w:szCs w:val="24"/>
        </w:rPr>
        <w:t>联系人：</w:t>
      </w:r>
      <w:r>
        <w:rPr>
          <w:rFonts w:hint="eastAsia" w:hAnsi="宋体" w:cs="宋体"/>
          <w:bCs/>
          <w:color w:val="auto"/>
          <w:sz w:val="24"/>
          <w:szCs w:val="24"/>
          <w:u w:val="single"/>
        </w:rPr>
        <w:t xml:space="preserve">                                                </w:t>
      </w:r>
      <w:r>
        <w:rPr>
          <w:rFonts w:hint="eastAsia" w:hAnsi="宋体" w:cs="宋体"/>
          <w:bCs/>
          <w:color w:val="auto"/>
          <w:sz w:val="24"/>
          <w:szCs w:val="24"/>
        </w:rPr>
        <w:t>联系电话：</w:t>
      </w:r>
      <w:r>
        <w:rPr>
          <w:rFonts w:hint="eastAsia" w:hAnsi="宋体" w:cs="宋体"/>
          <w:bCs/>
          <w:color w:val="auto"/>
          <w:sz w:val="24"/>
          <w:szCs w:val="24"/>
          <w:u w:val="single"/>
        </w:rPr>
        <w:t xml:space="preserve">                </w:t>
      </w:r>
    </w:p>
    <w:p w14:paraId="22C2FD84">
      <w:pPr>
        <w:pStyle w:val="15"/>
        <w:snapToGrid w:val="0"/>
        <w:spacing w:line="360" w:lineRule="auto"/>
        <w:ind w:firstLine="480" w:firstLineChars="200"/>
        <w:rPr>
          <w:rFonts w:hAnsi="宋体" w:cs="宋体"/>
          <w:bCs/>
          <w:color w:val="auto"/>
          <w:sz w:val="24"/>
          <w:szCs w:val="24"/>
        </w:rPr>
      </w:pPr>
      <w:r>
        <w:rPr>
          <w:rFonts w:hint="eastAsia" w:hAnsi="宋体" w:cs="宋体"/>
          <w:bCs/>
          <w:color w:val="auto"/>
          <w:sz w:val="24"/>
          <w:szCs w:val="24"/>
        </w:rPr>
        <w:t>被投诉人2：</w:t>
      </w:r>
    </w:p>
    <w:p w14:paraId="265698CF">
      <w:pPr>
        <w:pStyle w:val="15"/>
        <w:snapToGrid w:val="0"/>
        <w:spacing w:line="360" w:lineRule="auto"/>
        <w:ind w:firstLine="480" w:firstLineChars="200"/>
        <w:rPr>
          <w:rFonts w:hAnsi="宋体" w:cs="宋体"/>
          <w:bCs/>
          <w:color w:val="auto"/>
          <w:sz w:val="24"/>
          <w:szCs w:val="24"/>
        </w:rPr>
      </w:pPr>
      <w:r>
        <w:rPr>
          <w:rFonts w:hint="eastAsia" w:hAnsi="宋体" w:cs="宋体"/>
          <w:bCs/>
          <w:color w:val="auto"/>
          <w:sz w:val="24"/>
          <w:szCs w:val="24"/>
        </w:rPr>
        <w:t>……</w:t>
      </w:r>
    </w:p>
    <w:p w14:paraId="61A6075E">
      <w:pPr>
        <w:pStyle w:val="15"/>
        <w:snapToGrid w:val="0"/>
        <w:spacing w:line="360" w:lineRule="auto"/>
        <w:ind w:firstLine="480" w:firstLineChars="200"/>
        <w:rPr>
          <w:rFonts w:hAnsi="宋体" w:cs="宋体"/>
          <w:bCs/>
          <w:color w:val="auto"/>
          <w:sz w:val="24"/>
          <w:szCs w:val="24"/>
          <w:u w:val="single"/>
        </w:rPr>
      </w:pPr>
      <w:r>
        <w:rPr>
          <w:rFonts w:hint="eastAsia" w:hAnsi="宋体" w:cs="宋体"/>
          <w:bCs/>
          <w:color w:val="auto"/>
          <w:sz w:val="24"/>
          <w:szCs w:val="24"/>
        </w:rPr>
        <w:t>相关供应商：</w:t>
      </w:r>
      <w:r>
        <w:rPr>
          <w:rFonts w:hint="eastAsia" w:hAnsi="宋体" w:cs="宋体"/>
          <w:bCs/>
          <w:color w:val="auto"/>
          <w:sz w:val="24"/>
          <w:szCs w:val="24"/>
          <w:u w:val="single"/>
        </w:rPr>
        <w:t xml:space="preserve">                                                                       </w:t>
      </w:r>
    </w:p>
    <w:p w14:paraId="05F17B03">
      <w:pPr>
        <w:pStyle w:val="15"/>
        <w:snapToGrid w:val="0"/>
        <w:spacing w:line="360" w:lineRule="auto"/>
        <w:ind w:firstLine="480" w:firstLineChars="200"/>
        <w:rPr>
          <w:rFonts w:hAnsi="宋体" w:cs="宋体"/>
          <w:bCs/>
          <w:color w:val="auto"/>
          <w:sz w:val="24"/>
          <w:szCs w:val="24"/>
          <w:u w:val="single"/>
        </w:rPr>
      </w:pPr>
      <w:r>
        <w:rPr>
          <w:rFonts w:hint="eastAsia" w:hAnsi="宋体" w:cs="宋体"/>
          <w:bCs/>
          <w:color w:val="auto"/>
          <w:sz w:val="24"/>
          <w:szCs w:val="24"/>
        </w:rPr>
        <w:t>地址：</w:t>
      </w:r>
      <w:r>
        <w:rPr>
          <w:rFonts w:hint="eastAsia" w:hAnsi="宋体" w:cs="宋体"/>
          <w:bCs/>
          <w:color w:val="auto"/>
          <w:sz w:val="24"/>
          <w:szCs w:val="24"/>
          <w:u w:val="single"/>
        </w:rPr>
        <w:t xml:space="preserve">                                              </w:t>
      </w:r>
      <w:r>
        <w:rPr>
          <w:rFonts w:hint="eastAsia" w:hAnsi="宋体" w:cs="宋体"/>
          <w:bCs/>
          <w:color w:val="auto"/>
          <w:sz w:val="24"/>
          <w:szCs w:val="24"/>
        </w:rPr>
        <w:t>邮编：</w:t>
      </w:r>
      <w:r>
        <w:rPr>
          <w:rFonts w:hint="eastAsia" w:hAnsi="宋体" w:cs="宋体"/>
          <w:bCs/>
          <w:color w:val="auto"/>
          <w:sz w:val="24"/>
          <w:szCs w:val="24"/>
          <w:u w:val="single"/>
        </w:rPr>
        <w:t xml:space="preserve">                         </w:t>
      </w:r>
    </w:p>
    <w:p w14:paraId="0C0976AC">
      <w:pPr>
        <w:pStyle w:val="15"/>
        <w:snapToGrid w:val="0"/>
        <w:spacing w:line="360" w:lineRule="auto"/>
        <w:ind w:firstLine="480" w:firstLineChars="200"/>
        <w:rPr>
          <w:rFonts w:hAnsi="宋体" w:cs="宋体"/>
          <w:bCs/>
          <w:color w:val="auto"/>
          <w:sz w:val="24"/>
          <w:szCs w:val="24"/>
        </w:rPr>
      </w:pPr>
      <w:r>
        <w:rPr>
          <w:rFonts w:hint="eastAsia" w:hAnsi="宋体" w:cs="宋体"/>
          <w:bCs/>
          <w:color w:val="auto"/>
          <w:sz w:val="24"/>
          <w:szCs w:val="24"/>
        </w:rPr>
        <w:t>联系人：</w:t>
      </w:r>
      <w:r>
        <w:rPr>
          <w:rFonts w:hint="eastAsia" w:hAnsi="宋体" w:cs="宋体"/>
          <w:bCs/>
          <w:color w:val="auto"/>
          <w:sz w:val="24"/>
          <w:szCs w:val="24"/>
          <w:u w:val="single"/>
        </w:rPr>
        <w:t xml:space="preserve">                                            </w:t>
      </w:r>
      <w:r>
        <w:rPr>
          <w:rFonts w:hint="eastAsia" w:hAnsi="宋体" w:cs="宋体"/>
          <w:bCs/>
          <w:color w:val="auto"/>
          <w:sz w:val="24"/>
          <w:szCs w:val="24"/>
        </w:rPr>
        <w:t>联系电话：</w:t>
      </w:r>
      <w:r>
        <w:rPr>
          <w:rFonts w:hint="eastAsia" w:hAnsi="宋体" w:cs="宋体"/>
          <w:bCs/>
          <w:color w:val="auto"/>
          <w:sz w:val="24"/>
          <w:szCs w:val="24"/>
          <w:u w:val="single"/>
        </w:rPr>
        <w:t xml:space="preserve">                     </w:t>
      </w:r>
      <w:r>
        <w:rPr>
          <w:rFonts w:hint="eastAsia" w:hAnsi="宋体" w:cs="宋体"/>
          <w:bCs/>
          <w:color w:val="auto"/>
          <w:sz w:val="24"/>
          <w:szCs w:val="24"/>
        </w:rPr>
        <w:t xml:space="preserve">                </w:t>
      </w:r>
    </w:p>
    <w:p w14:paraId="58B7AB30">
      <w:pPr>
        <w:pStyle w:val="15"/>
        <w:snapToGrid w:val="0"/>
        <w:spacing w:line="360" w:lineRule="auto"/>
        <w:ind w:firstLine="482" w:firstLineChars="200"/>
        <w:rPr>
          <w:rFonts w:hAnsi="宋体" w:cs="宋体"/>
          <w:b/>
          <w:bCs/>
          <w:color w:val="auto"/>
          <w:sz w:val="24"/>
          <w:szCs w:val="24"/>
        </w:rPr>
      </w:pPr>
      <w:r>
        <w:rPr>
          <w:rFonts w:hint="eastAsia" w:hAnsi="宋体" w:cs="宋体"/>
          <w:b/>
          <w:bCs/>
          <w:color w:val="auto"/>
          <w:sz w:val="24"/>
          <w:szCs w:val="24"/>
        </w:rPr>
        <w:t>二、投诉项目基本情况：</w:t>
      </w:r>
    </w:p>
    <w:p w14:paraId="59F0787D">
      <w:pPr>
        <w:pStyle w:val="15"/>
        <w:spacing w:line="360" w:lineRule="auto"/>
        <w:ind w:firstLine="472" w:firstLineChars="197"/>
        <w:rPr>
          <w:rFonts w:hAnsi="宋体" w:cs="宋体"/>
          <w:color w:val="auto"/>
          <w:sz w:val="24"/>
          <w:szCs w:val="24"/>
        </w:rPr>
      </w:pPr>
      <w:r>
        <w:rPr>
          <w:rFonts w:hint="eastAsia" w:hAnsi="宋体" w:cs="宋体"/>
          <w:bCs/>
          <w:color w:val="auto"/>
          <w:sz w:val="24"/>
          <w:szCs w:val="24"/>
        </w:rPr>
        <w:t>采购</w:t>
      </w:r>
      <w:r>
        <w:rPr>
          <w:rFonts w:hint="eastAsia" w:hAnsi="宋体" w:cs="宋体"/>
          <w:color w:val="auto"/>
          <w:sz w:val="24"/>
          <w:szCs w:val="24"/>
        </w:rPr>
        <w:t>项目的名称：</w:t>
      </w:r>
      <w:r>
        <w:rPr>
          <w:rFonts w:hint="eastAsia" w:hAnsi="宋体" w:cs="宋体"/>
          <w:bCs/>
          <w:color w:val="auto"/>
          <w:sz w:val="24"/>
          <w:szCs w:val="24"/>
          <w:u w:val="single"/>
        </w:rPr>
        <w:t xml:space="preserve">                                                                   </w:t>
      </w:r>
    </w:p>
    <w:p w14:paraId="6377CDCD">
      <w:pPr>
        <w:pStyle w:val="15"/>
        <w:spacing w:line="360" w:lineRule="auto"/>
        <w:ind w:firstLine="472" w:firstLineChars="197"/>
        <w:rPr>
          <w:rFonts w:hAnsi="宋体" w:cs="宋体"/>
          <w:color w:val="auto"/>
          <w:sz w:val="24"/>
          <w:szCs w:val="24"/>
        </w:rPr>
      </w:pPr>
      <w:r>
        <w:rPr>
          <w:rFonts w:hint="eastAsia" w:hAnsi="宋体" w:cs="宋体"/>
          <w:bCs/>
          <w:color w:val="auto"/>
          <w:sz w:val="24"/>
          <w:szCs w:val="24"/>
        </w:rPr>
        <w:t>采购</w:t>
      </w:r>
      <w:r>
        <w:rPr>
          <w:rFonts w:hint="eastAsia" w:hAnsi="宋体" w:cs="宋体"/>
          <w:color w:val="auto"/>
          <w:sz w:val="24"/>
          <w:szCs w:val="24"/>
        </w:rPr>
        <w:t>项目的编号：</w:t>
      </w:r>
      <w:r>
        <w:rPr>
          <w:rFonts w:hint="eastAsia" w:hAnsi="宋体" w:cs="宋体"/>
          <w:bCs/>
          <w:color w:val="auto"/>
          <w:sz w:val="24"/>
          <w:szCs w:val="24"/>
          <w:u w:val="single"/>
        </w:rPr>
        <w:t xml:space="preserve">                                          </w:t>
      </w:r>
    </w:p>
    <w:p w14:paraId="4004AE15">
      <w:pPr>
        <w:pStyle w:val="15"/>
        <w:spacing w:line="360" w:lineRule="auto"/>
        <w:ind w:firstLine="472" w:firstLineChars="197"/>
        <w:rPr>
          <w:rFonts w:hAnsi="宋体" w:cs="宋体"/>
          <w:bCs/>
          <w:color w:val="auto"/>
          <w:sz w:val="24"/>
          <w:szCs w:val="24"/>
          <w:u w:val="single"/>
        </w:rPr>
      </w:pPr>
      <w:r>
        <w:rPr>
          <w:rFonts w:hint="eastAsia" w:hAnsi="宋体" w:cs="宋体"/>
          <w:color w:val="auto"/>
          <w:sz w:val="24"/>
          <w:szCs w:val="24"/>
        </w:rPr>
        <w:t>采购人名称：</w:t>
      </w:r>
      <w:r>
        <w:rPr>
          <w:rFonts w:hint="eastAsia" w:hAnsi="宋体" w:cs="宋体"/>
          <w:bCs/>
          <w:color w:val="auto"/>
          <w:sz w:val="24"/>
          <w:szCs w:val="24"/>
          <w:u w:val="single"/>
        </w:rPr>
        <w:t xml:space="preserve">                                                                        </w:t>
      </w:r>
    </w:p>
    <w:p w14:paraId="1A400550">
      <w:pPr>
        <w:pStyle w:val="15"/>
        <w:spacing w:line="360" w:lineRule="auto"/>
        <w:ind w:firstLine="472" w:firstLineChars="197"/>
        <w:rPr>
          <w:rFonts w:hAnsi="宋体" w:cs="宋体"/>
          <w:bCs/>
          <w:color w:val="auto"/>
          <w:sz w:val="24"/>
          <w:szCs w:val="24"/>
          <w:u w:val="single"/>
        </w:rPr>
      </w:pPr>
      <w:r>
        <w:rPr>
          <w:rFonts w:hint="eastAsia" w:hAnsi="宋体" w:cs="宋体"/>
          <w:color w:val="auto"/>
          <w:sz w:val="24"/>
          <w:szCs w:val="24"/>
        </w:rPr>
        <w:t>代理机构名称：</w:t>
      </w:r>
      <w:r>
        <w:rPr>
          <w:rFonts w:hint="eastAsia" w:hAnsi="宋体" w:cs="宋体"/>
          <w:bCs/>
          <w:color w:val="auto"/>
          <w:sz w:val="24"/>
          <w:szCs w:val="24"/>
          <w:u w:val="single"/>
        </w:rPr>
        <w:t xml:space="preserve">                                                                      </w:t>
      </w:r>
    </w:p>
    <w:p w14:paraId="02383C05">
      <w:pPr>
        <w:pStyle w:val="15"/>
        <w:spacing w:line="360" w:lineRule="auto"/>
        <w:ind w:firstLine="472" w:firstLineChars="197"/>
        <w:rPr>
          <w:rFonts w:hAnsi="宋体" w:cs="宋体"/>
          <w:bCs/>
          <w:color w:val="auto"/>
          <w:sz w:val="24"/>
          <w:szCs w:val="24"/>
          <w:u w:val="single"/>
        </w:rPr>
      </w:pPr>
      <w:r>
        <w:rPr>
          <w:rFonts w:hint="eastAsia" w:hAnsi="宋体" w:cs="宋体"/>
          <w:bCs/>
          <w:color w:val="auto"/>
          <w:sz w:val="24"/>
          <w:szCs w:val="24"/>
        </w:rPr>
        <w:t>采购文件公告：</w:t>
      </w:r>
      <w:r>
        <w:rPr>
          <w:rFonts w:hint="eastAsia" w:hAnsi="宋体" w:cs="宋体"/>
          <w:bCs/>
          <w:color w:val="auto"/>
          <w:sz w:val="24"/>
          <w:szCs w:val="24"/>
          <w:u w:val="single"/>
        </w:rPr>
        <w:t>是/否</w:t>
      </w:r>
      <w:r>
        <w:rPr>
          <w:rFonts w:hint="eastAsia" w:hAnsi="宋体" w:cs="宋体"/>
          <w:bCs/>
          <w:color w:val="auto"/>
          <w:sz w:val="24"/>
          <w:szCs w:val="24"/>
        </w:rPr>
        <w:t>公告期限：</w:t>
      </w:r>
      <w:r>
        <w:rPr>
          <w:rFonts w:hint="eastAsia" w:hAnsi="宋体" w:cs="宋体"/>
          <w:bCs/>
          <w:color w:val="auto"/>
          <w:sz w:val="24"/>
          <w:szCs w:val="24"/>
          <w:u w:val="single"/>
        </w:rPr>
        <w:t xml:space="preserve">                                                       </w:t>
      </w:r>
    </w:p>
    <w:p w14:paraId="721D4018">
      <w:pPr>
        <w:pStyle w:val="15"/>
        <w:spacing w:line="360" w:lineRule="auto"/>
        <w:ind w:firstLine="472" w:firstLineChars="197"/>
        <w:rPr>
          <w:rFonts w:hAnsi="宋体" w:cs="宋体"/>
          <w:b/>
          <w:color w:val="auto"/>
          <w:sz w:val="24"/>
          <w:szCs w:val="24"/>
        </w:rPr>
      </w:pPr>
      <w:r>
        <w:rPr>
          <w:rFonts w:hint="eastAsia" w:hAnsi="宋体" w:cs="宋体"/>
          <w:bCs/>
          <w:color w:val="auto"/>
          <w:sz w:val="24"/>
          <w:szCs w:val="24"/>
        </w:rPr>
        <w:t>采购结果公告：</w:t>
      </w:r>
      <w:r>
        <w:rPr>
          <w:rFonts w:hint="eastAsia" w:hAnsi="宋体" w:cs="宋体"/>
          <w:bCs/>
          <w:color w:val="auto"/>
          <w:sz w:val="24"/>
          <w:szCs w:val="24"/>
          <w:u w:val="single"/>
        </w:rPr>
        <w:t>是/否</w:t>
      </w:r>
      <w:r>
        <w:rPr>
          <w:rFonts w:hint="eastAsia" w:hAnsi="宋体" w:cs="宋体"/>
          <w:bCs/>
          <w:color w:val="auto"/>
          <w:sz w:val="24"/>
          <w:szCs w:val="24"/>
        </w:rPr>
        <w:t>公告期限：</w:t>
      </w:r>
      <w:r>
        <w:rPr>
          <w:rFonts w:hint="eastAsia" w:hAnsi="宋体" w:cs="宋体"/>
          <w:bCs/>
          <w:color w:val="auto"/>
          <w:sz w:val="24"/>
          <w:szCs w:val="24"/>
          <w:u w:val="single"/>
        </w:rPr>
        <w:t xml:space="preserve">                                                       </w:t>
      </w:r>
    </w:p>
    <w:p w14:paraId="3DD3CFF5">
      <w:pPr>
        <w:pStyle w:val="15"/>
        <w:spacing w:line="360" w:lineRule="auto"/>
        <w:ind w:firstLine="472" w:firstLineChars="196"/>
        <w:rPr>
          <w:rFonts w:hAnsi="宋体" w:cs="宋体"/>
          <w:b/>
          <w:color w:val="auto"/>
          <w:sz w:val="24"/>
          <w:szCs w:val="24"/>
        </w:rPr>
      </w:pPr>
      <w:r>
        <w:rPr>
          <w:rFonts w:hint="eastAsia" w:hAnsi="宋体" w:cs="宋体"/>
          <w:b/>
          <w:color w:val="auto"/>
          <w:sz w:val="24"/>
          <w:szCs w:val="24"/>
        </w:rPr>
        <w:t>三、质疑基本情况</w:t>
      </w:r>
    </w:p>
    <w:p w14:paraId="7C22C221">
      <w:pPr>
        <w:pStyle w:val="15"/>
        <w:spacing w:line="360" w:lineRule="auto"/>
        <w:ind w:left="479" w:leftChars="228" w:firstLine="60" w:firstLineChars="25"/>
        <w:rPr>
          <w:rFonts w:hAnsi="宋体" w:cs="宋体"/>
          <w:color w:val="auto"/>
          <w:sz w:val="24"/>
          <w:szCs w:val="24"/>
        </w:rPr>
      </w:pPr>
      <w:r>
        <w:rPr>
          <w:rFonts w:hint="eastAsia" w:hAnsi="宋体" w:cs="宋体"/>
          <w:color w:val="auto"/>
          <w:sz w:val="24"/>
          <w:szCs w:val="24"/>
        </w:rPr>
        <w:t>投诉人于</w:t>
      </w:r>
      <w:r>
        <w:rPr>
          <w:rFonts w:hint="eastAsia" w:hAnsi="宋体" w:cs="宋体"/>
          <w:color w:val="auto"/>
          <w:sz w:val="24"/>
          <w:szCs w:val="24"/>
          <w:u w:val="single"/>
        </w:rPr>
        <w:t xml:space="preserve">      </w:t>
      </w:r>
      <w:r>
        <w:rPr>
          <w:rFonts w:hint="eastAsia" w:hAnsi="宋体" w:cs="宋体"/>
          <w:color w:val="auto"/>
          <w:sz w:val="24"/>
          <w:szCs w:val="24"/>
        </w:rPr>
        <w:t>年</w:t>
      </w:r>
      <w:r>
        <w:rPr>
          <w:rFonts w:hint="eastAsia" w:hAnsi="宋体" w:cs="宋体"/>
          <w:color w:val="auto"/>
          <w:sz w:val="24"/>
          <w:szCs w:val="24"/>
          <w:u w:val="single"/>
        </w:rPr>
        <w:t xml:space="preserve">   </w:t>
      </w:r>
      <w:r>
        <w:rPr>
          <w:rFonts w:hint="eastAsia" w:hAnsi="宋体" w:cs="宋体"/>
          <w:color w:val="auto"/>
          <w:sz w:val="24"/>
          <w:szCs w:val="24"/>
        </w:rPr>
        <w:t>月</w:t>
      </w:r>
      <w:r>
        <w:rPr>
          <w:rFonts w:hint="eastAsia" w:hAnsi="宋体" w:cs="宋体"/>
          <w:color w:val="auto"/>
          <w:sz w:val="24"/>
          <w:szCs w:val="24"/>
          <w:u w:val="single"/>
        </w:rPr>
        <w:t xml:space="preserve">   </w:t>
      </w:r>
      <w:r>
        <w:rPr>
          <w:rFonts w:hint="eastAsia" w:hAnsi="宋体" w:cs="宋体"/>
          <w:color w:val="auto"/>
          <w:sz w:val="24"/>
          <w:szCs w:val="24"/>
        </w:rPr>
        <w:t>日，向</w:t>
      </w:r>
      <w:r>
        <w:rPr>
          <w:rFonts w:hint="eastAsia" w:hAnsi="宋体" w:cs="宋体"/>
          <w:color w:val="auto"/>
          <w:sz w:val="24"/>
          <w:szCs w:val="24"/>
          <w:u w:val="single"/>
        </w:rPr>
        <w:t xml:space="preserve">                                </w:t>
      </w:r>
      <w:r>
        <w:rPr>
          <w:rFonts w:hint="eastAsia" w:hAnsi="宋体" w:cs="宋体"/>
          <w:color w:val="auto"/>
          <w:sz w:val="24"/>
          <w:szCs w:val="24"/>
        </w:rPr>
        <w:t>提出质疑，质疑事项为：</w:t>
      </w:r>
    </w:p>
    <w:p w14:paraId="45832AC2">
      <w:pPr>
        <w:pStyle w:val="15"/>
        <w:spacing w:line="360" w:lineRule="auto"/>
        <w:ind w:firstLine="540" w:firstLineChars="225"/>
        <w:rPr>
          <w:rFonts w:hAnsi="宋体" w:cs="宋体"/>
          <w:bCs/>
          <w:color w:val="auto"/>
          <w:sz w:val="24"/>
          <w:szCs w:val="24"/>
          <w:u w:val="single"/>
        </w:rPr>
      </w:pPr>
      <w:r>
        <w:rPr>
          <w:rFonts w:hint="eastAsia" w:hAnsi="宋体" w:cs="宋体"/>
          <w:color w:val="auto"/>
          <w:sz w:val="24"/>
          <w:szCs w:val="24"/>
        </w:rPr>
        <w:t xml:space="preserve">    </w:t>
      </w:r>
      <w:r>
        <w:rPr>
          <w:rFonts w:hint="eastAsia" w:hAnsi="宋体" w:cs="宋体"/>
          <w:bCs/>
          <w:color w:val="auto"/>
          <w:sz w:val="24"/>
          <w:szCs w:val="24"/>
          <w:u w:val="single"/>
        </w:rPr>
        <w:t xml:space="preserve">                                                                                      </w:t>
      </w:r>
    </w:p>
    <w:p w14:paraId="63D17897">
      <w:pPr>
        <w:pStyle w:val="15"/>
        <w:spacing w:line="360" w:lineRule="auto"/>
        <w:ind w:firstLine="540" w:firstLineChars="225"/>
        <w:rPr>
          <w:rFonts w:hAnsi="宋体" w:cs="宋体"/>
          <w:bCs/>
          <w:color w:val="auto"/>
          <w:sz w:val="24"/>
          <w:szCs w:val="24"/>
          <w:u w:val="single"/>
        </w:rPr>
      </w:pPr>
      <w:r>
        <w:rPr>
          <w:rFonts w:hint="eastAsia" w:hAnsi="宋体" w:cs="宋体"/>
          <w:bCs/>
          <w:color w:val="auto"/>
          <w:sz w:val="24"/>
          <w:szCs w:val="24"/>
        </w:rPr>
        <w:t xml:space="preserve">    </w:t>
      </w:r>
      <w:r>
        <w:rPr>
          <w:rFonts w:hint="eastAsia" w:hAnsi="宋体" w:cs="宋体"/>
          <w:bCs/>
          <w:color w:val="auto"/>
          <w:sz w:val="24"/>
          <w:szCs w:val="24"/>
          <w:u w:val="single"/>
        </w:rPr>
        <w:t xml:space="preserve">                                                                                      </w:t>
      </w:r>
    </w:p>
    <w:p w14:paraId="2A5CEC18">
      <w:pPr>
        <w:pStyle w:val="15"/>
        <w:spacing w:line="360" w:lineRule="auto"/>
        <w:ind w:firstLine="540" w:firstLineChars="225"/>
        <w:rPr>
          <w:rFonts w:hAnsi="宋体" w:cs="宋体"/>
          <w:color w:val="auto"/>
          <w:sz w:val="24"/>
          <w:szCs w:val="24"/>
        </w:rPr>
      </w:pPr>
      <w:r>
        <w:rPr>
          <w:rFonts w:hint="eastAsia" w:hAnsi="宋体" w:cs="宋体"/>
          <w:bCs/>
          <w:color w:val="auto"/>
          <w:sz w:val="24"/>
          <w:szCs w:val="24"/>
          <w:u w:val="single"/>
        </w:rPr>
        <w:t>采购人/代理机构</w:t>
      </w:r>
      <w:r>
        <w:rPr>
          <w:rFonts w:hint="eastAsia" w:hAnsi="宋体" w:cs="宋体"/>
          <w:bCs/>
          <w:color w:val="auto"/>
          <w:sz w:val="24"/>
          <w:szCs w:val="24"/>
        </w:rPr>
        <w:t>于</w:t>
      </w:r>
      <w:r>
        <w:rPr>
          <w:rFonts w:hint="eastAsia" w:hAnsi="宋体" w:cs="宋体"/>
          <w:color w:val="auto"/>
          <w:sz w:val="24"/>
          <w:szCs w:val="24"/>
          <w:u w:val="single"/>
        </w:rPr>
        <w:t xml:space="preserve">      </w:t>
      </w:r>
      <w:r>
        <w:rPr>
          <w:rFonts w:hint="eastAsia" w:hAnsi="宋体" w:cs="宋体"/>
          <w:color w:val="auto"/>
          <w:sz w:val="24"/>
          <w:szCs w:val="24"/>
        </w:rPr>
        <w:t>年</w:t>
      </w:r>
      <w:r>
        <w:rPr>
          <w:rFonts w:hint="eastAsia" w:hAnsi="宋体" w:cs="宋体"/>
          <w:color w:val="auto"/>
          <w:sz w:val="24"/>
          <w:szCs w:val="24"/>
          <w:u w:val="single"/>
        </w:rPr>
        <w:t xml:space="preserve">   </w:t>
      </w:r>
      <w:r>
        <w:rPr>
          <w:rFonts w:hint="eastAsia" w:hAnsi="宋体" w:cs="宋体"/>
          <w:color w:val="auto"/>
          <w:sz w:val="24"/>
          <w:szCs w:val="24"/>
        </w:rPr>
        <w:t>月</w:t>
      </w:r>
      <w:r>
        <w:rPr>
          <w:rFonts w:hint="eastAsia" w:hAnsi="宋体" w:cs="宋体"/>
          <w:color w:val="auto"/>
          <w:sz w:val="24"/>
          <w:szCs w:val="24"/>
          <w:u w:val="single"/>
        </w:rPr>
        <w:t xml:space="preserve">   </w:t>
      </w:r>
      <w:r>
        <w:rPr>
          <w:rFonts w:hint="eastAsia" w:hAnsi="宋体" w:cs="宋体"/>
          <w:color w:val="auto"/>
          <w:sz w:val="24"/>
          <w:szCs w:val="24"/>
        </w:rPr>
        <w:t>日，</w:t>
      </w:r>
      <w:r>
        <w:rPr>
          <w:rFonts w:hint="eastAsia" w:hAnsi="宋体" w:cs="宋体"/>
          <w:bCs/>
          <w:color w:val="auto"/>
          <w:sz w:val="24"/>
          <w:szCs w:val="24"/>
        </w:rPr>
        <w:t xml:space="preserve">就质疑事项作出了答复/没有在法定期限内作出答复。                                                                                             </w:t>
      </w:r>
    </w:p>
    <w:p w14:paraId="53C9DFEF">
      <w:pPr>
        <w:pStyle w:val="15"/>
        <w:spacing w:line="360" w:lineRule="auto"/>
        <w:ind w:firstLine="472" w:firstLineChars="196"/>
        <w:rPr>
          <w:rFonts w:hAnsi="宋体" w:cs="宋体"/>
          <w:b/>
          <w:color w:val="auto"/>
          <w:sz w:val="24"/>
          <w:szCs w:val="24"/>
        </w:rPr>
      </w:pPr>
      <w:r>
        <w:rPr>
          <w:rFonts w:hint="eastAsia" w:hAnsi="宋体" w:cs="宋体"/>
          <w:b/>
          <w:color w:val="auto"/>
          <w:sz w:val="24"/>
          <w:szCs w:val="24"/>
        </w:rPr>
        <w:t>四、投诉事项具体内容</w:t>
      </w:r>
    </w:p>
    <w:p w14:paraId="471B8FAF">
      <w:pPr>
        <w:pStyle w:val="15"/>
        <w:spacing w:line="360" w:lineRule="auto"/>
        <w:ind w:firstLine="472" w:firstLineChars="197"/>
        <w:rPr>
          <w:rFonts w:hAnsi="宋体" w:cs="宋体"/>
          <w:bCs/>
          <w:color w:val="auto"/>
          <w:sz w:val="24"/>
          <w:szCs w:val="24"/>
          <w:u w:val="single"/>
        </w:rPr>
      </w:pPr>
      <w:r>
        <w:rPr>
          <w:rFonts w:hint="eastAsia" w:hAnsi="宋体" w:cs="宋体"/>
          <w:color w:val="auto"/>
          <w:sz w:val="24"/>
          <w:szCs w:val="24"/>
        </w:rPr>
        <w:t>投诉事项1：</w:t>
      </w:r>
      <w:r>
        <w:rPr>
          <w:rFonts w:hint="eastAsia" w:hAnsi="宋体" w:cs="宋体"/>
          <w:bCs/>
          <w:color w:val="auto"/>
          <w:sz w:val="24"/>
          <w:szCs w:val="24"/>
          <w:u w:val="single"/>
        </w:rPr>
        <w:t xml:space="preserve">                                                                           </w:t>
      </w:r>
    </w:p>
    <w:p w14:paraId="0BAA1402">
      <w:pPr>
        <w:pStyle w:val="15"/>
        <w:spacing w:line="360" w:lineRule="auto"/>
        <w:ind w:firstLine="480" w:firstLineChars="200"/>
        <w:rPr>
          <w:rFonts w:hAnsi="宋体" w:cs="宋体"/>
          <w:bCs/>
          <w:color w:val="auto"/>
          <w:sz w:val="24"/>
          <w:szCs w:val="24"/>
          <w:u w:val="single"/>
        </w:rPr>
      </w:pPr>
      <w:r>
        <w:rPr>
          <w:rFonts w:hint="eastAsia" w:hAnsi="宋体" w:cs="宋体"/>
          <w:bCs/>
          <w:color w:val="auto"/>
          <w:sz w:val="24"/>
          <w:szCs w:val="24"/>
        </w:rPr>
        <w:t>事实依据：</w:t>
      </w:r>
      <w:r>
        <w:rPr>
          <w:rFonts w:hint="eastAsia" w:hAnsi="宋体" w:cs="宋体"/>
          <w:color w:val="auto"/>
          <w:sz w:val="24"/>
          <w:szCs w:val="24"/>
        </w:rPr>
        <w:t xml:space="preserve"> </w:t>
      </w:r>
      <w:r>
        <w:rPr>
          <w:rFonts w:hint="eastAsia" w:hAnsi="宋体" w:cs="宋体"/>
          <w:bCs/>
          <w:color w:val="auto"/>
          <w:sz w:val="24"/>
          <w:szCs w:val="24"/>
          <w:u w:val="single"/>
        </w:rPr>
        <w:t xml:space="preserve">                                                                                      </w:t>
      </w:r>
    </w:p>
    <w:p w14:paraId="616533B3">
      <w:pPr>
        <w:pStyle w:val="15"/>
        <w:spacing w:line="360" w:lineRule="auto"/>
        <w:ind w:firstLine="472" w:firstLineChars="197"/>
        <w:rPr>
          <w:rFonts w:hAnsi="宋体" w:cs="宋体"/>
          <w:color w:val="auto"/>
          <w:sz w:val="24"/>
          <w:szCs w:val="24"/>
        </w:rPr>
      </w:pPr>
      <w:r>
        <w:rPr>
          <w:rFonts w:hint="eastAsia" w:hAnsi="宋体" w:cs="宋体"/>
          <w:bCs/>
          <w:color w:val="auto"/>
          <w:sz w:val="24"/>
          <w:szCs w:val="24"/>
          <w:u w:val="single"/>
        </w:rPr>
        <w:t xml:space="preserve">                                                                                        </w:t>
      </w:r>
    </w:p>
    <w:p w14:paraId="2B7470AD">
      <w:pPr>
        <w:pStyle w:val="15"/>
        <w:spacing w:line="360" w:lineRule="auto"/>
        <w:ind w:firstLine="480" w:firstLineChars="200"/>
        <w:rPr>
          <w:rFonts w:hAnsi="宋体" w:cs="宋体"/>
          <w:bCs/>
          <w:color w:val="auto"/>
          <w:sz w:val="24"/>
          <w:szCs w:val="24"/>
          <w:u w:val="single"/>
        </w:rPr>
      </w:pPr>
      <w:r>
        <w:rPr>
          <w:rFonts w:hint="eastAsia" w:hAnsi="宋体" w:cs="宋体"/>
          <w:bCs/>
          <w:color w:val="auto"/>
          <w:sz w:val="24"/>
          <w:szCs w:val="24"/>
        </w:rPr>
        <w:t>法律依据：</w:t>
      </w:r>
      <w:r>
        <w:rPr>
          <w:rFonts w:hint="eastAsia" w:hAnsi="宋体" w:cs="宋体"/>
          <w:color w:val="auto"/>
          <w:sz w:val="24"/>
          <w:szCs w:val="24"/>
        </w:rPr>
        <w:t xml:space="preserve"> </w:t>
      </w:r>
      <w:r>
        <w:rPr>
          <w:rFonts w:hint="eastAsia" w:hAnsi="宋体" w:cs="宋体"/>
          <w:bCs/>
          <w:color w:val="auto"/>
          <w:sz w:val="24"/>
          <w:szCs w:val="24"/>
          <w:u w:val="single"/>
        </w:rPr>
        <w:t xml:space="preserve">                                                                                      </w:t>
      </w:r>
    </w:p>
    <w:p w14:paraId="3345FAFE">
      <w:pPr>
        <w:pStyle w:val="15"/>
        <w:spacing w:line="360" w:lineRule="auto"/>
        <w:ind w:firstLine="352" w:firstLineChars="147"/>
        <w:rPr>
          <w:rFonts w:hAnsi="宋体" w:cs="宋体"/>
          <w:bCs/>
          <w:color w:val="auto"/>
          <w:sz w:val="24"/>
          <w:szCs w:val="24"/>
          <w:u w:val="single"/>
        </w:rPr>
      </w:pPr>
      <w:r>
        <w:rPr>
          <w:rFonts w:hint="eastAsia" w:hAnsi="宋体" w:cs="宋体"/>
          <w:bCs/>
          <w:color w:val="auto"/>
          <w:sz w:val="24"/>
          <w:szCs w:val="24"/>
        </w:rPr>
        <w:t xml:space="preserve"> </w:t>
      </w:r>
      <w:r>
        <w:rPr>
          <w:rFonts w:hint="eastAsia" w:hAnsi="宋体" w:cs="宋体"/>
          <w:bCs/>
          <w:color w:val="auto"/>
          <w:sz w:val="24"/>
          <w:szCs w:val="24"/>
          <w:u w:val="single"/>
        </w:rPr>
        <w:t xml:space="preserve">                                                                                        </w:t>
      </w:r>
    </w:p>
    <w:p w14:paraId="3536B209">
      <w:pPr>
        <w:pStyle w:val="15"/>
        <w:spacing w:line="360" w:lineRule="auto"/>
        <w:ind w:firstLine="472" w:firstLineChars="197"/>
        <w:rPr>
          <w:rFonts w:hAnsi="宋体" w:cs="宋体"/>
          <w:bCs/>
          <w:color w:val="auto"/>
          <w:sz w:val="24"/>
          <w:szCs w:val="24"/>
        </w:rPr>
      </w:pPr>
      <w:r>
        <w:rPr>
          <w:rFonts w:hint="eastAsia" w:hAnsi="宋体" w:cs="宋体"/>
          <w:color w:val="auto"/>
          <w:sz w:val="24"/>
          <w:szCs w:val="24"/>
        </w:rPr>
        <w:t xml:space="preserve">投诉事项2  </w:t>
      </w:r>
      <w:r>
        <w:rPr>
          <w:rFonts w:hint="eastAsia" w:hAnsi="宋体" w:cs="宋体"/>
          <w:bCs/>
          <w:color w:val="auto"/>
          <w:sz w:val="24"/>
          <w:szCs w:val="24"/>
        </w:rPr>
        <w:t xml:space="preserve">   </w:t>
      </w:r>
    </w:p>
    <w:p w14:paraId="744A3AB4">
      <w:pPr>
        <w:pStyle w:val="15"/>
        <w:spacing w:line="360" w:lineRule="auto"/>
        <w:ind w:firstLine="472" w:firstLineChars="197"/>
        <w:rPr>
          <w:rFonts w:hAnsi="宋体" w:cs="宋体"/>
          <w:bCs/>
          <w:color w:val="auto"/>
          <w:sz w:val="24"/>
          <w:szCs w:val="24"/>
        </w:rPr>
      </w:pPr>
      <w:r>
        <w:rPr>
          <w:rFonts w:hint="eastAsia" w:hAnsi="宋体" w:cs="宋体"/>
          <w:bCs/>
          <w:color w:val="auto"/>
          <w:sz w:val="24"/>
          <w:szCs w:val="24"/>
        </w:rPr>
        <w:t>……</w:t>
      </w:r>
    </w:p>
    <w:p w14:paraId="7D4EE858">
      <w:pPr>
        <w:pStyle w:val="15"/>
        <w:spacing w:line="360" w:lineRule="auto"/>
        <w:ind w:firstLine="472" w:firstLineChars="196"/>
        <w:rPr>
          <w:rFonts w:hAnsi="宋体" w:cs="宋体"/>
          <w:b/>
          <w:color w:val="auto"/>
          <w:sz w:val="24"/>
          <w:szCs w:val="24"/>
        </w:rPr>
      </w:pPr>
      <w:r>
        <w:rPr>
          <w:rFonts w:hint="eastAsia" w:hAnsi="宋体" w:cs="宋体"/>
          <w:b/>
          <w:color w:val="auto"/>
          <w:sz w:val="24"/>
          <w:szCs w:val="24"/>
        </w:rPr>
        <w:t>五、与投诉事项相关的投诉请求：</w:t>
      </w:r>
    </w:p>
    <w:p w14:paraId="5A8E0AB2">
      <w:pPr>
        <w:pStyle w:val="15"/>
        <w:spacing w:line="360" w:lineRule="auto"/>
        <w:ind w:firstLine="472" w:firstLineChars="197"/>
        <w:rPr>
          <w:rFonts w:hAnsi="宋体" w:cs="宋体"/>
          <w:color w:val="auto"/>
          <w:sz w:val="24"/>
          <w:szCs w:val="24"/>
        </w:rPr>
      </w:pPr>
      <w:r>
        <w:rPr>
          <w:rFonts w:hint="eastAsia" w:hAnsi="宋体" w:cs="宋体"/>
          <w:color w:val="auto"/>
          <w:sz w:val="24"/>
          <w:szCs w:val="24"/>
        </w:rPr>
        <w:t>请求：</w:t>
      </w:r>
      <w:r>
        <w:rPr>
          <w:rFonts w:hint="eastAsia" w:hAnsi="宋体" w:cs="宋体"/>
          <w:bCs/>
          <w:color w:val="auto"/>
          <w:sz w:val="24"/>
          <w:szCs w:val="24"/>
          <w:u w:val="single"/>
        </w:rPr>
        <w:t xml:space="preserve">                                                                                 </w:t>
      </w:r>
    </w:p>
    <w:p w14:paraId="129A5503">
      <w:pPr>
        <w:pStyle w:val="15"/>
        <w:spacing w:line="360" w:lineRule="auto"/>
        <w:ind w:firstLine="352" w:firstLineChars="147"/>
        <w:rPr>
          <w:rFonts w:hAnsi="宋体" w:cs="宋体"/>
          <w:color w:val="auto"/>
          <w:sz w:val="24"/>
          <w:szCs w:val="24"/>
        </w:rPr>
      </w:pPr>
    </w:p>
    <w:p w14:paraId="45EB9056">
      <w:pPr>
        <w:pStyle w:val="15"/>
        <w:spacing w:line="360" w:lineRule="auto"/>
        <w:ind w:firstLine="472" w:firstLineChars="197"/>
        <w:rPr>
          <w:rFonts w:hAnsi="宋体" w:cs="宋体"/>
          <w:color w:val="auto"/>
          <w:sz w:val="24"/>
          <w:szCs w:val="24"/>
          <w:u w:val="single"/>
        </w:rPr>
      </w:pPr>
      <w:r>
        <w:rPr>
          <w:rFonts w:hint="eastAsia" w:hAnsi="宋体" w:cs="宋体"/>
          <w:color w:val="auto"/>
          <w:sz w:val="24"/>
          <w:szCs w:val="24"/>
        </w:rPr>
        <w:t>签字（签章）：</w:t>
      </w:r>
      <w:r>
        <w:rPr>
          <w:rFonts w:hint="eastAsia" w:hAnsi="宋体" w:cs="宋体"/>
          <w:color w:val="auto"/>
          <w:sz w:val="24"/>
          <w:szCs w:val="24"/>
          <w:u w:val="single"/>
        </w:rPr>
        <w:t xml:space="preserve"> </w:t>
      </w:r>
      <w:r>
        <w:rPr>
          <w:rFonts w:hAnsi="宋体" w:cs="宋体"/>
          <w:color w:val="auto"/>
          <w:sz w:val="24"/>
          <w:szCs w:val="24"/>
          <w:u w:val="single"/>
        </w:rPr>
        <w:t xml:space="preserve">            </w:t>
      </w:r>
      <w:r>
        <w:rPr>
          <w:rFonts w:hint="eastAsia" w:hAnsi="宋体" w:cs="宋体"/>
          <w:color w:val="auto"/>
          <w:sz w:val="24"/>
          <w:szCs w:val="24"/>
        </w:rPr>
        <w:t xml:space="preserve">                          公章：</w:t>
      </w:r>
      <w:r>
        <w:rPr>
          <w:rFonts w:hAnsi="宋体" w:cs="宋体"/>
          <w:color w:val="auto"/>
          <w:sz w:val="24"/>
          <w:szCs w:val="24"/>
          <w:u w:val="single"/>
        </w:rPr>
        <w:t xml:space="preserve">            </w:t>
      </w:r>
    </w:p>
    <w:p w14:paraId="558702EC">
      <w:pPr>
        <w:pStyle w:val="15"/>
        <w:spacing w:line="360" w:lineRule="auto"/>
        <w:ind w:firstLine="352" w:firstLineChars="147"/>
        <w:rPr>
          <w:rFonts w:hAnsi="宋体" w:cs="宋体"/>
          <w:color w:val="auto"/>
          <w:sz w:val="24"/>
          <w:szCs w:val="24"/>
        </w:rPr>
      </w:pPr>
    </w:p>
    <w:p w14:paraId="55EAF30C">
      <w:pPr>
        <w:pStyle w:val="15"/>
        <w:spacing w:line="360" w:lineRule="auto"/>
        <w:ind w:firstLine="472" w:firstLineChars="197"/>
        <w:rPr>
          <w:rFonts w:hAnsi="宋体" w:cs="宋体"/>
          <w:color w:val="auto"/>
          <w:sz w:val="24"/>
          <w:szCs w:val="24"/>
        </w:rPr>
      </w:pPr>
      <w:r>
        <w:rPr>
          <w:rFonts w:hint="eastAsia" w:hAnsi="宋体" w:cs="宋体"/>
          <w:color w:val="auto"/>
          <w:sz w:val="24"/>
          <w:szCs w:val="24"/>
        </w:rPr>
        <w:t>日期：</w:t>
      </w:r>
      <w:r>
        <w:rPr>
          <w:rFonts w:hint="eastAsia" w:hAnsi="宋体" w:cs="宋体"/>
          <w:bCs/>
          <w:color w:val="auto"/>
          <w:sz w:val="24"/>
          <w:szCs w:val="24"/>
        </w:rPr>
        <w:t xml:space="preserve">    </w:t>
      </w:r>
      <w:r>
        <w:rPr>
          <w:rFonts w:hint="eastAsia" w:cs="宋体" w:asciiTheme="minorEastAsia" w:hAnsiTheme="minorEastAsia" w:eastAsiaTheme="minorEastAsia"/>
          <w:color w:val="auto"/>
          <w:spacing w:val="20"/>
          <w:sz w:val="24"/>
          <w:u w:val="single"/>
        </w:rPr>
        <w:t xml:space="preserve"> </w:t>
      </w:r>
      <w:r>
        <w:rPr>
          <w:rFonts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年</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月</w:t>
      </w:r>
      <w:r>
        <w:rPr>
          <w:rFonts w:hint="eastAsia" w:cs="宋体" w:asciiTheme="minorEastAsia" w:hAnsiTheme="minorEastAsia" w:eastAsiaTheme="minorEastAsia"/>
          <w:color w:val="auto"/>
          <w:spacing w:val="20"/>
          <w:sz w:val="24"/>
          <w:u w:val="single"/>
        </w:rPr>
        <w:t xml:space="preserve">  </w:t>
      </w:r>
      <w:r>
        <w:rPr>
          <w:rFonts w:hint="eastAsia" w:cs="宋体" w:asciiTheme="minorEastAsia" w:hAnsiTheme="minorEastAsia" w:eastAsiaTheme="minorEastAsia"/>
          <w:color w:val="auto"/>
          <w:spacing w:val="20"/>
          <w:sz w:val="24"/>
        </w:rPr>
        <w:t>日</w:t>
      </w:r>
      <w:r>
        <w:rPr>
          <w:rFonts w:hint="eastAsia" w:cs="宋体" w:asciiTheme="minorEastAsia" w:hAnsiTheme="minorEastAsia" w:eastAsiaTheme="minorEastAsia"/>
          <w:bCs/>
          <w:color w:val="auto"/>
          <w:sz w:val="24"/>
          <w:szCs w:val="24"/>
        </w:rPr>
        <w:t xml:space="preserve"> </w:t>
      </w:r>
      <w:r>
        <w:rPr>
          <w:rFonts w:hint="eastAsia" w:hAnsi="宋体" w:cs="宋体"/>
          <w:bCs/>
          <w:color w:val="auto"/>
          <w:sz w:val="24"/>
          <w:szCs w:val="24"/>
        </w:rPr>
        <w:t xml:space="preserve">                                                        </w:t>
      </w:r>
    </w:p>
    <w:p w14:paraId="118EF3A3">
      <w:pPr>
        <w:pStyle w:val="15"/>
        <w:snapToGrid w:val="0"/>
        <w:spacing w:line="360" w:lineRule="auto"/>
        <w:rPr>
          <w:rFonts w:hAnsi="宋体" w:cs="宋体"/>
          <w:b/>
          <w:color w:val="auto"/>
          <w:sz w:val="24"/>
          <w:szCs w:val="24"/>
        </w:rPr>
      </w:pPr>
    </w:p>
    <w:p w14:paraId="1952D55E">
      <w:pPr>
        <w:pStyle w:val="15"/>
        <w:snapToGrid w:val="0"/>
        <w:spacing w:line="360" w:lineRule="auto"/>
        <w:rPr>
          <w:rFonts w:ascii="楷体" w:hAnsi="楷体" w:eastAsia="楷体" w:cs="宋体"/>
          <w:b/>
          <w:color w:val="auto"/>
          <w:sz w:val="24"/>
          <w:szCs w:val="24"/>
        </w:rPr>
      </w:pPr>
      <w:r>
        <w:rPr>
          <w:rFonts w:hint="eastAsia" w:ascii="楷体" w:hAnsi="楷体" w:eastAsia="楷体" w:cs="宋体"/>
          <w:b/>
          <w:color w:val="auto"/>
          <w:sz w:val="24"/>
          <w:szCs w:val="24"/>
        </w:rPr>
        <w:t>说明：</w:t>
      </w:r>
    </w:p>
    <w:p w14:paraId="79610D07">
      <w:pPr>
        <w:pStyle w:val="15"/>
        <w:spacing w:line="360" w:lineRule="auto"/>
        <w:ind w:firstLine="354" w:firstLineChars="147"/>
        <w:rPr>
          <w:rFonts w:ascii="楷体" w:hAnsi="楷体" w:eastAsia="楷体" w:cs="宋体"/>
          <w:b/>
          <w:bCs/>
          <w:color w:val="auto"/>
          <w:sz w:val="24"/>
          <w:szCs w:val="24"/>
        </w:rPr>
      </w:pPr>
      <w:r>
        <w:rPr>
          <w:rFonts w:ascii="楷体" w:hAnsi="楷体" w:eastAsia="楷体" w:cs="宋体"/>
          <w:b/>
          <w:color w:val="auto"/>
          <w:sz w:val="24"/>
          <w:szCs w:val="24"/>
        </w:rPr>
        <w:t>1.投诉人提起投诉时，应当提交投诉书和必要的证明材料，并按照被投诉人和与投诉事项有关的供应商数量提供投诉书副本</w:t>
      </w:r>
      <w:r>
        <w:rPr>
          <w:rFonts w:hint="eastAsia" w:ascii="楷体" w:hAnsi="楷体" w:eastAsia="楷体" w:cs="宋体"/>
          <w:b/>
          <w:bCs/>
          <w:color w:val="auto"/>
          <w:sz w:val="24"/>
          <w:szCs w:val="24"/>
        </w:rPr>
        <w:t>。</w:t>
      </w:r>
    </w:p>
    <w:p w14:paraId="7633FC75">
      <w:pPr>
        <w:pStyle w:val="15"/>
        <w:spacing w:line="360" w:lineRule="auto"/>
        <w:ind w:firstLine="354" w:firstLineChars="147"/>
        <w:rPr>
          <w:rFonts w:ascii="楷体" w:hAnsi="楷体" w:eastAsia="楷体" w:cs="宋体"/>
          <w:b/>
          <w:color w:val="auto"/>
          <w:sz w:val="24"/>
          <w:szCs w:val="24"/>
        </w:rPr>
      </w:pPr>
      <w:r>
        <w:rPr>
          <w:rFonts w:ascii="楷体" w:hAnsi="楷体" w:eastAsia="楷体" w:cs="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DD0F4D6">
      <w:pPr>
        <w:pStyle w:val="15"/>
        <w:spacing w:line="360" w:lineRule="auto"/>
        <w:ind w:firstLine="354" w:firstLineChars="147"/>
        <w:rPr>
          <w:rFonts w:ascii="楷体" w:hAnsi="楷体" w:eastAsia="楷体" w:cs="宋体"/>
          <w:b/>
          <w:color w:val="auto"/>
          <w:sz w:val="24"/>
          <w:szCs w:val="24"/>
        </w:rPr>
      </w:pPr>
      <w:r>
        <w:rPr>
          <w:rFonts w:ascii="楷体" w:hAnsi="楷体" w:eastAsia="楷体" w:cs="宋体"/>
          <w:b/>
          <w:color w:val="auto"/>
          <w:sz w:val="24"/>
          <w:szCs w:val="24"/>
        </w:rPr>
        <w:t>3.投诉书应简要列明质疑事项，质疑函、质疑答复等作为附件材料提供。</w:t>
      </w:r>
    </w:p>
    <w:p w14:paraId="22726C06">
      <w:pPr>
        <w:pStyle w:val="15"/>
        <w:spacing w:line="360" w:lineRule="auto"/>
        <w:ind w:firstLine="354" w:firstLineChars="147"/>
        <w:rPr>
          <w:rFonts w:ascii="楷体" w:hAnsi="楷体" w:eastAsia="楷体" w:cs="宋体"/>
          <w:b/>
          <w:color w:val="auto"/>
          <w:sz w:val="24"/>
          <w:szCs w:val="24"/>
        </w:rPr>
      </w:pPr>
      <w:r>
        <w:rPr>
          <w:rFonts w:ascii="楷体" w:hAnsi="楷体" w:eastAsia="楷体" w:cs="宋体"/>
          <w:b/>
          <w:color w:val="auto"/>
          <w:sz w:val="24"/>
          <w:szCs w:val="24"/>
        </w:rPr>
        <w:t>4.投诉书的投诉事项应具体、明确，并有必要的事实依据和法律依据。</w:t>
      </w:r>
    </w:p>
    <w:p w14:paraId="6485F136">
      <w:pPr>
        <w:pStyle w:val="15"/>
        <w:spacing w:line="360" w:lineRule="auto"/>
        <w:ind w:firstLine="354" w:firstLineChars="147"/>
        <w:rPr>
          <w:rFonts w:ascii="楷体" w:hAnsi="楷体" w:eastAsia="楷体" w:cs="宋体"/>
          <w:b/>
          <w:color w:val="auto"/>
          <w:sz w:val="24"/>
          <w:szCs w:val="24"/>
        </w:rPr>
      </w:pPr>
      <w:r>
        <w:rPr>
          <w:rFonts w:ascii="楷体" w:hAnsi="楷体" w:eastAsia="楷体" w:cs="宋体"/>
          <w:b/>
          <w:color w:val="auto"/>
          <w:sz w:val="24"/>
          <w:szCs w:val="24"/>
        </w:rPr>
        <w:t>5.投诉书的投诉请求应与投诉事项相关。</w:t>
      </w:r>
    </w:p>
    <w:p w14:paraId="47146ECA">
      <w:pPr>
        <w:pStyle w:val="15"/>
        <w:spacing w:line="360" w:lineRule="auto"/>
        <w:ind w:firstLine="354" w:firstLineChars="147"/>
        <w:rPr>
          <w:rFonts w:ascii="楷体" w:hAnsi="楷体" w:eastAsia="楷体" w:cs="宋体"/>
          <w:b/>
          <w:color w:val="auto"/>
          <w:sz w:val="24"/>
          <w:szCs w:val="24"/>
        </w:rPr>
      </w:pPr>
      <w:r>
        <w:rPr>
          <w:rFonts w:ascii="楷体" w:hAnsi="楷体" w:eastAsia="楷体" w:cs="宋体"/>
          <w:b/>
          <w:color w:val="auto"/>
          <w:sz w:val="24"/>
          <w:szCs w:val="24"/>
        </w:rPr>
        <w:t>6.投诉人为法人或者其他组织的，投诉书应由法定代表人、主要负责人，或者其授权代表签字或者盖章，并加盖公章。</w:t>
      </w:r>
    </w:p>
    <w:p w14:paraId="7108C0B1">
      <w:pPr>
        <w:pStyle w:val="2"/>
        <w:spacing w:before="0" w:after="0" w:line="360" w:lineRule="auto"/>
        <w:jc w:val="center"/>
        <w:rPr>
          <w:rFonts w:ascii="宋体" w:hAnsi="宋体" w:cs="宋体"/>
          <w:color w:val="auto"/>
        </w:rPr>
      </w:pPr>
      <w:bookmarkStart w:id="44" w:name="_Toc27857"/>
      <w:r>
        <w:rPr>
          <w:rFonts w:hint="eastAsia" w:ascii="宋体" w:hAnsi="宋体" w:cs="宋体"/>
          <w:color w:val="auto"/>
        </w:rPr>
        <w:t xml:space="preserve">第六章 </w:t>
      </w:r>
      <w:bookmarkStart w:id="45" w:name="合同文本分标1和3"/>
      <w:r>
        <w:rPr>
          <w:rFonts w:hint="eastAsia" w:ascii="宋体" w:hAnsi="宋体" w:cs="宋体"/>
          <w:color w:val="auto"/>
        </w:rPr>
        <w:t>合同文本</w:t>
      </w:r>
      <w:bookmarkEnd w:id="44"/>
      <w:bookmarkEnd w:id="45"/>
    </w:p>
    <w:p w14:paraId="18F56106">
      <w:pPr>
        <w:adjustRightInd w:val="0"/>
        <w:snapToGrid w:val="0"/>
        <w:spacing w:line="360" w:lineRule="auto"/>
        <w:ind w:firstLine="420" w:firstLineChars="200"/>
        <w:rPr>
          <w:rFonts w:ascii="宋体" w:hAnsi="宋体" w:cs="宋体"/>
          <w:color w:val="auto"/>
          <w:szCs w:val="21"/>
        </w:rPr>
      </w:pPr>
    </w:p>
    <w:p w14:paraId="509529DF">
      <w:pPr>
        <w:spacing w:line="360" w:lineRule="auto"/>
        <w:jc w:val="cente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一般货物类</w:t>
      </w:r>
      <w:r>
        <w:rPr>
          <w:rFonts w:hint="eastAsia" w:ascii="宋体" w:hAnsi="宋体" w:cs="宋体"/>
          <w:b/>
          <w:color w:val="auto"/>
          <w:sz w:val="32"/>
          <w:szCs w:val="32"/>
          <w:highlight w:val="none"/>
          <w:lang w:eastAsia="zh-CN"/>
        </w:rPr>
        <w:t>（</w:t>
      </w:r>
      <w:r>
        <w:rPr>
          <w:rFonts w:hint="eastAsia" w:ascii="宋体" w:hAnsi="宋体" w:cs="宋体"/>
          <w:b/>
          <w:color w:val="auto"/>
          <w:sz w:val="32"/>
          <w:szCs w:val="32"/>
          <w:highlight w:val="none"/>
          <w:lang w:val="en-US" w:eastAsia="zh-CN"/>
        </w:rPr>
        <w:t>适用分标1、3）</w:t>
      </w:r>
    </w:p>
    <w:p w14:paraId="057433BF">
      <w:pPr>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项目名称：</w:t>
      </w:r>
    </w:p>
    <w:p w14:paraId="55F1D0CC">
      <w:pPr>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合同编号：GXZC2026-J1-000***</w:t>
      </w:r>
      <w:r>
        <w:rPr>
          <w:rFonts w:ascii="宋体" w:hAnsi="宋体" w:cs="宋体"/>
          <w:color w:val="auto"/>
          <w:sz w:val="21"/>
          <w:szCs w:val="21"/>
          <w:highlight w:val="none"/>
        </w:rPr>
        <w:t>-</w:t>
      </w:r>
      <w:r>
        <w:rPr>
          <w:rFonts w:hint="eastAsia" w:ascii="宋体" w:hAnsi="宋体" w:cs="宋体"/>
          <w:color w:val="auto"/>
          <w:sz w:val="21"/>
          <w:szCs w:val="21"/>
          <w:highlight w:val="none"/>
        </w:rPr>
        <w:t>****</w:t>
      </w:r>
    </w:p>
    <w:p w14:paraId="38E3F49B">
      <w:pPr>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采购人（甲方）：</w:t>
      </w:r>
      <w:r>
        <w:rPr>
          <w:rFonts w:hint="eastAsia" w:ascii="宋体" w:hAnsi="宋体" w:cs="宋体"/>
          <w:color w:val="auto"/>
          <w:sz w:val="21"/>
          <w:szCs w:val="21"/>
          <w:highlight w:val="none"/>
          <w:lang w:eastAsia="zh-CN"/>
        </w:rPr>
        <w:t>广西幼儿师范高等专科学校</w:t>
      </w:r>
      <w:r>
        <w:rPr>
          <w:rFonts w:hint="eastAsia" w:ascii="宋体" w:hAnsi="宋体" w:cs="宋体"/>
          <w:color w:val="auto"/>
          <w:sz w:val="21"/>
          <w:szCs w:val="21"/>
          <w:highlight w:val="none"/>
        </w:rPr>
        <w:t xml:space="preserve">                      </w:t>
      </w:r>
    </w:p>
    <w:p w14:paraId="1C2BB7A0">
      <w:pPr>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供应商（乙方）：   </w:t>
      </w:r>
    </w:p>
    <w:p w14:paraId="54303C62">
      <w:pPr>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项目编号：</w:t>
      </w:r>
      <w:r>
        <w:rPr>
          <w:rFonts w:ascii="宋体" w:hAnsi="宋体" w:cs="宋体"/>
          <w:color w:val="auto"/>
          <w:sz w:val="21"/>
          <w:szCs w:val="21"/>
          <w:highlight w:val="none"/>
          <w:u w:val="single"/>
        </w:rPr>
        <w:t>GXZC20</w:t>
      </w:r>
      <w:r>
        <w:rPr>
          <w:rFonts w:hint="eastAsia" w:ascii="宋体" w:hAnsi="宋体" w:cs="宋体"/>
          <w:color w:val="auto"/>
          <w:sz w:val="21"/>
          <w:szCs w:val="21"/>
          <w:highlight w:val="none"/>
          <w:u w:val="single"/>
        </w:rPr>
        <w:t>26</w:t>
      </w:r>
      <w:r>
        <w:rPr>
          <w:rFonts w:ascii="宋体" w:hAnsi="宋体" w:cs="宋体"/>
          <w:color w:val="auto"/>
          <w:sz w:val="21"/>
          <w:szCs w:val="21"/>
          <w:highlight w:val="none"/>
          <w:u w:val="single"/>
        </w:rPr>
        <w:t>-J1-000***-****</w:t>
      </w:r>
    </w:p>
    <w:p w14:paraId="59894B79">
      <w:pPr>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签订地点：</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032152ED">
      <w:pPr>
        <w:snapToGrid w:val="0"/>
        <w:spacing w:line="4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本合同为中小企业预留合同：（是</w:t>
      </w:r>
      <w:r>
        <w:rPr>
          <w:rFonts w:hint="eastAsia" w:ascii="黑体" w:hAnsi="黑体" w:eastAsia="黑体" w:cs="宋体"/>
          <w:b/>
          <w:color w:val="auto"/>
          <w:sz w:val="21"/>
          <w:szCs w:val="21"/>
          <w:highlight w:val="none"/>
        </w:rPr>
        <w:t>□</w:t>
      </w:r>
      <w:r>
        <w:rPr>
          <w:rFonts w:hint="eastAsia" w:ascii="宋体" w:hAnsi="宋体" w:cs="宋体"/>
          <w:color w:val="auto"/>
          <w:sz w:val="21"/>
          <w:szCs w:val="21"/>
          <w:highlight w:val="none"/>
        </w:rPr>
        <w:t>/否</w:t>
      </w:r>
      <w:r>
        <w:rPr>
          <w:rFonts w:hint="eastAsia" w:ascii="黑体" w:hAnsi="黑体" w:eastAsia="黑体" w:cs="宋体"/>
          <w:b/>
          <w:color w:val="auto"/>
          <w:sz w:val="21"/>
          <w:szCs w:val="21"/>
          <w:highlight w:val="none"/>
        </w:rPr>
        <w:t>□</w:t>
      </w:r>
      <w:r>
        <w:rPr>
          <w:rFonts w:hint="eastAsia" w:ascii="宋体" w:hAnsi="宋体" w:cs="宋体"/>
          <w:color w:val="auto"/>
          <w:sz w:val="21"/>
          <w:szCs w:val="21"/>
          <w:highlight w:val="none"/>
        </w:rPr>
        <w:t>）</w:t>
      </w:r>
    </w:p>
    <w:p w14:paraId="30770C24">
      <w:pPr>
        <w:pStyle w:val="40"/>
        <w:rPr>
          <w:color w:val="auto"/>
          <w:sz w:val="21"/>
          <w:szCs w:val="21"/>
          <w:highlight w:val="none"/>
        </w:rPr>
      </w:pPr>
    </w:p>
    <w:p w14:paraId="621983D7">
      <w:pPr>
        <w:snapToGrid w:val="0"/>
        <w:spacing w:line="360" w:lineRule="auto"/>
        <w:ind w:firstLine="420" w:firstLineChars="200"/>
        <w:rPr>
          <w:rFonts w:hint="eastAsia" w:ascii="宋体" w:hAnsi="宋体" w:cs="宋体"/>
          <w:color w:val="auto"/>
          <w:sz w:val="21"/>
          <w:szCs w:val="21"/>
          <w:highlight w:val="none"/>
        </w:rPr>
      </w:pPr>
      <w:bookmarkStart w:id="46" w:name="_Hlk55381736"/>
    </w:p>
    <w:p w14:paraId="07E3B9E2">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根据《中华人民共和国政府采购法》《中华人民共和国民法典》等法律、法规规定，按照竞争性谈判采购文件规定条款和成交供应商承诺，甲乙双方签订本合同。</w:t>
      </w:r>
    </w:p>
    <w:p w14:paraId="465EC05C">
      <w:pPr>
        <w:snapToGrid w:val="0"/>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第一条　合同标的</w:t>
      </w:r>
    </w:p>
    <w:p w14:paraId="3C06582C">
      <w:pPr>
        <w:snapToGrid w:val="0"/>
        <w:spacing w:line="360" w:lineRule="auto"/>
        <w:ind w:firstLine="420" w:firstLineChars="200"/>
        <w:rPr>
          <w:rFonts w:hint="eastAsia" w:ascii="宋体" w:hAnsi="宋体" w:cs="宋体"/>
          <w:b/>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供货一览表</w:t>
      </w:r>
    </w:p>
    <w:tbl>
      <w:tblPr>
        <w:tblStyle w:val="27"/>
        <w:tblW w:w="10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1134"/>
        <w:gridCol w:w="1276"/>
        <w:gridCol w:w="1134"/>
        <w:gridCol w:w="992"/>
        <w:gridCol w:w="709"/>
        <w:gridCol w:w="830"/>
        <w:gridCol w:w="1722"/>
        <w:gridCol w:w="1276"/>
      </w:tblGrid>
      <w:tr w14:paraId="4669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9" w:type="dxa"/>
            <w:vAlign w:val="center"/>
          </w:tcPr>
          <w:p w14:paraId="5A716627">
            <w:pPr>
              <w:snapToGrid w:val="0"/>
              <w:spacing w:line="46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1034" w:type="dxa"/>
            <w:vAlign w:val="center"/>
          </w:tcPr>
          <w:p w14:paraId="4B68BBA9">
            <w:pPr>
              <w:snapToGrid w:val="0"/>
              <w:spacing w:line="46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标的名称</w:t>
            </w:r>
          </w:p>
        </w:tc>
        <w:tc>
          <w:tcPr>
            <w:tcW w:w="1134" w:type="dxa"/>
            <w:vAlign w:val="center"/>
          </w:tcPr>
          <w:p w14:paraId="0BF425E7">
            <w:pPr>
              <w:snapToGrid w:val="0"/>
              <w:spacing w:line="46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商标品牌</w:t>
            </w:r>
          </w:p>
        </w:tc>
        <w:tc>
          <w:tcPr>
            <w:tcW w:w="1276" w:type="dxa"/>
            <w:vAlign w:val="center"/>
          </w:tcPr>
          <w:p w14:paraId="305ECAC9">
            <w:pPr>
              <w:snapToGrid w:val="0"/>
              <w:spacing w:line="46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规格型号</w:t>
            </w:r>
          </w:p>
        </w:tc>
        <w:tc>
          <w:tcPr>
            <w:tcW w:w="1134" w:type="dxa"/>
            <w:vAlign w:val="center"/>
          </w:tcPr>
          <w:p w14:paraId="3F965FE1">
            <w:pPr>
              <w:snapToGrid w:val="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生产厂家</w:t>
            </w:r>
          </w:p>
        </w:tc>
        <w:tc>
          <w:tcPr>
            <w:tcW w:w="992" w:type="dxa"/>
            <w:vAlign w:val="center"/>
          </w:tcPr>
          <w:p w14:paraId="06E912EF">
            <w:pPr>
              <w:snapToGrid w:val="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产地</w:t>
            </w:r>
          </w:p>
        </w:tc>
        <w:tc>
          <w:tcPr>
            <w:tcW w:w="709" w:type="dxa"/>
            <w:vAlign w:val="center"/>
          </w:tcPr>
          <w:p w14:paraId="36880649">
            <w:pPr>
              <w:snapToGrid w:val="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数  量</w:t>
            </w:r>
          </w:p>
        </w:tc>
        <w:tc>
          <w:tcPr>
            <w:tcW w:w="830" w:type="dxa"/>
            <w:vAlign w:val="center"/>
          </w:tcPr>
          <w:p w14:paraId="1B65DF7C">
            <w:pPr>
              <w:snapToGrid w:val="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单位</w:t>
            </w:r>
          </w:p>
        </w:tc>
        <w:tc>
          <w:tcPr>
            <w:tcW w:w="1722" w:type="dxa"/>
            <w:vAlign w:val="center"/>
          </w:tcPr>
          <w:p w14:paraId="2E3B5E08">
            <w:pPr>
              <w:snapToGrid w:val="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单  价</w:t>
            </w:r>
          </w:p>
          <w:p w14:paraId="36932569">
            <w:pPr>
              <w:snapToGrid w:val="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（元/人民币）</w:t>
            </w:r>
          </w:p>
        </w:tc>
        <w:tc>
          <w:tcPr>
            <w:tcW w:w="1276" w:type="dxa"/>
            <w:vAlign w:val="center"/>
          </w:tcPr>
          <w:p w14:paraId="460EF214">
            <w:pPr>
              <w:snapToGrid w:val="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单项合计（元/人民币）</w:t>
            </w:r>
          </w:p>
        </w:tc>
      </w:tr>
      <w:tr w14:paraId="254B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630FAD3D">
            <w:pPr>
              <w:snapToGrid w:val="0"/>
              <w:spacing w:line="4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w:t>
            </w:r>
          </w:p>
        </w:tc>
        <w:tc>
          <w:tcPr>
            <w:tcW w:w="1034" w:type="dxa"/>
            <w:vAlign w:val="center"/>
          </w:tcPr>
          <w:p w14:paraId="6B75D5F3">
            <w:pPr>
              <w:snapToGrid w:val="0"/>
              <w:spacing w:line="460" w:lineRule="exact"/>
              <w:jc w:val="center"/>
              <w:rPr>
                <w:rFonts w:hint="eastAsia" w:ascii="宋体" w:hAnsi="宋体" w:cs="宋体"/>
                <w:color w:val="auto"/>
                <w:sz w:val="21"/>
                <w:szCs w:val="21"/>
                <w:highlight w:val="none"/>
              </w:rPr>
            </w:pPr>
          </w:p>
        </w:tc>
        <w:tc>
          <w:tcPr>
            <w:tcW w:w="1134" w:type="dxa"/>
            <w:vAlign w:val="center"/>
          </w:tcPr>
          <w:p w14:paraId="229DAE7C">
            <w:pPr>
              <w:snapToGrid w:val="0"/>
              <w:spacing w:line="460" w:lineRule="exact"/>
              <w:jc w:val="center"/>
              <w:rPr>
                <w:rFonts w:hint="eastAsia" w:ascii="宋体" w:hAnsi="宋体" w:cs="宋体"/>
                <w:color w:val="auto"/>
                <w:sz w:val="21"/>
                <w:szCs w:val="21"/>
                <w:highlight w:val="none"/>
              </w:rPr>
            </w:pPr>
          </w:p>
        </w:tc>
        <w:tc>
          <w:tcPr>
            <w:tcW w:w="1276" w:type="dxa"/>
            <w:vAlign w:val="center"/>
          </w:tcPr>
          <w:p w14:paraId="163B9168">
            <w:pPr>
              <w:snapToGrid w:val="0"/>
              <w:spacing w:line="460" w:lineRule="exact"/>
              <w:jc w:val="center"/>
              <w:rPr>
                <w:rFonts w:hint="eastAsia" w:ascii="宋体" w:hAnsi="宋体" w:cs="宋体"/>
                <w:color w:val="auto"/>
                <w:sz w:val="21"/>
                <w:szCs w:val="21"/>
                <w:highlight w:val="none"/>
              </w:rPr>
            </w:pPr>
          </w:p>
        </w:tc>
        <w:tc>
          <w:tcPr>
            <w:tcW w:w="1134" w:type="dxa"/>
          </w:tcPr>
          <w:p w14:paraId="06460BC4">
            <w:pPr>
              <w:snapToGrid w:val="0"/>
              <w:spacing w:line="460" w:lineRule="exact"/>
              <w:jc w:val="center"/>
              <w:rPr>
                <w:rFonts w:hint="eastAsia" w:ascii="宋体" w:hAnsi="宋体" w:cs="宋体"/>
                <w:color w:val="auto"/>
                <w:sz w:val="21"/>
                <w:szCs w:val="21"/>
                <w:highlight w:val="none"/>
              </w:rPr>
            </w:pPr>
          </w:p>
        </w:tc>
        <w:tc>
          <w:tcPr>
            <w:tcW w:w="992" w:type="dxa"/>
            <w:vAlign w:val="center"/>
          </w:tcPr>
          <w:p w14:paraId="483E0E88">
            <w:pPr>
              <w:snapToGrid w:val="0"/>
              <w:spacing w:line="460" w:lineRule="exact"/>
              <w:jc w:val="center"/>
              <w:rPr>
                <w:rFonts w:hint="eastAsia" w:ascii="宋体" w:hAnsi="宋体" w:cs="宋体"/>
                <w:color w:val="auto"/>
                <w:sz w:val="21"/>
                <w:szCs w:val="21"/>
                <w:highlight w:val="none"/>
              </w:rPr>
            </w:pPr>
          </w:p>
        </w:tc>
        <w:tc>
          <w:tcPr>
            <w:tcW w:w="709" w:type="dxa"/>
            <w:vAlign w:val="center"/>
          </w:tcPr>
          <w:p w14:paraId="0FC05751">
            <w:pPr>
              <w:snapToGrid w:val="0"/>
              <w:spacing w:line="460" w:lineRule="exact"/>
              <w:jc w:val="center"/>
              <w:rPr>
                <w:rFonts w:hint="eastAsia" w:ascii="宋体" w:hAnsi="宋体" w:cs="宋体"/>
                <w:color w:val="auto"/>
                <w:sz w:val="21"/>
                <w:szCs w:val="21"/>
                <w:highlight w:val="none"/>
              </w:rPr>
            </w:pPr>
          </w:p>
        </w:tc>
        <w:tc>
          <w:tcPr>
            <w:tcW w:w="830" w:type="dxa"/>
          </w:tcPr>
          <w:p w14:paraId="60E28515">
            <w:pPr>
              <w:snapToGrid w:val="0"/>
              <w:spacing w:line="460" w:lineRule="exact"/>
              <w:jc w:val="center"/>
              <w:rPr>
                <w:rFonts w:hint="eastAsia" w:ascii="宋体" w:hAnsi="宋体" w:cs="宋体"/>
                <w:color w:val="auto"/>
                <w:sz w:val="21"/>
                <w:szCs w:val="21"/>
                <w:highlight w:val="none"/>
              </w:rPr>
            </w:pPr>
          </w:p>
        </w:tc>
        <w:tc>
          <w:tcPr>
            <w:tcW w:w="1722" w:type="dxa"/>
            <w:vAlign w:val="center"/>
          </w:tcPr>
          <w:p w14:paraId="6D185B7B">
            <w:pPr>
              <w:snapToGrid w:val="0"/>
              <w:spacing w:line="460" w:lineRule="exact"/>
              <w:jc w:val="center"/>
              <w:rPr>
                <w:rFonts w:hint="eastAsia" w:ascii="宋体" w:hAnsi="宋体" w:cs="宋体"/>
                <w:color w:val="auto"/>
                <w:sz w:val="21"/>
                <w:szCs w:val="21"/>
                <w:highlight w:val="none"/>
              </w:rPr>
            </w:pPr>
          </w:p>
        </w:tc>
        <w:tc>
          <w:tcPr>
            <w:tcW w:w="1276" w:type="dxa"/>
          </w:tcPr>
          <w:p w14:paraId="5A7A6A41">
            <w:pPr>
              <w:snapToGrid w:val="0"/>
              <w:spacing w:line="460" w:lineRule="exact"/>
              <w:jc w:val="center"/>
              <w:rPr>
                <w:rFonts w:hint="eastAsia" w:ascii="宋体" w:hAnsi="宋体" w:cs="宋体"/>
                <w:color w:val="auto"/>
                <w:sz w:val="21"/>
                <w:szCs w:val="21"/>
                <w:highlight w:val="none"/>
              </w:rPr>
            </w:pPr>
          </w:p>
        </w:tc>
      </w:tr>
      <w:tr w14:paraId="2AA6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4E417B9F">
            <w:pPr>
              <w:snapToGrid w:val="0"/>
              <w:spacing w:line="460" w:lineRule="exact"/>
              <w:jc w:val="center"/>
              <w:rPr>
                <w:rFonts w:hint="eastAsia" w:ascii="宋体" w:hAnsi="宋体" w:cs="宋体"/>
                <w:color w:val="auto"/>
                <w:sz w:val="21"/>
                <w:szCs w:val="21"/>
                <w:highlight w:val="none"/>
              </w:rPr>
            </w:pPr>
          </w:p>
        </w:tc>
        <w:tc>
          <w:tcPr>
            <w:tcW w:w="1034" w:type="dxa"/>
            <w:vAlign w:val="center"/>
          </w:tcPr>
          <w:p w14:paraId="41305DCD">
            <w:pPr>
              <w:snapToGrid w:val="0"/>
              <w:spacing w:line="460" w:lineRule="exact"/>
              <w:jc w:val="center"/>
              <w:rPr>
                <w:rFonts w:hint="eastAsia" w:ascii="宋体" w:hAnsi="宋体" w:cs="宋体"/>
                <w:color w:val="auto"/>
                <w:sz w:val="21"/>
                <w:szCs w:val="21"/>
                <w:highlight w:val="none"/>
              </w:rPr>
            </w:pPr>
          </w:p>
        </w:tc>
        <w:tc>
          <w:tcPr>
            <w:tcW w:w="1134" w:type="dxa"/>
            <w:vAlign w:val="center"/>
          </w:tcPr>
          <w:p w14:paraId="778B4F8B">
            <w:pPr>
              <w:snapToGrid w:val="0"/>
              <w:spacing w:line="460" w:lineRule="exact"/>
              <w:jc w:val="center"/>
              <w:rPr>
                <w:rFonts w:hint="eastAsia" w:ascii="宋体" w:hAnsi="宋体" w:cs="宋体"/>
                <w:color w:val="auto"/>
                <w:sz w:val="21"/>
                <w:szCs w:val="21"/>
                <w:highlight w:val="none"/>
              </w:rPr>
            </w:pPr>
          </w:p>
        </w:tc>
        <w:tc>
          <w:tcPr>
            <w:tcW w:w="1276" w:type="dxa"/>
            <w:vAlign w:val="center"/>
          </w:tcPr>
          <w:p w14:paraId="3677920A">
            <w:pPr>
              <w:snapToGrid w:val="0"/>
              <w:spacing w:line="460" w:lineRule="exact"/>
              <w:jc w:val="center"/>
              <w:rPr>
                <w:rFonts w:hint="eastAsia" w:ascii="宋体" w:hAnsi="宋体" w:cs="宋体"/>
                <w:color w:val="auto"/>
                <w:sz w:val="21"/>
                <w:szCs w:val="21"/>
                <w:highlight w:val="none"/>
              </w:rPr>
            </w:pPr>
          </w:p>
        </w:tc>
        <w:tc>
          <w:tcPr>
            <w:tcW w:w="1134" w:type="dxa"/>
          </w:tcPr>
          <w:p w14:paraId="242A5DEE">
            <w:pPr>
              <w:snapToGrid w:val="0"/>
              <w:spacing w:line="460" w:lineRule="exact"/>
              <w:jc w:val="center"/>
              <w:rPr>
                <w:rFonts w:hint="eastAsia" w:ascii="宋体" w:hAnsi="宋体" w:cs="宋体"/>
                <w:color w:val="auto"/>
                <w:sz w:val="21"/>
                <w:szCs w:val="21"/>
                <w:highlight w:val="none"/>
              </w:rPr>
            </w:pPr>
          </w:p>
        </w:tc>
        <w:tc>
          <w:tcPr>
            <w:tcW w:w="992" w:type="dxa"/>
            <w:vAlign w:val="center"/>
          </w:tcPr>
          <w:p w14:paraId="08623434">
            <w:pPr>
              <w:snapToGrid w:val="0"/>
              <w:spacing w:line="460" w:lineRule="exact"/>
              <w:jc w:val="center"/>
              <w:rPr>
                <w:rFonts w:hint="eastAsia" w:ascii="宋体" w:hAnsi="宋体" w:cs="宋体"/>
                <w:color w:val="auto"/>
                <w:sz w:val="21"/>
                <w:szCs w:val="21"/>
                <w:highlight w:val="none"/>
              </w:rPr>
            </w:pPr>
          </w:p>
        </w:tc>
        <w:tc>
          <w:tcPr>
            <w:tcW w:w="709" w:type="dxa"/>
            <w:vAlign w:val="center"/>
          </w:tcPr>
          <w:p w14:paraId="3A795FF8">
            <w:pPr>
              <w:snapToGrid w:val="0"/>
              <w:spacing w:line="460" w:lineRule="exact"/>
              <w:jc w:val="center"/>
              <w:rPr>
                <w:rFonts w:hint="eastAsia" w:ascii="宋体" w:hAnsi="宋体" w:cs="宋体"/>
                <w:color w:val="auto"/>
                <w:sz w:val="21"/>
                <w:szCs w:val="21"/>
                <w:highlight w:val="none"/>
              </w:rPr>
            </w:pPr>
          </w:p>
        </w:tc>
        <w:tc>
          <w:tcPr>
            <w:tcW w:w="830" w:type="dxa"/>
          </w:tcPr>
          <w:p w14:paraId="5D6385F5">
            <w:pPr>
              <w:snapToGrid w:val="0"/>
              <w:spacing w:line="460" w:lineRule="exact"/>
              <w:jc w:val="center"/>
              <w:rPr>
                <w:rFonts w:hint="eastAsia" w:ascii="宋体" w:hAnsi="宋体" w:cs="宋体"/>
                <w:color w:val="auto"/>
                <w:sz w:val="21"/>
                <w:szCs w:val="21"/>
                <w:highlight w:val="none"/>
              </w:rPr>
            </w:pPr>
          </w:p>
        </w:tc>
        <w:tc>
          <w:tcPr>
            <w:tcW w:w="1722" w:type="dxa"/>
            <w:vAlign w:val="center"/>
          </w:tcPr>
          <w:p w14:paraId="4E16F22D">
            <w:pPr>
              <w:snapToGrid w:val="0"/>
              <w:spacing w:line="460" w:lineRule="exact"/>
              <w:jc w:val="center"/>
              <w:rPr>
                <w:rFonts w:hint="eastAsia" w:ascii="宋体" w:hAnsi="宋体" w:cs="宋体"/>
                <w:color w:val="auto"/>
                <w:sz w:val="21"/>
                <w:szCs w:val="21"/>
                <w:highlight w:val="none"/>
              </w:rPr>
            </w:pPr>
          </w:p>
        </w:tc>
        <w:tc>
          <w:tcPr>
            <w:tcW w:w="1276" w:type="dxa"/>
          </w:tcPr>
          <w:p w14:paraId="615590F2">
            <w:pPr>
              <w:snapToGrid w:val="0"/>
              <w:spacing w:line="460" w:lineRule="exact"/>
              <w:jc w:val="center"/>
              <w:rPr>
                <w:rFonts w:hint="eastAsia" w:ascii="宋体" w:hAnsi="宋体" w:cs="宋体"/>
                <w:color w:val="auto"/>
                <w:sz w:val="21"/>
                <w:szCs w:val="21"/>
                <w:highlight w:val="none"/>
              </w:rPr>
            </w:pPr>
          </w:p>
        </w:tc>
      </w:tr>
      <w:tr w14:paraId="21D7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10816" w:type="dxa"/>
            <w:gridSpan w:val="10"/>
          </w:tcPr>
          <w:p w14:paraId="5114B105">
            <w:pPr>
              <w:snapToGrid w:val="0"/>
              <w:spacing w:line="460" w:lineRule="exact"/>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合计金额（人民币大写</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b/>
                <w:bCs/>
                <w:color w:val="auto"/>
                <w:sz w:val="21"/>
                <w:szCs w:val="21"/>
                <w:highlight w:val="none"/>
                <w:u w:val="single"/>
              </w:rPr>
              <w:t xml:space="preserve"> </w:t>
            </w:r>
            <w:r>
              <w:rPr>
                <w:rFonts w:ascii="宋体" w:hAnsi="宋体" w:cs="宋体"/>
                <w:b/>
                <w:bCs/>
                <w:color w:val="auto"/>
                <w:sz w:val="21"/>
                <w:szCs w:val="21"/>
                <w:highlight w:val="none"/>
                <w:u w:val="single"/>
              </w:rPr>
              <w:t xml:space="preserve">            </w:t>
            </w:r>
            <w:r>
              <w:rPr>
                <w:rFonts w:ascii="宋体" w:hAnsi="宋体" w:cs="宋体"/>
                <w:bCs/>
                <w:color w:val="auto"/>
                <w:sz w:val="21"/>
                <w:szCs w:val="21"/>
                <w:highlight w:val="none"/>
                <w:u w:val="single"/>
              </w:rPr>
              <w:t xml:space="preserve"> </w:t>
            </w:r>
            <w:r>
              <w:rPr>
                <w:rFonts w:hint="eastAsia" w:ascii="宋体" w:hAnsi="宋体" w:cs="宋体"/>
                <w:bCs/>
                <w:color w:val="auto"/>
                <w:sz w:val="21"/>
                <w:szCs w:val="21"/>
                <w:highlight w:val="none"/>
              </w:rPr>
              <w:t>（小写）</w:t>
            </w:r>
            <w:r>
              <w:rPr>
                <w:rFonts w:hint="eastAsia" w:ascii="宋体" w:hAnsi="宋体" w:cs="宋体"/>
                <w:bCs/>
                <w:color w:val="auto"/>
                <w:sz w:val="21"/>
                <w:szCs w:val="21"/>
                <w:highlight w:val="none"/>
                <w:u w:val="single"/>
              </w:rPr>
              <w:t xml:space="preserve">¥ </w:t>
            </w:r>
            <w:r>
              <w:rPr>
                <w:rFonts w:ascii="宋体" w:hAnsi="宋体" w:cs="宋体"/>
                <w:bCs/>
                <w:color w:val="auto"/>
                <w:sz w:val="21"/>
                <w:szCs w:val="21"/>
                <w:highlight w:val="none"/>
                <w:u w:val="single"/>
              </w:rPr>
              <w:t xml:space="preserve">         .**</w:t>
            </w:r>
          </w:p>
        </w:tc>
      </w:tr>
    </w:tbl>
    <w:p w14:paraId="764AA393">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合同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甲方不再支付合同合计金额以外的其他费用。</w:t>
      </w:r>
    </w:p>
    <w:p w14:paraId="28723803">
      <w:pPr>
        <w:snapToGrid w:val="0"/>
        <w:spacing w:line="460" w:lineRule="exact"/>
        <w:ind w:firstLine="422" w:firstLineChars="200"/>
        <w:rPr>
          <w:rFonts w:hint="eastAsia" w:ascii="宋体" w:hAnsi="宋体" w:cs="宋体"/>
          <w:color w:val="auto"/>
          <w:sz w:val="21"/>
          <w:szCs w:val="21"/>
          <w:highlight w:val="none"/>
        </w:rPr>
      </w:pPr>
      <w:r>
        <w:rPr>
          <w:rFonts w:hint="eastAsia" w:ascii="宋体" w:hAnsi="宋体" w:cs="宋体"/>
          <w:b/>
          <w:color w:val="auto"/>
          <w:sz w:val="21"/>
          <w:szCs w:val="21"/>
          <w:highlight w:val="none"/>
        </w:rPr>
        <w:t>第二条　质量要求</w:t>
      </w:r>
    </w:p>
    <w:p w14:paraId="40DB9D70">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1.乙方所提供的产品名称、商标品牌、生产厂家、规格型号、技术参数等质量必须与采购文件规定及响应文件承诺相一致。乙方提供的节能和环保产品必须是列入政府采购品目清单的产品。</w:t>
      </w:r>
    </w:p>
    <w:p w14:paraId="44339D11">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2.乙方所提供的货物必须是全新、未使用的原装产品，且在正常安装、使用和保养条件下，其使用寿命期内各项指标均达到采购文件规定或者响应文件承诺的质量要求。</w:t>
      </w:r>
    </w:p>
    <w:p w14:paraId="75A44AB2">
      <w:pPr>
        <w:snapToGrid w:val="0"/>
        <w:spacing w:line="460" w:lineRule="exact"/>
        <w:ind w:firstLine="422" w:firstLineChars="200"/>
        <w:rPr>
          <w:rFonts w:hint="eastAsia" w:ascii="宋体" w:hAnsi="宋体" w:cs="宋体"/>
          <w:color w:val="auto"/>
          <w:sz w:val="21"/>
          <w:szCs w:val="21"/>
          <w:highlight w:val="none"/>
        </w:rPr>
      </w:pPr>
      <w:r>
        <w:rPr>
          <w:rFonts w:hint="eastAsia" w:ascii="宋体" w:hAnsi="宋体" w:cs="宋体"/>
          <w:b/>
          <w:color w:val="auto"/>
          <w:sz w:val="21"/>
          <w:szCs w:val="21"/>
          <w:highlight w:val="none"/>
        </w:rPr>
        <w:t>第三条　权利保证</w:t>
      </w:r>
    </w:p>
    <w:p w14:paraId="3AD28B0C">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1.乙方应保证所提供货物在使用时不会侵犯任何第三方的专利权、商标权、工业设计权或者其他权利。</w:t>
      </w:r>
    </w:p>
    <w:p w14:paraId="3A2D12EB">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2.乙方应按采购文件规定或者响应文件承诺的时间向甲方提供使用货物的有关技术资料。</w:t>
      </w:r>
    </w:p>
    <w:p w14:paraId="6E3B86C1">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7CAD7B97">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4.乙方保证将要交付的货物的所有权完全属于乙方且无任何抵押、质押、查封等产权瑕疵。</w:t>
      </w:r>
    </w:p>
    <w:p w14:paraId="266B5C33">
      <w:pPr>
        <w:snapToGrid w:val="0"/>
        <w:spacing w:line="46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第四条　包装、运输和签收</w:t>
      </w:r>
    </w:p>
    <w:p w14:paraId="7FBCCC3E">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1.乙方提供的货物均应包装完整，每一包装单元内应附详细的装箱单和质量合格证。</w:t>
      </w:r>
    </w:p>
    <w:p w14:paraId="08F45DD0">
      <w:pPr>
        <w:pStyle w:val="15"/>
        <w:snapToGrid w:val="0"/>
        <w:spacing w:line="440" w:lineRule="exact"/>
        <w:ind w:firstLine="420" w:firstLineChars="200"/>
        <w:rPr>
          <w:rFonts w:hint="eastAsia" w:hAnsi="宋体" w:cs="宋体"/>
          <w:color w:val="auto"/>
          <w:sz w:val="21"/>
          <w:szCs w:val="21"/>
          <w:highlight w:val="none"/>
        </w:rPr>
      </w:pPr>
      <w:r>
        <w:rPr>
          <w:rFonts w:hint="eastAsia" w:hAnsi="宋体" w:cs="宋体"/>
          <w:color w:val="auto"/>
          <w:sz w:val="21"/>
          <w:szCs w:val="21"/>
          <w:highlight w:val="none"/>
        </w:rPr>
        <w:t>2.货物的运输：</w:t>
      </w:r>
      <w:r>
        <w:rPr>
          <w:rFonts w:hAnsi="宋体" w:cs="宋体"/>
          <w:color w:val="auto"/>
          <w:sz w:val="21"/>
          <w:szCs w:val="21"/>
          <w:highlight w:val="none"/>
          <w:u w:val="single"/>
        </w:rPr>
        <w:t xml:space="preserve"> </w:t>
      </w:r>
      <w:r>
        <w:rPr>
          <w:rFonts w:hint="eastAsia" w:hAnsi="宋体" w:cs="宋体"/>
          <w:color w:val="auto"/>
          <w:sz w:val="21"/>
          <w:szCs w:val="21"/>
          <w:highlight w:val="none"/>
          <w:u w:val="single"/>
        </w:rPr>
        <w:t xml:space="preserve">        </w:t>
      </w:r>
      <w:r>
        <w:rPr>
          <w:rFonts w:hAnsi="宋体" w:cs="宋体"/>
          <w:color w:val="auto"/>
          <w:sz w:val="21"/>
          <w:szCs w:val="21"/>
          <w:highlight w:val="none"/>
          <w:u w:val="single"/>
        </w:rPr>
        <w:t>。</w:t>
      </w:r>
    </w:p>
    <w:p w14:paraId="21BFAEA2">
      <w:pPr>
        <w:pStyle w:val="15"/>
        <w:snapToGrid w:val="0"/>
        <w:spacing w:line="440" w:lineRule="exact"/>
        <w:ind w:firstLine="420" w:firstLineChars="200"/>
        <w:rPr>
          <w:rFonts w:hint="eastAsia" w:hAnsi="宋体" w:cs="宋体"/>
          <w:color w:val="auto"/>
          <w:sz w:val="21"/>
          <w:szCs w:val="21"/>
          <w:highlight w:val="none"/>
        </w:rPr>
      </w:pPr>
      <w:r>
        <w:rPr>
          <w:rFonts w:hint="eastAsia" w:hAnsi="宋体" w:cs="宋体"/>
          <w:color w:val="auto"/>
          <w:sz w:val="21"/>
          <w:szCs w:val="21"/>
          <w:highlight w:val="none"/>
        </w:rPr>
        <w:t>3. 乙方负责货物运输，货物运输合理损耗及计算方法：</w:t>
      </w:r>
      <w:r>
        <w:rPr>
          <w:rFonts w:hint="eastAsia" w:hAnsi="宋体" w:cs="宋体"/>
          <w:color w:val="auto"/>
          <w:sz w:val="21"/>
          <w:szCs w:val="21"/>
          <w:highlight w:val="none"/>
          <w:u w:val="single"/>
        </w:rPr>
        <w:t>甲方不接受损耗。</w:t>
      </w:r>
    </w:p>
    <w:p w14:paraId="519B4DEC">
      <w:pPr>
        <w:pStyle w:val="15"/>
        <w:snapToGrid w:val="0"/>
        <w:spacing w:line="440" w:lineRule="exact"/>
        <w:ind w:firstLine="420" w:firstLineChars="200"/>
        <w:rPr>
          <w:rFonts w:hint="eastAsia" w:hAnsi="宋体" w:cs="宋体"/>
          <w:color w:val="auto"/>
          <w:sz w:val="21"/>
          <w:szCs w:val="21"/>
          <w:highlight w:val="none"/>
        </w:rPr>
      </w:pPr>
      <w:r>
        <w:rPr>
          <w:rFonts w:hAnsi="宋体" w:cs="宋体"/>
          <w:color w:val="auto"/>
          <w:sz w:val="21"/>
          <w:szCs w:val="21"/>
          <w:highlight w:val="none"/>
        </w:rPr>
        <w:t>4.</w:t>
      </w:r>
      <w:r>
        <w:rPr>
          <w:rFonts w:hint="eastAsia" w:hAnsi="宋体" w:cs="宋体"/>
          <w:color w:val="auto"/>
          <w:sz w:val="21"/>
          <w:szCs w:val="21"/>
          <w:highlight w:val="none"/>
        </w:rPr>
        <w:t>乙方应在货物发运前对其进行满足运输距离、防潮、防震、防锈和防破损装卸等要求包装，以保证货物安全运达甲方指定地点。</w:t>
      </w:r>
    </w:p>
    <w:p w14:paraId="4E09451A">
      <w:pPr>
        <w:pStyle w:val="15"/>
        <w:snapToGrid w:val="0"/>
        <w:spacing w:line="440" w:lineRule="exact"/>
        <w:ind w:firstLine="420" w:firstLineChars="200"/>
        <w:rPr>
          <w:rFonts w:hint="eastAsia" w:hAnsi="宋体" w:cs="宋体"/>
          <w:color w:val="auto"/>
          <w:sz w:val="21"/>
          <w:szCs w:val="21"/>
          <w:highlight w:val="none"/>
        </w:rPr>
      </w:pPr>
      <w:r>
        <w:rPr>
          <w:rFonts w:hAnsi="宋体" w:cs="宋体"/>
          <w:color w:val="auto"/>
          <w:sz w:val="21"/>
          <w:szCs w:val="21"/>
          <w:highlight w:val="none"/>
        </w:rPr>
        <w:t>5.</w:t>
      </w:r>
      <w:r>
        <w:rPr>
          <w:rFonts w:hint="eastAsia" w:hAnsi="宋体" w:cs="宋体"/>
          <w:color w:val="auto"/>
          <w:sz w:val="21"/>
          <w:szCs w:val="21"/>
          <w:highlight w:val="none"/>
        </w:rPr>
        <w:t xml:space="preserve"> 使用说明书、质量检验证明书、随配附件和工具以及清单一并附于货物内。</w:t>
      </w:r>
    </w:p>
    <w:p w14:paraId="54ACE5A3">
      <w:pPr>
        <w:pStyle w:val="15"/>
        <w:snapToGrid w:val="0"/>
        <w:spacing w:line="440" w:lineRule="exact"/>
        <w:ind w:firstLine="420" w:firstLineChars="200"/>
        <w:rPr>
          <w:rFonts w:hint="eastAsia" w:hAnsi="宋体" w:cs="宋体"/>
          <w:color w:val="auto"/>
          <w:sz w:val="21"/>
          <w:szCs w:val="21"/>
          <w:highlight w:val="none"/>
        </w:rPr>
      </w:pPr>
      <w:r>
        <w:rPr>
          <w:rFonts w:hAnsi="宋体" w:cs="宋体"/>
          <w:color w:val="auto"/>
          <w:sz w:val="21"/>
          <w:szCs w:val="21"/>
          <w:highlight w:val="none"/>
        </w:rPr>
        <w:t>6</w:t>
      </w:r>
      <w:r>
        <w:rPr>
          <w:rFonts w:hint="eastAsia" w:hAnsi="宋体" w:cs="宋体"/>
          <w:color w:val="auto"/>
          <w:sz w:val="21"/>
          <w:szCs w:val="21"/>
          <w:highlight w:val="none"/>
        </w:rPr>
        <w:t>.乙方在货物发运手续办理完毕后2</w:t>
      </w:r>
      <w:r>
        <w:rPr>
          <w:rFonts w:hAnsi="宋体" w:cs="宋体"/>
          <w:color w:val="auto"/>
          <w:sz w:val="21"/>
          <w:szCs w:val="21"/>
          <w:highlight w:val="none"/>
        </w:rPr>
        <w:t>4</w:t>
      </w:r>
      <w:r>
        <w:rPr>
          <w:rFonts w:hint="eastAsia" w:hAnsi="宋体" w:cs="宋体"/>
          <w:color w:val="auto"/>
          <w:sz w:val="21"/>
          <w:szCs w:val="21"/>
          <w:highlight w:val="none"/>
        </w:rPr>
        <w:t>小时内或者货到甲方4</w:t>
      </w:r>
      <w:r>
        <w:rPr>
          <w:rFonts w:hAnsi="宋体" w:cs="宋体"/>
          <w:color w:val="auto"/>
          <w:sz w:val="21"/>
          <w:szCs w:val="21"/>
          <w:highlight w:val="none"/>
        </w:rPr>
        <w:t>8</w:t>
      </w:r>
      <w:r>
        <w:rPr>
          <w:rFonts w:hint="eastAsia" w:hAnsi="宋体" w:cs="宋体"/>
          <w:color w:val="auto"/>
          <w:sz w:val="21"/>
          <w:szCs w:val="21"/>
          <w:highlight w:val="none"/>
        </w:rPr>
        <w:t>小时前通知甲方，以准备接货。</w:t>
      </w:r>
    </w:p>
    <w:p w14:paraId="07F28D56">
      <w:pPr>
        <w:pStyle w:val="15"/>
        <w:snapToGrid w:val="0"/>
        <w:spacing w:line="440" w:lineRule="exact"/>
        <w:ind w:firstLine="420" w:firstLineChars="200"/>
        <w:rPr>
          <w:rFonts w:hint="eastAsia" w:hAnsi="宋体" w:cs="宋体"/>
          <w:color w:val="auto"/>
          <w:sz w:val="21"/>
          <w:szCs w:val="21"/>
          <w:highlight w:val="none"/>
        </w:rPr>
      </w:pPr>
      <w:r>
        <w:rPr>
          <w:rFonts w:hAnsi="宋体" w:cs="宋体"/>
          <w:color w:val="auto"/>
          <w:sz w:val="21"/>
          <w:szCs w:val="21"/>
          <w:highlight w:val="none"/>
        </w:rPr>
        <w:t>7</w:t>
      </w:r>
      <w:r>
        <w:rPr>
          <w:rFonts w:hint="eastAsia" w:hAnsi="宋体" w:cs="宋体"/>
          <w:color w:val="auto"/>
          <w:sz w:val="21"/>
          <w:szCs w:val="21"/>
          <w:highlight w:val="none"/>
        </w:rPr>
        <w:t>.货物在规定的交付期限内由乙方送达甲方指定的地点，乙方同时需通知甲方货物已送达，甲方清点货物后签收，货物签收不作为最终验收合格的依据。</w:t>
      </w:r>
    </w:p>
    <w:p w14:paraId="7F24DE07">
      <w:pPr>
        <w:snapToGrid w:val="0"/>
        <w:spacing w:line="460" w:lineRule="exact"/>
        <w:ind w:firstLine="422" w:firstLineChars="200"/>
        <w:rPr>
          <w:rFonts w:hint="eastAsia" w:hAnsi="宋体" w:cs="宋体"/>
          <w:b/>
          <w:color w:val="auto"/>
          <w:sz w:val="21"/>
          <w:szCs w:val="21"/>
          <w:highlight w:val="none"/>
        </w:rPr>
      </w:pPr>
      <w:r>
        <w:rPr>
          <w:rFonts w:hint="eastAsia" w:ascii="宋体" w:hAnsi="宋体" w:cs="宋体"/>
          <w:b/>
          <w:color w:val="auto"/>
          <w:sz w:val="21"/>
          <w:szCs w:val="21"/>
          <w:highlight w:val="none"/>
        </w:rPr>
        <w:t>第五条　</w:t>
      </w:r>
      <w:r>
        <w:rPr>
          <w:rFonts w:hint="eastAsia" w:hAnsi="宋体" w:cs="宋体"/>
          <w:b/>
          <w:color w:val="auto"/>
          <w:sz w:val="21"/>
          <w:szCs w:val="21"/>
          <w:highlight w:val="none"/>
        </w:rPr>
        <w:t>安装和培训</w:t>
      </w:r>
    </w:p>
    <w:p w14:paraId="44669ED0">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1.甲方应提供必要安装条件（如场地、电源、水源等）。</w:t>
      </w:r>
    </w:p>
    <w:p w14:paraId="2FE77D89">
      <w:pPr>
        <w:snapToGrid w:val="0"/>
        <w:spacing w:line="460" w:lineRule="exact"/>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2.乙方响应文件承诺负责甲方有关人员的培训：</w:t>
      </w:r>
      <w:r>
        <w:rPr>
          <w:rFonts w:hint="eastAsia" w:ascii="宋体" w:hAnsi="宋体" w:cs="宋体"/>
          <w:color w:val="auto"/>
          <w:sz w:val="21"/>
          <w:szCs w:val="21"/>
          <w:highlight w:val="none"/>
          <w:u w:val="single"/>
        </w:rPr>
        <w:t>根据甲方要求开展。</w:t>
      </w:r>
    </w:p>
    <w:p w14:paraId="5EC7C0CB">
      <w:pPr>
        <w:snapToGrid w:val="0"/>
        <w:spacing w:line="460" w:lineRule="exact"/>
        <w:ind w:firstLine="420" w:firstLineChars="200"/>
        <w:rPr>
          <w:color w:val="auto"/>
          <w:sz w:val="21"/>
          <w:szCs w:val="21"/>
          <w:highlight w:val="none"/>
        </w:rPr>
      </w:pPr>
      <w:r>
        <w:rPr>
          <w:rFonts w:hint="eastAsia" w:ascii="宋体" w:hAnsi="宋体" w:cs="宋体"/>
          <w:color w:val="auto"/>
          <w:sz w:val="21"/>
          <w:szCs w:val="21"/>
          <w:highlight w:val="none"/>
        </w:rPr>
        <w:t>3.培训时间、地点：</w:t>
      </w:r>
      <w:r>
        <w:rPr>
          <w:rFonts w:hint="eastAsia" w:ascii="宋体" w:hAnsi="宋体" w:cs="宋体"/>
          <w:color w:val="auto"/>
          <w:sz w:val="21"/>
          <w:szCs w:val="21"/>
          <w:highlight w:val="none"/>
          <w:u w:val="single"/>
        </w:rPr>
        <w:t>甲方指定。</w:t>
      </w:r>
    </w:p>
    <w:p w14:paraId="7A44B564">
      <w:pPr>
        <w:keepNext w:val="0"/>
        <w:keepLines w:val="0"/>
        <w:pageBreakBefore w:val="0"/>
        <w:widowControl w:val="0"/>
        <w:kinsoku/>
        <w:wordWrap/>
        <w:overflowPunct/>
        <w:topLinePunct w:val="0"/>
        <w:autoSpaceDE/>
        <w:autoSpaceDN/>
        <w:bidi w:val="0"/>
        <w:adjustRightInd/>
        <w:snapToGrid w:val="0"/>
        <w:spacing w:line="460" w:lineRule="atLeast"/>
        <w:ind w:firstLine="422"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w:t>
      </w:r>
      <w:r>
        <w:rPr>
          <w:rFonts w:hint="eastAsia" w:asciiTheme="minorEastAsia" w:hAnsiTheme="minorEastAsia" w:eastAsiaTheme="minorEastAsia" w:cstheme="minorEastAsia"/>
          <w:b/>
          <w:color w:val="auto"/>
          <w:szCs w:val="21"/>
          <w:highlight w:val="none"/>
          <w:lang w:val="en-US" w:eastAsia="zh-CN"/>
        </w:rPr>
        <w:t>六</w:t>
      </w:r>
      <w:r>
        <w:rPr>
          <w:rFonts w:hint="eastAsia" w:asciiTheme="minorEastAsia" w:hAnsiTheme="minorEastAsia" w:eastAsiaTheme="minorEastAsia" w:cstheme="minorEastAsia"/>
          <w:b/>
          <w:color w:val="auto"/>
          <w:szCs w:val="21"/>
          <w:highlight w:val="none"/>
        </w:rPr>
        <w:t>条  交付和验收</w:t>
      </w:r>
    </w:p>
    <w:p w14:paraId="3515C9AB">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1.交付及使用时间：</w:t>
      </w:r>
      <w:r>
        <w:rPr>
          <w:rFonts w:hint="eastAsia" w:asciiTheme="minorEastAsia" w:hAnsiTheme="minorEastAsia" w:eastAsiaTheme="minorEastAsia" w:cstheme="minorEastAsia"/>
          <w:color w:val="auto"/>
          <w:szCs w:val="21"/>
          <w:highlight w:val="none"/>
          <w:u w:val="single"/>
        </w:rPr>
        <w:t>按乙方响应文件中所承诺的时间</w:t>
      </w:r>
      <w:r>
        <w:rPr>
          <w:rFonts w:hint="eastAsia" w:asciiTheme="minorEastAsia" w:hAnsiTheme="minorEastAsia" w:eastAsiaTheme="minorEastAsia" w:cstheme="minorEastAsia"/>
          <w:color w:val="auto"/>
          <w:szCs w:val="21"/>
          <w:highlight w:val="none"/>
        </w:rPr>
        <w:t>；地点：</w:t>
      </w:r>
      <w:r>
        <w:rPr>
          <w:rFonts w:hint="eastAsia" w:asciiTheme="minorEastAsia" w:hAnsiTheme="minorEastAsia" w:eastAsiaTheme="minorEastAsia" w:cstheme="minorEastAsia"/>
          <w:color w:val="auto"/>
          <w:szCs w:val="21"/>
          <w:highlight w:val="none"/>
          <w:u w:val="single"/>
        </w:rPr>
        <w:t xml:space="preserve"> 广西内采购单位指定地点（广西幼儿师范高等专科学校）。</w:t>
      </w:r>
      <w:r>
        <w:rPr>
          <w:rFonts w:hint="eastAsia" w:asciiTheme="minorEastAsia" w:hAnsiTheme="minorEastAsia" w:eastAsiaTheme="minorEastAsia" w:cstheme="minorEastAsia"/>
          <w:color w:val="auto"/>
          <w:highlight w:val="none"/>
        </w:rPr>
        <w:t>竞标产品必须为全新原装、未拆封、未激活的产品，</w:t>
      </w:r>
      <w:r>
        <w:rPr>
          <w:rFonts w:hint="eastAsia" w:asciiTheme="minorEastAsia" w:hAnsiTheme="minorEastAsia" w:eastAsiaTheme="minorEastAsia" w:cstheme="minorEastAsia"/>
          <w:color w:val="auto"/>
          <w:highlight w:val="none"/>
          <w:lang w:val="en-US" w:eastAsia="zh-CN"/>
        </w:rPr>
        <w:t>乙方</w:t>
      </w:r>
      <w:r>
        <w:rPr>
          <w:rFonts w:hint="eastAsia" w:asciiTheme="minorEastAsia" w:hAnsiTheme="minorEastAsia" w:eastAsiaTheme="minorEastAsia" w:cstheme="minorEastAsia"/>
          <w:color w:val="auto"/>
          <w:highlight w:val="none"/>
        </w:rPr>
        <w:t>所提供的产品、资料等要满足中华人民共和国的相应标准。需求清单中要求提供的检测报告、功能截图等证明材料在供货前需提供查验。所涉及软件，如硬件发生故障或者无法使用，</w:t>
      </w:r>
      <w:r>
        <w:rPr>
          <w:rFonts w:hint="eastAsia" w:asciiTheme="minorEastAsia" w:hAnsiTheme="minorEastAsia" w:eastAsiaTheme="minorEastAsia" w:cstheme="minorEastAsia"/>
          <w:color w:val="auto"/>
          <w:highlight w:val="none"/>
          <w:lang w:val="en-US" w:eastAsia="zh-CN"/>
        </w:rPr>
        <w:t>乙方</w:t>
      </w:r>
      <w:r>
        <w:rPr>
          <w:rFonts w:hint="eastAsia" w:asciiTheme="minorEastAsia" w:hAnsiTheme="minorEastAsia" w:eastAsiaTheme="minorEastAsia" w:cstheme="minorEastAsia"/>
          <w:color w:val="auto"/>
          <w:highlight w:val="none"/>
        </w:rPr>
        <w:t>负责把软件迁移至其他硬件，</w:t>
      </w:r>
      <w:r>
        <w:rPr>
          <w:rFonts w:hint="eastAsia" w:asciiTheme="minorEastAsia" w:hAnsiTheme="minorEastAsia" w:eastAsiaTheme="minorEastAsia" w:cstheme="minorEastAsia"/>
          <w:color w:val="auto"/>
          <w:highlight w:val="none"/>
          <w:lang w:val="en-US" w:eastAsia="zh-CN"/>
        </w:rPr>
        <w:t>甲方</w:t>
      </w:r>
      <w:r>
        <w:rPr>
          <w:rFonts w:hint="eastAsia" w:asciiTheme="minorEastAsia" w:hAnsiTheme="minorEastAsia" w:eastAsiaTheme="minorEastAsia" w:cstheme="minorEastAsia"/>
          <w:color w:val="auto"/>
          <w:highlight w:val="none"/>
        </w:rPr>
        <w:t>不再额外支付费用。</w:t>
      </w:r>
    </w:p>
    <w:p w14:paraId="173B943D">
      <w:pPr>
        <w:pStyle w:val="9"/>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2.交付标准：乙方交付前应对货物作出全面检查后，</w:t>
      </w:r>
      <w:r>
        <w:rPr>
          <w:rFonts w:hint="eastAsia" w:asciiTheme="minorEastAsia" w:hAnsiTheme="minorEastAsia" w:eastAsiaTheme="minorEastAsia" w:cstheme="minorEastAsia"/>
          <w:color w:val="auto"/>
          <w:szCs w:val="21"/>
          <w:highlight w:val="none"/>
        </w:rPr>
        <w:t>将符合合同文件要求的货物与相关的装箱清单、采购人手册、保修卡等单证和资料、工具和备品备件等一同交付给甲方。</w:t>
      </w:r>
      <w:r>
        <w:rPr>
          <w:rFonts w:hint="eastAsia" w:asciiTheme="minorEastAsia" w:hAnsiTheme="minorEastAsia" w:eastAsiaTheme="minorEastAsia" w:cstheme="minorEastAsia"/>
          <w:color w:val="auto"/>
          <w:highlight w:val="none"/>
        </w:rPr>
        <w:t>培训完成后方能验收，并签署验收意见书。</w:t>
      </w:r>
    </w:p>
    <w:p w14:paraId="43CD5595">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3.验收要求：</w:t>
      </w:r>
    </w:p>
    <w:p w14:paraId="6C471550">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（1）甲方可以根据采购项目具体情况自行组织验收，或者委托第三方机构或部门开展采购项目履约验收工作，验收过程中所产生的一切费用均由承包人承担，报价时应考虑相关费用。</w:t>
      </w:r>
    </w:p>
    <w:p w14:paraId="4DEE3501">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（2）本项目验收如委托第三方机构组织实施的，由验收小组对照采购文件的技术参数要求核对检验，如不符</w:t>
      </w:r>
      <w:r>
        <w:rPr>
          <w:rFonts w:hint="eastAsia" w:asciiTheme="minorEastAsia" w:hAnsiTheme="minorEastAsia" w:eastAsiaTheme="minorEastAsia" w:cstheme="minorEastAsia"/>
          <w:color w:val="auto"/>
          <w:highlight w:val="none"/>
        </w:rPr>
        <w:t>合采购文件的技术参数要求的，按合同约定执行，乙方承担所有责任和费用。甲方保留进一步追究责任的权利。</w:t>
      </w:r>
    </w:p>
    <w:p w14:paraId="565F602D">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①验收活动开始前，乙方应对货物作出全面检查和对验收文件进行整理，并列出清单，作为甲方收货验收和使用的技术条件依据。</w:t>
      </w:r>
      <w:r>
        <w:rPr>
          <w:rFonts w:hint="eastAsia" w:asciiTheme="minorEastAsia" w:hAnsiTheme="minorEastAsia" w:eastAsiaTheme="minorEastAsia" w:cstheme="minorEastAsia"/>
          <w:color w:val="auto"/>
          <w:highlight w:val="none"/>
          <w:lang w:eastAsia="zh-CN"/>
        </w:rPr>
        <w:t>同时需对甲方人员进行培训，培训完成后由甲方签署培训记录表，作为验收依据。</w:t>
      </w:r>
    </w:p>
    <w:p w14:paraId="35F801FB">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②因验收不合格的，需要再次组织验收的，由此产生相关成本费用由乙方承担。</w:t>
      </w:r>
    </w:p>
    <w:p w14:paraId="23294DDD">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（3）验收时乙方提供验收文档，具体如下：技术方案、实施方案、售后服务方案、培训方案、系统部署文档、测试文档、使用说明书、电子文档等。</w:t>
      </w:r>
    </w:p>
    <w:p w14:paraId="0FA74A7B">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为了保证本次货物的质量，乙方在全部货物交货安装前，甲方有权对供货设备测试预验收，以确认产品的技术指标和性能是否达到采购文件中所规定以及响应文件所承诺的技术功能要求，若测试结果不能满足采购文件参数要求以及响应文件所承诺的技术功能要求，甲方有权单方面终止合同，并追究供应商责任。</w:t>
      </w:r>
    </w:p>
    <w:p w14:paraId="3107F5A4">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甲方有权委托第三方机构组织验收，验收按上述规定执行，乙方应予以配合。对大型或技术复杂的货物，甲方应请国家认可的专业检测机构参与初步验收及最终验收，并由其出具质量检测报告。甲方委托第三方机构组织或专业检测机构参与验收的，验收费用由乙方负责。</w:t>
      </w:r>
    </w:p>
    <w:p w14:paraId="58EC2E28">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）甲方委托第三方组织验收的，其验收时间、验收程序以该项目验收方案确定的验收时间、验收程序为准，验收结果以该项目验收报告结论为准。</w:t>
      </w:r>
    </w:p>
    <w:p w14:paraId="3E1033E0">
      <w:pPr>
        <w:keepNext w:val="0"/>
        <w:keepLines w:val="0"/>
        <w:pageBreakBefore w:val="0"/>
        <w:widowControl w:val="0"/>
        <w:kinsoku/>
        <w:wordWrap/>
        <w:overflowPunct/>
        <w:topLinePunct w:val="0"/>
        <w:autoSpaceDE/>
        <w:autoSpaceDN/>
        <w:bidi w:val="0"/>
        <w:adjustRightInd/>
        <w:snapToGrid w:val="0"/>
        <w:spacing w:line="46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甲方对乙方的产品有异议的，在乙方到货并安装、调试完，收到乙方可以开展验收工作的书面通知后七个工作日内向乙方提出，乙方应自收到甲方异议后五个工作日内及时予以解决，否则甲方有权不出具服务验收合格单。乙方在期限内不予书面答复或未予以实质解决的，视为认可甲方异议及处置意见。</w:t>
      </w:r>
    </w:p>
    <w:p w14:paraId="14FD3BCD">
      <w:pPr>
        <w:pStyle w:val="11"/>
        <w:keepNext w:val="0"/>
        <w:keepLines w:val="0"/>
        <w:pageBreakBefore w:val="0"/>
        <w:widowControl w:val="0"/>
        <w:kinsoku/>
        <w:wordWrap/>
        <w:overflowPunct/>
        <w:topLinePunct w:val="0"/>
        <w:autoSpaceDE/>
        <w:autoSpaceDN/>
        <w:bidi w:val="0"/>
        <w:adjustRightInd/>
        <w:spacing w:line="4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51EBE703">
      <w:pPr>
        <w:keepNext w:val="0"/>
        <w:keepLines w:val="0"/>
        <w:pageBreakBefore w:val="0"/>
        <w:widowControl w:val="0"/>
        <w:kinsoku/>
        <w:wordWrap/>
        <w:overflowPunct/>
        <w:topLinePunct w:val="0"/>
        <w:autoSpaceDE/>
        <w:autoSpaceDN/>
        <w:bidi w:val="0"/>
        <w:adjustRightInd/>
        <w:snapToGrid w:val="0"/>
        <w:spacing w:line="460" w:lineRule="atLeast"/>
        <w:ind w:left="-61" w:firstLine="514"/>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第七条　付款方式</w:t>
      </w:r>
    </w:p>
    <w:p w14:paraId="620A3920">
      <w:pPr>
        <w:snapToGrid w:val="0"/>
        <w:spacing w:line="360" w:lineRule="auto"/>
        <w:ind w:left="-61" w:firstLine="514"/>
        <w:rPr>
          <w:color w:val="auto"/>
          <w:sz w:val="21"/>
          <w:szCs w:val="21"/>
          <w:highlight w:val="none"/>
        </w:rPr>
      </w:pPr>
      <w:r>
        <w:rPr>
          <w:rFonts w:hint="eastAsia" w:ascii="宋体" w:hAnsi="宋体" w:cs="宋体"/>
          <w:bCs/>
          <w:color w:val="auto"/>
          <w:sz w:val="21"/>
          <w:szCs w:val="21"/>
          <w:highlight w:val="none"/>
        </w:rPr>
        <w:t>付款方式：</w:t>
      </w:r>
      <w:r>
        <w:rPr>
          <w:rFonts w:hint="eastAsia" w:ascii="宋体" w:hAnsi="宋体" w:cs="宋体"/>
          <w:bCs/>
          <w:color w:val="auto"/>
          <w:sz w:val="21"/>
          <w:szCs w:val="21"/>
          <w:highlight w:val="none"/>
          <w:u w:val="single"/>
        </w:rPr>
        <w:t xml:space="preserve">                                        </w:t>
      </w:r>
    </w:p>
    <w:p w14:paraId="3D3E7510">
      <w:pPr>
        <w:snapToGrid w:val="0"/>
        <w:spacing w:line="46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第八条　履约保证金</w:t>
      </w:r>
    </w:p>
    <w:p w14:paraId="201DCAFE">
      <w:pPr>
        <w:snapToGrid w:val="0"/>
        <w:spacing w:line="460" w:lineRule="exact"/>
        <w:ind w:firstLine="514"/>
        <w:rPr>
          <w:rFonts w:hint="eastAsia" w:ascii="宋体" w:hAnsi="宋体" w:cs="宋体"/>
          <w:bCs/>
          <w:color w:val="auto"/>
          <w:sz w:val="21"/>
          <w:szCs w:val="21"/>
          <w:highlight w:val="none"/>
        </w:rPr>
      </w:pPr>
      <w:r>
        <w:rPr>
          <w:rFonts w:ascii="宋体" w:hAnsi="宋体" w:cs="宋体"/>
          <w:bCs/>
          <w:color w:val="auto"/>
          <w:sz w:val="21"/>
          <w:szCs w:val="21"/>
          <w:highlight w:val="none"/>
        </w:rPr>
        <w:t>1.</w:t>
      </w:r>
      <w:r>
        <w:rPr>
          <w:rFonts w:hint="eastAsia" w:ascii="宋体" w:hAnsi="宋体" w:cs="宋体"/>
          <w:bCs/>
          <w:color w:val="auto"/>
          <w:sz w:val="21"/>
          <w:szCs w:val="21"/>
          <w:highlight w:val="none"/>
        </w:rPr>
        <w:t>乙方</w:t>
      </w:r>
      <w:r>
        <w:rPr>
          <w:rFonts w:ascii="宋体" w:hAnsi="宋体" w:cs="宋体"/>
          <w:bCs/>
          <w:color w:val="auto"/>
          <w:sz w:val="21"/>
          <w:szCs w:val="21"/>
          <w:highlight w:val="none"/>
        </w:rPr>
        <w:t>于合同签订前按成交金额的</w:t>
      </w:r>
      <w:r>
        <w:rPr>
          <w:rFonts w:ascii="宋体" w:hAnsi="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5</w:t>
      </w:r>
      <w:r>
        <w:rPr>
          <w:rFonts w:ascii="宋体" w:hAnsi="宋体" w:cs="宋体"/>
          <w:bCs/>
          <w:color w:val="auto"/>
          <w:sz w:val="21"/>
          <w:szCs w:val="21"/>
          <w:highlight w:val="none"/>
          <w:u w:val="single"/>
        </w:rPr>
        <w:t xml:space="preserve"> </w:t>
      </w:r>
      <w:r>
        <w:rPr>
          <w:rFonts w:ascii="宋体" w:hAnsi="宋体" w:cs="宋体"/>
          <w:bCs/>
          <w:color w:val="auto"/>
          <w:sz w:val="21"/>
          <w:szCs w:val="21"/>
          <w:highlight w:val="none"/>
        </w:rPr>
        <w:t>%</w:t>
      </w:r>
      <w:r>
        <w:rPr>
          <w:rFonts w:hint="eastAsia" w:ascii="宋体" w:hAnsi="宋体" w:cs="宋体"/>
          <w:bCs/>
          <w:color w:val="auto"/>
          <w:sz w:val="21"/>
          <w:szCs w:val="21"/>
          <w:highlight w:val="none"/>
          <w:lang w:eastAsia="zh-CN"/>
        </w:rPr>
        <w:t>（中小企业按合同金额的2%）</w:t>
      </w:r>
      <w:r>
        <w:rPr>
          <w:rFonts w:ascii="宋体" w:hAnsi="宋体" w:cs="宋体"/>
          <w:bCs/>
          <w:color w:val="auto"/>
          <w:sz w:val="21"/>
          <w:szCs w:val="21"/>
          <w:highlight w:val="none"/>
        </w:rPr>
        <w:t>向</w:t>
      </w:r>
      <w:r>
        <w:rPr>
          <w:rFonts w:hint="eastAsia" w:ascii="宋体" w:hAnsi="宋体" w:cs="宋体"/>
          <w:bCs/>
          <w:color w:val="auto"/>
          <w:sz w:val="21"/>
          <w:szCs w:val="21"/>
          <w:highlight w:val="none"/>
        </w:rPr>
        <w:t>甲方</w:t>
      </w:r>
      <w:r>
        <w:rPr>
          <w:rFonts w:ascii="宋体" w:hAnsi="宋体" w:cs="宋体"/>
          <w:bCs/>
          <w:color w:val="auto"/>
          <w:sz w:val="21"/>
          <w:szCs w:val="21"/>
          <w:highlight w:val="none"/>
        </w:rPr>
        <w:t xml:space="preserve">指定账户提交履约保证金。 </w:t>
      </w:r>
    </w:p>
    <w:p w14:paraId="3201467E">
      <w:pPr>
        <w:snapToGrid w:val="0"/>
        <w:spacing w:line="460" w:lineRule="exact"/>
        <w:ind w:firstLine="514"/>
        <w:rPr>
          <w:rFonts w:hint="eastAsia" w:ascii="宋体" w:hAnsi="宋体" w:cs="宋体"/>
          <w:bCs/>
          <w:color w:val="auto"/>
          <w:sz w:val="21"/>
          <w:szCs w:val="21"/>
          <w:highlight w:val="none"/>
        </w:rPr>
      </w:pPr>
      <w:r>
        <w:rPr>
          <w:rFonts w:ascii="宋体" w:hAnsi="宋体" w:cs="宋体"/>
          <w:bCs/>
          <w:color w:val="auto"/>
          <w:sz w:val="21"/>
          <w:szCs w:val="21"/>
          <w:highlight w:val="none"/>
        </w:rPr>
        <w:t xml:space="preserve">2.递交方式：银行转账、支票、汇票、本票或者金融、担保机构出具的保函等非现金方式。 </w:t>
      </w:r>
    </w:p>
    <w:p w14:paraId="75FA2FE7">
      <w:pPr>
        <w:snapToGrid w:val="0"/>
        <w:spacing w:line="460" w:lineRule="exact"/>
        <w:ind w:firstLine="514"/>
        <w:rPr>
          <w:rFonts w:hint="eastAsia" w:ascii="宋体" w:hAnsi="宋体" w:cs="宋体"/>
          <w:bCs/>
          <w:color w:val="auto"/>
          <w:sz w:val="21"/>
          <w:szCs w:val="21"/>
          <w:highlight w:val="none"/>
        </w:rPr>
      </w:pPr>
      <w:r>
        <w:rPr>
          <w:rFonts w:ascii="宋体" w:hAnsi="宋体" w:cs="宋体"/>
          <w:bCs/>
          <w:color w:val="auto"/>
          <w:sz w:val="21"/>
          <w:szCs w:val="21"/>
          <w:highlight w:val="none"/>
        </w:rPr>
        <w:t>3.</w:t>
      </w:r>
      <w:r>
        <w:rPr>
          <w:rFonts w:hint="eastAsia" w:ascii="宋体" w:hAnsi="宋体" w:cs="宋体"/>
          <w:bCs/>
          <w:color w:val="auto"/>
          <w:sz w:val="21"/>
          <w:szCs w:val="21"/>
          <w:highlight w:val="none"/>
        </w:rPr>
        <w:t>乙方</w:t>
      </w:r>
      <w:r>
        <w:rPr>
          <w:rFonts w:ascii="宋体" w:hAnsi="宋体" w:cs="宋体"/>
          <w:bCs/>
          <w:color w:val="auto"/>
          <w:sz w:val="21"/>
          <w:szCs w:val="21"/>
          <w:highlight w:val="none"/>
        </w:rPr>
        <w:t>若不能完全履行合同，履约保证金不返还；</w:t>
      </w:r>
      <w:r>
        <w:rPr>
          <w:rFonts w:hint="eastAsia" w:ascii="宋体" w:hAnsi="宋体" w:cs="宋体"/>
          <w:color w:val="auto"/>
          <w:sz w:val="21"/>
          <w:szCs w:val="21"/>
          <w:highlight w:val="none"/>
          <w:lang w:eastAsia="zh-CN"/>
        </w:rPr>
        <w:t>合同验收满 (1年)项目无质量问题，成交供应商向采购人提供验收单及履约保证金退付申请，采购人在15个工作日内无息退还履约保证金</w:t>
      </w:r>
      <w:r>
        <w:rPr>
          <w:rFonts w:cs="宋体"/>
          <w:color w:val="auto"/>
          <w:kern w:val="0"/>
          <w:szCs w:val="21"/>
        </w:rPr>
        <w:t>。</w:t>
      </w:r>
      <w:r>
        <w:rPr>
          <w:rFonts w:ascii="宋体" w:hAnsi="宋体" w:cs="宋体"/>
          <w:bCs/>
          <w:color w:val="auto"/>
          <w:sz w:val="21"/>
          <w:szCs w:val="21"/>
          <w:highlight w:val="none"/>
        </w:rPr>
        <w:t>涉及违约的违约金和损失赔偿从履约保证金中扣减。</w:t>
      </w:r>
    </w:p>
    <w:p w14:paraId="1A0CB2D9">
      <w:pPr>
        <w:snapToGrid w:val="0"/>
        <w:spacing w:line="460" w:lineRule="exact"/>
        <w:ind w:firstLine="514"/>
        <w:rPr>
          <w:rFonts w:hint="eastAsia" w:ascii="宋体" w:hAnsi="宋体" w:cs="宋体"/>
          <w:bCs/>
          <w:color w:val="auto"/>
          <w:sz w:val="21"/>
          <w:szCs w:val="21"/>
          <w:highlight w:val="none"/>
        </w:rPr>
      </w:pPr>
      <w:r>
        <w:rPr>
          <w:rFonts w:ascii="宋体" w:hAnsi="宋体" w:cs="宋体"/>
          <w:bCs/>
          <w:color w:val="auto"/>
          <w:sz w:val="21"/>
          <w:szCs w:val="21"/>
          <w:highlight w:val="none"/>
        </w:rPr>
        <w:t xml:space="preserve">履约保证金指定账户： </w:t>
      </w:r>
    </w:p>
    <w:p w14:paraId="453F963D">
      <w:pPr>
        <w:snapToGrid w:val="0"/>
        <w:spacing w:line="460" w:lineRule="exact"/>
        <w:ind w:firstLine="514"/>
        <w:rPr>
          <w:rFonts w:hint="eastAsia" w:ascii="宋体" w:hAnsi="宋体" w:cs="宋体"/>
          <w:bCs/>
          <w:color w:val="auto"/>
          <w:sz w:val="21"/>
          <w:szCs w:val="21"/>
          <w:highlight w:val="none"/>
        </w:rPr>
      </w:pPr>
      <w:r>
        <w:rPr>
          <w:rFonts w:hint="eastAsia" w:ascii="宋体" w:hAnsi="宋体" w:cs="宋体"/>
          <w:bCs/>
          <w:color w:val="auto"/>
          <w:sz w:val="21"/>
          <w:szCs w:val="21"/>
          <w:highlight w:val="none"/>
        </w:rPr>
        <w:t>开户名称：广西幼儿师范高等专科学校</w:t>
      </w:r>
    </w:p>
    <w:p w14:paraId="379B4495">
      <w:pPr>
        <w:snapToGrid w:val="0"/>
        <w:spacing w:line="460" w:lineRule="exact"/>
        <w:ind w:firstLine="514"/>
        <w:rPr>
          <w:rFonts w:hint="eastAsia" w:ascii="宋体" w:hAnsi="宋体" w:cs="宋体"/>
          <w:bCs/>
          <w:color w:val="auto"/>
          <w:sz w:val="21"/>
          <w:szCs w:val="21"/>
          <w:highlight w:val="none"/>
        </w:rPr>
      </w:pPr>
      <w:r>
        <w:rPr>
          <w:rFonts w:hint="eastAsia" w:ascii="宋体" w:hAnsi="宋体" w:cs="宋体"/>
          <w:bCs/>
          <w:color w:val="auto"/>
          <w:sz w:val="21"/>
          <w:szCs w:val="21"/>
          <w:highlight w:val="none"/>
        </w:rPr>
        <w:t>开户银行：招商银行南宁民族大道支行</w:t>
      </w:r>
    </w:p>
    <w:p w14:paraId="6202A53C">
      <w:pPr>
        <w:snapToGrid w:val="0"/>
        <w:spacing w:line="460" w:lineRule="exact"/>
        <w:ind w:firstLine="514"/>
        <w:rPr>
          <w:rFonts w:hint="eastAsia" w:ascii="宋体" w:hAnsi="宋体" w:cs="宋体"/>
          <w:bCs/>
          <w:color w:val="auto"/>
          <w:sz w:val="21"/>
          <w:szCs w:val="21"/>
          <w:highlight w:val="none"/>
        </w:rPr>
      </w:pPr>
      <w:r>
        <w:rPr>
          <w:rFonts w:hint="eastAsia" w:ascii="宋体" w:hAnsi="宋体" w:cs="宋体"/>
          <w:bCs/>
          <w:color w:val="auto"/>
          <w:sz w:val="21"/>
          <w:szCs w:val="21"/>
          <w:highlight w:val="none"/>
        </w:rPr>
        <w:t>银行账号：771902121410201</w:t>
      </w:r>
    </w:p>
    <w:p w14:paraId="3A661BA4">
      <w:pPr>
        <w:snapToGrid w:val="0"/>
        <w:spacing w:line="460" w:lineRule="exact"/>
        <w:ind w:firstLine="514"/>
        <w:rPr>
          <w:rFonts w:hint="eastAsia" w:ascii="宋体" w:hAnsi="宋体" w:cs="宋体"/>
          <w:b/>
          <w:color w:val="auto"/>
          <w:sz w:val="21"/>
          <w:szCs w:val="21"/>
          <w:highlight w:val="none"/>
        </w:rPr>
      </w:pPr>
      <w:r>
        <w:rPr>
          <w:rFonts w:hint="eastAsia" w:ascii="宋体" w:hAnsi="宋体" w:cs="宋体"/>
          <w:b/>
          <w:color w:val="auto"/>
          <w:sz w:val="21"/>
          <w:szCs w:val="21"/>
          <w:highlight w:val="none"/>
        </w:rPr>
        <w:t>第九条  税费</w:t>
      </w:r>
    </w:p>
    <w:p w14:paraId="7A3F3811">
      <w:pPr>
        <w:snapToGrid w:val="0"/>
        <w:spacing w:line="460" w:lineRule="exact"/>
        <w:ind w:firstLine="514"/>
        <w:rPr>
          <w:rFonts w:hint="eastAsia" w:ascii="宋体" w:hAnsi="宋体" w:cs="宋体"/>
          <w:color w:val="auto"/>
          <w:sz w:val="21"/>
          <w:szCs w:val="21"/>
          <w:highlight w:val="none"/>
        </w:rPr>
      </w:pPr>
      <w:r>
        <w:rPr>
          <w:rFonts w:hint="eastAsia" w:ascii="宋体" w:hAnsi="宋体" w:cs="宋体"/>
          <w:color w:val="auto"/>
          <w:sz w:val="21"/>
          <w:szCs w:val="21"/>
          <w:highlight w:val="none"/>
        </w:rPr>
        <w:t>本合同执行中相关的一切税费均由乙方负担，合同另有约定的除外。合同执行期间税费发生变化的，由乙方承担。</w:t>
      </w:r>
    </w:p>
    <w:p w14:paraId="6656EE0B">
      <w:pPr>
        <w:snapToGrid w:val="0"/>
        <w:spacing w:line="460" w:lineRule="exact"/>
        <w:ind w:firstLine="514"/>
        <w:rPr>
          <w:rFonts w:hint="eastAsia" w:ascii="宋体" w:hAnsi="宋体" w:cs="宋体"/>
          <w:color w:val="auto"/>
          <w:sz w:val="21"/>
          <w:szCs w:val="21"/>
          <w:highlight w:val="none"/>
        </w:rPr>
      </w:pPr>
      <w:r>
        <w:rPr>
          <w:rFonts w:hint="eastAsia" w:ascii="宋体" w:hAnsi="宋体" w:cs="宋体"/>
          <w:b/>
          <w:color w:val="auto"/>
          <w:sz w:val="21"/>
          <w:szCs w:val="21"/>
          <w:highlight w:val="none"/>
        </w:rPr>
        <w:t>第十条  质量保证、售后服务</w:t>
      </w:r>
    </w:p>
    <w:p w14:paraId="2FF6FE3A">
      <w:pPr>
        <w:snapToGrid w:val="0"/>
        <w:spacing w:line="460" w:lineRule="exact"/>
        <w:ind w:firstLine="420" w:firstLineChars="200"/>
        <w:rPr>
          <w:rFonts w:hint="eastAsia" w:ascii="宋体" w:hAnsi="宋体" w:cs="宋体"/>
          <w:bCs/>
          <w:color w:val="auto"/>
          <w:kern w:val="0"/>
          <w:sz w:val="21"/>
          <w:szCs w:val="21"/>
          <w:highlight w:val="none"/>
        </w:rPr>
      </w:pPr>
      <w:r>
        <w:rPr>
          <w:rFonts w:hint="eastAsia" w:hAnsi="宋体" w:cs="宋体"/>
          <w:color w:val="auto"/>
          <w:sz w:val="21"/>
          <w:szCs w:val="21"/>
          <w:highlight w:val="none"/>
        </w:rPr>
        <w:t>1</w:t>
      </w:r>
      <w:r>
        <w:rPr>
          <w:rFonts w:hint="eastAsia" w:ascii="宋体" w:hAnsi="宋体" w:cs="宋体"/>
          <w:bCs/>
          <w:color w:val="auto"/>
          <w:kern w:val="0"/>
          <w:sz w:val="21"/>
          <w:szCs w:val="21"/>
          <w:highlight w:val="none"/>
        </w:rPr>
        <w:t>.乙方应按照国家有关法律法规和“三包”规定以及采购文件要求、响应文件承诺和本合同所附的《售后服务承诺》，为甲方提供售后服务。</w:t>
      </w:r>
    </w:p>
    <w:p w14:paraId="3183D5EE">
      <w:pPr>
        <w:snapToGrid w:val="0"/>
        <w:spacing w:line="460" w:lineRule="exact"/>
        <w:ind w:firstLine="420" w:firstLineChars="200"/>
        <w:rPr>
          <w:rFonts w:hint="eastAsia" w:ascii="宋体" w:hAnsi="宋体" w:cs="宋体"/>
          <w:bCs/>
          <w:color w:val="auto"/>
          <w:kern w:val="0"/>
          <w:sz w:val="21"/>
          <w:szCs w:val="21"/>
          <w:highlight w:val="none"/>
        </w:rPr>
      </w:pPr>
      <w:r>
        <w:rPr>
          <w:rFonts w:hint="eastAsia" w:ascii="宋体" w:hAnsi="宋体" w:cs="宋体"/>
          <w:bCs/>
          <w:color w:val="auto"/>
          <w:kern w:val="0"/>
          <w:sz w:val="21"/>
          <w:szCs w:val="21"/>
          <w:highlight w:val="none"/>
        </w:rPr>
        <w:t>2.乙方应按采购文件规定的设备和软件性能、技术要求、质量标准向甲方提供未经使用的全新产品。对达不到要求者，根据实际情况，经双方协商，可按以下办法处理：</w:t>
      </w:r>
    </w:p>
    <w:p w14:paraId="29B2E3A7">
      <w:pPr>
        <w:snapToGrid w:val="0"/>
        <w:spacing w:line="460" w:lineRule="exact"/>
        <w:ind w:firstLine="420" w:firstLineChars="200"/>
        <w:rPr>
          <w:rFonts w:hint="eastAsia" w:ascii="宋体" w:hAnsi="宋体" w:cs="宋体"/>
          <w:bCs/>
          <w:color w:val="auto"/>
          <w:kern w:val="0"/>
          <w:sz w:val="21"/>
          <w:szCs w:val="21"/>
          <w:highlight w:val="none"/>
        </w:rPr>
      </w:pPr>
      <w:r>
        <w:rPr>
          <w:rFonts w:hint="eastAsia" w:ascii="宋体" w:hAnsi="宋体" w:cs="宋体"/>
          <w:bCs/>
          <w:color w:val="auto"/>
          <w:kern w:val="0"/>
          <w:sz w:val="21"/>
          <w:szCs w:val="21"/>
          <w:highlight w:val="none"/>
        </w:rPr>
        <w:t>（1）更换：由乙方承担所发生的全部费用。</w:t>
      </w:r>
    </w:p>
    <w:p w14:paraId="4ED44F7D">
      <w:pPr>
        <w:snapToGrid w:val="0"/>
        <w:spacing w:line="460" w:lineRule="exact"/>
        <w:ind w:firstLine="420" w:firstLineChars="200"/>
        <w:rPr>
          <w:rFonts w:hint="eastAsia" w:ascii="宋体" w:hAnsi="宋体" w:cs="宋体"/>
          <w:bCs/>
          <w:color w:val="auto"/>
          <w:kern w:val="0"/>
          <w:sz w:val="21"/>
          <w:szCs w:val="21"/>
          <w:highlight w:val="none"/>
        </w:rPr>
      </w:pPr>
      <w:r>
        <w:rPr>
          <w:rFonts w:hint="eastAsia" w:ascii="宋体" w:hAnsi="宋体" w:cs="宋体"/>
          <w:bCs/>
          <w:color w:val="auto"/>
          <w:kern w:val="0"/>
          <w:sz w:val="21"/>
          <w:szCs w:val="21"/>
          <w:highlight w:val="none"/>
        </w:rPr>
        <w:t>（2）贬值处理：由甲乙双方合议定价。</w:t>
      </w:r>
    </w:p>
    <w:p w14:paraId="41FA55BD">
      <w:pPr>
        <w:snapToGrid w:val="0"/>
        <w:spacing w:line="460" w:lineRule="exact"/>
        <w:ind w:firstLine="420" w:firstLineChars="200"/>
        <w:rPr>
          <w:rFonts w:hint="eastAsia" w:ascii="宋体" w:hAnsi="宋体" w:cs="宋体"/>
          <w:bCs/>
          <w:color w:val="auto"/>
          <w:kern w:val="0"/>
          <w:sz w:val="21"/>
          <w:szCs w:val="21"/>
          <w:highlight w:val="none"/>
        </w:rPr>
      </w:pPr>
      <w:r>
        <w:rPr>
          <w:rFonts w:hint="eastAsia" w:ascii="宋体" w:hAnsi="宋体" w:cs="宋体"/>
          <w:bCs/>
          <w:color w:val="auto"/>
          <w:kern w:val="0"/>
          <w:sz w:val="21"/>
          <w:szCs w:val="21"/>
          <w:highlight w:val="none"/>
        </w:rPr>
        <w:t>（3）退货处理：乙方应退还甲方支付的合同款，同时应承担该货物的直接费用（运输、保险、检验、货款利息及银行手续费等）。</w:t>
      </w:r>
    </w:p>
    <w:p w14:paraId="3BB7F9A5">
      <w:pPr>
        <w:snapToGrid w:val="0"/>
        <w:spacing w:line="460" w:lineRule="exact"/>
        <w:ind w:firstLine="420" w:firstLineChars="200"/>
        <w:rPr>
          <w:rFonts w:hint="eastAsia" w:ascii="宋体" w:hAnsi="宋体" w:cs="宋体"/>
          <w:bCs/>
          <w:color w:val="auto"/>
          <w:kern w:val="0"/>
          <w:sz w:val="21"/>
          <w:szCs w:val="21"/>
          <w:highlight w:val="none"/>
        </w:rPr>
      </w:pPr>
      <w:r>
        <w:rPr>
          <w:rFonts w:hint="eastAsia" w:ascii="宋体" w:hAnsi="宋体" w:cs="宋体"/>
          <w:bCs/>
          <w:color w:val="auto"/>
          <w:kern w:val="0"/>
          <w:sz w:val="21"/>
          <w:szCs w:val="21"/>
          <w:highlight w:val="none"/>
        </w:rPr>
        <w:t>如果双方不能就上述第（1）、（2）项达成协议，则甲方有权单方选择第（3）项方式。</w:t>
      </w:r>
    </w:p>
    <w:p w14:paraId="1BF0FB72">
      <w:pPr>
        <w:snapToGrid w:val="0"/>
        <w:spacing w:line="460" w:lineRule="exact"/>
        <w:ind w:firstLine="420" w:firstLineChars="200"/>
        <w:rPr>
          <w:rFonts w:hint="eastAsia" w:ascii="宋体" w:hAnsi="宋体" w:cs="宋体"/>
          <w:bCs/>
          <w:color w:val="auto"/>
          <w:kern w:val="0"/>
          <w:sz w:val="21"/>
          <w:szCs w:val="21"/>
          <w:highlight w:val="none"/>
        </w:rPr>
      </w:pPr>
      <w:r>
        <w:rPr>
          <w:rFonts w:ascii="宋体" w:hAnsi="宋体" w:cs="宋体"/>
          <w:bCs/>
          <w:color w:val="auto"/>
          <w:kern w:val="0"/>
          <w:sz w:val="21"/>
          <w:szCs w:val="21"/>
          <w:highlight w:val="none"/>
        </w:rPr>
        <w:t>3</w:t>
      </w:r>
      <w:r>
        <w:rPr>
          <w:rFonts w:hint="eastAsia" w:ascii="宋体" w:hAnsi="宋体" w:cs="宋体"/>
          <w:bCs/>
          <w:color w:val="auto"/>
          <w:kern w:val="0"/>
          <w:sz w:val="21"/>
          <w:szCs w:val="21"/>
          <w:highlight w:val="none"/>
        </w:rPr>
        <w:t>.乙方提供的服务承诺和售后服务及质量保证期责任等其他具体约定事项（见合同附件）。</w:t>
      </w:r>
    </w:p>
    <w:p w14:paraId="06EB095A">
      <w:pPr>
        <w:snapToGrid w:val="0"/>
        <w:spacing w:line="460" w:lineRule="exact"/>
        <w:ind w:firstLine="420" w:firstLineChars="200"/>
        <w:rPr>
          <w:rFonts w:hint="eastAsia" w:ascii="宋体" w:hAnsi="宋体" w:cs="宋体"/>
          <w:bCs/>
          <w:color w:val="auto"/>
          <w:kern w:val="0"/>
          <w:sz w:val="21"/>
          <w:szCs w:val="21"/>
          <w:highlight w:val="none"/>
        </w:rPr>
      </w:pPr>
      <w:r>
        <w:rPr>
          <w:rFonts w:hAnsi="宋体" w:cs="宋体"/>
          <w:color w:val="auto"/>
          <w:sz w:val="21"/>
          <w:szCs w:val="21"/>
          <w:highlight w:val="none"/>
        </w:rPr>
        <w:t>4</w:t>
      </w:r>
      <w:r>
        <w:rPr>
          <w:rFonts w:hint="eastAsia" w:ascii="宋体" w:hAnsi="宋体" w:cs="宋体"/>
          <w:bCs/>
          <w:color w:val="auto"/>
          <w:kern w:val="0"/>
          <w:sz w:val="21"/>
          <w:szCs w:val="21"/>
          <w:highlight w:val="none"/>
        </w:rPr>
        <w:t>.乙方除承担运输、安装、调试、验收与培训等义务外，还将为甲方提供技术支持，包括质量保证期外的技术指导。</w:t>
      </w:r>
    </w:p>
    <w:p w14:paraId="01D2795F">
      <w:pPr>
        <w:snapToGrid w:val="0"/>
        <w:spacing w:line="460" w:lineRule="exact"/>
        <w:ind w:firstLine="420" w:firstLineChars="200"/>
        <w:rPr>
          <w:rFonts w:hint="eastAsia" w:ascii="宋体" w:hAnsi="宋体" w:cs="宋体"/>
          <w:bCs/>
          <w:color w:val="auto"/>
          <w:kern w:val="0"/>
          <w:sz w:val="21"/>
          <w:szCs w:val="21"/>
          <w:highlight w:val="none"/>
        </w:rPr>
      </w:pPr>
      <w:r>
        <w:rPr>
          <w:rFonts w:hAnsi="宋体" w:cs="宋体"/>
          <w:color w:val="auto"/>
          <w:sz w:val="21"/>
          <w:szCs w:val="21"/>
          <w:highlight w:val="none"/>
        </w:rPr>
        <w:t>5</w:t>
      </w:r>
      <w:r>
        <w:rPr>
          <w:rFonts w:hint="eastAsia" w:ascii="宋体" w:hAnsi="宋体" w:cs="宋体"/>
          <w:bCs/>
          <w:color w:val="auto"/>
          <w:kern w:val="0"/>
          <w:sz w:val="21"/>
          <w:szCs w:val="21"/>
          <w:highlight w:val="none"/>
        </w:rPr>
        <w:t>.在质保期内，乙方应对货物出现的质量及安全问题负责处理解决并承担一切费用。</w:t>
      </w:r>
    </w:p>
    <w:p w14:paraId="0286E36B">
      <w:pPr>
        <w:snapToGrid w:val="0"/>
        <w:spacing w:line="460" w:lineRule="exact"/>
        <w:ind w:firstLine="420" w:firstLineChars="200"/>
        <w:rPr>
          <w:rFonts w:hint="eastAsia" w:ascii="宋体" w:hAnsi="宋体" w:cs="宋体"/>
          <w:bCs/>
          <w:color w:val="auto"/>
          <w:kern w:val="0"/>
          <w:sz w:val="21"/>
          <w:szCs w:val="21"/>
          <w:highlight w:val="none"/>
        </w:rPr>
      </w:pPr>
      <w:r>
        <w:rPr>
          <w:rFonts w:hAnsi="宋体" w:cs="宋体"/>
          <w:color w:val="auto"/>
          <w:sz w:val="21"/>
          <w:szCs w:val="21"/>
          <w:highlight w:val="none"/>
        </w:rPr>
        <w:t>6</w:t>
      </w:r>
      <w:r>
        <w:rPr>
          <w:rFonts w:hint="eastAsia" w:ascii="宋体" w:hAnsi="宋体" w:cs="宋体"/>
          <w:bCs/>
          <w:color w:val="auto"/>
          <w:kern w:val="0"/>
          <w:sz w:val="21"/>
          <w:szCs w:val="21"/>
          <w:highlight w:val="none"/>
        </w:rPr>
        <w:t>.超过质量保证期的机器设备，终身维修，维修时只收部件成本费。</w:t>
      </w:r>
    </w:p>
    <w:p w14:paraId="0BCF324E">
      <w:pPr>
        <w:snapToGrid w:val="0"/>
        <w:spacing w:line="460" w:lineRule="exact"/>
        <w:ind w:firstLine="420" w:firstLineChars="200"/>
        <w:rPr>
          <w:rFonts w:hint="eastAsia" w:ascii="宋体" w:hAnsi="宋体" w:cs="宋体"/>
          <w:color w:val="auto"/>
          <w:sz w:val="21"/>
          <w:szCs w:val="21"/>
          <w:highlight w:val="none"/>
        </w:rPr>
      </w:pPr>
      <w:r>
        <w:rPr>
          <w:rFonts w:hAnsi="宋体" w:cs="宋体"/>
          <w:color w:val="auto"/>
          <w:sz w:val="21"/>
          <w:szCs w:val="21"/>
          <w:highlight w:val="none"/>
        </w:rPr>
        <w:t>7</w:t>
      </w:r>
      <w:r>
        <w:rPr>
          <w:rFonts w:hint="eastAsia" w:ascii="宋体" w:hAnsi="宋体" w:cs="宋体"/>
          <w:bCs/>
          <w:color w:val="auto"/>
          <w:kern w:val="0"/>
          <w:sz w:val="21"/>
          <w:szCs w:val="21"/>
          <w:highlight w:val="none"/>
        </w:rPr>
        <w:t>.货物质量保证期：</w:t>
      </w:r>
      <w:r>
        <w:rPr>
          <w:rFonts w:hint="eastAsia" w:ascii="宋体" w:hAnsi="宋体" w:cs="宋体"/>
          <w:color w:val="auto"/>
          <w:sz w:val="21"/>
          <w:szCs w:val="21"/>
          <w:highlight w:val="none"/>
          <w:u w:val="single"/>
        </w:rPr>
        <w:t>按国家有关产品“三包”规定执行“三包”，质量保证期不少于</w:t>
      </w:r>
      <w:r>
        <w:rPr>
          <w:rFonts w:ascii="宋体" w:hAnsi="宋体" w:cs="宋体"/>
          <w:color w:val="auto"/>
          <w:sz w:val="21"/>
          <w:szCs w:val="21"/>
          <w:highlight w:val="none"/>
          <w:u w:val="single"/>
        </w:rPr>
        <w:t>*</w:t>
      </w:r>
      <w:r>
        <w:rPr>
          <w:rFonts w:hint="eastAsia" w:ascii="宋体" w:hAnsi="宋体" w:cs="宋体"/>
          <w:color w:val="auto"/>
          <w:sz w:val="21"/>
          <w:szCs w:val="21"/>
          <w:highlight w:val="none"/>
          <w:u w:val="single"/>
        </w:rPr>
        <w:t>年（质量保证期自货物验收合格之日起计。分项货物或配置有明确要求的按分项要求；生产厂家承诺的</w:t>
      </w:r>
      <w:r>
        <w:rPr>
          <w:rFonts w:hint="eastAsia" w:ascii="宋体" w:hAnsi="宋体" w:cs="宋体"/>
          <w:bCs/>
          <w:color w:val="auto"/>
          <w:kern w:val="0"/>
          <w:sz w:val="21"/>
          <w:szCs w:val="21"/>
          <w:highlight w:val="none"/>
          <w:u w:val="single"/>
        </w:rPr>
        <w:t>质量保证期</w:t>
      </w:r>
      <w:r>
        <w:rPr>
          <w:rFonts w:hint="eastAsia" w:ascii="宋体" w:hAnsi="宋体" w:cs="宋体"/>
          <w:color w:val="auto"/>
          <w:sz w:val="21"/>
          <w:szCs w:val="21"/>
          <w:highlight w:val="none"/>
          <w:u w:val="single"/>
        </w:rPr>
        <w:t>更长的按生产厂家的承诺；</w:t>
      </w:r>
      <w:r>
        <w:rPr>
          <w:rFonts w:hint="eastAsia" w:ascii="宋体" w:hAnsi="宋体" w:cs="宋体"/>
          <w:bCs/>
          <w:color w:val="auto"/>
          <w:kern w:val="0"/>
          <w:sz w:val="21"/>
          <w:szCs w:val="21"/>
          <w:highlight w:val="none"/>
          <w:u w:val="single"/>
        </w:rPr>
        <w:t>乙方响应文件承诺更优的，以乙方响应文件承诺为准</w:t>
      </w:r>
      <w:r>
        <w:rPr>
          <w:rFonts w:hint="eastAsia" w:ascii="宋体" w:hAnsi="宋体" w:cs="宋体"/>
          <w:color w:val="auto"/>
          <w:sz w:val="21"/>
          <w:szCs w:val="21"/>
          <w:highlight w:val="none"/>
          <w:u w:val="single"/>
        </w:rPr>
        <w:t>）</w:t>
      </w:r>
      <w:r>
        <w:rPr>
          <w:rFonts w:hint="eastAsia" w:ascii="宋体" w:hAnsi="宋体" w:cs="宋体"/>
          <w:bCs/>
          <w:color w:val="auto"/>
          <w:kern w:val="0"/>
          <w:sz w:val="21"/>
          <w:szCs w:val="21"/>
          <w:highlight w:val="none"/>
          <w:u w:val="single"/>
        </w:rPr>
        <w:t>。</w:t>
      </w:r>
    </w:p>
    <w:p w14:paraId="26C987D1">
      <w:pPr>
        <w:snapToGrid w:val="0"/>
        <w:spacing w:line="46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第十一条　违约责任</w:t>
      </w:r>
    </w:p>
    <w:p w14:paraId="08E8B8BC">
      <w:pPr>
        <w:keepNext w:val="0"/>
        <w:keepLines w:val="0"/>
        <w:pageBreakBefore w:val="0"/>
        <w:widowControl w:val="0"/>
        <w:kinsoku/>
        <w:wordWrap/>
        <w:overflowPunct/>
        <w:topLinePunct w:val="0"/>
        <w:autoSpaceDE/>
        <w:autoSpaceDN/>
        <w:bidi w:val="0"/>
        <w:adjustRightInd/>
        <w:snapToGrid w:val="0"/>
        <w:spacing w:line="460" w:lineRule="exact"/>
        <w:ind w:firstLine="420" w:firstLineChars="200"/>
        <w:textAlignment w:val="auto"/>
        <w:rPr>
          <w:color w:val="auto"/>
          <w:szCs w:val="21"/>
        </w:rPr>
      </w:pPr>
      <w:r>
        <w:rPr>
          <w:rFonts w:hint="eastAsia"/>
          <w:color w:val="auto"/>
          <w:szCs w:val="21"/>
        </w:rPr>
        <w:t>1</w:t>
      </w:r>
      <w:r>
        <w:rPr>
          <w:color w:val="auto"/>
          <w:szCs w:val="21"/>
        </w:rPr>
        <w:t>.</w:t>
      </w:r>
      <w:r>
        <w:rPr>
          <w:rFonts w:hint="eastAsia"/>
          <w:color w:val="auto"/>
        </w:rPr>
        <w:t xml:space="preserve"> </w:t>
      </w:r>
      <w:r>
        <w:rPr>
          <w:rFonts w:hint="eastAsia"/>
          <w:color w:val="auto"/>
          <w:szCs w:val="21"/>
        </w:rPr>
        <w:t>验收时，甲方将对乙方提供的货物对照响应文件技术响应表的内容进行逐项核查验收，乙方响应文件技术响应表或证明材料中满足或优于的技术参数，在验收时实际不满足技术参数要求的，视为乙方违约，甲方不予验收，没收乙方所缴纳的履约保证金；乙方须退回甲方所支付的所有合同款，且乙方须向甲方支付合同总额30%的违约金，并赔偿因此造成甲方的一切损失。</w:t>
      </w:r>
    </w:p>
    <w:p w14:paraId="48EB9EE0">
      <w:pPr>
        <w:keepNext w:val="0"/>
        <w:keepLines w:val="0"/>
        <w:pageBreakBefore w:val="0"/>
        <w:widowControl w:val="0"/>
        <w:kinsoku/>
        <w:wordWrap/>
        <w:overflowPunct/>
        <w:topLinePunct w:val="0"/>
        <w:autoSpaceDE/>
        <w:autoSpaceDN/>
        <w:bidi w:val="0"/>
        <w:adjustRightInd/>
        <w:snapToGrid w:val="0"/>
        <w:spacing w:line="460" w:lineRule="exact"/>
        <w:ind w:firstLine="420" w:firstLineChars="200"/>
        <w:textAlignment w:val="auto"/>
        <w:rPr>
          <w:color w:val="auto"/>
          <w:szCs w:val="21"/>
        </w:rPr>
      </w:pPr>
      <w:r>
        <w:rPr>
          <w:rFonts w:hint="eastAsia"/>
          <w:color w:val="auto"/>
          <w:szCs w:val="21"/>
          <w:lang w:val="en-US" w:eastAsia="zh-CN"/>
        </w:rPr>
        <w:t>2</w:t>
      </w:r>
      <w:r>
        <w:rPr>
          <w:color w:val="auto"/>
          <w:szCs w:val="21"/>
        </w:rPr>
        <w:t>.乙方逾期交货的，</w:t>
      </w:r>
      <w:r>
        <w:rPr>
          <w:rFonts w:hint="eastAsia"/>
          <w:color w:val="auto"/>
          <w:szCs w:val="21"/>
        </w:rPr>
        <w:t>应</w:t>
      </w:r>
      <w:r>
        <w:rPr>
          <w:color w:val="auto"/>
          <w:szCs w:val="21"/>
        </w:rPr>
        <w:t>向</w:t>
      </w:r>
      <w:r>
        <w:rPr>
          <w:rFonts w:hint="eastAsia"/>
          <w:color w:val="auto"/>
          <w:szCs w:val="21"/>
        </w:rPr>
        <w:t>甲</w:t>
      </w:r>
      <w:r>
        <w:rPr>
          <w:color w:val="auto"/>
          <w:szCs w:val="21"/>
        </w:rPr>
        <w:t>方</w:t>
      </w:r>
      <w:r>
        <w:rPr>
          <w:rFonts w:hint="eastAsia"/>
          <w:color w:val="auto"/>
          <w:szCs w:val="21"/>
        </w:rPr>
        <w:t>支付</w:t>
      </w:r>
      <w:r>
        <w:rPr>
          <w:color w:val="auto"/>
          <w:szCs w:val="21"/>
        </w:rPr>
        <w:t>违约</w:t>
      </w:r>
      <w:r>
        <w:rPr>
          <w:rFonts w:hint="eastAsia"/>
          <w:color w:val="auto"/>
          <w:szCs w:val="21"/>
        </w:rPr>
        <w:t>金，标准为合同总价</w:t>
      </w:r>
      <w:r>
        <w:rPr>
          <w:rFonts w:hint="eastAsia"/>
          <w:color w:val="auto"/>
          <w:szCs w:val="21"/>
          <w:u w:val="single"/>
          <w:lang w:eastAsia="zh-Hans"/>
        </w:rPr>
        <w:t>万分之五</w:t>
      </w:r>
      <w:r>
        <w:rPr>
          <w:color w:val="auto"/>
          <w:szCs w:val="21"/>
          <w:u w:val="single"/>
        </w:rPr>
        <w:t>/</w:t>
      </w:r>
      <w:r>
        <w:rPr>
          <w:rFonts w:hint="eastAsia"/>
          <w:color w:val="auto"/>
          <w:szCs w:val="21"/>
          <w:u w:val="single"/>
        </w:rPr>
        <w:t>日</w:t>
      </w:r>
      <w:r>
        <w:rPr>
          <w:color w:val="auto"/>
          <w:szCs w:val="21"/>
        </w:rPr>
        <w:t>，但违约金累计不得超过</w:t>
      </w:r>
      <w:r>
        <w:rPr>
          <w:rFonts w:hint="eastAsia"/>
          <w:color w:val="auto"/>
          <w:szCs w:val="21"/>
          <w:lang w:eastAsia="zh-Hans"/>
        </w:rPr>
        <w:t>合同总价</w:t>
      </w:r>
      <w:r>
        <w:rPr>
          <w:color w:val="auto"/>
          <w:szCs w:val="21"/>
          <w:u w:val="single"/>
        </w:rPr>
        <w:t>20%，</w:t>
      </w:r>
      <w:r>
        <w:rPr>
          <w:color w:val="auto"/>
          <w:szCs w:val="21"/>
        </w:rPr>
        <w:t>甲方延期付货款的，</w:t>
      </w:r>
      <w:r>
        <w:rPr>
          <w:rFonts w:hint="eastAsia"/>
          <w:color w:val="auto"/>
          <w:szCs w:val="21"/>
        </w:rPr>
        <w:t>应</w:t>
      </w:r>
      <w:r>
        <w:rPr>
          <w:color w:val="auto"/>
          <w:szCs w:val="21"/>
        </w:rPr>
        <w:t>向乙方</w:t>
      </w:r>
      <w:r>
        <w:rPr>
          <w:rFonts w:hint="eastAsia"/>
          <w:color w:val="auto"/>
          <w:szCs w:val="21"/>
        </w:rPr>
        <w:t>支</w:t>
      </w:r>
      <w:r>
        <w:rPr>
          <w:color w:val="auto"/>
          <w:szCs w:val="21"/>
        </w:rPr>
        <w:t>付延期</w:t>
      </w:r>
      <w:r>
        <w:rPr>
          <w:rFonts w:hint="eastAsia"/>
          <w:color w:val="auto"/>
          <w:szCs w:val="21"/>
          <w:lang w:eastAsia="zh-Hans"/>
        </w:rPr>
        <w:t>违约金</w:t>
      </w:r>
      <w:r>
        <w:rPr>
          <w:rFonts w:hint="eastAsia"/>
          <w:color w:val="auto"/>
          <w:szCs w:val="21"/>
        </w:rPr>
        <w:t>，标准为合同总价</w:t>
      </w:r>
      <w:r>
        <w:rPr>
          <w:color w:val="auto"/>
          <w:szCs w:val="21"/>
        </w:rPr>
        <w:t>额</w:t>
      </w:r>
      <w:r>
        <w:rPr>
          <w:rFonts w:hint="eastAsia"/>
          <w:color w:val="auto"/>
          <w:szCs w:val="21"/>
          <w:u w:val="single"/>
          <w:lang w:eastAsia="zh-Hans"/>
        </w:rPr>
        <w:t>万分之五</w:t>
      </w:r>
      <w:r>
        <w:rPr>
          <w:color w:val="auto"/>
          <w:szCs w:val="21"/>
          <w:u w:val="single"/>
        </w:rPr>
        <w:t>/</w:t>
      </w:r>
      <w:r>
        <w:rPr>
          <w:rFonts w:hint="eastAsia"/>
          <w:color w:val="auto"/>
          <w:szCs w:val="21"/>
          <w:u w:val="single"/>
        </w:rPr>
        <w:t>日</w:t>
      </w:r>
      <w:r>
        <w:rPr>
          <w:color w:val="auto"/>
          <w:szCs w:val="21"/>
        </w:rPr>
        <w:t>，但</w:t>
      </w:r>
      <w:r>
        <w:rPr>
          <w:rFonts w:hint="eastAsia"/>
          <w:color w:val="auto"/>
          <w:szCs w:val="21"/>
          <w:lang w:eastAsia="zh-Hans"/>
        </w:rPr>
        <w:t>违约金</w:t>
      </w:r>
      <w:r>
        <w:rPr>
          <w:color w:val="auto"/>
          <w:szCs w:val="21"/>
        </w:rPr>
        <w:t>累计不得超过延期货款额</w:t>
      </w:r>
      <w:r>
        <w:rPr>
          <w:color w:val="auto"/>
          <w:szCs w:val="21"/>
          <w:u w:val="single"/>
        </w:rPr>
        <w:t>20%</w:t>
      </w:r>
      <w:r>
        <w:rPr>
          <w:color w:val="auto"/>
          <w:szCs w:val="21"/>
        </w:rPr>
        <w:t>。</w:t>
      </w:r>
      <w:r>
        <w:rPr>
          <w:rFonts w:hint="eastAsia"/>
          <w:color w:val="auto"/>
          <w:szCs w:val="21"/>
        </w:rPr>
        <w:t>乙方逾期交货超过30日历天的，甲方有权解除本合同，没收乙方所缴纳的履约保证金；乙方须退回甲方所支付的所有合同款，且乙方须向甲方支付合同总额20%的违约金，并赔偿因此造成甲方的一切损失。</w:t>
      </w:r>
    </w:p>
    <w:p w14:paraId="38EEB4D7">
      <w:pPr>
        <w:keepNext w:val="0"/>
        <w:keepLines w:val="0"/>
        <w:pageBreakBefore w:val="0"/>
        <w:widowControl w:val="0"/>
        <w:kinsoku/>
        <w:wordWrap/>
        <w:overflowPunct/>
        <w:topLinePunct w:val="0"/>
        <w:autoSpaceDE/>
        <w:autoSpaceDN/>
        <w:bidi w:val="0"/>
        <w:adjustRightInd/>
        <w:snapToGrid w:val="0"/>
        <w:spacing w:line="460" w:lineRule="exact"/>
        <w:ind w:firstLine="420" w:firstLineChars="200"/>
        <w:textAlignment w:val="auto"/>
        <w:rPr>
          <w:color w:val="auto"/>
          <w:szCs w:val="21"/>
        </w:rPr>
      </w:pPr>
      <w:r>
        <w:rPr>
          <w:rFonts w:hint="eastAsia"/>
          <w:color w:val="auto"/>
          <w:szCs w:val="21"/>
          <w:lang w:val="en-US" w:eastAsia="zh-CN"/>
        </w:rPr>
        <w:t>3</w:t>
      </w:r>
      <w:r>
        <w:rPr>
          <w:color w:val="auto"/>
          <w:szCs w:val="21"/>
        </w:rPr>
        <w:t>.</w:t>
      </w:r>
      <w:r>
        <w:rPr>
          <w:rFonts w:hint="eastAsia"/>
          <w:color w:val="auto"/>
        </w:rPr>
        <w:t xml:space="preserve"> </w:t>
      </w:r>
      <w:r>
        <w:rPr>
          <w:rFonts w:hint="eastAsia"/>
          <w:color w:val="auto"/>
          <w:szCs w:val="21"/>
        </w:rPr>
        <w:t>除不可抗力外，乙方未能履行本合同约定的义务，经催告后在合理期限内仍未履行的，或者有其他违约行为致使不能实现合同目的的，或者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甲方有权解除本合同，没收乙方所缴纳的履约保证金，乙方须退回甲方所支付的所有合同款，且乙方须向甲方支付合同总额20%的违约金，并赔偿因此造成甲方的一切损失。</w:t>
      </w:r>
    </w:p>
    <w:p w14:paraId="205731F8">
      <w:pPr>
        <w:keepNext w:val="0"/>
        <w:keepLines w:val="0"/>
        <w:pageBreakBefore w:val="0"/>
        <w:widowControl w:val="0"/>
        <w:kinsoku/>
        <w:wordWrap/>
        <w:overflowPunct/>
        <w:topLinePunct w:val="0"/>
        <w:autoSpaceDE/>
        <w:autoSpaceDN/>
        <w:bidi w:val="0"/>
        <w:adjustRightInd/>
        <w:snapToGrid w:val="0"/>
        <w:spacing w:line="460" w:lineRule="exact"/>
        <w:ind w:firstLine="420" w:firstLineChars="200"/>
        <w:textAlignment w:val="auto"/>
        <w:rPr>
          <w:color w:val="auto"/>
          <w:szCs w:val="21"/>
        </w:rPr>
      </w:pPr>
      <w:r>
        <w:rPr>
          <w:rFonts w:hint="eastAsia"/>
          <w:color w:val="auto"/>
          <w:szCs w:val="21"/>
          <w:lang w:val="en-US" w:eastAsia="zh-CN"/>
        </w:rPr>
        <w:t>4</w:t>
      </w:r>
      <w:r>
        <w:rPr>
          <w:color w:val="auto"/>
          <w:szCs w:val="21"/>
        </w:rPr>
        <w:t>.乙方提供的货物在质量保证期内，因设计、工艺或材料的缺陷和其它质量原因造成的问题，由乙方负责，费用从</w:t>
      </w:r>
      <w:r>
        <w:rPr>
          <w:rFonts w:hint="eastAsia"/>
          <w:color w:val="auto"/>
          <w:szCs w:val="21"/>
          <w:lang w:eastAsia="zh-Hans"/>
        </w:rPr>
        <w:t>履约保证金及</w:t>
      </w:r>
      <w:r>
        <w:rPr>
          <w:rFonts w:hint="eastAsia"/>
          <w:color w:val="auto"/>
          <w:szCs w:val="21"/>
        </w:rPr>
        <w:t>剩余支付货款</w:t>
      </w:r>
      <w:r>
        <w:rPr>
          <w:color w:val="auto"/>
          <w:szCs w:val="21"/>
        </w:rPr>
        <w:t>中扣除，</w:t>
      </w:r>
      <w:r>
        <w:rPr>
          <w:rFonts w:hint="eastAsia"/>
          <w:color w:val="auto"/>
          <w:szCs w:val="21"/>
          <w:lang w:eastAsia="zh-Hans"/>
        </w:rPr>
        <w:t>履约保证金及</w:t>
      </w:r>
      <w:r>
        <w:rPr>
          <w:rFonts w:hint="eastAsia"/>
          <w:color w:val="auto"/>
          <w:szCs w:val="21"/>
        </w:rPr>
        <w:t>剩余支付货款</w:t>
      </w:r>
      <w:r>
        <w:rPr>
          <w:color w:val="auto"/>
          <w:szCs w:val="21"/>
        </w:rPr>
        <w:t>不足以支付的，由乙方另行支付。</w:t>
      </w:r>
    </w:p>
    <w:p w14:paraId="3B185F7E">
      <w:pPr>
        <w:keepNext w:val="0"/>
        <w:keepLines w:val="0"/>
        <w:pageBreakBefore w:val="0"/>
        <w:widowControl w:val="0"/>
        <w:kinsoku/>
        <w:wordWrap/>
        <w:overflowPunct/>
        <w:topLinePunct w:val="0"/>
        <w:autoSpaceDE/>
        <w:autoSpaceDN/>
        <w:bidi w:val="0"/>
        <w:adjustRightInd/>
        <w:snapToGrid w:val="0"/>
        <w:spacing w:line="460" w:lineRule="exact"/>
        <w:ind w:firstLine="420" w:firstLineChars="200"/>
        <w:textAlignment w:val="auto"/>
        <w:rPr>
          <w:color w:val="auto"/>
          <w:szCs w:val="21"/>
        </w:rPr>
      </w:pPr>
      <w:r>
        <w:rPr>
          <w:rFonts w:hint="eastAsia"/>
          <w:color w:val="auto"/>
          <w:szCs w:val="21"/>
          <w:lang w:val="en-US" w:eastAsia="zh-CN"/>
        </w:rPr>
        <w:t>5</w:t>
      </w:r>
      <w:r>
        <w:rPr>
          <w:color w:val="auto"/>
          <w:szCs w:val="21"/>
        </w:rPr>
        <w:t>.</w:t>
      </w:r>
      <w:r>
        <w:rPr>
          <w:rFonts w:hint="eastAsia"/>
          <w:color w:val="auto"/>
        </w:rPr>
        <w:t xml:space="preserve"> </w:t>
      </w:r>
      <w:r>
        <w:rPr>
          <w:rFonts w:hint="eastAsia"/>
          <w:color w:val="auto"/>
          <w:szCs w:val="21"/>
        </w:rPr>
        <w:t>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的约定，导致甲方无法实现合同目的的，甲方有权解除本合同，没收乙方所缴纳的履约保证金，乙方须退回甲方所支付的所有合同款，且乙方须向甲方支付合同总额20%的违约金，并赔偿因此造成甲方的一切损失。</w:t>
      </w:r>
    </w:p>
    <w:p w14:paraId="0951DB01">
      <w:pPr>
        <w:keepNext w:val="0"/>
        <w:keepLines w:val="0"/>
        <w:pageBreakBefore w:val="0"/>
        <w:widowControl w:val="0"/>
        <w:kinsoku/>
        <w:wordWrap/>
        <w:overflowPunct/>
        <w:topLinePunct w:val="0"/>
        <w:autoSpaceDE/>
        <w:autoSpaceDN/>
        <w:bidi w:val="0"/>
        <w:adjustRightInd/>
        <w:snapToGrid w:val="0"/>
        <w:spacing w:line="460" w:lineRule="exact"/>
        <w:ind w:firstLine="420" w:firstLineChars="200"/>
        <w:textAlignment w:val="auto"/>
        <w:rPr>
          <w:color w:val="auto"/>
          <w:szCs w:val="21"/>
        </w:rPr>
      </w:pPr>
      <w:r>
        <w:rPr>
          <w:rFonts w:hint="eastAsia"/>
          <w:color w:val="auto"/>
          <w:szCs w:val="21"/>
          <w:lang w:val="en-US" w:eastAsia="zh-CN"/>
        </w:rPr>
        <w:t>6</w:t>
      </w:r>
      <w:r>
        <w:rPr>
          <w:color w:val="auto"/>
          <w:szCs w:val="21"/>
        </w:rPr>
        <w:t>.其它违约行为按</w:t>
      </w:r>
      <w:r>
        <w:rPr>
          <w:rFonts w:hint="eastAsia"/>
          <w:color w:val="auto"/>
          <w:szCs w:val="21"/>
          <w:lang w:eastAsia="zh-Hans"/>
        </w:rPr>
        <w:t>合同总价</w:t>
      </w:r>
      <w:r>
        <w:rPr>
          <w:color w:val="auto"/>
          <w:szCs w:val="21"/>
        </w:rPr>
        <w:t>5%收取违约金并赔偿经济损失。</w:t>
      </w:r>
    </w:p>
    <w:p w14:paraId="5920E757">
      <w:pPr>
        <w:keepNext w:val="0"/>
        <w:keepLines w:val="0"/>
        <w:pageBreakBefore w:val="0"/>
        <w:widowControl w:val="0"/>
        <w:kinsoku/>
        <w:wordWrap/>
        <w:overflowPunct/>
        <w:topLinePunct w:val="0"/>
        <w:autoSpaceDE/>
        <w:autoSpaceDN/>
        <w:bidi w:val="0"/>
        <w:adjustRightInd/>
        <w:snapToGrid w:val="0"/>
        <w:spacing w:line="460" w:lineRule="exact"/>
        <w:ind w:firstLine="420" w:firstLineChars="200"/>
        <w:textAlignment w:val="auto"/>
        <w:rPr>
          <w:color w:val="auto"/>
          <w:szCs w:val="21"/>
        </w:rPr>
      </w:pPr>
      <w:r>
        <w:rPr>
          <w:rFonts w:hint="eastAsia"/>
          <w:color w:val="auto"/>
          <w:szCs w:val="21"/>
          <w:lang w:val="en-US" w:eastAsia="zh-CN"/>
        </w:rPr>
        <w:t>7</w:t>
      </w:r>
      <w:r>
        <w:rPr>
          <w:color w:val="auto"/>
          <w:szCs w:val="21"/>
        </w:rPr>
        <w:t>.</w:t>
      </w:r>
      <w:r>
        <w:rPr>
          <w:rFonts w:hint="eastAsia"/>
          <w:color w:val="auto"/>
          <w:szCs w:val="21"/>
        </w:rPr>
        <w:t>因甲方原因导致变更、中止或者终止政府采购合同的，应当依照合同约定对乙方受到的损失予以赔偿或者补偿。</w:t>
      </w:r>
      <w:r>
        <w:rPr>
          <w:color w:val="auto"/>
          <w:szCs w:val="21"/>
        </w:rPr>
        <w:t>赔偿（补偿）标准：</w:t>
      </w:r>
      <w:r>
        <w:rPr>
          <w:rFonts w:hint="eastAsia"/>
          <w:color w:val="auto"/>
          <w:szCs w:val="21"/>
          <w:u w:val="single"/>
        </w:rPr>
        <w:t xml:space="preserve"> </w:t>
      </w:r>
      <w:r>
        <w:rPr>
          <w:color w:val="auto"/>
          <w:szCs w:val="21"/>
          <w:u w:val="single"/>
        </w:rPr>
        <w:t xml:space="preserve"> </w:t>
      </w:r>
      <w:r>
        <w:rPr>
          <w:rFonts w:hint="eastAsia"/>
          <w:color w:val="auto"/>
          <w:szCs w:val="21"/>
          <w:u w:val="single"/>
        </w:rPr>
        <w:t>按实际损失赔偿</w:t>
      </w:r>
      <w:r>
        <w:rPr>
          <w:color w:val="auto"/>
          <w:szCs w:val="21"/>
          <w:u w:val="single"/>
        </w:rPr>
        <w:t xml:space="preserve">  </w:t>
      </w:r>
      <w:r>
        <w:rPr>
          <w:rFonts w:hint="eastAsia"/>
          <w:color w:val="auto"/>
          <w:szCs w:val="21"/>
        </w:rPr>
        <w:t>。</w:t>
      </w:r>
    </w:p>
    <w:p w14:paraId="75BC4F48">
      <w:pPr>
        <w:keepNext w:val="0"/>
        <w:keepLines w:val="0"/>
        <w:pageBreakBefore w:val="0"/>
        <w:widowControl w:val="0"/>
        <w:kinsoku/>
        <w:wordWrap/>
        <w:overflowPunct/>
        <w:topLinePunct w:val="0"/>
        <w:autoSpaceDE/>
        <w:autoSpaceDN/>
        <w:bidi w:val="0"/>
        <w:adjustRightInd/>
        <w:snapToGrid w:val="0"/>
        <w:spacing w:line="460" w:lineRule="exact"/>
        <w:ind w:firstLine="420" w:firstLineChars="200"/>
        <w:textAlignment w:val="auto"/>
        <w:rPr>
          <w:color w:val="auto"/>
          <w:szCs w:val="21"/>
        </w:rPr>
      </w:pPr>
      <w:r>
        <w:rPr>
          <w:rFonts w:hint="eastAsia"/>
          <w:color w:val="auto"/>
          <w:szCs w:val="21"/>
          <w:lang w:val="en-US" w:eastAsia="zh-CN"/>
        </w:rPr>
        <w:t>8</w:t>
      </w:r>
      <w:r>
        <w:rPr>
          <w:color w:val="auto"/>
          <w:szCs w:val="21"/>
        </w:rPr>
        <w:t>.</w:t>
      </w:r>
      <w:r>
        <w:rPr>
          <w:color w:val="auto"/>
        </w:rPr>
        <w:t xml:space="preserve"> </w:t>
      </w:r>
      <w:r>
        <w:rPr>
          <w:rFonts w:hint="eastAsia"/>
          <w:color w:val="auto"/>
          <w:szCs w:val="21"/>
        </w:rPr>
        <w:t>货物质保期内，乙方应严格按照国家的要求以及厂家的承诺实行“三包”，如产品出现故障，接到故障通知后2小时内响应，一般问题在2小时内通过远程方式解决，遇到大的问题24小时内派技术人员到达现场维修，48小时维修完毕。乙方未能及时维修或者解决，每延误一天，乙方须向甲方支付违约金伍仟元（¥</w:t>
      </w:r>
      <w:r>
        <w:rPr>
          <w:color w:val="auto"/>
          <w:szCs w:val="21"/>
        </w:rPr>
        <w:t>5</w:t>
      </w:r>
      <w:r>
        <w:rPr>
          <w:rFonts w:hint="eastAsia"/>
          <w:color w:val="auto"/>
          <w:szCs w:val="21"/>
        </w:rPr>
        <w:t>000.00），直到乙方完全修复为止。如因此对甲方造成损失，乙方须全额赔偿。</w:t>
      </w:r>
    </w:p>
    <w:p w14:paraId="48D17491">
      <w:pPr>
        <w:keepNext w:val="0"/>
        <w:keepLines w:val="0"/>
        <w:pageBreakBefore w:val="0"/>
        <w:widowControl w:val="0"/>
        <w:kinsoku/>
        <w:wordWrap/>
        <w:overflowPunct/>
        <w:topLinePunct w:val="0"/>
        <w:autoSpaceDE/>
        <w:autoSpaceDN/>
        <w:bidi w:val="0"/>
        <w:adjustRightInd/>
        <w:snapToGrid w:val="0"/>
        <w:spacing w:line="460" w:lineRule="exact"/>
        <w:ind w:firstLine="420" w:firstLineChars="200"/>
        <w:textAlignment w:val="auto"/>
        <w:rPr>
          <w:color w:val="auto"/>
          <w:szCs w:val="21"/>
        </w:rPr>
      </w:pPr>
      <w:r>
        <w:rPr>
          <w:rFonts w:hint="eastAsia"/>
          <w:color w:val="auto"/>
          <w:szCs w:val="21"/>
          <w:lang w:val="en-US" w:eastAsia="zh-CN"/>
        </w:rPr>
        <w:t>9</w:t>
      </w:r>
      <w:r>
        <w:rPr>
          <w:rFonts w:hint="eastAsia"/>
          <w:color w:val="auto"/>
          <w:szCs w:val="21"/>
        </w:rPr>
        <w:t>.甲方按照前述约定要求乙方支付违约金的同时，仍有权要求乙方继续履行合同、采取补救措施，并有权按照实际损失情况要求乙方赔偿损失；甲方按照前述约定要求解除本合同的同时，仍有权要求乙方支付违约金和按照甲方实际损失情况要求乙方赔偿损失。</w:t>
      </w:r>
    </w:p>
    <w:p w14:paraId="33735973">
      <w:pPr>
        <w:keepNext w:val="0"/>
        <w:keepLines w:val="0"/>
        <w:pageBreakBefore w:val="0"/>
        <w:widowControl w:val="0"/>
        <w:kinsoku/>
        <w:wordWrap/>
        <w:overflowPunct/>
        <w:topLinePunct w:val="0"/>
        <w:autoSpaceDE/>
        <w:autoSpaceDN/>
        <w:bidi w:val="0"/>
        <w:adjustRightInd/>
        <w:snapToGrid w:val="0"/>
        <w:spacing w:line="460" w:lineRule="exact"/>
        <w:ind w:firstLine="420" w:firstLineChars="200"/>
        <w:textAlignment w:val="auto"/>
        <w:rPr>
          <w:rFonts w:ascii="Arial" w:hAnsi="Arial" w:cs="Arial"/>
          <w:color w:val="auto"/>
          <w:szCs w:val="21"/>
        </w:rPr>
      </w:pPr>
      <w:r>
        <w:rPr>
          <w:rFonts w:hint="eastAsia"/>
          <w:color w:val="auto"/>
          <w:szCs w:val="21"/>
          <w:lang w:val="en-US" w:eastAsia="zh-CN"/>
        </w:rPr>
        <w:t>10</w:t>
      </w:r>
      <w:r>
        <w:rPr>
          <w:color w:val="auto"/>
          <w:szCs w:val="21"/>
        </w:rPr>
        <w:t>.</w:t>
      </w:r>
      <w:r>
        <w:rPr>
          <w:rFonts w:ascii="Calibri" w:hAnsi="Calibri" w:cs="宋体"/>
          <w:color w:val="auto"/>
          <w:szCs w:val="21"/>
        </w:rPr>
        <w:t xml:space="preserve"> </w:t>
      </w:r>
      <w:r>
        <w:rPr>
          <w:rFonts w:hint="eastAsia" w:ascii="Calibri" w:hAnsi="Calibri" w:cs="宋体"/>
          <w:color w:val="auto"/>
          <w:szCs w:val="21"/>
        </w:rPr>
        <w:t>守约方为实现合同权益而支出的诉讼费、律师费、财产保全费、诉讼财产保全责任保险费、鉴定费、评估费、调查费、公告费、差旅费等一切费用均由违约方承担。</w:t>
      </w:r>
    </w:p>
    <w:p w14:paraId="6DADCA52">
      <w:pPr>
        <w:pStyle w:val="15"/>
        <w:snapToGrid w:val="0"/>
        <w:spacing w:line="460" w:lineRule="exact"/>
        <w:ind w:firstLine="413" w:firstLineChars="196"/>
        <w:rPr>
          <w:rFonts w:hint="eastAsia" w:hAnsi="宋体" w:cs="宋体"/>
          <w:b/>
          <w:bCs/>
          <w:color w:val="auto"/>
          <w:sz w:val="21"/>
          <w:szCs w:val="21"/>
          <w:highlight w:val="none"/>
        </w:rPr>
      </w:pPr>
      <w:r>
        <w:rPr>
          <w:rFonts w:hint="eastAsia" w:hAnsi="宋体" w:cs="宋体"/>
          <w:b/>
          <w:bCs/>
          <w:color w:val="auto"/>
          <w:sz w:val="21"/>
          <w:szCs w:val="21"/>
          <w:highlight w:val="none"/>
        </w:rPr>
        <w:t>第十二条  不可抗力事件处理</w:t>
      </w:r>
    </w:p>
    <w:p w14:paraId="3F37A5FF">
      <w:pPr>
        <w:pStyle w:val="15"/>
        <w:snapToGrid w:val="0"/>
        <w:spacing w:line="460" w:lineRule="exact"/>
        <w:ind w:firstLine="411" w:firstLineChars="196"/>
        <w:rPr>
          <w:rFonts w:hint="eastAsia" w:hAnsi="宋体" w:cs="宋体"/>
          <w:color w:val="auto"/>
          <w:sz w:val="21"/>
          <w:szCs w:val="21"/>
          <w:highlight w:val="none"/>
        </w:rPr>
      </w:pPr>
      <w:r>
        <w:rPr>
          <w:rFonts w:hint="eastAsia" w:hAnsi="宋体" w:cs="宋体"/>
          <w:color w:val="auto"/>
          <w:sz w:val="21"/>
          <w:szCs w:val="21"/>
          <w:highlight w:val="none"/>
        </w:rPr>
        <w:t>1.在合同有效期内，任何一方因不可抗力事件导致不能履行合同，则合同履行期可延长，其延长期与不可抗力影响期相同。</w:t>
      </w:r>
    </w:p>
    <w:p w14:paraId="54E80B5E">
      <w:pPr>
        <w:pStyle w:val="15"/>
        <w:snapToGrid w:val="0"/>
        <w:spacing w:line="460" w:lineRule="exact"/>
        <w:ind w:firstLine="420" w:firstLineChars="200"/>
        <w:rPr>
          <w:rFonts w:hint="eastAsia" w:hAnsi="宋体" w:cs="宋体"/>
          <w:color w:val="auto"/>
          <w:sz w:val="21"/>
          <w:szCs w:val="21"/>
          <w:highlight w:val="none"/>
        </w:rPr>
      </w:pPr>
      <w:r>
        <w:rPr>
          <w:rFonts w:hint="eastAsia" w:hAnsi="宋体" w:cs="宋体"/>
          <w:color w:val="auto"/>
          <w:sz w:val="21"/>
          <w:szCs w:val="21"/>
          <w:highlight w:val="none"/>
        </w:rPr>
        <w:t>2.不可抗力事件发生后，应立即通知对方，并寄送有关权威机构出具的证明。</w:t>
      </w:r>
    </w:p>
    <w:p w14:paraId="6508E5EB">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3.不可抗力事件延续</w:t>
      </w:r>
      <w:r>
        <w:rPr>
          <w:rFonts w:ascii="宋体" w:hAnsi="宋体" w:cs="宋体"/>
          <w:color w:val="auto"/>
          <w:sz w:val="21"/>
          <w:szCs w:val="21"/>
          <w:highlight w:val="none"/>
        </w:rPr>
        <w:t>60</w:t>
      </w:r>
      <w:r>
        <w:rPr>
          <w:rFonts w:hint="eastAsia" w:ascii="宋体" w:hAnsi="宋体" w:cs="宋体"/>
          <w:color w:val="auto"/>
          <w:sz w:val="21"/>
          <w:szCs w:val="21"/>
          <w:highlight w:val="none"/>
        </w:rPr>
        <w:t>天以上，双方应通过友好协商，确定是否继续履行合同。</w:t>
      </w:r>
    </w:p>
    <w:p w14:paraId="2169613C">
      <w:pPr>
        <w:snapToGrid w:val="0"/>
        <w:spacing w:line="460" w:lineRule="exact"/>
        <w:ind w:firstLine="422" w:firstLineChars="200"/>
        <w:rPr>
          <w:rFonts w:hint="eastAsia" w:ascii="宋体" w:hAnsi="宋体" w:cs="宋体"/>
          <w:color w:val="auto"/>
          <w:sz w:val="21"/>
          <w:szCs w:val="21"/>
          <w:highlight w:val="none"/>
        </w:rPr>
      </w:pPr>
      <w:r>
        <w:rPr>
          <w:rFonts w:hint="eastAsia" w:ascii="宋体" w:hAnsi="宋体" w:cs="宋体"/>
          <w:b/>
          <w:color w:val="auto"/>
          <w:sz w:val="21"/>
          <w:szCs w:val="21"/>
          <w:highlight w:val="none"/>
        </w:rPr>
        <w:t>第十三条  合同争议解决</w:t>
      </w:r>
    </w:p>
    <w:p w14:paraId="62C3EDBF">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1.因货物质量问题发生争议的，应邀请国家认可的质量检测机构对货物质量进行鉴定。货物符合标准的，鉴定费由甲方承担；货物不符合标准的，鉴定费由乙方承担。</w:t>
      </w:r>
    </w:p>
    <w:p w14:paraId="1184A603">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2.因履行本合同引起的或者与本合同有关的争议，甲乙双方应首先通过友好协商解决，如果协商不能解决，任何一方可向甲方所在地有管辖权的人民法院提起诉讼。</w:t>
      </w:r>
    </w:p>
    <w:p w14:paraId="28E16A9A">
      <w:pPr>
        <w:snapToGrid w:val="0"/>
        <w:spacing w:line="460" w:lineRule="exact"/>
        <w:ind w:firstLine="514"/>
        <w:rPr>
          <w:rFonts w:hint="eastAsia" w:ascii="宋体" w:hAnsi="宋体" w:cs="宋体"/>
          <w:color w:val="auto"/>
          <w:sz w:val="21"/>
          <w:szCs w:val="21"/>
          <w:highlight w:val="none"/>
        </w:rPr>
      </w:pPr>
      <w:r>
        <w:rPr>
          <w:rFonts w:hint="eastAsia" w:ascii="宋体" w:hAnsi="宋体" w:cs="宋体"/>
          <w:color w:val="auto"/>
          <w:sz w:val="21"/>
          <w:szCs w:val="21"/>
          <w:highlight w:val="none"/>
        </w:rPr>
        <w:t>3.诉讼期间，本合同无争议部分须继续履行。</w:t>
      </w:r>
    </w:p>
    <w:p w14:paraId="6AC3618C">
      <w:pPr>
        <w:pStyle w:val="15"/>
        <w:snapToGrid w:val="0"/>
        <w:spacing w:line="460" w:lineRule="exact"/>
        <w:ind w:firstLine="413" w:firstLineChars="196"/>
        <w:rPr>
          <w:rFonts w:hint="eastAsia" w:hAnsi="宋体" w:cs="宋体"/>
          <w:b/>
          <w:color w:val="auto"/>
          <w:sz w:val="21"/>
          <w:szCs w:val="21"/>
          <w:highlight w:val="none"/>
        </w:rPr>
      </w:pPr>
      <w:r>
        <w:rPr>
          <w:rFonts w:hint="eastAsia" w:hAnsi="宋体" w:cs="宋体"/>
          <w:b/>
          <w:color w:val="auto"/>
          <w:sz w:val="21"/>
          <w:szCs w:val="21"/>
          <w:highlight w:val="none"/>
        </w:rPr>
        <w:t>第十四条  合同生效及其他</w:t>
      </w:r>
    </w:p>
    <w:p w14:paraId="64821C43">
      <w:pPr>
        <w:pStyle w:val="15"/>
        <w:snapToGrid w:val="0"/>
        <w:spacing w:line="4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1.合同自双方法定代表人或者委托代理人签字并加盖单位公章或合同专用章之日起生效（委托代理人签字的须后附授权委托书，格式自拟）。</w:t>
      </w:r>
    </w:p>
    <w:p w14:paraId="6E831F76">
      <w:pPr>
        <w:pStyle w:val="15"/>
        <w:snapToGrid w:val="0"/>
        <w:spacing w:line="4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2.本合同未尽事宜，遵照《中华人民共和国民法典》有关条文执行。</w:t>
      </w:r>
    </w:p>
    <w:p w14:paraId="375AEC00">
      <w:pPr>
        <w:pStyle w:val="15"/>
        <w:snapToGrid w:val="0"/>
        <w:spacing w:line="4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3</w:t>
      </w:r>
      <w:r>
        <w:rPr>
          <w:rFonts w:hAnsi="宋体" w:cs="宋体"/>
          <w:color w:val="auto"/>
          <w:kern w:val="2"/>
          <w:sz w:val="21"/>
          <w:szCs w:val="21"/>
          <w:highlight w:val="none"/>
        </w:rPr>
        <w:t>.</w:t>
      </w:r>
      <w:r>
        <w:rPr>
          <w:rFonts w:hint="eastAsia" w:hAnsi="宋体" w:cs="宋体"/>
          <w:color w:val="auto"/>
          <w:kern w:val="2"/>
          <w:sz w:val="21"/>
          <w:szCs w:val="21"/>
          <w:highlight w:val="none"/>
        </w:rPr>
        <w:t>双方确认本合同落款通讯地址作为文书送达地址，该通讯地址适用于包括双方合同履行过程中的各类通知、补充协议等文件，以及因履行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361C98D6">
      <w:pPr>
        <w:snapToGrid w:val="0"/>
        <w:spacing w:line="46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第十五条　合同的变更、终止与转让</w:t>
      </w:r>
    </w:p>
    <w:p w14:paraId="0220259C">
      <w:pPr>
        <w:snapToGrid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1.除《中华人民共和国政府采购法》第五十条规定的情形外，本合同一经签订，甲乙双方不得擅自变更、中止或者终止。</w:t>
      </w:r>
    </w:p>
    <w:p w14:paraId="264F7950">
      <w:pPr>
        <w:snapToGrid w:val="0"/>
        <w:spacing w:line="460" w:lineRule="exact"/>
        <w:ind w:firstLine="514"/>
        <w:rPr>
          <w:rFonts w:hint="eastAsia" w:ascii="宋体" w:hAnsi="宋体" w:cs="宋体"/>
          <w:color w:val="auto"/>
          <w:sz w:val="21"/>
          <w:szCs w:val="21"/>
          <w:highlight w:val="none"/>
        </w:rPr>
      </w:pPr>
      <w:r>
        <w:rPr>
          <w:rFonts w:hint="eastAsia" w:ascii="宋体" w:hAnsi="宋体" w:cs="宋体"/>
          <w:color w:val="auto"/>
          <w:sz w:val="21"/>
          <w:szCs w:val="21"/>
          <w:highlight w:val="none"/>
        </w:rPr>
        <w:t>2.乙方不得擅自转让其应履行的合同义务。</w:t>
      </w:r>
    </w:p>
    <w:p w14:paraId="51EDA8E9">
      <w:pPr>
        <w:pStyle w:val="15"/>
        <w:snapToGrid w:val="0"/>
        <w:spacing w:line="460" w:lineRule="exact"/>
        <w:ind w:firstLine="413" w:firstLineChars="196"/>
        <w:rPr>
          <w:rFonts w:hint="eastAsia" w:hAnsi="宋体" w:cs="宋体"/>
          <w:color w:val="auto"/>
          <w:sz w:val="21"/>
          <w:szCs w:val="21"/>
          <w:highlight w:val="none"/>
        </w:rPr>
      </w:pPr>
      <w:r>
        <w:rPr>
          <w:rFonts w:hint="eastAsia" w:hAnsi="宋体" w:cs="宋体"/>
          <w:b/>
          <w:color w:val="auto"/>
          <w:sz w:val="21"/>
          <w:szCs w:val="21"/>
          <w:highlight w:val="none"/>
        </w:rPr>
        <w:t>第十六条　</w:t>
      </w:r>
      <w:r>
        <w:rPr>
          <w:rFonts w:hint="eastAsia" w:hAnsi="宋体" w:cs="宋体"/>
          <w:color w:val="auto"/>
          <w:spacing w:val="-2"/>
          <w:sz w:val="21"/>
          <w:szCs w:val="21"/>
          <w:highlight w:val="none"/>
        </w:rPr>
        <w:t>本</w:t>
      </w:r>
      <w:r>
        <w:rPr>
          <w:rFonts w:hint="eastAsia" w:hAnsi="宋体" w:cs="宋体"/>
          <w:color w:val="auto"/>
          <w:sz w:val="21"/>
          <w:szCs w:val="21"/>
          <w:highlight w:val="none"/>
        </w:rPr>
        <w:t>合同书</w:t>
      </w:r>
      <w:r>
        <w:rPr>
          <w:rFonts w:hint="eastAsia" w:hAnsi="宋体" w:cs="宋体"/>
          <w:color w:val="auto"/>
          <w:spacing w:val="-2"/>
          <w:sz w:val="21"/>
          <w:szCs w:val="21"/>
          <w:highlight w:val="none"/>
        </w:rPr>
        <w:t>与</w:t>
      </w:r>
      <w:r>
        <w:rPr>
          <w:rFonts w:hint="eastAsia" w:hAnsi="宋体" w:cs="宋体"/>
          <w:color w:val="auto"/>
          <w:sz w:val="21"/>
          <w:szCs w:val="21"/>
          <w:highlight w:val="none"/>
        </w:rPr>
        <w:t>下</w:t>
      </w:r>
      <w:r>
        <w:rPr>
          <w:rFonts w:hint="eastAsia" w:hAnsi="宋体" w:cs="宋体"/>
          <w:color w:val="auto"/>
          <w:spacing w:val="-2"/>
          <w:sz w:val="21"/>
          <w:szCs w:val="21"/>
          <w:highlight w:val="none"/>
        </w:rPr>
        <w:t>列</w:t>
      </w:r>
      <w:r>
        <w:rPr>
          <w:rFonts w:hint="eastAsia" w:hAnsi="宋体" w:cs="宋体"/>
          <w:color w:val="auto"/>
          <w:sz w:val="21"/>
          <w:szCs w:val="21"/>
          <w:highlight w:val="none"/>
        </w:rPr>
        <w:t>文</w:t>
      </w:r>
      <w:r>
        <w:rPr>
          <w:rFonts w:hint="eastAsia" w:hAnsi="宋体" w:cs="宋体"/>
          <w:color w:val="auto"/>
          <w:spacing w:val="-2"/>
          <w:sz w:val="21"/>
          <w:szCs w:val="21"/>
          <w:highlight w:val="none"/>
        </w:rPr>
        <w:t>件一</w:t>
      </w:r>
      <w:r>
        <w:rPr>
          <w:rFonts w:hint="eastAsia" w:hAnsi="宋体" w:cs="宋体"/>
          <w:color w:val="auto"/>
          <w:sz w:val="21"/>
          <w:szCs w:val="21"/>
          <w:highlight w:val="none"/>
        </w:rPr>
        <w:t>起构</w:t>
      </w:r>
      <w:r>
        <w:rPr>
          <w:rFonts w:hint="eastAsia" w:hAnsi="宋体" w:cs="宋体"/>
          <w:color w:val="auto"/>
          <w:spacing w:val="-2"/>
          <w:sz w:val="21"/>
          <w:szCs w:val="21"/>
          <w:highlight w:val="none"/>
        </w:rPr>
        <w:t>成</w:t>
      </w:r>
      <w:r>
        <w:rPr>
          <w:rFonts w:hint="eastAsia" w:hAnsi="宋体" w:cs="宋体"/>
          <w:color w:val="auto"/>
          <w:sz w:val="21"/>
          <w:szCs w:val="21"/>
          <w:highlight w:val="none"/>
        </w:rPr>
        <w:t>合</w:t>
      </w:r>
      <w:r>
        <w:rPr>
          <w:rFonts w:hint="eastAsia" w:hAnsi="宋体" w:cs="宋体"/>
          <w:color w:val="auto"/>
          <w:spacing w:val="-2"/>
          <w:sz w:val="21"/>
          <w:szCs w:val="21"/>
          <w:highlight w:val="none"/>
        </w:rPr>
        <w:t>同</w:t>
      </w:r>
      <w:r>
        <w:rPr>
          <w:rFonts w:hint="eastAsia" w:hAnsi="宋体" w:cs="宋体"/>
          <w:color w:val="auto"/>
          <w:sz w:val="21"/>
          <w:szCs w:val="21"/>
          <w:highlight w:val="none"/>
        </w:rPr>
        <w:t>文</w:t>
      </w:r>
      <w:r>
        <w:rPr>
          <w:rFonts w:hint="eastAsia" w:hAnsi="宋体" w:cs="宋体"/>
          <w:color w:val="auto"/>
          <w:spacing w:val="-2"/>
          <w:sz w:val="21"/>
          <w:szCs w:val="21"/>
          <w:highlight w:val="none"/>
        </w:rPr>
        <w:t>件</w:t>
      </w:r>
    </w:p>
    <w:p w14:paraId="2575E1FD">
      <w:pPr>
        <w:pStyle w:val="15"/>
        <w:snapToGrid w:val="0"/>
        <w:spacing w:line="460" w:lineRule="exact"/>
        <w:ind w:firstLine="411" w:firstLineChars="196"/>
        <w:rPr>
          <w:rFonts w:hint="eastAsia" w:hAnsi="宋体" w:cs="宋体"/>
          <w:color w:val="auto"/>
          <w:sz w:val="21"/>
          <w:szCs w:val="21"/>
          <w:highlight w:val="none"/>
        </w:rPr>
      </w:pPr>
      <w:r>
        <w:rPr>
          <w:rFonts w:hint="eastAsia" w:hAnsi="宋体" w:cs="宋体"/>
          <w:color w:val="auto"/>
          <w:sz w:val="21"/>
          <w:szCs w:val="21"/>
          <w:highlight w:val="none"/>
        </w:rPr>
        <w:t>1.成交通知书</w:t>
      </w:r>
    </w:p>
    <w:p w14:paraId="366B7D9A">
      <w:pPr>
        <w:pStyle w:val="15"/>
        <w:snapToGrid w:val="0"/>
        <w:spacing w:line="460" w:lineRule="exact"/>
        <w:ind w:firstLine="411" w:firstLineChars="196"/>
        <w:rPr>
          <w:rFonts w:hint="eastAsia" w:hAnsi="宋体" w:cs="宋体"/>
          <w:color w:val="auto"/>
          <w:sz w:val="21"/>
          <w:szCs w:val="21"/>
          <w:highlight w:val="none"/>
        </w:rPr>
      </w:pPr>
      <w:r>
        <w:rPr>
          <w:rFonts w:hint="eastAsia" w:hAnsi="宋体" w:cs="宋体"/>
          <w:color w:val="auto"/>
          <w:sz w:val="21"/>
          <w:szCs w:val="21"/>
          <w:highlight w:val="none"/>
        </w:rPr>
        <w:t>2.采购需求</w:t>
      </w:r>
    </w:p>
    <w:p w14:paraId="25FD0438">
      <w:pPr>
        <w:pStyle w:val="15"/>
        <w:snapToGrid w:val="0"/>
        <w:spacing w:line="460" w:lineRule="exact"/>
        <w:ind w:firstLine="411" w:firstLineChars="196"/>
        <w:rPr>
          <w:rFonts w:hint="eastAsia" w:hAnsi="宋体" w:cs="宋体"/>
          <w:color w:val="auto"/>
          <w:sz w:val="21"/>
          <w:szCs w:val="21"/>
          <w:highlight w:val="none"/>
        </w:rPr>
      </w:pPr>
      <w:r>
        <w:rPr>
          <w:rFonts w:hint="eastAsia" w:hAnsi="宋体" w:cs="宋体"/>
          <w:color w:val="auto"/>
          <w:sz w:val="21"/>
          <w:szCs w:val="21"/>
          <w:highlight w:val="none"/>
          <w:lang w:val="en-US" w:eastAsia="zh-CN"/>
        </w:rPr>
        <w:t>3</w:t>
      </w:r>
      <w:r>
        <w:rPr>
          <w:rFonts w:hint="eastAsia" w:hAnsi="宋体" w:cs="宋体"/>
          <w:color w:val="auto"/>
          <w:sz w:val="21"/>
          <w:szCs w:val="21"/>
          <w:highlight w:val="none"/>
        </w:rPr>
        <w:t>.竞争性谈判报价表及货物配置清单</w:t>
      </w:r>
    </w:p>
    <w:p w14:paraId="769796D5">
      <w:pPr>
        <w:pStyle w:val="15"/>
        <w:snapToGrid w:val="0"/>
        <w:spacing w:line="460" w:lineRule="exact"/>
        <w:ind w:firstLine="411" w:firstLineChars="196"/>
        <w:rPr>
          <w:rFonts w:hint="eastAsia" w:hAnsi="宋体" w:cs="宋体"/>
          <w:color w:val="auto"/>
          <w:sz w:val="21"/>
          <w:szCs w:val="21"/>
          <w:highlight w:val="none"/>
        </w:rPr>
      </w:pPr>
      <w:r>
        <w:rPr>
          <w:rFonts w:hint="eastAsia" w:hAnsi="宋体" w:cs="宋体"/>
          <w:color w:val="auto"/>
          <w:sz w:val="21"/>
          <w:szCs w:val="21"/>
          <w:highlight w:val="none"/>
          <w:lang w:val="en-US" w:eastAsia="zh-CN"/>
        </w:rPr>
        <w:t>4</w:t>
      </w:r>
      <w:r>
        <w:rPr>
          <w:rFonts w:hint="eastAsia" w:hAnsi="宋体" w:cs="宋体"/>
          <w:color w:val="auto"/>
          <w:sz w:val="21"/>
          <w:szCs w:val="21"/>
          <w:highlight w:val="none"/>
        </w:rPr>
        <w:t>.商务要求偏离表和技术要求偏离表</w:t>
      </w:r>
    </w:p>
    <w:p w14:paraId="308255F4">
      <w:pPr>
        <w:pStyle w:val="15"/>
        <w:snapToGrid w:val="0"/>
        <w:spacing w:line="460" w:lineRule="exact"/>
        <w:ind w:firstLine="411" w:firstLineChars="196"/>
        <w:rPr>
          <w:rFonts w:hint="eastAsia" w:hAnsi="宋体" w:cs="宋体"/>
          <w:color w:val="auto"/>
          <w:sz w:val="21"/>
          <w:szCs w:val="21"/>
          <w:highlight w:val="none"/>
        </w:rPr>
      </w:pPr>
      <w:r>
        <w:rPr>
          <w:rFonts w:hint="eastAsia" w:hAnsi="宋体" w:cs="宋体"/>
          <w:color w:val="auto"/>
          <w:sz w:val="21"/>
          <w:szCs w:val="21"/>
          <w:highlight w:val="none"/>
          <w:lang w:val="en-US" w:eastAsia="zh-CN"/>
        </w:rPr>
        <w:t>5</w:t>
      </w:r>
      <w:r>
        <w:rPr>
          <w:rFonts w:hint="eastAsia" w:hAnsi="宋体" w:cs="宋体"/>
          <w:color w:val="auto"/>
          <w:sz w:val="21"/>
          <w:szCs w:val="21"/>
          <w:highlight w:val="none"/>
        </w:rPr>
        <w:t>.售后服务承诺</w:t>
      </w:r>
    </w:p>
    <w:p w14:paraId="13282CC3">
      <w:pPr>
        <w:pStyle w:val="15"/>
        <w:snapToGrid w:val="0"/>
        <w:spacing w:line="460" w:lineRule="exact"/>
        <w:ind w:firstLine="411" w:firstLineChars="196"/>
        <w:rPr>
          <w:rFonts w:hint="eastAsia" w:hAnsi="宋体" w:cs="宋体"/>
          <w:color w:val="auto"/>
          <w:sz w:val="21"/>
          <w:szCs w:val="21"/>
          <w:highlight w:val="none"/>
        </w:rPr>
      </w:pPr>
      <w:r>
        <w:rPr>
          <w:rFonts w:hint="eastAsia" w:hAnsi="宋体" w:cs="宋体"/>
          <w:color w:val="auto"/>
          <w:sz w:val="21"/>
          <w:szCs w:val="21"/>
          <w:highlight w:val="none"/>
          <w:lang w:val="en-US" w:eastAsia="zh-CN"/>
        </w:rPr>
        <w:t>6</w:t>
      </w:r>
      <w:r>
        <w:rPr>
          <w:rFonts w:hint="eastAsia" w:hAnsi="宋体" w:cs="宋体"/>
          <w:color w:val="auto"/>
          <w:sz w:val="21"/>
          <w:szCs w:val="21"/>
          <w:highlight w:val="none"/>
        </w:rPr>
        <w:t>.其他合同文件</w:t>
      </w:r>
    </w:p>
    <w:p w14:paraId="0749F462">
      <w:pPr>
        <w:pStyle w:val="15"/>
        <w:snapToGrid w:val="0"/>
        <w:spacing w:line="460" w:lineRule="exact"/>
        <w:ind w:firstLine="411" w:firstLineChars="196"/>
        <w:rPr>
          <w:rFonts w:hint="eastAsia" w:hAnsi="宋体" w:cs="宋体"/>
          <w:color w:val="auto"/>
          <w:sz w:val="21"/>
          <w:szCs w:val="21"/>
          <w:highlight w:val="none"/>
        </w:rPr>
      </w:pPr>
      <w:r>
        <w:rPr>
          <w:rFonts w:hint="eastAsia" w:hAnsi="宋体" w:cs="宋体"/>
          <w:color w:val="auto"/>
          <w:sz w:val="21"/>
          <w:szCs w:val="21"/>
          <w:highlight w:val="none"/>
        </w:rPr>
        <w:t>上述合同文件互相补充和解释。如果合同文件之间存在矛盾或者不一致之处，以上述文件的排列顺序在先者为准。</w:t>
      </w:r>
    </w:p>
    <w:p w14:paraId="3B310847">
      <w:pPr>
        <w:pStyle w:val="15"/>
        <w:snapToGrid w:val="0"/>
        <w:spacing w:line="460" w:lineRule="exact"/>
        <w:ind w:firstLine="413" w:firstLineChars="196"/>
        <w:rPr>
          <w:rFonts w:hint="eastAsia" w:hAnsi="宋体" w:cs="宋体"/>
          <w:color w:val="auto"/>
          <w:sz w:val="21"/>
          <w:szCs w:val="21"/>
          <w:highlight w:val="none"/>
        </w:rPr>
      </w:pPr>
      <w:r>
        <w:rPr>
          <w:rFonts w:hint="eastAsia" w:hAnsi="宋体" w:cs="宋体"/>
          <w:b/>
          <w:color w:val="auto"/>
          <w:sz w:val="21"/>
          <w:szCs w:val="21"/>
          <w:highlight w:val="none"/>
        </w:rPr>
        <w:t>第十七条　</w:t>
      </w:r>
      <w:r>
        <w:rPr>
          <w:rFonts w:hint="eastAsia" w:hAnsi="宋体" w:cs="宋体"/>
          <w:color w:val="auto"/>
          <w:sz w:val="21"/>
          <w:szCs w:val="21"/>
          <w:highlight w:val="none"/>
        </w:rPr>
        <w:t>本合同一式柒份，具有同等法律效力，甲方伍份，乙方壹份，采购代理机构壹份。</w:t>
      </w:r>
    </w:p>
    <w:p w14:paraId="631759DE">
      <w:pPr>
        <w:pStyle w:val="15"/>
        <w:snapToGrid w:val="0"/>
        <w:spacing w:line="460" w:lineRule="exact"/>
        <w:ind w:firstLine="411" w:firstLineChars="196"/>
        <w:rPr>
          <w:rFonts w:hint="eastAsia" w:hAnsi="宋体" w:cs="宋体"/>
          <w:color w:val="auto"/>
          <w:sz w:val="21"/>
          <w:szCs w:val="21"/>
          <w:highlight w:val="none"/>
        </w:rPr>
      </w:pPr>
      <w:r>
        <w:rPr>
          <w:rFonts w:hint="eastAsia" w:hAnsi="宋体" w:cs="宋体"/>
          <w:color w:val="auto"/>
          <w:sz w:val="21"/>
          <w:szCs w:val="21"/>
          <w:highlight w:val="none"/>
        </w:rPr>
        <w:t>（以下无正文）</w:t>
      </w:r>
    </w:p>
    <w:p w14:paraId="11DF7DD5">
      <w:pPr>
        <w:pStyle w:val="15"/>
        <w:snapToGrid w:val="0"/>
        <w:spacing w:line="460" w:lineRule="exact"/>
        <w:ind w:firstLine="411" w:firstLineChars="196"/>
        <w:rPr>
          <w:rFonts w:hint="eastAsia" w:hAnsi="宋体" w:cs="宋体"/>
          <w:color w:val="auto"/>
          <w:sz w:val="21"/>
          <w:szCs w:val="21"/>
          <w:highlight w:val="none"/>
        </w:rPr>
      </w:pPr>
    </w:p>
    <w:bookmarkEnd w:id="46"/>
    <w:tbl>
      <w:tblPr>
        <w:tblStyle w:val="27"/>
        <w:tblW w:w="8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9"/>
        <w:gridCol w:w="4360"/>
      </w:tblGrid>
      <w:tr w14:paraId="6D9B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jc w:val="center"/>
        </w:trPr>
        <w:tc>
          <w:tcPr>
            <w:tcW w:w="4359" w:type="dxa"/>
            <w:vAlign w:val="center"/>
          </w:tcPr>
          <w:p w14:paraId="45EB023C">
            <w:pPr>
              <w:snapToGrid w:val="0"/>
              <w:spacing w:line="4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甲方（章）           </w:t>
            </w:r>
          </w:p>
          <w:p w14:paraId="63C197EE">
            <w:pPr>
              <w:snapToGrid w:val="0"/>
              <w:spacing w:line="46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广西幼儿师范高等专科学校</w:t>
            </w:r>
          </w:p>
          <w:p w14:paraId="14EE6107">
            <w:pPr>
              <w:snapToGrid w:val="0"/>
              <w:spacing w:line="460" w:lineRule="exact"/>
              <w:ind w:firstLine="945" w:firstLineChars="450"/>
              <w:jc w:val="right"/>
              <w:rPr>
                <w:rFonts w:hint="eastAsia" w:ascii="宋体" w:hAnsi="宋体" w:cs="宋体"/>
                <w:color w:val="auto"/>
                <w:sz w:val="21"/>
                <w:szCs w:val="21"/>
                <w:highlight w:val="none"/>
              </w:rPr>
            </w:pPr>
            <w:r>
              <w:rPr>
                <w:rFonts w:hint="eastAsia" w:ascii="宋体" w:hAnsi="宋体" w:cs="宋体"/>
                <w:color w:val="auto"/>
                <w:sz w:val="21"/>
                <w:szCs w:val="21"/>
                <w:highlight w:val="none"/>
              </w:rPr>
              <w:t>年   月   日</w:t>
            </w:r>
          </w:p>
        </w:tc>
        <w:tc>
          <w:tcPr>
            <w:tcW w:w="4360" w:type="dxa"/>
            <w:vAlign w:val="center"/>
          </w:tcPr>
          <w:p w14:paraId="180CFBAC">
            <w:pPr>
              <w:snapToGrid w:val="0"/>
              <w:spacing w:line="4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乙方（章）              </w:t>
            </w:r>
          </w:p>
          <w:p w14:paraId="451FBCD1">
            <w:pPr>
              <w:snapToGrid w:val="0"/>
              <w:spacing w:line="460" w:lineRule="exact"/>
              <w:jc w:val="righ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年   月   日</w:t>
            </w:r>
          </w:p>
        </w:tc>
      </w:tr>
      <w:tr w14:paraId="526C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4359" w:type="dxa"/>
            <w:vAlign w:val="center"/>
          </w:tcPr>
          <w:p w14:paraId="7FDB710B">
            <w:pPr>
              <w:snapToGrid w:val="0"/>
              <w:spacing w:line="4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单位地址：</w:t>
            </w:r>
          </w:p>
        </w:tc>
        <w:tc>
          <w:tcPr>
            <w:tcW w:w="4360" w:type="dxa"/>
            <w:vAlign w:val="center"/>
          </w:tcPr>
          <w:p w14:paraId="208CBE4A">
            <w:pPr>
              <w:pStyle w:val="23"/>
              <w:widowControl/>
              <w:spacing w:line="4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单位地址：</w:t>
            </w:r>
          </w:p>
        </w:tc>
      </w:tr>
      <w:tr w14:paraId="6F74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359" w:type="dxa"/>
            <w:vAlign w:val="center"/>
          </w:tcPr>
          <w:p w14:paraId="375EFE9B">
            <w:pPr>
              <w:snapToGrid w:val="0"/>
              <w:spacing w:line="4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法定代表人（签字）：</w:t>
            </w:r>
          </w:p>
        </w:tc>
        <w:tc>
          <w:tcPr>
            <w:tcW w:w="4360" w:type="dxa"/>
            <w:vAlign w:val="center"/>
          </w:tcPr>
          <w:p w14:paraId="525A5B7F">
            <w:pPr>
              <w:snapToGrid w:val="0"/>
              <w:spacing w:line="4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法定代表人（签字）：</w:t>
            </w:r>
          </w:p>
        </w:tc>
      </w:tr>
      <w:tr w14:paraId="156F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359" w:type="dxa"/>
            <w:vAlign w:val="center"/>
          </w:tcPr>
          <w:p w14:paraId="74A0D4BD">
            <w:pPr>
              <w:snapToGrid w:val="0"/>
              <w:spacing w:line="4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委托代理人（签字）：</w:t>
            </w:r>
          </w:p>
        </w:tc>
        <w:tc>
          <w:tcPr>
            <w:tcW w:w="4360" w:type="dxa"/>
            <w:vAlign w:val="center"/>
          </w:tcPr>
          <w:p w14:paraId="590E5211">
            <w:pPr>
              <w:snapToGrid w:val="0"/>
              <w:spacing w:line="4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委托代理人（签字）：</w:t>
            </w:r>
          </w:p>
        </w:tc>
      </w:tr>
      <w:tr w14:paraId="7732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359" w:type="dxa"/>
            <w:vAlign w:val="center"/>
          </w:tcPr>
          <w:p w14:paraId="66835042">
            <w:pPr>
              <w:snapToGrid w:val="0"/>
              <w:spacing w:line="4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电话：</w:t>
            </w:r>
          </w:p>
        </w:tc>
        <w:tc>
          <w:tcPr>
            <w:tcW w:w="4360" w:type="dxa"/>
            <w:vAlign w:val="center"/>
          </w:tcPr>
          <w:p w14:paraId="56AAF2D4">
            <w:pPr>
              <w:widowControl/>
              <w:spacing w:line="460" w:lineRule="exact"/>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电话：</w:t>
            </w:r>
            <w:r>
              <w:rPr>
                <w:rFonts w:hint="eastAsia" w:ascii="宋体" w:hAnsi="宋体" w:cs="宋体"/>
                <w:color w:val="auto"/>
                <w:kern w:val="0"/>
                <w:sz w:val="21"/>
                <w:szCs w:val="21"/>
                <w:highlight w:val="none"/>
                <w:lang w:bidi="ar"/>
              </w:rPr>
              <w:t xml:space="preserve"> </w:t>
            </w:r>
          </w:p>
        </w:tc>
      </w:tr>
      <w:tr w14:paraId="1F97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359" w:type="dxa"/>
            <w:vAlign w:val="center"/>
          </w:tcPr>
          <w:p w14:paraId="6BB2C8F5">
            <w:pPr>
              <w:snapToGrid w:val="0"/>
              <w:spacing w:line="4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电子邮箱：</w:t>
            </w:r>
          </w:p>
        </w:tc>
        <w:tc>
          <w:tcPr>
            <w:tcW w:w="4360" w:type="dxa"/>
            <w:vAlign w:val="center"/>
          </w:tcPr>
          <w:p w14:paraId="44D44CEC">
            <w:pPr>
              <w:snapToGrid w:val="0"/>
              <w:spacing w:line="4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电子邮箱：</w:t>
            </w:r>
          </w:p>
        </w:tc>
      </w:tr>
      <w:tr w14:paraId="6F23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4359" w:type="dxa"/>
            <w:vAlign w:val="center"/>
          </w:tcPr>
          <w:p w14:paraId="214E610A">
            <w:pPr>
              <w:snapToGrid w:val="0"/>
              <w:spacing w:line="4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开户银行：</w:t>
            </w:r>
          </w:p>
        </w:tc>
        <w:tc>
          <w:tcPr>
            <w:tcW w:w="4360" w:type="dxa"/>
            <w:vAlign w:val="center"/>
          </w:tcPr>
          <w:p w14:paraId="56ED780D">
            <w:pPr>
              <w:widowControl/>
              <w:spacing w:line="460" w:lineRule="exact"/>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开户银行：</w:t>
            </w:r>
          </w:p>
        </w:tc>
      </w:tr>
      <w:tr w14:paraId="1064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359" w:type="dxa"/>
            <w:vAlign w:val="center"/>
          </w:tcPr>
          <w:p w14:paraId="3C121745">
            <w:pPr>
              <w:pStyle w:val="23"/>
              <w:widowControl/>
              <w:rPr>
                <w:rFonts w:hint="eastAsia" w:ascii="宋体" w:hAnsi="宋体" w:cs="宋体"/>
                <w:color w:val="auto"/>
                <w:sz w:val="21"/>
                <w:szCs w:val="21"/>
                <w:highlight w:val="none"/>
              </w:rPr>
            </w:pPr>
            <w:r>
              <w:rPr>
                <w:rFonts w:hint="eastAsia" w:ascii="宋体" w:hAnsi="宋体" w:cs="宋体"/>
                <w:color w:val="auto"/>
                <w:sz w:val="21"/>
                <w:szCs w:val="21"/>
                <w:highlight w:val="none"/>
              </w:rPr>
              <w:t>账号：</w:t>
            </w:r>
          </w:p>
        </w:tc>
        <w:tc>
          <w:tcPr>
            <w:tcW w:w="4360" w:type="dxa"/>
            <w:vAlign w:val="center"/>
          </w:tcPr>
          <w:p w14:paraId="1D1381B8">
            <w:pPr>
              <w:widowControl/>
              <w:spacing w:line="460" w:lineRule="exact"/>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账号：</w:t>
            </w:r>
          </w:p>
        </w:tc>
      </w:tr>
      <w:tr w14:paraId="6621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359" w:type="dxa"/>
            <w:vAlign w:val="center"/>
          </w:tcPr>
          <w:p w14:paraId="6D276CE6">
            <w:pPr>
              <w:pStyle w:val="23"/>
              <w:widowControl/>
              <w:rPr>
                <w:rFonts w:hint="eastAsia" w:ascii="宋体" w:hAnsi="宋体" w:cs="宋体"/>
                <w:color w:val="auto"/>
                <w:sz w:val="21"/>
                <w:szCs w:val="21"/>
                <w:highlight w:val="none"/>
              </w:rPr>
            </w:pPr>
            <w:r>
              <w:rPr>
                <w:rFonts w:hint="eastAsia" w:ascii="宋体" w:hAnsi="宋体" w:cs="宋体"/>
                <w:color w:val="auto"/>
                <w:sz w:val="21"/>
                <w:szCs w:val="21"/>
                <w:highlight w:val="none"/>
              </w:rPr>
              <w:t>邮政编码：</w:t>
            </w:r>
          </w:p>
        </w:tc>
        <w:tc>
          <w:tcPr>
            <w:tcW w:w="4360" w:type="dxa"/>
            <w:vAlign w:val="center"/>
          </w:tcPr>
          <w:p w14:paraId="1C899B8F">
            <w:pPr>
              <w:widowControl/>
              <w:spacing w:line="460" w:lineRule="exact"/>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邮政编码：</w:t>
            </w:r>
          </w:p>
        </w:tc>
      </w:tr>
    </w:tbl>
    <w:p w14:paraId="677661A7">
      <w:pPr>
        <w:spacing w:line="240" w:lineRule="auto"/>
        <w:rPr>
          <w:rFonts w:hint="eastAsia" w:ascii="宋体" w:hAnsi="宋体" w:cs="宋体"/>
          <w:b/>
          <w:bCs/>
          <w:color w:val="auto"/>
          <w:kern w:val="0"/>
          <w:sz w:val="24"/>
        </w:rPr>
      </w:pPr>
      <w:r>
        <w:rPr>
          <w:rFonts w:hint="eastAsia" w:ascii="宋体" w:hAnsi="宋体" w:cs="宋体"/>
          <w:b/>
          <w:bCs/>
          <w:color w:val="auto"/>
          <w:kern w:val="0"/>
          <w:sz w:val="24"/>
        </w:rPr>
        <w:br w:type="page"/>
      </w:r>
    </w:p>
    <w:p w14:paraId="4E99FE91">
      <w:pPr>
        <w:pStyle w:val="139"/>
        <w:spacing w:after="0"/>
        <w:ind w:left="0" w:leftChars="0" w:firstLine="0" w:firstLineChars="0"/>
        <w:jc w:val="center"/>
        <w:rPr>
          <w:rFonts w:hint="eastAsia" w:ascii="宋体" w:hAnsi="宋体" w:eastAsia="宋体" w:cs="宋体"/>
          <w:b/>
          <w:color w:val="auto"/>
          <w:sz w:val="28"/>
          <w:szCs w:val="28"/>
          <w:lang w:eastAsia="zh-CN"/>
        </w:rPr>
      </w:pPr>
      <w:bookmarkStart w:id="47" w:name="合同分标2"/>
      <w:r>
        <w:rPr>
          <w:rFonts w:hint="eastAsia" w:ascii="宋体" w:hAnsi="宋体" w:cs="宋体"/>
          <w:b/>
          <w:color w:val="auto"/>
          <w:sz w:val="28"/>
          <w:szCs w:val="28"/>
        </w:rPr>
        <w:t>合 同</w:t>
      </w:r>
      <w:bookmarkEnd w:id="47"/>
      <w:r>
        <w:rPr>
          <w:rFonts w:hint="eastAsia" w:ascii="宋体" w:hAnsi="宋体" w:cs="宋体"/>
          <w:b/>
          <w:color w:val="auto"/>
          <w:sz w:val="28"/>
          <w:szCs w:val="28"/>
        </w:rPr>
        <w:t xml:space="preserve"> 书</w:t>
      </w:r>
      <w:r>
        <w:rPr>
          <w:rFonts w:hint="eastAsia" w:ascii="宋体" w:hAnsi="宋体" w:cs="宋体"/>
          <w:b/>
          <w:color w:val="auto"/>
          <w:sz w:val="28"/>
          <w:szCs w:val="28"/>
          <w:lang w:eastAsia="zh-CN"/>
        </w:rPr>
        <w:t>（</w:t>
      </w:r>
      <w:r>
        <w:rPr>
          <w:rFonts w:hint="eastAsia" w:ascii="宋体" w:hAnsi="宋体" w:cs="宋体"/>
          <w:b/>
          <w:color w:val="auto"/>
          <w:sz w:val="28"/>
          <w:szCs w:val="28"/>
          <w:lang w:val="en-US" w:eastAsia="zh-CN"/>
        </w:rPr>
        <w:t>适用分标2</w:t>
      </w:r>
      <w:r>
        <w:rPr>
          <w:rFonts w:hint="eastAsia" w:ascii="宋体" w:hAnsi="宋体" w:cs="宋体"/>
          <w:b/>
          <w:color w:val="auto"/>
          <w:sz w:val="28"/>
          <w:szCs w:val="28"/>
          <w:lang w:eastAsia="zh-CN"/>
        </w:rPr>
        <w:t>）</w:t>
      </w:r>
    </w:p>
    <w:p w14:paraId="74AD6CDF">
      <w:pPr>
        <w:pStyle w:val="12"/>
        <w:rPr>
          <w:color w:val="auto"/>
        </w:rPr>
      </w:pPr>
    </w:p>
    <w:p w14:paraId="0E9083E0">
      <w:pPr>
        <w:spacing w:line="360" w:lineRule="auto"/>
        <w:ind w:right="800"/>
        <w:rPr>
          <w:rFonts w:hint="eastAsia" w:ascii="宋体" w:hAnsi="宋体" w:cs="宋体"/>
          <w:bCs/>
          <w:color w:val="auto"/>
          <w:szCs w:val="21"/>
          <w:u w:val="single"/>
        </w:rPr>
      </w:pPr>
      <w:r>
        <w:rPr>
          <w:rFonts w:hint="eastAsia" w:ascii="宋体" w:hAnsi="宋体" w:cs="宋体"/>
          <w:color w:val="auto"/>
          <w:szCs w:val="21"/>
        </w:rPr>
        <w:t>采购计划号：</w:t>
      </w:r>
      <w:r>
        <w:rPr>
          <w:rFonts w:hint="eastAsia" w:ascii="宋体" w:hAnsi="宋体" w:cs="宋体"/>
          <w:color w:val="auto"/>
          <w:szCs w:val="21"/>
          <w:u w:val="single"/>
        </w:rPr>
        <w:t xml:space="preserve">                         </w:t>
      </w:r>
      <w:r>
        <w:rPr>
          <w:rFonts w:hint="eastAsia" w:ascii="宋体" w:hAnsi="宋体" w:cs="宋体"/>
          <w:color w:val="auto"/>
          <w:szCs w:val="21"/>
        </w:rPr>
        <w:t xml:space="preserve">    </w:t>
      </w:r>
      <w:r>
        <w:rPr>
          <w:rFonts w:hint="eastAsia" w:ascii="宋体" w:hAnsi="宋体" w:cs="宋体"/>
          <w:bCs/>
          <w:color w:val="auto"/>
          <w:szCs w:val="21"/>
        </w:rPr>
        <w:t>合同编号：</w:t>
      </w:r>
      <w:r>
        <w:rPr>
          <w:rFonts w:hint="eastAsia" w:ascii="宋体" w:hAnsi="宋体" w:cs="宋体"/>
          <w:color w:val="auto"/>
          <w:szCs w:val="21"/>
          <w:u w:val="single"/>
        </w:rPr>
        <w:t xml:space="preserve">                      </w:t>
      </w:r>
    </w:p>
    <w:p w14:paraId="22A85ECF">
      <w:pPr>
        <w:spacing w:line="360" w:lineRule="auto"/>
        <w:rPr>
          <w:rFonts w:hint="eastAsia" w:ascii="宋体" w:hAnsi="宋体" w:cs="宋体"/>
          <w:color w:val="auto"/>
          <w:szCs w:val="21"/>
          <w:u w:val="single"/>
        </w:rPr>
      </w:pPr>
      <w:r>
        <w:rPr>
          <w:rFonts w:hint="eastAsia" w:ascii="宋体" w:hAnsi="宋体" w:cs="宋体"/>
          <w:color w:val="auto"/>
          <w:szCs w:val="21"/>
        </w:rPr>
        <w:t>采购人（甲方）：</w:t>
      </w:r>
      <w:r>
        <w:rPr>
          <w:rFonts w:hint="eastAsia" w:ascii="宋体" w:hAnsi="宋体" w:cs="宋体"/>
          <w:color w:val="auto"/>
          <w:szCs w:val="21"/>
          <w:u w:val="single"/>
        </w:rPr>
        <w:t xml:space="preserve">                      </w:t>
      </w:r>
      <w:r>
        <w:rPr>
          <w:rFonts w:hint="eastAsia" w:ascii="宋体" w:hAnsi="宋体" w:cs="宋体"/>
          <w:color w:val="auto"/>
          <w:szCs w:val="21"/>
        </w:rPr>
        <w:t xml:space="preserve">   供应商（乙方）：</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0CDB80BC">
      <w:pPr>
        <w:spacing w:line="360" w:lineRule="auto"/>
        <w:rPr>
          <w:rFonts w:hint="eastAsia"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rPr>
        <w:t xml:space="preserve">                           </w:t>
      </w:r>
      <w:r>
        <w:rPr>
          <w:rFonts w:hint="eastAsia" w:ascii="宋体" w:hAnsi="宋体" w:cs="宋体"/>
          <w:color w:val="auto"/>
          <w:szCs w:val="21"/>
        </w:rPr>
        <w:t xml:space="preserve">    项目编号：</w:t>
      </w:r>
      <w:r>
        <w:rPr>
          <w:rFonts w:hint="eastAsia" w:ascii="宋体" w:hAnsi="宋体" w:cs="宋体"/>
          <w:color w:val="auto"/>
          <w:szCs w:val="21"/>
          <w:u w:val="single"/>
        </w:rPr>
        <w:t xml:space="preserve">                          </w:t>
      </w:r>
    </w:p>
    <w:p w14:paraId="2F1A0D13">
      <w:pPr>
        <w:spacing w:line="360" w:lineRule="auto"/>
        <w:rPr>
          <w:rFonts w:hint="eastAsia" w:ascii="宋体" w:hAnsi="宋体" w:cs="宋体"/>
          <w:color w:val="auto"/>
          <w:szCs w:val="21"/>
          <w:u w:val="single"/>
        </w:rPr>
      </w:pPr>
      <w:r>
        <w:rPr>
          <w:rFonts w:hint="eastAsia" w:ascii="宋体" w:hAnsi="宋体" w:cs="宋体"/>
          <w:color w:val="auto"/>
          <w:szCs w:val="21"/>
        </w:rPr>
        <w:t>签订地点：</w:t>
      </w:r>
      <w:r>
        <w:rPr>
          <w:rFonts w:hint="eastAsia" w:ascii="宋体" w:hAnsi="宋体" w:cs="宋体"/>
          <w:color w:val="auto"/>
          <w:szCs w:val="21"/>
          <w:u w:val="single"/>
        </w:rPr>
        <w:t xml:space="preserve">                           </w:t>
      </w:r>
      <w:r>
        <w:rPr>
          <w:rFonts w:hint="eastAsia" w:ascii="宋体" w:hAnsi="宋体" w:cs="宋体"/>
          <w:color w:val="auto"/>
          <w:szCs w:val="21"/>
        </w:rPr>
        <w:t xml:space="preserve">    签订时间：</w:t>
      </w:r>
      <w:r>
        <w:rPr>
          <w:rFonts w:hint="eastAsia" w:ascii="宋体" w:hAnsi="宋体" w:cs="宋体"/>
          <w:color w:val="auto"/>
          <w:szCs w:val="21"/>
          <w:u w:val="single"/>
        </w:rPr>
        <w:t xml:space="preserve">                        </w:t>
      </w:r>
    </w:p>
    <w:p w14:paraId="58E166B8">
      <w:pPr>
        <w:spacing w:line="360" w:lineRule="auto"/>
        <w:rPr>
          <w:rFonts w:hint="eastAsia" w:ascii="宋体" w:hAnsi="宋体" w:cs="宋体"/>
          <w:color w:val="auto"/>
          <w:szCs w:val="21"/>
        </w:rPr>
      </w:pPr>
      <w:r>
        <w:rPr>
          <w:rFonts w:hint="eastAsia" w:ascii="宋体" w:hAnsi="宋体" w:cs="宋体"/>
          <w:color w:val="auto"/>
          <w:szCs w:val="21"/>
        </w:rPr>
        <w:t>本合同为中小企业预留合同：</w:t>
      </w:r>
      <w:r>
        <w:rPr>
          <w:rFonts w:hint="eastAsia" w:ascii="宋体" w:hAnsi="宋体" w:cs="宋体"/>
          <w:color w:val="auto"/>
          <w:szCs w:val="21"/>
          <w:u w:val="single"/>
        </w:rPr>
        <w:t>（是</w:t>
      </w:r>
      <w:r>
        <w:rPr>
          <w:rFonts w:hint="eastAsia" w:ascii="宋体" w:hAnsi="宋体" w:cs="宋体"/>
          <w:color w:val="auto"/>
          <w:szCs w:val="21"/>
          <w:u w:val="single"/>
          <w:lang w:val="en-US" w:eastAsia="zh-CN"/>
        </w:rPr>
        <w:t>/否</w:t>
      </w:r>
      <w:r>
        <w:rPr>
          <w:rFonts w:hint="eastAsia" w:ascii="宋体" w:hAnsi="宋体" w:cs="宋体"/>
          <w:color w:val="auto"/>
          <w:szCs w:val="21"/>
          <w:u w:val="single"/>
        </w:rPr>
        <w:t>）</w:t>
      </w:r>
      <w:r>
        <w:rPr>
          <w:rFonts w:hint="eastAsia" w:ascii="宋体" w:hAnsi="宋体" w:cs="宋体"/>
          <w:color w:val="auto"/>
          <w:szCs w:val="21"/>
        </w:rPr>
        <w:t>。</w:t>
      </w:r>
    </w:p>
    <w:p w14:paraId="63C84934">
      <w:pPr>
        <w:spacing w:line="360" w:lineRule="auto"/>
        <w:ind w:firstLine="420" w:firstLineChars="200"/>
        <w:rPr>
          <w:rFonts w:hint="eastAsia" w:ascii="宋体" w:hAnsi="宋体" w:cs="宋体"/>
          <w:color w:val="auto"/>
          <w:szCs w:val="21"/>
        </w:rPr>
      </w:pPr>
    </w:p>
    <w:p w14:paraId="141CA178">
      <w:pPr>
        <w:widowControl/>
        <w:spacing w:line="360" w:lineRule="auto"/>
        <w:ind w:firstLine="420"/>
        <w:jc w:val="left"/>
        <w:rPr>
          <w:color w:val="auto"/>
          <w:szCs w:val="21"/>
        </w:rPr>
      </w:pPr>
      <w:r>
        <w:rPr>
          <w:rFonts w:cs="宋体"/>
          <w:color w:val="auto"/>
          <w:kern w:val="0"/>
          <w:szCs w:val="21"/>
        </w:rPr>
        <w:t>根据《中华人民共和国政府采购法》、《中华人民共和国民法典》等法律、法规规定，按照招标文件规定条款和乙方</w:t>
      </w:r>
      <w:r>
        <w:rPr>
          <w:rFonts w:hint="eastAsia" w:cs="宋体"/>
          <w:color w:val="auto"/>
          <w:kern w:val="0"/>
          <w:szCs w:val="21"/>
          <w:lang w:val="en-US" w:eastAsia="zh-CN"/>
        </w:rPr>
        <w:t>响应</w:t>
      </w:r>
      <w:r>
        <w:rPr>
          <w:rFonts w:cs="宋体"/>
          <w:color w:val="auto"/>
          <w:kern w:val="0"/>
          <w:szCs w:val="21"/>
        </w:rPr>
        <w:t xml:space="preserve">文件及其承诺，甲乙双方签订本合同。 </w:t>
      </w:r>
    </w:p>
    <w:p w14:paraId="1C5BE51E">
      <w:pPr>
        <w:widowControl/>
        <w:numPr>
          <w:ilvl w:val="0"/>
          <w:numId w:val="3"/>
        </w:numPr>
        <w:spacing w:line="360" w:lineRule="auto"/>
        <w:jc w:val="left"/>
        <w:rPr>
          <w:rFonts w:cs="宋体"/>
          <w:b/>
          <w:bCs/>
          <w:color w:val="auto"/>
          <w:kern w:val="0"/>
          <w:szCs w:val="21"/>
        </w:rPr>
      </w:pPr>
      <w:r>
        <w:rPr>
          <w:rFonts w:cs="宋体"/>
          <w:b/>
          <w:bCs/>
          <w:color w:val="auto"/>
          <w:kern w:val="0"/>
          <w:szCs w:val="21"/>
        </w:rPr>
        <w:t xml:space="preserve">合同标的 </w:t>
      </w:r>
    </w:p>
    <w:p w14:paraId="55A73BCC">
      <w:pPr>
        <w:widowControl/>
        <w:spacing w:line="360" w:lineRule="auto"/>
        <w:ind w:firstLine="420" w:firstLineChars="200"/>
        <w:jc w:val="left"/>
        <w:rPr>
          <w:rFonts w:cs="宋体"/>
          <w:color w:val="auto"/>
          <w:szCs w:val="21"/>
        </w:rPr>
      </w:pPr>
      <w:r>
        <w:rPr>
          <w:rFonts w:hint="eastAsia" w:cs="宋体"/>
          <w:color w:val="auto"/>
          <w:szCs w:val="21"/>
        </w:rPr>
        <w:t>1、项目一览表</w:t>
      </w:r>
    </w:p>
    <w:tbl>
      <w:tblPr>
        <w:tblStyle w:val="27"/>
        <w:tblW w:w="10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1134"/>
        <w:gridCol w:w="1276"/>
        <w:gridCol w:w="1134"/>
        <w:gridCol w:w="992"/>
        <w:gridCol w:w="709"/>
        <w:gridCol w:w="830"/>
        <w:gridCol w:w="1722"/>
        <w:gridCol w:w="1276"/>
      </w:tblGrid>
      <w:tr w14:paraId="046E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9" w:type="dxa"/>
            <w:vAlign w:val="center"/>
          </w:tcPr>
          <w:p w14:paraId="3045A066">
            <w:pPr>
              <w:snapToGrid w:val="0"/>
              <w:spacing w:line="460" w:lineRule="exact"/>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1034" w:type="dxa"/>
            <w:vAlign w:val="center"/>
          </w:tcPr>
          <w:p w14:paraId="50E6729C">
            <w:pPr>
              <w:snapToGrid w:val="0"/>
              <w:spacing w:line="460" w:lineRule="exact"/>
              <w:jc w:val="center"/>
              <w:rPr>
                <w:rFonts w:hint="eastAsia" w:ascii="宋体" w:hAnsi="宋体" w:cs="宋体"/>
                <w:b/>
                <w:color w:val="auto"/>
                <w:sz w:val="24"/>
                <w:highlight w:val="none"/>
              </w:rPr>
            </w:pPr>
            <w:r>
              <w:rPr>
                <w:rFonts w:hint="eastAsia" w:ascii="宋体" w:hAnsi="宋体" w:cs="宋体"/>
                <w:b/>
                <w:color w:val="auto"/>
                <w:sz w:val="24"/>
                <w:highlight w:val="none"/>
              </w:rPr>
              <w:t>标的名称</w:t>
            </w:r>
          </w:p>
        </w:tc>
        <w:tc>
          <w:tcPr>
            <w:tcW w:w="1134" w:type="dxa"/>
            <w:vAlign w:val="center"/>
          </w:tcPr>
          <w:p w14:paraId="75FADB34">
            <w:pPr>
              <w:snapToGrid w:val="0"/>
              <w:spacing w:line="460" w:lineRule="exact"/>
              <w:jc w:val="center"/>
              <w:rPr>
                <w:rFonts w:hint="eastAsia" w:ascii="宋体" w:hAnsi="宋体" w:cs="宋体"/>
                <w:b/>
                <w:color w:val="auto"/>
                <w:sz w:val="24"/>
                <w:highlight w:val="none"/>
              </w:rPr>
            </w:pPr>
            <w:r>
              <w:rPr>
                <w:rFonts w:hint="eastAsia" w:ascii="宋体" w:hAnsi="宋体" w:cs="宋体"/>
                <w:b/>
                <w:color w:val="auto"/>
                <w:sz w:val="24"/>
                <w:highlight w:val="none"/>
              </w:rPr>
              <w:t>商标品牌</w:t>
            </w:r>
          </w:p>
        </w:tc>
        <w:tc>
          <w:tcPr>
            <w:tcW w:w="1276" w:type="dxa"/>
            <w:vAlign w:val="center"/>
          </w:tcPr>
          <w:p w14:paraId="5DEFB6AB">
            <w:pPr>
              <w:snapToGrid w:val="0"/>
              <w:spacing w:line="460" w:lineRule="exact"/>
              <w:jc w:val="center"/>
              <w:rPr>
                <w:rFonts w:hint="eastAsia" w:ascii="宋体" w:hAnsi="宋体" w:cs="宋体"/>
                <w:b/>
                <w:color w:val="auto"/>
                <w:sz w:val="24"/>
                <w:highlight w:val="none"/>
              </w:rPr>
            </w:pPr>
            <w:r>
              <w:rPr>
                <w:rFonts w:hint="eastAsia" w:ascii="宋体" w:hAnsi="宋体" w:cs="宋体"/>
                <w:b/>
                <w:color w:val="auto"/>
                <w:sz w:val="24"/>
                <w:highlight w:val="none"/>
              </w:rPr>
              <w:t>规格型号</w:t>
            </w:r>
          </w:p>
        </w:tc>
        <w:tc>
          <w:tcPr>
            <w:tcW w:w="1134" w:type="dxa"/>
            <w:vAlign w:val="center"/>
          </w:tcPr>
          <w:p w14:paraId="07979EC4">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生产厂家</w:t>
            </w:r>
          </w:p>
        </w:tc>
        <w:tc>
          <w:tcPr>
            <w:tcW w:w="992" w:type="dxa"/>
            <w:vAlign w:val="center"/>
          </w:tcPr>
          <w:p w14:paraId="4A1785E3">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产地</w:t>
            </w:r>
          </w:p>
        </w:tc>
        <w:tc>
          <w:tcPr>
            <w:tcW w:w="709" w:type="dxa"/>
            <w:vAlign w:val="center"/>
          </w:tcPr>
          <w:p w14:paraId="0906826A">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数  量</w:t>
            </w:r>
          </w:p>
        </w:tc>
        <w:tc>
          <w:tcPr>
            <w:tcW w:w="830" w:type="dxa"/>
            <w:vAlign w:val="center"/>
          </w:tcPr>
          <w:p w14:paraId="3AE850FF">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单位</w:t>
            </w:r>
          </w:p>
        </w:tc>
        <w:tc>
          <w:tcPr>
            <w:tcW w:w="1722" w:type="dxa"/>
            <w:vAlign w:val="center"/>
          </w:tcPr>
          <w:p w14:paraId="5CB8E6CC">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单  价</w:t>
            </w:r>
          </w:p>
          <w:p w14:paraId="2A6B6151">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（元/人民币）</w:t>
            </w:r>
          </w:p>
        </w:tc>
        <w:tc>
          <w:tcPr>
            <w:tcW w:w="1276" w:type="dxa"/>
            <w:vAlign w:val="center"/>
          </w:tcPr>
          <w:p w14:paraId="16E17B62">
            <w:pPr>
              <w:snapToGrid w:val="0"/>
              <w:jc w:val="center"/>
              <w:rPr>
                <w:rFonts w:hint="eastAsia" w:ascii="宋体" w:hAnsi="宋体" w:cs="宋体"/>
                <w:b/>
                <w:color w:val="auto"/>
                <w:sz w:val="24"/>
                <w:highlight w:val="none"/>
              </w:rPr>
            </w:pPr>
            <w:r>
              <w:rPr>
                <w:rFonts w:hint="eastAsia" w:ascii="宋体" w:hAnsi="宋体" w:cs="宋体"/>
                <w:b/>
                <w:color w:val="auto"/>
                <w:sz w:val="24"/>
                <w:highlight w:val="none"/>
              </w:rPr>
              <w:t>单项合计</w:t>
            </w:r>
            <w:r>
              <w:rPr>
                <w:rFonts w:hint="eastAsia" w:ascii="宋体" w:hAnsi="宋体" w:cs="宋体"/>
                <w:b/>
                <w:color w:val="auto"/>
                <w:szCs w:val="21"/>
                <w:highlight w:val="none"/>
              </w:rPr>
              <w:t>（元/人民币）</w:t>
            </w:r>
          </w:p>
        </w:tc>
      </w:tr>
      <w:tr w14:paraId="5F66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163659E4">
            <w:pPr>
              <w:snapToGrid w:val="0"/>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034" w:type="dxa"/>
            <w:vAlign w:val="center"/>
          </w:tcPr>
          <w:p w14:paraId="2AB44712">
            <w:pPr>
              <w:snapToGrid w:val="0"/>
              <w:spacing w:line="460" w:lineRule="exact"/>
              <w:jc w:val="center"/>
              <w:rPr>
                <w:rFonts w:hint="eastAsia" w:ascii="宋体" w:hAnsi="宋体" w:cs="宋体"/>
                <w:color w:val="auto"/>
                <w:sz w:val="24"/>
                <w:highlight w:val="none"/>
              </w:rPr>
            </w:pPr>
          </w:p>
        </w:tc>
        <w:tc>
          <w:tcPr>
            <w:tcW w:w="1134" w:type="dxa"/>
            <w:vAlign w:val="center"/>
          </w:tcPr>
          <w:p w14:paraId="6E520738">
            <w:pPr>
              <w:snapToGrid w:val="0"/>
              <w:spacing w:line="460" w:lineRule="exact"/>
              <w:jc w:val="center"/>
              <w:rPr>
                <w:rFonts w:hint="eastAsia" w:ascii="宋体" w:hAnsi="宋体" w:cs="宋体"/>
                <w:color w:val="auto"/>
                <w:sz w:val="24"/>
                <w:highlight w:val="none"/>
              </w:rPr>
            </w:pPr>
          </w:p>
        </w:tc>
        <w:tc>
          <w:tcPr>
            <w:tcW w:w="1276" w:type="dxa"/>
            <w:vAlign w:val="center"/>
          </w:tcPr>
          <w:p w14:paraId="2A3D91C5">
            <w:pPr>
              <w:snapToGrid w:val="0"/>
              <w:spacing w:line="460" w:lineRule="exact"/>
              <w:jc w:val="center"/>
              <w:rPr>
                <w:rFonts w:hint="eastAsia" w:ascii="宋体" w:hAnsi="宋体" w:cs="宋体"/>
                <w:color w:val="auto"/>
                <w:sz w:val="24"/>
                <w:highlight w:val="none"/>
              </w:rPr>
            </w:pPr>
          </w:p>
        </w:tc>
        <w:tc>
          <w:tcPr>
            <w:tcW w:w="1134" w:type="dxa"/>
          </w:tcPr>
          <w:p w14:paraId="46AEEB05">
            <w:pPr>
              <w:snapToGrid w:val="0"/>
              <w:spacing w:line="460" w:lineRule="exact"/>
              <w:jc w:val="center"/>
              <w:rPr>
                <w:rFonts w:hint="eastAsia" w:ascii="宋体" w:hAnsi="宋体" w:cs="宋体"/>
                <w:color w:val="auto"/>
                <w:sz w:val="24"/>
                <w:highlight w:val="none"/>
              </w:rPr>
            </w:pPr>
          </w:p>
        </w:tc>
        <w:tc>
          <w:tcPr>
            <w:tcW w:w="992" w:type="dxa"/>
            <w:vAlign w:val="center"/>
          </w:tcPr>
          <w:p w14:paraId="38BA55BC">
            <w:pPr>
              <w:snapToGrid w:val="0"/>
              <w:spacing w:line="460" w:lineRule="exact"/>
              <w:jc w:val="center"/>
              <w:rPr>
                <w:rFonts w:hint="eastAsia" w:ascii="宋体" w:hAnsi="宋体" w:cs="宋体"/>
                <w:color w:val="auto"/>
                <w:sz w:val="24"/>
                <w:highlight w:val="none"/>
              </w:rPr>
            </w:pPr>
          </w:p>
        </w:tc>
        <w:tc>
          <w:tcPr>
            <w:tcW w:w="709" w:type="dxa"/>
            <w:vAlign w:val="center"/>
          </w:tcPr>
          <w:p w14:paraId="55BB7098">
            <w:pPr>
              <w:snapToGrid w:val="0"/>
              <w:spacing w:line="460" w:lineRule="exact"/>
              <w:jc w:val="center"/>
              <w:rPr>
                <w:rFonts w:hint="eastAsia" w:ascii="宋体" w:hAnsi="宋体" w:cs="宋体"/>
                <w:color w:val="auto"/>
                <w:sz w:val="24"/>
                <w:highlight w:val="none"/>
              </w:rPr>
            </w:pPr>
          </w:p>
        </w:tc>
        <w:tc>
          <w:tcPr>
            <w:tcW w:w="830" w:type="dxa"/>
          </w:tcPr>
          <w:p w14:paraId="68B768B2">
            <w:pPr>
              <w:snapToGrid w:val="0"/>
              <w:spacing w:line="460" w:lineRule="exact"/>
              <w:jc w:val="center"/>
              <w:rPr>
                <w:rFonts w:hint="eastAsia" w:ascii="宋体" w:hAnsi="宋体" w:cs="宋体"/>
                <w:color w:val="auto"/>
                <w:sz w:val="24"/>
                <w:highlight w:val="none"/>
              </w:rPr>
            </w:pPr>
          </w:p>
        </w:tc>
        <w:tc>
          <w:tcPr>
            <w:tcW w:w="1722" w:type="dxa"/>
            <w:vAlign w:val="center"/>
          </w:tcPr>
          <w:p w14:paraId="1DC5420D">
            <w:pPr>
              <w:snapToGrid w:val="0"/>
              <w:spacing w:line="460" w:lineRule="exact"/>
              <w:jc w:val="center"/>
              <w:rPr>
                <w:rFonts w:hint="eastAsia" w:ascii="宋体" w:hAnsi="宋体" w:cs="宋体"/>
                <w:color w:val="auto"/>
                <w:sz w:val="24"/>
                <w:highlight w:val="none"/>
              </w:rPr>
            </w:pPr>
          </w:p>
        </w:tc>
        <w:tc>
          <w:tcPr>
            <w:tcW w:w="1276" w:type="dxa"/>
          </w:tcPr>
          <w:p w14:paraId="7FBCC05C">
            <w:pPr>
              <w:snapToGrid w:val="0"/>
              <w:spacing w:line="460" w:lineRule="exact"/>
              <w:jc w:val="center"/>
              <w:rPr>
                <w:rFonts w:hint="eastAsia" w:ascii="宋体" w:hAnsi="宋体" w:cs="宋体"/>
                <w:color w:val="auto"/>
                <w:sz w:val="24"/>
                <w:highlight w:val="none"/>
              </w:rPr>
            </w:pPr>
          </w:p>
        </w:tc>
      </w:tr>
      <w:tr w14:paraId="5063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7FD83801">
            <w:pPr>
              <w:snapToGrid w:val="0"/>
              <w:spacing w:line="460" w:lineRule="exact"/>
              <w:jc w:val="center"/>
              <w:rPr>
                <w:rFonts w:hint="eastAsia" w:ascii="宋体" w:hAnsi="宋体" w:cs="宋体"/>
                <w:color w:val="auto"/>
                <w:sz w:val="24"/>
                <w:highlight w:val="none"/>
              </w:rPr>
            </w:pPr>
          </w:p>
        </w:tc>
        <w:tc>
          <w:tcPr>
            <w:tcW w:w="1034" w:type="dxa"/>
            <w:vAlign w:val="center"/>
          </w:tcPr>
          <w:p w14:paraId="36997EE8">
            <w:pPr>
              <w:snapToGrid w:val="0"/>
              <w:spacing w:line="460" w:lineRule="exact"/>
              <w:jc w:val="center"/>
              <w:rPr>
                <w:rFonts w:hint="eastAsia" w:ascii="宋体" w:hAnsi="宋体" w:cs="宋体"/>
                <w:color w:val="auto"/>
                <w:sz w:val="24"/>
                <w:highlight w:val="none"/>
              </w:rPr>
            </w:pPr>
          </w:p>
        </w:tc>
        <w:tc>
          <w:tcPr>
            <w:tcW w:w="1134" w:type="dxa"/>
            <w:vAlign w:val="center"/>
          </w:tcPr>
          <w:p w14:paraId="76427646">
            <w:pPr>
              <w:snapToGrid w:val="0"/>
              <w:spacing w:line="460" w:lineRule="exact"/>
              <w:jc w:val="center"/>
              <w:rPr>
                <w:rFonts w:hint="eastAsia" w:ascii="宋体" w:hAnsi="宋体" w:cs="宋体"/>
                <w:color w:val="auto"/>
                <w:sz w:val="24"/>
                <w:highlight w:val="none"/>
              </w:rPr>
            </w:pPr>
          </w:p>
        </w:tc>
        <w:tc>
          <w:tcPr>
            <w:tcW w:w="1276" w:type="dxa"/>
            <w:vAlign w:val="center"/>
          </w:tcPr>
          <w:p w14:paraId="1A4881FC">
            <w:pPr>
              <w:snapToGrid w:val="0"/>
              <w:spacing w:line="460" w:lineRule="exact"/>
              <w:jc w:val="center"/>
              <w:rPr>
                <w:rFonts w:hint="eastAsia" w:ascii="宋体" w:hAnsi="宋体" w:cs="宋体"/>
                <w:color w:val="auto"/>
                <w:sz w:val="24"/>
                <w:highlight w:val="none"/>
              </w:rPr>
            </w:pPr>
          </w:p>
        </w:tc>
        <w:tc>
          <w:tcPr>
            <w:tcW w:w="1134" w:type="dxa"/>
          </w:tcPr>
          <w:p w14:paraId="71589246">
            <w:pPr>
              <w:snapToGrid w:val="0"/>
              <w:spacing w:line="460" w:lineRule="exact"/>
              <w:jc w:val="center"/>
              <w:rPr>
                <w:rFonts w:hint="eastAsia" w:ascii="宋体" w:hAnsi="宋体" w:cs="宋体"/>
                <w:color w:val="auto"/>
                <w:sz w:val="24"/>
                <w:highlight w:val="none"/>
              </w:rPr>
            </w:pPr>
          </w:p>
        </w:tc>
        <w:tc>
          <w:tcPr>
            <w:tcW w:w="992" w:type="dxa"/>
            <w:vAlign w:val="center"/>
          </w:tcPr>
          <w:p w14:paraId="30290A96">
            <w:pPr>
              <w:snapToGrid w:val="0"/>
              <w:spacing w:line="460" w:lineRule="exact"/>
              <w:jc w:val="center"/>
              <w:rPr>
                <w:rFonts w:hint="eastAsia" w:ascii="宋体" w:hAnsi="宋体" w:cs="宋体"/>
                <w:color w:val="auto"/>
                <w:sz w:val="24"/>
                <w:highlight w:val="none"/>
              </w:rPr>
            </w:pPr>
          </w:p>
        </w:tc>
        <w:tc>
          <w:tcPr>
            <w:tcW w:w="709" w:type="dxa"/>
            <w:vAlign w:val="center"/>
          </w:tcPr>
          <w:p w14:paraId="5893BDA1">
            <w:pPr>
              <w:snapToGrid w:val="0"/>
              <w:spacing w:line="460" w:lineRule="exact"/>
              <w:jc w:val="center"/>
              <w:rPr>
                <w:rFonts w:hint="eastAsia" w:ascii="宋体" w:hAnsi="宋体" w:cs="宋体"/>
                <w:color w:val="auto"/>
                <w:sz w:val="24"/>
                <w:highlight w:val="none"/>
              </w:rPr>
            </w:pPr>
          </w:p>
        </w:tc>
        <w:tc>
          <w:tcPr>
            <w:tcW w:w="830" w:type="dxa"/>
          </w:tcPr>
          <w:p w14:paraId="0D7D075D">
            <w:pPr>
              <w:snapToGrid w:val="0"/>
              <w:spacing w:line="460" w:lineRule="exact"/>
              <w:jc w:val="center"/>
              <w:rPr>
                <w:rFonts w:hint="eastAsia" w:ascii="宋体" w:hAnsi="宋体" w:cs="宋体"/>
                <w:color w:val="auto"/>
                <w:sz w:val="24"/>
                <w:highlight w:val="none"/>
              </w:rPr>
            </w:pPr>
          </w:p>
        </w:tc>
        <w:tc>
          <w:tcPr>
            <w:tcW w:w="1722" w:type="dxa"/>
            <w:vAlign w:val="center"/>
          </w:tcPr>
          <w:p w14:paraId="6415678C">
            <w:pPr>
              <w:snapToGrid w:val="0"/>
              <w:spacing w:line="460" w:lineRule="exact"/>
              <w:jc w:val="center"/>
              <w:rPr>
                <w:rFonts w:hint="eastAsia" w:ascii="宋体" w:hAnsi="宋体" w:cs="宋体"/>
                <w:color w:val="auto"/>
                <w:sz w:val="24"/>
                <w:highlight w:val="none"/>
              </w:rPr>
            </w:pPr>
          </w:p>
        </w:tc>
        <w:tc>
          <w:tcPr>
            <w:tcW w:w="1276" w:type="dxa"/>
          </w:tcPr>
          <w:p w14:paraId="03FC9B3B">
            <w:pPr>
              <w:snapToGrid w:val="0"/>
              <w:spacing w:line="460" w:lineRule="exact"/>
              <w:jc w:val="center"/>
              <w:rPr>
                <w:rFonts w:hint="eastAsia" w:ascii="宋体" w:hAnsi="宋体" w:cs="宋体"/>
                <w:color w:val="auto"/>
                <w:sz w:val="24"/>
                <w:highlight w:val="none"/>
              </w:rPr>
            </w:pPr>
          </w:p>
        </w:tc>
      </w:tr>
      <w:tr w14:paraId="663E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10816" w:type="dxa"/>
            <w:gridSpan w:val="10"/>
          </w:tcPr>
          <w:p w14:paraId="7A6608D0">
            <w:pPr>
              <w:snapToGrid w:val="0"/>
              <w:spacing w:line="460" w:lineRule="exact"/>
              <w:jc w:val="left"/>
              <w:rPr>
                <w:rFonts w:hint="eastAsia" w:ascii="宋体" w:hAnsi="宋体" w:cs="宋体"/>
                <w:color w:val="auto"/>
                <w:sz w:val="24"/>
                <w:highlight w:val="none"/>
              </w:rPr>
            </w:pPr>
            <w:r>
              <w:rPr>
                <w:rFonts w:hint="eastAsia" w:ascii="宋体" w:hAnsi="宋体" w:cs="宋体"/>
                <w:color w:val="auto"/>
                <w:sz w:val="24"/>
                <w:highlight w:val="none"/>
              </w:rPr>
              <w:t>合计金额（人民币大写</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 </w:t>
            </w:r>
            <w:r>
              <w:rPr>
                <w:rFonts w:ascii="宋体" w:hAnsi="宋体" w:cs="宋体"/>
                <w:b/>
                <w:bCs/>
                <w:color w:val="auto"/>
                <w:sz w:val="24"/>
                <w:highlight w:val="none"/>
                <w:u w:val="single"/>
              </w:rPr>
              <w:t xml:space="preserve">            </w:t>
            </w:r>
            <w:r>
              <w:rPr>
                <w:rFonts w:ascii="宋体" w:hAnsi="宋体" w:cs="宋体"/>
                <w:bCs/>
                <w:color w:val="auto"/>
                <w:sz w:val="24"/>
                <w:highlight w:val="none"/>
                <w:u w:val="single"/>
              </w:rPr>
              <w:t xml:space="preserve"> </w:t>
            </w:r>
            <w:r>
              <w:rPr>
                <w:rFonts w:hint="eastAsia" w:ascii="宋体" w:hAnsi="宋体" w:cs="宋体"/>
                <w:bCs/>
                <w:color w:val="auto"/>
                <w:sz w:val="24"/>
                <w:highlight w:val="none"/>
              </w:rPr>
              <w:t>（小写）</w:t>
            </w:r>
            <w:r>
              <w:rPr>
                <w:rFonts w:hint="eastAsia" w:ascii="宋体" w:hAnsi="宋体" w:cs="宋体"/>
                <w:bCs/>
                <w:color w:val="auto"/>
                <w:sz w:val="24"/>
                <w:highlight w:val="none"/>
                <w:u w:val="single"/>
              </w:rPr>
              <w:t xml:space="preserve">¥ </w:t>
            </w:r>
            <w:r>
              <w:rPr>
                <w:rFonts w:ascii="宋体" w:hAnsi="宋体" w:cs="宋体"/>
                <w:bCs/>
                <w:color w:val="auto"/>
                <w:sz w:val="24"/>
                <w:highlight w:val="none"/>
                <w:u w:val="single"/>
              </w:rPr>
              <w:t xml:space="preserve">         .**</w:t>
            </w:r>
          </w:p>
        </w:tc>
      </w:tr>
    </w:tbl>
    <w:p w14:paraId="32DF04A8">
      <w:pPr>
        <w:widowControl/>
        <w:spacing w:line="360" w:lineRule="auto"/>
        <w:ind w:firstLine="420" w:firstLineChars="200"/>
        <w:jc w:val="left"/>
        <w:rPr>
          <w:color w:val="auto"/>
          <w:szCs w:val="21"/>
        </w:rPr>
      </w:pPr>
      <w:r>
        <w:rPr>
          <w:rFonts w:hint="eastAsia" w:cs="宋体"/>
          <w:color w:val="auto"/>
          <w:kern w:val="0"/>
          <w:szCs w:val="21"/>
          <w:lang w:val="en-US" w:eastAsia="zh-CN"/>
        </w:rPr>
        <w:t>2、</w:t>
      </w:r>
      <w:r>
        <w:rPr>
          <w:rFonts w:hint="eastAsia" w:cs="宋体"/>
          <w:color w:val="auto"/>
          <w:kern w:val="0"/>
          <w:szCs w:val="21"/>
        </w:rPr>
        <w:t>合同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甲方不再支付合同合计金额以外的其他费用。</w:t>
      </w:r>
      <w:r>
        <w:rPr>
          <w:rFonts w:cs="宋体"/>
          <w:color w:val="auto"/>
          <w:kern w:val="0"/>
          <w:szCs w:val="21"/>
        </w:rPr>
        <w:t xml:space="preserve"> </w:t>
      </w:r>
    </w:p>
    <w:p w14:paraId="65B51346">
      <w:pPr>
        <w:widowControl/>
        <w:spacing w:line="360" w:lineRule="auto"/>
        <w:jc w:val="left"/>
        <w:rPr>
          <w:color w:val="auto"/>
          <w:szCs w:val="21"/>
        </w:rPr>
      </w:pPr>
      <w:r>
        <w:rPr>
          <w:rFonts w:cs="宋体"/>
          <w:b/>
          <w:bCs/>
          <w:color w:val="auto"/>
          <w:kern w:val="0"/>
          <w:szCs w:val="21"/>
        </w:rPr>
        <w:t xml:space="preserve">第二条 质量保证 </w:t>
      </w:r>
    </w:p>
    <w:p w14:paraId="3DED5499">
      <w:pPr>
        <w:widowControl/>
        <w:spacing w:line="360" w:lineRule="auto"/>
        <w:ind w:firstLine="420" w:firstLineChars="200"/>
        <w:jc w:val="left"/>
        <w:rPr>
          <w:rFonts w:cs="宋体"/>
          <w:color w:val="auto"/>
          <w:kern w:val="0"/>
          <w:szCs w:val="21"/>
        </w:rPr>
      </w:pPr>
      <w:r>
        <w:rPr>
          <w:rFonts w:hint="eastAsia" w:cs="宋体"/>
          <w:color w:val="auto"/>
          <w:kern w:val="0"/>
          <w:szCs w:val="21"/>
        </w:rPr>
        <w:t>1、乙方所提供的</w:t>
      </w:r>
      <w:r>
        <w:rPr>
          <w:rFonts w:hint="eastAsia" w:cs="宋体"/>
          <w:color w:val="auto"/>
          <w:kern w:val="0"/>
          <w:szCs w:val="21"/>
          <w:lang w:val="en-US" w:eastAsia="zh-CN"/>
        </w:rPr>
        <w:t>货物</w:t>
      </w:r>
      <w:r>
        <w:rPr>
          <w:rFonts w:hint="eastAsia" w:cs="宋体"/>
          <w:color w:val="auto"/>
          <w:kern w:val="0"/>
          <w:szCs w:val="21"/>
        </w:rPr>
        <w:t>及服务内容必须与</w:t>
      </w:r>
      <w:r>
        <w:rPr>
          <w:rFonts w:hint="eastAsia" w:cs="宋体"/>
          <w:color w:val="auto"/>
          <w:kern w:val="0"/>
          <w:szCs w:val="21"/>
          <w:lang w:val="en-US" w:eastAsia="zh-CN"/>
        </w:rPr>
        <w:t>响应</w:t>
      </w:r>
      <w:r>
        <w:rPr>
          <w:rFonts w:hint="eastAsia" w:cs="宋体"/>
          <w:color w:val="auto"/>
          <w:kern w:val="0"/>
          <w:szCs w:val="21"/>
        </w:rPr>
        <w:t xml:space="preserve">文件承诺相一致。 </w:t>
      </w:r>
    </w:p>
    <w:p w14:paraId="7E6820DD">
      <w:pPr>
        <w:widowControl/>
        <w:spacing w:line="360" w:lineRule="auto"/>
        <w:ind w:firstLine="420" w:firstLineChars="200"/>
        <w:jc w:val="left"/>
        <w:rPr>
          <w:rFonts w:cs="宋体"/>
          <w:color w:val="auto"/>
          <w:kern w:val="0"/>
          <w:szCs w:val="21"/>
        </w:rPr>
      </w:pPr>
      <w:r>
        <w:rPr>
          <w:rFonts w:hint="eastAsia" w:cs="宋体"/>
          <w:color w:val="auto"/>
          <w:kern w:val="0"/>
          <w:szCs w:val="21"/>
        </w:rPr>
        <w:t>2、按国家有关产品“三包”规定执行“三包”，质保期为 3 年</w:t>
      </w:r>
      <w:r>
        <w:rPr>
          <w:rFonts w:hint="eastAsia" w:ascii="宋体" w:hAnsi="宋体" w:cs="宋体"/>
          <w:color w:val="auto"/>
          <w:szCs w:val="21"/>
          <w:highlight w:val="none"/>
        </w:rPr>
        <w:t>（若分项中有具体要求按其要求执行，若国家或生产厂家对本项目所涉及货物的质量保证期的规定高于本项目要求的，按国家或生产厂家的规定执行，若供应商在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文件中承诺高于该期限，按照供应商承诺），交货验收合格之日起计，如采购需求中另有要求以采购需求为准</w:t>
      </w:r>
      <w:r>
        <w:rPr>
          <w:rFonts w:hint="eastAsia" w:cs="宋体"/>
          <w:color w:val="auto"/>
          <w:kern w:val="0"/>
          <w:szCs w:val="21"/>
        </w:rPr>
        <w:t xml:space="preserve">。 </w:t>
      </w:r>
    </w:p>
    <w:p w14:paraId="43E63EE9">
      <w:pPr>
        <w:widowControl/>
        <w:wordWrap w:val="0"/>
        <w:overflowPunct w:val="0"/>
        <w:topLinePunct/>
        <w:spacing w:line="360" w:lineRule="auto"/>
        <w:rPr>
          <w:rFonts w:cs="宋体"/>
          <w:b/>
          <w:color w:val="auto"/>
          <w:szCs w:val="21"/>
        </w:rPr>
      </w:pPr>
      <w:r>
        <w:rPr>
          <w:rFonts w:cs="宋体"/>
          <w:b/>
          <w:color w:val="auto"/>
          <w:szCs w:val="21"/>
        </w:rPr>
        <w:t>第三条  甲方</w:t>
      </w:r>
      <w:r>
        <w:rPr>
          <w:rFonts w:hint="eastAsia" w:cs="宋体"/>
          <w:b/>
          <w:color w:val="auto"/>
          <w:szCs w:val="21"/>
        </w:rPr>
        <w:t>权利</w:t>
      </w:r>
      <w:r>
        <w:rPr>
          <w:rFonts w:cs="宋体"/>
          <w:b/>
          <w:color w:val="auto"/>
          <w:szCs w:val="21"/>
        </w:rPr>
        <w:t>和义务</w:t>
      </w:r>
    </w:p>
    <w:p w14:paraId="39F53A4C">
      <w:pPr>
        <w:widowControl/>
        <w:wordWrap w:val="0"/>
        <w:overflowPunct w:val="0"/>
        <w:topLinePunct/>
        <w:spacing w:line="360" w:lineRule="auto"/>
        <w:ind w:firstLine="420" w:firstLineChars="200"/>
        <w:rPr>
          <w:rFonts w:cs="宋体"/>
          <w:color w:val="auto"/>
          <w:szCs w:val="21"/>
        </w:rPr>
      </w:pPr>
      <w:r>
        <w:rPr>
          <w:rFonts w:cs="宋体"/>
          <w:color w:val="auto"/>
          <w:szCs w:val="21"/>
        </w:rPr>
        <w:t>1</w:t>
      </w:r>
      <w:r>
        <w:rPr>
          <w:rFonts w:hint="eastAsia" w:cs="宋体"/>
          <w:color w:val="auto"/>
          <w:szCs w:val="21"/>
        </w:rPr>
        <w:t>、甲方有权要求乙方按时、按质、按量、按计划与合同协议约定完成本项目，并有权对乙方工作情况进行监督。</w:t>
      </w:r>
    </w:p>
    <w:p w14:paraId="2A93EB64">
      <w:pPr>
        <w:widowControl/>
        <w:wordWrap w:val="0"/>
        <w:overflowPunct w:val="0"/>
        <w:topLinePunct/>
        <w:spacing w:line="360" w:lineRule="auto"/>
        <w:ind w:firstLine="420" w:firstLineChars="200"/>
        <w:rPr>
          <w:rFonts w:cs="宋体"/>
          <w:color w:val="auto"/>
          <w:szCs w:val="21"/>
        </w:rPr>
      </w:pPr>
      <w:r>
        <w:rPr>
          <w:rFonts w:cs="宋体"/>
          <w:color w:val="auto"/>
          <w:szCs w:val="21"/>
        </w:rPr>
        <w:t>2</w:t>
      </w:r>
      <w:r>
        <w:rPr>
          <w:rFonts w:hint="eastAsia" w:cs="宋体"/>
          <w:color w:val="auto"/>
          <w:szCs w:val="21"/>
        </w:rPr>
        <w:t>、根据项目进度，甲方有权及时对乙方提交的方案提出修改意见，并要求乙方按修改意见完成服务工作。</w:t>
      </w:r>
    </w:p>
    <w:p w14:paraId="477F2D1B">
      <w:pPr>
        <w:widowControl/>
        <w:wordWrap w:val="0"/>
        <w:overflowPunct w:val="0"/>
        <w:topLinePunct/>
        <w:spacing w:line="360" w:lineRule="auto"/>
        <w:ind w:firstLine="420" w:firstLineChars="200"/>
        <w:rPr>
          <w:rFonts w:cs="宋体"/>
          <w:color w:val="auto"/>
          <w:szCs w:val="21"/>
        </w:rPr>
      </w:pPr>
      <w:r>
        <w:rPr>
          <w:rFonts w:cs="宋体"/>
          <w:color w:val="auto"/>
          <w:szCs w:val="21"/>
        </w:rPr>
        <w:t>3</w:t>
      </w:r>
      <w:r>
        <w:rPr>
          <w:rFonts w:hint="eastAsia" w:cs="宋体"/>
          <w:color w:val="auto"/>
          <w:szCs w:val="21"/>
        </w:rPr>
        <w:t>、乙方配备的项目投入人员应得到甲方的认可；对派遣到甲方的服务人员进行管理、考核、检查与奖惩。</w:t>
      </w:r>
    </w:p>
    <w:p w14:paraId="644D686E">
      <w:pPr>
        <w:widowControl/>
        <w:wordWrap w:val="0"/>
        <w:overflowPunct w:val="0"/>
        <w:topLinePunct/>
        <w:spacing w:line="360" w:lineRule="auto"/>
        <w:ind w:firstLine="420" w:firstLineChars="200"/>
        <w:rPr>
          <w:rFonts w:cs="宋体"/>
          <w:color w:val="auto"/>
          <w:szCs w:val="21"/>
        </w:rPr>
      </w:pPr>
      <w:r>
        <w:rPr>
          <w:rFonts w:cs="宋体"/>
          <w:color w:val="auto"/>
          <w:szCs w:val="21"/>
        </w:rPr>
        <w:t>4</w:t>
      </w:r>
      <w:r>
        <w:rPr>
          <w:rFonts w:hint="eastAsia" w:cs="宋体"/>
          <w:color w:val="auto"/>
          <w:szCs w:val="21"/>
        </w:rPr>
        <w:t>、甲方有权要求乙方更换不合格的工作人员。</w:t>
      </w:r>
    </w:p>
    <w:p w14:paraId="1FB51256">
      <w:pPr>
        <w:widowControl/>
        <w:wordWrap w:val="0"/>
        <w:overflowPunct w:val="0"/>
        <w:topLinePunct/>
        <w:spacing w:line="360" w:lineRule="auto"/>
        <w:ind w:firstLine="420" w:firstLineChars="200"/>
        <w:rPr>
          <w:rFonts w:cs="宋体"/>
          <w:color w:val="auto"/>
          <w:szCs w:val="21"/>
        </w:rPr>
      </w:pPr>
      <w:r>
        <w:rPr>
          <w:rFonts w:cs="宋体"/>
          <w:color w:val="auto"/>
          <w:szCs w:val="21"/>
        </w:rPr>
        <w:t>5</w:t>
      </w:r>
      <w:r>
        <w:rPr>
          <w:rFonts w:hint="eastAsia" w:cs="宋体"/>
          <w:color w:val="auto"/>
          <w:szCs w:val="21"/>
        </w:rPr>
        <w:t>、按合同要求及时向乙方支付产品和服务费用。</w:t>
      </w:r>
    </w:p>
    <w:p w14:paraId="071C1E49">
      <w:pPr>
        <w:widowControl/>
        <w:wordWrap w:val="0"/>
        <w:overflowPunct w:val="0"/>
        <w:topLinePunct/>
        <w:spacing w:line="360" w:lineRule="auto"/>
        <w:ind w:firstLine="420" w:firstLineChars="200"/>
        <w:rPr>
          <w:rFonts w:cs="宋体"/>
          <w:color w:val="auto"/>
          <w:szCs w:val="21"/>
        </w:rPr>
      </w:pPr>
      <w:r>
        <w:rPr>
          <w:rFonts w:cs="宋体"/>
          <w:color w:val="auto"/>
          <w:szCs w:val="21"/>
        </w:rPr>
        <w:t>6</w:t>
      </w:r>
      <w:r>
        <w:rPr>
          <w:rFonts w:hint="eastAsia" w:cs="宋体"/>
          <w:color w:val="auto"/>
          <w:szCs w:val="21"/>
        </w:rPr>
        <w:t>、如采购项目涉及采购标的的知识产权归属的，产权归属为：甲方</w:t>
      </w:r>
      <w:r>
        <w:rPr>
          <w:rFonts w:cs="宋体"/>
          <w:color w:val="auto"/>
          <w:szCs w:val="21"/>
        </w:rPr>
        <w:t xml:space="preserve">        </w:t>
      </w:r>
    </w:p>
    <w:p w14:paraId="1CB86380">
      <w:pPr>
        <w:widowControl/>
        <w:wordWrap w:val="0"/>
        <w:overflowPunct w:val="0"/>
        <w:topLinePunct/>
        <w:spacing w:line="360" w:lineRule="auto"/>
        <w:ind w:firstLine="420" w:firstLineChars="200"/>
        <w:rPr>
          <w:rFonts w:cs="宋体"/>
          <w:color w:val="auto"/>
          <w:szCs w:val="21"/>
        </w:rPr>
      </w:pPr>
      <w:r>
        <w:rPr>
          <w:rFonts w:hint="eastAsia" w:cs="宋体"/>
          <w:color w:val="auto"/>
          <w:szCs w:val="21"/>
        </w:rPr>
        <w:t>处理方式：采购人在中华人民共和国境内使用供应商提供的产品及服务时免受第三方提出的侵犯其专利权或其它知识产权的起诉。如果第三方提出侵权指控，乙方应承担由此而引起的一切法律责任和费用。</w:t>
      </w:r>
    </w:p>
    <w:p w14:paraId="1050E778">
      <w:pPr>
        <w:widowControl/>
        <w:wordWrap w:val="0"/>
        <w:overflowPunct w:val="0"/>
        <w:topLinePunct/>
        <w:spacing w:line="360" w:lineRule="auto"/>
        <w:rPr>
          <w:rFonts w:cs="宋体"/>
          <w:b/>
          <w:color w:val="auto"/>
          <w:szCs w:val="21"/>
        </w:rPr>
      </w:pPr>
      <w:r>
        <w:rPr>
          <w:rFonts w:cs="宋体"/>
          <w:b/>
          <w:color w:val="auto"/>
          <w:szCs w:val="21"/>
        </w:rPr>
        <w:t>第四条  乙方权利和义务</w:t>
      </w:r>
    </w:p>
    <w:p w14:paraId="16A9AD2A">
      <w:pPr>
        <w:widowControl/>
        <w:wordWrap w:val="0"/>
        <w:overflowPunct w:val="0"/>
        <w:topLinePunct/>
        <w:spacing w:line="360" w:lineRule="auto"/>
        <w:ind w:firstLine="420" w:firstLineChars="200"/>
        <w:rPr>
          <w:rFonts w:cs="宋体"/>
          <w:color w:val="auto"/>
          <w:szCs w:val="21"/>
        </w:rPr>
      </w:pPr>
      <w:r>
        <w:rPr>
          <w:rFonts w:cs="宋体"/>
          <w:color w:val="auto"/>
          <w:szCs w:val="21"/>
        </w:rPr>
        <w:t>1</w:t>
      </w:r>
      <w:r>
        <w:rPr>
          <w:rFonts w:hint="eastAsia" w:cs="宋体"/>
          <w:color w:val="auto"/>
          <w:szCs w:val="21"/>
        </w:rPr>
        <w:t>、严格履行合同文件（含采购文件、响应文件等）约定和承诺的</w:t>
      </w:r>
      <w:r>
        <w:rPr>
          <w:rFonts w:hint="eastAsia" w:cs="宋体"/>
          <w:color w:val="auto"/>
          <w:szCs w:val="21"/>
          <w:lang w:val="en-US" w:eastAsia="zh-CN"/>
        </w:rPr>
        <w:t>货物和</w:t>
      </w:r>
      <w:r>
        <w:rPr>
          <w:rFonts w:hint="eastAsia" w:cs="宋体"/>
          <w:color w:val="auto"/>
          <w:szCs w:val="21"/>
        </w:rPr>
        <w:t>服务内容和质量标准，保证甲方项目的相关工作质量和进度。</w:t>
      </w:r>
    </w:p>
    <w:p w14:paraId="25318C2B">
      <w:pPr>
        <w:widowControl/>
        <w:wordWrap w:val="0"/>
        <w:overflowPunct w:val="0"/>
        <w:topLinePunct/>
        <w:spacing w:line="360" w:lineRule="auto"/>
        <w:ind w:firstLine="420" w:firstLineChars="200"/>
        <w:rPr>
          <w:rFonts w:hint="eastAsia" w:cs="宋体"/>
          <w:color w:val="auto"/>
          <w:szCs w:val="21"/>
        </w:rPr>
      </w:pPr>
      <w:r>
        <w:rPr>
          <w:rFonts w:hint="eastAsia" w:cs="宋体"/>
          <w:color w:val="auto"/>
          <w:szCs w:val="21"/>
          <w:lang w:val="en-US" w:eastAsia="zh-CN"/>
        </w:rPr>
        <w:t>2、</w:t>
      </w:r>
      <w:r>
        <w:rPr>
          <w:rFonts w:hint="eastAsia" w:cs="宋体"/>
          <w:color w:val="auto"/>
          <w:szCs w:val="21"/>
        </w:rPr>
        <w:t>乙方应按采购文件规定的设备和软件性能、技术要求、质量标准向甲方提供未经使用的全新产品。对达不到要求者，根据实际情况，经双方协商，可按以下办法处理：</w:t>
      </w:r>
    </w:p>
    <w:p w14:paraId="509DA70D">
      <w:pPr>
        <w:widowControl/>
        <w:wordWrap w:val="0"/>
        <w:overflowPunct w:val="0"/>
        <w:topLinePunct/>
        <w:spacing w:line="360" w:lineRule="auto"/>
        <w:ind w:firstLine="420" w:firstLineChars="200"/>
        <w:rPr>
          <w:rFonts w:hint="eastAsia" w:cs="宋体"/>
          <w:color w:val="auto"/>
          <w:szCs w:val="21"/>
        </w:rPr>
      </w:pPr>
      <w:r>
        <w:rPr>
          <w:rFonts w:hint="eastAsia" w:cs="宋体"/>
          <w:color w:val="auto"/>
          <w:szCs w:val="21"/>
        </w:rPr>
        <w:t>（1）更换：由乙方承担所发生的全部费用。</w:t>
      </w:r>
    </w:p>
    <w:p w14:paraId="70F43F68">
      <w:pPr>
        <w:widowControl/>
        <w:wordWrap w:val="0"/>
        <w:overflowPunct w:val="0"/>
        <w:topLinePunct/>
        <w:spacing w:line="360" w:lineRule="auto"/>
        <w:ind w:firstLine="420" w:firstLineChars="200"/>
        <w:rPr>
          <w:rFonts w:hint="eastAsia" w:cs="宋体"/>
          <w:color w:val="auto"/>
          <w:szCs w:val="21"/>
        </w:rPr>
      </w:pPr>
      <w:r>
        <w:rPr>
          <w:rFonts w:hint="eastAsia" w:cs="宋体"/>
          <w:color w:val="auto"/>
          <w:szCs w:val="21"/>
        </w:rPr>
        <w:t>（2）贬值处理：由甲乙双方合议定价。</w:t>
      </w:r>
    </w:p>
    <w:p w14:paraId="200F3B2F">
      <w:pPr>
        <w:widowControl/>
        <w:wordWrap w:val="0"/>
        <w:overflowPunct w:val="0"/>
        <w:topLinePunct/>
        <w:spacing w:line="360" w:lineRule="auto"/>
        <w:ind w:firstLine="420" w:firstLineChars="200"/>
        <w:rPr>
          <w:rFonts w:hint="eastAsia" w:cs="宋体"/>
          <w:color w:val="auto"/>
          <w:szCs w:val="21"/>
        </w:rPr>
      </w:pPr>
      <w:r>
        <w:rPr>
          <w:rFonts w:hint="eastAsia" w:cs="宋体"/>
          <w:color w:val="auto"/>
          <w:szCs w:val="21"/>
        </w:rPr>
        <w:t>（3）退货处理：乙方应退还甲方支付的合同款，同时应承担该货物的直接费用（运输、保险、检验、货款利息及银行手续费等）。</w:t>
      </w:r>
    </w:p>
    <w:p w14:paraId="42B8E3A7">
      <w:pPr>
        <w:widowControl/>
        <w:wordWrap w:val="0"/>
        <w:overflowPunct w:val="0"/>
        <w:topLinePunct/>
        <w:spacing w:line="360" w:lineRule="auto"/>
        <w:ind w:firstLine="420" w:firstLineChars="200"/>
        <w:rPr>
          <w:rFonts w:cs="宋体"/>
          <w:color w:val="auto"/>
          <w:szCs w:val="21"/>
        </w:rPr>
      </w:pPr>
      <w:r>
        <w:rPr>
          <w:rFonts w:hint="eastAsia" w:cs="宋体"/>
          <w:color w:val="auto"/>
          <w:szCs w:val="21"/>
        </w:rPr>
        <w:t>如果双方不能就上述第（1）、（2）项达成协议，则甲方有权单方选择第（3）项方式。</w:t>
      </w:r>
    </w:p>
    <w:p w14:paraId="74E3B145">
      <w:pPr>
        <w:widowControl/>
        <w:wordWrap w:val="0"/>
        <w:overflowPunct w:val="0"/>
        <w:topLinePunct/>
        <w:spacing w:line="360" w:lineRule="auto"/>
        <w:ind w:firstLine="420" w:firstLineChars="200"/>
        <w:rPr>
          <w:rFonts w:cs="宋体"/>
          <w:color w:val="auto"/>
          <w:szCs w:val="21"/>
        </w:rPr>
      </w:pPr>
      <w:r>
        <w:rPr>
          <w:rFonts w:hint="eastAsia" w:cs="宋体"/>
          <w:color w:val="auto"/>
          <w:szCs w:val="21"/>
          <w:lang w:val="en-US" w:eastAsia="zh-CN"/>
        </w:rPr>
        <w:t>3</w:t>
      </w:r>
      <w:r>
        <w:rPr>
          <w:rFonts w:hint="eastAsia" w:cs="宋体"/>
          <w:color w:val="auto"/>
          <w:szCs w:val="21"/>
        </w:rPr>
        <w:t>、必须严格实施乙方响应文件中承诺的人力资源配置。在必须补充或更换人员时，必须补充或更换优于或等同于响应文件所承诺资质的服务人员，并需取得甲方书面同意。</w:t>
      </w:r>
    </w:p>
    <w:p w14:paraId="6E1A06CB">
      <w:pPr>
        <w:widowControl/>
        <w:wordWrap w:val="0"/>
        <w:overflowPunct w:val="0"/>
        <w:topLinePunct/>
        <w:spacing w:line="360" w:lineRule="auto"/>
        <w:ind w:firstLine="420" w:firstLineChars="200"/>
        <w:rPr>
          <w:rFonts w:cs="宋体"/>
          <w:color w:val="auto"/>
          <w:szCs w:val="21"/>
        </w:rPr>
      </w:pPr>
      <w:r>
        <w:rPr>
          <w:rFonts w:hint="eastAsia" w:cs="宋体"/>
          <w:color w:val="auto"/>
          <w:szCs w:val="21"/>
          <w:lang w:val="en-US" w:eastAsia="zh-CN"/>
        </w:rPr>
        <w:t>4</w:t>
      </w:r>
      <w:r>
        <w:rPr>
          <w:rFonts w:hint="eastAsia" w:cs="宋体"/>
          <w:color w:val="auto"/>
          <w:szCs w:val="21"/>
        </w:rPr>
        <w:t>、乙方项目负责人及服务团队成员须与响应文件保持一致。合同存续期内，未经甲方书面要求或同意，项目负责人不应调整。项目负责人及服务团队成员必须保证在岗工作时间和重要活动在岗，如有变化，须取得甲方同意。</w:t>
      </w:r>
    </w:p>
    <w:p w14:paraId="404CD51E">
      <w:pPr>
        <w:widowControl/>
        <w:wordWrap w:val="0"/>
        <w:overflowPunct w:val="0"/>
        <w:topLinePunct/>
        <w:spacing w:line="360" w:lineRule="auto"/>
        <w:ind w:firstLine="420" w:firstLineChars="200"/>
        <w:rPr>
          <w:rFonts w:cs="宋体"/>
          <w:color w:val="auto"/>
          <w:szCs w:val="21"/>
        </w:rPr>
      </w:pPr>
      <w:r>
        <w:rPr>
          <w:rFonts w:hint="eastAsia" w:cs="宋体"/>
          <w:color w:val="auto"/>
          <w:szCs w:val="21"/>
          <w:lang w:val="en-US" w:eastAsia="zh-CN"/>
        </w:rPr>
        <w:t>5</w:t>
      </w:r>
      <w:r>
        <w:rPr>
          <w:rFonts w:hint="eastAsia" w:cs="宋体"/>
          <w:color w:val="auto"/>
          <w:szCs w:val="21"/>
        </w:rPr>
        <w:t>、乙方依本合同约定向甲方</w:t>
      </w:r>
      <w:r>
        <w:rPr>
          <w:rFonts w:hint="eastAsia" w:cs="宋体"/>
          <w:color w:val="auto"/>
          <w:szCs w:val="21"/>
          <w:lang w:val="en-US" w:eastAsia="zh-CN"/>
        </w:rPr>
        <w:t>提供</w:t>
      </w:r>
      <w:r>
        <w:rPr>
          <w:rFonts w:hint="eastAsia" w:cs="宋体"/>
          <w:color w:val="auto"/>
          <w:szCs w:val="21"/>
        </w:rPr>
        <w:t>采购文件规定的设备和软件</w:t>
      </w:r>
      <w:r>
        <w:rPr>
          <w:rFonts w:hint="eastAsia" w:cs="宋体"/>
          <w:color w:val="auto"/>
          <w:szCs w:val="21"/>
          <w:lang w:eastAsia="zh-CN"/>
        </w:rPr>
        <w:t>、</w:t>
      </w:r>
      <w:r>
        <w:rPr>
          <w:rFonts w:hint="eastAsia" w:cs="宋体"/>
          <w:color w:val="auto"/>
          <w:szCs w:val="21"/>
        </w:rPr>
        <w:t>未经使用的全新产品</w:t>
      </w:r>
      <w:r>
        <w:rPr>
          <w:rFonts w:hint="eastAsia" w:cs="宋体"/>
          <w:color w:val="auto"/>
          <w:szCs w:val="21"/>
          <w:lang w:eastAsia="zh-CN"/>
        </w:rPr>
        <w:t>、</w:t>
      </w:r>
      <w:r>
        <w:rPr>
          <w:rFonts w:hint="eastAsia" w:cs="宋体"/>
          <w:color w:val="auto"/>
          <w:szCs w:val="21"/>
        </w:rPr>
        <w:t>报告、资料、文件等内容，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14:paraId="14D0114B">
      <w:pPr>
        <w:widowControl/>
        <w:wordWrap w:val="0"/>
        <w:overflowPunct w:val="0"/>
        <w:topLinePunct/>
        <w:spacing w:line="360" w:lineRule="auto"/>
        <w:ind w:firstLine="420" w:firstLineChars="200"/>
        <w:rPr>
          <w:rFonts w:cs="宋体"/>
          <w:color w:val="auto"/>
          <w:szCs w:val="21"/>
        </w:rPr>
      </w:pPr>
      <w:r>
        <w:rPr>
          <w:rFonts w:hint="eastAsia" w:cs="宋体"/>
          <w:color w:val="auto"/>
          <w:szCs w:val="21"/>
          <w:lang w:val="en-US" w:eastAsia="zh-CN"/>
        </w:rPr>
        <w:t>6</w:t>
      </w:r>
      <w:r>
        <w:rPr>
          <w:rFonts w:hint="eastAsia" w:cs="宋体"/>
          <w:color w:val="auto"/>
          <w:szCs w:val="21"/>
        </w:rPr>
        <w:t>、乙方服务人员应履行保密义务。如乙方因违反本条约定给甲方造成损失的，乙方应当承担相应的法律责任，并赔偿由此给甲方造成的一切损失。</w:t>
      </w:r>
    </w:p>
    <w:p w14:paraId="4D3B9650">
      <w:pPr>
        <w:widowControl/>
        <w:wordWrap w:val="0"/>
        <w:overflowPunct w:val="0"/>
        <w:topLinePunct/>
        <w:spacing w:line="360" w:lineRule="auto"/>
        <w:ind w:firstLine="420" w:firstLineChars="200"/>
        <w:jc w:val="left"/>
        <w:rPr>
          <w:rFonts w:hint="eastAsia" w:cs="宋体"/>
          <w:color w:val="auto"/>
          <w:szCs w:val="21"/>
        </w:rPr>
      </w:pPr>
      <w:r>
        <w:rPr>
          <w:rFonts w:hint="eastAsia" w:cs="宋体"/>
          <w:color w:val="auto"/>
          <w:szCs w:val="21"/>
          <w:lang w:val="en-US" w:eastAsia="zh-CN"/>
        </w:rPr>
        <w:t>7</w:t>
      </w:r>
      <w:r>
        <w:rPr>
          <w:rFonts w:hint="eastAsia" w:cs="宋体"/>
          <w:color w:val="auto"/>
          <w:szCs w:val="21"/>
        </w:rPr>
        <w:t>、按照合同约定收取服务费，当甲方出现无故拖欠费用时，乙方有权采取适当方式进行催缴，若甲方仍未支付费用，乙方有权停止工作。</w:t>
      </w:r>
    </w:p>
    <w:p w14:paraId="1535978D">
      <w:pPr>
        <w:widowControl/>
        <w:wordWrap/>
        <w:overflowPunct/>
        <w:topLinePunct w:val="0"/>
        <w:spacing w:line="360" w:lineRule="auto"/>
        <w:ind w:firstLine="0" w:firstLineChars="0"/>
        <w:jc w:val="left"/>
        <w:rPr>
          <w:rFonts w:hint="default" w:cs="宋体"/>
          <w:b/>
          <w:bCs/>
          <w:color w:val="auto"/>
          <w:kern w:val="0"/>
          <w:szCs w:val="21"/>
        </w:rPr>
      </w:pPr>
      <w:r>
        <w:rPr>
          <w:rFonts w:hint="default" w:cs="宋体"/>
          <w:b/>
          <w:bCs/>
          <w:color w:val="auto"/>
          <w:kern w:val="0"/>
          <w:szCs w:val="21"/>
        </w:rPr>
        <w:t xml:space="preserve">第五条 </w:t>
      </w:r>
      <w:r>
        <w:rPr>
          <w:rFonts w:hint="eastAsia" w:cs="宋体"/>
          <w:b/>
          <w:bCs/>
          <w:color w:val="auto"/>
          <w:kern w:val="0"/>
          <w:szCs w:val="21"/>
          <w:lang w:val="en-US" w:eastAsia="zh-CN"/>
        </w:rPr>
        <w:t>软件</w:t>
      </w:r>
      <w:r>
        <w:rPr>
          <w:rFonts w:hint="default" w:cs="宋体"/>
          <w:b/>
          <w:bCs/>
          <w:color w:val="auto"/>
          <w:kern w:val="0"/>
          <w:szCs w:val="21"/>
        </w:rPr>
        <w:t>需求确认与变更</w:t>
      </w:r>
    </w:p>
    <w:p w14:paraId="73360E9E">
      <w:pPr>
        <w:widowControl/>
        <w:wordWrap w:val="0"/>
        <w:overflowPunct w:val="0"/>
        <w:topLinePunct/>
        <w:spacing w:line="360" w:lineRule="auto"/>
        <w:ind w:firstLine="420" w:firstLineChars="200"/>
        <w:jc w:val="left"/>
        <w:rPr>
          <w:rFonts w:hint="eastAsia" w:cs="宋体"/>
          <w:color w:val="auto"/>
          <w:szCs w:val="21"/>
        </w:rPr>
      </w:pPr>
      <w:r>
        <w:rPr>
          <w:rFonts w:hint="eastAsia" w:cs="宋体"/>
          <w:color w:val="auto"/>
          <w:szCs w:val="21"/>
          <w:lang w:val="en-US" w:eastAsia="zh-CN"/>
        </w:rPr>
        <w:t>1、软件</w:t>
      </w:r>
      <w:r>
        <w:rPr>
          <w:rFonts w:hint="eastAsia" w:cs="宋体"/>
          <w:color w:val="auto"/>
          <w:szCs w:val="21"/>
        </w:rPr>
        <w:t>需求调研与确认：合同签订后10个工作日内，乙方应完成详细需求调研，并向甲方提交《软件需求规格说明书》。甲方应在收到《软件需求规格说明书》后7个工作日内组织评审并书面确认。经甲方书面签字盖章确认的《软件需求规格说明书》作为本项目开发、测试及验收的唯一技术依据，其效力优于响应文件中的概括性描述。</w:t>
      </w:r>
    </w:p>
    <w:p w14:paraId="28F1F59A">
      <w:pPr>
        <w:widowControl/>
        <w:wordWrap w:val="0"/>
        <w:overflowPunct w:val="0"/>
        <w:topLinePunct/>
        <w:spacing w:line="360" w:lineRule="auto"/>
        <w:ind w:firstLine="420" w:firstLineChars="200"/>
        <w:jc w:val="left"/>
        <w:rPr>
          <w:rFonts w:hint="eastAsia" w:cs="宋体"/>
          <w:color w:val="auto"/>
          <w:szCs w:val="21"/>
        </w:rPr>
      </w:pPr>
      <w:r>
        <w:rPr>
          <w:rFonts w:hint="eastAsia" w:cs="宋体"/>
          <w:color w:val="auto"/>
          <w:szCs w:val="21"/>
          <w:lang w:val="en-US" w:eastAsia="zh-CN"/>
        </w:rPr>
        <w:t>2、软件</w:t>
      </w:r>
      <w:r>
        <w:rPr>
          <w:rFonts w:hint="eastAsia" w:cs="宋体"/>
          <w:color w:val="auto"/>
          <w:szCs w:val="21"/>
        </w:rPr>
        <w:t>需求基线：《软件需求规格说明书》一经确认即形成需求基线。乙方应严格按照基线进行开发，不得擅自删减或变更功能。</w:t>
      </w:r>
    </w:p>
    <w:p w14:paraId="6E9F1E95">
      <w:pPr>
        <w:widowControl/>
        <w:wordWrap w:val="0"/>
        <w:overflowPunct w:val="0"/>
        <w:topLinePunct/>
        <w:spacing w:line="360" w:lineRule="auto"/>
        <w:ind w:firstLine="420" w:firstLineChars="200"/>
        <w:jc w:val="left"/>
        <w:rPr>
          <w:rFonts w:hint="eastAsia" w:cs="宋体"/>
          <w:color w:val="auto"/>
          <w:szCs w:val="21"/>
        </w:rPr>
      </w:pPr>
      <w:r>
        <w:rPr>
          <w:rFonts w:hint="eastAsia" w:cs="宋体"/>
          <w:color w:val="auto"/>
          <w:szCs w:val="21"/>
          <w:lang w:val="en-US" w:eastAsia="zh-CN"/>
        </w:rPr>
        <w:t>3、软件</w:t>
      </w:r>
      <w:r>
        <w:rPr>
          <w:rFonts w:hint="eastAsia" w:cs="宋体"/>
          <w:color w:val="auto"/>
          <w:szCs w:val="21"/>
        </w:rPr>
        <w:t>需求变更控制：任何一方提出需求变更，须填写《需求变更申请单》，经双方项目负责人书面签字确认后方可实施。变更导致工期延长或费用增加的，由提出方承担相应责任；因乙方理解偏差或设计缺陷导致的返工，不视为需求变更，由乙方自行承担。</w:t>
      </w:r>
    </w:p>
    <w:p w14:paraId="2EC169CD">
      <w:pPr>
        <w:widowControl/>
        <w:wordWrap w:val="0"/>
        <w:overflowPunct w:val="0"/>
        <w:topLinePunct/>
        <w:spacing w:line="360" w:lineRule="auto"/>
        <w:ind w:firstLine="420" w:firstLineChars="200"/>
        <w:jc w:val="left"/>
        <w:rPr>
          <w:rFonts w:hint="eastAsia" w:cs="宋体"/>
          <w:color w:val="auto"/>
          <w:szCs w:val="21"/>
        </w:rPr>
      </w:pPr>
      <w:r>
        <w:rPr>
          <w:rFonts w:hint="eastAsia" w:cs="宋体"/>
          <w:color w:val="auto"/>
          <w:szCs w:val="21"/>
          <w:lang w:val="en-US" w:eastAsia="zh-CN"/>
        </w:rPr>
        <w:t>4、</w:t>
      </w:r>
      <w:r>
        <w:rPr>
          <w:rFonts w:hint="eastAsia" w:cs="宋体"/>
          <w:color w:val="auto"/>
          <w:szCs w:val="21"/>
        </w:rPr>
        <w:t>响应文件兜底：若《软件需求规格说明书》未尽事宜，以响应文件及招标文件中更有利于甲方的技术标准为准。</w:t>
      </w:r>
    </w:p>
    <w:p w14:paraId="5D368B91">
      <w:pPr>
        <w:widowControl/>
        <w:spacing w:line="360" w:lineRule="auto"/>
        <w:jc w:val="left"/>
        <w:rPr>
          <w:color w:val="auto"/>
          <w:szCs w:val="21"/>
        </w:rPr>
      </w:pPr>
      <w:r>
        <w:rPr>
          <w:rFonts w:cs="宋体"/>
          <w:b/>
          <w:bCs/>
          <w:color w:val="auto"/>
          <w:kern w:val="0"/>
          <w:szCs w:val="21"/>
        </w:rPr>
        <w:t>第</w:t>
      </w:r>
      <w:r>
        <w:rPr>
          <w:rFonts w:hint="eastAsia" w:cs="宋体"/>
          <w:b/>
          <w:bCs/>
          <w:color w:val="auto"/>
          <w:kern w:val="0"/>
          <w:szCs w:val="21"/>
          <w:lang w:val="en-US" w:eastAsia="zh-CN"/>
        </w:rPr>
        <w:t>六</w:t>
      </w:r>
      <w:r>
        <w:rPr>
          <w:rFonts w:cs="宋体"/>
          <w:b/>
          <w:bCs/>
          <w:color w:val="auto"/>
          <w:kern w:val="0"/>
          <w:szCs w:val="21"/>
        </w:rPr>
        <w:t xml:space="preserve">条 交付和验收 </w:t>
      </w:r>
    </w:p>
    <w:p w14:paraId="33FE7478">
      <w:pPr>
        <w:widowControl/>
        <w:wordWrap w:val="0"/>
        <w:overflowPunct w:val="0"/>
        <w:topLinePunct/>
        <w:spacing w:line="360" w:lineRule="auto"/>
        <w:ind w:firstLine="420" w:firstLineChars="200"/>
        <w:rPr>
          <w:rFonts w:hint="default" w:eastAsia="宋体" w:cs="宋体"/>
          <w:color w:val="auto"/>
          <w:szCs w:val="21"/>
          <w:lang w:val="en-US" w:eastAsia="zh-CN"/>
        </w:rPr>
      </w:pPr>
      <w:r>
        <w:rPr>
          <w:rFonts w:hint="eastAsia" w:cs="宋体"/>
          <w:color w:val="auto"/>
          <w:szCs w:val="21"/>
          <w:lang w:eastAsia="zh-CN"/>
        </w:rPr>
        <w:t>（</w:t>
      </w:r>
      <w:r>
        <w:rPr>
          <w:rFonts w:hint="eastAsia" w:cs="宋体"/>
          <w:color w:val="auto"/>
          <w:szCs w:val="21"/>
          <w:lang w:val="en-US" w:eastAsia="zh-CN"/>
        </w:rPr>
        <w:t>一</w:t>
      </w:r>
      <w:r>
        <w:rPr>
          <w:rFonts w:hint="eastAsia" w:cs="宋体"/>
          <w:color w:val="auto"/>
          <w:szCs w:val="21"/>
          <w:lang w:eastAsia="zh-CN"/>
        </w:rPr>
        <w:t>）</w:t>
      </w:r>
      <w:r>
        <w:rPr>
          <w:rFonts w:hint="eastAsia" w:cs="宋体"/>
          <w:color w:val="auto"/>
          <w:szCs w:val="21"/>
          <w:lang w:val="en-US" w:eastAsia="zh-CN"/>
        </w:rPr>
        <w:t>基本要求</w:t>
      </w:r>
    </w:p>
    <w:p w14:paraId="02C475A2">
      <w:pPr>
        <w:widowControl/>
        <w:wordWrap w:val="0"/>
        <w:overflowPunct w:val="0"/>
        <w:topLinePunct/>
        <w:spacing w:line="360" w:lineRule="auto"/>
        <w:ind w:firstLine="420" w:firstLineChars="200"/>
        <w:rPr>
          <w:rFonts w:cs="宋体"/>
          <w:color w:val="auto"/>
          <w:szCs w:val="21"/>
          <w:highlight w:val="none"/>
        </w:rPr>
      </w:pPr>
      <w:r>
        <w:rPr>
          <w:rFonts w:hint="eastAsia" w:cs="宋体"/>
          <w:color w:val="auto"/>
          <w:szCs w:val="21"/>
        </w:rPr>
        <w:t>1、</w:t>
      </w:r>
      <w:r>
        <w:rPr>
          <w:rFonts w:hint="eastAsia" w:cs="宋体"/>
          <w:color w:val="auto"/>
          <w:szCs w:val="21"/>
          <w:lang w:val="en-US" w:eastAsia="zh-CN"/>
        </w:rPr>
        <w:t>交货</w:t>
      </w:r>
      <w:r>
        <w:rPr>
          <w:rFonts w:hint="eastAsia" w:cs="宋体"/>
          <w:color w:val="auto"/>
          <w:szCs w:val="21"/>
        </w:rPr>
        <w:t>期</w:t>
      </w:r>
      <w:r>
        <w:rPr>
          <w:rFonts w:hint="eastAsia" w:cs="宋体"/>
          <w:color w:val="auto"/>
          <w:szCs w:val="21"/>
          <w:highlight w:val="none"/>
        </w:rPr>
        <w:t>：</w:t>
      </w:r>
      <w:r>
        <w:rPr>
          <w:rFonts w:hint="eastAsia" w:ascii="宋体" w:hAnsi="宋体" w:cs="宋体"/>
          <w:color w:val="auto"/>
          <w:szCs w:val="21"/>
          <w:highlight w:val="none"/>
        </w:rPr>
        <w:t>自合同签订后45日内</w:t>
      </w:r>
      <w:r>
        <w:rPr>
          <w:rFonts w:hint="eastAsia" w:ascii="宋体" w:hAnsi="宋体" w:cs="宋体"/>
          <w:color w:val="auto"/>
          <w:szCs w:val="21"/>
          <w:highlight w:val="none"/>
          <w:lang w:eastAsia="zh-CN"/>
        </w:rPr>
        <w:t>，软件产品提供五年免费维护升级</w:t>
      </w:r>
      <w:r>
        <w:rPr>
          <w:rFonts w:hint="eastAsia" w:cs="宋体"/>
          <w:color w:val="auto"/>
          <w:szCs w:val="21"/>
          <w:highlight w:val="none"/>
        </w:rPr>
        <w:t>。</w:t>
      </w:r>
    </w:p>
    <w:p w14:paraId="2E5FC3C8">
      <w:pPr>
        <w:widowControl/>
        <w:wordWrap w:val="0"/>
        <w:overflowPunct w:val="0"/>
        <w:topLinePunct/>
        <w:spacing w:line="360" w:lineRule="auto"/>
        <w:ind w:firstLine="420" w:firstLineChars="200"/>
        <w:rPr>
          <w:rFonts w:cs="宋体"/>
          <w:color w:val="auto"/>
          <w:szCs w:val="21"/>
        </w:rPr>
      </w:pPr>
      <w:r>
        <w:rPr>
          <w:rFonts w:hint="eastAsia" w:cs="宋体"/>
          <w:color w:val="auto"/>
          <w:szCs w:val="21"/>
          <w:lang w:val="en-US" w:eastAsia="zh-CN"/>
        </w:rPr>
        <w:t>交货</w:t>
      </w:r>
      <w:r>
        <w:rPr>
          <w:rFonts w:hint="eastAsia" w:cs="宋体"/>
          <w:color w:val="auto"/>
          <w:szCs w:val="21"/>
        </w:rPr>
        <w:t>地点：</w:t>
      </w:r>
      <w:r>
        <w:rPr>
          <w:rFonts w:hint="eastAsia" w:ascii="宋体" w:hAnsi="宋体" w:cs="宋体"/>
          <w:color w:val="auto"/>
          <w:szCs w:val="21"/>
          <w:highlight w:val="none"/>
        </w:rPr>
        <w:t>广西幼儿师范高等专科学校</w:t>
      </w:r>
      <w:r>
        <w:rPr>
          <w:rFonts w:hint="eastAsia" w:cs="宋体"/>
          <w:color w:val="auto"/>
          <w:szCs w:val="21"/>
        </w:rPr>
        <w:t>。</w:t>
      </w:r>
    </w:p>
    <w:p w14:paraId="06ADBF03">
      <w:pPr>
        <w:widowControl/>
        <w:wordWrap w:val="0"/>
        <w:overflowPunct w:val="0"/>
        <w:topLinePunct/>
        <w:snapToGrid w:val="0"/>
        <w:spacing w:line="360" w:lineRule="auto"/>
        <w:ind w:firstLine="420" w:firstLineChars="200"/>
        <w:rPr>
          <w:rFonts w:cs="宋体"/>
          <w:color w:val="auto"/>
          <w:szCs w:val="21"/>
        </w:rPr>
      </w:pPr>
      <w:r>
        <w:rPr>
          <w:rFonts w:hint="eastAsia" w:cs="宋体"/>
          <w:color w:val="auto"/>
          <w:szCs w:val="21"/>
        </w:rPr>
        <w:t>2、乙方应按响应文件的承诺向甲方提供采购文件规定的设备和软件</w:t>
      </w:r>
      <w:r>
        <w:rPr>
          <w:rFonts w:hint="eastAsia" w:cs="宋体"/>
          <w:color w:val="auto"/>
          <w:szCs w:val="21"/>
          <w:lang w:eastAsia="zh-CN"/>
        </w:rPr>
        <w:t>、</w:t>
      </w:r>
      <w:r>
        <w:rPr>
          <w:rFonts w:hint="eastAsia" w:cs="宋体"/>
          <w:color w:val="auto"/>
          <w:szCs w:val="21"/>
        </w:rPr>
        <w:t>未经使用的全新产品</w:t>
      </w:r>
      <w:r>
        <w:rPr>
          <w:rFonts w:hint="eastAsia" w:cs="宋体"/>
          <w:color w:val="auto"/>
          <w:szCs w:val="21"/>
          <w:lang w:eastAsia="zh-CN"/>
        </w:rPr>
        <w:t>、</w:t>
      </w:r>
      <w:r>
        <w:rPr>
          <w:rFonts w:hint="eastAsia" w:cs="宋体"/>
          <w:color w:val="auto"/>
          <w:szCs w:val="21"/>
        </w:rPr>
        <w:t>报告、资料、文件等内容，并提供所服务内容的相关技术资料。</w:t>
      </w:r>
    </w:p>
    <w:p w14:paraId="6A7FCF3D">
      <w:pPr>
        <w:widowControl/>
        <w:wordWrap w:val="0"/>
        <w:overflowPunct w:val="0"/>
        <w:topLinePunct/>
        <w:spacing w:line="360" w:lineRule="auto"/>
        <w:ind w:firstLine="420" w:firstLineChars="200"/>
        <w:rPr>
          <w:rFonts w:cs="宋体"/>
          <w:color w:val="auto"/>
          <w:szCs w:val="21"/>
        </w:rPr>
      </w:pPr>
      <w:r>
        <w:rPr>
          <w:rFonts w:hint="eastAsia" w:cs="宋体"/>
          <w:color w:val="auto"/>
          <w:szCs w:val="21"/>
        </w:rPr>
        <w:t>3、乙方提供不符合响应文件和本合同规定的</w:t>
      </w:r>
      <w:r>
        <w:rPr>
          <w:rFonts w:hint="eastAsia" w:cs="宋体"/>
          <w:color w:val="auto"/>
          <w:szCs w:val="21"/>
          <w:lang w:val="en-US" w:eastAsia="zh-CN"/>
        </w:rPr>
        <w:t>货物或服务（含软件制作开发）</w:t>
      </w:r>
      <w:r>
        <w:rPr>
          <w:rFonts w:hint="eastAsia" w:cs="宋体"/>
          <w:color w:val="auto"/>
          <w:szCs w:val="21"/>
        </w:rPr>
        <w:t>，甲方有权拒绝接受。</w:t>
      </w:r>
    </w:p>
    <w:p w14:paraId="530F575E">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rPr>
        <w:t>4、乙方在完</w:t>
      </w:r>
      <w:r>
        <w:rPr>
          <w:rFonts w:hint="eastAsia"/>
          <w:color w:val="auto"/>
          <w:szCs w:val="21"/>
          <w:highlight w:val="none"/>
        </w:rPr>
        <w:t>成项目整体开发、测试并交付使用后应及时书面通知甲方进行验收。</w:t>
      </w:r>
    </w:p>
    <w:p w14:paraId="6551847C">
      <w:pPr>
        <w:widowControl/>
        <w:wordWrap w:val="0"/>
        <w:overflowPunct w:val="0"/>
        <w:topLinePunct/>
        <w:spacing w:line="360" w:lineRule="auto"/>
        <w:ind w:firstLine="420" w:firstLineChars="200"/>
        <w:rPr>
          <w:rFonts w:hint="eastAsia"/>
          <w:color w:val="auto"/>
          <w:szCs w:val="21"/>
          <w:highlight w:val="none"/>
          <w:lang w:val="en-US" w:eastAsia="zh-CN"/>
        </w:rPr>
      </w:pPr>
      <w:r>
        <w:rPr>
          <w:rFonts w:hint="eastAsia" w:cs="宋体"/>
          <w:color w:val="auto"/>
          <w:szCs w:val="21"/>
          <w:highlight w:val="none"/>
          <w:lang w:val="en-US" w:eastAsia="zh-CN"/>
        </w:rPr>
        <w:t>5、甲乙双方应按照《广西壮族自治区政府采购项目履约验收管理办法》、双方合同、竞标文件验收。</w:t>
      </w:r>
    </w:p>
    <w:p w14:paraId="66B2B2BA">
      <w:pPr>
        <w:widowControl/>
        <w:wordWrap w:val="0"/>
        <w:overflowPunct w:val="0"/>
        <w:topLinePunct/>
        <w:spacing w:line="360" w:lineRule="auto"/>
        <w:ind w:firstLine="420" w:firstLineChars="200"/>
        <w:rPr>
          <w:rFonts w:hint="eastAsia" w:cs="宋体"/>
          <w:color w:val="auto"/>
          <w:szCs w:val="21"/>
          <w:highlight w:val="none"/>
          <w:lang w:val="en-US" w:eastAsia="zh-CN"/>
        </w:rPr>
      </w:pPr>
      <w:r>
        <w:rPr>
          <w:rFonts w:hint="eastAsia" w:cs="宋体"/>
          <w:color w:val="auto"/>
          <w:szCs w:val="21"/>
          <w:highlight w:val="none"/>
          <w:lang w:val="en-US" w:eastAsia="zh-CN"/>
        </w:rPr>
        <w:t>6、甲方在最终验收过程中如发现乙方提供的服务成果不满足竞标文件及本合同规定的，可暂缓向乙方付款，直到乙方及时完善并提交相应的服务成果且经甲方验收合格后，方可办理付款。</w:t>
      </w:r>
    </w:p>
    <w:p w14:paraId="592FE5C7">
      <w:pPr>
        <w:widowControl/>
        <w:wordWrap w:val="0"/>
        <w:overflowPunct w:val="0"/>
        <w:topLinePunct/>
        <w:spacing w:line="360" w:lineRule="auto"/>
        <w:ind w:firstLine="420" w:firstLineChars="200"/>
        <w:rPr>
          <w:rFonts w:hint="eastAsia" w:cs="宋体"/>
          <w:color w:val="auto"/>
          <w:szCs w:val="21"/>
          <w:highlight w:val="none"/>
          <w:lang w:val="en-US" w:eastAsia="zh-CN"/>
        </w:rPr>
      </w:pPr>
      <w:r>
        <w:rPr>
          <w:rFonts w:hint="eastAsia" w:cs="宋体"/>
          <w:color w:val="auto"/>
          <w:szCs w:val="21"/>
          <w:highlight w:val="none"/>
          <w:lang w:val="en-US" w:eastAsia="zh-CN"/>
        </w:rPr>
        <w:t>8、甲方验收时以书面形式提出异议的，乙方应自收到甲方书面异议后五个工作日内及时予以解决，否则甲方有权不出具服务验收合格单。</w:t>
      </w:r>
    </w:p>
    <w:p w14:paraId="5F0E128E">
      <w:pPr>
        <w:widowControl/>
        <w:spacing w:line="360" w:lineRule="auto"/>
        <w:ind w:firstLine="420"/>
        <w:jc w:val="left"/>
        <w:rPr>
          <w:rFonts w:hint="eastAsia" w:cs="宋体"/>
          <w:color w:val="auto"/>
          <w:szCs w:val="21"/>
        </w:rPr>
      </w:pPr>
      <w:r>
        <w:rPr>
          <w:rFonts w:hint="eastAsia" w:cs="宋体"/>
          <w:color w:val="auto"/>
          <w:szCs w:val="21"/>
        </w:rPr>
        <w:t>9</w:t>
      </w:r>
      <w:r>
        <w:rPr>
          <w:rFonts w:cs="宋体"/>
          <w:color w:val="auto"/>
          <w:szCs w:val="21"/>
        </w:rPr>
        <w:t>、</w:t>
      </w:r>
      <w:r>
        <w:rPr>
          <w:rFonts w:hint="eastAsia" w:cs="宋体"/>
          <w:color w:val="auto"/>
          <w:szCs w:val="21"/>
        </w:rPr>
        <w:t>验收产生的检验、检测、专家劳务费等必要费用</w:t>
      </w:r>
      <w:r>
        <w:rPr>
          <w:rFonts w:hint="eastAsia"/>
          <w:color w:val="auto"/>
          <w:szCs w:val="21"/>
          <w:highlight w:val="none"/>
          <w:lang w:val="en-US" w:eastAsia="zh-CN"/>
        </w:rPr>
        <w:t>，均已包含在合同总价中，</w:t>
      </w:r>
      <w:r>
        <w:rPr>
          <w:rFonts w:hint="eastAsia" w:cs="宋体"/>
          <w:color w:val="auto"/>
          <w:szCs w:val="21"/>
        </w:rPr>
        <w:t>由乙方承担，其他未尽事宜应严格按照《关于印发广西壮族自治区政府采购项目履约验收管理办法的通知》</w:t>
      </w:r>
      <w:r>
        <w:rPr>
          <w:rFonts w:cs="宋体"/>
          <w:color w:val="auto"/>
          <w:szCs w:val="21"/>
        </w:rPr>
        <w:t>[</w:t>
      </w:r>
      <w:r>
        <w:rPr>
          <w:rFonts w:hint="eastAsia" w:cs="宋体"/>
          <w:color w:val="auto"/>
          <w:szCs w:val="21"/>
        </w:rPr>
        <w:t>桂财采〔</w:t>
      </w:r>
      <w:r>
        <w:rPr>
          <w:rFonts w:cs="宋体"/>
          <w:color w:val="auto"/>
          <w:szCs w:val="21"/>
        </w:rPr>
        <w:t>2015</w:t>
      </w:r>
      <w:r>
        <w:rPr>
          <w:rFonts w:hint="eastAsia" w:cs="宋体"/>
          <w:color w:val="auto"/>
          <w:szCs w:val="21"/>
        </w:rPr>
        <w:t>〕</w:t>
      </w:r>
      <w:r>
        <w:rPr>
          <w:rFonts w:cs="宋体"/>
          <w:color w:val="auto"/>
          <w:szCs w:val="21"/>
        </w:rPr>
        <w:t>22</w:t>
      </w:r>
      <w:r>
        <w:rPr>
          <w:rFonts w:hint="eastAsia" w:cs="宋体"/>
          <w:color w:val="auto"/>
          <w:szCs w:val="21"/>
        </w:rPr>
        <w:t>号</w:t>
      </w:r>
      <w:r>
        <w:rPr>
          <w:rFonts w:cs="宋体"/>
          <w:color w:val="auto"/>
          <w:szCs w:val="21"/>
        </w:rPr>
        <w:t>]</w:t>
      </w:r>
      <w:r>
        <w:rPr>
          <w:rFonts w:hint="eastAsia" w:cs="宋体"/>
          <w:color w:val="auto"/>
          <w:szCs w:val="21"/>
        </w:rPr>
        <w:t>以及《财政部关于进一步加强政府采购需求和履约验收管理的指导意见》</w:t>
      </w:r>
      <w:r>
        <w:rPr>
          <w:rFonts w:cs="宋体"/>
          <w:color w:val="auto"/>
          <w:szCs w:val="21"/>
        </w:rPr>
        <w:t>[</w:t>
      </w:r>
      <w:r>
        <w:rPr>
          <w:rFonts w:hint="eastAsia" w:cs="宋体"/>
          <w:color w:val="auto"/>
          <w:szCs w:val="21"/>
        </w:rPr>
        <w:t>财库〔</w:t>
      </w:r>
      <w:r>
        <w:rPr>
          <w:rFonts w:cs="宋体"/>
          <w:color w:val="auto"/>
          <w:szCs w:val="21"/>
        </w:rPr>
        <w:t>2016</w:t>
      </w:r>
      <w:r>
        <w:rPr>
          <w:rFonts w:hint="eastAsia" w:cs="宋体"/>
          <w:color w:val="auto"/>
          <w:szCs w:val="21"/>
        </w:rPr>
        <w:t>〕</w:t>
      </w:r>
      <w:r>
        <w:rPr>
          <w:rFonts w:cs="宋体"/>
          <w:color w:val="auto"/>
          <w:szCs w:val="21"/>
        </w:rPr>
        <w:t>205</w:t>
      </w:r>
      <w:r>
        <w:rPr>
          <w:rFonts w:hint="eastAsia" w:cs="宋体"/>
          <w:color w:val="auto"/>
          <w:szCs w:val="21"/>
        </w:rPr>
        <w:t>号</w:t>
      </w:r>
      <w:r>
        <w:rPr>
          <w:rFonts w:cs="宋体"/>
          <w:color w:val="auto"/>
          <w:szCs w:val="21"/>
        </w:rPr>
        <w:t>]</w:t>
      </w:r>
      <w:r>
        <w:rPr>
          <w:rFonts w:hint="eastAsia" w:cs="宋体"/>
          <w:color w:val="auto"/>
          <w:szCs w:val="21"/>
        </w:rPr>
        <w:t>规定执行。</w:t>
      </w:r>
    </w:p>
    <w:p w14:paraId="5374970A">
      <w:pPr>
        <w:widowControl/>
        <w:spacing w:line="360" w:lineRule="auto"/>
        <w:ind w:firstLine="420"/>
        <w:jc w:val="left"/>
        <w:rPr>
          <w:rFonts w:hint="eastAsia" w:cs="宋体"/>
          <w:color w:val="auto"/>
          <w:szCs w:val="21"/>
          <w:lang w:val="en-US" w:eastAsia="zh-CN"/>
        </w:rPr>
      </w:pPr>
      <w:r>
        <w:rPr>
          <w:rFonts w:hint="eastAsia" w:cs="宋体"/>
          <w:color w:val="auto"/>
          <w:szCs w:val="21"/>
          <w:lang w:eastAsia="zh-CN"/>
        </w:rPr>
        <w:t>（</w:t>
      </w:r>
      <w:r>
        <w:rPr>
          <w:rFonts w:hint="eastAsia" w:cs="宋体"/>
          <w:color w:val="auto"/>
          <w:szCs w:val="21"/>
          <w:lang w:val="en-US" w:eastAsia="zh-CN"/>
        </w:rPr>
        <w:t>二</w:t>
      </w:r>
      <w:r>
        <w:rPr>
          <w:rFonts w:hint="eastAsia" w:cs="宋体"/>
          <w:color w:val="auto"/>
          <w:szCs w:val="21"/>
          <w:lang w:eastAsia="zh-CN"/>
        </w:rPr>
        <w:t>）</w:t>
      </w:r>
      <w:r>
        <w:rPr>
          <w:rFonts w:hint="eastAsia" w:cs="宋体"/>
          <w:color w:val="auto"/>
          <w:szCs w:val="21"/>
          <w:lang w:val="en-US" w:eastAsia="zh-CN"/>
        </w:rPr>
        <w:t>软件系统验收的特别约定</w:t>
      </w:r>
    </w:p>
    <w:p w14:paraId="1086336B">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条款依据《中华人民共和国民法典》《广西壮族自治区政府采购项目履约验收管理办法》（桂财采〔2015〕22号）及《财政部关于进一步加强政府采购需求和履约验收管理的指导意见》（财库〔2016〕205号）制定，并结合软件系统定制开发特性予以细化。双方确认，本条约定的分阶段验收流程、技术标准及文档要求，系对前述法规中“履约验收”程序的具体化实施，具有同等合规效力。</w:t>
      </w:r>
    </w:p>
    <w:p w14:paraId="24A45E81">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1、验收依据文件体系</w:t>
      </w:r>
    </w:p>
    <w:p w14:paraId="7A744AA1">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双方确认，以下文件共同构成本项目验收的完整技术依据与合规基础，当内容存在不一致时，以标准更高、更有利于甲方且经双方书面确认的文件为准：</w:t>
      </w:r>
    </w:p>
    <w:p w14:paraId="455FFF05">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(1)本项目招标文件、乙方响应文件及成交通知书；</w:t>
      </w:r>
    </w:p>
    <w:p w14:paraId="1A18D2F6">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(2)经甲方书面签字盖章确认的《软件需求规格说明书》；</w:t>
      </w:r>
    </w:p>
    <w:p w14:paraId="0860FDAC">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(3)经甲方确认的《验收测试计划及用例》；</w:t>
      </w:r>
    </w:p>
    <w:p w14:paraId="23977EC8">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(4)国家及行业现行有效的软件工程、信息安全、数据治理等相关标准；</w:t>
      </w:r>
    </w:p>
    <w:p w14:paraId="2C0716C7">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(5)本合同及其附件、补充协议。</w:t>
      </w:r>
    </w:p>
    <w:p w14:paraId="6C06F819">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2、交付物清单与前置条件</w:t>
      </w:r>
    </w:p>
    <w:p w14:paraId="2720B10D">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乙方申请启动任何阶段验收前，须向甲方提交该阶段对应的完整交付物。交付物不全或不符合约定格式的，甲方有权拒绝启动验收程序，且不视为甲方逾期验收。交付物包括但不限于：</w:t>
      </w:r>
    </w:p>
    <w:p w14:paraId="766C46EE">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(1)可部署运行的软件系统及配套环境配置文档；</w:t>
      </w:r>
    </w:p>
    <w:p w14:paraId="01736C2B">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(2)接口规范文档、系统集成手册；</w:t>
      </w:r>
    </w:p>
    <w:p w14:paraId="7F87A95F">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(3)用户操作手册、系统运维手册、常见问题解答（FAQ）；</w:t>
      </w:r>
    </w:p>
    <w:p w14:paraId="7B89018D">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(4)乙方自测报告、第三方安全测评报告（终验阶段必需）；</w:t>
      </w:r>
    </w:p>
    <w:p w14:paraId="0704D243">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(5)培训记录、试运行日志（终验阶段必需）。</w:t>
      </w:r>
    </w:p>
    <w:p w14:paraId="190F1E74">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3、分阶段验收流程</w:t>
      </w:r>
    </w:p>
    <w:p w14:paraId="29F37FC5">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本项目实行“初步验收—试运行—最终验收”三阶段验收机制，各阶段均按桂财采〔2015〕22号文要求形成书面记录，作为履约验收档案组成部分：</w:t>
      </w:r>
    </w:p>
    <w:p w14:paraId="66EE681F">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3.1初步验收（功能与部署验证）</w:t>
      </w:r>
    </w:p>
    <w:p w14:paraId="031DA4B1">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乙方完成系统部署并提交自测合格报告后，以书面形式通知甲方。甲方在收到通知后【15】个工作日内组织初步验收。</w:t>
      </w:r>
    </w:p>
    <w:p w14:paraId="46CC97FC">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验收重点：系统部署完整性、基础功能符合《软件需求规格说明书》要求、核心业务流程可贯通、无阻断性缺陷。</w:t>
      </w:r>
    </w:p>
    <w:p w14:paraId="011ED913">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验收通过标准：所有高优先级缺陷已修复，中低优先级缺陷有明确整改计划并经甲方认可。</w:t>
      </w:r>
    </w:p>
    <w:p w14:paraId="003701F0">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通过后双方签署《初步验收单》，作为进入试运行的前提。</w:t>
      </w:r>
    </w:p>
    <w:p w14:paraId="0995A303">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3.2试运行（稳定性与实用性验证）</w:t>
      </w:r>
    </w:p>
    <w:p w14:paraId="4976523D">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试运行期自《初步验收单》签署次日起算，不少于【30】个自然日。</w:t>
      </w:r>
    </w:p>
    <w:p w14:paraId="16BAE825">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试运行期间，乙方须派驻技术人员现场或远程保障，每日提交运行日志，每周提交周报。</w:t>
      </w:r>
    </w:p>
    <w:p w14:paraId="5AFF00C5">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试运行通过标准：系统连续稳定运行≥20日；核心业务指标达标率100%；未发生P1/P2级故障；用户满意度调查合格率≥90%。</w:t>
      </w:r>
    </w:p>
    <w:p w14:paraId="7193979A">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试运行结束后【5】个工作日内，乙方提交《试运行总结报告》，甲方审核后作为终验输入材料。</w:t>
      </w:r>
    </w:p>
    <w:p w14:paraId="11964B27">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3.3最终验收（综合评审与合规确认）</w:t>
      </w:r>
    </w:p>
    <w:p w14:paraId="395BB753">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试运行通过后【10】个工作日内，甲方依据桂财采〔2015〕22号文组建验收组（含甲方代表、业务用户、技术专家及第三方测评机构代表），召开终验评审会。</w:t>
      </w:r>
    </w:p>
    <w:p w14:paraId="70FED6C6">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第三方测评强制前置：终验前，甲方委托具备CMA/CNAS资质的第三方机构完成软件质量测评（含功能、性能、安全性）。测评结论为“通过”是召开终验会的必要条件。测评费用由乙方承担。</w:t>
      </w:r>
    </w:p>
    <w:p w14:paraId="2EE68233">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终验通过标准：交付物齐全合规；第三方测评通过；试运行问题闭环；验收组一致同意通过。</w:t>
      </w:r>
    </w:p>
    <w:p w14:paraId="466F01E0">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通过后双方签署《项目终验报告》，该报告即为桂财采〔2015〕22号文规定的正式履约验收凭证，也是甲方支付尾款的唯一依据。</w:t>
      </w:r>
    </w:p>
    <w:p w14:paraId="59326FC5">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4、验收异议与整改闭环</w:t>
      </w:r>
    </w:p>
    <w:p w14:paraId="4E5CCB57">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任一阶段验收中，甲方提出书面异议的，乙方应在【5】个工作日内提交书面整改方案，并在甲方认可的合理期限内完成整改及回归测试。</w:t>
      </w:r>
    </w:p>
    <w:p w14:paraId="2333C46E">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整改完成后，乙方重新提交验收申请，验收周期重新计算。</w:t>
      </w:r>
    </w:p>
    <w:p w14:paraId="685A39B3">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同一阶段连续【2】次整改后仍不合格的，甲方有权单方解除合同，乙方应退还全部已付款项并按合同总额30%支付违约金。</w:t>
      </w:r>
    </w:p>
    <w:p w14:paraId="48B20C9D">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5、验收资料归档与合规衔接</w:t>
      </w:r>
    </w:p>
    <w:p w14:paraId="467C6C3C">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乙方提交的全部验收资料（含电子与纸质版）须符合广西壮族自治区政府采购档案管理要求。</w:t>
      </w:r>
    </w:p>
    <w:p w14:paraId="3371154B">
      <w:pPr>
        <w:widowControl/>
        <w:tabs>
          <w:tab w:val="left" w:pos="6000"/>
        </w:tabs>
        <w:wordWrap w:val="0"/>
        <w:overflowPunct w:val="0"/>
        <w:topLinePunct/>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《项目终验报告》签署后【10】个工作日内，乙方应配合甲方完成验收资料向财政部门的备案或报送工作。因资料缺失或不合规导致无法备案、影响资金支付的，由乙方承担责任。</w:t>
      </w:r>
    </w:p>
    <w:p w14:paraId="7D53C56D">
      <w:pPr>
        <w:keepNext w:val="0"/>
        <w:keepLines w:val="0"/>
        <w:pageBreakBefore w:val="0"/>
        <w:widowControl/>
        <w:kinsoku/>
        <w:autoSpaceDE/>
        <w:autoSpaceDN/>
        <w:bidi w:val="0"/>
        <w:adjustRightInd/>
        <w:spacing w:line="460" w:lineRule="atLeast"/>
        <w:jc w:val="left"/>
        <w:textAlignment w:val="auto"/>
        <w:rPr>
          <w:color w:val="auto"/>
          <w:szCs w:val="21"/>
        </w:rPr>
      </w:pPr>
      <w:r>
        <w:rPr>
          <w:rFonts w:cs="宋体"/>
          <w:b/>
          <w:bCs/>
          <w:color w:val="auto"/>
          <w:kern w:val="0"/>
          <w:szCs w:val="21"/>
        </w:rPr>
        <w:t>第</w:t>
      </w:r>
      <w:r>
        <w:rPr>
          <w:rFonts w:hint="eastAsia" w:cs="宋体"/>
          <w:b/>
          <w:bCs/>
          <w:color w:val="auto"/>
          <w:kern w:val="0"/>
          <w:szCs w:val="21"/>
          <w:lang w:val="en-US" w:eastAsia="zh-CN"/>
        </w:rPr>
        <w:t>七</w:t>
      </w:r>
      <w:r>
        <w:rPr>
          <w:rFonts w:cs="宋体"/>
          <w:b/>
          <w:bCs/>
          <w:color w:val="auto"/>
          <w:kern w:val="0"/>
          <w:szCs w:val="21"/>
        </w:rPr>
        <w:t xml:space="preserve">条 售后服务及培训 </w:t>
      </w:r>
    </w:p>
    <w:p w14:paraId="21E0D254">
      <w:pPr>
        <w:keepNext w:val="0"/>
        <w:keepLines w:val="0"/>
        <w:pageBreakBefore w:val="0"/>
        <w:widowControl/>
        <w:kinsoku/>
        <w:wordWrap w:val="0"/>
        <w:overflowPunct w:val="0"/>
        <w:topLinePunct/>
        <w:autoSpaceDE/>
        <w:autoSpaceDN/>
        <w:bidi w:val="0"/>
        <w:adjustRightInd/>
        <w:snapToGrid w:val="0"/>
        <w:spacing w:line="460" w:lineRule="atLeast"/>
        <w:ind w:firstLine="420" w:firstLineChars="200"/>
        <w:textAlignment w:val="auto"/>
        <w:rPr>
          <w:rFonts w:cs="宋体"/>
          <w:color w:val="auto"/>
          <w:szCs w:val="21"/>
        </w:rPr>
      </w:pPr>
      <w:r>
        <w:rPr>
          <w:rFonts w:hint="eastAsia" w:cs="宋体"/>
          <w:color w:val="auto"/>
          <w:szCs w:val="21"/>
        </w:rPr>
        <w:t>1、乙方应按照国家有关法律法规和本合同附件要求，为甲方提供相应的售后服务。</w:t>
      </w:r>
    </w:p>
    <w:p w14:paraId="2A95909F">
      <w:pPr>
        <w:keepNext w:val="0"/>
        <w:keepLines w:val="0"/>
        <w:pageBreakBefore w:val="0"/>
        <w:widowControl/>
        <w:kinsoku/>
        <w:wordWrap w:val="0"/>
        <w:overflowPunct w:val="0"/>
        <w:topLinePunct/>
        <w:autoSpaceDE/>
        <w:autoSpaceDN/>
        <w:bidi w:val="0"/>
        <w:adjustRightInd/>
        <w:snapToGrid w:val="0"/>
        <w:spacing w:line="460" w:lineRule="atLeast"/>
        <w:ind w:firstLine="420" w:firstLineChars="200"/>
        <w:textAlignment w:val="auto"/>
        <w:rPr>
          <w:rFonts w:cs="宋体"/>
          <w:color w:val="auto"/>
          <w:szCs w:val="21"/>
        </w:rPr>
      </w:pPr>
      <w:r>
        <w:rPr>
          <w:rFonts w:hint="eastAsia" w:cs="宋体"/>
          <w:color w:val="auto"/>
          <w:szCs w:val="21"/>
        </w:rPr>
        <w:t>2、质保期：</w:t>
      </w:r>
      <w:r>
        <w:rPr>
          <w:rFonts w:hint="eastAsia" w:cs="宋体"/>
          <w:color w:val="auto"/>
          <w:szCs w:val="21"/>
          <w:u w:val="single"/>
        </w:rPr>
        <w:t xml:space="preserve"> 3</w:t>
      </w:r>
      <w:r>
        <w:rPr>
          <w:rFonts w:cs="宋体"/>
          <w:color w:val="auto"/>
          <w:szCs w:val="21"/>
          <w:u w:val="single"/>
        </w:rPr>
        <w:t xml:space="preserve"> </w:t>
      </w:r>
      <w:r>
        <w:rPr>
          <w:rFonts w:hint="eastAsia" w:cs="宋体"/>
          <w:color w:val="auto"/>
          <w:szCs w:val="21"/>
        </w:rPr>
        <w:t>年</w:t>
      </w:r>
      <w:r>
        <w:rPr>
          <w:rFonts w:hint="eastAsia" w:ascii="宋体" w:hAnsi="宋体" w:cs="宋体"/>
          <w:color w:val="auto"/>
          <w:szCs w:val="21"/>
          <w:highlight w:val="none"/>
        </w:rPr>
        <w:t>（若分项中有具体要求按其要求执行，若国家或生产厂家对本项目所涉及货物的质量保证期的规定高于本项目要求的，按国家或生产厂家的规定执行，若供应商在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文件中承诺高于该期限，按照供应商承诺），交货验收合格之日起计，如采购需求中另有要求以采购需求为准</w:t>
      </w:r>
      <w:r>
        <w:rPr>
          <w:rFonts w:hint="eastAsia" w:cs="宋体"/>
          <w:color w:val="auto"/>
          <w:szCs w:val="21"/>
        </w:rPr>
        <w:t>。</w:t>
      </w:r>
    </w:p>
    <w:p w14:paraId="08BF98D8">
      <w:pPr>
        <w:keepNext w:val="0"/>
        <w:keepLines w:val="0"/>
        <w:pageBreakBefore w:val="0"/>
        <w:widowControl/>
        <w:kinsoku/>
        <w:wordWrap w:val="0"/>
        <w:overflowPunct w:val="0"/>
        <w:topLinePunct/>
        <w:autoSpaceDE/>
        <w:autoSpaceDN/>
        <w:bidi w:val="0"/>
        <w:adjustRightInd/>
        <w:snapToGrid w:val="0"/>
        <w:spacing w:line="460" w:lineRule="atLeast"/>
        <w:ind w:firstLine="420" w:firstLineChars="200"/>
        <w:textAlignment w:val="auto"/>
        <w:rPr>
          <w:rFonts w:cs="宋体"/>
          <w:color w:val="auto"/>
          <w:szCs w:val="21"/>
        </w:rPr>
      </w:pPr>
      <w:r>
        <w:rPr>
          <w:rFonts w:cs="宋体"/>
          <w:color w:val="auto"/>
          <w:szCs w:val="21"/>
        </w:rPr>
        <w:t>3、</w:t>
      </w:r>
      <w:r>
        <w:rPr>
          <w:rFonts w:hint="eastAsia" w:cs="宋体"/>
          <w:color w:val="auto"/>
          <w:szCs w:val="21"/>
        </w:rPr>
        <w:t>按采购文件规定的</w:t>
      </w:r>
      <w:r>
        <w:rPr>
          <w:rFonts w:hint="eastAsia" w:cs="宋体"/>
          <w:color w:val="auto"/>
          <w:szCs w:val="21"/>
          <w:lang w:val="en-US" w:eastAsia="zh-CN"/>
        </w:rPr>
        <w:t>货物及</w:t>
      </w:r>
      <w:r>
        <w:rPr>
          <w:rFonts w:hint="eastAsia" w:cs="宋体"/>
          <w:color w:val="auto"/>
          <w:szCs w:val="21"/>
        </w:rPr>
        <w:t>服务质量标准，并达到或优于成交供应商承诺的标准。</w:t>
      </w:r>
    </w:p>
    <w:p w14:paraId="71B5D088">
      <w:pPr>
        <w:keepNext w:val="0"/>
        <w:keepLines w:val="0"/>
        <w:pageBreakBefore w:val="0"/>
        <w:widowControl/>
        <w:kinsoku/>
        <w:wordWrap w:val="0"/>
        <w:overflowPunct w:val="0"/>
        <w:topLinePunct/>
        <w:autoSpaceDE/>
        <w:autoSpaceDN/>
        <w:bidi w:val="0"/>
        <w:adjustRightInd/>
        <w:snapToGrid w:val="0"/>
        <w:spacing w:line="460" w:lineRule="atLeast"/>
        <w:ind w:firstLine="420" w:firstLineChars="200"/>
        <w:textAlignment w:val="auto"/>
        <w:rPr>
          <w:rFonts w:cs="宋体"/>
          <w:color w:val="auto"/>
          <w:szCs w:val="21"/>
        </w:rPr>
      </w:pPr>
      <w:r>
        <w:rPr>
          <w:rFonts w:cs="宋体"/>
          <w:color w:val="auto"/>
          <w:szCs w:val="21"/>
        </w:rPr>
        <w:t>4</w:t>
      </w:r>
      <w:r>
        <w:rPr>
          <w:rFonts w:hint="eastAsia" w:cs="宋体"/>
          <w:color w:val="auto"/>
          <w:szCs w:val="21"/>
        </w:rPr>
        <w:t>、乙方所提供的产品（软件）型号、技术规格、技术参数等质量必须与采购文件和承诺相一致。</w:t>
      </w:r>
    </w:p>
    <w:p w14:paraId="040D1D6E">
      <w:pPr>
        <w:keepNext w:val="0"/>
        <w:keepLines w:val="0"/>
        <w:pageBreakBefore w:val="0"/>
        <w:widowControl/>
        <w:kinsoku/>
        <w:wordWrap w:val="0"/>
        <w:overflowPunct w:val="0"/>
        <w:topLinePunct/>
        <w:autoSpaceDE/>
        <w:autoSpaceDN/>
        <w:bidi w:val="0"/>
        <w:adjustRightInd/>
        <w:snapToGrid w:val="0"/>
        <w:spacing w:line="460" w:lineRule="atLeast"/>
        <w:ind w:firstLine="420" w:firstLineChars="200"/>
        <w:textAlignment w:val="auto"/>
        <w:rPr>
          <w:rFonts w:cs="宋体"/>
          <w:color w:val="auto"/>
          <w:szCs w:val="21"/>
        </w:rPr>
      </w:pPr>
      <w:r>
        <w:rPr>
          <w:rFonts w:cs="宋体"/>
          <w:color w:val="auto"/>
          <w:szCs w:val="21"/>
        </w:rPr>
        <w:t>5、</w:t>
      </w:r>
      <w:r>
        <w:rPr>
          <w:rFonts w:hint="eastAsia" w:cs="宋体"/>
          <w:color w:val="auto"/>
          <w:szCs w:val="21"/>
        </w:rPr>
        <w:t>如在使用过程中发生严重质量问题，乙方在接到甲方通知后在</w:t>
      </w:r>
      <w:r>
        <w:rPr>
          <w:rFonts w:hint="eastAsia" w:cs="宋体"/>
          <w:color w:val="auto"/>
          <w:szCs w:val="21"/>
          <w:u w:val="single"/>
        </w:rPr>
        <w:t xml:space="preserve"> 4 </w:t>
      </w:r>
      <w:r>
        <w:rPr>
          <w:rFonts w:hint="eastAsia" w:cs="宋体"/>
          <w:color w:val="auto"/>
          <w:szCs w:val="21"/>
        </w:rPr>
        <w:t>小时内到达甲方现场。</w:t>
      </w:r>
    </w:p>
    <w:p w14:paraId="772E4131">
      <w:pPr>
        <w:keepNext w:val="0"/>
        <w:keepLines w:val="0"/>
        <w:pageBreakBefore w:val="0"/>
        <w:widowControl/>
        <w:kinsoku/>
        <w:wordWrap w:val="0"/>
        <w:overflowPunct w:val="0"/>
        <w:topLinePunct/>
        <w:autoSpaceDE/>
        <w:autoSpaceDN/>
        <w:bidi w:val="0"/>
        <w:adjustRightInd/>
        <w:snapToGrid w:val="0"/>
        <w:spacing w:line="460" w:lineRule="atLeast"/>
        <w:ind w:firstLine="420" w:firstLineChars="200"/>
        <w:textAlignment w:val="auto"/>
        <w:rPr>
          <w:rFonts w:cs="宋体"/>
          <w:color w:val="auto"/>
          <w:szCs w:val="21"/>
        </w:rPr>
      </w:pPr>
      <w:r>
        <w:rPr>
          <w:rFonts w:cs="宋体"/>
          <w:color w:val="auto"/>
          <w:szCs w:val="21"/>
        </w:rPr>
        <w:t>6</w:t>
      </w:r>
      <w:r>
        <w:rPr>
          <w:rFonts w:hint="eastAsia" w:cs="宋体"/>
          <w:color w:val="auto"/>
          <w:szCs w:val="21"/>
        </w:rPr>
        <w:t>、在质保期内，乙方应对服务成果出现的质量及安全问题负责处理解决并承担一切费用。</w:t>
      </w:r>
    </w:p>
    <w:p w14:paraId="79B0F07B">
      <w:pPr>
        <w:keepNext w:val="0"/>
        <w:keepLines w:val="0"/>
        <w:pageBreakBefore w:val="0"/>
        <w:widowControl/>
        <w:kinsoku/>
        <w:wordWrap w:val="0"/>
        <w:overflowPunct w:val="0"/>
        <w:topLinePunct/>
        <w:autoSpaceDE/>
        <w:autoSpaceDN/>
        <w:bidi w:val="0"/>
        <w:adjustRightInd/>
        <w:spacing w:line="460" w:lineRule="atLeast"/>
        <w:ind w:firstLine="420" w:firstLineChars="200"/>
        <w:textAlignment w:val="auto"/>
        <w:rPr>
          <w:rFonts w:cs="宋体"/>
          <w:color w:val="auto"/>
          <w:szCs w:val="21"/>
        </w:rPr>
      </w:pPr>
      <w:r>
        <w:rPr>
          <w:rFonts w:cs="宋体"/>
          <w:color w:val="auto"/>
          <w:szCs w:val="21"/>
        </w:rPr>
        <w:t>7</w:t>
      </w:r>
      <w:r>
        <w:rPr>
          <w:rFonts w:hint="eastAsia" w:cs="宋体"/>
          <w:color w:val="auto"/>
          <w:szCs w:val="21"/>
        </w:rPr>
        <w:t>、甲方应提供必要测试条件（如场地、电源、水源等）。</w:t>
      </w:r>
    </w:p>
    <w:p w14:paraId="2B8240B1">
      <w:pPr>
        <w:keepNext w:val="0"/>
        <w:keepLines w:val="0"/>
        <w:pageBreakBefore w:val="0"/>
        <w:widowControl/>
        <w:kinsoku/>
        <w:wordWrap w:val="0"/>
        <w:overflowPunct w:val="0"/>
        <w:topLinePunct/>
        <w:autoSpaceDE/>
        <w:autoSpaceDN/>
        <w:bidi w:val="0"/>
        <w:adjustRightInd/>
        <w:spacing w:line="460" w:lineRule="atLeast"/>
        <w:ind w:firstLine="420" w:firstLineChars="200"/>
        <w:textAlignment w:val="auto"/>
        <w:rPr>
          <w:rFonts w:cs="宋体"/>
          <w:color w:val="auto"/>
          <w:szCs w:val="21"/>
        </w:rPr>
      </w:pPr>
      <w:r>
        <w:rPr>
          <w:rFonts w:cs="宋体"/>
          <w:color w:val="auto"/>
          <w:szCs w:val="21"/>
        </w:rPr>
        <w:t>8</w:t>
      </w:r>
      <w:r>
        <w:rPr>
          <w:rFonts w:hint="eastAsia" w:cs="宋体"/>
          <w:color w:val="auto"/>
          <w:szCs w:val="21"/>
        </w:rPr>
        <w:t>、乙方负责甲方有关人员的培训。培训时间、地点：</w:t>
      </w:r>
      <w:r>
        <w:rPr>
          <w:rFonts w:cs="宋体"/>
          <w:color w:val="auto"/>
          <w:szCs w:val="21"/>
          <w:u w:val="single"/>
        </w:rPr>
        <w:t xml:space="preserve">  </w:t>
      </w:r>
      <w:r>
        <w:rPr>
          <w:rFonts w:hint="eastAsia" w:cs="宋体"/>
          <w:color w:val="auto"/>
          <w:szCs w:val="21"/>
          <w:u w:val="single"/>
        </w:rPr>
        <w:t>待甲方确定</w:t>
      </w:r>
      <w:r>
        <w:rPr>
          <w:rFonts w:cs="宋体"/>
          <w:color w:val="auto"/>
          <w:szCs w:val="21"/>
          <w:u w:val="single"/>
        </w:rPr>
        <w:t xml:space="preserve">  </w:t>
      </w:r>
      <w:r>
        <w:rPr>
          <w:rFonts w:hint="eastAsia" w:cs="宋体"/>
          <w:color w:val="auto"/>
          <w:szCs w:val="21"/>
        </w:rPr>
        <w:t>。</w:t>
      </w:r>
    </w:p>
    <w:p w14:paraId="77BCB471">
      <w:pPr>
        <w:keepNext w:val="0"/>
        <w:keepLines w:val="0"/>
        <w:pageBreakBefore w:val="0"/>
        <w:widowControl/>
        <w:kinsoku/>
        <w:autoSpaceDE/>
        <w:autoSpaceDN/>
        <w:bidi w:val="0"/>
        <w:adjustRightInd/>
        <w:spacing w:line="460" w:lineRule="atLeast"/>
        <w:jc w:val="left"/>
        <w:textAlignment w:val="auto"/>
        <w:rPr>
          <w:color w:val="auto"/>
          <w:szCs w:val="21"/>
        </w:rPr>
      </w:pPr>
      <w:r>
        <w:rPr>
          <w:rFonts w:cs="宋体"/>
          <w:b/>
          <w:bCs/>
          <w:color w:val="auto"/>
          <w:kern w:val="0"/>
          <w:szCs w:val="21"/>
        </w:rPr>
        <w:t>第</w:t>
      </w:r>
      <w:r>
        <w:rPr>
          <w:rFonts w:hint="eastAsia" w:cs="宋体"/>
          <w:b/>
          <w:bCs/>
          <w:color w:val="auto"/>
          <w:kern w:val="0"/>
          <w:szCs w:val="21"/>
          <w:lang w:val="en-US" w:eastAsia="zh-CN"/>
        </w:rPr>
        <w:t>八</w:t>
      </w:r>
      <w:r>
        <w:rPr>
          <w:rFonts w:cs="宋体"/>
          <w:b/>
          <w:bCs/>
          <w:color w:val="auto"/>
          <w:kern w:val="0"/>
          <w:szCs w:val="21"/>
        </w:rPr>
        <w:t xml:space="preserve">条 </w:t>
      </w:r>
      <w:bookmarkStart w:id="48" w:name="合同付款方式"/>
      <w:r>
        <w:rPr>
          <w:rFonts w:cs="宋体"/>
          <w:b/>
          <w:bCs/>
          <w:color w:val="auto"/>
          <w:kern w:val="0"/>
          <w:szCs w:val="21"/>
        </w:rPr>
        <w:t xml:space="preserve">付款方式 </w:t>
      </w:r>
      <w:bookmarkEnd w:id="48"/>
    </w:p>
    <w:p w14:paraId="775583CF">
      <w:pPr>
        <w:pStyle w:val="9"/>
        <w:keepNext w:val="0"/>
        <w:keepLines w:val="0"/>
        <w:pageBreakBefore w:val="0"/>
        <w:widowControl w:val="0"/>
        <w:kinsoku/>
        <w:wordWrap/>
        <w:overflowPunct/>
        <w:topLinePunct w:val="0"/>
        <w:autoSpaceDE/>
        <w:autoSpaceDN/>
        <w:bidi w:val="0"/>
        <w:adjustRightInd/>
        <w:snapToGrid/>
        <w:spacing w:line="460" w:lineRule="atLeast"/>
        <w:ind w:firstLine="420" w:firstLineChars="200"/>
        <w:textAlignment w:val="auto"/>
        <w:rPr>
          <w:color w:val="auto"/>
        </w:rPr>
      </w:pPr>
      <w:r>
        <w:rPr>
          <w:rFonts w:hint="eastAsia" w:ascii="宋体" w:hAnsi="宋体" w:cs="宋体"/>
          <w:color w:val="auto"/>
          <w:sz w:val="21"/>
          <w:szCs w:val="21"/>
          <w:highlight w:val="none"/>
          <w:lang w:eastAsia="zh-CN"/>
        </w:rPr>
        <w:t>合同签订后在15个工作日内</w:t>
      </w:r>
      <w:r>
        <w:rPr>
          <w:rFonts w:hint="eastAsia" w:ascii="宋体" w:hAnsi="宋体" w:cs="宋体"/>
          <w:color w:val="auto"/>
          <w:sz w:val="21"/>
          <w:szCs w:val="21"/>
          <w:highlight w:val="none"/>
          <w:lang w:val="en-US" w:eastAsia="zh-CN"/>
        </w:rPr>
        <w:t>甲方</w:t>
      </w:r>
      <w:r>
        <w:rPr>
          <w:rFonts w:hint="eastAsia" w:ascii="宋体" w:hAnsi="宋体" w:cs="宋体"/>
          <w:color w:val="auto"/>
          <w:sz w:val="21"/>
          <w:szCs w:val="21"/>
          <w:highlight w:val="none"/>
          <w:lang w:eastAsia="zh-CN"/>
        </w:rPr>
        <w:t>支付按合同价款30%的预付款；项目完成并验收合格后，乙方提交完整结算资料及等额发票，甲方审核无误后15个工作日内支付至合同总价的100%。每次</w:t>
      </w:r>
      <w:r>
        <w:rPr>
          <w:rFonts w:hint="eastAsia" w:ascii="宋体" w:hAnsi="宋体" w:cs="宋体"/>
          <w:color w:val="auto"/>
          <w:sz w:val="21"/>
          <w:szCs w:val="21"/>
          <w:highlight w:val="none"/>
          <w:lang w:val="en-US" w:eastAsia="zh-CN"/>
        </w:rPr>
        <w:t>甲方</w:t>
      </w:r>
      <w:r>
        <w:rPr>
          <w:rFonts w:hint="eastAsia" w:ascii="宋体" w:hAnsi="宋体" w:cs="宋体"/>
          <w:color w:val="auto"/>
          <w:sz w:val="21"/>
          <w:szCs w:val="21"/>
          <w:highlight w:val="none"/>
          <w:lang w:eastAsia="zh-CN"/>
        </w:rPr>
        <w:t>支付款项前</w:t>
      </w:r>
      <w:r>
        <w:rPr>
          <w:rFonts w:hint="eastAsia" w:ascii="宋体" w:hAnsi="宋体" w:cs="宋体"/>
          <w:color w:val="auto"/>
          <w:sz w:val="21"/>
          <w:szCs w:val="21"/>
          <w:highlight w:val="none"/>
          <w:lang w:val="en-US" w:eastAsia="zh-CN"/>
        </w:rPr>
        <w:t>乙方</w:t>
      </w:r>
      <w:r>
        <w:rPr>
          <w:rFonts w:hint="eastAsia" w:ascii="宋体" w:hAnsi="宋体" w:cs="宋体"/>
          <w:color w:val="auto"/>
          <w:sz w:val="21"/>
          <w:szCs w:val="21"/>
          <w:highlight w:val="none"/>
          <w:lang w:eastAsia="zh-CN"/>
        </w:rPr>
        <w:t>须开具等额合法有效的税务发票给</w:t>
      </w:r>
      <w:r>
        <w:rPr>
          <w:rFonts w:hint="eastAsia" w:ascii="宋体" w:hAnsi="宋体" w:cs="宋体"/>
          <w:color w:val="auto"/>
          <w:sz w:val="21"/>
          <w:szCs w:val="21"/>
          <w:highlight w:val="none"/>
          <w:lang w:val="en-US" w:eastAsia="zh-CN"/>
        </w:rPr>
        <w:t>甲方</w:t>
      </w:r>
      <w:r>
        <w:rPr>
          <w:rFonts w:hint="eastAsia" w:ascii="宋体" w:hAnsi="宋体" w:cs="宋体"/>
          <w:color w:val="auto"/>
          <w:sz w:val="21"/>
          <w:szCs w:val="21"/>
          <w:highlight w:val="none"/>
          <w:lang w:eastAsia="zh-CN"/>
        </w:rPr>
        <w:t>，否则</w:t>
      </w:r>
      <w:r>
        <w:rPr>
          <w:rFonts w:hint="eastAsia" w:ascii="宋体" w:hAnsi="宋体" w:cs="宋体"/>
          <w:color w:val="auto"/>
          <w:sz w:val="21"/>
          <w:szCs w:val="21"/>
          <w:highlight w:val="none"/>
          <w:lang w:val="en-US" w:eastAsia="zh-CN"/>
        </w:rPr>
        <w:t>甲方</w:t>
      </w:r>
      <w:r>
        <w:rPr>
          <w:rFonts w:hint="eastAsia" w:ascii="宋体" w:hAnsi="宋体" w:cs="宋体"/>
          <w:color w:val="auto"/>
          <w:sz w:val="21"/>
          <w:szCs w:val="21"/>
          <w:highlight w:val="none"/>
          <w:lang w:eastAsia="zh-CN"/>
        </w:rPr>
        <w:t>有权顺延支付款项且不承担任何违约责任。</w:t>
      </w:r>
    </w:p>
    <w:p w14:paraId="64D5FB0A">
      <w:pPr>
        <w:widowControl/>
        <w:spacing w:line="360" w:lineRule="auto"/>
        <w:jc w:val="left"/>
        <w:rPr>
          <w:color w:val="auto"/>
          <w:szCs w:val="21"/>
        </w:rPr>
      </w:pPr>
      <w:r>
        <w:rPr>
          <w:rFonts w:cs="宋体"/>
          <w:b/>
          <w:bCs/>
          <w:color w:val="auto"/>
          <w:kern w:val="0"/>
          <w:szCs w:val="21"/>
        </w:rPr>
        <w:t>第</w:t>
      </w:r>
      <w:r>
        <w:rPr>
          <w:rFonts w:hint="eastAsia" w:cs="宋体"/>
          <w:b/>
          <w:bCs/>
          <w:color w:val="auto"/>
          <w:kern w:val="0"/>
          <w:szCs w:val="21"/>
          <w:lang w:val="en-US" w:eastAsia="zh-CN"/>
        </w:rPr>
        <w:t>九</w:t>
      </w:r>
      <w:r>
        <w:rPr>
          <w:rFonts w:cs="宋体"/>
          <w:b/>
          <w:bCs/>
          <w:color w:val="auto"/>
          <w:kern w:val="0"/>
          <w:szCs w:val="21"/>
        </w:rPr>
        <w:t xml:space="preserve">条 履约保证金 </w:t>
      </w:r>
    </w:p>
    <w:p w14:paraId="0DDEEC3F">
      <w:pPr>
        <w:widowControl/>
        <w:wordWrap w:val="0"/>
        <w:overflowPunct w:val="0"/>
        <w:topLinePunct/>
        <w:spacing w:line="360" w:lineRule="auto"/>
        <w:ind w:firstLine="420" w:firstLineChars="200"/>
        <w:jc w:val="left"/>
        <w:rPr>
          <w:rFonts w:cs="宋体"/>
          <w:b w:val="0"/>
          <w:bCs w:val="0"/>
          <w:color w:val="auto"/>
          <w:kern w:val="0"/>
          <w:szCs w:val="21"/>
        </w:rPr>
      </w:pPr>
      <w:r>
        <w:rPr>
          <w:rFonts w:cs="宋体"/>
          <w:color w:val="auto"/>
          <w:kern w:val="0"/>
          <w:szCs w:val="21"/>
        </w:rPr>
        <w:t>签合同前订</w:t>
      </w:r>
      <w:r>
        <w:rPr>
          <w:rFonts w:hint="eastAsia" w:cs="宋体"/>
          <w:color w:val="auto"/>
          <w:kern w:val="0"/>
          <w:szCs w:val="21"/>
          <w:lang w:val="en-US" w:eastAsia="zh-CN"/>
        </w:rPr>
        <w:t>乙方</w:t>
      </w:r>
      <w:r>
        <w:rPr>
          <w:rFonts w:cs="宋体"/>
          <w:color w:val="auto"/>
          <w:kern w:val="0"/>
          <w:szCs w:val="21"/>
        </w:rPr>
        <w:t>向</w:t>
      </w:r>
      <w:r>
        <w:rPr>
          <w:rFonts w:hint="eastAsia" w:cs="宋体"/>
          <w:color w:val="auto"/>
          <w:kern w:val="0"/>
          <w:szCs w:val="21"/>
          <w:lang w:val="en-US" w:eastAsia="zh-CN"/>
        </w:rPr>
        <w:t>甲方</w:t>
      </w:r>
      <w:r>
        <w:rPr>
          <w:rFonts w:cs="宋体"/>
          <w:color w:val="auto"/>
          <w:kern w:val="0"/>
          <w:szCs w:val="21"/>
        </w:rPr>
        <w:t>支付合同金额</w:t>
      </w:r>
      <w:r>
        <w:rPr>
          <w:rFonts w:hint="eastAsia" w:ascii="宋体" w:hAnsi="宋体" w:cs="宋体"/>
          <w:color w:val="auto"/>
          <w:szCs w:val="21"/>
          <w:highlight w:val="none"/>
        </w:rPr>
        <w:t>5 %（中小企业按合同金额的2%）</w:t>
      </w:r>
      <w:r>
        <w:rPr>
          <w:rFonts w:cs="宋体"/>
          <w:color w:val="auto"/>
          <w:kern w:val="0"/>
          <w:szCs w:val="21"/>
        </w:rPr>
        <w:t>的履约保证金。</w:t>
      </w:r>
      <w:r>
        <w:rPr>
          <w:rFonts w:hint="eastAsia" w:ascii="宋体" w:hAnsi="宋体" w:cs="宋体"/>
          <w:color w:val="auto"/>
          <w:sz w:val="21"/>
          <w:szCs w:val="21"/>
          <w:highlight w:val="none"/>
          <w:lang w:eastAsia="zh-CN"/>
        </w:rPr>
        <w:t>合同验收满 (1年)项目无质量问题，</w:t>
      </w:r>
      <w:r>
        <w:rPr>
          <w:rFonts w:hint="eastAsia" w:ascii="宋体" w:hAnsi="宋体" w:cs="宋体"/>
          <w:color w:val="auto"/>
          <w:sz w:val="21"/>
          <w:szCs w:val="21"/>
          <w:highlight w:val="none"/>
          <w:lang w:val="en-US" w:eastAsia="zh-CN"/>
        </w:rPr>
        <w:t>乙方</w:t>
      </w:r>
      <w:r>
        <w:rPr>
          <w:rFonts w:hint="eastAsia" w:ascii="宋体" w:hAnsi="宋体" w:cs="宋体"/>
          <w:color w:val="auto"/>
          <w:sz w:val="21"/>
          <w:szCs w:val="21"/>
          <w:highlight w:val="none"/>
          <w:lang w:eastAsia="zh-CN"/>
        </w:rPr>
        <w:t>向</w:t>
      </w:r>
      <w:r>
        <w:rPr>
          <w:rFonts w:hint="eastAsia" w:ascii="宋体" w:hAnsi="宋体" w:cs="宋体"/>
          <w:color w:val="auto"/>
          <w:sz w:val="21"/>
          <w:szCs w:val="21"/>
          <w:highlight w:val="none"/>
          <w:lang w:val="en-US" w:eastAsia="zh-CN"/>
        </w:rPr>
        <w:t>甲方</w:t>
      </w:r>
      <w:r>
        <w:rPr>
          <w:rFonts w:hint="eastAsia" w:ascii="宋体" w:hAnsi="宋体" w:cs="宋体"/>
          <w:color w:val="auto"/>
          <w:sz w:val="21"/>
          <w:szCs w:val="21"/>
          <w:highlight w:val="none"/>
          <w:lang w:eastAsia="zh-CN"/>
        </w:rPr>
        <w:t>提供验收单及履约保证金退付申请，</w:t>
      </w:r>
      <w:r>
        <w:rPr>
          <w:rFonts w:hint="eastAsia" w:ascii="宋体" w:hAnsi="宋体" w:cs="宋体"/>
          <w:color w:val="auto"/>
          <w:sz w:val="21"/>
          <w:szCs w:val="21"/>
          <w:highlight w:val="none"/>
          <w:lang w:val="en-US" w:eastAsia="zh-CN"/>
        </w:rPr>
        <w:t>甲方</w:t>
      </w:r>
      <w:r>
        <w:rPr>
          <w:rFonts w:hint="eastAsia" w:ascii="宋体" w:hAnsi="宋体" w:cs="宋体"/>
          <w:color w:val="auto"/>
          <w:sz w:val="21"/>
          <w:szCs w:val="21"/>
          <w:highlight w:val="none"/>
          <w:lang w:eastAsia="zh-CN"/>
        </w:rPr>
        <w:t>在15个工作日内无息退还履约保证金</w:t>
      </w:r>
      <w:r>
        <w:rPr>
          <w:rFonts w:cs="宋体"/>
          <w:color w:val="auto"/>
          <w:kern w:val="0"/>
          <w:szCs w:val="21"/>
        </w:rPr>
        <w:t>。</w:t>
      </w:r>
    </w:p>
    <w:p w14:paraId="425AECA5">
      <w:pPr>
        <w:widowControl/>
        <w:spacing w:line="360" w:lineRule="auto"/>
        <w:jc w:val="left"/>
        <w:rPr>
          <w:color w:val="auto"/>
          <w:szCs w:val="21"/>
        </w:rPr>
      </w:pPr>
      <w:r>
        <w:rPr>
          <w:rFonts w:cs="宋体"/>
          <w:b/>
          <w:bCs/>
          <w:color w:val="auto"/>
          <w:kern w:val="0"/>
          <w:szCs w:val="21"/>
        </w:rPr>
        <w:t>第</w:t>
      </w:r>
      <w:r>
        <w:rPr>
          <w:rFonts w:hint="eastAsia" w:cs="宋体"/>
          <w:b/>
          <w:bCs/>
          <w:color w:val="auto"/>
          <w:kern w:val="0"/>
          <w:szCs w:val="21"/>
          <w:lang w:val="en-US" w:eastAsia="zh-CN"/>
        </w:rPr>
        <w:t>十</w:t>
      </w:r>
      <w:r>
        <w:rPr>
          <w:rFonts w:cs="宋体"/>
          <w:b/>
          <w:bCs/>
          <w:color w:val="auto"/>
          <w:kern w:val="0"/>
          <w:szCs w:val="21"/>
        </w:rPr>
        <w:t xml:space="preserve">条 税费 </w:t>
      </w:r>
    </w:p>
    <w:p w14:paraId="0211A1F9">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 xml:space="preserve">本合同执行中相关的一切税费均由乙方负担，合同另有约定的除外。 </w:t>
      </w:r>
    </w:p>
    <w:p w14:paraId="2B449B92">
      <w:pPr>
        <w:widowControl/>
        <w:spacing w:line="360" w:lineRule="auto"/>
        <w:jc w:val="left"/>
        <w:rPr>
          <w:color w:val="auto"/>
          <w:szCs w:val="21"/>
        </w:rPr>
      </w:pPr>
      <w:r>
        <w:rPr>
          <w:rFonts w:cs="宋体"/>
          <w:b/>
          <w:bCs/>
          <w:color w:val="auto"/>
          <w:kern w:val="0"/>
          <w:szCs w:val="21"/>
        </w:rPr>
        <w:t>第</w:t>
      </w:r>
      <w:r>
        <w:rPr>
          <w:rFonts w:hint="eastAsia" w:cs="宋体"/>
          <w:b/>
          <w:bCs/>
          <w:color w:val="auto"/>
          <w:kern w:val="0"/>
          <w:szCs w:val="21"/>
        </w:rPr>
        <w:t>十</w:t>
      </w:r>
      <w:r>
        <w:rPr>
          <w:rFonts w:hint="eastAsia" w:cs="宋体"/>
          <w:b/>
          <w:bCs/>
          <w:color w:val="auto"/>
          <w:kern w:val="0"/>
          <w:szCs w:val="21"/>
          <w:lang w:val="en-US" w:eastAsia="zh-CN"/>
        </w:rPr>
        <w:t>一</w:t>
      </w:r>
      <w:r>
        <w:rPr>
          <w:rFonts w:cs="宋体"/>
          <w:b/>
          <w:bCs/>
          <w:color w:val="auto"/>
          <w:kern w:val="0"/>
          <w:szCs w:val="21"/>
        </w:rPr>
        <w:t xml:space="preserve">条 违约责任 </w:t>
      </w:r>
    </w:p>
    <w:p w14:paraId="015D7579">
      <w:pPr>
        <w:widowControl/>
        <w:wordWrap w:val="0"/>
        <w:overflowPunct w:val="0"/>
        <w:topLinePunct/>
        <w:spacing w:line="360" w:lineRule="auto"/>
        <w:ind w:firstLine="420" w:firstLineChars="200"/>
        <w:jc w:val="left"/>
        <w:rPr>
          <w:rFonts w:cs="宋体"/>
          <w:color w:val="auto"/>
          <w:kern w:val="0"/>
          <w:szCs w:val="21"/>
        </w:rPr>
      </w:pPr>
      <w:r>
        <w:rPr>
          <w:rFonts w:hint="eastAsia" w:cs="宋体"/>
          <w:color w:val="auto"/>
          <w:kern w:val="0"/>
          <w:szCs w:val="21"/>
        </w:rPr>
        <w:t>1、</w:t>
      </w:r>
      <w:r>
        <w:rPr>
          <w:rFonts w:cs="宋体"/>
          <w:color w:val="auto"/>
          <w:kern w:val="0"/>
          <w:szCs w:val="21"/>
        </w:rPr>
        <w:t>乙方逾期交付</w:t>
      </w:r>
      <w:r>
        <w:rPr>
          <w:rFonts w:hint="eastAsia" w:cs="宋体"/>
          <w:color w:val="auto"/>
          <w:kern w:val="0"/>
          <w:szCs w:val="21"/>
          <w:lang w:val="en-US" w:eastAsia="zh-CN"/>
        </w:rPr>
        <w:t>货物及</w:t>
      </w:r>
      <w:r>
        <w:rPr>
          <w:rFonts w:cs="宋体"/>
          <w:color w:val="auto"/>
          <w:kern w:val="0"/>
          <w:szCs w:val="21"/>
        </w:rPr>
        <w:t xml:space="preserve">成果的，应每天按未能履约部分的 0.05%向甲方支付违约金。逾期 15 日的，甲方有权解除合同，乙方应退还甲方已支付的合同价款并向甲方承担合同合计金额的 20%的违约责任。 </w:t>
      </w:r>
    </w:p>
    <w:p w14:paraId="435834C0">
      <w:pPr>
        <w:widowControl/>
        <w:wordWrap w:val="0"/>
        <w:overflowPunct w:val="0"/>
        <w:topLinePunct/>
        <w:spacing w:line="360" w:lineRule="auto"/>
        <w:ind w:firstLine="420" w:firstLineChars="200"/>
        <w:jc w:val="left"/>
        <w:rPr>
          <w:rFonts w:cs="宋体"/>
          <w:color w:val="auto"/>
          <w:kern w:val="0"/>
          <w:szCs w:val="21"/>
        </w:rPr>
      </w:pPr>
      <w:r>
        <w:rPr>
          <w:rFonts w:hint="eastAsia" w:cs="宋体"/>
          <w:color w:val="auto"/>
          <w:kern w:val="0"/>
          <w:szCs w:val="21"/>
        </w:rPr>
        <w:t>2、</w:t>
      </w:r>
      <w:r>
        <w:rPr>
          <w:rFonts w:cs="宋体"/>
          <w:color w:val="auto"/>
          <w:kern w:val="0"/>
          <w:szCs w:val="21"/>
        </w:rPr>
        <w:t>乙方所交付的服务成果不符合本合同约定的，应在接到甲方通知后 5 日内负责修改、完善，并承担因此产生的全部费用。乙方不能在前述时间内完成修改、完善，或者修改、完善后的成果仍不符合本合同规定的，甲方有权解除本合同，要求乙方退还已付款项，并要求乙方按本合同总价款</w:t>
      </w:r>
      <w:r>
        <w:rPr>
          <w:rFonts w:hint="eastAsia" w:cs="宋体"/>
          <w:color w:val="auto"/>
          <w:kern w:val="0"/>
          <w:szCs w:val="21"/>
        </w:rPr>
        <w:t>5</w:t>
      </w:r>
      <w:r>
        <w:rPr>
          <w:rFonts w:cs="宋体"/>
          <w:color w:val="auto"/>
          <w:kern w:val="0"/>
          <w:szCs w:val="21"/>
        </w:rPr>
        <w:t xml:space="preserve">% 承担违约金并赔偿甲方的损失。 </w:t>
      </w:r>
    </w:p>
    <w:p w14:paraId="103A74CF">
      <w:pPr>
        <w:widowControl/>
        <w:wordWrap w:val="0"/>
        <w:overflowPunct w:val="0"/>
        <w:topLinePunct/>
        <w:spacing w:line="360" w:lineRule="auto"/>
        <w:ind w:firstLine="420" w:firstLineChars="200"/>
        <w:jc w:val="left"/>
        <w:rPr>
          <w:rFonts w:cs="宋体"/>
          <w:color w:val="auto"/>
          <w:kern w:val="0"/>
          <w:szCs w:val="21"/>
        </w:rPr>
      </w:pPr>
      <w:r>
        <w:rPr>
          <w:rFonts w:hint="eastAsia" w:cs="宋体"/>
          <w:color w:val="auto"/>
          <w:kern w:val="0"/>
          <w:szCs w:val="21"/>
        </w:rPr>
        <w:t>3、</w:t>
      </w:r>
      <w:r>
        <w:rPr>
          <w:rFonts w:cs="宋体"/>
          <w:color w:val="auto"/>
          <w:kern w:val="0"/>
          <w:szCs w:val="21"/>
        </w:rPr>
        <w:t xml:space="preserve">乙方不能按本合同要求提供所承诺的服务人员的，应向甲方偿付本合同总价款 10% 的违约金。 </w:t>
      </w:r>
    </w:p>
    <w:p w14:paraId="2639E45A">
      <w:pPr>
        <w:widowControl/>
        <w:wordWrap w:val="0"/>
        <w:overflowPunct w:val="0"/>
        <w:topLinePunct/>
        <w:spacing w:line="360" w:lineRule="auto"/>
        <w:ind w:firstLine="420" w:firstLineChars="200"/>
        <w:jc w:val="left"/>
        <w:rPr>
          <w:rFonts w:cs="宋体"/>
          <w:color w:val="auto"/>
          <w:kern w:val="0"/>
          <w:szCs w:val="21"/>
        </w:rPr>
      </w:pPr>
      <w:r>
        <w:rPr>
          <w:rFonts w:hint="eastAsia" w:cs="宋体"/>
          <w:color w:val="auto"/>
          <w:kern w:val="0"/>
          <w:szCs w:val="21"/>
        </w:rPr>
        <w:t>4、</w:t>
      </w:r>
      <w:r>
        <w:rPr>
          <w:rFonts w:cs="宋体"/>
          <w:color w:val="auto"/>
          <w:kern w:val="0"/>
          <w:szCs w:val="21"/>
        </w:rPr>
        <w:t>如果发生声称本合同项下服务成果侵犯他人专利、版权、商标权、肖像权、名誉权或商业秘密、个人信息等合法权益而针对甲方提起索赔或诉讼仲裁的情况，甲方为自身利益有权独立应诉、与第三方做出任何重大决定，包括庭外和解、法庭抗辩，乙方应支付由此而产生的全部费用（包括但不限于赔偿金、违约金、补偿金、律师费、诉讼费、保全费、公证费、鉴定费、诉讼财产保全责任险保费等一切费用）。在处理索赔或诉讼、仲裁的过程中，乙方应为甲方取得继续使用该服务成果的权利，或者将该服务成果替换或修改，以便使用该服务成果不再侵权。如果乙方不能合理地完成这些补救措施，并且甲方必须停止使用侵权的服务成果，甲方有权要求乙方需退还甲方已付价款，并有权要求按本合同总价款 30% 要求赔偿。</w:t>
      </w:r>
    </w:p>
    <w:p w14:paraId="4E436998">
      <w:pPr>
        <w:widowControl/>
        <w:wordWrap w:val="0"/>
        <w:overflowPunct w:val="0"/>
        <w:topLinePunct/>
        <w:spacing w:line="360" w:lineRule="auto"/>
        <w:ind w:firstLine="420" w:firstLineChars="200"/>
        <w:jc w:val="left"/>
        <w:rPr>
          <w:rFonts w:cs="宋体"/>
          <w:color w:val="auto"/>
          <w:kern w:val="0"/>
          <w:szCs w:val="21"/>
        </w:rPr>
      </w:pPr>
      <w:r>
        <w:rPr>
          <w:rFonts w:hint="eastAsia" w:cs="宋体"/>
          <w:color w:val="auto"/>
          <w:kern w:val="0"/>
          <w:szCs w:val="21"/>
        </w:rPr>
        <w:t>5、</w:t>
      </w:r>
      <w:r>
        <w:rPr>
          <w:rFonts w:cs="宋体"/>
          <w:color w:val="auto"/>
          <w:kern w:val="0"/>
          <w:szCs w:val="21"/>
        </w:rPr>
        <w:t xml:space="preserve">乙方未按约提供真实、有效、合法的正式发票的，除须向甲方补开合法发票外，须赔偿甲方发票票面金额一倍的违约金，且甲方有权解除合同，要求乙方退还已付款项。 </w:t>
      </w:r>
    </w:p>
    <w:p w14:paraId="095B295F">
      <w:pPr>
        <w:widowControl/>
        <w:wordWrap w:val="0"/>
        <w:overflowPunct w:val="0"/>
        <w:topLinePunct/>
        <w:spacing w:line="360" w:lineRule="auto"/>
        <w:ind w:firstLine="420" w:firstLineChars="200"/>
        <w:jc w:val="left"/>
        <w:rPr>
          <w:rFonts w:cs="宋体"/>
          <w:color w:val="auto"/>
          <w:kern w:val="0"/>
          <w:szCs w:val="21"/>
        </w:rPr>
      </w:pPr>
      <w:r>
        <w:rPr>
          <w:rFonts w:hint="eastAsia" w:cs="宋体"/>
          <w:color w:val="auto"/>
          <w:kern w:val="0"/>
          <w:szCs w:val="21"/>
        </w:rPr>
        <w:t>6、</w:t>
      </w:r>
      <w:r>
        <w:rPr>
          <w:rFonts w:cs="宋体"/>
          <w:color w:val="auto"/>
          <w:kern w:val="0"/>
          <w:szCs w:val="21"/>
        </w:rPr>
        <w:t xml:space="preserve">乙方应配合甲方做好本项目实施期间与本项目乙方服务相关联的任务、系统变更、相关事件影响分析工作，如不能按时间要求完成，前 2 次予以口头或书面警告，从第 3 次起，乙方每次支付 1 万元的违约金。如造成甲方损失则赔偿甲方损失。 </w:t>
      </w:r>
    </w:p>
    <w:p w14:paraId="3F1946BE">
      <w:pPr>
        <w:widowControl/>
        <w:wordWrap w:val="0"/>
        <w:overflowPunct w:val="0"/>
        <w:topLinePunct/>
        <w:spacing w:line="360" w:lineRule="auto"/>
        <w:ind w:firstLine="420" w:firstLineChars="200"/>
        <w:jc w:val="left"/>
        <w:rPr>
          <w:rFonts w:cs="宋体"/>
          <w:color w:val="auto"/>
          <w:kern w:val="0"/>
          <w:szCs w:val="21"/>
        </w:rPr>
      </w:pPr>
      <w:r>
        <w:rPr>
          <w:rFonts w:hint="eastAsia" w:cs="宋体"/>
          <w:color w:val="auto"/>
          <w:kern w:val="0"/>
          <w:szCs w:val="21"/>
        </w:rPr>
        <w:t>7、</w:t>
      </w:r>
      <w:r>
        <w:rPr>
          <w:rFonts w:cs="宋体"/>
          <w:color w:val="auto"/>
          <w:kern w:val="0"/>
          <w:szCs w:val="21"/>
        </w:rPr>
        <w:t xml:space="preserve">乙方在提供服务过程中，造成人员及财产损害的，由乙方自行承担，与甲方无关。如因乙方提供服务过程中造成第三人人身及财产损害导致甲方先行承担责任的，甲方可向乙方追偿，乙方应承担甲方的一切损失（包括但不限于赔偿金、违约金、补偿金、律师费、诉讼费、保全费、公证费、鉴定费、诉讼财产保全责任险保费等一切费用）。 </w:t>
      </w:r>
    </w:p>
    <w:p w14:paraId="29740678">
      <w:pPr>
        <w:widowControl/>
        <w:wordWrap w:val="0"/>
        <w:overflowPunct w:val="0"/>
        <w:topLinePunct/>
        <w:spacing w:line="360" w:lineRule="auto"/>
        <w:ind w:firstLine="420" w:firstLineChars="200"/>
        <w:jc w:val="left"/>
        <w:rPr>
          <w:rFonts w:cs="宋体"/>
          <w:color w:val="auto"/>
          <w:kern w:val="0"/>
          <w:szCs w:val="21"/>
        </w:rPr>
      </w:pPr>
      <w:r>
        <w:rPr>
          <w:rFonts w:hint="eastAsia" w:cs="宋体"/>
          <w:color w:val="auto"/>
          <w:kern w:val="0"/>
          <w:szCs w:val="21"/>
        </w:rPr>
        <w:t>8、</w:t>
      </w:r>
      <w:r>
        <w:rPr>
          <w:rFonts w:cs="宋体"/>
          <w:color w:val="auto"/>
          <w:kern w:val="0"/>
          <w:szCs w:val="21"/>
        </w:rPr>
        <w:t xml:space="preserve">乙方存在其它违约行为的，按合同标的的 10%承担违约金。 </w:t>
      </w:r>
    </w:p>
    <w:p w14:paraId="29F4CA3E">
      <w:pPr>
        <w:widowControl/>
        <w:wordWrap w:val="0"/>
        <w:overflowPunct w:val="0"/>
        <w:topLinePunct/>
        <w:spacing w:line="360" w:lineRule="auto"/>
        <w:ind w:firstLine="420" w:firstLineChars="200"/>
        <w:jc w:val="left"/>
        <w:rPr>
          <w:rFonts w:cs="宋体"/>
          <w:color w:val="auto"/>
          <w:kern w:val="0"/>
          <w:szCs w:val="21"/>
        </w:rPr>
      </w:pPr>
      <w:r>
        <w:rPr>
          <w:rFonts w:hint="eastAsia" w:cs="宋体"/>
          <w:color w:val="auto"/>
          <w:kern w:val="0"/>
          <w:szCs w:val="21"/>
        </w:rPr>
        <w:t>9、</w:t>
      </w:r>
      <w:r>
        <w:rPr>
          <w:rFonts w:cs="宋体"/>
          <w:color w:val="auto"/>
          <w:kern w:val="0"/>
          <w:szCs w:val="21"/>
        </w:rPr>
        <w:t xml:space="preserve">因乙方的违约行为造成本合同项下服务成果无法通过验收的，甲方有权解除本合同，要求乙方退还已付款项，并要求乙方按本合同总价款 30%承担违约金并赔偿甲方损失。 </w:t>
      </w:r>
    </w:p>
    <w:p w14:paraId="478CA8D1">
      <w:pPr>
        <w:widowControl/>
        <w:wordWrap w:val="0"/>
        <w:overflowPunct w:val="0"/>
        <w:topLinePunct/>
        <w:spacing w:line="360" w:lineRule="auto"/>
        <w:ind w:firstLine="420" w:firstLineChars="200"/>
        <w:jc w:val="left"/>
        <w:rPr>
          <w:rFonts w:cs="宋体"/>
          <w:b/>
          <w:bCs/>
          <w:color w:val="auto"/>
          <w:kern w:val="0"/>
          <w:szCs w:val="21"/>
        </w:rPr>
      </w:pPr>
      <w:r>
        <w:rPr>
          <w:rFonts w:hint="eastAsia" w:cs="宋体"/>
          <w:color w:val="auto"/>
          <w:kern w:val="0"/>
          <w:szCs w:val="21"/>
        </w:rPr>
        <w:t>10、</w:t>
      </w:r>
      <w:r>
        <w:rPr>
          <w:rFonts w:cs="宋体"/>
          <w:color w:val="auto"/>
          <w:kern w:val="0"/>
          <w:szCs w:val="21"/>
        </w:rPr>
        <w:t xml:space="preserve">乙方存在任何违约行为的，除按合同约定承担责任外，还应赔偿甲方的一切损失（包括但不限于向第三方支付赔偿金、补偿金、违约金等，为实现债权而支付的律师费、公证费、诉讼费、保全费、公告费、鉴定费、诉讼财产保全责任险保费等一切费用）。 </w:t>
      </w:r>
    </w:p>
    <w:p w14:paraId="782BCFAC">
      <w:pPr>
        <w:widowControl/>
        <w:spacing w:line="360" w:lineRule="auto"/>
        <w:jc w:val="left"/>
        <w:rPr>
          <w:color w:val="auto"/>
          <w:szCs w:val="21"/>
        </w:rPr>
      </w:pPr>
      <w:r>
        <w:rPr>
          <w:rFonts w:cs="宋体"/>
          <w:b/>
          <w:bCs/>
          <w:color w:val="auto"/>
          <w:kern w:val="0"/>
          <w:szCs w:val="21"/>
        </w:rPr>
        <w:t>第十</w:t>
      </w:r>
      <w:r>
        <w:rPr>
          <w:rFonts w:hint="eastAsia" w:cs="宋体"/>
          <w:b/>
          <w:bCs/>
          <w:color w:val="auto"/>
          <w:kern w:val="0"/>
          <w:szCs w:val="21"/>
          <w:lang w:val="en-US" w:eastAsia="zh-CN"/>
        </w:rPr>
        <w:t>二</w:t>
      </w:r>
      <w:r>
        <w:rPr>
          <w:rFonts w:cs="宋体"/>
          <w:b/>
          <w:bCs/>
          <w:color w:val="auto"/>
          <w:kern w:val="0"/>
          <w:szCs w:val="21"/>
        </w:rPr>
        <w:t xml:space="preserve">条 不可抗力事件处理 </w:t>
      </w:r>
    </w:p>
    <w:p w14:paraId="178EB52B">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1</w:t>
      </w:r>
      <w:r>
        <w:rPr>
          <w:rFonts w:hint="eastAsia" w:cs="宋体"/>
          <w:color w:val="auto"/>
          <w:kern w:val="0"/>
          <w:szCs w:val="21"/>
        </w:rPr>
        <w:t>、</w:t>
      </w:r>
      <w:r>
        <w:rPr>
          <w:rFonts w:cs="宋体"/>
          <w:color w:val="auto"/>
          <w:kern w:val="0"/>
          <w:szCs w:val="21"/>
        </w:rPr>
        <w:t xml:space="preserve">在合同有效期内，任何一方因不可抗力事件导致不能履行合同，则合同履行期可延长，其延长期与不可抗力影响期相同。 </w:t>
      </w:r>
    </w:p>
    <w:p w14:paraId="5F930776">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2</w:t>
      </w:r>
      <w:r>
        <w:rPr>
          <w:rFonts w:hint="eastAsia" w:cs="宋体"/>
          <w:color w:val="auto"/>
          <w:kern w:val="0"/>
          <w:szCs w:val="21"/>
        </w:rPr>
        <w:t>、</w:t>
      </w:r>
      <w:r>
        <w:rPr>
          <w:rFonts w:cs="宋体"/>
          <w:color w:val="auto"/>
          <w:kern w:val="0"/>
          <w:szCs w:val="21"/>
        </w:rPr>
        <w:t xml:space="preserve">不可抗力事件发生后，应立即通知对方，并寄送有关权威机构出具的证明。 </w:t>
      </w:r>
    </w:p>
    <w:p w14:paraId="29DC60C3">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3</w:t>
      </w:r>
      <w:r>
        <w:rPr>
          <w:rFonts w:hint="eastAsia" w:cs="宋体"/>
          <w:color w:val="auto"/>
          <w:kern w:val="0"/>
          <w:szCs w:val="21"/>
        </w:rPr>
        <w:t>、</w:t>
      </w:r>
      <w:r>
        <w:rPr>
          <w:rFonts w:cs="宋体"/>
          <w:color w:val="auto"/>
          <w:kern w:val="0"/>
          <w:szCs w:val="21"/>
        </w:rPr>
        <w:t xml:space="preserve">不可抗力事件延续一百二十天以上，双方应通过友好协商，确定是否继续履行合同。 </w:t>
      </w:r>
    </w:p>
    <w:p w14:paraId="041A0736">
      <w:pPr>
        <w:widowControl/>
        <w:spacing w:line="360" w:lineRule="auto"/>
        <w:jc w:val="left"/>
        <w:rPr>
          <w:color w:val="auto"/>
          <w:szCs w:val="21"/>
        </w:rPr>
      </w:pPr>
      <w:r>
        <w:rPr>
          <w:rFonts w:cs="宋体"/>
          <w:b/>
          <w:bCs/>
          <w:color w:val="auto"/>
          <w:kern w:val="0"/>
          <w:szCs w:val="21"/>
        </w:rPr>
        <w:t>第十</w:t>
      </w:r>
      <w:r>
        <w:rPr>
          <w:rFonts w:hint="eastAsia" w:cs="宋体"/>
          <w:b/>
          <w:bCs/>
          <w:color w:val="auto"/>
          <w:kern w:val="0"/>
          <w:szCs w:val="21"/>
          <w:lang w:eastAsia="zh-CN"/>
        </w:rPr>
        <w:t>三</w:t>
      </w:r>
      <w:r>
        <w:rPr>
          <w:rFonts w:cs="宋体"/>
          <w:b/>
          <w:bCs/>
          <w:color w:val="auto"/>
          <w:kern w:val="0"/>
          <w:szCs w:val="21"/>
        </w:rPr>
        <w:t>条 合同争议解决</w:t>
      </w:r>
    </w:p>
    <w:p w14:paraId="38CD9471">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1</w:t>
      </w:r>
      <w:r>
        <w:rPr>
          <w:rFonts w:hint="eastAsia" w:cs="宋体"/>
          <w:color w:val="auto"/>
          <w:kern w:val="0"/>
          <w:szCs w:val="21"/>
        </w:rPr>
        <w:t>、</w:t>
      </w:r>
      <w:r>
        <w:rPr>
          <w:rFonts w:cs="宋体"/>
          <w:color w:val="auto"/>
          <w:kern w:val="0"/>
          <w:szCs w:val="21"/>
        </w:rPr>
        <w:t xml:space="preserve">因服务质量问题发生争议的，应邀请国家认可的质量检测机构进行鉴定。服务符合标准的，鉴定费由甲方承担；服务不符合标准的，鉴定费由乙方承担。 </w:t>
      </w:r>
    </w:p>
    <w:p w14:paraId="1C7857CA">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2</w:t>
      </w:r>
      <w:r>
        <w:rPr>
          <w:rFonts w:hint="eastAsia" w:cs="宋体"/>
          <w:color w:val="auto"/>
          <w:kern w:val="0"/>
          <w:szCs w:val="21"/>
        </w:rPr>
        <w:t>、</w:t>
      </w:r>
      <w:r>
        <w:rPr>
          <w:rFonts w:cs="宋体"/>
          <w:color w:val="auto"/>
          <w:kern w:val="0"/>
          <w:szCs w:val="21"/>
        </w:rPr>
        <w:t xml:space="preserve">因履行本合同引起的或者与本合同有关的争议，甲乙双方应首先通过友好协商解决，如果协商不能解决，可向甲方所在地有管辖权的人民法院提起诉讼。 </w:t>
      </w:r>
    </w:p>
    <w:p w14:paraId="7DB21558">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3</w:t>
      </w:r>
      <w:r>
        <w:rPr>
          <w:rFonts w:hint="eastAsia" w:cs="宋体"/>
          <w:color w:val="auto"/>
          <w:kern w:val="0"/>
          <w:szCs w:val="21"/>
        </w:rPr>
        <w:t>、</w:t>
      </w:r>
      <w:r>
        <w:rPr>
          <w:rFonts w:cs="宋体"/>
          <w:color w:val="auto"/>
          <w:kern w:val="0"/>
          <w:szCs w:val="21"/>
        </w:rPr>
        <w:t xml:space="preserve">诉讼期间，本合同继续履行。 </w:t>
      </w:r>
    </w:p>
    <w:p w14:paraId="58972149">
      <w:pPr>
        <w:widowControl/>
        <w:spacing w:line="360" w:lineRule="auto"/>
        <w:jc w:val="left"/>
        <w:rPr>
          <w:color w:val="auto"/>
          <w:szCs w:val="21"/>
        </w:rPr>
      </w:pPr>
      <w:r>
        <w:rPr>
          <w:rFonts w:cs="宋体"/>
          <w:b/>
          <w:bCs/>
          <w:color w:val="auto"/>
          <w:kern w:val="0"/>
          <w:szCs w:val="21"/>
        </w:rPr>
        <w:t>第十</w:t>
      </w:r>
      <w:r>
        <w:rPr>
          <w:rFonts w:hint="eastAsia" w:cs="宋体"/>
          <w:b/>
          <w:bCs/>
          <w:color w:val="auto"/>
          <w:kern w:val="0"/>
          <w:szCs w:val="21"/>
          <w:lang w:val="en-US" w:eastAsia="zh-CN"/>
        </w:rPr>
        <w:t>四</w:t>
      </w:r>
      <w:r>
        <w:rPr>
          <w:rFonts w:cs="宋体"/>
          <w:b/>
          <w:bCs/>
          <w:color w:val="auto"/>
          <w:kern w:val="0"/>
          <w:szCs w:val="21"/>
        </w:rPr>
        <w:t xml:space="preserve">条 合同生效及其他 </w:t>
      </w:r>
    </w:p>
    <w:p w14:paraId="58646914">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1</w:t>
      </w:r>
      <w:r>
        <w:rPr>
          <w:rFonts w:hint="eastAsia" w:cs="宋体"/>
          <w:color w:val="auto"/>
          <w:kern w:val="0"/>
          <w:szCs w:val="21"/>
        </w:rPr>
        <w:t>、</w:t>
      </w:r>
      <w:r>
        <w:rPr>
          <w:rFonts w:cs="宋体"/>
          <w:color w:val="auto"/>
          <w:kern w:val="0"/>
          <w:szCs w:val="21"/>
        </w:rPr>
        <w:t xml:space="preserve">合同自双方法定代表人或者授权代表签章并盖章之日起生效（委托代理人签字的需后附法定代表人授权委托书，格式自拟）。 </w:t>
      </w:r>
    </w:p>
    <w:p w14:paraId="6F376546">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2</w:t>
      </w:r>
      <w:r>
        <w:rPr>
          <w:rFonts w:hint="eastAsia" w:cs="宋体"/>
          <w:color w:val="auto"/>
          <w:kern w:val="0"/>
          <w:szCs w:val="21"/>
        </w:rPr>
        <w:t>、</w:t>
      </w:r>
      <w:r>
        <w:rPr>
          <w:rFonts w:cs="宋体"/>
          <w:color w:val="auto"/>
          <w:kern w:val="0"/>
          <w:szCs w:val="21"/>
        </w:rPr>
        <w:t xml:space="preserve">合同执行中涉及采购资金和采购内容修改或补充的，须经财政部门审批，并签书面补充协议报财政部门备案，方可作为主合同不可分割的一部分。 </w:t>
      </w:r>
    </w:p>
    <w:p w14:paraId="21D089CC">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3</w:t>
      </w:r>
      <w:r>
        <w:rPr>
          <w:rFonts w:hint="eastAsia" w:cs="宋体"/>
          <w:color w:val="auto"/>
          <w:kern w:val="0"/>
          <w:szCs w:val="21"/>
        </w:rPr>
        <w:t>、</w:t>
      </w:r>
      <w:r>
        <w:rPr>
          <w:rFonts w:cs="宋体"/>
          <w:color w:val="auto"/>
          <w:kern w:val="0"/>
          <w:szCs w:val="21"/>
        </w:rPr>
        <w:t xml:space="preserve">本合同未尽事宜，遵照《中华人民共和国民法典》有关条文执行。 </w:t>
      </w:r>
    </w:p>
    <w:p w14:paraId="2E3E9788">
      <w:pPr>
        <w:widowControl/>
        <w:spacing w:line="360" w:lineRule="auto"/>
        <w:jc w:val="left"/>
        <w:rPr>
          <w:color w:val="auto"/>
          <w:szCs w:val="21"/>
        </w:rPr>
      </w:pPr>
      <w:r>
        <w:rPr>
          <w:rFonts w:cs="宋体"/>
          <w:b/>
          <w:bCs/>
          <w:color w:val="auto"/>
          <w:kern w:val="0"/>
          <w:szCs w:val="21"/>
        </w:rPr>
        <w:t>第十</w:t>
      </w:r>
      <w:r>
        <w:rPr>
          <w:rFonts w:hint="eastAsia" w:cs="宋体"/>
          <w:b/>
          <w:bCs/>
          <w:color w:val="auto"/>
          <w:kern w:val="0"/>
          <w:szCs w:val="21"/>
          <w:lang w:val="en-US" w:eastAsia="zh-CN"/>
        </w:rPr>
        <w:t>五</w:t>
      </w:r>
      <w:r>
        <w:rPr>
          <w:rFonts w:cs="宋体"/>
          <w:b/>
          <w:bCs/>
          <w:color w:val="auto"/>
          <w:kern w:val="0"/>
          <w:szCs w:val="21"/>
        </w:rPr>
        <w:t xml:space="preserve">条 合同的变更、终止与转让 </w:t>
      </w:r>
    </w:p>
    <w:p w14:paraId="7D23A291">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1</w:t>
      </w:r>
      <w:r>
        <w:rPr>
          <w:rFonts w:hint="eastAsia" w:cs="宋体"/>
          <w:color w:val="auto"/>
          <w:kern w:val="0"/>
          <w:szCs w:val="21"/>
        </w:rPr>
        <w:t>、</w:t>
      </w:r>
      <w:r>
        <w:rPr>
          <w:rFonts w:cs="宋体"/>
          <w:color w:val="auto"/>
          <w:kern w:val="0"/>
          <w:szCs w:val="21"/>
        </w:rPr>
        <w:t xml:space="preserve">除《中华人民共和国政府采购法》第五十条规定的情形外，本合同一经签订，甲乙双方不得擅自变更、中止或者终止。 </w:t>
      </w:r>
    </w:p>
    <w:p w14:paraId="01A274EE">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2</w:t>
      </w:r>
      <w:r>
        <w:rPr>
          <w:rFonts w:hint="eastAsia" w:cs="宋体"/>
          <w:color w:val="auto"/>
          <w:kern w:val="0"/>
          <w:szCs w:val="21"/>
        </w:rPr>
        <w:t>、</w:t>
      </w:r>
      <w:r>
        <w:rPr>
          <w:rFonts w:cs="宋体"/>
          <w:color w:val="auto"/>
          <w:kern w:val="0"/>
          <w:szCs w:val="21"/>
        </w:rPr>
        <w:t xml:space="preserve">乙方不得擅自转让其应履行的合同义务。 </w:t>
      </w:r>
    </w:p>
    <w:p w14:paraId="0B33AECB">
      <w:pPr>
        <w:widowControl/>
        <w:spacing w:line="360" w:lineRule="auto"/>
        <w:jc w:val="left"/>
        <w:rPr>
          <w:color w:val="auto"/>
          <w:szCs w:val="21"/>
        </w:rPr>
      </w:pPr>
      <w:r>
        <w:rPr>
          <w:rFonts w:cs="宋体"/>
          <w:b/>
          <w:bCs/>
          <w:color w:val="auto"/>
          <w:kern w:val="0"/>
          <w:szCs w:val="21"/>
        </w:rPr>
        <w:t>第十</w:t>
      </w:r>
      <w:r>
        <w:rPr>
          <w:rFonts w:hint="eastAsia" w:cs="宋体"/>
          <w:b/>
          <w:bCs/>
          <w:color w:val="auto"/>
          <w:kern w:val="0"/>
          <w:szCs w:val="21"/>
          <w:lang w:val="en-US" w:eastAsia="zh-CN"/>
        </w:rPr>
        <w:t>六</w:t>
      </w:r>
      <w:r>
        <w:rPr>
          <w:rFonts w:cs="宋体"/>
          <w:b/>
          <w:bCs/>
          <w:color w:val="auto"/>
          <w:kern w:val="0"/>
          <w:szCs w:val="21"/>
        </w:rPr>
        <w:t xml:space="preserve">条 签订本合同依据 </w:t>
      </w:r>
    </w:p>
    <w:p w14:paraId="10850661">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1</w:t>
      </w:r>
      <w:r>
        <w:rPr>
          <w:rFonts w:hint="eastAsia" w:cs="宋体"/>
          <w:color w:val="auto"/>
          <w:kern w:val="0"/>
          <w:szCs w:val="21"/>
        </w:rPr>
        <w:t>、</w:t>
      </w:r>
      <w:r>
        <w:rPr>
          <w:rFonts w:hint="eastAsia" w:cs="宋体"/>
          <w:color w:val="auto"/>
          <w:kern w:val="0"/>
          <w:szCs w:val="21"/>
          <w:lang w:val="en-US" w:eastAsia="zh-CN"/>
        </w:rPr>
        <w:t>成交</w:t>
      </w:r>
      <w:r>
        <w:rPr>
          <w:rFonts w:cs="宋体"/>
          <w:color w:val="auto"/>
          <w:kern w:val="0"/>
          <w:szCs w:val="21"/>
        </w:rPr>
        <w:t xml:space="preserve">通知书； </w:t>
      </w:r>
    </w:p>
    <w:p w14:paraId="69B2B154">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2</w:t>
      </w:r>
      <w:r>
        <w:rPr>
          <w:rFonts w:hint="eastAsia" w:cs="宋体"/>
          <w:color w:val="auto"/>
          <w:kern w:val="0"/>
          <w:szCs w:val="21"/>
        </w:rPr>
        <w:t>、</w:t>
      </w:r>
      <w:r>
        <w:rPr>
          <w:rFonts w:cs="宋体"/>
          <w:color w:val="auto"/>
          <w:kern w:val="0"/>
          <w:szCs w:val="21"/>
        </w:rPr>
        <w:t xml:space="preserve">商务条款偏离表和技术需求偏离表； </w:t>
      </w:r>
    </w:p>
    <w:p w14:paraId="3B1913DE">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3</w:t>
      </w:r>
      <w:r>
        <w:rPr>
          <w:rFonts w:hint="eastAsia" w:cs="宋体"/>
          <w:color w:val="auto"/>
          <w:kern w:val="0"/>
          <w:szCs w:val="21"/>
        </w:rPr>
        <w:t>、</w:t>
      </w:r>
      <w:r>
        <w:rPr>
          <w:rFonts w:cs="宋体"/>
          <w:color w:val="auto"/>
          <w:kern w:val="0"/>
          <w:szCs w:val="21"/>
        </w:rPr>
        <w:t xml:space="preserve">售后服务方案； </w:t>
      </w:r>
    </w:p>
    <w:p w14:paraId="38BA04FA">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4</w:t>
      </w:r>
      <w:r>
        <w:rPr>
          <w:rFonts w:hint="eastAsia" w:cs="宋体"/>
          <w:color w:val="auto"/>
          <w:kern w:val="0"/>
          <w:szCs w:val="21"/>
        </w:rPr>
        <w:t>、</w:t>
      </w:r>
      <w:r>
        <w:rPr>
          <w:rFonts w:hint="eastAsia" w:cs="宋体"/>
          <w:color w:val="auto"/>
          <w:kern w:val="0"/>
          <w:szCs w:val="21"/>
          <w:lang w:val="en-US" w:eastAsia="zh-CN"/>
        </w:rPr>
        <w:t>竞争性磋商</w:t>
      </w:r>
      <w:r>
        <w:rPr>
          <w:rFonts w:cs="宋体"/>
          <w:color w:val="auto"/>
          <w:kern w:val="0"/>
          <w:szCs w:val="21"/>
        </w:rPr>
        <w:t xml:space="preserve">文件； </w:t>
      </w:r>
    </w:p>
    <w:p w14:paraId="77C7FD25">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5</w:t>
      </w:r>
      <w:r>
        <w:rPr>
          <w:rFonts w:hint="eastAsia" w:cs="宋体"/>
          <w:color w:val="auto"/>
          <w:kern w:val="0"/>
          <w:szCs w:val="21"/>
        </w:rPr>
        <w:t>、</w:t>
      </w:r>
      <w:r>
        <w:rPr>
          <w:rFonts w:hint="eastAsia" w:cs="宋体"/>
          <w:color w:val="auto"/>
          <w:kern w:val="0"/>
          <w:szCs w:val="21"/>
          <w:lang w:val="en-US" w:eastAsia="zh-CN"/>
        </w:rPr>
        <w:t>响应</w:t>
      </w:r>
      <w:r>
        <w:rPr>
          <w:rFonts w:cs="宋体"/>
          <w:color w:val="auto"/>
          <w:kern w:val="0"/>
          <w:szCs w:val="21"/>
        </w:rPr>
        <w:t xml:space="preserve">文件中的其他相关文件； </w:t>
      </w:r>
    </w:p>
    <w:p w14:paraId="33B2946C">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 xml:space="preserve">上述合同文件互相补充和解释。如果合同文件之间存在矛盾或者不一致之处，首先以本合同为准，其 次以上述文件的排列顺序在先者为准。 </w:t>
      </w:r>
    </w:p>
    <w:p w14:paraId="058CD656">
      <w:pPr>
        <w:widowControl/>
        <w:spacing w:line="360" w:lineRule="auto"/>
        <w:jc w:val="left"/>
        <w:rPr>
          <w:color w:val="auto"/>
          <w:szCs w:val="21"/>
        </w:rPr>
      </w:pPr>
      <w:r>
        <w:rPr>
          <w:rFonts w:cs="宋体"/>
          <w:b/>
          <w:bCs/>
          <w:color w:val="auto"/>
          <w:kern w:val="0"/>
          <w:szCs w:val="21"/>
        </w:rPr>
        <w:t>第十</w:t>
      </w:r>
      <w:r>
        <w:rPr>
          <w:rFonts w:hint="eastAsia" w:cs="宋体"/>
          <w:b/>
          <w:bCs/>
          <w:color w:val="auto"/>
          <w:kern w:val="0"/>
          <w:szCs w:val="21"/>
          <w:lang w:val="en-US" w:eastAsia="zh-CN"/>
        </w:rPr>
        <w:t>七</w:t>
      </w:r>
      <w:r>
        <w:rPr>
          <w:rFonts w:cs="宋体"/>
          <w:b/>
          <w:bCs/>
          <w:color w:val="auto"/>
          <w:kern w:val="0"/>
          <w:szCs w:val="21"/>
        </w:rPr>
        <w:t xml:space="preserve">条 通知 </w:t>
      </w:r>
    </w:p>
    <w:p w14:paraId="6104EF2D">
      <w:pPr>
        <w:widowControl/>
        <w:wordWrap w:val="0"/>
        <w:overflowPunct w:val="0"/>
        <w:topLinePunct/>
        <w:spacing w:line="360" w:lineRule="auto"/>
        <w:ind w:firstLine="420" w:firstLineChars="200"/>
        <w:jc w:val="left"/>
        <w:rPr>
          <w:rFonts w:cs="宋体"/>
          <w:color w:val="auto"/>
          <w:kern w:val="0"/>
          <w:szCs w:val="21"/>
        </w:rPr>
      </w:pPr>
      <w:r>
        <w:rPr>
          <w:rFonts w:cs="宋体"/>
          <w:color w:val="auto"/>
          <w:kern w:val="0"/>
          <w:szCs w:val="21"/>
        </w:rPr>
        <w:t xml:space="preserve">双方确认本合同落款通讯地址作为文书送达地址，该通讯地址适用于包括双方合同履行过程中的各类通知、协议等文件以及就合同发生争议进入诉讼、仲裁程序阶段法律文书的送达。通讯地址需要变更时应当提前 15 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 </w:t>
      </w:r>
    </w:p>
    <w:p w14:paraId="77744E6C">
      <w:pPr>
        <w:widowControl/>
        <w:spacing w:line="360" w:lineRule="auto"/>
        <w:jc w:val="left"/>
        <w:rPr>
          <w:rFonts w:cs="宋体"/>
          <w:b/>
          <w:bCs/>
          <w:color w:val="auto"/>
          <w:kern w:val="0"/>
          <w:szCs w:val="21"/>
        </w:rPr>
      </w:pPr>
      <w:r>
        <w:rPr>
          <w:rFonts w:cs="宋体"/>
          <w:b/>
          <w:bCs/>
          <w:color w:val="auto"/>
          <w:kern w:val="0"/>
          <w:szCs w:val="21"/>
        </w:rPr>
        <w:t>第十</w:t>
      </w:r>
      <w:r>
        <w:rPr>
          <w:rFonts w:hint="eastAsia" w:cs="宋体"/>
          <w:b/>
          <w:bCs/>
          <w:color w:val="auto"/>
          <w:kern w:val="0"/>
          <w:szCs w:val="21"/>
          <w:lang w:val="en-US" w:eastAsia="zh-CN"/>
        </w:rPr>
        <w:t>八</w:t>
      </w:r>
      <w:r>
        <w:rPr>
          <w:rFonts w:cs="宋体"/>
          <w:b/>
          <w:bCs/>
          <w:color w:val="auto"/>
          <w:kern w:val="0"/>
          <w:szCs w:val="21"/>
        </w:rPr>
        <w:t xml:space="preserve">条 </w:t>
      </w:r>
    </w:p>
    <w:p w14:paraId="02234F05">
      <w:pPr>
        <w:widowControl/>
        <w:spacing w:line="360" w:lineRule="auto"/>
        <w:ind w:firstLine="420" w:firstLineChars="200"/>
        <w:jc w:val="left"/>
        <w:rPr>
          <w:rFonts w:cs="宋体"/>
          <w:b/>
          <w:bCs/>
          <w:color w:val="auto"/>
          <w:kern w:val="0"/>
          <w:szCs w:val="21"/>
        </w:rPr>
      </w:pPr>
      <w:r>
        <w:rPr>
          <w:rFonts w:cs="宋体"/>
          <w:color w:val="auto"/>
          <w:kern w:val="0"/>
          <w:szCs w:val="21"/>
        </w:rPr>
        <w:t>本合同一式</w:t>
      </w:r>
      <w:r>
        <w:rPr>
          <w:rFonts w:hint="eastAsia" w:cs="宋体"/>
          <w:color w:val="auto"/>
          <w:kern w:val="0"/>
          <w:szCs w:val="21"/>
        </w:rPr>
        <w:t>伍</w:t>
      </w:r>
      <w:r>
        <w:rPr>
          <w:rFonts w:cs="宋体"/>
          <w:color w:val="auto"/>
          <w:kern w:val="0"/>
          <w:szCs w:val="21"/>
        </w:rPr>
        <w:t>份，具有同等法律效力，</w:t>
      </w:r>
      <w:r>
        <w:rPr>
          <w:rFonts w:hint="eastAsia" w:cs="宋体"/>
          <w:color w:val="auto"/>
          <w:kern w:val="0"/>
          <w:szCs w:val="21"/>
        </w:rPr>
        <w:t>甲乙双方各执贰份 ，采购代理机构壹份。</w:t>
      </w:r>
      <w:r>
        <w:rPr>
          <w:rFonts w:cs="宋体"/>
          <w:color w:val="auto"/>
          <w:kern w:val="0"/>
          <w:szCs w:val="21"/>
        </w:rPr>
        <w:t>（可根据需要另增加）</w:t>
      </w:r>
    </w:p>
    <w:tbl>
      <w:tblPr>
        <w:tblStyle w:val="28"/>
        <w:tblW w:w="50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2"/>
        <w:gridCol w:w="4685"/>
      </w:tblGrid>
      <w:tr w14:paraId="0BA5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2499" w:type="pct"/>
            <w:noWrap w:val="0"/>
            <w:vAlign w:val="top"/>
          </w:tcPr>
          <w:p w14:paraId="698A012E">
            <w:pPr>
              <w:pStyle w:val="11"/>
              <w:spacing w:line="360" w:lineRule="auto"/>
              <w:rPr>
                <w:rFonts w:cs="宋体"/>
                <w:color w:val="auto"/>
                <w:kern w:val="0"/>
                <w:szCs w:val="21"/>
              </w:rPr>
            </w:pPr>
            <w:r>
              <w:rPr>
                <w:rFonts w:cs="宋体"/>
                <w:color w:val="auto"/>
                <w:kern w:val="0"/>
                <w:szCs w:val="21"/>
              </w:rPr>
              <w:t>甲方（章）</w:t>
            </w:r>
          </w:p>
          <w:p w14:paraId="034F9CDC">
            <w:pPr>
              <w:pStyle w:val="11"/>
              <w:spacing w:line="360" w:lineRule="auto"/>
              <w:rPr>
                <w:color w:val="auto"/>
                <w:szCs w:val="21"/>
              </w:rPr>
            </w:pPr>
            <w:r>
              <w:rPr>
                <w:rFonts w:hint="eastAsia" w:cs="宋体"/>
                <w:color w:val="auto"/>
                <w:kern w:val="0"/>
                <w:szCs w:val="21"/>
              </w:rPr>
              <w:t>广西幼儿师范高等专科学校</w:t>
            </w:r>
          </w:p>
          <w:p w14:paraId="7F52B34A">
            <w:pPr>
              <w:pStyle w:val="11"/>
              <w:spacing w:line="360" w:lineRule="auto"/>
              <w:ind w:firstLine="2310" w:firstLineChars="1100"/>
              <w:rPr>
                <w:color w:val="auto"/>
                <w:szCs w:val="21"/>
              </w:rPr>
            </w:pPr>
            <w:r>
              <w:rPr>
                <w:rFonts w:cs="宋体"/>
                <w:color w:val="auto"/>
                <w:kern w:val="0"/>
                <w:szCs w:val="21"/>
              </w:rPr>
              <w:t>20</w:t>
            </w:r>
            <w:r>
              <w:rPr>
                <w:rFonts w:hint="eastAsia" w:cs="宋体"/>
                <w:color w:val="auto"/>
                <w:kern w:val="0"/>
                <w:szCs w:val="21"/>
              </w:rPr>
              <w:t>2</w:t>
            </w:r>
            <w:r>
              <w:rPr>
                <w:rFonts w:hint="eastAsia" w:cs="宋体"/>
                <w:color w:val="auto"/>
                <w:kern w:val="0"/>
                <w:szCs w:val="21"/>
                <w:lang w:val="en-US" w:eastAsia="zh-CN"/>
              </w:rPr>
              <w:t>6</w:t>
            </w:r>
            <w:r>
              <w:rPr>
                <w:rFonts w:cs="宋体"/>
                <w:color w:val="auto"/>
                <w:kern w:val="0"/>
                <w:szCs w:val="21"/>
              </w:rPr>
              <w:t xml:space="preserve"> 年</w:t>
            </w:r>
            <w:r>
              <w:rPr>
                <w:rFonts w:hint="eastAsia" w:cs="宋体"/>
                <w:color w:val="auto"/>
                <w:kern w:val="0"/>
                <w:szCs w:val="21"/>
              </w:rPr>
              <w:t xml:space="preserve">  </w:t>
            </w:r>
            <w:r>
              <w:rPr>
                <w:rFonts w:cs="宋体"/>
                <w:color w:val="auto"/>
                <w:kern w:val="0"/>
                <w:szCs w:val="21"/>
              </w:rPr>
              <w:t xml:space="preserve">月 </w:t>
            </w:r>
            <w:r>
              <w:rPr>
                <w:rFonts w:hint="eastAsia" w:cs="宋体"/>
                <w:color w:val="auto"/>
                <w:kern w:val="0"/>
                <w:szCs w:val="21"/>
              </w:rPr>
              <w:t xml:space="preserve">  </w:t>
            </w:r>
            <w:r>
              <w:rPr>
                <w:rFonts w:cs="宋体"/>
                <w:color w:val="auto"/>
                <w:kern w:val="0"/>
                <w:szCs w:val="21"/>
              </w:rPr>
              <w:t>日</w:t>
            </w:r>
          </w:p>
        </w:tc>
        <w:tc>
          <w:tcPr>
            <w:tcW w:w="2500" w:type="pct"/>
            <w:noWrap w:val="0"/>
            <w:vAlign w:val="top"/>
          </w:tcPr>
          <w:p w14:paraId="39B14850">
            <w:pPr>
              <w:pStyle w:val="11"/>
              <w:spacing w:line="360" w:lineRule="auto"/>
              <w:rPr>
                <w:color w:val="auto"/>
                <w:szCs w:val="21"/>
              </w:rPr>
            </w:pPr>
            <w:r>
              <w:rPr>
                <w:rFonts w:cs="宋体"/>
                <w:color w:val="auto"/>
                <w:kern w:val="0"/>
                <w:szCs w:val="21"/>
              </w:rPr>
              <w:t>乙方（章）</w:t>
            </w:r>
          </w:p>
          <w:p w14:paraId="4B9B06BF">
            <w:pPr>
              <w:pStyle w:val="11"/>
              <w:spacing w:line="360" w:lineRule="auto"/>
              <w:ind w:firstLine="2310" w:firstLineChars="1100"/>
              <w:rPr>
                <w:color w:val="auto"/>
                <w:szCs w:val="21"/>
              </w:rPr>
            </w:pPr>
            <w:r>
              <w:rPr>
                <w:rFonts w:cs="宋体"/>
                <w:color w:val="auto"/>
                <w:kern w:val="0"/>
                <w:szCs w:val="21"/>
              </w:rPr>
              <w:t>202</w:t>
            </w:r>
            <w:r>
              <w:rPr>
                <w:rFonts w:hint="eastAsia" w:cs="宋体"/>
                <w:color w:val="auto"/>
                <w:kern w:val="0"/>
                <w:szCs w:val="21"/>
                <w:lang w:val="en-US" w:eastAsia="zh-CN"/>
              </w:rPr>
              <w:t>6</w:t>
            </w:r>
            <w:r>
              <w:rPr>
                <w:rFonts w:cs="宋体"/>
                <w:color w:val="auto"/>
                <w:kern w:val="0"/>
                <w:szCs w:val="21"/>
              </w:rPr>
              <w:t xml:space="preserve"> 年</w:t>
            </w:r>
            <w:r>
              <w:rPr>
                <w:rFonts w:hint="eastAsia" w:cs="宋体"/>
                <w:color w:val="auto"/>
                <w:kern w:val="0"/>
                <w:szCs w:val="21"/>
              </w:rPr>
              <w:t xml:space="preserve">  </w:t>
            </w:r>
            <w:r>
              <w:rPr>
                <w:rFonts w:cs="宋体"/>
                <w:color w:val="auto"/>
                <w:kern w:val="0"/>
                <w:szCs w:val="21"/>
              </w:rPr>
              <w:t xml:space="preserve">月 </w:t>
            </w:r>
            <w:r>
              <w:rPr>
                <w:rFonts w:hint="eastAsia" w:cs="宋体"/>
                <w:color w:val="auto"/>
                <w:kern w:val="0"/>
                <w:szCs w:val="21"/>
              </w:rPr>
              <w:t xml:space="preserve">  </w:t>
            </w:r>
            <w:r>
              <w:rPr>
                <w:rFonts w:cs="宋体"/>
                <w:color w:val="auto"/>
                <w:kern w:val="0"/>
                <w:szCs w:val="21"/>
              </w:rPr>
              <w:t>日</w:t>
            </w:r>
          </w:p>
        </w:tc>
      </w:tr>
      <w:tr w14:paraId="2301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499" w:type="pct"/>
            <w:noWrap w:val="0"/>
            <w:vAlign w:val="top"/>
          </w:tcPr>
          <w:p w14:paraId="1964914E">
            <w:pPr>
              <w:pStyle w:val="11"/>
              <w:spacing w:line="360" w:lineRule="auto"/>
              <w:rPr>
                <w:color w:val="auto"/>
                <w:szCs w:val="21"/>
              </w:rPr>
            </w:pPr>
            <w:r>
              <w:rPr>
                <w:rFonts w:cs="宋体"/>
                <w:color w:val="auto"/>
                <w:kern w:val="0"/>
                <w:szCs w:val="21"/>
              </w:rPr>
              <w:t>单位地址：</w:t>
            </w:r>
          </w:p>
        </w:tc>
        <w:tc>
          <w:tcPr>
            <w:tcW w:w="2500" w:type="pct"/>
            <w:noWrap w:val="0"/>
            <w:vAlign w:val="top"/>
          </w:tcPr>
          <w:p w14:paraId="6CB8EBE8">
            <w:pPr>
              <w:pStyle w:val="11"/>
              <w:spacing w:line="360" w:lineRule="auto"/>
              <w:rPr>
                <w:color w:val="auto"/>
                <w:szCs w:val="21"/>
              </w:rPr>
            </w:pPr>
            <w:r>
              <w:rPr>
                <w:rFonts w:cs="宋体"/>
                <w:color w:val="auto"/>
                <w:kern w:val="0"/>
                <w:szCs w:val="21"/>
              </w:rPr>
              <w:t>单位地址：</w:t>
            </w:r>
          </w:p>
        </w:tc>
      </w:tr>
      <w:tr w14:paraId="553D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499" w:type="pct"/>
            <w:noWrap w:val="0"/>
            <w:vAlign w:val="top"/>
          </w:tcPr>
          <w:p w14:paraId="03C605EE">
            <w:pPr>
              <w:pStyle w:val="11"/>
              <w:spacing w:line="360" w:lineRule="auto"/>
              <w:rPr>
                <w:color w:val="auto"/>
                <w:szCs w:val="21"/>
              </w:rPr>
            </w:pPr>
            <w:r>
              <w:rPr>
                <w:rFonts w:cs="宋体"/>
                <w:color w:val="auto"/>
                <w:kern w:val="0"/>
                <w:szCs w:val="21"/>
              </w:rPr>
              <w:t>法定代表人：</w:t>
            </w:r>
          </w:p>
        </w:tc>
        <w:tc>
          <w:tcPr>
            <w:tcW w:w="2500" w:type="pct"/>
            <w:noWrap w:val="0"/>
            <w:vAlign w:val="top"/>
          </w:tcPr>
          <w:p w14:paraId="52D13D6C">
            <w:pPr>
              <w:pStyle w:val="11"/>
              <w:spacing w:line="360" w:lineRule="auto"/>
              <w:rPr>
                <w:color w:val="auto"/>
                <w:szCs w:val="21"/>
              </w:rPr>
            </w:pPr>
            <w:r>
              <w:rPr>
                <w:rFonts w:cs="宋体"/>
                <w:color w:val="auto"/>
                <w:kern w:val="0"/>
                <w:szCs w:val="21"/>
              </w:rPr>
              <w:t>法定代表人：</w:t>
            </w:r>
          </w:p>
        </w:tc>
      </w:tr>
      <w:tr w14:paraId="6B78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499" w:type="pct"/>
            <w:noWrap w:val="0"/>
            <w:vAlign w:val="top"/>
          </w:tcPr>
          <w:p w14:paraId="393B45F2">
            <w:pPr>
              <w:pStyle w:val="11"/>
              <w:spacing w:line="360" w:lineRule="auto"/>
              <w:rPr>
                <w:color w:val="auto"/>
                <w:szCs w:val="21"/>
              </w:rPr>
            </w:pPr>
            <w:r>
              <w:rPr>
                <w:rFonts w:cs="宋体"/>
                <w:color w:val="auto"/>
                <w:kern w:val="0"/>
                <w:szCs w:val="21"/>
              </w:rPr>
              <w:t>委托代理人：</w:t>
            </w:r>
          </w:p>
        </w:tc>
        <w:tc>
          <w:tcPr>
            <w:tcW w:w="2500" w:type="pct"/>
            <w:noWrap w:val="0"/>
            <w:vAlign w:val="top"/>
          </w:tcPr>
          <w:p w14:paraId="27914E7F">
            <w:pPr>
              <w:pStyle w:val="11"/>
              <w:spacing w:line="360" w:lineRule="auto"/>
              <w:rPr>
                <w:color w:val="auto"/>
                <w:szCs w:val="21"/>
              </w:rPr>
            </w:pPr>
            <w:r>
              <w:rPr>
                <w:rFonts w:cs="宋体"/>
                <w:color w:val="auto"/>
                <w:kern w:val="0"/>
                <w:szCs w:val="21"/>
              </w:rPr>
              <w:t>委托代理人：</w:t>
            </w:r>
          </w:p>
        </w:tc>
      </w:tr>
      <w:tr w14:paraId="09C0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499" w:type="pct"/>
            <w:noWrap w:val="0"/>
            <w:vAlign w:val="top"/>
          </w:tcPr>
          <w:p w14:paraId="169B9483">
            <w:pPr>
              <w:pStyle w:val="11"/>
              <w:spacing w:line="360" w:lineRule="auto"/>
              <w:rPr>
                <w:color w:val="auto"/>
                <w:szCs w:val="21"/>
              </w:rPr>
            </w:pPr>
            <w:r>
              <w:rPr>
                <w:rFonts w:cs="宋体"/>
                <w:color w:val="auto"/>
                <w:kern w:val="0"/>
                <w:szCs w:val="21"/>
              </w:rPr>
              <w:t>电话：</w:t>
            </w:r>
          </w:p>
        </w:tc>
        <w:tc>
          <w:tcPr>
            <w:tcW w:w="2500" w:type="pct"/>
            <w:noWrap w:val="0"/>
            <w:vAlign w:val="top"/>
          </w:tcPr>
          <w:p w14:paraId="4C75CCD6">
            <w:pPr>
              <w:pStyle w:val="11"/>
              <w:spacing w:line="360" w:lineRule="auto"/>
              <w:rPr>
                <w:color w:val="auto"/>
                <w:szCs w:val="21"/>
              </w:rPr>
            </w:pPr>
            <w:r>
              <w:rPr>
                <w:rFonts w:cs="宋体"/>
                <w:color w:val="auto"/>
                <w:kern w:val="0"/>
                <w:szCs w:val="21"/>
              </w:rPr>
              <w:t>电话：</w:t>
            </w:r>
          </w:p>
        </w:tc>
      </w:tr>
      <w:tr w14:paraId="06CF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499" w:type="pct"/>
            <w:noWrap w:val="0"/>
            <w:vAlign w:val="top"/>
          </w:tcPr>
          <w:p w14:paraId="3DD72C28">
            <w:pPr>
              <w:pStyle w:val="11"/>
              <w:spacing w:line="360" w:lineRule="auto"/>
              <w:rPr>
                <w:color w:val="auto"/>
                <w:szCs w:val="21"/>
              </w:rPr>
            </w:pPr>
            <w:r>
              <w:rPr>
                <w:rFonts w:cs="宋体"/>
                <w:color w:val="auto"/>
                <w:kern w:val="0"/>
                <w:szCs w:val="21"/>
              </w:rPr>
              <w:t>电子邮箱：</w:t>
            </w:r>
          </w:p>
        </w:tc>
        <w:tc>
          <w:tcPr>
            <w:tcW w:w="2500" w:type="pct"/>
            <w:noWrap w:val="0"/>
            <w:vAlign w:val="top"/>
          </w:tcPr>
          <w:p w14:paraId="2215385F">
            <w:pPr>
              <w:pStyle w:val="11"/>
              <w:spacing w:line="360" w:lineRule="auto"/>
              <w:rPr>
                <w:color w:val="auto"/>
                <w:szCs w:val="21"/>
              </w:rPr>
            </w:pPr>
            <w:r>
              <w:rPr>
                <w:rFonts w:cs="宋体"/>
                <w:color w:val="auto"/>
                <w:kern w:val="0"/>
                <w:szCs w:val="21"/>
              </w:rPr>
              <w:t>电子邮箱：</w:t>
            </w:r>
          </w:p>
        </w:tc>
      </w:tr>
      <w:tr w14:paraId="5E3A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499" w:type="pct"/>
            <w:noWrap w:val="0"/>
            <w:vAlign w:val="top"/>
          </w:tcPr>
          <w:p w14:paraId="3F55101D">
            <w:pPr>
              <w:pStyle w:val="11"/>
              <w:spacing w:line="360" w:lineRule="auto"/>
              <w:rPr>
                <w:color w:val="auto"/>
                <w:szCs w:val="21"/>
              </w:rPr>
            </w:pPr>
            <w:r>
              <w:rPr>
                <w:rFonts w:cs="宋体"/>
                <w:color w:val="auto"/>
                <w:kern w:val="0"/>
                <w:szCs w:val="21"/>
              </w:rPr>
              <w:t>开户银行：</w:t>
            </w:r>
          </w:p>
        </w:tc>
        <w:tc>
          <w:tcPr>
            <w:tcW w:w="2500" w:type="pct"/>
            <w:noWrap w:val="0"/>
            <w:vAlign w:val="top"/>
          </w:tcPr>
          <w:p w14:paraId="45D584BC">
            <w:pPr>
              <w:pStyle w:val="11"/>
              <w:spacing w:line="360" w:lineRule="auto"/>
              <w:rPr>
                <w:color w:val="auto"/>
                <w:szCs w:val="21"/>
              </w:rPr>
            </w:pPr>
            <w:r>
              <w:rPr>
                <w:rFonts w:cs="宋体"/>
                <w:color w:val="auto"/>
                <w:kern w:val="0"/>
                <w:szCs w:val="21"/>
              </w:rPr>
              <w:t>开户银行：</w:t>
            </w:r>
          </w:p>
        </w:tc>
      </w:tr>
      <w:tr w14:paraId="4244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499" w:type="pct"/>
            <w:noWrap w:val="0"/>
            <w:vAlign w:val="top"/>
          </w:tcPr>
          <w:p w14:paraId="3CD52253">
            <w:pPr>
              <w:pStyle w:val="11"/>
              <w:spacing w:line="360" w:lineRule="auto"/>
              <w:rPr>
                <w:color w:val="auto"/>
                <w:szCs w:val="21"/>
              </w:rPr>
            </w:pPr>
            <w:r>
              <w:rPr>
                <w:rFonts w:cs="宋体"/>
                <w:color w:val="auto"/>
                <w:kern w:val="0"/>
                <w:szCs w:val="21"/>
              </w:rPr>
              <w:t>账号：</w:t>
            </w:r>
          </w:p>
        </w:tc>
        <w:tc>
          <w:tcPr>
            <w:tcW w:w="2500" w:type="pct"/>
            <w:noWrap w:val="0"/>
            <w:vAlign w:val="top"/>
          </w:tcPr>
          <w:p w14:paraId="1A8B341C">
            <w:pPr>
              <w:pStyle w:val="11"/>
              <w:spacing w:line="360" w:lineRule="auto"/>
              <w:rPr>
                <w:color w:val="auto"/>
                <w:szCs w:val="21"/>
              </w:rPr>
            </w:pPr>
            <w:r>
              <w:rPr>
                <w:rFonts w:cs="宋体"/>
                <w:color w:val="auto"/>
                <w:kern w:val="0"/>
                <w:szCs w:val="21"/>
              </w:rPr>
              <w:t>账号：</w:t>
            </w:r>
          </w:p>
        </w:tc>
      </w:tr>
      <w:tr w14:paraId="5A7D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499" w:type="pct"/>
            <w:noWrap w:val="0"/>
            <w:vAlign w:val="top"/>
          </w:tcPr>
          <w:p w14:paraId="0B8C73FE">
            <w:pPr>
              <w:pStyle w:val="11"/>
              <w:spacing w:line="360" w:lineRule="auto"/>
              <w:rPr>
                <w:rFonts w:cs="宋体"/>
                <w:color w:val="auto"/>
                <w:kern w:val="0"/>
                <w:szCs w:val="21"/>
              </w:rPr>
            </w:pPr>
            <w:r>
              <w:rPr>
                <w:rFonts w:cs="宋体"/>
                <w:color w:val="auto"/>
                <w:kern w:val="0"/>
                <w:szCs w:val="21"/>
              </w:rPr>
              <w:t>统一社会信用代码：</w:t>
            </w:r>
          </w:p>
        </w:tc>
        <w:tc>
          <w:tcPr>
            <w:tcW w:w="2500" w:type="pct"/>
            <w:noWrap w:val="0"/>
            <w:vAlign w:val="top"/>
          </w:tcPr>
          <w:p w14:paraId="434924C0">
            <w:pPr>
              <w:pStyle w:val="11"/>
              <w:spacing w:line="360" w:lineRule="auto"/>
              <w:rPr>
                <w:color w:val="auto"/>
                <w:szCs w:val="21"/>
              </w:rPr>
            </w:pPr>
            <w:r>
              <w:rPr>
                <w:rFonts w:cs="宋体"/>
                <w:color w:val="auto"/>
                <w:kern w:val="0"/>
                <w:szCs w:val="21"/>
              </w:rPr>
              <w:t>统一社会信用代码：</w:t>
            </w:r>
          </w:p>
        </w:tc>
      </w:tr>
    </w:tbl>
    <w:p w14:paraId="45009705">
      <w:pPr>
        <w:spacing w:line="460" w:lineRule="exact"/>
        <w:rPr>
          <w:rFonts w:ascii="宋体" w:hAnsi="宋体" w:cs="宋体"/>
          <w:b/>
          <w:bCs/>
          <w:color w:val="auto"/>
          <w:kern w:val="0"/>
          <w:sz w:val="24"/>
        </w:rPr>
      </w:pPr>
      <w:r>
        <w:rPr>
          <w:rFonts w:hint="eastAsia" w:ascii="宋体" w:hAnsi="宋体" w:cs="宋体"/>
          <w:b/>
          <w:bCs/>
          <w:color w:val="auto"/>
          <w:kern w:val="0"/>
          <w:sz w:val="24"/>
        </w:rPr>
        <w:br w:type="page"/>
      </w:r>
    </w:p>
    <w:p w14:paraId="13242950">
      <w:pPr>
        <w:jc w:val="center"/>
        <w:rPr>
          <w:rFonts w:ascii="宋体" w:hAnsi="宋体" w:cs="宋体"/>
          <w:color w:val="auto"/>
          <w:sz w:val="32"/>
          <w:szCs w:val="32"/>
        </w:rPr>
      </w:pPr>
      <w:r>
        <w:rPr>
          <w:rFonts w:hint="eastAsia" w:ascii="宋体" w:hAnsi="宋体" w:cs="宋体"/>
          <w:b/>
          <w:bCs/>
          <w:color w:val="auto"/>
          <w:kern w:val="0"/>
          <w:sz w:val="32"/>
          <w:szCs w:val="32"/>
        </w:rPr>
        <w:t>广西幼儿师范高等专科学校采购项目履约保证金退付意见书</w:t>
      </w:r>
    </w:p>
    <w:p w14:paraId="042787EF">
      <w:pPr>
        <w:snapToGrid w:val="0"/>
        <w:spacing w:line="400" w:lineRule="exact"/>
        <w:jc w:val="center"/>
        <w:rPr>
          <w:rFonts w:ascii="宋体" w:hAnsi="宋体" w:cs="宋体"/>
          <w:b/>
          <w:color w:val="auto"/>
          <w:sz w:val="24"/>
        </w:rPr>
      </w:pPr>
    </w:p>
    <w:tbl>
      <w:tblPr>
        <w:tblStyle w:val="27"/>
        <w:tblW w:w="89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7174"/>
      </w:tblGrid>
      <w:tr w14:paraId="4082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30" w:type="dxa"/>
            <w:vMerge w:val="restart"/>
            <w:vAlign w:val="center"/>
          </w:tcPr>
          <w:p w14:paraId="2D676399">
            <w:pPr>
              <w:jc w:val="center"/>
              <w:rPr>
                <w:rFonts w:ascii="宋体" w:hAnsi="宋体"/>
                <w:color w:val="auto"/>
                <w:sz w:val="24"/>
              </w:rPr>
            </w:pPr>
            <w:r>
              <w:rPr>
                <w:rFonts w:hint="eastAsia" w:ascii="宋体" w:hAnsi="宋体"/>
                <w:color w:val="auto"/>
                <w:sz w:val="24"/>
              </w:rPr>
              <w:t>供应商申请</w:t>
            </w:r>
          </w:p>
        </w:tc>
        <w:tc>
          <w:tcPr>
            <w:tcW w:w="7174" w:type="dxa"/>
            <w:vAlign w:val="center"/>
          </w:tcPr>
          <w:p w14:paraId="71BAEF13">
            <w:pPr>
              <w:rPr>
                <w:rFonts w:ascii="宋体" w:hAnsi="宋体"/>
                <w:color w:val="auto"/>
                <w:sz w:val="24"/>
              </w:rPr>
            </w:pPr>
            <w:r>
              <w:rPr>
                <w:rFonts w:hint="eastAsia" w:ascii="宋体" w:hAnsi="宋体"/>
                <w:color w:val="auto"/>
                <w:sz w:val="24"/>
              </w:rPr>
              <w:t>项目名称：</w:t>
            </w:r>
          </w:p>
        </w:tc>
      </w:tr>
      <w:tr w14:paraId="49B4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30" w:type="dxa"/>
            <w:vMerge w:val="continue"/>
          </w:tcPr>
          <w:p w14:paraId="6ECB7536">
            <w:pPr>
              <w:rPr>
                <w:rFonts w:ascii="宋体" w:hAnsi="宋体"/>
                <w:color w:val="auto"/>
                <w:sz w:val="24"/>
              </w:rPr>
            </w:pPr>
          </w:p>
        </w:tc>
        <w:tc>
          <w:tcPr>
            <w:tcW w:w="7174" w:type="dxa"/>
            <w:vAlign w:val="center"/>
          </w:tcPr>
          <w:p w14:paraId="63C94489">
            <w:pPr>
              <w:rPr>
                <w:rFonts w:ascii="宋体" w:hAnsi="宋体"/>
                <w:color w:val="auto"/>
                <w:sz w:val="24"/>
              </w:rPr>
            </w:pPr>
            <w:r>
              <w:rPr>
                <w:rFonts w:hint="eastAsia" w:ascii="宋体" w:hAnsi="宋体"/>
                <w:color w:val="auto"/>
                <w:sz w:val="24"/>
              </w:rPr>
              <w:t>合同编号：</w:t>
            </w:r>
          </w:p>
        </w:tc>
      </w:tr>
      <w:tr w14:paraId="2381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5" w:hRule="atLeast"/>
        </w:trPr>
        <w:tc>
          <w:tcPr>
            <w:tcW w:w="1730" w:type="dxa"/>
            <w:vMerge w:val="continue"/>
          </w:tcPr>
          <w:p w14:paraId="2CC749F2">
            <w:pPr>
              <w:rPr>
                <w:rFonts w:ascii="宋体" w:hAnsi="宋体"/>
                <w:color w:val="auto"/>
                <w:sz w:val="24"/>
              </w:rPr>
            </w:pPr>
          </w:p>
        </w:tc>
        <w:tc>
          <w:tcPr>
            <w:tcW w:w="7174" w:type="dxa"/>
          </w:tcPr>
          <w:p w14:paraId="589B060F">
            <w:pPr>
              <w:rPr>
                <w:rFonts w:ascii="宋体" w:hAnsi="宋体"/>
                <w:color w:val="auto"/>
                <w:sz w:val="24"/>
              </w:rPr>
            </w:pPr>
          </w:p>
          <w:p w14:paraId="0F7D3BAA">
            <w:pPr>
              <w:ind w:firstLine="600" w:firstLineChars="250"/>
              <w:rPr>
                <w:rFonts w:ascii="宋体" w:hAnsi="宋体"/>
                <w:color w:val="auto"/>
                <w:sz w:val="24"/>
              </w:rPr>
            </w:pPr>
            <w:r>
              <w:rPr>
                <w:rFonts w:hint="eastAsia" w:ascii="宋体" w:hAnsi="宋体"/>
                <w:color w:val="auto"/>
                <w:sz w:val="24"/>
              </w:rPr>
              <w:t>该项目已于   年    月   日按合同要求履约完成。根据合同规定，可将履约保证金（大写）人民币</w:t>
            </w:r>
            <w:r>
              <w:rPr>
                <w:rFonts w:hint="eastAsia" w:ascii="宋体" w:hAnsi="宋体"/>
                <w:color w:val="auto"/>
                <w:sz w:val="24"/>
                <w:u w:val="single"/>
              </w:rPr>
              <w:t xml:space="preserve">                  </w:t>
            </w:r>
            <w:r>
              <w:rPr>
                <w:rFonts w:hint="eastAsia" w:ascii="宋体" w:hAnsi="宋体"/>
                <w:color w:val="auto"/>
                <w:sz w:val="24"/>
              </w:rPr>
              <w:t>（小写）￥</w:t>
            </w:r>
            <w:r>
              <w:rPr>
                <w:rFonts w:hint="eastAsia" w:ascii="宋体" w:hAnsi="宋体"/>
                <w:color w:val="auto"/>
                <w:sz w:val="24"/>
                <w:u w:val="single"/>
              </w:rPr>
              <w:t xml:space="preserve">            </w:t>
            </w:r>
            <w:r>
              <w:rPr>
                <w:rFonts w:ascii="宋体" w:hAnsi="宋体"/>
                <w:color w:val="auto"/>
                <w:sz w:val="24"/>
                <w:u w:val="single"/>
              </w:rPr>
              <w:t>.00</w:t>
            </w:r>
            <w:r>
              <w:rPr>
                <w:rFonts w:hint="eastAsia" w:ascii="宋体" w:hAnsi="宋体"/>
                <w:color w:val="auto"/>
                <w:sz w:val="24"/>
              </w:rPr>
              <w:t>退付到达以下账户：</w:t>
            </w:r>
          </w:p>
          <w:p w14:paraId="47307C45">
            <w:pPr>
              <w:rPr>
                <w:rFonts w:ascii="宋体" w:hAnsi="宋体"/>
                <w:color w:val="auto"/>
                <w:sz w:val="24"/>
              </w:rPr>
            </w:pPr>
          </w:p>
          <w:p w14:paraId="18D05E28">
            <w:pPr>
              <w:spacing w:line="420" w:lineRule="exact"/>
              <w:rPr>
                <w:rFonts w:ascii="宋体" w:hAnsi="宋体"/>
                <w:color w:val="auto"/>
                <w:sz w:val="24"/>
              </w:rPr>
            </w:pPr>
            <w:r>
              <w:rPr>
                <w:rFonts w:hint="eastAsia" w:ascii="宋体" w:hAnsi="宋体"/>
                <w:color w:val="auto"/>
                <w:sz w:val="24"/>
              </w:rPr>
              <w:t>单位名称：</w:t>
            </w:r>
          </w:p>
          <w:p w14:paraId="2F0768C7">
            <w:pPr>
              <w:spacing w:line="420" w:lineRule="exact"/>
              <w:rPr>
                <w:rFonts w:ascii="宋体" w:hAnsi="宋体"/>
                <w:color w:val="auto"/>
                <w:sz w:val="24"/>
              </w:rPr>
            </w:pPr>
            <w:r>
              <w:rPr>
                <w:rFonts w:hint="eastAsia" w:ascii="宋体" w:hAnsi="宋体"/>
                <w:color w:val="auto"/>
                <w:sz w:val="24"/>
              </w:rPr>
              <w:t>开户银行：</w:t>
            </w:r>
          </w:p>
          <w:p w14:paraId="2BD659C9">
            <w:pPr>
              <w:spacing w:line="420" w:lineRule="exact"/>
              <w:rPr>
                <w:rFonts w:ascii="宋体" w:hAnsi="宋体"/>
                <w:color w:val="auto"/>
                <w:sz w:val="24"/>
              </w:rPr>
            </w:pPr>
            <w:r>
              <w:rPr>
                <w:rFonts w:hint="eastAsia" w:ascii="宋体" w:hAnsi="宋体"/>
                <w:color w:val="auto"/>
                <w:sz w:val="24"/>
              </w:rPr>
              <w:t>银行账号：</w:t>
            </w:r>
          </w:p>
          <w:p w14:paraId="0B5D3DDA">
            <w:pPr>
              <w:rPr>
                <w:rFonts w:ascii="宋体" w:hAnsi="宋体"/>
                <w:color w:val="auto"/>
                <w:sz w:val="24"/>
              </w:rPr>
            </w:pPr>
          </w:p>
          <w:p w14:paraId="31C39756">
            <w:pPr>
              <w:spacing w:line="420" w:lineRule="exact"/>
              <w:rPr>
                <w:rFonts w:ascii="宋体" w:hAnsi="宋体"/>
                <w:color w:val="auto"/>
                <w:sz w:val="24"/>
              </w:rPr>
            </w:pPr>
            <w:r>
              <w:rPr>
                <w:rFonts w:hint="eastAsia" w:ascii="宋体" w:hAnsi="宋体"/>
                <w:color w:val="auto"/>
                <w:sz w:val="24"/>
              </w:rPr>
              <w:t>联系人：</w:t>
            </w:r>
          </w:p>
          <w:p w14:paraId="0EE50EEE">
            <w:pPr>
              <w:spacing w:line="420" w:lineRule="exact"/>
              <w:rPr>
                <w:rFonts w:ascii="宋体" w:hAnsi="宋体"/>
                <w:color w:val="auto"/>
                <w:sz w:val="24"/>
              </w:rPr>
            </w:pPr>
            <w:r>
              <w:rPr>
                <w:rFonts w:hint="eastAsia" w:ascii="宋体" w:hAnsi="宋体"/>
                <w:color w:val="auto"/>
                <w:sz w:val="24"/>
              </w:rPr>
              <w:t>联系电话：</w:t>
            </w:r>
          </w:p>
          <w:p w14:paraId="3384843A">
            <w:pPr>
              <w:rPr>
                <w:rFonts w:ascii="宋体" w:hAnsi="宋体"/>
                <w:color w:val="auto"/>
                <w:sz w:val="24"/>
              </w:rPr>
            </w:pPr>
          </w:p>
          <w:p w14:paraId="4061C6D3">
            <w:pPr>
              <w:spacing w:line="420" w:lineRule="exact"/>
              <w:rPr>
                <w:rFonts w:ascii="宋体" w:hAnsi="宋体"/>
                <w:color w:val="auto"/>
                <w:sz w:val="24"/>
                <w:u w:val="single"/>
              </w:rPr>
            </w:pPr>
            <w:r>
              <w:rPr>
                <w:rFonts w:hint="eastAsia" w:ascii="宋体" w:hAnsi="宋体"/>
                <w:color w:val="auto"/>
                <w:sz w:val="24"/>
              </w:rPr>
              <w:t xml:space="preserve">                                 供应商（签章）：</w:t>
            </w:r>
          </w:p>
          <w:p w14:paraId="06955F7B">
            <w:pPr>
              <w:spacing w:line="420" w:lineRule="exact"/>
              <w:rPr>
                <w:rFonts w:ascii="宋体" w:hAnsi="宋体"/>
                <w:color w:val="auto"/>
                <w:sz w:val="24"/>
              </w:rPr>
            </w:pPr>
            <w:r>
              <w:rPr>
                <w:rFonts w:hint="eastAsia" w:ascii="宋体" w:hAnsi="宋体"/>
                <w:color w:val="auto"/>
                <w:sz w:val="24"/>
              </w:rPr>
              <w:t xml:space="preserve">                              </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6174810F">
            <w:pPr>
              <w:rPr>
                <w:rFonts w:ascii="宋体" w:hAnsi="宋体"/>
                <w:color w:val="auto"/>
                <w:sz w:val="24"/>
              </w:rPr>
            </w:pPr>
          </w:p>
        </w:tc>
      </w:tr>
      <w:tr w14:paraId="5EB5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trPr>
        <w:tc>
          <w:tcPr>
            <w:tcW w:w="1730" w:type="dxa"/>
            <w:vAlign w:val="center"/>
          </w:tcPr>
          <w:p w14:paraId="6DA10D34">
            <w:pPr>
              <w:jc w:val="center"/>
              <w:rPr>
                <w:rFonts w:ascii="宋体" w:hAnsi="宋体"/>
                <w:color w:val="auto"/>
                <w:sz w:val="24"/>
              </w:rPr>
            </w:pPr>
            <w:r>
              <w:rPr>
                <w:rFonts w:hint="eastAsia" w:ascii="宋体" w:hAnsi="宋体"/>
                <w:color w:val="auto"/>
                <w:sz w:val="24"/>
              </w:rPr>
              <w:t>使用单位</w:t>
            </w:r>
          </w:p>
          <w:p w14:paraId="0EA9B0AE">
            <w:pPr>
              <w:jc w:val="center"/>
              <w:rPr>
                <w:rFonts w:ascii="宋体" w:hAnsi="宋体"/>
                <w:color w:val="auto"/>
                <w:sz w:val="24"/>
              </w:rPr>
            </w:pPr>
            <w:r>
              <w:rPr>
                <w:rFonts w:hint="eastAsia" w:ascii="宋体" w:hAnsi="宋体"/>
                <w:color w:val="auto"/>
                <w:sz w:val="24"/>
              </w:rPr>
              <w:t>意见</w:t>
            </w:r>
          </w:p>
        </w:tc>
        <w:tc>
          <w:tcPr>
            <w:tcW w:w="7174" w:type="dxa"/>
          </w:tcPr>
          <w:p w14:paraId="2E5BFD2A">
            <w:pPr>
              <w:rPr>
                <w:rFonts w:ascii="宋体" w:hAnsi="宋体"/>
                <w:color w:val="auto"/>
                <w:sz w:val="24"/>
              </w:rPr>
            </w:pPr>
            <w:r>
              <w:rPr>
                <w:rFonts w:hint="eastAsia" w:ascii="宋体" w:hAnsi="宋体"/>
                <w:color w:val="auto"/>
                <w:sz w:val="24"/>
              </w:rPr>
              <w:t>（退付意见：是否同意退付履约保证金）</w:t>
            </w:r>
          </w:p>
          <w:p w14:paraId="053BFF3E">
            <w:pPr>
              <w:spacing w:line="420" w:lineRule="exact"/>
              <w:rPr>
                <w:rFonts w:ascii="宋体" w:hAnsi="宋体"/>
                <w:color w:val="auto"/>
                <w:sz w:val="24"/>
              </w:rPr>
            </w:pPr>
          </w:p>
          <w:p w14:paraId="72606F37">
            <w:pPr>
              <w:spacing w:line="420" w:lineRule="exact"/>
              <w:rPr>
                <w:rFonts w:ascii="宋体" w:hAnsi="宋体"/>
                <w:color w:val="auto"/>
                <w:sz w:val="24"/>
              </w:rPr>
            </w:pPr>
            <w:r>
              <w:rPr>
                <w:rFonts w:hint="eastAsia" w:ascii="宋体" w:hAnsi="宋体"/>
                <w:color w:val="auto"/>
                <w:sz w:val="24"/>
              </w:rPr>
              <w:t>项目负责人意见：</w:t>
            </w:r>
          </w:p>
          <w:p w14:paraId="3DAC2D60">
            <w:pPr>
              <w:spacing w:line="420" w:lineRule="exact"/>
              <w:rPr>
                <w:rFonts w:ascii="宋体" w:hAnsi="宋体"/>
                <w:color w:val="auto"/>
                <w:sz w:val="24"/>
              </w:rPr>
            </w:pPr>
          </w:p>
          <w:p w14:paraId="225447E1">
            <w:pPr>
              <w:spacing w:line="420" w:lineRule="exact"/>
              <w:rPr>
                <w:rFonts w:ascii="宋体" w:hAnsi="宋体"/>
                <w:color w:val="auto"/>
                <w:sz w:val="24"/>
              </w:rPr>
            </w:pPr>
            <w:r>
              <w:rPr>
                <w:rFonts w:hint="eastAsia" w:ascii="宋体" w:hAnsi="宋体"/>
                <w:color w:val="auto"/>
                <w:sz w:val="24"/>
              </w:rPr>
              <w:t>联系人：</w:t>
            </w:r>
          </w:p>
          <w:p w14:paraId="4393547F">
            <w:pPr>
              <w:spacing w:line="420" w:lineRule="exact"/>
              <w:rPr>
                <w:rFonts w:ascii="宋体" w:hAnsi="宋体"/>
                <w:color w:val="auto"/>
                <w:sz w:val="24"/>
              </w:rPr>
            </w:pPr>
            <w:r>
              <w:rPr>
                <w:rFonts w:hint="eastAsia" w:ascii="宋体" w:hAnsi="宋体"/>
                <w:color w:val="auto"/>
                <w:sz w:val="24"/>
              </w:rPr>
              <w:t>联系电话：</w:t>
            </w:r>
          </w:p>
          <w:p w14:paraId="79B89A58">
            <w:pPr>
              <w:rPr>
                <w:rFonts w:ascii="宋体" w:hAnsi="宋体"/>
                <w:color w:val="auto"/>
                <w:sz w:val="24"/>
              </w:rPr>
            </w:pPr>
          </w:p>
          <w:p w14:paraId="75B15ED7">
            <w:pPr>
              <w:rPr>
                <w:rFonts w:ascii="宋体" w:hAnsi="宋体"/>
                <w:color w:val="auto"/>
                <w:sz w:val="24"/>
                <w:u w:val="single"/>
              </w:rPr>
            </w:pPr>
            <w:r>
              <w:rPr>
                <w:rFonts w:hint="eastAsia" w:ascii="宋体" w:hAnsi="宋体"/>
                <w:color w:val="auto"/>
                <w:sz w:val="24"/>
              </w:rPr>
              <w:t xml:space="preserve">                                   单位（签章）：</w:t>
            </w:r>
          </w:p>
          <w:p w14:paraId="4F906994">
            <w:pPr>
              <w:spacing w:line="420" w:lineRule="exact"/>
              <w:rPr>
                <w:rFonts w:ascii="宋体" w:hAnsi="宋体"/>
                <w:color w:val="auto"/>
                <w:sz w:val="24"/>
              </w:rPr>
            </w:pPr>
            <w:r>
              <w:rPr>
                <w:rFonts w:hint="eastAsia" w:ascii="宋体" w:hAnsi="宋体"/>
                <w:color w:val="auto"/>
                <w:sz w:val="24"/>
              </w:rPr>
              <w:t xml:space="preserve">                               </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tc>
      </w:tr>
      <w:tr w14:paraId="0C5A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6" w:hRule="atLeast"/>
        </w:trPr>
        <w:tc>
          <w:tcPr>
            <w:tcW w:w="1730" w:type="dxa"/>
            <w:vAlign w:val="center"/>
          </w:tcPr>
          <w:p w14:paraId="6EC85DBA">
            <w:pPr>
              <w:jc w:val="center"/>
              <w:rPr>
                <w:rFonts w:ascii="宋体" w:hAnsi="宋体"/>
                <w:color w:val="auto"/>
                <w:sz w:val="24"/>
              </w:rPr>
            </w:pPr>
            <w:r>
              <w:rPr>
                <w:rFonts w:hint="eastAsia" w:ascii="宋体" w:hAnsi="宋体"/>
                <w:color w:val="auto"/>
                <w:sz w:val="24"/>
              </w:rPr>
              <w:t>国有资产与实验室管理处（招标与采购管理中心）意见</w:t>
            </w:r>
          </w:p>
        </w:tc>
        <w:tc>
          <w:tcPr>
            <w:tcW w:w="7174" w:type="dxa"/>
          </w:tcPr>
          <w:p w14:paraId="1DAF9B85">
            <w:pPr>
              <w:rPr>
                <w:rFonts w:ascii="宋体" w:hAnsi="宋体"/>
                <w:color w:val="auto"/>
                <w:sz w:val="24"/>
              </w:rPr>
            </w:pPr>
          </w:p>
          <w:p w14:paraId="12C6198C">
            <w:pPr>
              <w:rPr>
                <w:rFonts w:ascii="宋体" w:hAnsi="宋体"/>
                <w:color w:val="auto"/>
                <w:sz w:val="24"/>
              </w:rPr>
            </w:pPr>
          </w:p>
          <w:p w14:paraId="6EC8D0DF">
            <w:pPr>
              <w:rPr>
                <w:rFonts w:ascii="宋体" w:hAnsi="宋体"/>
                <w:color w:val="auto"/>
                <w:sz w:val="24"/>
              </w:rPr>
            </w:pPr>
          </w:p>
          <w:p w14:paraId="3F28B0E9">
            <w:pPr>
              <w:rPr>
                <w:rFonts w:ascii="宋体" w:hAnsi="宋体"/>
                <w:color w:val="auto"/>
                <w:sz w:val="24"/>
              </w:rPr>
            </w:pPr>
            <w:r>
              <w:rPr>
                <w:rFonts w:hint="eastAsia" w:ascii="宋体" w:hAnsi="宋体"/>
                <w:color w:val="auto"/>
                <w:sz w:val="24"/>
              </w:rPr>
              <w:t xml:space="preserve">                  </w:t>
            </w:r>
          </w:p>
          <w:p w14:paraId="6B5BD9F4">
            <w:pPr>
              <w:rPr>
                <w:rFonts w:ascii="宋体" w:hAnsi="宋体"/>
                <w:color w:val="auto"/>
                <w:sz w:val="24"/>
              </w:rPr>
            </w:pPr>
          </w:p>
          <w:p w14:paraId="7820A00F">
            <w:pPr>
              <w:ind w:firstLine="4080" w:firstLineChars="1700"/>
              <w:rPr>
                <w:rFonts w:ascii="宋体" w:hAnsi="宋体"/>
                <w:color w:val="auto"/>
                <w:sz w:val="24"/>
              </w:rPr>
            </w:pPr>
            <w:r>
              <w:rPr>
                <w:rFonts w:hint="eastAsia" w:ascii="宋体" w:hAnsi="宋体"/>
                <w:color w:val="auto"/>
                <w:sz w:val="24"/>
              </w:rPr>
              <w:t>单位（签章）：</w:t>
            </w:r>
          </w:p>
          <w:p w14:paraId="4A846776">
            <w:pPr>
              <w:rPr>
                <w:rFonts w:ascii="宋体" w:hAnsi="宋体"/>
                <w:color w:val="auto"/>
                <w:sz w:val="24"/>
              </w:rPr>
            </w:pPr>
            <w:r>
              <w:rPr>
                <w:rFonts w:hint="eastAsia" w:ascii="宋体" w:hAnsi="宋体"/>
                <w:color w:val="auto"/>
                <w:sz w:val="24"/>
              </w:rPr>
              <w:t xml:space="preserve">                                </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tc>
      </w:tr>
    </w:tbl>
    <w:p w14:paraId="736AE470">
      <w:pPr>
        <w:snapToGrid w:val="0"/>
        <w:spacing w:line="360" w:lineRule="auto"/>
        <w:rPr>
          <w:rFonts w:ascii="宋体" w:hAnsi="宋体" w:cs="宋体"/>
          <w:color w:val="auto"/>
          <w:sz w:val="24"/>
        </w:rPr>
      </w:pPr>
    </w:p>
    <w:sectPr>
      <w:footerReference r:id="rId6" w:type="first"/>
      <w:pgSz w:w="11905" w:h="16838"/>
      <w:pgMar w:top="1417" w:right="1417" w:bottom="1417" w:left="1417" w:header="850" w:footer="992" w:gutter="0"/>
      <w:cols w:space="720" w:num="1"/>
      <w:titlePg/>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DE60C21-7BA1-4270-BFCA-2F3F066F2FA5}"/>
  </w:font>
  <w:font w:name="Arial">
    <w:panose1 w:val="020B0604020202020204"/>
    <w:charset w:val="01"/>
    <w:family w:val="swiss"/>
    <w:pitch w:val="default"/>
    <w:sig w:usb0="E0002EFF" w:usb1="C000785B" w:usb2="00000009" w:usb3="00000000" w:csb0="400001FF" w:csb1="FFFF0000"/>
    <w:embedRegular r:id="rId2" w:fontKey="{8C76CF1F-520B-4DE1-9660-56D6F537491D}"/>
  </w:font>
  <w:font w:name="黑体">
    <w:panose1 w:val="02010609060101010101"/>
    <w:charset w:val="86"/>
    <w:family w:val="auto"/>
    <w:pitch w:val="default"/>
    <w:sig w:usb0="800002BF" w:usb1="38CF7CFA" w:usb2="00000016" w:usb3="00000000" w:csb0="00040001" w:csb1="00000000"/>
    <w:embedRegular r:id="rId3" w:fontKey="{5A4DC2C9-1257-40E4-86F1-E2D921EAC05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9F4BECF9-2E4C-42B1-89E3-986765B5F932}"/>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EF58DFB6-EEA5-4F48-85A8-6540DAE9D1A7}"/>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方正书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embedRegular r:id="rId6" w:fontKey="{CE9A2071-FA92-46D3-B3B1-4DD59CCA63CC}"/>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FFFFFFF" w:usb1="E9FFFFFF" w:usb2="0000003F" w:usb3="00000000" w:csb0="603F01FF" w:csb1="FFFF0000"/>
    <w:embedRegular r:id="rId7" w:fontKey="{ECEE7099-3D23-42F5-8CD3-7B77EB331E21}"/>
  </w:font>
  <w:font w:name="楷体">
    <w:panose1 w:val="02010609060101010101"/>
    <w:charset w:val="86"/>
    <w:family w:val="modern"/>
    <w:pitch w:val="default"/>
    <w:sig w:usb0="800002BF" w:usb1="38CF7CFA" w:usb2="00000016" w:usb3="00000000" w:csb0="00040001" w:csb1="00000000"/>
    <w:embedRegular r:id="rId8" w:fontKey="{D5780F6C-D058-4856-873C-884CC774CE2F}"/>
  </w:font>
  <w:font w:name="Segoe UI Symbol">
    <w:panose1 w:val="020B0502040204020203"/>
    <w:charset w:val="00"/>
    <w:family w:val="swiss"/>
    <w:pitch w:val="default"/>
    <w:sig w:usb0="800001E3" w:usb1="1200FFEF" w:usb2="00040000" w:usb3="04000000" w:csb0="00000001" w:csb1="40000000"/>
    <w:embedRegular r:id="rId9" w:fontKey="{4E095FB6-CD0C-41FF-B56B-F7353619FA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62DB0">
    <w:pPr>
      <w:pStyle w:val="18"/>
      <w:jc w:val="center"/>
    </w:pPr>
    <w:r>
      <w:fldChar w:fldCharType="begin"/>
    </w:r>
    <w:r>
      <w:instrText xml:space="preserve"> PAGE   \* MERGEFORMAT </w:instrText>
    </w:r>
    <w:r>
      <w:fldChar w:fldCharType="separate"/>
    </w:r>
    <w:r>
      <w:rPr>
        <w:lang w:val="zh-CN"/>
      </w:rPr>
      <w:t>1</w:t>
    </w:r>
    <w:r>
      <w:fldChar w:fldCharType="end"/>
    </w:r>
  </w:p>
  <w:p w14:paraId="6C630D1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0AE0B">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E52B18">
                          <w:pPr>
                            <w:pStyle w:val="1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1E52B18">
                    <w:pPr>
                      <w:pStyle w:val="1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98B54">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A68905">
                          <w:pPr>
                            <w:pStyle w:val="18"/>
                          </w:pPr>
                          <w:r>
                            <w:rPr>
                              <w:rFonts w:hint="eastAsia"/>
                            </w:rPr>
                            <w:fldChar w:fldCharType="begin"/>
                          </w:r>
                          <w:r>
                            <w:rPr>
                              <w:rFonts w:hint="eastAsia"/>
                            </w:rPr>
                            <w:instrText xml:space="preserve"> PAGE  \* MERGEFORMAT </w:instrText>
                          </w:r>
                          <w:r>
                            <w:rPr>
                              <w:rFonts w:hint="eastAsia"/>
                            </w:rPr>
                            <w:fldChar w:fldCharType="separate"/>
                          </w:r>
                          <w:r>
                            <w:t>124</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u4xfsUBAACQ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JiPVAP/2ELFw7iehjlBTMRxUZjQtVdqEP+856+lH2v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M7uMX7FAQAAkAMAAA4AAAAAAAAAAQAgAAAAHgEAAGRycy9lMm9Eb2MueG1s&#10;UEsFBgAAAAAGAAYAWQEAAFUFAAAAAA==&#10;">
              <v:fill on="f" focussize="0,0"/>
              <v:stroke on="f"/>
              <v:imagedata o:title=""/>
              <o:lock v:ext="edit" aspectratio="f"/>
              <v:textbox inset="0mm,0mm,0mm,0mm" style="mso-fit-shape-to-text:t;">
                <w:txbxContent>
                  <w:p w14:paraId="02A68905">
                    <w:pPr>
                      <w:pStyle w:val="18"/>
                    </w:pPr>
                    <w:r>
                      <w:rPr>
                        <w:rFonts w:hint="eastAsia"/>
                      </w:rPr>
                      <w:fldChar w:fldCharType="begin"/>
                    </w:r>
                    <w:r>
                      <w:rPr>
                        <w:rFonts w:hint="eastAsia"/>
                      </w:rPr>
                      <w:instrText xml:space="preserve"> PAGE  \* MERGEFORMAT </w:instrText>
                    </w:r>
                    <w:r>
                      <w:rPr>
                        <w:rFonts w:hint="eastAsia"/>
                      </w:rPr>
                      <w:fldChar w:fldCharType="separate"/>
                    </w:r>
                    <w:r>
                      <w:t>124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1E07F">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013FD7"/>
    <w:multiLevelType w:val="singleLevel"/>
    <w:tmpl w:val="F3013FD7"/>
    <w:lvl w:ilvl="0" w:tentative="0">
      <w:start w:val="1"/>
      <w:numFmt w:val="chineseCounting"/>
      <w:suff w:val="space"/>
      <w:lvlText w:val="第%1条"/>
      <w:lvlJc w:val="left"/>
      <w:rPr>
        <w:rFonts w:hint="eastAsia"/>
      </w:rPr>
    </w:lvl>
  </w:abstractNum>
  <w:abstractNum w:abstractNumId="1">
    <w:nsid w:val="FF353C0A"/>
    <w:multiLevelType w:val="singleLevel"/>
    <w:tmpl w:val="FF353C0A"/>
    <w:lvl w:ilvl="0" w:tentative="0">
      <w:start w:val="1"/>
      <w:numFmt w:val="decimal"/>
      <w:lvlText w:val="%1."/>
      <w:lvlJc w:val="left"/>
      <w:pPr>
        <w:tabs>
          <w:tab w:val="left" w:pos="312"/>
        </w:tabs>
      </w:pPr>
    </w:lvl>
  </w:abstractNum>
  <w:abstractNum w:abstractNumId="2">
    <w:nsid w:val="61BF1AE8"/>
    <w:multiLevelType w:val="multilevel"/>
    <w:tmpl w:val="61BF1AE8"/>
    <w:lvl w:ilvl="0" w:tentative="0">
      <w:start w:val="1"/>
      <w:numFmt w:val="japaneseCounting"/>
      <w:lvlText w:val="第%1章"/>
      <w:lvlJc w:val="left"/>
      <w:pPr>
        <w:ind w:left="1545" w:hanging="154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lZWE4NGM4OTliODc5MjQyODg4MzM0MTNlMjk3ODUifQ=="/>
  </w:docVars>
  <w:rsids>
    <w:rsidRoot w:val="00F34B14"/>
    <w:rsid w:val="00000672"/>
    <w:rsid w:val="00001799"/>
    <w:rsid w:val="000022D9"/>
    <w:rsid w:val="00002D29"/>
    <w:rsid w:val="000040C5"/>
    <w:rsid w:val="000045C6"/>
    <w:rsid w:val="00004A8A"/>
    <w:rsid w:val="0000574C"/>
    <w:rsid w:val="00005B07"/>
    <w:rsid w:val="00005E55"/>
    <w:rsid w:val="00005FDF"/>
    <w:rsid w:val="00006586"/>
    <w:rsid w:val="000065BA"/>
    <w:rsid w:val="0001045D"/>
    <w:rsid w:val="00010D39"/>
    <w:rsid w:val="000112BB"/>
    <w:rsid w:val="0001149B"/>
    <w:rsid w:val="0001172C"/>
    <w:rsid w:val="00012854"/>
    <w:rsid w:val="00012E50"/>
    <w:rsid w:val="00012EA6"/>
    <w:rsid w:val="000139DC"/>
    <w:rsid w:val="00013D8C"/>
    <w:rsid w:val="00013DFE"/>
    <w:rsid w:val="00013F03"/>
    <w:rsid w:val="000141EA"/>
    <w:rsid w:val="00014385"/>
    <w:rsid w:val="00014D2F"/>
    <w:rsid w:val="000159F6"/>
    <w:rsid w:val="00016960"/>
    <w:rsid w:val="00017396"/>
    <w:rsid w:val="000177DB"/>
    <w:rsid w:val="00020227"/>
    <w:rsid w:val="000203E4"/>
    <w:rsid w:val="00020455"/>
    <w:rsid w:val="00020CCE"/>
    <w:rsid w:val="00022731"/>
    <w:rsid w:val="00022792"/>
    <w:rsid w:val="00022A07"/>
    <w:rsid w:val="000242CE"/>
    <w:rsid w:val="00025382"/>
    <w:rsid w:val="00025636"/>
    <w:rsid w:val="00025E36"/>
    <w:rsid w:val="00026627"/>
    <w:rsid w:val="00026886"/>
    <w:rsid w:val="0002793A"/>
    <w:rsid w:val="00030496"/>
    <w:rsid w:val="000329E0"/>
    <w:rsid w:val="000333A0"/>
    <w:rsid w:val="00034060"/>
    <w:rsid w:val="000352E9"/>
    <w:rsid w:val="00036A07"/>
    <w:rsid w:val="00036E33"/>
    <w:rsid w:val="00036FAD"/>
    <w:rsid w:val="00037363"/>
    <w:rsid w:val="00037E2D"/>
    <w:rsid w:val="00040571"/>
    <w:rsid w:val="0004156E"/>
    <w:rsid w:val="00041597"/>
    <w:rsid w:val="00041800"/>
    <w:rsid w:val="0004440C"/>
    <w:rsid w:val="00045880"/>
    <w:rsid w:val="000462CB"/>
    <w:rsid w:val="00046B5E"/>
    <w:rsid w:val="0004783A"/>
    <w:rsid w:val="000509D9"/>
    <w:rsid w:val="0005398D"/>
    <w:rsid w:val="000552A6"/>
    <w:rsid w:val="00055D41"/>
    <w:rsid w:val="000569C7"/>
    <w:rsid w:val="00057CEC"/>
    <w:rsid w:val="00060DCE"/>
    <w:rsid w:val="00061A5A"/>
    <w:rsid w:val="000623B4"/>
    <w:rsid w:val="000634A3"/>
    <w:rsid w:val="000634A7"/>
    <w:rsid w:val="00063E85"/>
    <w:rsid w:val="00063F81"/>
    <w:rsid w:val="00064847"/>
    <w:rsid w:val="0006484B"/>
    <w:rsid w:val="000673E2"/>
    <w:rsid w:val="000703B6"/>
    <w:rsid w:val="000711E4"/>
    <w:rsid w:val="000719F9"/>
    <w:rsid w:val="0007228C"/>
    <w:rsid w:val="000722D1"/>
    <w:rsid w:val="00072AED"/>
    <w:rsid w:val="00073B38"/>
    <w:rsid w:val="00073F47"/>
    <w:rsid w:val="00075B7E"/>
    <w:rsid w:val="00077C70"/>
    <w:rsid w:val="00080B57"/>
    <w:rsid w:val="00081BA3"/>
    <w:rsid w:val="00081D2E"/>
    <w:rsid w:val="00081E30"/>
    <w:rsid w:val="0008267B"/>
    <w:rsid w:val="00082D02"/>
    <w:rsid w:val="000833E9"/>
    <w:rsid w:val="00083B91"/>
    <w:rsid w:val="0008520B"/>
    <w:rsid w:val="000871B8"/>
    <w:rsid w:val="00087DB6"/>
    <w:rsid w:val="000913BE"/>
    <w:rsid w:val="000918F8"/>
    <w:rsid w:val="00092442"/>
    <w:rsid w:val="00094183"/>
    <w:rsid w:val="00095233"/>
    <w:rsid w:val="0009588E"/>
    <w:rsid w:val="000959EE"/>
    <w:rsid w:val="00095B51"/>
    <w:rsid w:val="00097DA0"/>
    <w:rsid w:val="000A0D6B"/>
    <w:rsid w:val="000A1389"/>
    <w:rsid w:val="000A166E"/>
    <w:rsid w:val="000A2B0E"/>
    <w:rsid w:val="000A398F"/>
    <w:rsid w:val="000A509C"/>
    <w:rsid w:val="000A5516"/>
    <w:rsid w:val="000A6007"/>
    <w:rsid w:val="000A65A6"/>
    <w:rsid w:val="000A7275"/>
    <w:rsid w:val="000A7A12"/>
    <w:rsid w:val="000A7CA5"/>
    <w:rsid w:val="000B039A"/>
    <w:rsid w:val="000B1801"/>
    <w:rsid w:val="000B1D0C"/>
    <w:rsid w:val="000B2D03"/>
    <w:rsid w:val="000B3815"/>
    <w:rsid w:val="000B3C7B"/>
    <w:rsid w:val="000B5B24"/>
    <w:rsid w:val="000B666F"/>
    <w:rsid w:val="000B6C95"/>
    <w:rsid w:val="000C06D3"/>
    <w:rsid w:val="000C0C58"/>
    <w:rsid w:val="000C1679"/>
    <w:rsid w:val="000C2F89"/>
    <w:rsid w:val="000C30BB"/>
    <w:rsid w:val="000C366E"/>
    <w:rsid w:val="000C3B94"/>
    <w:rsid w:val="000C4635"/>
    <w:rsid w:val="000C548E"/>
    <w:rsid w:val="000C5698"/>
    <w:rsid w:val="000C5775"/>
    <w:rsid w:val="000C6DE4"/>
    <w:rsid w:val="000C716B"/>
    <w:rsid w:val="000C7C12"/>
    <w:rsid w:val="000D01EB"/>
    <w:rsid w:val="000D056E"/>
    <w:rsid w:val="000D0675"/>
    <w:rsid w:val="000D0A89"/>
    <w:rsid w:val="000D1389"/>
    <w:rsid w:val="000D1798"/>
    <w:rsid w:val="000D1A2A"/>
    <w:rsid w:val="000D1A53"/>
    <w:rsid w:val="000D2626"/>
    <w:rsid w:val="000D2B7D"/>
    <w:rsid w:val="000D4A06"/>
    <w:rsid w:val="000D6DCD"/>
    <w:rsid w:val="000D73DD"/>
    <w:rsid w:val="000D7D9B"/>
    <w:rsid w:val="000E18E2"/>
    <w:rsid w:val="000E28AB"/>
    <w:rsid w:val="000E28C1"/>
    <w:rsid w:val="000E2E3E"/>
    <w:rsid w:val="000E33C5"/>
    <w:rsid w:val="000E3583"/>
    <w:rsid w:val="000E3AF0"/>
    <w:rsid w:val="000E3D53"/>
    <w:rsid w:val="000E4E04"/>
    <w:rsid w:val="000E684C"/>
    <w:rsid w:val="000E6EC9"/>
    <w:rsid w:val="000E70B4"/>
    <w:rsid w:val="000F06FC"/>
    <w:rsid w:val="000F0742"/>
    <w:rsid w:val="000F3281"/>
    <w:rsid w:val="000F3733"/>
    <w:rsid w:val="000F4D88"/>
    <w:rsid w:val="000F4FC9"/>
    <w:rsid w:val="000F64AA"/>
    <w:rsid w:val="000F7AF4"/>
    <w:rsid w:val="000F7C33"/>
    <w:rsid w:val="000F7F0C"/>
    <w:rsid w:val="00100246"/>
    <w:rsid w:val="001004D6"/>
    <w:rsid w:val="00100D90"/>
    <w:rsid w:val="00102309"/>
    <w:rsid w:val="00102ECA"/>
    <w:rsid w:val="00103918"/>
    <w:rsid w:val="00104889"/>
    <w:rsid w:val="00104897"/>
    <w:rsid w:val="00104D7E"/>
    <w:rsid w:val="00104EDE"/>
    <w:rsid w:val="00105AA1"/>
    <w:rsid w:val="00105FAC"/>
    <w:rsid w:val="00106BEE"/>
    <w:rsid w:val="00110339"/>
    <w:rsid w:val="00110C92"/>
    <w:rsid w:val="00113134"/>
    <w:rsid w:val="00113AC0"/>
    <w:rsid w:val="00114851"/>
    <w:rsid w:val="00115E11"/>
    <w:rsid w:val="00115F56"/>
    <w:rsid w:val="00117CBD"/>
    <w:rsid w:val="0012006A"/>
    <w:rsid w:val="00120990"/>
    <w:rsid w:val="001217B5"/>
    <w:rsid w:val="00121979"/>
    <w:rsid w:val="00122064"/>
    <w:rsid w:val="0012378B"/>
    <w:rsid w:val="00123B26"/>
    <w:rsid w:val="00125004"/>
    <w:rsid w:val="001263B8"/>
    <w:rsid w:val="00126763"/>
    <w:rsid w:val="00130217"/>
    <w:rsid w:val="00130783"/>
    <w:rsid w:val="00130990"/>
    <w:rsid w:val="001312CB"/>
    <w:rsid w:val="00132B47"/>
    <w:rsid w:val="00132E64"/>
    <w:rsid w:val="00134816"/>
    <w:rsid w:val="001351CB"/>
    <w:rsid w:val="001359A2"/>
    <w:rsid w:val="00135E37"/>
    <w:rsid w:val="00136020"/>
    <w:rsid w:val="00136445"/>
    <w:rsid w:val="0013746E"/>
    <w:rsid w:val="001374F3"/>
    <w:rsid w:val="00140132"/>
    <w:rsid w:val="00141C9C"/>
    <w:rsid w:val="00142668"/>
    <w:rsid w:val="001434BE"/>
    <w:rsid w:val="00144275"/>
    <w:rsid w:val="0014479F"/>
    <w:rsid w:val="001452B4"/>
    <w:rsid w:val="00146EC6"/>
    <w:rsid w:val="001478D2"/>
    <w:rsid w:val="00151C48"/>
    <w:rsid w:val="00152A87"/>
    <w:rsid w:val="00154486"/>
    <w:rsid w:val="00154663"/>
    <w:rsid w:val="00156D0E"/>
    <w:rsid w:val="00156DD9"/>
    <w:rsid w:val="0016086E"/>
    <w:rsid w:val="00160D0C"/>
    <w:rsid w:val="00161172"/>
    <w:rsid w:val="0016139E"/>
    <w:rsid w:val="00161E65"/>
    <w:rsid w:val="00162597"/>
    <w:rsid w:val="001629AF"/>
    <w:rsid w:val="00162C1D"/>
    <w:rsid w:val="001633A3"/>
    <w:rsid w:val="0016428A"/>
    <w:rsid w:val="001647C9"/>
    <w:rsid w:val="00164837"/>
    <w:rsid w:val="001661A3"/>
    <w:rsid w:val="0016782B"/>
    <w:rsid w:val="00170B05"/>
    <w:rsid w:val="00173256"/>
    <w:rsid w:val="001733E1"/>
    <w:rsid w:val="00173F74"/>
    <w:rsid w:val="00175086"/>
    <w:rsid w:val="00175BA6"/>
    <w:rsid w:val="0017617F"/>
    <w:rsid w:val="00176CA7"/>
    <w:rsid w:val="001778C5"/>
    <w:rsid w:val="00177E56"/>
    <w:rsid w:val="00177F0A"/>
    <w:rsid w:val="00183852"/>
    <w:rsid w:val="00185617"/>
    <w:rsid w:val="00186ADE"/>
    <w:rsid w:val="00187F35"/>
    <w:rsid w:val="0019171E"/>
    <w:rsid w:val="0019220F"/>
    <w:rsid w:val="001928B1"/>
    <w:rsid w:val="00194ED5"/>
    <w:rsid w:val="00195424"/>
    <w:rsid w:val="001955FF"/>
    <w:rsid w:val="0019692F"/>
    <w:rsid w:val="00197EDD"/>
    <w:rsid w:val="00197F70"/>
    <w:rsid w:val="001A02B3"/>
    <w:rsid w:val="001A0322"/>
    <w:rsid w:val="001A04BB"/>
    <w:rsid w:val="001A08D0"/>
    <w:rsid w:val="001A14B1"/>
    <w:rsid w:val="001A1B39"/>
    <w:rsid w:val="001A1E51"/>
    <w:rsid w:val="001A2492"/>
    <w:rsid w:val="001A2E69"/>
    <w:rsid w:val="001A3C34"/>
    <w:rsid w:val="001A3EDE"/>
    <w:rsid w:val="001A4222"/>
    <w:rsid w:val="001A50EA"/>
    <w:rsid w:val="001A5E24"/>
    <w:rsid w:val="001A6D8B"/>
    <w:rsid w:val="001B079E"/>
    <w:rsid w:val="001B0CDA"/>
    <w:rsid w:val="001B0E26"/>
    <w:rsid w:val="001B125A"/>
    <w:rsid w:val="001B1EBA"/>
    <w:rsid w:val="001B2142"/>
    <w:rsid w:val="001B26CF"/>
    <w:rsid w:val="001B2F2B"/>
    <w:rsid w:val="001B327A"/>
    <w:rsid w:val="001B35DE"/>
    <w:rsid w:val="001B3A13"/>
    <w:rsid w:val="001B59FF"/>
    <w:rsid w:val="001B636D"/>
    <w:rsid w:val="001B65D7"/>
    <w:rsid w:val="001B6752"/>
    <w:rsid w:val="001B6768"/>
    <w:rsid w:val="001B6F1F"/>
    <w:rsid w:val="001B7ECC"/>
    <w:rsid w:val="001C25A7"/>
    <w:rsid w:val="001C318C"/>
    <w:rsid w:val="001C38B0"/>
    <w:rsid w:val="001C4287"/>
    <w:rsid w:val="001C4479"/>
    <w:rsid w:val="001C76B7"/>
    <w:rsid w:val="001C76FB"/>
    <w:rsid w:val="001D1165"/>
    <w:rsid w:val="001D2764"/>
    <w:rsid w:val="001D324F"/>
    <w:rsid w:val="001D3697"/>
    <w:rsid w:val="001D51DE"/>
    <w:rsid w:val="001D540E"/>
    <w:rsid w:val="001D58A1"/>
    <w:rsid w:val="001D5A8A"/>
    <w:rsid w:val="001D735E"/>
    <w:rsid w:val="001D73C8"/>
    <w:rsid w:val="001D74D4"/>
    <w:rsid w:val="001D756D"/>
    <w:rsid w:val="001D778C"/>
    <w:rsid w:val="001D7E1F"/>
    <w:rsid w:val="001E0756"/>
    <w:rsid w:val="001E0A8D"/>
    <w:rsid w:val="001E0FFB"/>
    <w:rsid w:val="001E129E"/>
    <w:rsid w:val="001E1F33"/>
    <w:rsid w:val="001E2B9F"/>
    <w:rsid w:val="001E30C0"/>
    <w:rsid w:val="001E3221"/>
    <w:rsid w:val="001E33BA"/>
    <w:rsid w:val="001E49F2"/>
    <w:rsid w:val="001E4A8D"/>
    <w:rsid w:val="001E5A94"/>
    <w:rsid w:val="001E6D88"/>
    <w:rsid w:val="001E7648"/>
    <w:rsid w:val="001F127B"/>
    <w:rsid w:val="001F15A8"/>
    <w:rsid w:val="001F2A2E"/>
    <w:rsid w:val="001F3B72"/>
    <w:rsid w:val="001F3C63"/>
    <w:rsid w:val="001F4460"/>
    <w:rsid w:val="001F5DAF"/>
    <w:rsid w:val="001F637C"/>
    <w:rsid w:val="001F6B6C"/>
    <w:rsid w:val="001F711A"/>
    <w:rsid w:val="001F75B0"/>
    <w:rsid w:val="001F7686"/>
    <w:rsid w:val="0020035F"/>
    <w:rsid w:val="0020072B"/>
    <w:rsid w:val="00200CE5"/>
    <w:rsid w:val="002014DB"/>
    <w:rsid w:val="00201E12"/>
    <w:rsid w:val="00202AEC"/>
    <w:rsid w:val="002031E2"/>
    <w:rsid w:val="002033B5"/>
    <w:rsid w:val="0020382C"/>
    <w:rsid w:val="0020437A"/>
    <w:rsid w:val="00204B5F"/>
    <w:rsid w:val="0020532C"/>
    <w:rsid w:val="00205D23"/>
    <w:rsid w:val="0021064F"/>
    <w:rsid w:val="002114C7"/>
    <w:rsid w:val="00212756"/>
    <w:rsid w:val="00212D97"/>
    <w:rsid w:val="0021302C"/>
    <w:rsid w:val="00213045"/>
    <w:rsid w:val="00213483"/>
    <w:rsid w:val="00213B1C"/>
    <w:rsid w:val="00214202"/>
    <w:rsid w:val="002146F3"/>
    <w:rsid w:val="002148E3"/>
    <w:rsid w:val="00215373"/>
    <w:rsid w:val="0021552D"/>
    <w:rsid w:val="002156AE"/>
    <w:rsid w:val="002177BD"/>
    <w:rsid w:val="00217861"/>
    <w:rsid w:val="0022054D"/>
    <w:rsid w:val="00220949"/>
    <w:rsid w:val="002225FA"/>
    <w:rsid w:val="0022413B"/>
    <w:rsid w:val="00224DE1"/>
    <w:rsid w:val="002255B2"/>
    <w:rsid w:val="00225664"/>
    <w:rsid w:val="00226463"/>
    <w:rsid w:val="002269DC"/>
    <w:rsid w:val="00227C28"/>
    <w:rsid w:val="00227F2D"/>
    <w:rsid w:val="00231851"/>
    <w:rsid w:val="002319FB"/>
    <w:rsid w:val="00231B89"/>
    <w:rsid w:val="00231B8E"/>
    <w:rsid w:val="00233727"/>
    <w:rsid w:val="002355BE"/>
    <w:rsid w:val="00236D82"/>
    <w:rsid w:val="00236DE9"/>
    <w:rsid w:val="00237D5A"/>
    <w:rsid w:val="00241300"/>
    <w:rsid w:val="00241D3C"/>
    <w:rsid w:val="002439AB"/>
    <w:rsid w:val="002442F6"/>
    <w:rsid w:val="002450D5"/>
    <w:rsid w:val="00245587"/>
    <w:rsid w:val="002458A7"/>
    <w:rsid w:val="00245F2B"/>
    <w:rsid w:val="00246F95"/>
    <w:rsid w:val="0024703E"/>
    <w:rsid w:val="00247676"/>
    <w:rsid w:val="00247F3A"/>
    <w:rsid w:val="00250122"/>
    <w:rsid w:val="00250755"/>
    <w:rsid w:val="00250AE3"/>
    <w:rsid w:val="00251C4A"/>
    <w:rsid w:val="0025271C"/>
    <w:rsid w:val="00252A91"/>
    <w:rsid w:val="00252C5C"/>
    <w:rsid w:val="002533CD"/>
    <w:rsid w:val="002544C1"/>
    <w:rsid w:val="00254EAB"/>
    <w:rsid w:val="002557AF"/>
    <w:rsid w:val="00256474"/>
    <w:rsid w:val="002566B1"/>
    <w:rsid w:val="002575E3"/>
    <w:rsid w:val="002603C1"/>
    <w:rsid w:val="002609A1"/>
    <w:rsid w:val="002612B1"/>
    <w:rsid w:val="0026327C"/>
    <w:rsid w:val="00265600"/>
    <w:rsid w:val="00266165"/>
    <w:rsid w:val="002666A1"/>
    <w:rsid w:val="0026782A"/>
    <w:rsid w:val="002708B3"/>
    <w:rsid w:val="0027125E"/>
    <w:rsid w:val="00271767"/>
    <w:rsid w:val="002719C1"/>
    <w:rsid w:val="00272293"/>
    <w:rsid w:val="002723C8"/>
    <w:rsid w:val="00273379"/>
    <w:rsid w:val="00273CBE"/>
    <w:rsid w:val="00277F24"/>
    <w:rsid w:val="00280240"/>
    <w:rsid w:val="002802D7"/>
    <w:rsid w:val="0028232C"/>
    <w:rsid w:val="002827F1"/>
    <w:rsid w:val="00282EC3"/>
    <w:rsid w:val="002835B0"/>
    <w:rsid w:val="0028407E"/>
    <w:rsid w:val="0028410F"/>
    <w:rsid w:val="002854BF"/>
    <w:rsid w:val="00286603"/>
    <w:rsid w:val="00286A98"/>
    <w:rsid w:val="00286FB5"/>
    <w:rsid w:val="00287763"/>
    <w:rsid w:val="00290606"/>
    <w:rsid w:val="00290F9D"/>
    <w:rsid w:val="002918A7"/>
    <w:rsid w:val="00291D6D"/>
    <w:rsid w:val="00291FF1"/>
    <w:rsid w:val="002923F6"/>
    <w:rsid w:val="00293361"/>
    <w:rsid w:val="00293BAA"/>
    <w:rsid w:val="00294AE8"/>
    <w:rsid w:val="00295137"/>
    <w:rsid w:val="00295287"/>
    <w:rsid w:val="002952B1"/>
    <w:rsid w:val="00295D11"/>
    <w:rsid w:val="00295FA0"/>
    <w:rsid w:val="00297626"/>
    <w:rsid w:val="00297A7A"/>
    <w:rsid w:val="002A0620"/>
    <w:rsid w:val="002A0C3A"/>
    <w:rsid w:val="002A1130"/>
    <w:rsid w:val="002A14D3"/>
    <w:rsid w:val="002A1880"/>
    <w:rsid w:val="002A1D47"/>
    <w:rsid w:val="002A23B7"/>
    <w:rsid w:val="002A3A57"/>
    <w:rsid w:val="002A6D22"/>
    <w:rsid w:val="002A6DEF"/>
    <w:rsid w:val="002A7411"/>
    <w:rsid w:val="002A7C24"/>
    <w:rsid w:val="002B013E"/>
    <w:rsid w:val="002B058D"/>
    <w:rsid w:val="002B0C16"/>
    <w:rsid w:val="002B11C9"/>
    <w:rsid w:val="002B169E"/>
    <w:rsid w:val="002B2621"/>
    <w:rsid w:val="002B2AC5"/>
    <w:rsid w:val="002B3528"/>
    <w:rsid w:val="002B3539"/>
    <w:rsid w:val="002B3B2B"/>
    <w:rsid w:val="002B6D17"/>
    <w:rsid w:val="002B6E71"/>
    <w:rsid w:val="002B6FA5"/>
    <w:rsid w:val="002B7169"/>
    <w:rsid w:val="002C0C1C"/>
    <w:rsid w:val="002C0F5A"/>
    <w:rsid w:val="002C184E"/>
    <w:rsid w:val="002C28F5"/>
    <w:rsid w:val="002C54C2"/>
    <w:rsid w:val="002C5D34"/>
    <w:rsid w:val="002C5EA7"/>
    <w:rsid w:val="002C661A"/>
    <w:rsid w:val="002C7C6E"/>
    <w:rsid w:val="002D0AF5"/>
    <w:rsid w:val="002D1C54"/>
    <w:rsid w:val="002D1FAA"/>
    <w:rsid w:val="002D2231"/>
    <w:rsid w:val="002D25FC"/>
    <w:rsid w:val="002D318B"/>
    <w:rsid w:val="002D3380"/>
    <w:rsid w:val="002D44D6"/>
    <w:rsid w:val="002D4925"/>
    <w:rsid w:val="002D4AC6"/>
    <w:rsid w:val="002D5C7B"/>
    <w:rsid w:val="002D6DFC"/>
    <w:rsid w:val="002D7648"/>
    <w:rsid w:val="002D7909"/>
    <w:rsid w:val="002D7AB7"/>
    <w:rsid w:val="002E109C"/>
    <w:rsid w:val="002E115E"/>
    <w:rsid w:val="002E131F"/>
    <w:rsid w:val="002E1439"/>
    <w:rsid w:val="002E193E"/>
    <w:rsid w:val="002E1D76"/>
    <w:rsid w:val="002E243C"/>
    <w:rsid w:val="002E26C4"/>
    <w:rsid w:val="002E30B3"/>
    <w:rsid w:val="002E33E9"/>
    <w:rsid w:val="002E4B37"/>
    <w:rsid w:val="002E4BF9"/>
    <w:rsid w:val="002E6F5B"/>
    <w:rsid w:val="002F16DD"/>
    <w:rsid w:val="002F199D"/>
    <w:rsid w:val="002F23B2"/>
    <w:rsid w:val="002F2558"/>
    <w:rsid w:val="002F4084"/>
    <w:rsid w:val="002F4672"/>
    <w:rsid w:val="002F4A08"/>
    <w:rsid w:val="002F4ADB"/>
    <w:rsid w:val="002F531E"/>
    <w:rsid w:val="002F5ACC"/>
    <w:rsid w:val="002F6C2C"/>
    <w:rsid w:val="002F704B"/>
    <w:rsid w:val="002F72C3"/>
    <w:rsid w:val="002F768C"/>
    <w:rsid w:val="002F7D1E"/>
    <w:rsid w:val="00301839"/>
    <w:rsid w:val="00301A68"/>
    <w:rsid w:val="003026AF"/>
    <w:rsid w:val="00302929"/>
    <w:rsid w:val="00302F0F"/>
    <w:rsid w:val="00303243"/>
    <w:rsid w:val="00303BCC"/>
    <w:rsid w:val="00303F2B"/>
    <w:rsid w:val="00303F8D"/>
    <w:rsid w:val="00304541"/>
    <w:rsid w:val="00304580"/>
    <w:rsid w:val="0030586A"/>
    <w:rsid w:val="003074C5"/>
    <w:rsid w:val="00307A3C"/>
    <w:rsid w:val="00307AF8"/>
    <w:rsid w:val="00307FA4"/>
    <w:rsid w:val="00310CC1"/>
    <w:rsid w:val="00313026"/>
    <w:rsid w:val="00313213"/>
    <w:rsid w:val="00313C14"/>
    <w:rsid w:val="0031421F"/>
    <w:rsid w:val="00314B31"/>
    <w:rsid w:val="00314B36"/>
    <w:rsid w:val="00315158"/>
    <w:rsid w:val="00315346"/>
    <w:rsid w:val="00315A65"/>
    <w:rsid w:val="00316E85"/>
    <w:rsid w:val="00317BA7"/>
    <w:rsid w:val="00320BE2"/>
    <w:rsid w:val="00321886"/>
    <w:rsid w:val="00321902"/>
    <w:rsid w:val="00323694"/>
    <w:rsid w:val="00324D63"/>
    <w:rsid w:val="003255AF"/>
    <w:rsid w:val="003256EB"/>
    <w:rsid w:val="003259DB"/>
    <w:rsid w:val="00325F20"/>
    <w:rsid w:val="00326039"/>
    <w:rsid w:val="003267F2"/>
    <w:rsid w:val="003300EA"/>
    <w:rsid w:val="00331A48"/>
    <w:rsid w:val="003330C9"/>
    <w:rsid w:val="0033364C"/>
    <w:rsid w:val="00334415"/>
    <w:rsid w:val="00335460"/>
    <w:rsid w:val="0033591B"/>
    <w:rsid w:val="0033691E"/>
    <w:rsid w:val="00336CCB"/>
    <w:rsid w:val="0033745F"/>
    <w:rsid w:val="00337631"/>
    <w:rsid w:val="00337F44"/>
    <w:rsid w:val="003401AC"/>
    <w:rsid w:val="003411D1"/>
    <w:rsid w:val="003416BA"/>
    <w:rsid w:val="00341BD6"/>
    <w:rsid w:val="00342A8A"/>
    <w:rsid w:val="00342F99"/>
    <w:rsid w:val="0034339D"/>
    <w:rsid w:val="00344726"/>
    <w:rsid w:val="003454A4"/>
    <w:rsid w:val="00345988"/>
    <w:rsid w:val="00350E6C"/>
    <w:rsid w:val="003518A6"/>
    <w:rsid w:val="00351E7F"/>
    <w:rsid w:val="003526FD"/>
    <w:rsid w:val="00352953"/>
    <w:rsid w:val="00354062"/>
    <w:rsid w:val="003542B0"/>
    <w:rsid w:val="00355C0D"/>
    <w:rsid w:val="0035622C"/>
    <w:rsid w:val="003566A9"/>
    <w:rsid w:val="00356988"/>
    <w:rsid w:val="00356B20"/>
    <w:rsid w:val="00357128"/>
    <w:rsid w:val="0035755E"/>
    <w:rsid w:val="00357A80"/>
    <w:rsid w:val="00361B8B"/>
    <w:rsid w:val="00363F39"/>
    <w:rsid w:val="003643C6"/>
    <w:rsid w:val="003644A3"/>
    <w:rsid w:val="00364AB0"/>
    <w:rsid w:val="00365A6E"/>
    <w:rsid w:val="003664B8"/>
    <w:rsid w:val="003667B0"/>
    <w:rsid w:val="003667DD"/>
    <w:rsid w:val="00366842"/>
    <w:rsid w:val="00366B48"/>
    <w:rsid w:val="00367764"/>
    <w:rsid w:val="00370316"/>
    <w:rsid w:val="00370DC7"/>
    <w:rsid w:val="0037156C"/>
    <w:rsid w:val="00371CBD"/>
    <w:rsid w:val="00373CBE"/>
    <w:rsid w:val="003740CC"/>
    <w:rsid w:val="0037435E"/>
    <w:rsid w:val="00374E79"/>
    <w:rsid w:val="00375388"/>
    <w:rsid w:val="00375B7E"/>
    <w:rsid w:val="00375FB9"/>
    <w:rsid w:val="00376851"/>
    <w:rsid w:val="00376FA2"/>
    <w:rsid w:val="00377A3B"/>
    <w:rsid w:val="00377E3C"/>
    <w:rsid w:val="00380056"/>
    <w:rsid w:val="00380B5C"/>
    <w:rsid w:val="00380BBE"/>
    <w:rsid w:val="00381D70"/>
    <w:rsid w:val="00382128"/>
    <w:rsid w:val="0038235E"/>
    <w:rsid w:val="003829D0"/>
    <w:rsid w:val="00382FBA"/>
    <w:rsid w:val="003835DD"/>
    <w:rsid w:val="0038444F"/>
    <w:rsid w:val="00384E83"/>
    <w:rsid w:val="00385C34"/>
    <w:rsid w:val="00386B36"/>
    <w:rsid w:val="00387051"/>
    <w:rsid w:val="00387ECF"/>
    <w:rsid w:val="0039021B"/>
    <w:rsid w:val="00390429"/>
    <w:rsid w:val="00391298"/>
    <w:rsid w:val="0039327C"/>
    <w:rsid w:val="003933A2"/>
    <w:rsid w:val="0039366C"/>
    <w:rsid w:val="003938F3"/>
    <w:rsid w:val="00393C4B"/>
    <w:rsid w:val="00393DE7"/>
    <w:rsid w:val="00393EC8"/>
    <w:rsid w:val="00395E42"/>
    <w:rsid w:val="00396052"/>
    <w:rsid w:val="00396A2D"/>
    <w:rsid w:val="00396FC3"/>
    <w:rsid w:val="003A1A94"/>
    <w:rsid w:val="003A204E"/>
    <w:rsid w:val="003A2D25"/>
    <w:rsid w:val="003A4DDB"/>
    <w:rsid w:val="003A60E7"/>
    <w:rsid w:val="003B07DF"/>
    <w:rsid w:val="003B0B6A"/>
    <w:rsid w:val="003B0F79"/>
    <w:rsid w:val="003B29CF"/>
    <w:rsid w:val="003B54DF"/>
    <w:rsid w:val="003B6659"/>
    <w:rsid w:val="003B7733"/>
    <w:rsid w:val="003B7BC8"/>
    <w:rsid w:val="003B7D9A"/>
    <w:rsid w:val="003C0166"/>
    <w:rsid w:val="003C21AA"/>
    <w:rsid w:val="003C2B79"/>
    <w:rsid w:val="003C350C"/>
    <w:rsid w:val="003C3903"/>
    <w:rsid w:val="003C3BA0"/>
    <w:rsid w:val="003C4580"/>
    <w:rsid w:val="003C52D8"/>
    <w:rsid w:val="003C5C5E"/>
    <w:rsid w:val="003C6746"/>
    <w:rsid w:val="003C7133"/>
    <w:rsid w:val="003C7555"/>
    <w:rsid w:val="003C7898"/>
    <w:rsid w:val="003D0FF5"/>
    <w:rsid w:val="003D2D1B"/>
    <w:rsid w:val="003D30AB"/>
    <w:rsid w:val="003D3D94"/>
    <w:rsid w:val="003D48C7"/>
    <w:rsid w:val="003D4C08"/>
    <w:rsid w:val="003D51ED"/>
    <w:rsid w:val="003D7CE8"/>
    <w:rsid w:val="003E1032"/>
    <w:rsid w:val="003E1904"/>
    <w:rsid w:val="003E2114"/>
    <w:rsid w:val="003E285E"/>
    <w:rsid w:val="003E3300"/>
    <w:rsid w:val="003E5B89"/>
    <w:rsid w:val="003E6340"/>
    <w:rsid w:val="003E65AC"/>
    <w:rsid w:val="003E6948"/>
    <w:rsid w:val="003E6E24"/>
    <w:rsid w:val="003E72B9"/>
    <w:rsid w:val="003E755C"/>
    <w:rsid w:val="003E7ED4"/>
    <w:rsid w:val="003F0E52"/>
    <w:rsid w:val="003F0EF2"/>
    <w:rsid w:val="003F0F6B"/>
    <w:rsid w:val="003F1F40"/>
    <w:rsid w:val="003F1FE3"/>
    <w:rsid w:val="003F3865"/>
    <w:rsid w:val="003F3A0A"/>
    <w:rsid w:val="003F4632"/>
    <w:rsid w:val="003F47BA"/>
    <w:rsid w:val="003F5DA1"/>
    <w:rsid w:val="003F6617"/>
    <w:rsid w:val="0040063B"/>
    <w:rsid w:val="00401070"/>
    <w:rsid w:val="004013C0"/>
    <w:rsid w:val="00402332"/>
    <w:rsid w:val="004025C2"/>
    <w:rsid w:val="00403E55"/>
    <w:rsid w:val="00404532"/>
    <w:rsid w:val="00404681"/>
    <w:rsid w:val="0040496D"/>
    <w:rsid w:val="00405010"/>
    <w:rsid w:val="0040595A"/>
    <w:rsid w:val="00406923"/>
    <w:rsid w:val="0040713A"/>
    <w:rsid w:val="0040763D"/>
    <w:rsid w:val="004105B0"/>
    <w:rsid w:val="00410DC1"/>
    <w:rsid w:val="00410EC5"/>
    <w:rsid w:val="00411B1F"/>
    <w:rsid w:val="004133A8"/>
    <w:rsid w:val="00413821"/>
    <w:rsid w:val="00413D43"/>
    <w:rsid w:val="004141A3"/>
    <w:rsid w:val="004143E9"/>
    <w:rsid w:val="00414909"/>
    <w:rsid w:val="00415E66"/>
    <w:rsid w:val="00416112"/>
    <w:rsid w:val="00416DF0"/>
    <w:rsid w:val="00417AE0"/>
    <w:rsid w:val="00417BAA"/>
    <w:rsid w:val="00420BA9"/>
    <w:rsid w:val="00420D7A"/>
    <w:rsid w:val="00420D9E"/>
    <w:rsid w:val="004223DE"/>
    <w:rsid w:val="00422718"/>
    <w:rsid w:val="0042293E"/>
    <w:rsid w:val="00422A10"/>
    <w:rsid w:val="00424D17"/>
    <w:rsid w:val="00425DFD"/>
    <w:rsid w:val="004263A3"/>
    <w:rsid w:val="00426903"/>
    <w:rsid w:val="00427713"/>
    <w:rsid w:val="00427CCC"/>
    <w:rsid w:val="00427D54"/>
    <w:rsid w:val="00427DB8"/>
    <w:rsid w:val="0043013A"/>
    <w:rsid w:val="00430421"/>
    <w:rsid w:val="00430B4F"/>
    <w:rsid w:val="004314B1"/>
    <w:rsid w:val="00431AD0"/>
    <w:rsid w:val="00431E65"/>
    <w:rsid w:val="00432589"/>
    <w:rsid w:val="00432A94"/>
    <w:rsid w:val="00433827"/>
    <w:rsid w:val="00434617"/>
    <w:rsid w:val="00435041"/>
    <w:rsid w:val="004360C8"/>
    <w:rsid w:val="0044006B"/>
    <w:rsid w:val="0044033F"/>
    <w:rsid w:val="00440630"/>
    <w:rsid w:val="00441123"/>
    <w:rsid w:val="0044127B"/>
    <w:rsid w:val="00441705"/>
    <w:rsid w:val="00442095"/>
    <w:rsid w:val="00442965"/>
    <w:rsid w:val="00444157"/>
    <w:rsid w:val="0044417C"/>
    <w:rsid w:val="00444DB3"/>
    <w:rsid w:val="004452B9"/>
    <w:rsid w:val="00445A2F"/>
    <w:rsid w:val="00446328"/>
    <w:rsid w:val="00446341"/>
    <w:rsid w:val="0044684E"/>
    <w:rsid w:val="004473DD"/>
    <w:rsid w:val="004479CA"/>
    <w:rsid w:val="004503A4"/>
    <w:rsid w:val="00450555"/>
    <w:rsid w:val="00450DC6"/>
    <w:rsid w:val="004516A5"/>
    <w:rsid w:val="004535AE"/>
    <w:rsid w:val="00453C42"/>
    <w:rsid w:val="0045463A"/>
    <w:rsid w:val="00454AC9"/>
    <w:rsid w:val="004554A3"/>
    <w:rsid w:val="00455A6E"/>
    <w:rsid w:val="004569CD"/>
    <w:rsid w:val="00456F2B"/>
    <w:rsid w:val="004578EB"/>
    <w:rsid w:val="00460303"/>
    <w:rsid w:val="00460697"/>
    <w:rsid w:val="004609AB"/>
    <w:rsid w:val="0046247F"/>
    <w:rsid w:val="00462593"/>
    <w:rsid w:val="00465EEF"/>
    <w:rsid w:val="00466D03"/>
    <w:rsid w:val="0046711B"/>
    <w:rsid w:val="00467312"/>
    <w:rsid w:val="00471156"/>
    <w:rsid w:val="00472429"/>
    <w:rsid w:val="004725E5"/>
    <w:rsid w:val="004726FE"/>
    <w:rsid w:val="00472751"/>
    <w:rsid w:val="00473128"/>
    <w:rsid w:val="0047470A"/>
    <w:rsid w:val="00475078"/>
    <w:rsid w:val="00475226"/>
    <w:rsid w:val="004777F1"/>
    <w:rsid w:val="004779A0"/>
    <w:rsid w:val="004808E3"/>
    <w:rsid w:val="0048097D"/>
    <w:rsid w:val="00481016"/>
    <w:rsid w:val="004814C8"/>
    <w:rsid w:val="004814D3"/>
    <w:rsid w:val="0048204C"/>
    <w:rsid w:val="004821BB"/>
    <w:rsid w:val="00482233"/>
    <w:rsid w:val="004826FE"/>
    <w:rsid w:val="004827D5"/>
    <w:rsid w:val="004830C9"/>
    <w:rsid w:val="00483347"/>
    <w:rsid w:val="00483D06"/>
    <w:rsid w:val="00483E2E"/>
    <w:rsid w:val="00484B69"/>
    <w:rsid w:val="00485406"/>
    <w:rsid w:val="0048590F"/>
    <w:rsid w:val="004867A5"/>
    <w:rsid w:val="00486D60"/>
    <w:rsid w:val="00487C87"/>
    <w:rsid w:val="00492A25"/>
    <w:rsid w:val="0049474A"/>
    <w:rsid w:val="004951C8"/>
    <w:rsid w:val="00496350"/>
    <w:rsid w:val="00496F91"/>
    <w:rsid w:val="00497274"/>
    <w:rsid w:val="0049797C"/>
    <w:rsid w:val="00497C2C"/>
    <w:rsid w:val="00497E9D"/>
    <w:rsid w:val="004A036E"/>
    <w:rsid w:val="004A1405"/>
    <w:rsid w:val="004A1FC6"/>
    <w:rsid w:val="004A3C03"/>
    <w:rsid w:val="004A3DB7"/>
    <w:rsid w:val="004A3FB3"/>
    <w:rsid w:val="004A5088"/>
    <w:rsid w:val="004A5255"/>
    <w:rsid w:val="004A6097"/>
    <w:rsid w:val="004A6CB0"/>
    <w:rsid w:val="004A70FF"/>
    <w:rsid w:val="004B1B84"/>
    <w:rsid w:val="004B29AC"/>
    <w:rsid w:val="004B29E3"/>
    <w:rsid w:val="004B35DF"/>
    <w:rsid w:val="004B3627"/>
    <w:rsid w:val="004B3F3A"/>
    <w:rsid w:val="004B4779"/>
    <w:rsid w:val="004B4922"/>
    <w:rsid w:val="004B57DF"/>
    <w:rsid w:val="004C0238"/>
    <w:rsid w:val="004C03A0"/>
    <w:rsid w:val="004C2138"/>
    <w:rsid w:val="004C227D"/>
    <w:rsid w:val="004C2ED0"/>
    <w:rsid w:val="004C32D4"/>
    <w:rsid w:val="004C3940"/>
    <w:rsid w:val="004C51FD"/>
    <w:rsid w:val="004C65A8"/>
    <w:rsid w:val="004C786C"/>
    <w:rsid w:val="004C7963"/>
    <w:rsid w:val="004D2314"/>
    <w:rsid w:val="004D2F63"/>
    <w:rsid w:val="004D35BA"/>
    <w:rsid w:val="004D45B8"/>
    <w:rsid w:val="004D4701"/>
    <w:rsid w:val="004D47C7"/>
    <w:rsid w:val="004D618D"/>
    <w:rsid w:val="004D6202"/>
    <w:rsid w:val="004D62A9"/>
    <w:rsid w:val="004D6FC3"/>
    <w:rsid w:val="004D7476"/>
    <w:rsid w:val="004E0306"/>
    <w:rsid w:val="004E0572"/>
    <w:rsid w:val="004E0C97"/>
    <w:rsid w:val="004E25A8"/>
    <w:rsid w:val="004E2AA0"/>
    <w:rsid w:val="004E3930"/>
    <w:rsid w:val="004E3ED9"/>
    <w:rsid w:val="004E5362"/>
    <w:rsid w:val="004E5866"/>
    <w:rsid w:val="004E6097"/>
    <w:rsid w:val="004E61EF"/>
    <w:rsid w:val="004E6772"/>
    <w:rsid w:val="004E76A7"/>
    <w:rsid w:val="004E7736"/>
    <w:rsid w:val="004E7B03"/>
    <w:rsid w:val="004F0064"/>
    <w:rsid w:val="004F069F"/>
    <w:rsid w:val="004F06AC"/>
    <w:rsid w:val="004F1AE6"/>
    <w:rsid w:val="004F243F"/>
    <w:rsid w:val="004F3E0C"/>
    <w:rsid w:val="004F6523"/>
    <w:rsid w:val="004F6929"/>
    <w:rsid w:val="004F6A2D"/>
    <w:rsid w:val="004F7160"/>
    <w:rsid w:val="00500258"/>
    <w:rsid w:val="0050175E"/>
    <w:rsid w:val="00501A99"/>
    <w:rsid w:val="00502569"/>
    <w:rsid w:val="00502CF3"/>
    <w:rsid w:val="00503180"/>
    <w:rsid w:val="0050417C"/>
    <w:rsid w:val="00505450"/>
    <w:rsid w:val="005100B7"/>
    <w:rsid w:val="005111C2"/>
    <w:rsid w:val="005113C9"/>
    <w:rsid w:val="0051280C"/>
    <w:rsid w:val="00512842"/>
    <w:rsid w:val="005128BE"/>
    <w:rsid w:val="00512B7B"/>
    <w:rsid w:val="00512E6C"/>
    <w:rsid w:val="0051356F"/>
    <w:rsid w:val="00513E7C"/>
    <w:rsid w:val="005140BB"/>
    <w:rsid w:val="005143C2"/>
    <w:rsid w:val="00514FD9"/>
    <w:rsid w:val="0051518F"/>
    <w:rsid w:val="00515FB2"/>
    <w:rsid w:val="0051608F"/>
    <w:rsid w:val="005165E9"/>
    <w:rsid w:val="005210F7"/>
    <w:rsid w:val="00521753"/>
    <w:rsid w:val="00521A44"/>
    <w:rsid w:val="00521D16"/>
    <w:rsid w:val="005222BE"/>
    <w:rsid w:val="005224EE"/>
    <w:rsid w:val="00523BB1"/>
    <w:rsid w:val="005242CF"/>
    <w:rsid w:val="00524401"/>
    <w:rsid w:val="0052451A"/>
    <w:rsid w:val="00524737"/>
    <w:rsid w:val="005253E7"/>
    <w:rsid w:val="005258DF"/>
    <w:rsid w:val="00526265"/>
    <w:rsid w:val="0052652D"/>
    <w:rsid w:val="0052655D"/>
    <w:rsid w:val="005265E0"/>
    <w:rsid w:val="00526930"/>
    <w:rsid w:val="00526BC3"/>
    <w:rsid w:val="00530F9E"/>
    <w:rsid w:val="00531A72"/>
    <w:rsid w:val="0053274E"/>
    <w:rsid w:val="0053358A"/>
    <w:rsid w:val="00534668"/>
    <w:rsid w:val="00534D38"/>
    <w:rsid w:val="00534DDD"/>
    <w:rsid w:val="00535291"/>
    <w:rsid w:val="00535A94"/>
    <w:rsid w:val="00537874"/>
    <w:rsid w:val="00537909"/>
    <w:rsid w:val="00540204"/>
    <w:rsid w:val="00540578"/>
    <w:rsid w:val="005407D2"/>
    <w:rsid w:val="00540808"/>
    <w:rsid w:val="0054080E"/>
    <w:rsid w:val="005408B4"/>
    <w:rsid w:val="00540EA1"/>
    <w:rsid w:val="005423B1"/>
    <w:rsid w:val="0054358E"/>
    <w:rsid w:val="00543AF4"/>
    <w:rsid w:val="00544191"/>
    <w:rsid w:val="00544F39"/>
    <w:rsid w:val="00547EFB"/>
    <w:rsid w:val="005531DF"/>
    <w:rsid w:val="00553874"/>
    <w:rsid w:val="00553ACC"/>
    <w:rsid w:val="00554AD8"/>
    <w:rsid w:val="00554F78"/>
    <w:rsid w:val="005556A5"/>
    <w:rsid w:val="005561F0"/>
    <w:rsid w:val="00556BF7"/>
    <w:rsid w:val="00560838"/>
    <w:rsid w:val="00560DB5"/>
    <w:rsid w:val="00562149"/>
    <w:rsid w:val="005630D8"/>
    <w:rsid w:val="00563FFD"/>
    <w:rsid w:val="00565855"/>
    <w:rsid w:val="005677CE"/>
    <w:rsid w:val="00567B5D"/>
    <w:rsid w:val="00570445"/>
    <w:rsid w:val="00572E9A"/>
    <w:rsid w:val="00573733"/>
    <w:rsid w:val="005739F5"/>
    <w:rsid w:val="00574064"/>
    <w:rsid w:val="00574554"/>
    <w:rsid w:val="00576089"/>
    <w:rsid w:val="005764B1"/>
    <w:rsid w:val="00576A0D"/>
    <w:rsid w:val="00576A56"/>
    <w:rsid w:val="00576D06"/>
    <w:rsid w:val="005777CA"/>
    <w:rsid w:val="005779E4"/>
    <w:rsid w:val="00580AC5"/>
    <w:rsid w:val="005815E5"/>
    <w:rsid w:val="0058289C"/>
    <w:rsid w:val="00582C35"/>
    <w:rsid w:val="00582DC6"/>
    <w:rsid w:val="005836C7"/>
    <w:rsid w:val="0058408E"/>
    <w:rsid w:val="00585374"/>
    <w:rsid w:val="005876DF"/>
    <w:rsid w:val="0058789A"/>
    <w:rsid w:val="00590B77"/>
    <w:rsid w:val="005913A3"/>
    <w:rsid w:val="00591DCD"/>
    <w:rsid w:val="00594A7B"/>
    <w:rsid w:val="00594AFA"/>
    <w:rsid w:val="0059580E"/>
    <w:rsid w:val="00596A6F"/>
    <w:rsid w:val="005976E1"/>
    <w:rsid w:val="005A0541"/>
    <w:rsid w:val="005A0D64"/>
    <w:rsid w:val="005A1525"/>
    <w:rsid w:val="005A1EC3"/>
    <w:rsid w:val="005A252B"/>
    <w:rsid w:val="005A2A71"/>
    <w:rsid w:val="005A3204"/>
    <w:rsid w:val="005A32B6"/>
    <w:rsid w:val="005A3341"/>
    <w:rsid w:val="005A46EC"/>
    <w:rsid w:val="005A47AA"/>
    <w:rsid w:val="005A4847"/>
    <w:rsid w:val="005A494F"/>
    <w:rsid w:val="005B0160"/>
    <w:rsid w:val="005B0185"/>
    <w:rsid w:val="005B07EC"/>
    <w:rsid w:val="005B09D8"/>
    <w:rsid w:val="005B24F3"/>
    <w:rsid w:val="005B28A1"/>
    <w:rsid w:val="005B2B11"/>
    <w:rsid w:val="005B2E00"/>
    <w:rsid w:val="005B370E"/>
    <w:rsid w:val="005B4DA3"/>
    <w:rsid w:val="005B5B71"/>
    <w:rsid w:val="005B5BEE"/>
    <w:rsid w:val="005B7784"/>
    <w:rsid w:val="005B77D2"/>
    <w:rsid w:val="005C019B"/>
    <w:rsid w:val="005C144E"/>
    <w:rsid w:val="005C1625"/>
    <w:rsid w:val="005C2D0A"/>
    <w:rsid w:val="005C30F5"/>
    <w:rsid w:val="005C357E"/>
    <w:rsid w:val="005C3604"/>
    <w:rsid w:val="005C51A5"/>
    <w:rsid w:val="005C5403"/>
    <w:rsid w:val="005C557A"/>
    <w:rsid w:val="005C5A03"/>
    <w:rsid w:val="005C61DD"/>
    <w:rsid w:val="005C6438"/>
    <w:rsid w:val="005C6B8B"/>
    <w:rsid w:val="005D02E3"/>
    <w:rsid w:val="005D1F34"/>
    <w:rsid w:val="005D2529"/>
    <w:rsid w:val="005D25BF"/>
    <w:rsid w:val="005D2C1F"/>
    <w:rsid w:val="005D34B2"/>
    <w:rsid w:val="005D3B54"/>
    <w:rsid w:val="005D40CD"/>
    <w:rsid w:val="005D6B59"/>
    <w:rsid w:val="005D7037"/>
    <w:rsid w:val="005E03E4"/>
    <w:rsid w:val="005E0454"/>
    <w:rsid w:val="005E171D"/>
    <w:rsid w:val="005E34C2"/>
    <w:rsid w:val="005E35C6"/>
    <w:rsid w:val="005E3711"/>
    <w:rsid w:val="005E3AF9"/>
    <w:rsid w:val="005E5099"/>
    <w:rsid w:val="005E5B01"/>
    <w:rsid w:val="005E7933"/>
    <w:rsid w:val="005E7E0B"/>
    <w:rsid w:val="005F009E"/>
    <w:rsid w:val="005F080C"/>
    <w:rsid w:val="005F0A88"/>
    <w:rsid w:val="005F0DF1"/>
    <w:rsid w:val="005F1516"/>
    <w:rsid w:val="005F229E"/>
    <w:rsid w:val="005F2564"/>
    <w:rsid w:val="005F3822"/>
    <w:rsid w:val="005F3E0B"/>
    <w:rsid w:val="005F4D16"/>
    <w:rsid w:val="005F4E52"/>
    <w:rsid w:val="005F5967"/>
    <w:rsid w:val="005F77C8"/>
    <w:rsid w:val="0060058E"/>
    <w:rsid w:val="00602A3C"/>
    <w:rsid w:val="00602EA4"/>
    <w:rsid w:val="00603EFD"/>
    <w:rsid w:val="006041DF"/>
    <w:rsid w:val="0060475B"/>
    <w:rsid w:val="00604FB6"/>
    <w:rsid w:val="00604FD6"/>
    <w:rsid w:val="00605387"/>
    <w:rsid w:val="00606302"/>
    <w:rsid w:val="006072EF"/>
    <w:rsid w:val="006076FD"/>
    <w:rsid w:val="00607BA3"/>
    <w:rsid w:val="00610CAA"/>
    <w:rsid w:val="0061143F"/>
    <w:rsid w:val="006114D8"/>
    <w:rsid w:val="00611585"/>
    <w:rsid w:val="00612931"/>
    <w:rsid w:val="00613601"/>
    <w:rsid w:val="00613791"/>
    <w:rsid w:val="00613AAB"/>
    <w:rsid w:val="006148C7"/>
    <w:rsid w:val="006150D6"/>
    <w:rsid w:val="006166A3"/>
    <w:rsid w:val="00617EEE"/>
    <w:rsid w:val="006210FE"/>
    <w:rsid w:val="00622811"/>
    <w:rsid w:val="00622878"/>
    <w:rsid w:val="00622894"/>
    <w:rsid w:val="00622BB7"/>
    <w:rsid w:val="00622F3B"/>
    <w:rsid w:val="00623130"/>
    <w:rsid w:val="00623389"/>
    <w:rsid w:val="0062352A"/>
    <w:rsid w:val="00625E45"/>
    <w:rsid w:val="006265C4"/>
    <w:rsid w:val="00626DB1"/>
    <w:rsid w:val="00627383"/>
    <w:rsid w:val="00627733"/>
    <w:rsid w:val="006301BB"/>
    <w:rsid w:val="00632605"/>
    <w:rsid w:val="00633F8D"/>
    <w:rsid w:val="006341EF"/>
    <w:rsid w:val="00634BED"/>
    <w:rsid w:val="00635A4A"/>
    <w:rsid w:val="00635F1C"/>
    <w:rsid w:val="00635FB9"/>
    <w:rsid w:val="00636765"/>
    <w:rsid w:val="00637774"/>
    <w:rsid w:val="0064024C"/>
    <w:rsid w:val="00640291"/>
    <w:rsid w:val="00641FAC"/>
    <w:rsid w:val="0064262E"/>
    <w:rsid w:val="006432A5"/>
    <w:rsid w:val="00643664"/>
    <w:rsid w:val="00643CAA"/>
    <w:rsid w:val="0064448B"/>
    <w:rsid w:val="00647B97"/>
    <w:rsid w:val="00652137"/>
    <w:rsid w:val="00652680"/>
    <w:rsid w:val="00652A09"/>
    <w:rsid w:val="006530A1"/>
    <w:rsid w:val="0065371D"/>
    <w:rsid w:val="00653CDE"/>
    <w:rsid w:val="006540B4"/>
    <w:rsid w:val="0065636A"/>
    <w:rsid w:val="00656C3C"/>
    <w:rsid w:val="00657003"/>
    <w:rsid w:val="00657126"/>
    <w:rsid w:val="006572C1"/>
    <w:rsid w:val="00660238"/>
    <w:rsid w:val="006602EF"/>
    <w:rsid w:val="00661277"/>
    <w:rsid w:val="006616FE"/>
    <w:rsid w:val="00661717"/>
    <w:rsid w:val="006619D1"/>
    <w:rsid w:val="006628AD"/>
    <w:rsid w:val="00663FEA"/>
    <w:rsid w:val="00664253"/>
    <w:rsid w:val="00664803"/>
    <w:rsid w:val="006661A4"/>
    <w:rsid w:val="006670E0"/>
    <w:rsid w:val="00667532"/>
    <w:rsid w:val="006704FD"/>
    <w:rsid w:val="00670F3A"/>
    <w:rsid w:val="006715E6"/>
    <w:rsid w:val="0067294B"/>
    <w:rsid w:val="00673AA4"/>
    <w:rsid w:val="00674066"/>
    <w:rsid w:val="00674187"/>
    <w:rsid w:val="0067508F"/>
    <w:rsid w:val="00675349"/>
    <w:rsid w:val="00675E7E"/>
    <w:rsid w:val="0068051E"/>
    <w:rsid w:val="00680B9D"/>
    <w:rsid w:val="00681F13"/>
    <w:rsid w:val="0068231C"/>
    <w:rsid w:val="00682344"/>
    <w:rsid w:val="00682E78"/>
    <w:rsid w:val="00682F28"/>
    <w:rsid w:val="00684842"/>
    <w:rsid w:val="00685BD6"/>
    <w:rsid w:val="00686433"/>
    <w:rsid w:val="006878A6"/>
    <w:rsid w:val="00690437"/>
    <w:rsid w:val="00690E65"/>
    <w:rsid w:val="0069188E"/>
    <w:rsid w:val="00691974"/>
    <w:rsid w:val="00691A3F"/>
    <w:rsid w:val="00692CE6"/>
    <w:rsid w:val="00692DA8"/>
    <w:rsid w:val="00693B6C"/>
    <w:rsid w:val="006942AE"/>
    <w:rsid w:val="0069483C"/>
    <w:rsid w:val="00695421"/>
    <w:rsid w:val="00695AE4"/>
    <w:rsid w:val="00696D4B"/>
    <w:rsid w:val="006977A8"/>
    <w:rsid w:val="00697BD3"/>
    <w:rsid w:val="00697DFA"/>
    <w:rsid w:val="006A10F3"/>
    <w:rsid w:val="006A16D5"/>
    <w:rsid w:val="006A1772"/>
    <w:rsid w:val="006A1780"/>
    <w:rsid w:val="006A25A5"/>
    <w:rsid w:val="006A2790"/>
    <w:rsid w:val="006A3CEC"/>
    <w:rsid w:val="006A3F75"/>
    <w:rsid w:val="006A4838"/>
    <w:rsid w:val="006A4FB3"/>
    <w:rsid w:val="006A5A3E"/>
    <w:rsid w:val="006A5BAB"/>
    <w:rsid w:val="006A6CA7"/>
    <w:rsid w:val="006A703E"/>
    <w:rsid w:val="006A7BE3"/>
    <w:rsid w:val="006B01D1"/>
    <w:rsid w:val="006B16EA"/>
    <w:rsid w:val="006B1780"/>
    <w:rsid w:val="006B224E"/>
    <w:rsid w:val="006B362D"/>
    <w:rsid w:val="006B376E"/>
    <w:rsid w:val="006B4589"/>
    <w:rsid w:val="006B6805"/>
    <w:rsid w:val="006B6BBE"/>
    <w:rsid w:val="006B6DE0"/>
    <w:rsid w:val="006B7D5F"/>
    <w:rsid w:val="006C0FCC"/>
    <w:rsid w:val="006C2D83"/>
    <w:rsid w:val="006C32F4"/>
    <w:rsid w:val="006C3382"/>
    <w:rsid w:val="006C3C54"/>
    <w:rsid w:val="006C40F4"/>
    <w:rsid w:val="006C427B"/>
    <w:rsid w:val="006C4F9F"/>
    <w:rsid w:val="006C5019"/>
    <w:rsid w:val="006C5778"/>
    <w:rsid w:val="006C61AB"/>
    <w:rsid w:val="006C650D"/>
    <w:rsid w:val="006C686A"/>
    <w:rsid w:val="006C7479"/>
    <w:rsid w:val="006C748D"/>
    <w:rsid w:val="006D0C1D"/>
    <w:rsid w:val="006D0CE1"/>
    <w:rsid w:val="006D2004"/>
    <w:rsid w:val="006D2A8C"/>
    <w:rsid w:val="006D2E9D"/>
    <w:rsid w:val="006D32EB"/>
    <w:rsid w:val="006D4C1E"/>
    <w:rsid w:val="006D4C42"/>
    <w:rsid w:val="006D5809"/>
    <w:rsid w:val="006D630A"/>
    <w:rsid w:val="006D668D"/>
    <w:rsid w:val="006D7363"/>
    <w:rsid w:val="006D74F2"/>
    <w:rsid w:val="006E04C8"/>
    <w:rsid w:val="006E061F"/>
    <w:rsid w:val="006E0712"/>
    <w:rsid w:val="006E0754"/>
    <w:rsid w:val="006E2668"/>
    <w:rsid w:val="006E2D39"/>
    <w:rsid w:val="006E32B0"/>
    <w:rsid w:val="006E36D8"/>
    <w:rsid w:val="006E396A"/>
    <w:rsid w:val="006E3A73"/>
    <w:rsid w:val="006E5825"/>
    <w:rsid w:val="006E5DD8"/>
    <w:rsid w:val="006E5E16"/>
    <w:rsid w:val="006E5EA1"/>
    <w:rsid w:val="006E6A4C"/>
    <w:rsid w:val="006E7ABC"/>
    <w:rsid w:val="006F0760"/>
    <w:rsid w:val="006F0FF1"/>
    <w:rsid w:val="006F11E2"/>
    <w:rsid w:val="006F12F5"/>
    <w:rsid w:val="006F2574"/>
    <w:rsid w:val="006F3231"/>
    <w:rsid w:val="006F3582"/>
    <w:rsid w:val="006F3DE3"/>
    <w:rsid w:val="006F4C05"/>
    <w:rsid w:val="006F511F"/>
    <w:rsid w:val="006F61D8"/>
    <w:rsid w:val="006F62B7"/>
    <w:rsid w:val="006F70BC"/>
    <w:rsid w:val="006F713A"/>
    <w:rsid w:val="006F76BF"/>
    <w:rsid w:val="006F7C48"/>
    <w:rsid w:val="00705161"/>
    <w:rsid w:val="007066A4"/>
    <w:rsid w:val="00706F37"/>
    <w:rsid w:val="00707D09"/>
    <w:rsid w:val="00710760"/>
    <w:rsid w:val="0071209F"/>
    <w:rsid w:val="007125A2"/>
    <w:rsid w:val="00713F79"/>
    <w:rsid w:val="007148A8"/>
    <w:rsid w:val="00715A9B"/>
    <w:rsid w:val="00716125"/>
    <w:rsid w:val="00716C9F"/>
    <w:rsid w:val="007171E0"/>
    <w:rsid w:val="0071740B"/>
    <w:rsid w:val="00717C40"/>
    <w:rsid w:val="0072033C"/>
    <w:rsid w:val="00720B1B"/>
    <w:rsid w:val="00721062"/>
    <w:rsid w:val="00721A4E"/>
    <w:rsid w:val="00721E5D"/>
    <w:rsid w:val="007229D4"/>
    <w:rsid w:val="007230F8"/>
    <w:rsid w:val="007233F4"/>
    <w:rsid w:val="00723646"/>
    <w:rsid w:val="00724044"/>
    <w:rsid w:val="007244E1"/>
    <w:rsid w:val="007248D3"/>
    <w:rsid w:val="00725137"/>
    <w:rsid w:val="00725C63"/>
    <w:rsid w:val="007263ED"/>
    <w:rsid w:val="0072653B"/>
    <w:rsid w:val="00726C9E"/>
    <w:rsid w:val="00727A43"/>
    <w:rsid w:val="00727FF2"/>
    <w:rsid w:val="007323E0"/>
    <w:rsid w:val="007324ED"/>
    <w:rsid w:val="00733791"/>
    <w:rsid w:val="00733857"/>
    <w:rsid w:val="00733DE2"/>
    <w:rsid w:val="00734328"/>
    <w:rsid w:val="007346E7"/>
    <w:rsid w:val="007352EA"/>
    <w:rsid w:val="00736032"/>
    <w:rsid w:val="007364E5"/>
    <w:rsid w:val="0073792F"/>
    <w:rsid w:val="00737C48"/>
    <w:rsid w:val="007409CA"/>
    <w:rsid w:val="00740DA6"/>
    <w:rsid w:val="00741A0E"/>
    <w:rsid w:val="00741D1E"/>
    <w:rsid w:val="00741EE2"/>
    <w:rsid w:val="00742367"/>
    <w:rsid w:val="00742EAA"/>
    <w:rsid w:val="00743818"/>
    <w:rsid w:val="007439E2"/>
    <w:rsid w:val="00743E9C"/>
    <w:rsid w:val="007441FB"/>
    <w:rsid w:val="00744517"/>
    <w:rsid w:val="00744810"/>
    <w:rsid w:val="00747079"/>
    <w:rsid w:val="00747DD4"/>
    <w:rsid w:val="00747DE2"/>
    <w:rsid w:val="007504BF"/>
    <w:rsid w:val="007506CD"/>
    <w:rsid w:val="007525DB"/>
    <w:rsid w:val="0075267F"/>
    <w:rsid w:val="007526EC"/>
    <w:rsid w:val="0075310C"/>
    <w:rsid w:val="00753347"/>
    <w:rsid w:val="00753C48"/>
    <w:rsid w:val="007545C1"/>
    <w:rsid w:val="00754C97"/>
    <w:rsid w:val="00754FE4"/>
    <w:rsid w:val="00755538"/>
    <w:rsid w:val="00755971"/>
    <w:rsid w:val="00756236"/>
    <w:rsid w:val="00756271"/>
    <w:rsid w:val="00756521"/>
    <w:rsid w:val="00756AB7"/>
    <w:rsid w:val="0075745C"/>
    <w:rsid w:val="00760477"/>
    <w:rsid w:val="007615CE"/>
    <w:rsid w:val="00761AF4"/>
    <w:rsid w:val="00762071"/>
    <w:rsid w:val="007623FB"/>
    <w:rsid w:val="0076376A"/>
    <w:rsid w:val="0076500F"/>
    <w:rsid w:val="0076504E"/>
    <w:rsid w:val="00765D24"/>
    <w:rsid w:val="00765E6A"/>
    <w:rsid w:val="007664E0"/>
    <w:rsid w:val="00767EA0"/>
    <w:rsid w:val="0077068F"/>
    <w:rsid w:val="007711EA"/>
    <w:rsid w:val="00771870"/>
    <w:rsid w:val="0077408D"/>
    <w:rsid w:val="007741CF"/>
    <w:rsid w:val="00774270"/>
    <w:rsid w:val="00775679"/>
    <w:rsid w:val="00775803"/>
    <w:rsid w:val="007761F1"/>
    <w:rsid w:val="00777B32"/>
    <w:rsid w:val="0078051E"/>
    <w:rsid w:val="00781FDD"/>
    <w:rsid w:val="00782A9F"/>
    <w:rsid w:val="0078508A"/>
    <w:rsid w:val="00786D5C"/>
    <w:rsid w:val="00786E96"/>
    <w:rsid w:val="00787F93"/>
    <w:rsid w:val="00790684"/>
    <w:rsid w:val="007907CA"/>
    <w:rsid w:val="00791170"/>
    <w:rsid w:val="00791E6D"/>
    <w:rsid w:val="007928DC"/>
    <w:rsid w:val="00792CB3"/>
    <w:rsid w:val="00792E53"/>
    <w:rsid w:val="007933DF"/>
    <w:rsid w:val="0079384D"/>
    <w:rsid w:val="007939CC"/>
    <w:rsid w:val="00796FB8"/>
    <w:rsid w:val="007A11C2"/>
    <w:rsid w:val="007A2367"/>
    <w:rsid w:val="007A41BF"/>
    <w:rsid w:val="007A490A"/>
    <w:rsid w:val="007A581D"/>
    <w:rsid w:val="007A7B95"/>
    <w:rsid w:val="007B0297"/>
    <w:rsid w:val="007B0ABE"/>
    <w:rsid w:val="007B0F53"/>
    <w:rsid w:val="007B1DD8"/>
    <w:rsid w:val="007B21AE"/>
    <w:rsid w:val="007B2570"/>
    <w:rsid w:val="007B2C31"/>
    <w:rsid w:val="007B3113"/>
    <w:rsid w:val="007B3304"/>
    <w:rsid w:val="007B332B"/>
    <w:rsid w:val="007B394D"/>
    <w:rsid w:val="007B53FA"/>
    <w:rsid w:val="007B6423"/>
    <w:rsid w:val="007B7490"/>
    <w:rsid w:val="007B774A"/>
    <w:rsid w:val="007C0525"/>
    <w:rsid w:val="007C0B56"/>
    <w:rsid w:val="007C13F7"/>
    <w:rsid w:val="007C218D"/>
    <w:rsid w:val="007C2D28"/>
    <w:rsid w:val="007C3E22"/>
    <w:rsid w:val="007C67C6"/>
    <w:rsid w:val="007C707A"/>
    <w:rsid w:val="007C7E59"/>
    <w:rsid w:val="007D0A39"/>
    <w:rsid w:val="007D0B91"/>
    <w:rsid w:val="007D1452"/>
    <w:rsid w:val="007D1E29"/>
    <w:rsid w:val="007D460C"/>
    <w:rsid w:val="007D484A"/>
    <w:rsid w:val="007D4AD3"/>
    <w:rsid w:val="007D4C8D"/>
    <w:rsid w:val="007D5D19"/>
    <w:rsid w:val="007D5FDC"/>
    <w:rsid w:val="007D6D68"/>
    <w:rsid w:val="007E01DA"/>
    <w:rsid w:val="007E0ADB"/>
    <w:rsid w:val="007E1603"/>
    <w:rsid w:val="007E2E85"/>
    <w:rsid w:val="007E32DA"/>
    <w:rsid w:val="007E3896"/>
    <w:rsid w:val="007E3FFB"/>
    <w:rsid w:val="007E4998"/>
    <w:rsid w:val="007E4A9C"/>
    <w:rsid w:val="007E4B2B"/>
    <w:rsid w:val="007E6914"/>
    <w:rsid w:val="007E7F78"/>
    <w:rsid w:val="007F0C8B"/>
    <w:rsid w:val="007F1517"/>
    <w:rsid w:val="007F1D44"/>
    <w:rsid w:val="007F23A5"/>
    <w:rsid w:val="007F2C13"/>
    <w:rsid w:val="007F2CEC"/>
    <w:rsid w:val="007F4949"/>
    <w:rsid w:val="007F55DE"/>
    <w:rsid w:val="007F5605"/>
    <w:rsid w:val="007F6147"/>
    <w:rsid w:val="007F78FF"/>
    <w:rsid w:val="00800F6C"/>
    <w:rsid w:val="008025BE"/>
    <w:rsid w:val="0080381C"/>
    <w:rsid w:val="00804C86"/>
    <w:rsid w:val="008051FC"/>
    <w:rsid w:val="008055A9"/>
    <w:rsid w:val="008070EB"/>
    <w:rsid w:val="00807376"/>
    <w:rsid w:val="00810B0E"/>
    <w:rsid w:val="00810B14"/>
    <w:rsid w:val="00810E8E"/>
    <w:rsid w:val="0081142D"/>
    <w:rsid w:val="00812462"/>
    <w:rsid w:val="008126E2"/>
    <w:rsid w:val="008133A5"/>
    <w:rsid w:val="0081481D"/>
    <w:rsid w:val="00814BE8"/>
    <w:rsid w:val="00814F6E"/>
    <w:rsid w:val="0081565F"/>
    <w:rsid w:val="00815B84"/>
    <w:rsid w:val="00821A3D"/>
    <w:rsid w:val="00821B06"/>
    <w:rsid w:val="00822037"/>
    <w:rsid w:val="00822634"/>
    <w:rsid w:val="00823FC6"/>
    <w:rsid w:val="00823FFC"/>
    <w:rsid w:val="00824811"/>
    <w:rsid w:val="00825C74"/>
    <w:rsid w:val="00826AB9"/>
    <w:rsid w:val="00826E0E"/>
    <w:rsid w:val="0082731F"/>
    <w:rsid w:val="00827D11"/>
    <w:rsid w:val="00827E0F"/>
    <w:rsid w:val="00827F6E"/>
    <w:rsid w:val="00831758"/>
    <w:rsid w:val="00831977"/>
    <w:rsid w:val="0083279F"/>
    <w:rsid w:val="00833B7F"/>
    <w:rsid w:val="00834906"/>
    <w:rsid w:val="00835A99"/>
    <w:rsid w:val="00836075"/>
    <w:rsid w:val="00836417"/>
    <w:rsid w:val="008377F7"/>
    <w:rsid w:val="008411F9"/>
    <w:rsid w:val="008413AB"/>
    <w:rsid w:val="00842D10"/>
    <w:rsid w:val="0084322B"/>
    <w:rsid w:val="00843B93"/>
    <w:rsid w:val="00843C08"/>
    <w:rsid w:val="00843F81"/>
    <w:rsid w:val="00844087"/>
    <w:rsid w:val="0084519E"/>
    <w:rsid w:val="00846370"/>
    <w:rsid w:val="00847C2B"/>
    <w:rsid w:val="00851256"/>
    <w:rsid w:val="00851A7C"/>
    <w:rsid w:val="00852438"/>
    <w:rsid w:val="0085270D"/>
    <w:rsid w:val="008532BF"/>
    <w:rsid w:val="00853BF4"/>
    <w:rsid w:val="00854294"/>
    <w:rsid w:val="008555FB"/>
    <w:rsid w:val="0085788B"/>
    <w:rsid w:val="00857941"/>
    <w:rsid w:val="00857A9E"/>
    <w:rsid w:val="00857DE2"/>
    <w:rsid w:val="00863E7D"/>
    <w:rsid w:val="0086407F"/>
    <w:rsid w:val="00864548"/>
    <w:rsid w:val="00864D9C"/>
    <w:rsid w:val="00864E79"/>
    <w:rsid w:val="00866111"/>
    <w:rsid w:val="0086661F"/>
    <w:rsid w:val="00866A0D"/>
    <w:rsid w:val="00866DB5"/>
    <w:rsid w:val="0086784E"/>
    <w:rsid w:val="00867AF1"/>
    <w:rsid w:val="00870EE1"/>
    <w:rsid w:val="008720B3"/>
    <w:rsid w:val="00872118"/>
    <w:rsid w:val="008727CE"/>
    <w:rsid w:val="00872827"/>
    <w:rsid w:val="00872A32"/>
    <w:rsid w:val="00874ECA"/>
    <w:rsid w:val="00875D0E"/>
    <w:rsid w:val="00876EAE"/>
    <w:rsid w:val="00880F95"/>
    <w:rsid w:val="00881F68"/>
    <w:rsid w:val="00882B44"/>
    <w:rsid w:val="00882FE5"/>
    <w:rsid w:val="00886138"/>
    <w:rsid w:val="00886E66"/>
    <w:rsid w:val="008871B0"/>
    <w:rsid w:val="008912F5"/>
    <w:rsid w:val="008915A7"/>
    <w:rsid w:val="008918EB"/>
    <w:rsid w:val="0089217C"/>
    <w:rsid w:val="008928A1"/>
    <w:rsid w:val="00893671"/>
    <w:rsid w:val="00895838"/>
    <w:rsid w:val="00895A72"/>
    <w:rsid w:val="00895CDF"/>
    <w:rsid w:val="008968C7"/>
    <w:rsid w:val="00896AFD"/>
    <w:rsid w:val="00897A55"/>
    <w:rsid w:val="008A0154"/>
    <w:rsid w:val="008A0FC9"/>
    <w:rsid w:val="008A1956"/>
    <w:rsid w:val="008A40D3"/>
    <w:rsid w:val="008A469C"/>
    <w:rsid w:val="008A484A"/>
    <w:rsid w:val="008A5877"/>
    <w:rsid w:val="008A6539"/>
    <w:rsid w:val="008A701C"/>
    <w:rsid w:val="008B05DD"/>
    <w:rsid w:val="008B17E8"/>
    <w:rsid w:val="008B266C"/>
    <w:rsid w:val="008B2D03"/>
    <w:rsid w:val="008B2E7C"/>
    <w:rsid w:val="008B3703"/>
    <w:rsid w:val="008B42AB"/>
    <w:rsid w:val="008B45A7"/>
    <w:rsid w:val="008B4A70"/>
    <w:rsid w:val="008B502F"/>
    <w:rsid w:val="008B5142"/>
    <w:rsid w:val="008B67CB"/>
    <w:rsid w:val="008B6A63"/>
    <w:rsid w:val="008B6AFE"/>
    <w:rsid w:val="008B6B83"/>
    <w:rsid w:val="008B7034"/>
    <w:rsid w:val="008B7227"/>
    <w:rsid w:val="008C03DD"/>
    <w:rsid w:val="008C191C"/>
    <w:rsid w:val="008C1DA4"/>
    <w:rsid w:val="008C2CD5"/>
    <w:rsid w:val="008C2E29"/>
    <w:rsid w:val="008C32B7"/>
    <w:rsid w:val="008C360C"/>
    <w:rsid w:val="008C3618"/>
    <w:rsid w:val="008C3F20"/>
    <w:rsid w:val="008C43AD"/>
    <w:rsid w:val="008C4B6C"/>
    <w:rsid w:val="008C59FB"/>
    <w:rsid w:val="008C619E"/>
    <w:rsid w:val="008C6687"/>
    <w:rsid w:val="008C68F0"/>
    <w:rsid w:val="008C6F92"/>
    <w:rsid w:val="008C731F"/>
    <w:rsid w:val="008C74D9"/>
    <w:rsid w:val="008C79C3"/>
    <w:rsid w:val="008C7A47"/>
    <w:rsid w:val="008D0170"/>
    <w:rsid w:val="008D1052"/>
    <w:rsid w:val="008D124C"/>
    <w:rsid w:val="008D1983"/>
    <w:rsid w:val="008D1BB3"/>
    <w:rsid w:val="008D1C32"/>
    <w:rsid w:val="008D22AE"/>
    <w:rsid w:val="008D234A"/>
    <w:rsid w:val="008D238C"/>
    <w:rsid w:val="008D566C"/>
    <w:rsid w:val="008D58D9"/>
    <w:rsid w:val="008D64F5"/>
    <w:rsid w:val="008D66EA"/>
    <w:rsid w:val="008D6E59"/>
    <w:rsid w:val="008D6F92"/>
    <w:rsid w:val="008D7155"/>
    <w:rsid w:val="008D7DE4"/>
    <w:rsid w:val="008E09B3"/>
    <w:rsid w:val="008E141A"/>
    <w:rsid w:val="008E1A44"/>
    <w:rsid w:val="008E28E6"/>
    <w:rsid w:val="008E2B60"/>
    <w:rsid w:val="008E3232"/>
    <w:rsid w:val="008E3674"/>
    <w:rsid w:val="008E3B6C"/>
    <w:rsid w:val="008E41A8"/>
    <w:rsid w:val="008E688C"/>
    <w:rsid w:val="008E68BB"/>
    <w:rsid w:val="008E6C9B"/>
    <w:rsid w:val="008E77D4"/>
    <w:rsid w:val="008F0981"/>
    <w:rsid w:val="008F0AFD"/>
    <w:rsid w:val="008F1287"/>
    <w:rsid w:val="008F17B2"/>
    <w:rsid w:val="008F28EE"/>
    <w:rsid w:val="008F357B"/>
    <w:rsid w:val="008F44CA"/>
    <w:rsid w:val="008F49B9"/>
    <w:rsid w:val="008F49D3"/>
    <w:rsid w:val="008F5081"/>
    <w:rsid w:val="008F6519"/>
    <w:rsid w:val="008F68DC"/>
    <w:rsid w:val="008F7012"/>
    <w:rsid w:val="008F7B17"/>
    <w:rsid w:val="00900042"/>
    <w:rsid w:val="0090034B"/>
    <w:rsid w:val="00902623"/>
    <w:rsid w:val="00902890"/>
    <w:rsid w:val="00904778"/>
    <w:rsid w:val="00904BE4"/>
    <w:rsid w:val="0090504A"/>
    <w:rsid w:val="00905D7E"/>
    <w:rsid w:val="009063B7"/>
    <w:rsid w:val="00907037"/>
    <w:rsid w:val="0091160A"/>
    <w:rsid w:val="00912838"/>
    <w:rsid w:val="00913258"/>
    <w:rsid w:val="00913883"/>
    <w:rsid w:val="0091564D"/>
    <w:rsid w:val="009156DA"/>
    <w:rsid w:val="00915CF3"/>
    <w:rsid w:val="00916BC5"/>
    <w:rsid w:val="0091726A"/>
    <w:rsid w:val="00920184"/>
    <w:rsid w:val="00920EA4"/>
    <w:rsid w:val="00921792"/>
    <w:rsid w:val="00921BEA"/>
    <w:rsid w:val="00922DB0"/>
    <w:rsid w:val="00923998"/>
    <w:rsid w:val="00923DB4"/>
    <w:rsid w:val="0092430E"/>
    <w:rsid w:val="0092625F"/>
    <w:rsid w:val="009268A9"/>
    <w:rsid w:val="00927B37"/>
    <w:rsid w:val="009301B2"/>
    <w:rsid w:val="0093065F"/>
    <w:rsid w:val="00931215"/>
    <w:rsid w:val="009313DD"/>
    <w:rsid w:val="00931BDE"/>
    <w:rsid w:val="009321B1"/>
    <w:rsid w:val="00932ED7"/>
    <w:rsid w:val="0093357E"/>
    <w:rsid w:val="0093422D"/>
    <w:rsid w:val="00934DD7"/>
    <w:rsid w:val="009369A9"/>
    <w:rsid w:val="00936CF7"/>
    <w:rsid w:val="00937201"/>
    <w:rsid w:val="0093734A"/>
    <w:rsid w:val="00937783"/>
    <w:rsid w:val="009377C3"/>
    <w:rsid w:val="00937D89"/>
    <w:rsid w:val="00940515"/>
    <w:rsid w:val="0094059D"/>
    <w:rsid w:val="009409B4"/>
    <w:rsid w:val="00940FE1"/>
    <w:rsid w:val="00942306"/>
    <w:rsid w:val="009424B8"/>
    <w:rsid w:val="009433A4"/>
    <w:rsid w:val="0094435B"/>
    <w:rsid w:val="00944668"/>
    <w:rsid w:val="00944DC6"/>
    <w:rsid w:val="0094537D"/>
    <w:rsid w:val="0094573F"/>
    <w:rsid w:val="009458B0"/>
    <w:rsid w:val="00945B52"/>
    <w:rsid w:val="00945DC0"/>
    <w:rsid w:val="00945F05"/>
    <w:rsid w:val="00946348"/>
    <w:rsid w:val="009471AD"/>
    <w:rsid w:val="00947233"/>
    <w:rsid w:val="009478A2"/>
    <w:rsid w:val="0095053B"/>
    <w:rsid w:val="0095074A"/>
    <w:rsid w:val="009512AB"/>
    <w:rsid w:val="00951474"/>
    <w:rsid w:val="00952DE9"/>
    <w:rsid w:val="00955643"/>
    <w:rsid w:val="00955FBB"/>
    <w:rsid w:val="0095694B"/>
    <w:rsid w:val="00956BD5"/>
    <w:rsid w:val="009574BB"/>
    <w:rsid w:val="009577B5"/>
    <w:rsid w:val="009608E6"/>
    <w:rsid w:val="009609E4"/>
    <w:rsid w:val="00961779"/>
    <w:rsid w:val="00962D00"/>
    <w:rsid w:val="00962EB1"/>
    <w:rsid w:val="0096612A"/>
    <w:rsid w:val="00966522"/>
    <w:rsid w:val="00967D3F"/>
    <w:rsid w:val="00967E78"/>
    <w:rsid w:val="00970D7E"/>
    <w:rsid w:val="00970F18"/>
    <w:rsid w:val="00971CF1"/>
    <w:rsid w:val="009721E9"/>
    <w:rsid w:val="00972A58"/>
    <w:rsid w:val="00973772"/>
    <w:rsid w:val="0097451E"/>
    <w:rsid w:val="00975598"/>
    <w:rsid w:val="00975D66"/>
    <w:rsid w:val="00975E1E"/>
    <w:rsid w:val="00975E70"/>
    <w:rsid w:val="00977B8F"/>
    <w:rsid w:val="00977CD6"/>
    <w:rsid w:val="00980162"/>
    <w:rsid w:val="00981D18"/>
    <w:rsid w:val="00982481"/>
    <w:rsid w:val="00982D26"/>
    <w:rsid w:val="0098330E"/>
    <w:rsid w:val="00983CB2"/>
    <w:rsid w:val="009849E9"/>
    <w:rsid w:val="00985F96"/>
    <w:rsid w:val="00987812"/>
    <w:rsid w:val="00990225"/>
    <w:rsid w:val="00990DF5"/>
    <w:rsid w:val="00991622"/>
    <w:rsid w:val="0099244B"/>
    <w:rsid w:val="009947B6"/>
    <w:rsid w:val="00995150"/>
    <w:rsid w:val="009957F3"/>
    <w:rsid w:val="00995D67"/>
    <w:rsid w:val="009970BF"/>
    <w:rsid w:val="009A013B"/>
    <w:rsid w:val="009A02F4"/>
    <w:rsid w:val="009A1F12"/>
    <w:rsid w:val="009A2494"/>
    <w:rsid w:val="009A26CA"/>
    <w:rsid w:val="009A36F2"/>
    <w:rsid w:val="009A47CC"/>
    <w:rsid w:val="009A5749"/>
    <w:rsid w:val="009A57D0"/>
    <w:rsid w:val="009A6559"/>
    <w:rsid w:val="009A68FC"/>
    <w:rsid w:val="009A6D4F"/>
    <w:rsid w:val="009A7514"/>
    <w:rsid w:val="009A7E7A"/>
    <w:rsid w:val="009B1584"/>
    <w:rsid w:val="009B2469"/>
    <w:rsid w:val="009B314F"/>
    <w:rsid w:val="009B439C"/>
    <w:rsid w:val="009B4A6C"/>
    <w:rsid w:val="009B5777"/>
    <w:rsid w:val="009B5779"/>
    <w:rsid w:val="009B6753"/>
    <w:rsid w:val="009B6A26"/>
    <w:rsid w:val="009C079D"/>
    <w:rsid w:val="009C0D70"/>
    <w:rsid w:val="009C13D1"/>
    <w:rsid w:val="009C2913"/>
    <w:rsid w:val="009C3008"/>
    <w:rsid w:val="009C365F"/>
    <w:rsid w:val="009C5AFE"/>
    <w:rsid w:val="009C6606"/>
    <w:rsid w:val="009C6CE5"/>
    <w:rsid w:val="009C6D50"/>
    <w:rsid w:val="009C72B6"/>
    <w:rsid w:val="009C7547"/>
    <w:rsid w:val="009D1678"/>
    <w:rsid w:val="009D1693"/>
    <w:rsid w:val="009D1C49"/>
    <w:rsid w:val="009D2721"/>
    <w:rsid w:val="009D2F60"/>
    <w:rsid w:val="009D3299"/>
    <w:rsid w:val="009D338C"/>
    <w:rsid w:val="009D3D0D"/>
    <w:rsid w:val="009D4944"/>
    <w:rsid w:val="009D5BAC"/>
    <w:rsid w:val="009D64BD"/>
    <w:rsid w:val="009D7B2F"/>
    <w:rsid w:val="009D7B6C"/>
    <w:rsid w:val="009D7F83"/>
    <w:rsid w:val="009E0D0A"/>
    <w:rsid w:val="009E0D1A"/>
    <w:rsid w:val="009E153F"/>
    <w:rsid w:val="009E2D6C"/>
    <w:rsid w:val="009E388B"/>
    <w:rsid w:val="009E393E"/>
    <w:rsid w:val="009E444E"/>
    <w:rsid w:val="009E45AF"/>
    <w:rsid w:val="009E4968"/>
    <w:rsid w:val="009E52F1"/>
    <w:rsid w:val="009E663C"/>
    <w:rsid w:val="009E6BB1"/>
    <w:rsid w:val="009F0092"/>
    <w:rsid w:val="009F0CD9"/>
    <w:rsid w:val="009F1A79"/>
    <w:rsid w:val="009F1F57"/>
    <w:rsid w:val="009F2E26"/>
    <w:rsid w:val="009F4FCF"/>
    <w:rsid w:val="009F5DE2"/>
    <w:rsid w:val="009F65F4"/>
    <w:rsid w:val="009F676B"/>
    <w:rsid w:val="009F6A30"/>
    <w:rsid w:val="009F74FE"/>
    <w:rsid w:val="00A004DF"/>
    <w:rsid w:val="00A00D29"/>
    <w:rsid w:val="00A00FD5"/>
    <w:rsid w:val="00A019A8"/>
    <w:rsid w:val="00A01B03"/>
    <w:rsid w:val="00A02C66"/>
    <w:rsid w:val="00A03861"/>
    <w:rsid w:val="00A0464C"/>
    <w:rsid w:val="00A054E0"/>
    <w:rsid w:val="00A0663F"/>
    <w:rsid w:val="00A066CE"/>
    <w:rsid w:val="00A0740B"/>
    <w:rsid w:val="00A07427"/>
    <w:rsid w:val="00A075A9"/>
    <w:rsid w:val="00A077E2"/>
    <w:rsid w:val="00A1080F"/>
    <w:rsid w:val="00A11042"/>
    <w:rsid w:val="00A133D8"/>
    <w:rsid w:val="00A14E97"/>
    <w:rsid w:val="00A17A9D"/>
    <w:rsid w:val="00A20069"/>
    <w:rsid w:val="00A20280"/>
    <w:rsid w:val="00A2163F"/>
    <w:rsid w:val="00A2244D"/>
    <w:rsid w:val="00A2253D"/>
    <w:rsid w:val="00A22AEC"/>
    <w:rsid w:val="00A2418A"/>
    <w:rsid w:val="00A247B8"/>
    <w:rsid w:val="00A24D39"/>
    <w:rsid w:val="00A24D8F"/>
    <w:rsid w:val="00A25B8B"/>
    <w:rsid w:val="00A269C3"/>
    <w:rsid w:val="00A26ECA"/>
    <w:rsid w:val="00A27374"/>
    <w:rsid w:val="00A309F1"/>
    <w:rsid w:val="00A30F68"/>
    <w:rsid w:val="00A317A5"/>
    <w:rsid w:val="00A324C1"/>
    <w:rsid w:val="00A337DB"/>
    <w:rsid w:val="00A3467F"/>
    <w:rsid w:val="00A34D34"/>
    <w:rsid w:val="00A3551A"/>
    <w:rsid w:val="00A373F4"/>
    <w:rsid w:val="00A376E8"/>
    <w:rsid w:val="00A37E69"/>
    <w:rsid w:val="00A37F8E"/>
    <w:rsid w:val="00A40979"/>
    <w:rsid w:val="00A41737"/>
    <w:rsid w:val="00A42B8F"/>
    <w:rsid w:val="00A43254"/>
    <w:rsid w:val="00A43896"/>
    <w:rsid w:val="00A43A26"/>
    <w:rsid w:val="00A447A0"/>
    <w:rsid w:val="00A457B2"/>
    <w:rsid w:val="00A459F5"/>
    <w:rsid w:val="00A45FC0"/>
    <w:rsid w:val="00A46B32"/>
    <w:rsid w:val="00A46EB8"/>
    <w:rsid w:val="00A478D2"/>
    <w:rsid w:val="00A47ECC"/>
    <w:rsid w:val="00A5008C"/>
    <w:rsid w:val="00A50171"/>
    <w:rsid w:val="00A5102E"/>
    <w:rsid w:val="00A51083"/>
    <w:rsid w:val="00A5132E"/>
    <w:rsid w:val="00A51533"/>
    <w:rsid w:val="00A51A4D"/>
    <w:rsid w:val="00A51E68"/>
    <w:rsid w:val="00A52F3B"/>
    <w:rsid w:val="00A531D4"/>
    <w:rsid w:val="00A55ACD"/>
    <w:rsid w:val="00A55CFA"/>
    <w:rsid w:val="00A5613B"/>
    <w:rsid w:val="00A575B8"/>
    <w:rsid w:val="00A647B1"/>
    <w:rsid w:val="00A64DEF"/>
    <w:rsid w:val="00A64F9E"/>
    <w:rsid w:val="00A657E1"/>
    <w:rsid w:val="00A65E4E"/>
    <w:rsid w:val="00A665DF"/>
    <w:rsid w:val="00A67F1B"/>
    <w:rsid w:val="00A67FCC"/>
    <w:rsid w:val="00A709F3"/>
    <w:rsid w:val="00A716DC"/>
    <w:rsid w:val="00A720AF"/>
    <w:rsid w:val="00A7217B"/>
    <w:rsid w:val="00A7293E"/>
    <w:rsid w:val="00A72EE4"/>
    <w:rsid w:val="00A73067"/>
    <w:rsid w:val="00A737C4"/>
    <w:rsid w:val="00A739A6"/>
    <w:rsid w:val="00A73C3B"/>
    <w:rsid w:val="00A75EF9"/>
    <w:rsid w:val="00A7627C"/>
    <w:rsid w:val="00A76BC9"/>
    <w:rsid w:val="00A77566"/>
    <w:rsid w:val="00A77956"/>
    <w:rsid w:val="00A80563"/>
    <w:rsid w:val="00A8311C"/>
    <w:rsid w:val="00A84BC8"/>
    <w:rsid w:val="00A84C5F"/>
    <w:rsid w:val="00A85D91"/>
    <w:rsid w:val="00A86973"/>
    <w:rsid w:val="00A8721F"/>
    <w:rsid w:val="00A8740B"/>
    <w:rsid w:val="00A87519"/>
    <w:rsid w:val="00A905A2"/>
    <w:rsid w:val="00A9246D"/>
    <w:rsid w:val="00A93644"/>
    <w:rsid w:val="00A93BD0"/>
    <w:rsid w:val="00A944A1"/>
    <w:rsid w:val="00A95D69"/>
    <w:rsid w:val="00A97122"/>
    <w:rsid w:val="00A975A4"/>
    <w:rsid w:val="00A977B3"/>
    <w:rsid w:val="00A97DC8"/>
    <w:rsid w:val="00AA1418"/>
    <w:rsid w:val="00AA1C43"/>
    <w:rsid w:val="00AA2001"/>
    <w:rsid w:val="00AA2B5C"/>
    <w:rsid w:val="00AA4E59"/>
    <w:rsid w:val="00AA5328"/>
    <w:rsid w:val="00AA5393"/>
    <w:rsid w:val="00AA63D4"/>
    <w:rsid w:val="00AA6767"/>
    <w:rsid w:val="00AA790B"/>
    <w:rsid w:val="00AB03FD"/>
    <w:rsid w:val="00AB1412"/>
    <w:rsid w:val="00AB38CB"/>
    <w:rsid w:val="00AB3BEC"/>
    <w:rsid w:val="00AB44E4"/>
    <w:rsid w:val="00AB4AEB"/>
    <w:rsid w:val="00AB5352"/>
    <w:rsid w:val="00AB56AE"/>
    <w:rsid w:val="00AB62D5"/>
    <w:rsid w:val="00AB65B5"/>
    <w:rsid w:val="00AB6DCD"/>
    <w:rsid w:val="00AB6EE0"/>
    <w:rsid w:val="00AB7579"/>
    <w:rsid w:val="00AC2DFD"/>
    <w:rsid w:val="00AC352D"/>
    <w:rsid w:val="00AC40B7"/>
    <w:rsid w:val="00AC5122"/>
    <w:rsid w:val="00AC531F"/>
    <w:rsid w:val="00AC6121"/>
    <w:rsid w:val="00AC626D"/>
    <w:rsid w:val="00AC64BF"/>
    <w:rsid w:val="00AC6CB1"/>
    <w:rsid w:val="00AC79DA"/>
    <w:rsid w:val="00AD0091"/>
    <w:rsid w:val="00AD0843"/>
    <w:rsid w:val="00AD23D8"/>
    <w:rsid w:val="00AD23EF"/>
    <w:rsid w:val="00AD2F0F"/>
    <w:rsid w:val="00AD307B"/>
    <w:rsid w:val="00AD31F9"/>
    <w:rsid w:val="00AD41B3"/>
    <w:rsid w:val="00AD456B"/>
    <w:rsid w:val="00AD4B31"/>
    <w:rsid w:val="00AD4C48"/>
    <w:rsid w:val="00AD57AF"/>
    <w:rsid w:val="00AD6267"/>
    <w:rsid w:val="00AD6292"/>
    <w:rsid w:val="00AD7317"/>
    <w:rsid w:val="00AD754C"/>
    <w:rsid w:val="00AE01A8"/>
    <w:rsid w:val="00AE069F"/>
    <w:rsid w:val="00AE0789"/>
    <w:rsid w:val="00AE0CBD"/>
    <w:rsid w:val="00AE123A"/>
    <w:rsid w:val="00AE1A1E"/>
    <w:rsid w:val="00AE2591"/>
    <w:rsid w:val="00AE28A7"/>
    <w:rsid w:val="00AE33A6"/>
    <w:rsid w:val="00AE36D5"/>
    <w:rsid w:val="00AE3715"/>
    <w:rsid w:val="00AE3729"/>
    <w:rsid w:val="00AE55B2"/>
    <w:rsid w:val="00AE5C6A"/>
    <w:rsid w:val="00AE65F7"/>
    <w:rsid w:val="00AE7280"/>
    <w:rsid w:val="00AF033A"/>
    <w:rsid w:val="00AF1699"/>
    <w:rsid w:val="00AF3896"/>
    <w:rsid w:val="00AF3CEE"/>
    <w:rsid w:val="00AF5706"/>
    <w:rsid w:val="00AF6479"/>
    <w:rsid w:val="00AF6C33"/>
    <w:rsid w:val="00B0098A"/>
    <w:rsid w:val="00B00A5F"/>
    <w:rsid w:val="00B0225F"/>
    <w:rsid w:val="00B029B8"/>
    <w:rsid w:val="00B02F60"/>
    <w:rsid w:val="00B032B8"/>
    <w:rsid w:val="00B03ABB"/>
    <w:rsid w:val="00B04B46"/>
    <w:rsid w:val="00B05050"/>
    <w:rsid w:val="00B0534D"/>
    <w:rsid w:val="00B06368"/>
    <w:rsid w:val="00B06FC6"/>
    <w:rsid w:val="00B07163"/>
    <w:rsid w:val="00B07429"/>
    <w:rsid w:val="00B11847"/>
    <w:rsid w:val="00B12DF9"/>
    <w:rsid w:val="00B12FE6"/>
    <w:rsid w:val="00B1303F"/>
    <w:rsid w:val="00B1364A"/>
    <w:rsid w:val="00B13D3C"/>
    <w:rsid w:val="00B1525C"/>
    <w:rsid w:val="00B16715"/>
    <w:rsid w:val="00B17910"/>
    <w:rsid w:val="00B2041B"/>
    <w:rsid w:val="00B20F18"/>
    <w:rsid w:val="00B21516"/>
    <w:rsid w:val="00B22CE0"/>
    <w:rsid w:val="00B23738"/>
    <w:rsid w:val="00B23BEF"/>
    <w:rsid w:val="00B247BB"/>
    <w:rsid w:val="00B25C11"/>
    <w:rsid w:val="00B25EDF"/>
    <w:rsid w:val="00B25EE6"/>
    <w:rsid w:val="00B27BC0"/>
    <w:rsid w:val="00B3115A"/>
    <w:rsid w:val="00B31A5C"/>
    <w:rsid w:val="00B33C19"/>
    <w:rsid w:val="00B33F84"/>
    <w:rsid w:val="00B3433E"/>
    <w:rsid w:val="00B34861"/>
    <w:rsid w:val="00B34B77"/>
    <w:rsid w:val="00B363BD"/>
    <w:rsid w:val="00B36844"/>
    <w:rsid w:val="00B369F7"/>
    <w:rsid w:val="00B36A99"/>
    <w:rsid w:val="00B37537"/>
    <w:rsid w:val="00B41B81"/>
    <w:rsid w:val="00B42980"/>
    <w:rsid w:val="00B434B2"/>
    <w:rsid w:val="00B434C7"/>
    <w:rsid w:val="00B43580"/>
    <w:rsid w:val="00B43D45"/>
    <w:rsid w:val="00B44771"/>
    <w:rsid w:val="00B4650E"/>
    <w:rsid w:val="00B468F2"/>
    <w:rsid w:val="00B46B45"/>
    <w:rsid w:val="00B46D3D"/>
    <w:rsid w:val="00B46F6B"/>
    <w:rsid w:val="00B47286"/>
    <w:rsid w:val="00B47894"/>
    <w:rsid w:val="00B47DDE"/>
    <w:rsid w:val="00B50234"/>
    <w:rsid w:val="00B51BF4"/>
    <w:rsid w:val="00B51F4B"/>
    <w:rsid w:val="00B52C68"/>
    <w:rsid w:val="00B542FE"/>
    <w:rsid w:val="00B551CE"/>
    <w:rsid w:val="00B55A1B"/>
    <w:rsid w:val="00B561DB"/>
    <w:rsid w:val="00B57494"/>
    <w:rsid w:val="00B61DCE"/>
    <w:rsid w:val="00B62188"/>
    <w:rsid w:val="00B62467"/>
    <w:rsid w:val="00B62F79"/>
    <w:rsid w:val="00B62F82"/>
    <w:rsid w:val="00B648FA"/>
    <w:rsid w:val="00B662FF"/>
    <w:rsid w:val="00B708C2"/>
    <w:rsid w:val="00B72C80"/>
    <w:rsid w:val="00B730B4"/>
    <w:rsid w:val="00B74340"/>
    <w:rsid w:val="00B744E0"/>
    <w:rsid w:val="00B7481A"/>
    <w:rsid w:val="00B74F2F"/>
    <w:rsid w:val="00B756FB"/>
    <w:rsid w:val="00B762CA"/>
    <w:rsid w:val="00B769BC"/>
    <w:rsid w:val="00B77349"/>
    <w:rsid w:val="00B7761E"/>
    <w:rsid w:val="00B80A37"/>
    <w:rsid w:val="00B80A3D"/>
    <w:rsid w:val="00B81902"/>
    <w:rsid w:val="00B823E0"/>
    <w:rsid w:val="00B82B78"/>
    <w:rsid w:val="00B84662"/>
    <w:rsid w:val="00B85402"/>
    <w:rsid w:val="00B864A3"/>
    <w:rsid w:val="00B86C2A"/>
    <w:rsid w:val="00B877F1"/>
    <w:rsid w:val="00B902A5"/>
    <w:rsid w:val="00B90420"/>
    <w:rsid w:val="00B913E4"/>
    <w:rsid w:val="00B91DB9"/>
    <w:rsid w:val="00B93487"/>
    <w:rsid w:val="00B93A82"/>
    <w:rsid w:val="00B93EFE"/>
    <w:rsid w:val="00B93F2F"/>
    <w:rsid w:val="00B94956"/>
    <w:rsid w:val="00B94C7F"/>
    <w:rsid w:val="00B956B5"/>
    <w:rsid w:val="00B95C3A"/>
    <w:rsid w:val="00B95FCE"/>
    <w:rsid w:val="00BA0D44"/>
    <w:rsid w:val="00BA0E26"/>
    <w:rsid w:val="00BA31BF"/>
    <w:rsid w:val="00BA3EBF"/>
    <w:rsid w:val="00BA43FC"/>
    <w:rsid w:val="00BA478B"/>
    <w:rsid w:val="00BA5224"/>
    <w:rsid w:val="00BA70B3"/>
    <w:rsid w:val="00BA7B27"/>
    <w:rsid w:val="00BA7E3B"/>
    <w:rsid w:val="00BB079C"/>
    <w:rsid w:val="00BB2B56"/>
    <w:rsid w:val="00BB39C1"/>
    <w:rsid w:val="00BB4901"/>
    <w:rsid w:val="00BB5D16"/>
    <w:rsid w:val="00BB6180"/>
    <w:rsid w:val="00BB69E6"/>
    <w:rsid w:val="00BB7D2A"/>
    <w:rsid w:val="00BC0760"/>
    <w:rsid w:val="00BC1B7A"/>
    <w:rsid w:val="00BC2BC7"/>
    <w:rsid w:val="00BC2C17"/>
    <w:rsid w:val="00BC3ACD"/>
    <w:rsid w:val="00BC3C33"/>
    <w:rsid w:val="00BC66D7"/>
    <w:rsid w:val="00BC6E73"/>
    <w:rsid w:val="00BD0014"/>
    <w:rsid w:val="00BD01D8"/>
    <w:rsid w:val="00BD0CBE"/>
    <w:rsid w:val="00BD2512"/>
    <w:rsid w:val="00BD255F"/>
    <w:rsid w:val="00BD383D"/>
    <w:rsid w:val="00BD4236"/>
    <w:rsid w:val="00BD575B"/>
    <w:rsid w:val="00BD5CCA"/>
    <w:rsid w:val="00BD5CD4"/>
    <w:rsid w:val="00BD6652"/>
    <w:rsid w:val="00BD6EF9"/>
    <w:rsid w:val="00BD77DD"/>
    <w:rsid w:val="00BE0ACB"/>
    <w:rsid w:val="00BE0E74"/>
    <w:rsid w:val="00BE1A90"/>
    <w:rsid w:val="00BE3537"/>
    <w:rsid w:val="00BE360F"/>
    <w:rsid w:val="00BE50FD"/>
    <w:rsid w:val="00BE51CA"/>
    <w:rsid w:val="00BE5E5A"/>
    <w:rsid w:val="00BE6D47"/>
    <w:rsid w:val="00BE7032"/>
    <w:rsid w:val="00BE7330"/>
    <w:rsid w:val="00BF01C5"/>
    <w:rsid w:val="00BF066A"/>
    <w:rsid w:val="00BF361C"/>
    <w:rsid w:val="00BF4342"/>
    <w:rsid w:val="00BF5050"/>
    <w:rsid w:val="00BF5422"/>
    <w:rsid w:val="00BF54CF"/>
    <w:rsid w:val="00BF59B1"/>
    <w:rsid w:val="00BF6A78"/>
    <w:rsid w:val="00BF6E19"/>
    <w:rsid w:val="00BF79B4"/>
    <w:rsid w:val="00C01427"/>
    <w:rsid w:val="00C016A1"/>
    <w:rsid w:val="00C04C49"/>
    <w:rsid w:val="00C0508D"/>
    <w:rsid w:val="00C058AF"/>
    <w:rsid w:val="00C11AAA"/>
    <w:rsid w:val="00C124C1"/>
    <w:rsid w:val="00C128AE"/>
    <w:rsid w:val="00C1300C"/>
    <w:rsid w:val="00C136D6"/>
    <w:rsid w:val="00C13D5B"/>
    <w:rsid w:val="00C16047"/>
    <w:rsid w:val="00C17AE2"/>
    <w:rsid w:val="00C20F27"/>
    <w:rsid w:val="00C214D1"/>
    <w:rsid w:val="00C215CF"/>
    <w:rsid w:val="00C223F8"/>
    <w:rsid w:val="00C2244B"/>
    <w:rsid w:val="00C22B0D"/>
    <w:rsid w:val="00C22F55"/>
    <w:rsid w:val="00C240C1"/>
    <w:rsid w:val="00C250D0"/>
    <w:rsid w:val="00C252AC"/>
    <w:rsid w:val="00C255AB"/>
    <w:rsid w:val="00C264F0"/>
    <w:rsid w:val="00C27214"/>
    <w:rsid w:val="00C27597"/>
    <w:rsid w:val="00C30382"/>
    <w:rsid w:val="00C30D6F"/>
    <w:rsid w:val="00C31063"/>
    <w:rsid w:val="00C31B7E"/>
    <w:rsid w:val="00C32217"/>
    <w:rsid w:val="00C3242A"/>
    <w:rsid w:val="00C32AE2"/>
    <w:rsid w:val="00C33201"/>
    <w:rsid w:val="00C332C4"/>
    <w:rsid w:val="00C33C3C"/>
    <w:rsid w:val="00C35857"/>
    <w:rsid w:val="00C360B3"/>
    <w:rsid w:val="00C3679B"/>
    <w:rsid w:val="00C36E63"/>
    <w:rsid w:val="00C37027"/>
    <w:rsid w:val="00C3778D"/>
    <w:rsid w:val="00C405A3"/>
    <w:rsid w:val="00C40B70"/>
    <w:rsid w:val="00C42752"/>
    <w:rsid w:val="00C42973"/>
    <w:rsid w:val="00C44F9C"/>
    <w:rsid w:val="00C4730E"/>
    <w:rsid w:val="00C47ED3"/>
    <w:rsid w:val="00C5019C"/>
    <w:rsid w:val="00C5034F"/>
    <w:rsid w:val="00C52479"/>
    <w:rsid w:val="00C5291F"/>
    <w:rsid w:val="00C52C59"/>
    <w:rsid w:val="00C5349E"/>
    <w:rsid w:val="00C5354B"/>
    <w:rsid w:val="00C54467"/>
    <w:rsid w:val="00C54D3D"/>
    <w:rsid w:val="00C55116"/>
    <w:rsid w:val="00C55A30"/>
    <w:rsid w:val="00C57C58"/>
    <w:rsid w:val="00C6028F"/>
    <w:rsid w:val="00C6046F"/>
    <w:rsid w:val="00C608F1"/>
    <w:rsid w:val="00C631E1"/>
    <w:rsid w:val="00C637E8"/>
    <w:rsid w:val="00C638D8"/>
    <w:rsid w:val="00C63C84"/>
    <w:rsid w:val="00C63D26"/>
    <w:rsid w:val="00C641EB"/>
    <w:rsid w:val="00C65053"/>
    <w:rsid w:val="00C65BD9"/>
    <w:rsid w:val="00C66061"/>
    <w:rsid w:val="00C66F69"/>
    <w:rsid w:val="00C67223"/>
    <w:rsid w:val="00C67CFF"/>
    <w:rsid w:val="00C707B8"/>
    <w:rsid w:val="00C7084B"/>
    <w:rsid w:val="00C71C15"/>
    <w:rsid w:val="00C71F3D"/>
    <w:rsid w:val="00C72F53"/>
    <w:rsid w:val="00C74035"/>
    <w:rsid w:val="00C76FF4"/>
    <w:rsid w:val="00C77818"/>
    <w:rsid w:val="00C77AE3"/>
    <w:rsid w:val="00C8063F"/>
    <w:rsid w:val="00C81549"/>
    <w:rsid w:val="00C829A1"/>
    <w:rsid w:val="00C83B36"/>
    <w:rsid w:val="00C84F8A"/>
    <w:rsid w:val="00C84FDF"/>
    <w:rsid w:val="00C85209"/>
    <w:rsid w:val="00C8618F"/>
    <w:rsid w:val="00C90372"/>
    <w:rsid w:val="00C9041F"/>
    <w:rsid w:val="00C90AD1"/>
    <w:rsid w:val="00C9138F"/>
    <w:rsid w:val="00C91A45"/>
    <w:rsid w:val="00C91ED2"/>
    <w:rsid w:val="00C91FB4"/>
    <w:rsid w:val="00C9364F"/>
    <w:rsid w:val="00C95745"/>
    <w:rsid w:val="00C962E3"/>
    <w:rsid w:val="00C965BD"/>
    <w:rsid w:val="00C97997"/>
    <w:rsid w:val="00CA08FE"/>
    <w:rsid w:val="00CA0FAC"/>
    <w:rsid w:val="00CA25C0"/>
    <w:rsid w:val="00CA2697"/>
    <w:rsid w:val="00CA3451"/>
    <w:rsid w:val="00CA4948"/>
    <w:rsid w:val="00CA52F9"/>
    <w:rsid w:val="00CA568B"/>
    <w:rsid w:val="00CA74D4"/>
    <w:rsid w:val="00CA7500"/>
    <w:rsid w:val="00CB1239"/>
    <w:rsid w:val="00CB178B"/>
    <w:rsid w:val="00CB19FE"/>
    <w:rsid w:val="00CB23C2"/>
    <w:rsid w:val="00CB304C"/>
    <w:rsid w:val="00CB53E8"/>
    <w:rsid w:val="00CB593E"/>
    <w:rsid w:val="00CB594A"/>
    <w:rsid w:val="00CB5CB2"/>
    <w:rsid w:val="00CB6979"/>
    <w:rsid w:val="00CB74EC"/>
    <w:rsid w:val="00CC0A3D"/>
    <w:rsid w:val="00CC2373"/>
    <w:rsid w:val="00CC3C6A"/>
    <w:rsid w:val="00CC3D24"/>
    <w:rsid w:val="00CC3F91"/>
    <w:rsid w:val="00CC4B0A"/>
    <w:rsid w:val="00CC544A"/>
    <w:rsid w:val="00CC57EA"/>
    <w:rsid w:val="00CC5954"/>
    <w:rsid w:val="00CC6C4E"/>
    <w:rsid w:val="00CD05A2"/>
    <w:rsid w:val="00CD19DA"/>
    <w:rsid w:val="00CD233D"/>
    <w:rsid w:val="00CD29D4"/>
    <w:rsid w:val="00CD38F5"/>
    <w:rsid w:val="00CD3ABE"/>
    <w:rsid w:val="00CD400F"/>
    <w:rsid w:val="00CD437E"/>
    <w:rsid w:val="00CD572E"/>
    <w:rsid w:val="00CD5A89"/>
    <w:rsid w:val="00CD5DAD"/>
    <w:rsid w:val="00CD72C5"/>
    <w:rsid w:val="00CD77A2"/>
    <w:rsid w:val="00CD79A7"/>
    <w:rsid w:val="00CE0789"/>
    <w:rsid w:val="00CE1A03"/>
    <w:rsid w:val="00CE2346"/>
    <w:rsid w:val="00CE3529"/>
    <w:rsid w:val="00CE35C8"/>
    <w:rsid w:val="00CE3962"/>
    <w:rsid w:val="00CE4983"/>
    <w:rsid w:val="00CE5105"/>
    <w:rsid w:val="00CE56BD"/>
    <w:rsid w:val="00CE5EC0"/>
    <w:rsid w:val="00CE6F9F"/>
    <w:rsid w:val="00CE773B"/>
    <w:rsid w:val="00CE781A"/>
    <w:rsid w:val="00CE7B3A"/>
    <w:rsid w:val="00CF10D4"/>
    <w:rsid w:val="00CF1D74"/>
    <w:rsid w:val="00CF2BE2"/>
    <w:rsid w:val="00CF31C0"/>
    <w:rsid w:val="00CF3839"/>
    <w:rsid w:val="00CF55F9"/>
    <w:rsid w:val="00CF56F1"/>
    <w:rsid w:val="00CF59DF"/>
    <w:rsid w:val="00CF71A6"/>
    <w:rsid w:val="00CF7495"/>
    <w:rsid w:val="00CF7671"/>
    <w:rsid w:val="00D01CF9"/>
    <w:rsid w:val="00D0334D"/>
    <w:rsid w:val="00D0374D"/>
    <w:rsid w:val="00D05A76"/>
    <w:rsid w:val="00D075F8"/>
    <w:rsid w:val="00D0790C"/>
    <w:rsid w:val="00D07F1D"/>
    <w:rsid w:val="00D10558"/>
    <w:rsid w:val="00D1203E"/>
    <w:rsid w:val="00D12886"/>
    <w:rsid w:val="00D13D03"/>
    <w:rsid w:val="00D13E70"/>
    <w:rsid w:val="00D140B5"/>
    <w:rsid w:val="00D16136"/>
    <w:rsid w:val="00D16C58"/>
    <w:rsid w:val="00D17019"/>
    <w:rsid w:val="00D170C1"/>
    <w:rsid w:val="00D21168"/>
    <w:rsid w:val="00D235C8"/>
    <w:rsid w:val="00D2438C"/>
    <w:rsid w:val="00D25264"/>
    <w:rsid w:val="00D25DFA"/>
    <w:rsid w:val="00D26C3F"/>
    <w:rsid w:val="00D27185"/>
    <w:rsid w:val="00D278A6"/>
    <w:rsid w:val="00D27C40"/>
    <w:rsid w:val="00D31E78"/>
    <w:rsid w:val="00D32B84"/>
    <w:rsid w:val="00D337AE"/>
    <w:rsid w:val="00D33AB3"/>
    <w:rsid w:val="00D33F24"/>
    <w:rsid w:val="00D346B7"/>
    <w:rsid w:val="00D346B8"/>
    <w:rsid w:val="00D35AC8"/>
    <w:rsid w:val="00D35D34"/>
    <w:rsid w:val="00D36F87"/>
    <w:rsid w:val="00D37E4E"/>
    <w:rsid w:val="00D426F4"/>
    <w:rsid w:val="00D42E6C"/>
    <w:rsid w:val="00D43218"/>
    <w:rsid w:val="00D43B80"/>
    <w:rsid w:val="00D44236"/>
    <w:rsid w:val="00D442B9"/>
    <w:rsid w:val="00D45B1E"/>
    <w:rsid w:val="00D45BA4"/>
    <w:rsid w:val="00D46CA8"/>
    <w:rsid w:val="00D46E77"/>
    <w:rsid w:val="00D471AF"/>
    <w:rsid w:val="00D4724F"/>
    <w:rsid w:val="00D50519"/>
    <w:rsid w:val="00D516A5"/>
    <w:rsid w:val="00D5264C"/>
    <w:rsid w:val="00D5289A"/>
    <w:rsid w:val="00D537FE"/>
    <w:rsid w:val="00D538F0"/>
    <w:rsid w:val="00D54A6A"/>
    <w:rsid w:val="00D54BF8"/>
    <w:rsid w:val="00D54D7C"/>
    <w:rsid w:val="00D55951"/>
    <w:rsid w:val="00D56316"/>
    <w:rsid w:val="00D572BE"/>
    <w:rsid w:val="00D57EB6"/>
    <w:rsid w:val="00D60ED7"/>
    <w:rsid w:val="00D62B20"/>
    <w:rsid w:val="00D63586"/>
    <w:rsid w:val="00D664BF"/>
    <w:rsid w:val="00D66D8B"/>
    <w:rsid w:val="00D72A1C"/>
    <w:rsid w:val="00D73580"/>
    <w:rsid w:val="00D73802"/>
    <w:rsid w:val="00D73868"/>
    <w:rsid w:val="00D73C2C"/>
    <w:rsid w:val="00D73D52"/>
    <w:rsid w:val="00D742A0"/>
    <w:rsid w:val="00D745E7"/>
    <w:rsid w:val="00D74BD9"/>
    <w:rsid w:val="00D75FF0"/>
    <w:rsid w:val="00D77495"/>
    <w:rsid w:val="00D774ED"/>
    <w:rsid w:val="00D7778F"/>
    <w:rsid w:val="00D777F6"/>
    <w:rsid w:val="00D77F88"/>
    <w:rsid w:val="00D8044C"/>
    <w:rsid w:val="00D81EAA"/>
    <w:rsid w:val="00D8259F"/>
    <w:rsid w:val="00D825F2"/>
    <w:rsid w:val="00D828B1"/>
    <w:rsid w:val="00D84461"/>
    <w:rsid w:val="00D84F27"/>
    <w:rsid w:val="00D850D4"/>
    <w:rsid w:val="00D862D1"/>
    <w:rsid w:val="00D873C6"/>
    <w:rsid w:val="00D91027"/>
    <w:rsid w:val="00D937E0"/>
    <w:rsid w:val="00D94C7D"/>
    <w:rsid w:val="00D94CA4"/>
    <w:rsid w:val="00D94FB4"/>
    <w:rsid w:val="00D95E99"/>
    <w:rsid w:val="00DA098C"/>
    <w:rsid w:val="00DA0BF8"/>
    <w:rsid w:val="00DA0FFB"/>
    <w:rsid w:val="00DA1A3A"/>
    <w:rsid w:val="00DA2C65"/>
    <w:rsid w:val="00DA395D"/>
    <w:rsid w:val="00DA3A34"/>
    <w:rsid w:val="00DA44EB"/>
    <w:rsid w:val="00DB16B8"/>
    <w:rsid w:val="00DB1D52"/>
    <w:rsid w:val="00DB1F62"/>
    <w:rsid w:val="00DB2E03"/>
    <w:rsid w:val="00DB3742"/>
    <w:rsid w:val="00DB3F4B"/>
    <w:rsid w:val="00DB61A4"/>
    <w:rsid w:val="00DB67C1"/>
    <w:rsid w:val="00DB70CD"/>
    <w:rsid w:val="00DB70F4"/>
    <w:rsid w:val="00DC1056"/>
    <w:rsid w:val="00DC16DA"/>
    <w:rsid w:val="00DC211E"/>
    <w:rsid w:val="00DC21D8"/>
    <w:rsid w:val="00DC2369"/>
    <w:rsid w:val="00DC282A"/>
    <w:rsid w:val="00DC34DC"/>
    <w:rsid w:val="00DC3CC6"/>
    <w:rsid w:val="00DC514A"/>
    <w:rsid w:val="00DC64EC"/>
    <w:rsid w:val="00DC67B1"/>
    <w:rsid w:val="00DC7833"/>
    <w:rsid w:val="00DC7B22"/>
    <w:rsid w:val="00DD132B"/>
    <w:rsid w:val="00DD1725"/>
    <w:rsid w:val="00DD21B9"/>
    <w:rsid w:val="00DD2427"/>
    <w:rsid w:val="00DD2A18"/>
    <w:rsid w:val="00DD377A"/>
    <w:rsid w:val="00DD3ECA"/>
    <w:rsid w:val="00DD5AB3"/>
    <w:rsid w:val="00DD5B1A"/>
    <w:rsid w:val="00DD61E8"/>
    <w:rsid w:val="00DD62C0"/>
    <w:rsid w:val="00DD6773"/>
    <w:rsid w:val="00DD7859"/>
    <w:rsid w:val="00DE03AC"/>
    <w:rsid w:val="00DE0A1D"/>
    <w:rsid w:val="00DE15B2"/>
    <w:rsid w:val="00DE1826"/>
    <w:rsid w:val="00DE1A9A"/>
    <w:rsid w:val="00DE23B5"/>
    <w:rsid w:val="00DE2494"/>
    <w:rsid w:val="00DE3D2C"/>
    <w:rsid w:val="00DE43D0"/>
    <w:rsid w:val="00DE5E82"/>
    <w:rsid w:val="00DE5FA6"/>
    <w:rsid w:val="00DE6494"/>
    <w:rsid w:val="00DE6AA1"/>
    <w:rsid w:val="00DE6C57"/>
    <w:rsid w:val="00DE74D7"/>
    <w:rsid w:val="00DE7DCC"/>
    <w:rsid w:val="00DE7EF7"/>
    <w:rsid w:val="00DF1185"/>
    <w:rsid w:val="00DF1299"/>
    <w:rsid w:val="00DF164F"/>
    <w:rsid w:val="00DF1A70"/>
    <w:rsid w:val="00DF23A8"/>
    <w:rsid w:val="00DF2F27"/>
    <w:rsid w:val="00DF6CCC"/>
    <w:rsid w:val="00DF6D0C"/>
    <w:rsid w:val="00DF6F64"/>
    <w:rsid w:val="00DF721E"/>
    <w:rsid w:val="00DF7C87"/>
    <w:rsid w:val="00E009B0"/>
    <w:rsid w:val="00E0345F"/>
    <w:rsid w:val="00E03D5C"/>
    <w:rsid w:val="00E043AC"/>
    <w:rsid w:val="00E043E9"/>
    <w:rsid w:val="00E046A9"/>
    <w:rsid w:val="00E04C0F"/>
    <w:rsid w:val="00E0570B"/>
    <w:rsid w:val="00E057B2"/>
    <w:rsid w:val="00E05996"/>
    <w:rsid w:val="00E10B87"/>
    <w:rsid w:val="00E1478B"/>
    <w:rsid w:val="00E14FAC"/>
    <w:rsid w:val="00E15007"/>
    <w:rsid w:val="00E16EC7"/>
    <w:rsid w:val="00E1714F"/>
    <w:rsid w:val="00E2026B"/>
    <w:rsid w:val="00E21576"/>
    <w:rsid w:val="00E219CE"/>
    <w:rsid w:val="00E21CAB"/>
    <w:rsid w:val="00E21E23"/>
    <w:rsid w:val="00E23961"/>
    <w:rsid w:val="00E24071"/>
    <w:rsid w:val="00E24EBC"/>
    <w:rsid w:val="00E2522C"/>
    <w:rsid w:val="00E2599B"/>
    <w:rsid w:val="00E27383"/>
    <w:rsid w:val="00E2793D"/>
    <w:rsid w:val="00E31AFA"/>
    <w:rsid w:val="00E3203D"/>
    <w:rsid w:val="00E324EE"/>
    <w:rsid w:val="00E34296"/>
    <w:rsid w:val="00E359FF"/>
    <w:rsid w:val="00E36AA7"/>
    <w:rsid w:val="00E36E39"/>
    <w:rsid w:val="00E36F0C"/>
    <w:rsid w:val="00E405F1"/>
    <w:rsid w:val="00E43054"/>
    <w:rsid w:val="00E434C4"/>
    <w:rsid w:val="00E44FE4"/>
    <w:rsid w:val="00E453FC"/>
    <w:rsid w:val="00E45D30"/>
    <w:rsid w:val="00E46013"/>
    <w:rsid w:val="00E4654B"/>
    <w:rsid w:val="00E477C3"/>
    <w:rsid w:val="00E50148"/>
    <w:rsid w:val="00E5048D"/>
    <w:rsid w:val="00E504BB"/>
    <w:rsid w:val="00E50AC4"/>
    <w:rsid w:val="00E50E2C"/>
    <w:rsid w:val="00E51077"/>
    <w:rsid w:val="00E5132D"/>
    <w:rsid w:val="00E51741"/>
    <w:rsid w:val="00E51E16"/>
    <w:rsid w:val="00E52051"/>
    <w:rsid w:val="00E52151"/>
    <w:rsid w:val="00E53730"/>
    <w:rsid w:val="00E53C46"/>
    <w:rsid w:val="00E54511"/>
    <w:rsid w:val="00E55DC3"/>
    <w:rsid w:val="00E55E88"/>
    <w:rsid w:val="00E57577"/>
    <w:rsid w:val="00E601DE"/>
    <w:rsid w:val="00E62043"/>
    <w:rsid w:val="00E626B9"/>
    <w:rsid w:val="00E627C9"/>
    <w:rsid w:val="00E630F3"/>
    <w:rsid w:val="00E64E10"/>
    <w:rsid w:val="00E650E0"/>
    <w:rsid w:val="00E65141"/>
    <w:rsid w:val="00E65198"/>
    <w:rsid w:val="00E664FB"/>
    <w:rsid w:val="00E66F0D"/>
    <w:rsid w:val="00E672F9"/>
    <w:rsid w:val="00E67345"/>
    <w:rsid w:val="00E70615"/>
    <w:rsid w:val="00E71A5E"/>
    <w:rsid w:val="00E7207B"/>
    <w:rsid w:val="00E7347A"/>
    <w:rsid w:val="00E75325"/>
    <w:rsid w:val="00E758C0"/>
    <w:rsid w:val="00E759FB"/>
    <w:rsid w:val="00E75A47"/>
    <w:rsid w:val="00E75D8C"/>
    <w:rsid w:val="00E77771"/>
    <w:rsid w:val="00E777F2"/>
    <w:rsid w:val="00E779ED"/>
    <w:rsid w:val="00E802C9"/>
    <w:rsid w:val="00E80EDD"/>
    <w:rsid w:val="00E80F0A"/>
    <w:rsid w:val="00E81A6A"/>
    <w:rsid w:val="00E8291B"/>
    <w:rsid w:val="00E82FBC"/>
    <w:rsid w:val="00E8395F"/>
    <w:rsid w:val="00E8473F"/>
    <w:rsid w:val="00E84DD1"/>
    <w:rsid w:val="00E85E41"/>
    <w:rsid w:val="00E85EA1"/>
    <w:rsid w:val="00E91044"/>
    <w:rsid w:val="00E910D3"/>
    <w:rsid w:val="00E923CF"/>
    <w:rsid w:val="00E9335F"/>
    <w:rsid w:val="00E95111"/>
    <w:rsid w:val="00E9743C"/>
    <w:rsid w:val="00E9760C"/>
    <w:rsid w:val="00EA048D"/>
    <w:rsid w:val="00EA061E"/>
    <w:rsid w:val="00EA08DE"/>
    <w:rsid w:val="00EA14C8"/>
    <w:rsid w:val="00EA19D3"/>
    <w:rsid w:val="00EA2296"/>
    <w:rsid w:val="00EA2C8D"/>
    <w:rsid w:val="00EA6649"/>
    <w:rsid w:val="00EB05D0"/>
    <w:rsid w:val="00EB07C5"/>
    <w:rsid w:val="00EB1D49"/>
    <w:rsid w:val="00EB42DD"/>
    <w:rsid w:val="00EB559F"/>
    <w:rsid w:val="00EB5F3D"/>
    <w:rsid w:val="00EB6900"/>
    <w:rsid w:val="00EB6EC2"/>
    <w:rsid w:val="00EC1CEB"/>
    <w:rsid w:val="00EC21A7"/>
    <w:rsid w:val="00EC268C"/>
    <w:rsid w:val="00EC3747"/>
    <w:rsid w:val="00EC3753"/>
    <w:rsid w:val="00EC3CB8"/>
    <w:rsid w:val="00EC3D46"/>
    <w:rsid w:val="00EC4E71"/>
    <w:rsid w:val="00EC6667"/>
    <w:rsid w:val="00EC783E"/>
    <w:rsid w:val="00ED0365"/>
    <w:rsid w:val="00ED0865"/>
    <w:rsid w:val="00ED094F"/>
    <w:rsid w:val="00ED16B6"/>
    <w:rsid w:val="00ED1C60"/>
    <w:rsid w:val="00ED2EB9"/>
    <w:rsid w:val="00ED4469"/>
    <w:rsid w:val="00ED5F23"/>
    <w:rsid w:val="00ED675F"/>
    <w:rsid w:val="00ED6DC0"/>
    <w:rsid w:val="00ED79CE"/>
    <w:rsid w:val="00ED7A7A"/>
    <w:rsid w:val="00EE038C"/>
    <w:rsid w:val="00EE040B"/>
    <w:rsid w:val="00EE168A"/>
    <w:rsid w:val="00EE47C5"/>
    <w:rsid w:val="00EE490C"/>
    <w:rsid w:val="00EE613B"/>
    <w:rsid w:val="00EE65D6"/>
    <w:rsid w:val="00EE6609"/>
    <w:rsid w:val="00EE7D60"/>
    <w:rsid w:val="00EE7E17"/>
    <w:rsid w:val="00EF2C8E"/>
    <w:rsid w:val="00EF3174"/>
    <w:rsid w:val="00EF3303"/>
    <w:rsid w:val="00EF37AB"/>
    <w:rsid w:val="00EF3A0D"/>
    <w:rsid w:val="00EF3CEB"/>
    <w:rsid w:val="00EF41A8"/>
    <w:rsid w:val="00EF44FB"/>
    <w:rsid w:val="00EF4D3C"/>
    <w:rsid w:val="00EF51CA"/>
    <w:rsid w:val="00EF5554"/>
    <w:rsid w:val="00EF5AD8"/>
    <w:rsid w:val="00EF5D2F"/>
    <w:rsid w:val="00EF63F5"/>
    <w:rsid w:val="00EF6758"/>
    <w:rsid w:val="00EF6B90"/>
    <w:rsid w:val="00EF70AE"/>
    <w:rsid w:val="00EF7113"/>
    <w:rsid w:val="00EF79F7"/>
    <w:rsid w:val="00F00418"/>
    <w:rsid w:val="00F006C0"/>
    <w:rsid w:val="00F009BB"/>
    <w:rsid w:val="00F019AA"/>
    <w:rsid w:val="00F0267E"/>
    <w:rsid w:val="00F02686"/>
    <w:rsid w:val="00F03D99"/>
    <w:rsid w:val="00F0459B"/>
    <w:rsid w:val="00F04E15"/>
    <w:rsid w:val="00F05DF3"/>
    <w:rsid w:val="00F0641B"/>
    <w:rsid w:val="00F069EA"/>
    <w:rsid w:val="00F07B6E"/>
    <w:rsid w:val="00F07DF8"/>
    <w:rsid w:val="00F11461"/>
    <w:rsid w:val="00F11675"/>
    <w:rsid w:val="00F1182D"/>
    <w:rsid w:val="00F12250"/>
    <w:rsid w:val="00F12557"/>
    <w:rsid w:val="00F12D4D"/>
    <w:rsid w:val="00F13A8F"/>
    <w:rsid w:val="00F144F8"/>
    <w:rsid w:val="00F14DF8"/>
    <w:rsid w:val="00F164A3"/>
    <w:rsid w:val="00F17AD9"/>
    <w:rsid w:val="00F17F74"/>
    <w:rsid w:val="00F202C2"/>
    <w:rsid w:val="00F209D5"/>
    <w:rsid w:val="00F20C3A"/>
    <w:rsid w:val="00F22756"/>
    <w:rsid w:val="00F23890"/>
    <w:rsid w:val="00F2447A"/>
    <w:rsid w:val="00F24638"/>
    <w:rsid w:val="00F2504D"/>
    <w:rsid w:val="00F2637F"/>
    <w:rsid w:val="00F263A8"/>
    <w:rsid w:val="00F268F7"/>
    <w:rsid w:val="00F3053D"/>
    <w:rsid w:val="00F30BDB"/>
    <w:rsid w:val="00F30CF8"/>
    <w:rsid w:val="00F31633"/>
    <w:rsid w:val="00F31EDF"/>
    <w:rsid w:val="00F32CDE"/>
    <w:rsid w:val="00F32D4C"/>
    <w:rsid w:val="00F34811"/>
    <w:rsid w:val="00F34B14"/>
    <w:rsid w:val="00F36A6A"/>
    <w:rsid w:val="00F40101"/>
    <w:rsid w:val="00F404F7"/>
    <w:rsid w:val="00F40B17"/>
    <w:rsid w:val="00F40CCA"/>
    <w:rsid w:val="00F41521"/>
    <w:rsid w:val="00F42D97"/>
    <w:rsid w:val="00F43F09"/>
    <w:rsid w:val="00F45A72"/>
    <w:rsid w:val="00F46723"/>
    <w:rsid w:val="00F46EB9"/>
    <w:rsid w:val="00F50016"/>
    <w:rsid w:val="00F50647"/>
    <w:rsid w:val="00F5118A"/>
    <w:rsid w:val="00F5165C"/>
    <w:rsid w:val="00F51A21"/>
    <w:rsid w:val="00F5276E"/>
    <w:rsid w:val="00F529F9"/>
    <w:rsid w:val="00F52E9F"/>
    <w:rsid w:val="00F53304"/>
    <w:rsid w:val="00F53D37"/>
    <w:rsid w:val="00F53D40"/>
    <w:rsid w:val="00F545ED"/>
    <w:rsid w:val="00F5687F"/>
    <w:rsid w:val="00F56FA5"/>
    <w:rsid w:val="00F5727D"/>
    <w:rsid w:val="00F575C7"/>
    <w:rsid w:val="00F60305"/>
    <w:rsid w:val="00F61B12"/>
    <w:rsid w:val="00F620C5"/>
    <w:rsid w:val="00F62398"/>
    <w:rsid w:val="00F626C5"/>
    <w:rsid w:val="00F631E8"/>
    <w:rsid w:val="00F63223"/>
    <w:rsid w:val="00F63264"/>
    <w:rsid w:val="00F6379E"/>
    <w:rsid w:val="00F676EC"/>
    <w:rsid w:val="00F70799"/>
    <w:rsid w:val="00F70906"/>
    <w:rsid w:val="00F70A8B"/>
    <w:rsid w:val="00F724FB"/>
    <w:rsid w:val="00F72578"/>
    <w:rsid w:val="00F72A26"/>
    <w:rsid w:val="00F733C3"/>
    <w:rsid w:val="00F756DD"/>
    <w:rsid w:val="00F75DB3"/>
    <w:rsid w:val="00F77C37"/>
    <w:rsid w:val="00F80047"/>
    <w:rsid w:val="00F8104D"/>
    <w:rsid w:val="00F81587"/>
    <w:rsid w:val="00F82571"/>
    <w:rsid w:val="00F83706"/>
    <w:rsid w:val="00F85258"/>
    <w:rsid w:val="00F85B72"/>
    <w:rsid w:val="00F8766F"/>
    <w:rsid w:val="00F9104C"/>
    <w:rsid w:val="00F91082"/>
    <w:rsid w:val="00F91A9A"/>
    <w:rsid w:val="00F920A7"/>
    <w:rsid w:val="00F93ABB"/>
    <w:rsid w:val="00F94D79"/>
    <w:rsid w:val="00F971DD"/>
    <w:rsid w:val="00F975D3"/>
    <w:rsid w:val="00F97F42"/>
    <w:rsid w:val="00FA118A"/>
    <w:rsid w:val="00FA11CD"/>
    <w:rsid w:val="00FA1B7E"/>
    <w:rsid w:val="00FA31C7"/>
    <w:rsid w:val="00FA472D"/>
    <w:rsid w:val="00FA7254"/>
    <w:rsid w:val="00FB0214"/>
    <w:rsid w:val="00FB080C"/>
    <w:rsid w:val="00FB18F6"/>
    <w:rsid w:val="00FB2A52"/>
    <w:rsid w:val="00FB2F13"/>
    <w:rsid w:val="00FB6232"/>
    <w:rsid w:val="00FB6E19"/>
    <w:rsid w:val="00FB71F6"/>
    <w:rsid w:val="00FC0016"/>
    <w:rsid w:val="00FC11EB"/>
    <w:rsid w:val="00FC1483"/>
    <w:rsid w:val="00FC1C47"/>
    <w:rsid w:val="00FC2EF2"/>
    <w:rsid w:val="00FC39ED"/>
    <w:rsid w:val="00FC4419"/>
    <w:rsid w:val="00FC47E2"/>
    <w:rsid w:val="00FC4AA5"/>
    <w:rsid w:val="00FC5148"/>
    <w:rsid w:val="00FC6590"/>
    <w:rsid w:val="00FC7523"/>
    <w:rsid w:val="00FC75AC"/>
    <w:rsid w:val="00FC75CB"/>
    <w:rsid w:val="00FD01BF"/>
    <w:rsid w:val="00FD0525"/>
    <w:rsid w:val="00FD0D4F"/>
    <w:rsid w:val="00FD297D"/>
    <w:rsid w:val="00FD2D13"/>
    <w:rsid w:val="00FD3D26"/>
    <w:rsid w:val="00FD4789"/>
    <w:rsid w:val="00FD6071"/>
    <w:rsid w:val="00FE0794"/>
    <w:rsid w:val="00FE1041"/>
    <w:rsid w:val="00FE24CB"/>
    <w:rsid w:val="00FE3166"/>
    <w:rsid w:val="00FE3320"/>
    <w:rsid w:val="00FE3473"/>
    <w:rsid w:val="00FE353B"/>
    <w:rsid w:val="00FE4049"/>
    <w:rsid w:val="00FE4794"/>
    <w:rsid w:val="00FE5DF7"/>
    <w:rsid w:val="00FE5F72"/>
    <w:rsid w:val="00FE7B6B"/>
    <w:rsid w:val="00FF0231"/>
    <w:rsid w:val="00FF1C9B"/>
    <w:rsid w:val="00FF1D49"/>
    <w:rsid w:val="00FF2562"/>
    <w:rsid w:val="00FF2CE1"/>
    <w:rsid w:val="00FF3A41"/>
    <w:rsid w:val="00FF3E5B"/>
    <w:rsid w:val="00FF52BE"/>
    <w:rsid w:val="00FF544F"/>
    <w:rsid w:val="00FF57E4"/>
    <w:rsid w:val="00FF77F8"/>
    <w:rsid w:val="00FF78E5"/>
    <w:rsid w:val="01042A92"/>
    <w:rsid w:val="0191257F"/>
    <w:rsid w:val="01D5444A"/>
    <w:rsid w:val="01DF6ED8"/>
    <w:rsid w:val="02253D96"/>
    <w:rsid w:val="02511F9D"/>
    <w:rsid w:val="02A429BD"/>
    <w:rsid w:val="02AB4E64"/>
    <w:rsid w:val="03056ED3"/>
    <w:rsid w:val="0334104D"/>
    <w:rsid w:val="034E5B8A"/>
    <w:rsid w:val="03A314B8"/>
    <w:rsid w:val="03D82B98"/>
    <w:rsid w:val="03E64494"/>
    <w:rsid w:val="03F83E8B"/>
    <w:rsid w:val="0487278A"/>
    <w:rsid w:val="05B257EC"/>
    <w:rsid w:val="05C95D94"/>
    <w:rsid w:val="05DA68EB"/>
    <w:rsid w:val="05F21159"/>
    <w:rsid w:val="063B086F"/>
    <w:rsid w:val="06492EAF"/>
    <w:rsid w:val="06AE10AC"/>
    <w:rsid w:val="07AB1DBE"/>
    <w:rsid w:val="07B72767"/>
    <w:rsid w:val="08077E72"/>
    <w:rsid w:val="08555E8D"/>
    <w:rsid w:val="09AB1EA0"/>
    <w:rsid w:val="09C01DC2"/>
    <w:rsid w:val="09CC2AAC"/>
    <w:rsid w:val="09D820EE"/>
    <w:rsid w:val="0A395458"/>
    <w:rsid w:val="0A652D3E"/>
    <w:rsid w:val="0AE61EF7"/>
    <w:rsid w:val="0B0A4571"/>
    <w:rsid w:val="0B3A48F0"/>
    <w:rsid w:val="0B5C7525"/>
    <w:rsid w:val="0B8B2701"/>
    <w:rsid w:val="0BA60EEC"/>
    <w:rsid w:val="0BF64F69"/>
    <w:rsid w:val="0C083C74"/>
    <w:rsid w:val="0C4A7332"/>
    <w:rsid w:val="0C5C56D6"/>
    <w:rsid w:val="0C92213C"/>
    <w:rsid w:val="0CBA2804"/>
    <w:rsid w:val="0CEC2E27"/>
    <w:rsid w:val="0D3B1B72"/>
    <w:rsid w:val="0D4F221D"/>
    <w:rsid w:val="0D84032B"/>
    <w:rsid w:val="0D890203"/>
    <w:rsid w:val="0E121122"/>
    <w:rsid w:val="0E287443"/>
    <w:rsid w:val="0E8E4763"/>
    <w:rsid w:val="0E947C27"/>
    <w:rsid w:val="0EE035FE"/>
    <w:rsid w:val="0F011985"/>
    <w:rsid w:val="0F2C0708"/>
    <w:rsid w:val="0F4F4353"/>
    <w:rsid w:val="0F923AB4"/>
    <w:rsid w:val="0FDC6CEF"/>
    <w:rsid w:val="10503CCC"/>
    <w:rsid w:val="10A27F31"/>
    <w:rsid w:val="10CA487C"/>
    <w:rsid w:val="11833402"/>
    <w:rsid w:val="11927058"/>
    <w:rsid w:val="12133FB0"/>
    <w:rsid w:val="12176643"/>
    <w:rsid w:val="12510966"/>
    <w:rsid w:val="12A055F5"/>
    <w:rsid w:val="12A5223C"/>
    <w:rsid w:val="12A604D9"/>
    <w:rsid w:val="12F64F3A"/>
    <w:rsid w:val="130D4243"/>
    <w:rsid w:val="131A6A04"/>
    <w:rsid w:val="13686C97"/>
    <w:rsid w:val="1387148A"/>
    <w:rsid w:val="13AF4F03"/>
    <w:rsid w:val="13C20EF5"/>
    <w:rsid w:val="1437543F"/>
    <w:rsid w:val="14587C2B"/>
    <w:rsid w:val="145E6EE8"/>
    <w:rsid w:val="14665D24"/>
    <w:rsid w:val="14736E66"/>
    <w:rsid w:val="148937C0"/>
    <w:rsid w:val="149B6AC2"/>
    <w:rsid w:val="14DE649B"/>
    <w:rsid w:val="14EA2BC0"/>
    <w:rsid w:val="15264037"/>
    <w:rsid w:val="15293653"/>
    <w:rsid w:val="1534169A"/>
    <w:rsid w:val="154310AF"/>
    <w:rsid w:val="15A5283C"/>
    <w:rsid w:val="15C03E03"/>
    <w:rsid w:val="162102B8"/>
    <w:rsid w:val="162478EF"/>
    <w:rsid w:val="162A25EB"/>
    <w:rsid w:val="164C69BC"/>
    <w:rsid w:val="16964761"/>
    <w:rsid w:val="16CA259A"/>
    <w:rsid w:val="16FD2A55"/>
    <w:rsid w:val="17366761"/>
    <w:rsid w:val="17457C26"/>
    <w:rsid w:val="177C01F0"/>
    <w:rsid w:val="178622EA"/>
    <w:rsid w:val="17CE6630"/>
    <w:rsid w:val="17D1440F"/>
    <w:rsid w:val="18B51028"/>
    <w:rsid w:val="1923698A"/>
    <w:rsid w:val="19304EC9"/>
    <w:rsid w:val="19793F15"/>
    <w:rsid w:val="19820BA0"/>
    <w:rsid w:val="1A247589"/>
    <w:rsid w:val="1AFA16D5"/>
    <w:rsid w:val="1B122762"/>
    <w:rsid w:val="1B4F19F8"/>
    <w:rsid w:val="1BBF1D82"/>
    <w:rsid w:val="1BD92184"/>
    <w:rsid w:val="1C3B3892"/>
    <w:rsid w:val="1C5170A2"/>
    <w:rsid w:val="1C664119"/>
    <w:rsid w:val="1CB02232"/>
    <w:rsid w:val="1CF47F2D"/>
    <w:rsid w:val="1D1509FE"/>
    <w:rsid w:val="1D23361F"/>
    <w:rsid w:val="1D4061A8"/>
    <w:rsid w:val="1D7F547B"/>
    <w:rsid w:val="1D84707B"/>
    <w:rsid w:val="1D895CD6"/>
    <w:rsid w:val="1DBE62F4"/>
    <w:rsid w:val="1E22487D"/>
    <w:rsid w:val="1E4A2E9F"/>
    <w:rsid w:val="1E8C7359"/>
    <w:rsid w:val="1E967206"/>
    <w:rsid w:val="1E9B4F4B"/>
    <w:rsid w:val="1EEE23EF"/>
    <w:rsid w:val="1F063325"/>
    <w:rsid w:val="1FA2402F"/>
    <w:rsid w:val="1FBC5DF5"/>
    <w:rsid w:val="1FC55574"/>
    <w:rsid w:val="1FF678B2"/>
    <w:rsid w:val="203D099C"/>
    <w:rsid w:val="207672EF"/>
    <w:rsid w:val="20781442"/>
    <w:rsid w:val="20CC0210"/>
    <w:rsid w:val="21195988"/>
    <w:rsid w:val="21A46224"/>
    <w:rsid w:val="21B83F86"/>
    <w:rsid w:val="21E55E66"/>
    <w:rsid w:val="221178A8"/>
    <w:rsid w:val="221213CF"/>
    <w:rsid w:val="22327A92"/>
    <w:rsid w:val="22501E48"/>
    <w:rsid w:val="22965435"/>
    <w:rsid w:val="229A1F36"/>
    <w:rsid w:val="22BD6F35"/>
    <w:rsid w:val="22E97FD0"/>
    <w:rsid w:val="2315021E"/>
    <w:rsid w:val="231D53A2"/>
    <w:rsid w:val="23B7504C"/>
    <w:rsid w:val="23C84A38"/>
    <w:rsid w:val="23E75F24"/>
    <w:rsid w:val="24571307"/>
    <w:rsid w:val="24BA2984"/>
    <w:rsid w:val="25126E09"/>
    <w:rsid w:val="25246333"/>
    <w:rsid w:val="25496D80"/>
    <w:rsid w:val="254D590B"/>
    <w:rsid w:val="25C14636"/>
    <w:rsid w:val="25D30D3F"/>
    <w:rsid w:val="26446DE3"/>
    <w:rsid w:val="264D165B"/>
    <w:rsid w:val="265F3538"/>
    <w:rsid w:val="26835926"/>
    <w:rsid w:val="26935518"/>
    <w:rsid w:val="26CD1617"/>
    <w:rsid w:val="26D7699F"/>
    <w:rsid w:val="27234AD7"/>
    <w:rsid w:val="274A5E17"/>
    <w:rsid w:val="274B40AC"/>
    <w:rsid w:val="279A2132"/>
    <w:rsid w:val="27E21206"/>
    <w:rsid w:val="284D08E4"/>
    <w:rsid w:val="287911B4"/>
    <w:rsid w:val="2912495F"/>
    <w:rsid w:val="29531C35"/>
    <w:rsid w:val="29E17ECF"/>
    <w:rsid w:val="2A0D3BDD"/>
    <w:rsid w:val="2A2D3BAD"/>
    <w:rsid w:val="2A3176C5"/>
    <w:rsid w:val="2A332E5B"/>
    <w:rsid w:val="2A5A691B"/>
    <w:rsid w:val="2B09065E"/>
    <w:rsid w:val="2B774624"/>
    <w:rsid w:val="2BEE2133"/>
    <w:rsid w:val="2C0B70FB"/>
    <w:rsid w:val="2C7A72BE"/>
    <w:rsid w:val="2CE1294E"/>
    <w:rsid w:val="2D7B23E8"/>
    <w:rsid w:val="2E301A53"/>
    <w:rsid w:val="2E3777C8"/>
    <w:rsid w:val="2EA75E76"/>
    <w:rsid w:val="2EEB5D26"/>
    <w:rsid w:val="2F013AAD"/>
    <w:rsid w:val="2F401D3C"/>
    <w:rsid w:val="2F436F36"/>
    <w:rsid w:val="2F474F78"/>
    <w:rsid w:val="2F634EE2"/>
    <w:rsid w:val="2F70241B"/>
    <w:rsid w:val="2FA95C88"/>
    <w:rsid w:val="2FB614B6"/>
    <w:rsid w:val="3041370F"/>
    <w:rsid w:val="30556EEC"/>
    <w:rsid w:val="305D3ACC"/>
    <w:rsid w:val="308D3B08"/>
    <w:rsid w:val="30F06C49"/>
    <w:rsid w:val="31083A05"/>
    <w:rsid w:val="31227ACD"/>
    <w:rsid w:val="314427A8"/>
    <w:rsid w:val="3180356E"/>
    <w:rsid w:val="32453A27"/>
    <w:rsid w:val="3263064A"/>
    <w:rsid w:val="32AC0C06"/>
    <w:rsid w:val="32D52EA8"/>
    <w:rsid w:val="33AB3400"/>
    <w:rsid w:val="33FA1CBC"/>
    <w:rsid w:val="33FD3B57"/>
    <w:rsid w:val="342866FA"/>
    <w:rsid w:val="3495078B"/>
    <w:rsid w:val="34CA3F9D"/>
    <w:rsid w:val="34D83C7C"/>
    <w:rsid w:val="34EA6325"/>
    <w:rsid w:val="35304278"/>
    <w:rsid w:val="3537750C"/>
    <w:rsid w:val="3537798C"/>
    <w:rsid w:val="35384DBC"/>
    <w:rsid w:val="355838BC"/>
    <w:rsid w:val="357F7ED5"/>
    <w:rsid w:val="35C13FC9"/>
    <w:rsid w:val="36032F7B"/>
    <w:rsid w:val="362E6D87"/>
    <w:rsid w:val="364257B6"/>
    <w:rsid w:val="36616E47"/>
    <w:rsid w:val="367302A1"/>
    <w:rsid w:val="367B3D86"/>
    <w:rsid w:val="36CE4E98"/>
    <w:rsid w:val="36F834D1"/>
    <w:rsid w:val="374264D3"/>
    <w:rsid w:val="37C1661D"/>
    <w:rsid w:val="37DB7874"/>
    <w:rsid w:val="37E961A0"/>
    <w:rsid w:val="37EA5922"/>
    <w:rsid w:val="3809405A"/>
    <w:rsid w:val="38276B93"/>
    <w:rsid w:val="388F7B77"/>
    <w:rsid w:val="3A0B64A7"/>
    <w:rsid w:val="3A4A48F1"/>
    <w:rsid w:val="3A7038BB"/>
    <w:rsid w:val="3AF74C02"/>
    <w:rsid w:val="3B017371"/>
    <w:rsid w:val="3BC6658C"/>
    <w:rsid w:val="3C0059A5"/>
    <w:rsid w:val="3C134E78"/>
    <w:rsid w:val="3C301B5F"/>
    <w:rsid w:val="3C4715C1"/>
    <w:rsid w:val="3C5277A9"/>
    <w:rsid w:val="3C7C6B51"/>
    <w:rsid w:val="3CAB1AFC"/>
    <w:rsid w:val="3CC10476"/>
    <w:rsid w:val="3D05582A"/>
    <w:rsid w:val="3DF6345D"/>
    <w:rsid w:val="3E2E143E"/>
    <w:rsid w:val="3E3C2CA6"/>
    <w:rsid w:val="3EE13701"/>
    <w:rsid w:val="3EFA9C1A"/>
    <w:rsid w:val="3F1A4BB3"/>
    <w:rsid w:val="3F7B304D"/>
    <w:rsid w:val="40192BA6"/>
    <w:rsid w:val="409C1193"/>
    <w:rsid w:val="41560B72"/>
    <w:rsid w:val="41CA7043"/>
    <w:rsid w:val="41D80F9D"/>
    <w:rsid w:val="41E96B4E"/>
    <w:rsid w:val="42030507"/>
    <w:rsid w:val="42550A18"/>
    <w:rsid w:val="425600A9"/>
    <w:rsid w:val="42786A9F"/>
    <w:rsid w:val="42D114D2"/>
    <w:rsid w:val="42F473A1"/>
    <w:rsid w:val="432D04A7"/>
    <w:rsid w:val="441E62C0"/>
    <w:rsid w:val="44274ACD"/>
    <w:rsid w:val="44604E49"/>
    <w:rsid w:val="456B6C12"/>
    <w:rsid w:val="45811C7C"/>
    <w:rsid w:val="459200CC"/>
    <w:rsid w:val="45AA78B4"/>
    <w:rsid w:val="468B3EFB"/>
    <w:rsid w:val="46F851C7"/>
    <w:rsid w:val="46F9547C"/>
    <w:rsid w:val="470A6193"/>
    <w:rsid w:val="47A3636C"/>
    <w:rsid w:val="47AA339A"/>
    <w:rsid w:val="47B42327"/>
    <w:rsid w:val="47DC4F5C"/>
    <w:rsid w:val="48A04659"/>
    <w:rsid w:val="48AE02BD"/>
    <w:rsid w:val="48B40671"/>
    <w:rsid w:val="491829E2"/>
    <w:rsid w:val="49560FD2"/>
    <w:rsid w:val="499B5738"/>
    <w:rsid w:val="499F244D"/>
    <w:rsid w:val="49B22896"/>
    <w:rsid w:val="49BF74BD"/>
    <w:rsid w:val="49E634D1"/>
    <w:rsid w:val="4A7E2FC0"/>
    <w:rsid w:val="4A8F58C2"/>
    <w:rsid w:val="4AF96BC7"/>
    <w:rsid w:val="4B782908"/>
    <w:rsid w:val="4B842132"/>
    <w:rsid w:val="4BFB4050"/>
    <w:rsid w:val="4BFD7B01"/>
    <w:rsid w:val="4C7B0A39"/>
    <w:rsid w:val="4CDE53C4"/>
    <w:rsid w:val="4CEF36E2"/>
    <w:rsid w:val="4D3B1120"/>
    <w:rsid w:val="4D447D52"/>
    <w:rsid w:val="4DAF4CC1"/>
    <w:rsid w:val="4E676345"/>
    <w:rsid w:val="4EE911C5"/>
    <w:rsid w:val="4F372FFB"/>
    <w:rsid w:val="4FA76FA4"/>
    <w:rsid w:val="4FAE1D52"/>
    <w:rsid w:val="500B5B85"/>
    <w:rsid w:val="503E4E84"/>
    <w:rsid w:val="5044725D"/>
    <w:rsid w:val="50B72BFD"/>
    <w:rsid w:val="50ED0658"/>
    <w:rsid w:val="513F391C"/>
    <w:rsid w:val="51564E44"/>
    <w:rsid w:val="51623C00"/>
    <w:rsid w:val="51B8433C"/>
    <w:rsid w:val="521D4E99"/>
    <w:rsid w:val="52282C57"/>
    <w:rsid w:val="523A5B1F"/>
    <w:rsid w:val="52C10D75"/>
    <w:rsid w:val="53C125EB"/>
    <w:rsid w:val="54613981"/>
    <w:rsid w:val="54736E75"/>
    <w:rsid w:val="54C53DC5"/>
    <w:rsid w:val="550C4BD7"/>
    <w:rsid w:val="55185B77"/>
    <w:rsid w:val="55572986"/>
    <w:rsid w:val="55A14ACC"/>
    <w:rsid w:val="55A9703D"/>
    <w:rsid w:val="55B340DA"/>
    <w:rsid w:val="56221102"/>
    <w:rsid w:val="562B20BF"/>
    <w:rsid w:val="564927D4"/>
    <w:rsid w:val="565512CB"/>
    <w:rsid w:val="56D04C17"/>
    <w:rsid w:val="573C2AAB"/>
    <w:rsid w:val="57601B7F"/>
    <w:rsid w:val="57F1375D"/>
    <w:rsid w:val="5884764A"/>
    <w:rsid w:val="5A3D4CF5"/>
    <w:rsid w:val="5A957D93"/>
    <w:rsid w:val="5AFD311B"/>
    <w:rsid w:val="5B3760D9"/>
    <w:rsid w:val="5B482FB4"/>
    <w:rsid w:val="5B86261A"/>
    <w:rsid w:val="5B9727B1"/>
    <w:rsid w:val="5BE014E5"/>
    <w:rsid w:val="5BEC760C"/>
    <w:rsid w:val="5BF83648"/>
    <w:rsid w:val="5C295359"/>
    <w:rsid w:val="5C7031D6"/>
    <w:rsid w:val="5C9F23AC"/>
    <w:rsid w:val="5CEF0F85"/>
    <w:rsid w:val="5E1B2389"/>
    <w:rsid w:val="5E454B07"/>
    <w:rsid w:val="5EC1512D"/>
    <w:rsid w:val="5F12674D"/>
    <w:rsid w:val="5F775E85"/>
    <w:rsid w:val="5F80710D"/>
    <w:rsid w:val="5FDF74DA"/>
    <w:rsid w:val="6012222A"/>
    <w:rsid w:val="603F12DC"/>
    <w:rsid w:val="606007BB"/>
    <w:rsid w:val="607E751E"/>
    <w:rsid w:val="60A7347D"/>
    <w:rsid w:val="60AC7F66"/>
    <w:rsid w:val="60DF1E0B"/>
    <w:rsid w:val="618835DC"/>
    <w:rsid w:val="61BF10D9"/>
    <w:rsid w:val="61F01D9D"/>
    <w:rsid w:val="621722E9"/>
    <w:rsid w:val="629F7BDB"/>
    <w:rsid w:val="631928DF"/>
    <w:rsid w:val="633D05F6"/>
    <w:rsid w:val="63510DAF"/>
    <w:rsid w:val="63A57310"/>
    <w:rsid w:val="640C7C21"/>
    <w:rsid w:val="64A52124"/>
    <w:rsid w:val="64E45EF7"/>
    <w:rsid w:val="655A9E13"/>
    <w:rsid w:val="658E3D60"/>
    <w:rsid w:val="65CB2B15"/>
    <w:rsid w:val="66A575B3"/>
    <w:rsid w:val="66A57729"/>
    <w:rsid w:val="670F748C"/>
    <w:rsid w:val="6736338C"/>
    <w:rsid w:val="677435B2"/>
    <w:rsid w:val="67E72F7C"/>
    <w:rsid w:val="67EF75F1"/>
    <w:rsid w:val="681C76FB"/>
    <w:rsid w:val="68774BE5"/>
    <w:rsid w:val="689F455D"/>
    <w:rsid w:val="68B87030"/>
    <w:rsid w:val="68F760C0"/>
    <w:rsid w:val="69124F16"/>
    <w:rsid w:val="69A9377F"/>
    <w:rsid w:val="69C64B0E"/>
    <w:rsid w:val="69CD5C14"/>
    <w:rsid w:val="69CF0D33"/>
    <w:rsid w:val="6A4A2421"/>
    <w:rsid w:val="6A6D2CA6"/>
    <w:rsid w:val="6AB24495"/>
    <w:rsid w:val="6AFD43BA"/>
    <w:rsid w:val="6B014FD4"/>
    <w:rsid w:val="6B17417E"/>
    <w:rsid w:val="6B9946B3"/>
    <w:rsid w:val="6C0534FE"/>
    <w:rsid w:val="6C310D11"/>
    <w:rsid w:val="6C4F100F"/>
    <w:rsid w:val="6C74771E"/>
    <w:rsid w:val="6C79425A"/>
    <w:rsid w:val="6C8C2A60"/>
    <w:rsid w:val="6C921AAA"/>
    <w:rsid w:val="6CB54221"/>
    <w:rsid w:val="6D1837C6"/>
    <w:rsid w:val="6D6D6077"/>
    <w:rsid w:val="6DCF2237"/>
    <w:rsid w:val="6DE76850"/>
    <w:rsid w:val="6E015810"/>
    <w:rsid w:val="6E336FB7"/>
    <w:rsid w:val="6E3B7F3B"/>
    <w:rsid w:val="6E9A1018"/>
    <w:rsid w:val="6F3516F0"/>
    <w:rsid w:val="6F5B6D28"/>
    <w:rsid w:val="6F7B2976"/>
    <w:rsid w:val="6FB20BD4"/>
    <w:rsid w:val="6FBA59BE"/>
    <w:rsid w:val="70296B3E"/>
    <w:rsid w:val="70611204"/>
    <w:rsid w:val="70C82A0E"/>
    <w:rsid w:val="70E441FE"/>
    <w:rsid w:val="70F17BCE"/>
    <w:rsid w:val="715141CD"/>
    <w:rsid w:val="71DC351E"/>
    <w:rsid w:val="7234593E"/>
    <w:rsid w:val="72365637"/>
    <w:rsid w:val="72983CD3"/>
    <w:rsid w:val="72A257D4"/>
    <w:rsid w:val="72EF4CB6"/>
    <w:rsid w:val="743B2F14"/>
    <w:rsid w:val="746A24BE"/>
    <w:rsid w:val="749F1040"/>
    <w:rsid w:val="74FA2C30"/>
    <w:rsid w:val="75934F9C"/>
    <w:rsid w:val="76250197"/>
    <w:rsid w:val="76BC49EB"/>
    <w:rsid w:val="77000DA2"/>
    <w:rsid w:val="77BE0D98"/>
    <w:rsid w:val="781E69D1"/>
    <w:rsid w:val="78340059"/>
    <w:rsid w:val="78423B5E"/>
    <w:rsid w:val="78D07EB6"/>
    <w:rsid w:val="79BE1CAB"/>
    <w:rsid w:val="7ADD0453"/>
    <w:rsid w:val="7AF46346"/>
    <w:rsid w:val="7B0F5EBF"/>
    <w:rsid w:val="7B130FB9"/>
    <w:rsid w:val="7BDE0625"/>
    <w:rsid w:val="7BF64EDE"/>
    <w:rsid w:val="7C400C1E"/>
    <w:rsid w:val="7C6C6CCE"/>
    <w:rsid w:val="7C773348"/>
    <w:rsid w:val="7C825605"/>
    <w:rsid w:val="7C8D1F53"/>
    <w:rsid w:val="7CB0484C"/>
    <w:rsid w:val="7D146DE8"/>
    <w:rsid w:val="7D28155C"/>
    <w:rsid w:val="7D422E99"/>
    <w:rsid w:val="7DD11708"/>
    <w:rsid w:val="7DD83ECB"/>
    <w:rsid w:val="7DF46F4A"/>
    <w:rsid w:val="7E3D4C74"/>
    <w:rsid w:val="7EBC46EA"/>
    <w:rsid w:val="7EC167BD"/>
    <w:rsid w:val="7ED44C97"/>
    <w:rsid w:val="7F56032A"/>
    <w:rsid w:val="7F591170"/>
    <w:rsid w:val="7FCA72CB"/>
    <w:rsid w:val="7FCB062D"/>
    <w:rsid w:val="7FF82C26"/>
    <w:rsid w:val="EF6DC4F0"/>
    <w:rsid w:val="FFF6D5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nhideWhenUsed="0" w:uiPriority="99" w:semiHidden="0"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2"/>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semiHidden/>
    <w:unhideWhenUsed/>
    <w:qFormat/>
    <w:uiPriority w:val="0"/>
    <w:pPr>
      <w:keepNext/>
      <w:keepLines/>
      <w:spacing w:before="260" w:after="260" w:line="415" w:lineRule="auto"/>
      <w:outlineLvl w:val="2"/>
    </w:pPr>
    <w:rPr>
      <w:b/>
      <w:bCs/>
      <w:sz w:val="32"/>
      <w:szCs w:val="32"/>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43"/>
    <w:qFormat/>
    <w:uiPriority w:val="9"/>
    <w:pPr>
      <w:keepNext/>
      <w:keepLines/>
      <w:spacing w:before="280" w:after="290" w:line="376" w:lineRule="auto"/>
      <w:outlineLvl w:val="4"/>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9">
    <w:name w:val="annotation text"/>
    <w:basedOn w:val="1"/>
    <w:link w:val="44"/>
    <w:qFormat/>
    <w:uiPriority w:val="0"/>
    <w:pPr>
      <w:jc w:val="left"/>
    </w:pPr>
  </w:style>
  <w:style w:type="paragraph" w:styleId="10">
    <w:name w:val="Body Text 3"/>
    <w:basedOn w:val="1"/>
    <w:link w:val="45"/>
    <w:unhideWhenUsed/>
    <w:qFormat/>
    <w:uiPriority w:val="99"/>
    <w:pPr>
      <w:spacing w:after="120"/>
    </w:pPr>
    <w:rPr>
      <w:sz w:val="16"/>
      <w:szCs w:val="16"/>
    </w:rPr>
  </w:style>
  <w:style w:type="paragraph" w:styleId="11">
    <w:name w:val="Body Text"/>
    <w:basedOn w:val="1"/>
    <w:next w:val="1"/>
    <w:link w:val="46"/>
    <w:unhideWhenUsed/>
    <w:qFormat/>
    <w:uiPriority w:val="0"/>
    <w:pPr>
      <w:spacing w:after="120"/>
    </w:pPr>
  </w:style>
  <w:style w:type="paragraph" w:styleId="12">
    <w:name w:val="Body Text Indent"/>
    <w:basedOn w:val="1"/>
    <w:link w:val="47"/>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Block Text"/>
    <w:basedOn w:val="1"/>
    <w:qFormat/>
    <w:uiPriority w:val="0"/>
    <w:pPr>
      <w:tabs>
        <w:tab w:val="left" w:pos="1440"/>
      </w:tabs>
      <w:spacing w:after="100"/>
      <w:ind w:left="3600" w:right="-288" w:hanging="2880"/>
    </w:pPr>
    <w:rPr>
      <w:snapToGrid w:val="0"/>
      <w:kern w:val="0"/>
      <w:sz w:val="22"/>
      <w:szCs w:val="20"/>
      <w:lang w:eastAsia="en-US"/>
    </w:rPr>
  </w:style>
  <w:style w:type="paragraph" w:styleId="15">
    <w:name w:val="Plain Text"/>
    <w:basedOn w:val="1"/>
    <w:next w:val="5"/>
    <w:link w:val="48"/>
    <w:qFormat/>
    <w:uiPriority w:val="0"/>
    <w:rPr>
      <w:rFonts w:ascii="宋体" w:hAnsi="Courier New"/>
      <w:kern w:val="0"/>
      <w:sz w:val="20"/>
      <w:szCs w:val="21"/>
    </w:rPr>
  </w:style>
  <w:style w:type="paragraph" w:styleId="16">
    <w:name w:val="Date"/>
    <w:basedOn w:val="1"/>
    <w:next w:val="1"/>
    <w:link w:val="49"/>
    <w:unhideWhenUsed/>
    <w:qFormat/>
    <w:uiPriority w:val="99"/>
    <w:pPr>
      <w:ind w:left="100" w:leftChars="2500"/>
    </w:pPr>
  </w:style>
  <w:style w:type="paragraph" w:styleId="17">
    <w:name w:val="Balloon Text"/>
    <w:basedOn w:val="1"/>
    <w:semiHidden/>
    <w:qFormat/>
    <w:uiPriority w:val="0"/>
    <w:rPr>
      <w:sz w:val="18"/>
      <w:szCs w:val="18"/>
    </w:rPr>
  </w:style>
  <w:style w:type="paragraph" w:styleId="18">
    <w:name w:val="footer"/>
    <w:basedOn w:val="1"/>
    <w:next w:val="1"/>
    <w:link w:val="50"/>
    <w:unhideWhenUsed/>
    <w:qFormat/>
    <w:uiPriority w:val="99"/>
    <w:pPr>
      <w:tabs>
        <w:tab w:val="center" w:pos="4153"/>
        <w:tab w:val="right" w:pos="8306"/>
      </w:tabs>
      <w:snapToGrid w:val="0"/>
      <w:jc w:val="left"/>
    </w:pPr>
    <w:rPr>
      <w:kern w:val="0"/>
      <w:sz w:val="18"/>
      <w:szCs w:val="18"/>
    </w:rPr>
  </w:style>
  <w:style w:type="paragraph" w:styleId="19">
    <w:name w:val="header"/>
    <w:basedOn w:val="1"/>
    <w:link w:val="5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39"/>
  </w:style>
  <w:style w:type="paragraph" w:styleId="21">
    <w:name w:val="toc 2"/>
    <w:basedOn w:val="1"/>
    <w:next w:val="1"/>
    <w:unhideWhenUsed/>
    <w:qFormat/>
    <w:uiPriority w:val="39"/>
    <w:pPr>
      <w:tabs>
        <w:tab w:val="right" w:leader="dot" w:pos="8296"/>
      </w:tabs>
      <w:ind w:left="420" w:leftChars="200"/>
    </w:pPr>
  </w:style>
  <w:style w:type="paragraph" w:styleId="22">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kern w:val="0"/>
      <w:sz w:val="24"/>
    </w:rPr>
  </w:style>
  <w:style w:type="paragraph" w:styleId="23">
    <w:name w:val="Normal (Web)"/>
    <w:basedOn w:val="1"/>
    <w:unhideWhenUsed/>
    <w:qFormat/>
    <w:uiPriority w:val="99"/>
    <w:rPr>
      <w:rFonts w:ascii="Calibri" w:hAnsi="Calibri"/>
      <w:kern w:val="0"/>
      <w:sz w:val="24"/>
    </w:rPr>
  </w:style>
  <w:style w:type="paragraph" w:styleId="24">
    <w:name w:val="annotation subject"/>
    <w:basedOn w:val="9"/>
    <w:next w:val="9"/>
    <w:link w:val="52"/>
    <w:qFormat/>
    <w:uiPriority w:val="99"/>
    <w:rPr>
      <w:b/>
      <w:bCs/>
    </w:rPr>
  </w:style>
  <w:style w:type="paragraph" w:styleId="25">
    <w:name w:val="Body Text First Indent"/>
    <w:basedOn w:val="11"/>
    <w:next w:val="1"/>
    <w:qFormat/>
    <w:uiPriority w:val="0"/>
    <w:pPr>
      <w:ind w:firstLine="420" w:firstLineChars="100"/>
    </w:pPr>
  </w:style>
  <w:style w:type="paragraph" w:styleId="26">
    <w:name w:val="Body Text First Indent 2"/>
    <w:basedOn w:val="12"/>
    <w:next w:val="1"/>
    <w:qFormat/>
    <w:uiPriority w:val="0"/>
    <w:pPr>
      <w:spacing w:after="120"/>
      <w:ind w:left="420" w:leftChars="200" w:firstLine="420" w:firstLineChars="200"/>
    </w:pPr>
    <w:rPr>
      <w:szCs w:val="24"/>
    </w:rPr>
  </w:style>
  <w:style w:type="table" w:styleId="28">
    <w:name w:val="Table Grid"/>
    <w:basedOn w:val="2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Strong"/>
    <w:basedOn w:val="29"/>
    <w:qFormat/>
    <w:uiPriority w:val="22"/>
    <w:rPr>
      <w:b/>
      <w:bCs/>
    </w:rPr>
  </w:style>
  <w:style w:type="character" w:styleId="31">
    <w:name w:val="page number"/>
    <w:qFormat/>
    <w:uiPriority w:val="0"/>
  </w:style>
  <w:style w:type="character" w:styleId="32">
    <w:name w:val="FollowedHyperlink"/>
    <w:basedOn w:val="29"/>
    <w:semiHidden/>
    <w:unhideWhenUsed/>
    <w:qFormat/>
    <w:uiPriority w:val="99"/>
    <w:rPr>
      <w:color w:val="4D7AD8"/>
      <w:u w:val="none"/>
    </w:rPr>
  </w:style>
  <w:style w:type="character" w:styleId="33">
    <w:name w:val="HTML Definition"/>
    <w:basedOn w:val="29"/>
    <w:semiHidden/>
    <w:unhideWhenUsed/>
    <w:qFormat/>
    <w:uiPriority w:val="99"/>
    <w:rPr>
      <w:i/>
      <w:iCs/>
    </w:rPr>
  </w:style>
  <w:style w:type="character" w:styleId="34">
    <w:name w:val="Hyperlink"/>
    <w:unhideWhenUsed/>
    <w:qFormat/>
    <w:uiPriority w:val="99"/>
    <w:rPr>
      <w:color w:val="0000FF"/>
      <w:u w:val="single"/>
    </w:rPr>
  </w:style>
  <w:style w:type="character" w:styleId="35">
    <w:name w:val="HTML Code"/>
    <w:basedOn w:val="29"/>
    <w:semiHidden/>
    <w:unhideWhenUsed/>
    <w:qFormat/>
    <w:uiPriority w:val="99"/>
    <w:rPr>
      <w:rFonts w:hint="default" w:ascii="Consolas" w:hAnsi="Consolas" w:eastAsia="Consolas" w:cs="Consolas"/>
      <w:sz w:val="21"/>
      <w:szCs w:val="21"/>
    </w:rPr>
  </w:style>
  <w:style w:type="character" w:styleId="36">
    <w:name w:val="annotation reference"/>
    <w:basedOn w:val="29"/>
    <w:qFormat/>
    <w:uiPriority w:val="0"/>
    <w:rPr>
      <w:sz w:val="21"/>
      <w:szCs w:val="21"/>
    </w:rPr>
  </w:style>
  <w:style w:type="character" w:styleId="37">
    <w:name w:val="HTML Keyboard"/>
    <w:basedOn w:val="29"/>
    <w:semiHidden/>
    <w:unhideWhenUsed/>
    <w:qFormat/>
    <w:uiPriority w:val="99"/>
    <w:rPr>
      <w:rFonts w:hint="default" w:ascii="Consolas" w:hAnsi="Consolas" w:eastAsia="Consolas" w:cs="Consolas"/>
      <w:sz w:val="21"/>
      <w:szCs w:val="21"/>
    </w:rPr>
  </w:style>
  <w:style w:type="character" w:styleId="38">
    <w:name w:val="HTML Sample"/>
    <w:basedOn w:val="29"/>
    <w:semiHidden/>
    <w:unhideWhenUsed/>
    <w:qFormat/>
    <w:uiPriority w:val="99"/>
    <w:rPr>
      <w:rFonts w:ascii="Consolas" w:hAnsi="Consolas" w:eastAsia="Consolas" w:cs="Consolas"/>
      <w:sz w:val="21"/>
      <w:szCs w:val="21"/>
    </w:rPr>
  </w:style>
  <w:style w:type="paragraph" w:customStyle="1" w:styleId="39">
    <w:name w:val="列出段落1"/>
    <w:basedOn w:val="1"/>
    <w:qFormat/>
    <w:uiPriority w:val="34"/>
    <w:pPr>
      <w:ind w:firstLine="420" w:firstLineChars="200"/>
    </w:pPr>
  </w:style>
  <w:style w:type="paragraph" w:customStyle="1" w:styleId="40">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41">
    <w:name w:val="标题 1 Char"/>
    <w:link w:val="2"/>
    <w:qFormat/>
    <w:uiPriority w:val="0"/>
    <w:rPr>
      <w:b/>
      <w:bCs/>
      <w:kern w:val="44"/>
      <w:sz w:val="44"/>
      <w:szCs w:val="44"/>
    </w:rPr>
  </w:style>
  <w:style w:type="character" w:customStyle="1" w:styleId="42">
    <w:name w:val="标题 2 Char"/>
    <w:link w:val="3"/>
    <w:qFormat/>
    <w:uiPriority w:val="9"/>
    <w:rPr>
      <w:rFonts w:ascii="Cambria" w:hAnsi="Cambria" w:eastAsia="宋体" w:cs="Times New Roman"/>
      <w:b/>
      <w:bCs/>
      <w:kern w:val="2"/>
      <w:sz w:val="32"/>
      <w:szCs w:val="32"/>
    </w:rPr>
  </w:style>
  <w:style w:type="character" w:customStyle="1" w:styleId="43">
    <w:name w:val="标题 5 Char"/>
    <w:link w:val="6"/>
    <w:semiHidden/>
    <w:qFormat/>
    <w:uiPriority w:val="9"/>
    <w:rPr>
      <w:rFonts w:ascii="Times New Roman" w:hAnsi="Times New Roman"/>
      <w:b/>
      <w:bCs/>
      <w:kern w:val="2"/>
      <w:sz w:val="28"/>
      <w:szCs w:val="28"/>
    </w:rPr>
  </w:style>
  <w:style w:type="character" w:customStyle="1" w:styleId="44">
    <w:name w:val="批注文字 Char"/>
    <w:link w:val="9"/>
    <w:qFormat/>
    <w:uiPriority w:val="0"/>
    <w:rPr>
      <w:rFonts w:ascii="Times New Roman" w:hAnsi="Times New Roman"/>
      <w:kern w:val="2"/>
      <w:sz w:val="21"/>
      <w:szCs w:val="24"/>
    </w:rPr>
  </w:style>
  <w:style w:type="character" w:customStyle="1" w:styleId="45">
    <w:name w:val="正文文本 3 Char"/>
    <w:link w:val="10"/>
    <w:semiHidden/>
    <w:qFormat/>
    <w:uiPriority w:val="99"/>
    <w:rPr>
      <w:rFonts w:ascii="Times New Roman" w:hAnsi="Times New Roman"/>
      <w:kern w:val="2"/>
      <w:sz w:val="16"/>
      <w:szCs w:val="16"/>
    </w:rPr>
  </w:style>
  <w:style w:type="character" w:customStyle="1" w:styleId="46">
    <w:name w:val="正文文本 Char"/>
    <w:link w:val="11"/>
    <w:qFormat/>
    <w:uiPriority w:val="0"/>
    <w:rPr>
      <w:rFonts w:ascii="Times New Roman" w:hAnsi="Times New Roman"/>
      <w:kern w:val="2"/>
      <w:sz w:val="21"/>
      <w:szCs w:val="24"/>
    </w:rPr>
  </w:style>
  <w:style w:type="character" w:customStyle="1" w:styleId="47">
    <w:name w:val="正文文本缩进 Char"/>
    <w:link w:val="12"/>
    <w:qFormat/>
    <w:uiPriority w:val="0"/>
    <w:rPr>
      <w:rFonts w:ascii="仿宋_GB2312" w:hAnsi="Times New Roman" w:eastAsia="仿宋_GB2312" w:cs="Times New Roman"/>
      <w:sz w:val="32"/>
      <w:szCs w:val="20"/>
    </w:rPr>
  </w:style>
  <w:style w:type="character" w:customStyle="1" w:styleId="48">
    <w:name w:val="纯文本 Char"/>
    <w:link w:val="15"/>
    <w:qFormat/>
    <w:uiPriority w:val="0"/>
    <w:rPr>
      <w:rFonts w:ascii="宋体" w:hAnsi="Courier New" w:eastAsia="宋体" w:cs="Courier New"/>
      <w:szCs w:val="21"/>
    </w:rPr>
  </w:style>
  <w:style w:type="character" w:customStyle="1" w:styleId="49">
    <w:name w:val="日期 Char"/>
    <w:link w:val="16"/>
    <w:semiHidden/>
    <w:qFormat/>
    <w:uiPriority w:val="99"/>
    <w:rPr>
      <w:rFonts w:ascii="Times New Roman" w:hAnsi="Times New Roman"/>
      <w:kern w:val="2"/>
      <w:sz w:val="21"/>
      <w:szCs w:val="24"/>
    </w:rPr>
  </w:style>
  <w:style w:type="character" w:customStyle="1" w:styleId="50">
    <w:name w:val="页脚 Char1"/>
    <w:link w:val="18"/>
    <w:qFormat/>
    <w:uiPriority w:val="99"/>
    <w:rPr>
      <w:sz w:val="18"/>
      <w:szCs w:val="18"/>
    </w:rPr>
  </w:style>
  <w:style w:type="character" w:customStyle="1" w:styleId="51">
    <w:name w:val="页眉 Char"/>
    <w:link w:val="19"/>
    <w:qFormat/>
    <w:uiPriority w:val="99"/>
    <w:rPr>
      <w:sz w:val="18"/>
      <w:szCs w:val="18"/>
    </w:rPr>
  </w:style>
  <w:style w:type="character" w:customStyle="1" w:styleId="52">
    <w:name w:val="批注主题 Char"/>
    <w:link w:val="24"/>
    <w:qFormat/>
    <w:uiPriority w:val="99"/>
    <w:rPr>
      <w:rFonts w:ascii="Times New Roman" w:hAnsi="Times New Roman"/>
      <w:b/>
      <w:bCs/>
      <w:kern w:val="2"/>
      <w:sz w:val="21"/>
      <w:szCs w:val="24"/>
    </w:rPr>
  </w:style>
  <w:style w:type="character" w:customStyle="1" w:styleId="53">
    <w:name w:val="正文文本缩进 字符1"/>
    <w:qFormat/>
    <w:uiPriority w:val="0"/>
    <w:rPr>
      <w:rFonts w:ascii="仿宋_GB2312" w:hAnsi="Times New Roman" w:eastAsia="仿宋_GB2312" w:cs="Times New Roman"/>
      <w:sz w:val="32"/>
      <w:szCs w:val="20"/>
    </w:rPr>
  </w:style>
  <w:style w:type="character" w:customStyle="1" w:styleId="54">
    <w:name w:val="apple-style-span"/>
    <w:qFormat/>
    <w:uiPriority w:val="0"/>
  </w:style>
  <w:style w:type="character" w:customStyle="1" w:styleId="55">
    <w:name w:val="标题 1 字符"/>
    <w:qFormat/>
    <w:uiPriority w:val="9"/>
    <w:rPr>
      <w:b/>
      <w:bCs/>
      <w:kern w:val="44"/>
      <w:sz w:val="44"/>
      <w:szCs w:val="44"/>
    </w:rPr>
  </w:style>
  <w:style w:type="character" w:customStyle="1" w:styleId="56">
    <w:name w:val="textcontents"/>
    <w:qFormat/>
    <w:uiPriority w:val="0"/>
  </w:style>
  <w:style w:type="character" w:customStyle="1" w:styleId="57">
    <w:name w:val="纯文本 字符1"/>
    <w:qFormat/>
    <w:uiPriority w:val="0"/>
    <w:rPr>
      <w:rFonts w:ascii="宋体" w:hAnsi="Courier New"/>
    </w:rPr>
  </w:style>
  <w:style w:type="character" w:customStyle="1" w:styleId="58">
    <w:name w:val="批注文字 字符1"/>
    <w:qFormat/>
    <w:uiPriority w:val="0"/>
    <w:rPr>
      <w:kern w:val="2"/>
      <w:sz w:val="21"/>
      <w:szCs w:val="24"/>
    </w:rPr>
  </w:style>
  <w:style w:type="character" w:customStyle="1" w:styleId="59">
    <w:name w:val="纯文本 字符2"/>
    <w:qFormat/>
    <w:uiPriority w:val="0"/>
    <w:rPr>
      <w:rFonts w:ascii="宋体" w:hAnsi="Courier New" w:eastAsia="宋体" w:cs="Courier New"/>
      <w:szCs w:val="21"/>
    </w:rPr>
  </w:style>
  <w:style w:type="character" w:customStyle="1" w:styleId="60">
    <w:name w:val="页脚 Char"/>
    <w:qFormat/>
    <w:uiPriority w:val="99"/>
    <w:rPr>
      <w:lang w:eastAsia="zh-CN"/>
    </w:rPr>
  </w:style>
  <w:style w:type="paragraph" w:customStyle="1" w:styleId="61">
    <w:name w:val="默认段落字体 Para Char Char Char Char Char Char Char Char Char1 Char Char Char Char"/>
    <w:basedOn w:val="1"/>
    <w:qFormat/>
    <w:uiPriority w:val="0"/>
    <w:rPr>
      <w:rFonts w:ascii="Tahoma" w:hAnsi="Tahoma"/>
      <w:sz w:val="24"/>
      <w:szCs w:val="20"/>
    </w:rPr>
  </w:style>
  <w:style w:type="paragraph" w:customStyle="1" w:styleId="6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63">
    <w:name w:val="Table Paragraph"/>
    <w:basedOn w:val="1"/>
    <w:qFormat/>
    <w:uiPriority w:val="1"/>
    <w:pPr>
      <w:jc w:val="left"/>
    </w:pPr>
    <w:rPr>
      <w:rFonts w:ascii="Calibri" w:hAnsi="Calibri"/>
      <w:kern w:val="0"/>
      <w:sz w:val="22"/>
      <w:szCs w:val="22"/>
      <w:lang w:eastAsia="en-US"/>
    </w:rPr>
  </w:style>
  <w:style w:type="character" w:customStyle="1" w:styleId="64">
    <w:name w:val="批注文字 Char1"/>
    <w:qFormat/>
    <w:uiPriority w:val="0"/>
    <w:rPr>
      <w:rFonts w:ascii="Times New Roman" w:hAnsi="Times New Roman"/>
      <w:kern w:val="2"/>
      <w:sz w:val="21"/>
      <w:szCs w:val="24"/>
    </w:rPr>
  </w:style>
  <w:style w:type="character" w:customStyle="1" w:styleId="65">
    <w:name w:val="批注文字 字符2"/>
    <w:qFormat/>
    <w:uiPriority w:val="0"/>
    <w:rPr>
      <w:rFonts w:ascii="Times New Roman" w:hAnsi="Times New Roman"/>
      <w:kern w:val="2"/>
      <w:sz w:val="21"/>
      <w:szCs w:val="24"/>
    </w:rPr>
  </w:style>
  <w:style w:type="character" w:customStyle="1" w:styleId="66">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67">
    <w:name w:val="纯文本 Char1"/>
    <w:qFormat/>
    <w:uiPriority w:val="0"/>
    <w:rPr>
      <w:rFonts w:ascii="宋体" w:hAnsi="Courier New" w:eastAsia="宋体" w:cs="Courier New"/>
      <w:szCs w:val="21"/>
    </w:rPr>
  </w:style>
  <w:style w:type="character" w:customStyle="1" w:styleId="68">
    <w:name w:val="批注文字 Char2"/>
    <w:qFormat/>
    <w:uiPriority w:val="0"/>
    <w:rPr>
      <w:rFonts w:ascii="Times New Roman" w:hAnsi="Times New Roman"/>
      <w:kern w:val="2"/>
      <w:sz w:val="21"/>
      <w:szCs w:val="24"/>
    </w:rPr>
  </w:style>
  <w:style w:type="character" w:customStyle="1" w:styleId="69">
    <w:name w:val="font11"/>
    <w:basedOn w:val="29"/>
    <w:qFormat/>
    <w:uiPriority w:val="0"/>
    <w:rPr>
      <w:rFonts w:hint="eastAsia" w:ascii="宋体" w:hAnsi="宋体" w:eastAsia="宋体" w:cs="宋体"/>
      <w:color w:val="000000"/>
      <w:sz w:val="20"/>
      <w:szCs w:val="20"/>
      <w:u w:val="none"/>
    </w:rPr>
  </w:style>
  <w:style w:type="character" w:customStyle="1" w:styleId="70">
    <w:name w:val="font41"/>
    <w:qFormat/>
    <w:uiPriority w:val="0"/>
    <w:rPr>
      <w:rFonts w:ascii="宋体" w:hAnsi="宋体" w:eastAsia="宋体" w:cs="宋体"/>
      <w:color w:val="000000"/>
      <w:sz w:val="20"/>
      <w:szCs w:val="20"/>
      <w:u w:val="none"/>
    </w:rPr>
  </w:style>
  <w:style w:type="character" w:customStyle="1" w:styleId="71">
    <w:name w:val="font31"/>
    <w:qFormat/>
    <w:uiPriority w:val="0"/>
    <w:rPr>
      <w:rFonts w:ascii="方正书宋_GBK" w:hAnsi="方正书宋_GBK" w:eastAsia="方正书宋_GBK" w:cs="方正书宋_GBK"/>
      <w:color w:val="000000"/>
      <w:sz w:val="21"/>
      <w:szCs w:val="21"/>
      <w:u w:val="none"/>
    </w:rPr>
  </w:style>
  <w:style w:type="character" w:customStyle="1" w:styleId="72">
    <w:name w:val="font61"/>
    <w:basedOn w:val="29"/>
    <w:qFormat/>
    <w:uiPriority w:val="0"/>
    <w:rPr>
      <w:rFonts w:hint="default" w:ascii="Times New Roman" w:hAnsi="Times New Roman" w:cs="Times New Roman"/>
      <w:color w:val="000000"/>
      <w:sz w:val="21"/>
      <w:szCs w:val="21"/>
      <w:u w:val="none"/>
    </w:rPr>
  </w:style>
  <w:style w:type="character" w:customStyle="1" w:styleId="73">
    <w:name w:val="font71"/>
    <w:basedOn w:val="29"/>
    <w:qFormat/>
    <w:uiPriority w:val="0"/>
    <w:rPr>
      <w:rFonts w:hint="eastAsia" w:ascii="宋体" w:hAnsi="宋体" w:eastAsia="宋体" w:cs="宋体"/>
      <w:b/>
      <w:bCs/>
      <w:color w:val="000000"/>
      <w:sz w:val="18"/>
      <w:szCs w:val="18"/>
      <w:u w:val="none"/>
    </w:rPr>
  </w:style>
  <w:style w:type="character" w:customStyle="1" w:styleId="74">
    <w:name w:val="font81"/>
    <w:basedOn w:val="29"/>
    <w:qFormat/>
    <w:uiPriority w:val="0"/>
    <w:rPr>
      <w:rFonts w:hint="eastAsia" w:ascii="宋体" w:hAnsi="宋体" w:eastAsia="宋体" w:cs="宋体"/>
      <w:color w:val="000000"/>
      <w:sz w:val="18"/>
      <w:szCs w:val="18"/>
      <w:u w:val="none"/>
    </w:rPr>
  </w:style>
  <w:style w:type="character" w:customStyle="1" w:styleId="75">
    <w:name w:val="font01"/>
    <w:basedOn w:val="29"/>
    <w:qFormat/>
    <w:uiPriority w:val="0"/>
    <w:rPr>
      <w:rFonts w:hint="default" w:ascii="Arial" w:hAnsi="Arial" w:cs="Arial"/>
      <w:color w:val="000000"/>
      <w:sz w:val="18"/>
      <w:szCs w:val="18"/>
      <w:u w:val="none"/>
    </w:rPr>
  </w:style>
  <w:style w:type="character" w:customStyle="1" w:styleId="76">
    <w:name w:val="font91"/>
    <w:basedOn w:val="29"/>
    <w:qFormat/>
    <w:uiPriority w:val="0"/>
    <w:rPr>
      <w:rFonts w:hint="eastAsia" w:ascii="宋体" w:hAnsi="宋体" w:eastAsia="宋体" w:cs="宋体"/>
      <w:color w:val="000000"/>
      <w:sz w:val="18"/>
      <w:szCs w:val="18"/>
      <w:u w:val="none"/>
    </w:rPr>
  </w:style>
  <w:style w:type="character" w:customStyle="1" w:styleId="77">
    <w:name w:val="font51"/>
    <w:qFormat/>
    <w:uiPriority w:val="0"/>
    <w:rPr>
      <w:rFonts w:hint="default" w:ascii="Times New Roman" w:hAnsi="Times New Roman" w:cs="Times New Roman"/>
      <w:b/>
      <w:color w:val="000000"/>
      <w:sz w:val="18"/>
      <w:szCs w:val="18"/>
      <w:u w:val="none"/>
    </w:rPr>
  </w:style>
  <w:style w:type="paragraph" w:styleId="78">
    <w:name w:val="List Paragraph"/>
    <w:basedOn w:val="1"/>
    <w:qFormat/>
    <w:uiPriority w:val="34"/>
    <w:pPr>
      <w:ind w:firstLine="420" w:firstLineChars="200"/>
    </w:pPr>
  </w:style>
  <w:style w:type="paragraph" w:customStyle="1" w:styleId="79">
    <w:name w:val="Default"/>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paragraph" w:customStyle="1" w:styleId="80">
    <w:name w:val="Title1"/>
    <w:basedOn w:val="1"/>
    <w:next w:val="1"/>
    <w:qFormat/>
    <w:uiPriority w:val="0"/>
    <w:pPr>
      <w:jc w:val="center"/>
      <w:outlineLvl w:val="0"/>
    </w:pPr>
    <w:rPr>
      <w:rFonts w:ascii="Calibri Light" w:hAnsi="Calibri Light" w:eastAsia="Arial Unicode MS"/>
      <w:b/>
    </w:rPr>
  </w:style>
  <w:style w:type="character" w:customStyle="1" w:styleId="81">
    <w:name w:val="not-pass-node"/>
    <w:basedOn w:val="29"/>
    <w:qFormat/>
    <w:uiPriority w:val="0"/>
    <w:rPr>
      <w:bdr w:val="single" w:color="5ABD6B" w:sz="6" w:space="0"/>
      <w:shd w:val="clear" w:color="auto" w:fill="BFF3C3"/>
    </w:rPr>
  </w:style>
  <w:style w:type="character" w:customStyle="1" w:styleId="82">
    <w:name w:val="ant-select-tree-iconele"/>
    <w:basedOn w:val="29"/>
    <w:qFormat/>
    <w:uiPriority w:val="0"/>
  </w:style>
  <w:style w:type="character" w:customStyle="1" w:styleId="83">
    <w:name w:val="disabled4"/>
    <w:basedOn w:val="29"/>
    <w:qFormat/>
    <w:uiPriority w:val="0"/>
    <w:rPr>
      <w:color w:val="AAAAAA"/>
      <w:shd w:val="clear" w:color="auto" w:fill="F7F7F7"/>
    </w:rPr>
  </w:style>
  <w:style w:type="character" w:customStyle="1" w:styleId="84">
    <w:name w:val="button"/>
    <w:basedOn w:val="29"/>
    <w:qFormat/>
    <w:uiPriority w:val="0"/>
  </w:style>
  <w:style w:type="character" w:customStyle="1" w:styleId="85">
    <w:name w:val="button1"/>
    <w:basedOn w:val="29"/>
    <w:qFormat/>
    <w:uiPriority w:val="0"/>
  </w:style>
  <w:style w:type="character" w:customStyle="1" w:styleId="86">
    <w:name w:val="label"/>
    <w:basedOn w:val="29"/>
    <w:qFormat/>
    <w:uiPriority w:val="0"/>
  </w:style>
  <w:style w:type="character" w:customStyle="1" w:styleId="87">
    <w:name w:val="label1"/>
    <w:basedOn w:val="29"/>
    <w:qFormat/>
    <w:uiPriority w:val="0"/>
  </w:style>
  <w:style w:type="character" w:customStyle="1" w:styleId="88">
    <w:name w:val="ant-radio+*"/>
    <w:basedOn w:val="29"/>
    <w:qFormat/>
    <w:uiPriority w:val="0"/>
  </w:style>
  <w:style w:type="character" w:customStyle="1" w:styleId="89">
    <w:name w:val="ant-select-tree-switcher"/>
    <w:basedOn w:val="29"/>
    <w:qFormat/>
    <w:uiPriority w:val="0"/>
  </w:style>
  <w:style w:type="character" w:customStyle="1" w:styleId="90">
    <w:name w:val="last-child1"/>
    <w:basedOn w:val="29"/>
    <w:qFormat/>
    <w:uiPriority w:val="0"/>
  </w:style>
  <w:style w:type="character" w:customStyle="1" w:styleId="91">
    <w:name w:val="ant-table-row-expand-icon"/>
    <w:basedOn w:val="29"/>
    <w:qFormat/>
    <w:uiPriority w:val="0"/>
    <w:rPr>
      <w:vanish/>
    </w:rPr>
  </w:style>
  <w:style w:type="character" w:customStyle="1" w:styleId="92">
    <w:name w:val="hover42"/>
    <w:basedOn w:val="29"/>
    <w:qFormat/>
    <w:uiPriority w:val="0"/>
    <w:rPr>
      <w:color w:val="009DFF"/>
    </w:rPr>
  </w:style>
  <w:style w:type="character" w:customStyle="1" w:styleId="93">
    <w:name w:val="hover43"/>
    <w:basedOn w:val="29"/>
    <w:qFormat/>
    <w:uiPriority w:val="0"/>
    <w:rPr>
      <w:color w:val="009DFF"/>
    </w:rPr>
  </w:style>
  <w:style w:type="character" w:customStyle="1" w:styleId="94">
    <w:name w:val="passed-node"/>
    <w:basedOn w:val="29"/>
    <w:qFormat/>
    <w:uiPriority w:val="0"/>
    <w:rPr>
      <w:bdr w:val="single" w:color="49A8D4" w:sz="6" w:space="0"/>
      <w:shd w:val="clear" w:color="auto" w:fill="A9E3FF"/>
    </w:rPr>
  </w:style>
  <w:style w:type="character" w:customStyle="1" w:styleId="95">
    <w:name w:val="current-node"/>
    <w:basedOn w:val="29"/>
    <w:qFormat/>
    <w:uiPriority w:val="0"/>
    <w:rPr>
      <w:bdr w:val="single" w:color="F5B87B" w:sz="6" w:space="0"/>
      <w:shd w:val="clear" w:color="auto" w:fill="FFE8CC"/>
    </w:rPr>
  </w:style>
  <w:style w:type="character" w:customStyle="1" w:styleId="96">
    <w:name w:val="auto-pass-node"/>
    <w:basedOn w:val="29"/>
    <w:qFormat/>
    <w:uiPriority w:val="0"/>
    <w:rPr>
      <w:bdr w:val="single" w:color="DC4446" w:sz="6" w:space="0"/>
      <w:shd w:val="clear" w:color="auto" w:fill="A9E2FF"/>
    </w:rPr>
  </w:style>
  <w:style w:type="character" w:customStyle="1" w:styleId="97">
    <w:name w:val="ant-select-tree-checkbox"/>
    <w:basedOn w:val="29"/>
    <w:qFormat/>
    <w:uiPriority w:val="0"/>
  </w:style>
  <w:style w:type="character" w:customStyle="1" w:styleId="98">
    <w:name w:val="wea-thumbnails-doc-content-subtitle"/>
    <w:basedOn w:val="29"/>
    <w:qFormat/>
    <w:uiPriority w:val="0"/>
    <w:rPr>
      <w:color w:val="9A9A9A"/>
    </w:rPr>
  </w:style>
  <w:style w:type="character" w:customStyle="1" w:styleId="99">
    <w:name w:val="nth-child(2)"/>
    <w:basedOn w:val="29"/>
    <w:qFormat/>
    <w:uiPriority w:val="0"/>
  </w:style>
  <w:style w:type="character" w:customStyle="1" w:styleId="100">
    <w:name w:val="tmpztreemove_arrow"/>
    <w:basedOn w:val="29"/>
    <w:qFormat/>
    <w:uiPriority w:val="0"/>
  </w:style>
  <w:style w:type="character" w:customStyle="1" w:styleId="101">
    <w:name w:val="ant-tree-iconele"/>
    <w:basedOn w:val="29"/>
    <w:qFormat/>
    <w:uiPriority w:val="0"/>
  </w:style>
  <w:style w:type="character" w:customStyle="1" w:styleId="102">
    <w:name w:val="first-of-type"/>
    <w:basedOn w:val="29"/>
    <w:qFormat/>
    <w:uiPriority w:val="0"/>
    <w:rPr>
      <w:color w:val="FF0000"/>
    </w:rPr>
  </w:style>
  <w:style w:type="character" w:customStyle="1" w:styleId="103">
    <w:name w:val="first-of-type1"/>
    <w:basedOn w:val="29"/>
    <w:qFormat/>
    <w:uiPriority w:val="0"/>
    <w:rPr>
      <w:color w:val="FF0000"/>
    </w:rPr>
  </w:style>
  <w:style w:type="character" w:customStyle="1" w:styleId="104">
    <w:name w:val="first-of-type2"/>
    <w:basedOn w:val="29"/>
    <w:qFormat/>
    <w:uiPriority w:val="0"/>
    <w:rPr>
      <w:color w:val="FF0000"/>
    </w:rPr>
  </w:style>
  <w:style w:type="character" w:customStyle="1" w:styleId="105">
    <w:name w:val="ant-tree-switcher16"/>
    <w:basedOn w:val="29"/>
    <w:qFormat/>
    <w:uiPriority w:val="0"/>
  </w:style>
  <w:style w:type="character" w:customStyle="1" w:styleId="106">
    <w:name w:val="ant-tree-checkbox5"/>
    <w:basedOn w:val="29"/>
    <w:qFormat/>
    <w:uiPriority w:val="0"/>
  </w:style>
  <w:style w:type="character" w:customStyle="1" w:styleId="107">
    <w:name w:val="first-child2"/>
    <w:basedOn w:val="29"/>
    <w:qFormat/>
    <w:uiPriority w:val="0"/>
    <w:rPr>
      <w:color w:val="999999"/>
      <w:sz w:val="33"/>
      <w:szCs w:val="33"/>
    </w:rPr>
  </w:style>
  <w:style w:type="character" w:customStyle="1" w:styleId="108">
    <w:name w:val="first-child3"/>
    <w:basedOn w:val="29"/>
    <w:qFormat/>
    <w:uiPriority w:val="0"/>
  </w:style>
  <w:style w:type="character" w:customStyle="1" w:styleId="109">
    <w:name w:val="first-child4"/>
    <w:basedOn w:val="29"/>
    <w:qFormat/>
    <w:uiPriority w:val="0"/>
  </w:style>
  <w:style w:type="character" w:customStyle="1" w:styleId="110">
    <w:name w:val="top-label"/>
    <w:basedOn w:val="29"/>
    <w:qFormat/>
    <w:uiPriority w:val="0"/>
  </w:style>
  <w:style w:type="character" w:customStyle="1" w:styleId="111">
    <w:name w:val="wea-dropdown-triangle2"/>
    <w:basedOn w:val="29"/>
    <w:qFormat/>
    <w:uiPriority w:val="0"/>
  </w:style>
  <w:style w:type="character" w:customStyle="1" w:styleId="112">
    <w:name w:val="isrevision"/>
    <w:basedOn w:val="29"/>
    <w:qFormat/>
    <w:uiPriority w:val="0"/>
    <w:rPr>
      <w:color w:val="000000"/>
      <w:sz w:val="18"/>
      <w:szCs w:val="18"/>
      <w:bdr w:val="single" w:color="E9E9E9" w:sz="6" w:space="0"/>
      <w:shd w:val="clear" w:color="auto" w:fill="FFFFFF"/>
    </w:rPr>
  </w:style>
  <w:style w:type="character" w:customStyle="1" w:styleId="113">
    <w:name w:val="first-child"/>
    <w:basedOn w:val="29"/>
    <w:qFormat/>
    <w:uiPriority w:val="0"/>
    <w:rPr>
      <w:color w:val="999999"/>
      <w:sz w:val="33"/>
      <w:szCs w:val="33"/>
    </w:rPr>
  </w:style>
  <w:style w:type="character" w:customStyle="1" w:styleId="114">
    <w:name w:val="first-child1"/>
    <w:basedOn w:val="29"/>
    <w:qFormat/>
    <w:uiPriority w:val="0"/>
  </w:style>
  <w:style w:type="character" w:customStyle="1" w:styleId="115">
    <w:name w:val="ant-select-tree-checkbox2"/>
    <w:basedOn w:val="29"/>
    <w:qFormat/>
    <w:uiPriority w:val="0"/>
  </w:style>
  <w:style w:type="character" w:customStyle="1" w:styleId="116">
    <w:name w:val="label16"/>
    <w:basedOn w:val="29"/>
    <w:qFormat/>
    <w:uiPriority w:val="0"/>
  </w:style>
  <w:style w:type="character" w:customStyle="1" w:styleId="117">
    <w:name w:val="label17"/>
    <w:basedOn w:val="29"/>
    <w:qFormat/>
    <w:uiPriority w:val="0"/>
  </w:style>
  <w:style w:type="character" w:customStyle="1" w:styleId="118">
    <w:name w:val="disabled"/>
    <w:basedOn w:val="29"/>
    <w:qFormat/>
    <w:uiPriority w:val="0"/>
    <w:rPr>
      <w:color w:val="AAAAAA"/>
      <w:shd w:val="clear" w:color="auto" w:fill="F7F7F7"/>
    </w:rPr>
  </w:style>
  <w:style w:type="character" w:customStyle="1" w:styleId="119">
    <w:name w:val="nth-child(2)2"/>
    <w:basedOn w:val="29"/>
    <w:qFormat/>
    <w:uiPriority w:val="0"/>
  </w:style>
  <w:style w:type="character" w:customStyle="1" w:styleId="120">
    <w:name w:val="ant-tree-checkbox6"/>
    <w:basedOn w:val="29"/>
    <w:qFormat/>
    <w:uiPriority w:val="0"/>
  </w:style>
  <w:style w:type="character" w:customStyle="1" w:styleId="121">
    <w:name w:val="hover40"/>
    <w:basedOn w:val="29"/>
    <w:qFormat/>
    <w:uiPriority w:val="0"/>
    <w:rPr>
      <w:color w:val="009DFF"/>
    </w:rPr>
  </w:style>
  <w:style w:type="character" w:customStyle="1" w:styleId="122">
    <w:name w:val="hover41"/>
    <w:basedOn w:val="29"/>
    <w:qFormat/>
    <w:uiPriority w:val="0"/>
    <w:rPr>
      <w:color w:val="009DFF"/>
    </w:rPr>
  </w:style>
  <w:style w:type="character" w:customStyle="1" w:styleId="123">
    <w:name w:val="last-child"/>
    <w:basedOn w:val="29"/>
    <w:qFormat/>
    <w:uiPriority w:val="0"/>
  </w:style>
  <w:style w:type="character" w:customStyle="1" w:styleId="124">
    <w:name w:val="wea-dropdown-triangle"/>
    <w:basedOn w:val="29"/>
    <w:qFormat/>
    <w:uiPriority w:val="0"/>
  </w:style>
  <w:style w:type="character" w:customStyle="1" w:styleId="125">
    <w:name w:val="ant-tree-checkbox"/>
    <w:basedOn w:val="29"/>
    <w:qFormat/>
    <w:uiPriority w:val="0"/>
  </w:style>
  <w:style w:type="character" w:customStyle="1" w:styleId="126">
    <w:name w:val="ant-table-row-expand-icon3"/>
    <w:basedOn w:val="29"/>
    <w:qFormat/>
    <w:uiPriority w:val="0"/>
    <w:rPr>
      <w:vanish/>
    </w:rPr>
  </w:style>
  <w:style w:type="character" w:customStyle="1" w:styleId="127">
    <w:name w:val="ant-table-row-expand-icon4"/>
    <w:basedOn w:val="29"/>
    <w:qFormat/>
    <w:uiPriority w:val="0"/>
    <w:rPr>
      <w:vanish/>
    </w:rPr>
  </w:style>
  <w:style w:type="character" w:customStyle="1" w:styleId="128">
    <w:name w:val="ant-tree-checkbox8"/>
    <w:basedOn w:val="29"/>
    <w:qFormat/>
    <w:uiPriority w:val="0"/>
  </w:style>
  <w:style w:type="character" w:customStyle="1" w:styleId="129">
    <w:name w:val="ant-tree-switcher"/>
    <w:basedOn w:val="29"/>
    <w:qFormat/>
    <w:uiPriority w:val="0"/>
  </w:style>
  <w:style w:type="character" w:customStyle="1" w:styleId="130">
    <w:name w:val="ant-tree-switcher15"/>
    <w:basedOn w:val="29"/>
    <w:qFormat/>
    <w:uiPriority w:val="0"/>
  </w:style>
  <w:style w:type="character" w:customStyle="1" w:styleId="131">
    <w:name w:val="ant-tree-switcher14"/>
    <w:basedOn w:val="29"/>
    <w:qFormat/>
    <w:uiPriority w:val="0"/>
  </w:style>
  <w:style w:type="character" w:customStyle="1" w:styleId="132">
    <w:name w:val="cke_path_empty2"/>
    <w:basedOn w:val="29"/>
    <w:qFormat/>
    <w:uiPriority w:val="0"/>
    <w:rPr>
      <w:b/>
      <w:bCs/>
      <w:color w:val="484848"/>
      <w:sz w:val="16"/>
      <w:szCs w:val="16"/>
      <w:u w:val="none"/>
    </w:rPr>
  </w:style>
  <w:style w:type="character" w:customStyle="1" w:styleId="133">
    <w:name w:val="cke_colorbox"/>
    <w:basedOn w:val="29"/>
    <w:qFormat/>
    <w:uiPriority w:val="0"/>
  </w:style>
  <w:style w:type="character" w:customStyle="1" w:styleId="134">
    <w:name w:val="cke_colorbox1"/>
    <w:basedOn w:val="29"/>
    <w:qFormat/>
    <w:uiPriority w:val="0"/>
  </w:style>
  <w:style w:type="character" w:customStyle="1" w:styleId="135">
    <w:name w:val="cke_colorbox2"/>
    <w:basedOn w:val="29"/>
    <w:qFormat/>
    <w:uiPriority w:val="0"/>
    <w:rPr>
      <w:bdr w:val="single" w:color="808080" w:sz="6" w:space="0"/>
    </w:rPr>
  </w:style>
  <w:style w:type="character" w:customStyle="1" w:styleId="136">
    <w:name w:val="cke_notification_progress"/>
    <w:basedOn w:val="29"/>
    <w:qFormat/>
    <w:uiPriority w:val="0"/>
    <w:rPr>
      <w:shd w:val="clear" w:color="auto" w:fill="0F74A8"/>
    </w:rPr>
  </w:style>
  <w:style w:type="character" w:customStyle="1" w:styleId="137">
    <w:name w:val="cke_dialog_ui_button2"/>
    <w:basedOn w:val="29"/>
    <w:qFormat/>
    <w:uiPriority w:val="0"/>
  </w:style>
  <w:style w:type="paragraph" w:customStyle="1" w:styleId="138">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正文缩进1"/>
    <w:basedOn w:val="1"/>
    <w:next w:val="12"/>
    <w:qFormat/>
    <w:uiPriority w:val="0"/>
    <w:pPr>
      <w:autoSpaceDE w:val="0"/>
      <w:autoSpaceDN w:val="0"/>
      <w:adjustRightInd w:val="0"/>
      <w:snapToGrid w:val="0"/>
      <w:spacing w:after="120" w:line="360" w:lineRule="auto"/>
      <w:ind w:left="420" w:leftChars="200" w:firstLine="480" w:firstLineChars="200"/>
    </w:pPr>
    <w:rPr>
      <w:sz w:val="24"/>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KWZB;</Company>
  <Pages>146</Pages>
  <Words>7895</Words>
  <Characters>8688</Characters>
  <Lines>719</Lines>
  <Paragraphs>202</Paragraphs>
  <TotalTime>33</TotalTime>
  <ScaleCrop>false</ScaleCrop>
  <LinksUpToDate>false</LinksUpToDate>
  <CharactersWithSpaces>8903</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2026-07-28T05:14:00Z</dcterms:created>
  <dc:creator>KWZB</dc:creator>
  <cp:lastModifiedBy>T</cp:lastModifiedBy>
  <cp:lastPrinted>2025-10-29T08:37:00Z</cp:lastPrinted>
  <dcterms:modified xsi:type="dcterms:W3CDTF">2026-08-17T08:54:25Z</dcterms:modified>
  <dc:title>竞争性谈判文件规范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549D7D3786584572B5228EA3BB57A48A_13</vt:lpwstr>
  </property>
  <property fmtid="{D5CDD505-2E9C-101B-9397-08002B2CF9AE}" pid="4" name="KSOTemplateDocerSaveRecord">
    <vt:lpwstr>eyJoZGlkIjoiZTYzOWU5ZGYxZDAyMTc5YmY4N2FhYzdiNWE1Yzc4MmQiLCJ1c2VySWQiOiIzMDI4MjMwNzUifQ==</vt:lpwstr>
  </property>
</Properties>
</file>