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38EAFD">
      <w:pPr>
        <w:spacing w:line="360" w:lineRule="auto"/>
        <w:jc w:val="center"/>
        <w:rPr>
          <w:rFonts w:ascii="宋体" w:hAnsi="宋体" w:cs="宋体"/>
          <w:b/>
          <w:bCs/>
          <w:color w:val="auto"/>
          <w:sz w:val="48"/>
          <w:szCs w:val="48"/>
        </w:rPr>
      </w:pPr>
      <w:r>
        <w:rPr>
          <w:rFonts w:hint="eastAsia" w:ascii="宋体" w:hAnsi="宋体" w:cs="宋体"/>
          <w:b/>
          <w:bCs/>
          <w:color w:val="auto"/>
          <w:sz w:val="48"/>
          <w:szCs w:val="48"/>
        </w:rPr>
        <w:t>广西同泽工程项目管理股份有限公司</w:t>
      </w:r>
    </w:p>
    <w:p w14:paraId="1ACDD6B8">
      <w:pPr>
        <w:spacing w:line="360" w:lineRule="auto"/>
        <w:jc w:val="center"/>
        <w:rPr>
          <w:rFonts w:ascii="宋体" w:hAnsi="宋体" w:cs="宋体"/>
          <w:b/>
          <w:color w:val="auto"/>
          <w:sz w:val="36"/>
          <w:szCs w:val="36"/>
        </w:rPr>
      </w:pPr>
      <w:r>
        <w:rPr>
          <w:rFonts w:hint="eastAsia" w:ascii="宋体" w:hAnsi="宋体" w:cs="宋体"/>
          <w:color w:val="auto"/>
          <w:sz w:val="20"/>
        </w:rPr>
        <mc:AlternateContent>
          <mc:Choice Requires="wps">
            <w:drawing>
              <wp:anchor distT="0" distB="0" distL="114300" distR="114300" simplePos="0" relativeHeight="251660288" behindDoc="0" locked="0" layoutInCell="1" allowOverlap="1">
                <wp:simplePos x="0" y="0"/>
                <wp:positionH relativeFrom="column">
                  <wp:posOffset>-309245</wp:posOffset>
                </wp:positionH>
                <wp:positionV relativeFrom="paragraph">
                  <wp:posOffset>245110</wp:posOffset>
                </wp:positionV>
                <wp:extent cx="5944235" cy="8255"/>
                <wp:effectExtent l="0" t="28575" r="18415" b="39370"/>
                <wp:wrapNone/>
                <wp:docPr id="1" name="直接连接符 1"/>
                <wp:cNvGraphicFramePr/>
                <a:graphic xmlns:a="http://schemas.openxmlformats.org/drawingml/2006/main">
                  <a:graphicData uri="http://schemas.microsoft.com/office/word/2010/wordprocessingShape">
                    <wps:wsp>
                      <wps:cNvCnPr/>
                      <wps:spPr>
                        <a:xfrm flipV="1">
                          <a:off x="0" y="0"/>
                          <a:ext cx="5944235" cy="8255"/>
                        </a:xfrm>
                        <a:prstGeom prst="line">
                          <a:avLst/>
                        </a:prstGeom>
                        <a:ln w="57150" cap="flat" cmpd="thickThin">
                          <a:solidFill>
                            <a:srgbClr val="000000"/>
                          </a:solidFill>
                          <a:prstDash val="solid"/>
                          <a:round/>
                          <a:headEnd type="none" w="med" len="med"/>
                          <a:tailEnd type="none" w="med" len="med"/>
                        </a:ln>
                        <a:effectLst/>
                      </wps:spPr>
                      <wps:bodyPr/>
                    </wps:wsp>
                  </a:graphicData>
                </a:graphic>
              </wp:anchor>
            </w:drawing>
          </mc:Choice>
          <mc:Fallback>
            <w:pict>
              <v:line id="_x0000_s1026" o:spid="_x0000_s1026" o:spt="20" style="position:absolute;left:0pt;flip:y;margin-left:-24.35pt;margin-top:19.3pt;height:0.65pt;width:468.05pt;z-index:251660288;mso-width-relative:page;mso-height-relative:page;" filled="f" stroked="t" coordsize="21600,21600" o:gfxdata="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KghgnZAAAACQEAAA8AAAAAAAAAAQAgAAAAIgAAAGRy&#10;cy9kb3ducmV2LnhtbFBLAQIUABQAAAAIAIdO4kCdQDIcBAIAAAQEAAAOAAAAAAAAAAEAIAAAACgB&#10;AABkcnMvZTJvRG9jLnhtbFBLBQYAAAAABgAGAFkBAACeBQAAAAA=&#10;">
                <v:fill on="f" focussize="0,0"/>
                <v:stroke weight="4.5pt" color="#000000" linestyle="thickThin" joinstyle="round"/>
                <v:imagedata o:title=""/>
                <o:lock v:ext="edit" aspectratio="f"/>
              </v:line>
            </w:pict>
          </mc:Fallback>
        </mc:AlternateContent>
      </w:r>
      <w:r>
        <w:rPr>
          <w:rFonts w:hint="eastAsia" w:ascii="宋体" w:hAnsi="宋体" w:cs="宋体"/>
          <w:b/>
          <w:bCs/>
          <w:color w:val="auto"/>
          <w:sz w:val="10"/>
        </w:rPr>
        <w:t xml:space="preserve">                                                                         </w:t>
      </w:r>
    </w:p>
    <w:p w14:paraId="52DAF0E6">
      <w:pPr>
        <w:spacing w:line="360" w:lineRule="auto"/>
        <w:ind w:left="3087" w:leftChars="809" w:hanging="1388" w:hangingChars="432"/>
        <w:rPr>
          <w:rFonts w:ascii="宋体" w:hAnsi="宋体" w:cs="宋体"/>
          <w:b/>
          <w:color w:val="auto"/>
          <w:sz w:val="32"/>
          <w:szCs w:val="32"/>
        </w:rPr>
      </w:pPr>
    </w:p>
    <w:p w14:paraId="6C3F16CD">
      <w:pPr>
        <w:spacing w:line="360" w:lineRule="auto"/>
        <w:ind w:left="3087" w:leftChars="809" w:hanging="1388" w:hangingChars="432"/>
        <w:rPr>
          <w:rFonts w:ascii="宋体" w:hAnsi="宋体" w:cs="宋体"/>
          <w:b/>
          <w:color w:val="auto"/>
          <w:sz w:val="32"/>
          <w:szCs w:val="32"/>
        </w:rPr>
      </w:pPr>
      <w:r>
        <w:rPr>
          <w:rFonts w:hint="eastAsia" w:ascii="宋体" w:hAnsi="宋体" w:cs="宋体"/>
          <w:b/>
          <w:bCs/>
          <w:color w:val="auto"/>
          <w:sz w:val="32"/>
        </w:rPr>
        <w:drawing>
          <wp:anchor distT="0" distB="0" distL="114300" distR="114300" simplePos="0" relativeHeight="251659264" behindDoc="1" locked="0" layoutInCell="1" allowOverlap="1">
            <wp:simplePos x="0" y="0"/>
            <wp:positionH relativeFrom="column">
              <wp:posOffset>1330325</wp:posOffset>
            </wp:positionH>
            <wp:positionV relativeFrom="paragraph">
              <wp:posOffset>26035</wp:posOffset>
            </wp:positionV>
            <wp:extent cx="2680970" cy="1960880"/>
            <wp:effectExtent l="0" t="0" r="5080" b="1270"/>
            <wp:wrapTight wrapText="bothSides">
              <wp:wrapPolygon>
                <wp:start x="0" y="0"/>
                <wp:lineTo x="0" y="21404"/>
                <wp:lineTo x="21487" y="21404"/>
                <wp:lineTo x="21487" y="0"/>
                <wp:lineTo x="0" y="0"/>
              </wp:wrapPolygon>
            </wp:wrapTight>
            <wp:docPr id="2" name="图片 3"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公司logo"/>
                    <pic:cNvPicPr>
                      <a:picLocks noChangeAspect="1"/>
                    </pic:cNvPicPr>
                  </pic:nvPicPr>
                  <pic:blipFill>
                    <a:blip r:embed="rId8"/>
                    <a:stretch>
                      <a:fillRect/>
                    </a:stretch>
                  </pic:blipFill>
                  <pic:spPr>
                    <a:xfrm>
                      <a:off x="0" y="0"/>
                      <a:ext cx="2680970" cy="1960880"/>
                    </a:xfrm>
                    <a:prstGeom prst="rect">
                      <a:avLst/>
                    </a:prstGeom>
                    <a:noFill/>
                    <a:ln>
                      <a:noFill/>
                    </a:ln>
                  </pic:spPr>
                </pic:pic>
              </a:graphicData>
            </a:graphic>
          </wp:anchor>
        </w:drawing>
      </w:r>
    </w:p>
    <w:p w14:paraId="19E8640C">
      <w:pPr>
        <w:pStyle w:val="15"/>
        <w:spacing w:line="360" w:lineRule="auto"/>
        <w:rPr>
          <w:rFonts w:hAnsi="宋体" w:cs="宋体"/>
          <w:color w:val="auto"/>
          <w:sz w:val="96"/>
          <w:szCs w:val="96"/>
        </w:rPr>
      </w:pPr>
    </w:p>
    <w:p w14:paraId="4A291143">
      <w:pPr>
        <w:snapToGrid w:val="0"/>
        <w:spacing w:before="156" w:line="360" w:lineRule="auto"/>
        <w:jc w:val="center"/>
        <w:textAlignment w:val="baseline"/>
        <w:rPr>
          <w:rFonts w:ascii="宋体" w:hAnsi="宋体" w:cs="宋体"/>
          <w:color w:val="auto"/>
          <w:sz w:val="96"/>
          <w:szCs w:val="96"/>
        </w:rPr>
      </w:pPr>
    </w:p>
    <w:p w14:paraId="0940E6F3">
      <w:pPr>
        <w:snapToGrid w:val="0"/>
        <w:spacing w:before="156" w:line="360" w:lineRule="auto"/>
        <w:jc w:val="center"/>
        <w:textAlignment w:val="baseline"/>
        <w:rPr>
          <w:rFonts w:ascii="宋体" w:hAnsi="宋体" w:cs="宋体"/>
          <w:color w:val="auto"/>
          <w:sz w:val="96"/>
          <w:szCs w:val="96"/>
        </w:rPr>
      </w:pPr>
      <w:r>
        <w:rPr>
          <w:rFonts w:hint="eastAsia" w:ascii="宋体" w:hAnsi="宋体" w:cs="宋体"/>
          <w:color w:val="auto"/>
          <w:sz w:val="96"/>
          <w:szCs w:val="96"/>
        </w:rPr>
        <w:t>竞争性谈判文件</w:t>
      </w:r>
    </w:p>
    <w:p w14:paraId="0923217D">
      <w:pPr>
        <w:pStyle w:val="12"/>
        <w:spacing w:line="360" w:lineRule="auto"/>
        <w:ind w:firstLine="0" w:firstLineChars="0"/>
        <w:jc w:val="center"/>
        <w:rPr>
          <w:rFonts w:ascii="宋体" w:hAnsi="宋体" w:eastAsia="宋体" w:cs="宋体"/>
          <w:b/>
          <w:color w:val="auto"/>
          <w:sz w:val="44"/>
          <w:szCs w:val="44"/>
        </w:rPr>
      </w:pPr>
      <w:r>
        <w:rPr>
          <w:rFonts w:hint="eastAsia" w:ascii="宋体" w:hAnsi="宋体" w:eastAsia="宋体" w:cs="宋体"/>
          <w:b/>
          <w:color w:val="auto"/>
          <w:sz w:val="44"/>
          <w:szCs w:val="44"/>
        </w:rPr>
        <w:t>（货物类）</w:t>
      </w:r>
    </w:p>
    <w:p w14:paraId="2290C307">
      <w:pPr>
        <w:pStyle w:val="12"/>
        <w:spacing w:line="360" w:lineRule="auto"/>
        <w:ind w:firstLine="0" w:firstLineChars="0"/>
        <w:jc w:val="center"/>
        <w:rPr>
          <w:rFonts w:ascii="宋体" w:hAnsi="宋体" w:eastAsia="宋体" w:cs="宋体"/>
          <w:b/>
          <w:color w:val="auto"/>
          <w:sz w:val="44"/>
          <w:szCs w:val="44"/>
        </w:rPr>
      </w:pPr>
    </w:p>
    <w:p w14:paraId="3F089E44">
      <w:pPr>
        <w:pStyle w:val="12"/>
        <w:spacing w:line="360" w:lineRule="auto"/>
        <w:ind w:firstLine="1131"/>
        <w:rPr>
          <w:rFonts w:ascii="宋体" w:hAnsi="宋体" w:eastAsia="宋体" w:cs="宋体"/>
          <w:b/>
          <w:color w:val="auto"/>
          <w:szCs w:val="30"/>
        </w:rPr>
      </w:pPr>
    </w:p>
    <w:p w14:paraId="5AC516D5">
      <w:pPr>
        <w:pStyle w:val="15"/>
        <w:snapToGrid w:val="0"/>
        <w:spacing w:before="159" w:beforeLines="50" w:after="159" w:afterLines="50" w:line="360" w:lineRule="auto"/>
        <w:textAlignment w:val="baseline"/>
        <w:rPr>
          <w:rFonts w:hint="eastAsia" w:hAnsi="宋体" w:eastAsia="宋体" w:cs="宋体"/>
          <w:b/>
          <w:bCs/>
          <w:color w:val="auto"/>
          <w:sz w:val="30"/>
          <w:szCs w:val="30"/>
          <w:lang w:eastAsia="zh-CN"/>
        </w:rPr>
      </w:pPr>
      <w:r>
        <w:rPr>
          <w:rFonts w:hint="eastAsia" w:hAnsi="宋体" w:cs="宋体"/>
          <w:b/>
          <w:bCs/>
          <w:color w:val="auto"/>
          <w:sz w:val="30"/>
          <w:szCs w:val="30"/>
        </w:rPr>
        <w:t>项目</w:t>
      </w:r>
      <w:r>
        <w:rPr>
          <w:rFonts w:hint="eastAsia" w:hAnsi="宋体" w:cs="宋体"/>
          <w:b/>
          <w:bCs/>
          <w:color w:val="auto"/>
          <w:w w:val="95"/>
          <w:sz w:val="30"/>
          <w:szCs w:val="30"/>
        </w:rPr>
        <w:t>名称</w:t>
      </w:r>
      <w:r>
        <w:rPr>
          <w:rFonts w:hint="eastAsia" w:hAnsi="宋体" w:cs="宋体"/>
          <w:b/>
          <w:bCs/>
          <w:color w:val="auto"/>
          <w:sz w:val="30"/>
          <w:szCs w:val="30"/>
        </w:rPr>
        <w:t>：</w:t>
      </w:r>
      <w:r>
        <w:rPr>
          <w:rFonts w:hint="eastAsia" w:hAnsi="宋体" w:cs="宋体"/>
          <w:b/>
          <w:bCs/>
          <w:color w:val="auto"/>
          <w:sz w:val="30"/>
          <w:szCs w:val="30"/>
          <w:lang w:eastAsia="zh-CN"/>
        </w:rPr>
        <w:t>2026年学校艺体类实训室建设项目（重）</w:t>
      </w:r>
    </w:p>
    <w:p w14:paraId="042745F9">
      <w:pPr>
        <w:pStyle w:val="15"/>
        <w:snapToGrid w:val="0"/>
        <w:spacing w:before="159" w:beforeLines="50" w:after="159" w:afterLines="50" w:line="360" w:lineRule="auto"/>
        <w:textAlignment w:val="baseline"/>
        <w:rPr>
          <w:rFonts w:hint="eastAsia" w:hAnsi="宋体" w:eastAsia="宋体" w:cs="宋体"/>
          <w:color w:val="auto"/>
          <w:highlight w:val="none"/>
          <w:lang w:eastAsia="zh-CN"/>
        </w:rPr>
      </w:pPr>
      <w:r>
        <w:rPr>
          <w:rFonts w:hint="eastAsia" w:hAnsi="宋体" w:cs="宋体"/>
          <w:b/>
          <w:bCs/>
          <w:color w:val="auto"/>
          <w:sz w:val="30"/>
          <w:szCs w:val="30"/>
          <w:highlight w:val="none"/>
        </w:rPr>
        <w:t>项目编号：</w:t>
      </w:r>
      <w:r>
        <w:rPr>
          <w:rFonts w:hint="eastAsia" w:hAnsi="宋体" w:cs="宋体"/>
          <w:b/>
          <w:bCs/>
          <w:color w:val="auto"/>
          <w:sz w:val="30"/>
          <w:szCs w:val="30"/>
          <w:highlight w:val="none"/>
          <w:lang w:eastAsia="zh-CN"/>
        </w:rPr>
        <w:t>GXZC2026-J1-003037-GXTZ</w:t>
      </w:r>
    </w:p>
    <w:p w14:paraId="379E520C">
      <w:pPr>
        <w:pStyle w:val="15"/>
        <w:snapToGrid w:val="0"/>
        <w:spacing w:before="159" w:beforeLines="50" w:after="159" w:afterLines="50" w:line="360" w:lineRule="auto"/>
        <w:textAlignment w:val="baseline"/>
        <w:rPr>
          <w:rFonts w:hAnsi="宋体" w:cs="宋体"/>
          <w:b/>
          <w:bCs/>
          <w:color w:val="auto"/>
          <w:sz w:val="30"/>
          <w:szCs w:val="30"/>
          <w:highlight w:val="none"/>
        </w:rPr>
      </w:pPr>
      <w:r>
        <w:rPr>
          <w:rFonts w:hint="eastAsia" w:hAnsi="宋体" w:cs="宋体"/>
          <w:b/>
          <w:bCs/>
          <w:color w:val="auto"/>
          <w:sz w:val="30"/>
          <w:szCs w:val="30"/>
          <w:highlight w:val="none"/>
        </w:rPr>
        <w:t>采 购 人：广西幼儿师范高等专科学校</w:t>
      </w:r>
    </w:p>
    <w:p w14:paraId="46665789">
      <w:pPr>
        <w:pStyle w:val="15"/>
        <w:snapToGrid w:val="0"/>
        <w:spacing w:before="159" w:beforeLines="50" w:after="159" w:afterLines="50" w:line="360" w:lineRule="auto"/>
        <w:textAlignment w:val="baseline"/>
        <w:rPr>
          <w:rFonts w:hAnsi="宋体" w:cs="宋体"/>
          <w:b/>
          <w:bCs/>
          <w:color w:val="auto"/>
          <w:sz w:val="30"/>
          <w:szCs w:val="30"/>
          <w:highlight w:val="none"/>
        </w:rPr>
      </w:pPr>
      <w:r>
        <w:rPr>
          <w:rFonts w:hint="eastAsia" w:hAnsi="宋体" w:cs="宋体"/>
          <w:b/>
          <w:bCs/>
          <w:color w:val="auto"/>
          <w:sz w:val="30"/>
          <w:szCs w:val="30"/>
          <w:highlight w:val="none"/>
        </w:rPr>
        <w:t>采购代理机构：广西同泽工程项目管理股份有限公司</w:t>
      </w:r>
    </w:p>
    <w:p w14:paraId="085F8907">
      <w:pPr>
        <w:pStyle w:val="15"/>
        <w:jc w:val="center"/>
        <w:rPr>
          <w:rFonts w:hAnsi="宋体" w:cs="宋体"/>
          <w:b/>
          <w:bCs/>
          <w:color w:val="auto"/>
          <w:sz w:val="72"/>
          <w:szCs w:val="72"/>
          <w:highlight w:val="none"/>
        </w:rPr>
      </w:pPr>
      <w:r>
        <w:rPr>
          <w:rFonts w:hint="eastAsia" w:hAnsi="宋体" w:cs="宋体"/>
          <w:b/>
          <w:bCs/>
          <w:color w:val="auto"/>
          <w:sz w:val="30"/>
          <w:szCs w:val="30"/>
          <w:highlight w:val="none"/>
        </w:rPr>
        <w:t>2026年</w:t>
      </w:r>
      <w:r>
        <w:rPr>
          <w:rFonts w:hint="eastAsia" w:hAnsi="宋体" w:cs="宋体"/>
          <w:b/>
          <w:bCs/>
          <w:color w:val="auto"/>
          <w:sz w:val="30"/>
          <w:szCs w:val="30"/>
          <w:highlight w:val="none"/>
          <w:lang w:val="en-US" w:eastAsia="zh-CN"/>
        </w:rPr>
        <w:t>09</w:t>
      </w:r>
      <w:r>
        <w:rPr>
          <w:rFonts w:hint="eastAsia" w:hAnsi="宋体" w:cs="宋体"/>
          <w:b/>
          <w:bCs/>
          <w:color w:val="auto"/>
          <w:sz w:val="30"/>
          <w:szCs w:val="30"/>
          <w:highlight w:val="none"/>
        </w:rPr>
        <w:t>月</w:t>
      </w:r>
    </w:p>
    <w:p w14:paraId="27A76836">
      <w:pPr>
        <w:spacing w:line="360" w:lineRule="auto"/>
        <w:rPr>
          <w:rFonts w:ascii="宋体" w:hAnsi="宋体" w:cs="宋体"/>
          <w:b/>
          <w:color w:val="auto"/>
          <w:sz w:val="44"/>
          <w:szCs w:val="44"/>
          <w:highlight w:val="none"/>
        </w:rPr>
      </w:pPr>
    </w:p>
    <w:p w14:paraId="7E9242C9">
      <w:pPr>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目  录</w:t>
      </w:r>
    </w:p>
    <w:p w14:paraId="19960ED8">
      <w:pPr>
        <w:spacing w:line="400" w:lineRule="atLeast"/>
        <w:jc w:val="center"/>
        <w:rPr>
          <w:rFonts w:ascii="宋体" w:hAnsi="宋体" w:cs="宋体"/>
          <w:b/>
          <w:color w:val="auto"/>
          <w:sz w:val="28"/>
          <w:szCs w:val="28"/>
          <w:highlight w:val="none"/>
        </w:rPr>
      </w:pPr>
    </w:p>
    <w:p w14:paraId="13AAB31F">
      <w:pPr>
        <w:pStyle w:val="20"/>
        <w:tabs>
          <w:tab w:val="right" w:leader="dot" w:pos="9071"/>
        </w:tabs>
        <w:rPr>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"_Toc31914" </w:instrText>
      </w:r>
      <w:r>
        <w:rPr>
          <w:color w:val="auto"/>
          <w:highlight w:val="none"/>
        </w:rPr>
        <w:fldChar w:fldCharType="separate"/>
      </w:r>
      <w:r>
        <w:rPr>
          <w:rFonts w:ascii="宋体" w:hAnsi="宋体" w:cs="宋体"/>
          <w:b/>
          <w:bCs/>
          <w:color w:val="auto"/>
          <w:sz w:val="28"/>
          <w:szCs w:val="28"/>
          <w:highlight w:val="none"/>
        </w:rPr>
        <w:t xml:space="preserve">第一章 </w:t>
      </w:r>
      <w:r>
        <w:rPr>
          <w:rFonts w:hint="eastAsia" w:ascii="宋体" w:hAnsi="宋体" w:cs="宋体"/>
          <w:b/>
          <w:bCs/>
          <w:color w:val="auto"/>
          <w:sz w:val="28"/>
          <w:szCs w:val="28"/>
          <w:highlight w:val="none"/>
        </w:rPr>
        <w:t>竞争性谈判公告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_Toc31914 \h </w:instrText>
      </w:r>
      <w:r>
        <w:rPr>
          <w:b/>
          <w:bCs/>
          <w:color w:val="auto"/>
          <w:sz w:val="28"/>
          <w:szCs w:val="28"/>
          <w:highlight w:val="none"/>
        </w:rPr>
        <w:fldChar w:fldCharType="separate"/>
      </w:r>
      <w:r>
        <w:rPr>
          <w:b/>
          <w:bCs/>
          <w:color w:val="auto"/>
          <w:sz w:val="28"/>
          <w:szCs w:val="28"/>
          <w:highlight w:val="none"/>
        </w:rPr>
        <w:t>1</w:t>
      </w:r>
      <w:r>
        <w:rPr>
          <w:b/>
          <w:bCs/>
          <w:color w:val="auto"/>
          <w:sz w:val="28"/>
          <w:szCs w:val="28"/>
          <w:highlight w:val="none"/>
        </w:rPr>
        <w:fldChar w:fldCharType="end"/>
      </w:r>
      <w:r>
        <w:rPr>
          <w:b/>
          <w:bCs/>
          <w:color w:val="auto"/>
          <w:sz w:val="28"/>
          <w:szCs w:val="28"/>
          <w:highlight w:val="none"/>
        </w:rPr>
        <w:fldChar w:fldCharType="end"/>
      </w:r>
    </w:p>
    <w:p w14:paraId="20B33823">
      <w:pPr>
        <w:pStyle w:val="20"/>
        <w:tabs>
          <w:tab w:val="right" w:leader="dot" w:pos="9071"/>
        </w:tabs>
        <w:rPr>
          <w:b/>
          <w:bCs/>
          <w:color w:val="auto"/>
          <w:sz w:val="28"/>
          <w:szCs w:val="28"/>
          <w:highlight w:val="none"/>
        </w:rPr>
      </w:pPr>
      <w:r>
        <w:rPr>
          <w:color w:val="auto"/>
          <w:highlight w:val="none"/>
        </w:rPr>
        <w:fldChar w:fldCharType="begin"/>
      </w:r>
      <w:r>
        <w:rPr>
          <w:color w:val="auto"/>
          <w:highlight w:val="none"/>
        </w:rPr>
        <w:instrText xml:space="preserve"> HYPERLINK \l "_Toc26488" </w:instrText>
      </w:r>
      <w:r>
        <w:rPr>
          <w:color w:val="auto"/>
          <w:highlight w:val="none"/>
        </w:rPr>
        <w:fldChar w:fldCharType="separate"/>
      </w:r>
      <w:r>
        <w:rPr>
          <w:rFonts w:hint="eastAsia" w:ascii="宋体" w:hAnsi="宋体" w:cs="宋体"/>
          <w:b/>
          <w:bCs/>
          <w:color w:val="auto"/>
          <w:kern w:val="44"/>
          <w:sz w:val="28"/>
          <w:szCs w:val="28"/>
          <w:highlight w:val="none"/>
        </w:rPr>
        <w:t>第二章 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_Toc26488 \h </w:instrText>
      </w:r>
      <w:r>
        <w:rPr>
          <w:b/>
          <w:bCs/>
          <w:color w:val="auto"/>
          <w:sz w:val="28"/>
          <w:szCs w:val="28"/>
          <w:highlight w:val="none"/>
        </w:rPr>
        <w:fldChar w:fldCharType="separate"/>
      </w:r>
      <w:r>
        <w:rPr>
          <w:b/>
          <w:bCs/>
          <w:color w:val="auto"/>
          <w:sz w:val="28"/>
          <w:szCs w:val="28"/>
          <w:highlight w:val="none"/>
        </w:rPr>
        <w:t>5</w:t>
      </w:r>
      <w:r>
        <w:rPr>
          <w:b/>
          <w:bCs/>
          <w:color w:val="auto"/>
          <w:sz w:val="28"/>
          <w:szCs w:val="28"/>
          <w:highlight w:val="none"/>
        </w:rPr>
        <w:fldChar w:fldCharType="end"/>
      </w:r>
      <w:r>
        <w:rPr>
          <w:b/>
          <w:bCs/>
          <w:color w:val="auto"/>
          <w:sz w:val="28"/>
          <w:szCs w:val="28"/>
          <w:highlight w:val="none"/>
        </w:rPr>
        <w:fldChar w:fldCharType="end"/>
      </w:r>
    </w:p>
    <w:p w14:paraId="5EE624F0">
      <w:pPr>
        <w:pStyle w:val="20"/>
        <w:tabs>
          <w:tab w:val="right" w:leader="dot" w:pos="9071"/>
        </w:tabs>
        <w:rPr>
          <w:b/>
          <w:bCs/>
          <w:color w:val="auto"/>
          <w:sz w:val="28"/>
          <w:szCs w:val="28"/>
          <w:highlight w:val="none"/>
        </w:rPr>
      </w:pPr>
      <w:r>
        <w:rPr>
          <w:color w:val="auto"/>
          <w:highlight w:val="none"/>
        </w:rPr>
        <w:fldChar w:fldCharType="begin"/>
      </w:r>
      <w:r>
        <w:rPr>
          <w:color w:val="auto"/>
          <w:highlight w:val="none"/>
        </w:rPr>
        <w:instrText xml:space="preserve"> HYPERLINK \l "_Toc27583" </w:instrText>
      </w:r>
      <w:r>
        <w:rPr>
          <w:color w:val="auto"/>
          <w:highlight w:val="none"/>
        </w:rPr>
        <w:fldChar w:fldCharType="separate"/>
      </w:r>
      <w:r>
        <w:rPr>
          <w:rFonts w:hint="eastAsia" w:ascii="宋体" w:hAnsi="宋体" w:cs="宋体"/>
          <w:b/>
          <w:bCs/>
          <w:color w:val="auto"/>
          <w:sz w:val="28"/>
          <w:szCs w:val="28"/>
          <w:highlight w:val="none"/>
        </w:rPr>
        <w:t>第三章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_Toc27583 \h </w:instrText>
      </w:r>
      <w:r>
        <w:rPr>
          <w:b/>
          <w:bCs/>
          <w:color w:val="auto"/>
          <w:sz w:val="28"/>
          <w:szCs w:val="28"/>
          <w:highlight w:val="none"/>
        </w:rPr>
        <w:fldChar w:fldCharType="separate"/>
      </w:r>
      <w:r>
        <w:rPr>
          <w:b/>
          <w:bCs/>
          <w:color w:val="auto"/>
          <w:sz w:val="28"/>
          <w:szCs w:val="28"/>
          <w:highlight w:val="none"/>
        </w:rPr>
        <w:t>30</w:t>
      </w:r>
      <w:r>
        <w:rPr>
          <w:b/>
          <w:bCs/>
          <w:color w:val="auto"/>
          <w:sz w:val="28"/>
          <w:szCs w:val="28"/>
          <w:highlight w:val="none"/>
        </w:rPr>
        <w:fldChar w:fldCharType="end"/>
      </w:r>
      <w:r>
        <w:rPr>
          <w:b/>
          <w:bCs/>
          <w:color w:val="auto"/>
          <w:sz w:val="28"/>
          <w:szCs w:val="28"/>
          <w:highlight w:val="none"/>
        </w:rPr>
        <w:fldChar w:fldCharType="end"/>
      </w:r>
    </w:p>
    <w:p w14:paraId="7349B0FE">
      <w:pPr>
        <w:pStyle w:val="20"/>
        <w:tabs>
          <w:tab w:val="right" w:leader="dot" w:pos="9071"/>
        </w:tabs>
        <w:rPr>
          <w:b/>
          <w:bCs/>
          <w:color w:val="auto"/>
          <w:sz w:val="28"/>
          <w:szCs w:val="28"/>
          <w:highlight w:val="none"/>
        </w:rPr>
      </w:pPr>
      <w:r>
        <w:rPr>
          <w:color w:val="auto"/>
          <w:highlight w:val="none"/>
        </w:rPr>
        <w:fldChar w:fldCharType="begin"/>
      </w:r>
      <w:r>
        <w:rPr>
          <w:color w:val="auto"/>
          <w:highlight w:val="none"/>
        </w:rPr>
        <w:instrText xml:space="preserve"> HYPERLINK \l "_Toc3333" </w:instrText>
      </w:r>
      <w:r>
        <w:rPr>
          <w:color w:val="auto"/>
          <w:highlight w:val="none"/>
        </w:rPr>
        <w:fldChar w:fldCharType="separate"/>
      </w:r>
      <w:r>
        <w:rPr>
          <w:rFonts w:hint="eastAsia" w:ascii="宋体" w:hAnsi="宋体" w:cs="宋体"/>
          <w:b/>
          <w:bCs/>
          <w:color w:val="auto"/>
          <w:sz w:val="28"/>
          <w:szCs w:val="28"/>
          <w:highlight w:val="none"/>
        </w:rPr>
        <w:t>第四章  评审程序和评定成交的标准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_Toc3333 \h </w:instrText>
      </w:r>
      <w:r>
        <w:rPr>
          <w:b/>
          <w:bCs/>
          <w:color w:val="auto"/>
          <w:sz w:val="28"/>
          <w:szCs w:val="28"/>
          <w:highlight w:val="none"/>
        </w:rPr>
        <w:fldChar w:fldCharType="separate"/>
      </w:r>
      <w:r>
        <w:rPr>
          <w:b/>
          <w:bCs/>
          <w:color w:val="auto"/>
          <w:sz w:val="28"/>
          <w:szCs w:val="28"/>
          <w:highlight w:val="none"/>
        </w:rPr>
        <w:t>48</w:t>
      </w:r>
      <w:r>
        <w:rPr>
          <w:b/>
          <w:bCs/>
          <w:color w:val="auto"/>
          <w:sz w:val="28"/>
          <w:szCs w:val="28"/>
          <w:highlight w:val="none"/>
        </w:rPr>
        <w:fldChar w:fldCharType="end"/>
      </w:r>
      <w:r>
        <w:rPr>
          <w:b/>
          <w:bCs/>
          <w:color w:val="auto"/>
          <w:sz w:val="28"/>
          <w:szCs w:val="28"/>
          <w:highlight w:val="none"/>
        </w:rPr>
        <w:fldChar w:fldCharType="end"/>
      </w:r>
    </w:p>
    <w:p w14:paraId="658507A5">
      <w:pPr>
        <w:pStyle w:val="20"/>
        <w:tabs>
          <w:tab w:val="right" w:leader="dot" w:pos="9071"/>
        </w:tabs>
        <w:rPr>
          <w:b/>
          <w:bCs/>
          <w:color w:val="auto"/>
          <w:sz w:val="28"/>
          <w:szCs w:val="28"/>
          <w:highlight w:val="none"/>
        </w:rPr>
      </w:pPr>
      <w:r>
        <w:rPr>
          <w:color w:val="auto"/>
          <w:highlight w:val="none"/>
        </w:rPr>
        <w:fldChar w:fldCharType="begin"/>
      </w:r>
      <w:r>
        <w:rPr>
          <w:color w:val="auto"/>
          <w:highlight w:val="none"/>
        </w:rPr>
        <w:instrText xml:space="preserve"> HYPERLINK \l "_Toc27214" </w:instrText>
      </w:r>
      <w:r>
        <w:rPr>
          <w:color w:val="auto"/>
          <w:highlight w:val="none"/>
        </w:rPr>
        <w:fldChar w:fldCharType="separate"/>
      </w:r>
      <w:r>
        <w:rPr>
          <w:rFonts w:hint="eastAsia" w:ascii="宋体" w:hAnsi="宋体" w:cs="宋体"/>
          <w:b/>
          <w:bCs/>
          <w:color w:val="auto"/>
          <w:sz w:val="28"/>
          <w:szCs w:val="28"/>
          <w:highlight w:val="none"/>
        </w:rPr>
        <w:t>第五章 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_Toc27214 \h </w:instrText>
      </w:r>
      <w:r>
        <w:rPr>
          <w:b/>
          <w:bCs/>
          <w:color w:val="auto"/>
          <w:sz w:val="28"/>
          <w:szCs w:val="28"/>
          <w:highlight w:val="none"/>
        </w:rPr>
        <w:fldChar w:fldCharType="separate"/>
      </w:r>
      <w:r>
        <w:rPr>
          <w:b/>
          <w:bCs/>
          <w:color w:val="auto"/>
          <w:sz w:val="28"/>
          <w:szCs w:val="28"/>
          <w:highlight w:val="none"/>
        </w:rPr>
        <w:t>55</w:t>
      </w:r>
      <w:r>
        <w:rPr>
          <w:b/>
          <w:bCs/>
          <w:color w:val="auto"/>
          <w:sz w:val="28"/>
          <w:szCs w:val="28"/>
          <w:highlight w:val="none"/>
        </w:rPr>
        <w:fldChar w:fldCharType="end"/>
      </w:r>
      <w:r>
        <w:rPr>
          <w:b/>
          <w:bCs/>
          <w:color w:val="auto"/>
          <w:sz w:val="28"/>
          <w:szCs w:val="28"/>
          <w:highlight w:val="none"/>
        </w:rPr>
        <w:fldChar w:fldCharType="end"/>
      </w:r>
    </w:p>
    <w:p w14:paraId="39DEEE95">
      <w:pPr>
        <w:pStyle w:val="20"/>
        <w:tabs>
          <w:tab w:val="right" w:leader="dot" w:pos="9071"/>
        </w:tabs>
        <w:rPr>
          <w:b/>
          <w:bCs/>
          <w:color w:val="auto"/>
          <w:sz w:val="28"/>
          <w:szCs w:val="28"/>
          <w:highlight w:val="none"/>
        </w:rPr>
      </w:pPr>
      <w:r>
        <w:rPr>
          <w:color w:val="auto"/>
          <w:highlight w:val="none"/>
        </w:rPr>
        <w:fldChar w:fldCharType="begin"/>
      </w:r>
      <w:r>
        <w:rPr>
          <w:color w:val="auto"/>
          <w:highlight w:val="none"/>
        </w:rPr>
        <w:instrText xml:space="preserve"> HYPERLINK \l "_Toc27857" </w:instrText>
      </w:r>
      <w:r>
        <w:rPr>
          <w:color w:val="auto"/>
          <w:highlight w:val="none"/>
        </w:rPr>
        <w:fldChar w:fldCharType="separate"/>
      </w:r>
      <w:r>
        <w:rPr>
          <w:rFonts w:hint="eastAsia" w:ascii="宋体" w:hAnsi="宋体" w:cs="宋体"/>
          <w:b/>
          <w:bCs/>
          <w:color w:val="auto"/>
          <w:sz w:val="28"/>
          <w:szCs w:val="28"/>
          <w:highlight w:val="none"/>
        </w:rPr>
        <w:t>第六章 合同文本</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_Toc27857 \h </w:instrText>
      </w:r>
      <w:r>
        <w:rPr>
          <w:b/>
          <w:bCs/>
          <w:color w:val="auto"/>
          <w:sz w:val="28"/>
          <w:szCs w:val="28"/>
          <w:highlight w:val="none"/>
        </w:rPr>
        <w:fldChar w:fldCharType="separate"/>
      </w:r>
      <w:r>
        <w:rPr>
          <w:b/>
          <w:bCs/>
          <w:color w:val="auto"/>
          <w:sz w:val="28"/>
          <w:szCs w:val="28"/>
          <w:highlight w:val="none"/>
        </w:rPr>
        <w:t>79</w:t>
      </w:r>
      <w:r>
        <w:rPr>
          <w:b/>
          <w:bCs/>
          <w:color w:val="auto"/>
          <w:sz w:val="28"/>
          <w:szCs w:val="28"/>
          <w:highlight w:val="none"/>
        </w:rPr>
        <w:fldChar w:fldCharType="end"/>
      </w:r>
      <w:r>
        <w:rPr>
          <w:b/>
          <w:bCs/>
          <w:color w:val="auto"/>
          <w:sz w:val="28"/>
          <w:szCs w:val="28"/>
          <w:highlight w:val="none"/>
        </w:rPr>
        <w:fldChar w:fldCharType="end"/>
      </w:r>
    </w:p>
    <w:p w14:paraId="515E6FF2">
      <w:pPr>
        <w:pStyle w:val="21"/>
        <w:tabs>
          <w:tab w:val="right" w:leader="dot" w:pos="8931"/>
          <w:tab w:val="clear" w:pos="8296"/>
        </w:tabs>
        <w:snapToGrid w:val="0"/>
        <w:spacing w:line="400" w:lineRule="atLeast"/>
        <w:ind w:left="0" w:leftChars="0"/>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end"/>
      </w:r>
    </w:p>
    <w:p w14:paraId="5DDF9442">
      <w:pPr>
        <w:spacing w:line="400" w:lineRule="exact"/>
        <w:jc w:val="left"/>
        <w:rPr>
          <w:rFonts w:ascii="宋体" w:hAnsi="宋体" w:cs="宋体"/>
          <w:b/>
          <w:color w:val="auto"/>
          <w:sz w:val="32"/>
          <w:szCs w:val="32"/>
          <w:highlight w:val="none"/>
        </w:rPr>
      </w:pPr>
    </w:p>
    <w:p w14:paraId="33E32D37">
      <w:pPr>
        <w:spacing w:line="400" w:lineRule="exact"/>
        <w:jc w:val="center"/>
        <w:rPr>
          <w:rFonts w:ascii="宋体" w:hAnsi="宋体" w:cs="宋体"/>
          <w:b/>
          <w:color w:val="auto"/>
          <w:sz w:val="32"/>
          <w:szCs w:val="32"/>
          <w:highlight w:val="none"/>
        </w:rPr>
      </w:pPr>
    </w:p>
    <w:p w14:paraId="593E544E">
      <w:pPr>
        <w:spacing w:line="400" w:lineRule="exact"/>
        <w:jc w:val="center"/>
        <w:rPr>
          <w:rFonts w:ascii="宋体" w:hAnsi="宋体" w:cs="宋体"/>
          <w:b/>
          <w:color w:val="auto"/>
          <w:sz w:val="32"/>
          <w:szCs w:val="32"/>
          <w:highlight w:val="none"/>
        </w:rPr>
      </w:pPr>
    </w:p>
    <w:p w14:paraId="638786B6">
      <w:pPr>
        <w:spacing w:line="400" w:lineRule="exact"/>
        <w:jc w:val="center"/>
        <w:rPr>
          <w:rFonts w:ascii="宋体" w:hAnsi="宋体" w:cs="宋体"/>
          <w:b/>
          <w:color w:val="auto"/>
          <w:sz w:val="32"/>
          <w:szCs w:val="32"/>
          <w:highlight w:val="none"/>
        </w:rPr>
      </w:pPr>
    </w:p>
    <w:p w14:paraId="40A857AD">
      <w:pPr>
        <w:spacing w:line="400" w:lineRule="exact"/>
        <w:jc w:val="center"/>
        <w:rPr>
          <w:rFonts w:ascii="宋体" w:hAnsi="宋体" w:cs="宋体"/>
          <w:b/>
          <w:color w:val="auto"/>
          <w:sz w:val="32"/>
          <w:szCs w:val="32"/>
          <w:highlight w:val="none"/>
        </w:rPr>
      </w:pPr>
    </w:p>
    <w:p w14:paraId="095281FD">
      <w:pPr>
        <w:spacing w:line="400" w:lineRule="exact"/>
        <w:rPr>
          <w:rFonts w:ascii="宋体" w:hAnsi="宋体" w:cs="宋体"/>
          <w:b/>
          <w:color w:val="auto"/>
          <w:sz w:val="32"/>
          <w:szCs w:val="32"/>
          <w:highlight w:val="none"/>
        </w:rPr>
        <w:sectPr>
          <w:headerReference r:id="rId3" w:type="default"/>
          <w:footerReference r:id="rId4" w:type="default"/>
          <w:pgSz w:w="11905" w:h="16838"/>
          <w:pgMar w:top="1417" w:right="1417" w:bottom="1417" w:left="1417" w:header="850" w:footer="992" w:gutter="0"/>
          <w:pgNumType w:start="0"/>
          <w:cols w:space="720" w:num="1"/>
          <w:titlePg/>
          <w:docGrid w:type="lines" w:linePitch="318" w:charSpace="0"/>
        </w:sectPr>
      </w:pPr>
    </w:p>
    <w:p w14:paraId="364A5A4A">
      <w:pPr>
        <w:pStyle w:val="2"/>
        <w:numPr>
          <w:ilvl w:val="0"/>
          <w:numId w:val="1"/>
        </w:numPr>
        <w:spacing w:before="0" w:after="0" w:line="240" w:lineRule="auto"/>
        <w:jc w:val="center"/>
        <w:rPr>
          <w:rFonts w:ascii="宋体" w:hAnsi="宋体" w:cs="宋体"/>
          <w:color w:val="auto"/>
          <w:highlight w:val="none"/>
        </w:rPr>
      </w:pPr>
      <w:bookmarkStart w:id="0" w:name="_Toc31914"/>
      <w:r>
        <w:rPr>
          <w:rFonts w:hint="eastAsia" w:ascii="宋体" w:hAnsi="宋体" w:cs="宋体"/>
          <w:color w:val="auto"/>
          <w:highlight w:val="none"/>
        </w:rPr>
        <w:t>竞争性谈判公告</w:t>
      </w:r>
      <w:bookmarkEnd w:id="0"/>
    </w:p>
    <w:p w14:paraId="411107DF">
      <w:pPr>
        <w:rPr>
          <w:color w:val="auto"/>
          <w:highlight w:val="none"/>
        </w:rPr>
      </w:pPr>
    </w:p>
    <w:p w14:paraId="312BB90A">
      <w:pPr>
        <w:spacing w:line="400" w:lineRule="exact"/>
        <w:jc w:val="center"/>
        <w:rPr>
          <w:rFonts w:ascii="宋体" w:hAnsi="宋体"/>
          <w:b/>
          <w:color w:val="auto"/>
          <w:sz w:val="28"/>
          <w:szCs w:val="28"/>
          <w:highlight w:val="none"/>
        </w:rPr>
      </w:pPr>
      <w:r>
        <w:rPr>
          <w:rFonts w:hint="eastAsia" w:ascii="宋体" w:hAnsi="宋体"/>
          <w:b/>
          <w:color w:val="auto"/>
          <w:sz w:val="28"/>
          <w:szCs w:val="28"/>
          <w:highlight w:val="none"/>
        </w:rPr>
        <w:t>广西同泽工程项目管理股份有限公司</w:t>
      </w:r>
    </w:p>
    <w:p w14:paraId="28F53E15">
      <w:pPr>
        <w:spacing w:line="40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2026年学校艺体类实训室建设项目（重）</w:t>
      </w: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GXZC2026-J1-003037-GXTZ</w:t>
      </w:r>
      <w:r>
        <w:rPr>
          <w:rFonts w:hint="eastAsia" w:ascii="宋体" w:hAnsi="宋体" w:cs="宋体"/>
          <w:b/>
          <w:bCs/>
          <w:color w:val="auto"/>
          <w:sz w:val="28"/>
          <w:szCs w:val="28"/>
          <w:highlight w:val="none"/>
        </w:rPr>
        <w:t>）</w:t>
      </w:r>
    </w:p>
    <w:p w14:paraId="50968BDB">
      <w:pPr>
        <w:spacing w:line="400" w:lineRule="exact"/>
        <w:jc w:val="center"/>
        <w:rPr>
          <w:color w:val="auto"/>
          <w:highlight w:val="none"/>
        </w:rPr>
      </w:pPr>
      <w:r>
        <w:rPr>
          <w:rFonts w:hint="eastAsia" w:ascii="宋体" w:hAnsi="宋体" w:cs="宋体"/>
          <w:b/>
          <w:color w:val="auto"/>
          <w:kern w:val="0"/>
          <w:sz w:val="28"/>
          <w:szCs w:val="28"/>
          <w:highlight w:val="none"/>
        </w:rPr>
        <w:t>竞争性谈判公告</w:t>
      </w:r>
    </w:p>
    <w:p w14:paraId="0CC839E0">
      <w:pPr>
        <w:pStyle w:val="40"/>
        <w:rPr>
          <w:color w:val="auto"/>
          <w:highlight w:val="none"/>
        </w:rPr>
      </w:pPr>
    </w:p>
    <w:p w14:paraId="2A46BDB1">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Cs w:val="21"/>
          <w:highlight w:val="none"/>
        </w:rPr>
      </w:pPr>
      <w:bookmarkStart w:id="1" w:name="_Hlk37430271"/>
      <w:r>
        <w:rPr>
          <w:rFonts w:hint="eastAsia" w:ascii="宋体" w:hAnsi="宋体" w:cs="宋体"/>
          <w:color w:val="auto"/>
          <w:szCs w:val="21"/>
          <w:highlight w:val="none"/>
        </w:rPr>
        <w:t>项目概况</w:t>
      </w:r>
    </w:p>
    <w:p w14:paraId="07F07CD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eastAsia="zh-CN"/>
        </w:rPr>
        <w:t>2026年学校艺体类实训室建设项目（重）</w:t>
      </w:r>
      <w:r>
        <w:rPr>
          <w:rFonts w:hint="eastAsia" w:ascii="宋体" w:hAnsi="宋体"/>
          <w:color w:val="auto"/>
          <w:szCs w:val="21"/>
          <w:highlight w:val="none"/>
          <w:u w:val="single"/>
        </w:rPr>
        <w:t xml:space="preserve"> </w:t>
      </w:r>
      <w:r>
        <w:rPr>
          <w:rFonts w:hint="eastAsia" w:ascii="宋体" w:hAnsi="宋体" w:cs="宋体"/>
          <w:color w:val="auto"/>
          <w:szCs w:val="21"/>
          <w:highlight w:val="none"/>
        </w:rPr>
        <w:t>项目的潜在供应商应在广西政府采购云平台（https://www.gcy.zfcg.gxzf.gov.cn/）获取（下载）竞争性谈判采购文件，并于2026年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r>
        <w:rPr>
          <w:rFonts w:hint="eastAsia" w:ascii="宋体" w:hAnsi="宋体" w:cs="宋体"/>
          <w:bCs/>
          <w:color w:val="auto"/>
          <w:szCs w:val="21"/>
          <w:highlight w:val="none"/>
        </w:rPr>
        <w:t>（北京时间）前提交响应文件</w:t>
      </w:r>
      <w:r>
        <w:rPr>
          <w:rFonts w:hint="eastAsia" w:ascii="宋体" w:hAnsi="宋体" w:cs="宋体"/>
          <w:color w:val="auto"/>
          <w:szCs w:val="21"/>
          <w:highlight w:val="none"/>
        </w:rPr>
        <w:t>。</w:t>
      </w:r>
    </w:p>
    <w:p w14:paraId="5282C3CD">
      <w:pPr>
        <w:spacing w:line="360" w:lineRule="auto"/>
        <w:ind w:firstLine="316" w:firstLineChars="150"/>
        <w:rPr>
          <w:rFonts w:ascii="宋体" w:hAnsi="宋体" w:cs="宋体"/>
          <w:b/>
          <w:bCs/>
          <w:color w:val="auto"/>
          <w:szCs w:val="21"/>
          <w:highlight w:val="none"/>
        </w:rPr>
      </w:pPr>
      <w:bookmarkStart w:id="2" w:name="_Toc35393805"/>
      <w:bookmarkStart w:id="3" w:name="_Toc28359018"/>
      <w:bookmarkStart w:id="4" w:name="_Toc35393636"/>
      <w:bookmarkStart w:id="5" w:name="_Toc71365369"/>
      <w:bookmarkStart w:id="6" w:name="_Toc28359095"/>
      <w:bookmarkStart w:id="7" w:name="_Toc71366047"/>
      <w:r>
        <w:rPr>
          <w:rFonts w:hint="eastAsia" w:ascii="宋体" w:hAnsi="宋体" w:cs="宋体"/>
          <w:b/>
          <w:bCs/>
          <w:color w:val="auto"/>
          <w:szCs w:val="21"/>
          <w:highlight w:val="none"/>
        </w:rPr>
        <w:t>一、</w:t>
      </w:r>
      <w:bookmarkStart w:id="8" w:name="项目基本情况"/>
      <w:r>
        <w:rPr>
          <w:rFonts w:hint="eastAsia" w:ascii="宋体" w:hAnsi="宋体" w:cs="宋体"/>
          <w:b/>
          <w:bCs/>
          <w:color w:val="auto"/>
          <w:szCs w:val="21"/>
          <w:highlight w:val="none"/>
        </w:rPr>
        <w:t>项目基本情况</w:t>
      </w:r>
      <w:bookmarkEnd w:id="8"/>
    </w:p>
    <w:p w14:paraId="26DC3734">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2026年学校艺体类实训室建设项目（重）</w:t>
      </w:r>
    </w:p>
    <w:p w14:paraId="65BB6A3C">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GXZC2026-J1-003037-GXTZ</w:t>
      </w:r>
    </w:p>
    <w:p w14:paraId="548B0541">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采购计划编号：</w:t>
      </w:r>
      <w:r>
        <w:rPr>
          <w:rFonts w:hint="eastAsia" w:ascii="宋体" w:hAnsi="宋体" w:cs="宋体"/>
          <w:color w:val="auto"/>
          <w:szCs w:val="21"/>
          <w:highlight w:val="none"/>
          <w:lang w:eastAsia="zh-CN"/>
        </w:rPr>
        <w:t>广西政采[2026]16373号-00</w:t>
      </w:r>
      <w:r>
        <w:rPr>
          <w:rFonts w:hint="eastAsia" w:ascii="宋体" w:hAnsi="宋体" w:cs="宋体"/>
          <w:color w:val="auto"/>
          <w:szCs w:val="21"/>
          <w:highlight w:val="none"/>
          <w:lang w:val="en-US" w:eastAsia="zh-CN"/>
        </w:rPr>
        <w:t>4</w:t>
      </w:r>
    </w:p>
    <w:p w14:paraId="5168AA7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预算金额（人民币）：肆拾柒万叁仟捌佰陆拾肆元零捌分（¥473864.08）</w:t>
      </w:r>
    </w:p>
    <w:p w14:paraId="06F276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采购需求：</w:t>
      </w:r>
    </w:p>
    <w:p w14:paraId="23D371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分标1：中华书画临摹与数字化应用实训室采购项目</w:t>
      </w:r>
    </w:p>
    <w:tbl>
      <w:tblPr>
        <w:tblStyle w:val="27"/>
        <w:tblW w:w="9201" w:type="dxa"/>
        <w:jc w:val="center"/>
        <w:tblLayout w:type="fixed"/>
        <w:tblCellMar>
          <w:top w:w="0" w:type="dxa"/>
          <w:left w:w="108" w:type="dxa"/>
          <w:bottom w:w="0" w:type="dxa"/>
          <w:right w:w="108" w:type="dxa"/>
        </w:tblCellMar>
      </w:tblPr>
      <w:tblGrid>
        <w:gridCol w:w="1094"/>
        <w:gridCol w:w="2977"/>
        <w:gridCol w:w="1395"/>
        <w:gridCol w:w="1230"/>
        <w:gridCol w:w="2505"/>
      </w:tblGrid>
      <w:tr w14:paraId="1D7F8C39">
        <w:tblPrEx>
          <w:tblCellMar>
            <w:top w:w="0" w:type="dxa"/>
            <w:left w:w="108" w:type="dxa"/>
            <w:bottom w:w="0" w:type="dxa"/>
            <w:right w:w="108" w:type="dxa"/>
          </w:tblCellMar>
        </w:tblPrEx>
        <w:trPr>
          <w:trHeight w:val="90"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5C19F8BD">
            <w:pPr>
              <w:widowControl/>
              <w:jc w:val="center"/>
              <w:textAlignment w:val="center"/>
              <w:rPr>
                <w:rFonts w:ascii="宋体" w:hAnsi="宋体" w:cs="宋体"/>
                <w:bCs/>
                <w:color w:val="auto"/>
                <w:szCs w:val="21"/>
                <w:highlight w:val="none"/>
              </w:rPr>
            </w:pPr>
            <w:r>
              <w:rPr>
                <w:rFonts w:hint="eastAsia" w:ascii="宋体" w:hAnsi="宋体" w:cs="宋体"/>
                <w:bCs/>
                <w:color w:val="auto"/>
                <w:kern w:val="0"/>
                <w:szCs w:val="21"/>
                <w:highlight w:val="none"/>
                <w:lang w:bidi="ar"/>
              </w:rPr>
              <w:t>序号</w:t>
            </w:r>
          </w:p>
        </w:tc>
        <w:tc>
          <w:tcPr>
            <w:tcW w:w="2977" w:type="dxa"/>
            <w:tcBorders>
              <w:top w:val="single" w:color="000000" w:sz="4" w:space="0"/>
              <w:left w:val="single" w:color="000000" w:sz="4" w:space="0"/>
              <w:bottom w:val="single" w:color="000000" w:sz="4" w:space="0"/>
              <w:right w:val="single" w:color="000000" w:sz="4" w:space="0"/>
            </w:tcBorders>
            <w:vAlign w:val="center"/>
          </w:tcPr>
          <w:p w14:paraId="2B2BBE7F">
            <w:pPr>
              <w:widowControl/>
              <w:jc w:val="center"/>
              <w:textAlignment w:val="center"/>
              <w:rPr>
                <w:rFonts w:ascii="宋体" w:hAnsi="宋体" w:cs="宋体"/>
                <w:bCs/>
                <w:color w:val="auto"/>
                <w:szCs w:val="21"/>
                <w:highlight w:val="none"/>
              </w:rPr>
            </w:pPr>
            <w:r>
              <w:rPr>
                <w:rFonts w:hint="eastAsia" w:ascii="宋体" w:hAnsi="宋体" w:cs="宋体"/>
                <w:bCs/>
                <w:color w:val="auto"/>
                <w:kern w:val="0"/>
                <w:szCs w:val="21"/>
                <w:highlight w:val="none"/>
                <w:lang w:bidi="ar"/>
              </w:rPr>
              <w:t>标的名称</w:t>
            </w:r>
          </w:p>
        </w:tc>
        <w:tc>
          <w:tcPr>
            <w:tcW w:w="1395" w:type="dxa"/>
            <w:tcBorders>
              <w:top w:val="single" w:color="000000" w:sz="4" w:space="0"/>
              <w:left w:val="single" w:color="000000" w:sz="4" w:space="0"/>
              <w:bottom w:val="single" w:color="000000" w:sz="4" w:space="0"/>
              <w:right w:val="single" w:color="000000" w:sz="4" w:space="0"/>
            </w:tcBorders>
            <w:vAlign w:val="center"/>
          </w:tcPr>
          <w:p w14:paraId="5B1DF6D6">
            <w:pPr>
              <w:widowControl/>
              <w:jc w:val="center"/>
              <w:textAlignment w:val="center"/>
              <w:rPr>
                <w:rFonts w:ascii="宋体" w:hAnsi="宋体" w:cs="宋体"/>
                <w:bCs/>
                <w:color w:val="auto"/>
                <w:szCs w:val="21"/>
                <w:highlight w:val="none"/>
              </w:rPr>
            </w:pPr>
            <w:r>
              <w:rPr>
                <w:rFonts w:hint="eastAsia" w:ascii="宋体" w:hAnsi="宋体" w:cs="宋体"/>
                <w:bCs/>
                <w:color w:val="auto"/>
                <w:kern w:val="0"/>
                <w:szCs w:val="21"/>
                <w:highlight w:val="none"/>
                <w:lang w:bidi="ar"/>
              </w:rPr>
              <w:t>数量</w:t>
            </w:r>
          </w:p>
        </w:tc>
        <w:tc>
          <w:tcPr>
            <w:tcW w:w="1230" w:type="dxa"/>
            <w:tcBorders>
              <w:top w:val="single" w:color="000000" w:sz="4" w:space="0"/>
              <w:left w:val="single" w:color="000000" w:sz="4" w:space="0"/>
              <w:bottom w:val="single" w:color="000000" w:sz="4" w:space="0"/>
              <w:right w:val="single" w:color="000000" w:sz="4" w:space="0"/>
            </w:tcBorders>
            <w:vAlign w:val="center"/>
          </w:tcPr>
          <w:p w14:paraId="3368C070">
            <w:pPr>
              <w:widowControl/>
              <w:jc w:val="center"/>
              <w:textAlignment w:val="center"/>
              <w:rPr>
                <w:rFonts w:ascii="宋体" w:hAnsi="宋体" w:cs="宋体"/>
                <w:bCs/>
                <w:color w:val="auto"/>
                <w:szCs w:val="21"/>
                <w:highlight w:val="none"/>
              </w:rPr>
            </w:pPr>
            <w:r>
              <w:rPr>
                <w:rFonts w:hint="eastAsia" w:ascii="宋体" w:hAnsi="宋体" w:cs="宋体"/>
                <w:bCs/>
                <w:color w:val="auto"/>
                <w:kern w:val="0"/>
                <w:szCs w:val="21"/>
                <w:highlight w:val="none"/>
                <w:lang w:bidi="ar"/>
              </w:rPr>
              <w:t>单位</w:t>
            </w:r>
          </w:p>
        </w:tc>
        <w:tc>
          <w:tcPr>
            <w:tcW w:w="2505" w:type="dxa"/>
            <w:tcBorders>
              <w:top w:val="single" w:color="000000" w:sz="4" w:space="0"/>
              <w:left w:val="single" w:color="000000" w:sz="4" w:space="0"/>
              <w:bottom w:val="single" w:color="000000" w:sz="4" w:space="0"/>
              <w:right w:val="single" w:color="000000" w:sz="4" w:space="0"/>
            </w:tcBorders>
            <w:vAlign w:val="center"/>
          </w:tcPr>
          <w:p w14:paraId="4EE5012C">
            <w:pPr>
              <w:widowControl/>
              <w:jc w:val="center"/>
              <w:textAlignment w:val="center"/>
              <w:rPr>
                <w:rFonts w:ascii="宋体" w:hAnsi="宋体" w:cs="宋体"/>
                <w:bCs/>
                <w:color w:val="auto"/>
                <w:szCs w:val="21"/>
                <w:highlight w:val="none"/>
              </w:rPr>
            </w:pPr>
            <w:r>
              <w:rPr>
                <w:rFonts w:hint="eastAsia" w:ascii="宋体" w:hAnsi="宋体" w:cs="宋体"/>
                <w:color w:val="auto"/>
                <w:szCs w:val="21"/>
                <w:highlight w:val="none"/>
              </w:rPr>
              <w:t>简要技术需求</w:t>
            </w:r>
          </w:p>
        </w:tc>
      </w:tr>
      <w:tr w14:paraId="27168311">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60CB65A7">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1</w:t>
            </w:r>
          </w:p>
        </w:tc>
        <w:tc>
          <w:tcPr>
            <w:tcW w:w="2977" w:type="dxa"/>
            <w:tcBorders>
              <w:top w:val="single" w:color="000000" w:sz="4" w:space="0"/>
              <w:left w:val="single" w:color="000000" w:sz="4" w:space="0"/>
              <w:bottom w:val="single" w:color="000000" w:sz="4" w:space="0"/>
              <w:right w:val="single" w:color="000000" w:sz="4" w:space="0"/>
            </w:tcBorders>
            <w:vAlign w:val="center"/>
          </w:tcPr>
          <w:p w14:paraId="1AB39110">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临摹画案</w:t>
            </w:r>
          </w:p>
        </w:tc>
        <w:tc>
          <w:tcPr>
            <w:tcW w:w="1395" w:type="dxa"/>
            <w:tcBorders>
              <w:top w:val="single" w:color="000000" w:sz="4" w:space="0"/>
              <w:left w:val="single" w:color="000000" w:sz="4" w:space="0"/>
              <w:bottom w:val="single" w:color="000000" w:sz="4" w:space="0"/>
              <w:right w:val="single" w:color="000000" w:sz="4" w:space="0"/>
            </w:tcBorders>
            <w:vAlign w:val="center"/>
          </w:tcPr>
          <w:p w14:paraId="682B1B1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1230" w:type="dxa"/>
            <w:tcBorders>
              <w:top w:val="single" w:color="000000" w:sz="4" w:space="0"/>
              <w:left w:val="single" w:color="000000" w:sz="4" w:space="0"/>
              <w:bottom w:val="single" w:color="000000" w:sz="4" w:space="0"/>
              <w:right w:val="single" w:color="000000" w:sz="4" w:space="0"/>
            </w:tcBorders>
            <w:vAlign w:val="center"/>
          </w:tcPr>
          <w:p w14:paraId="116FA94B">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张</w:t>
            </w:r>
          </w:p>
        </w:tc>
        <w:tc>
          <w:tcPr>
            <w:tcW w:w="2505" w:type="dxa"/>
            <w:tcBorders>
              <w:top w:val="single" w:color="000000" w:sz="4" w:space="0"/>
              <w:left w:val="single" w:color="000000" w:sz="4" w:space="0"/>
              <w:bottom w:val="single" w:color="000000" w:sz="4" w:space="0"/>
              <w:right w:val="single" w:color="000000" w:sz="4" w:space="0"/>
            </w:tcBorders>
            <w:vAlign w:val="center"/>
          </w:tcPr>
          <w:p w14:paraId="1001663F">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70BB0C53">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265B06CC">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2</w:t>
            </w:r>
          </w:p>
        </w:tc>
        <w:tc>
          <w:tcPr>
            <w:tcW w:w="2977" w:type="dxa"/>
            <w:tcBorders>
              <w:top w:val="single" w:color="000000" w:sz="4" w:space="0"/>
              <w:left w:val="single" w:color="000000" w:sz="4" w:space="0"/>
              <w:bottom w:val="single" w:color="000000" w:sz="4" w:space="0"/>
              <w:right w:val="single" w:color="000000" w:sz="4" w:space="0"/>
            </w:tcBorders>
            <w:vAlign w:val="center"/>
          </w:tcPr>
          <w:p w14:paraId="0E7B9E1D">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文房四宝套装</w:t>
            </w:r>
          </w:p>
        </w:tc>
        <w:tc>
          <w:tcPr>
            <w:tcW w:w="1395" w:type="dxa"/>
            <w:tcBorders>
              <w:top w:val="single" w:color="000000" w:sz="4" w:space="0"/>
              <w:left w:val="single" w:color="000000" w:sz="4" w:space="0"/>
              <w:bottom w:val="single" w:color="000000" w:sz="4" w:space="0"/>
              <w:right w:val="single" w:color="000000" w:sz="4" w:space="0"/>
            </w:tcBorders>
            <w:vAlign w:val="center"/>
          </w:tcPr>
          <w:p w14:paraId="756990BF">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1230" w:type="dxa"/>
            <w:tcBorders>
              <w:top w:val="single" w:color="000000" w:sz="4" w:space="0"/>
              <w:left w:val="single" w:color="000000" w:sz="4" w:space="0"/>
              <w:bottom w:val="single" w:color="000000" w:sz="4" w:space="0"/>
              <w:right w:val="single" w:color="000000" w:sz="4" w:space="0"/>
            </w:tcBorders>
            <w:vAlign w:val="center"/>
          </w:tcPr>
          <w:p w14:paraId="2EEDF197">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2505" w:type="dxa"/>
            <w:tcBorders>
              <w:top w:val="single" w:color="000000" w:sz="4" w:space="0"/>
              <w:left w:val="single" w:color="000000" w:sz="4" w:space="0"/>
              <w:bottom w:val="single" w:color="000000" w:sz="4" w:space="0"/>
              <w:right w:val="single" w:color="000000" w:sz="4" w:space="0"/>
            </w:tcBorders>
            <w:vAlign w:val="center"/>
          </w:tcPr>
          <w:p w14:paraId="6F2979B3">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594C9B3F">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6E8B5474">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3</w:t>
            </w:r>
          </w:p>
        </w:tc>
        <w:tc>
          <w:tcPr>
            <w:tcW w:w="2977" w:type="dxa"/>
            <w:tcBorders>
              <w:top w:val="single" w:color="000000" w:sz="4" w:space="0"/>
              <w:left w:val="single" w:color="000000" w:sz="4" w:space="0"/>
              <w:bottom w:val="single" w:color="000000" w:sz="4" w:space="0"/>
              <w:right w:val="single" w:color="000000" w:sz="4" w:space="0"/>
            </w:tcBorders>
            <w:vAlign w:val="center"/>
          </w:tcPr>
          <w:p w14:paraId="67A02079">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书画毡</w:t>
            </w:r>
          </w:p>
        </w:tc>
        <w:tc>
          <w:tcPr>
            <w:tcW w:w="1395" w:type="dxa"/>
            <w:tcBorders>
              <w:top w:val="single" w:color="000000" w:sz="4" w:space="0"/>
              <w:left w:val="single" w:color="000000" w:sz="4" w:space="0"/>
              <w:bottom w:val="single" w:color="000000" w:sz="4" w:space="0"/>
              <w:right w:val="single" w:color="000000" w:sz="4" w:space="0"/>
            </w:tcBorders>
            <w:vAlign w:val="center"/>
          </w:tcPr>
          <w:p w14:paraId="68CB2CA5">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4</w:t>
            </w:r>
          </w:p>
        </w:tc>
        <w:tc>
          <w:tcPr>
            <w:tcW w:w="1230" w:type="dxa"/>
            <w:tcBorders>
              <w:top w:val="single" w:color="000000" w:sz="4" w:space="0"/>
              <w:left w:val="single" w:color="000000" w:sz="4" w:space="0"/>
              <w:bottom w:val="single" w:color="000000" w:sz="4" w:space="0"/>
              <w:right w:val="single" w:color="000000" w:sz="4" w:space="0"/>
            </w:tcBorders>
            <w:vAlign w:val="center"/>
          </w:tcPr>
          <w:p w14:paraId="15DAE4B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块</w:t>
            </w:r>
          </w:p>
        </w:tc>
        <w:tc>
          <w:tcPr>
            <w:tcW w:w="2505" w:type="dxa"/>
            <w:tcBorders>
              <w:top w:val="single" w:color="000000" w:sz="4" w:space="0"/>
              <w:left w:val="single" w:color="000000" w:sz="4" w:space="0"/>
              <w:bottom w:val="single" w:color="000000" w:sz="4" w:space="0"/>
              <w:right w:val="single" w:color="000000" w:sz="4" w:space="0"/>
            </w:tcBorders>
            <w:vAlign w:val="center"/>
          </w:tcPr>
          <w:p w14:paraId="2FF00E1F">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47EDFD02">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5B8DC74A">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4</w:t>
            </w:r>
          </w:p>
        </w:tc>
        <w:tc>
          <w:tcPr>
            <w:tcW w:w="2977" w:type="dxa"/>
            <w:tcBorders>
              <w:top w:val="single" w:color="000000" w:sz="4" w:space="0"/>
              <w:left w:val="single" w:color="000000" w:sz="4" w:space="0"/>
              <w:bottom w:val="single" w:color="000000" w:sz="4" w:space="0"/>
              <w:right w:val="single" w:color="000000" w:sz="4" w:space="0"/>
            </w:tcBorders>
            <w:vAlign w:val="center"/>
          </w:tcPr>
          <w:p w14:paraId="0499A9AD">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书画临摹范本</w:t>
            </w:r>
          </w:p>
        </w:tc>
        <w:tc>
          <w:tcPr>
            <w:tcW w:w="1395" w:type="dxa"/>
            <w:tcBorders>
              <w:top w:val="single" w:color="000000" w:sz="4" w:space="0"/>
              <w:left w:val="single" w:color="000000" w:sz="4" w:space="0"/>
              <w:bottom w:val="single" w:color="000000" w:sz="4" w:space="0"/>
              <w:right w:val="single" w:color="000000" w:sz="4" w:space="0"/>
            </w:tcBorders>
            <w:vAlign w:val="center"/>
          </w:tcPr>
          <w:p w14:paraId="302FE562">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50</w:t>
            </w:r>
          </w:p>
        </w:tc>
        <w:tc>
          <w:tcPr>
            <w:tcW w:w="1230" w:type="dxa"/>
            <w:tcBorders>
              <w:top w:val="single" w:color="000000" w:sz="4" w:space="0"/>
              <w:left w:val="single" w:color="000000" w:sz="4" w:space="0"/>
              <w:bottom w:val="single" w:color="000000" w:sz="4" w:space="0"/>
              <w:right w:val="single" w:color="000000" w:sz="4" w:space="0"/>
            </w:tcBorders>
            <w:vAlign w:val="center"/>
          </w:tcPr>
          <w:p w14:paraId="7CB68224">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2505" w:type="dxa"/>
            <w:tcBorders>
              <w:top w:val="single" w:color="000000" w:sz="4" w:space="0"/>
              <w:left w:val="single" w:color="000000" w:sz="4" w:space="0"/>
              <w:bottom w:val="single" w:color="000000" w:sz="4" w:space="0"/>
              <w:right w:val="single" w:color="000000" w:sz="4" w:space="0"/>
            </w:tcBorders>
            <w:vAlign w:val="center"/>
          </w:tcPr>
          <w:p w14:paraId="159D8446">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5D89AC51">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3609E6BB">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5</w:t>
            </w:r>
          </w:p>
        </w:tc>
        <w:tc>
          <w:tcPr>
            <w:tcW w:w="2977" w:type="dxa"/>
            <w:tcBorders>
              <w:top w:val="single" w:color="000000" w:sz="4" w:space="0"/>
              <w:left w:val="single" w:color="000000" w:sz="4" w:space="0"/>
              <w:bottom w:val="single" w:color="000000" w:sz="4" w:space="0"/>
              <w:right w:val="single" w:color="000000" w:sz="4" w:space="0"/>
            </w:tcBorders>
            <w:vAlign w:val="center"/>
          </w:tcPr>
          <w:p w14:paraId="305B98E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数位屏</w:t>
            </w:r>
          </w:p>
        </w:tc>
        <w:tc>
          <w:tcPr>
            <w:tcW w:w="1395" w:type="dxa"/>
            <w:tcBorders>
              <w:top w:val="single" w:color="000000" w:sz="4" w:space="0"/>
              <w:left w:val="single" w:color="000000" w:sz="4" w:space="0"/>
              <w:bottom w:val="single" w:color="000000" w:sz="4" w:space="0"/>
              <w:right w:val="single" w:color="000000" w:sz="4" w:space="0"/>
            </w:tcBorders>
            <w:vAlign w:val="center"/>
          </w:tcPr>
          <w:p w14:paraId="1551F34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1230" w:type="dxa"/>
            <w:tcBorders>
              <w:top w:val="single" w:color="000000" w:sz="4" w:space="0"/>
              <w:left w:val="single" w:color="000000" w:sz="4" w:space="0"/>
              <w:bottom w:val="single" w:color="000000" w:sz="4" w:space="0"/>
              <w:right w:val="single" w:color="000000" w:sz="4" w:space="0"/>
            </w:tcBorders>
            <w:vAlign w:val="center"/>
          </w:tcPr>
          <w:p w14:paraId="0FC1D9D8">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2505" w:type="dxa"/>
            <w:tcBorders>
              <w:top w:val="single" w:color="000000" w:sz="4" w:space="0"/>
              <w:left w:val="single" w:color="000000" w:sz="4" w:space="0"/>
              <w:bottom w:val="single" w:color="000000" w:sz="4" w:space="0"/>
              <w:right w:val="single" w:color="000000" w:sz="4" w:space="0"/>
            </w:tcBorders>
            <w:vAlign w:val="center"/>
          </w:tcPr>
          <w:p w14:paraId="0E81057D">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5F9C6479">
        <w:tblPrEx>
          <w:tblCellMar>
            <w:top w:w="0" w:type="dxa"/>
            <w:left w:w="108" w:type="dxa"/>
            <w:bottom w:w="0" w:type="dxa"/>
            <w:right w:w="108" w:type="dxa"/>
          </w:tblCellMar>
        </w:tblPrEx>
        <w:trPr>
          <w:trHeight w:val="90"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7CCCFF51">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6</w:t>
            </w:r>
          </w:p>
        </w:tc>
        <w:tc>
          <w:tcPr>
            <w:tcW w:w="2977" w:type="dxa"/>
            <w:tcBorders>
              <w:top w:val="single" w:color="000000" w:sz="4" w:space="0"/>
              <w:left w:val="single" w:color="000000" w:sz="4" w:space="0"/>
              <w:bottom w:val="single" w:color="000000" w:sz="4" w:space="0"/>
              <w:right w:val="single" w:color="000000" w:sz="4" w:space="0"/>
            </w:tcBorders>
            <w:vAlign w:val="center"/>
          </w:tcPr>
          <w:p w14:paraId="1814B309">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图形工作站</w:t>
            </w:r>
          </w:p>
        </w:tc>
        <w:tc>
          <w:tcPr>
            <w:tcW w:w="1395" w:type="dxa"/>
            <w:tcBorders>
              <w:top w:val="single" w:color="000000" w:sz="4" w:space="0"/>
              <w:left w:val="single" w:color="000000" w:sz="4" w:space="0"/>
              <w:bottom w:val="single" w:color="000000" w:sz="4" w:space="0"/>
              <w:right w:val="single" w:color="000000" w:sz="4" w:space="0"/>
            </w:tcBorders>
            <w:vAlign w:val="center"/>
          </w:tcPr>
          <w:p w14:paraId="3F885BE3">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1230" w:type="dxa"/>
            <w:tcBorders>
              <w:top w:val="single" w:color="000000" w:sz="4" w:space="0"/>
              <w:left w:val="single" w:color="000000" w:sz="4" w:space="0"/>
              <w:bottom w:val="single" w:color="000000" w:sz="4" w:space="0"/>
              <w:right w:val="single" w:color="000000" w:sz="4" w:space="0"/>
            </w:tcBorders>
            <w:vAlign w:val="center"/>
          </w:tcPr>
          <w:p w14:paraId="6C3306EE">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2505" w:type="dxa"/>
            <w:tcBorders>
              <w:top w:val="single" w:color="000000" w:sz="4" w:space="0"/>
              <w:left w:val="single" w:color="000000" w:sz="4" w:space="0"/>
              <w:bottom w:val="single" w:color="000000" w:sz="4" w:space="0"/>
              <w:right w:val="single" w:color="000000" w:sz="4" w:space="0"/>
            </w:tcBorders>
            <w:vAlign w:val="center"/>
          </w:tcPr>
          <w:p w14:paraId="67925A20">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66F52B9A">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6D1C44C8">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7</w:t>
            </w:r>
          </w:p>
        </w:tc>
        <w:tc>
          <w:tcPr>
            <w:tcW w:w="2977" w:type="dxa"/>
            <w:tcBorders>
              <w:top w:val="single" w:color="000000" w:sz="4" w:space="0"/>
              <w:left w:val="single" w:color="000000" w:sz="4" w:space="0"/>
              <w:bottom w:val="single" w:color="000000" w:sz="4" w:space="0"/>
              <w:right w:val="single" w:color="000000" w:sz="4" w:space="0"/>
            </w:tcBorders>
            <w:vAlign w:val="center"/>
          </w:tcPr>
          <w:p w14:paraId="40F597DA">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高清扫描仪</w:t>
            </w:r>
          </w:p>
        </w:tc>
        <w:tc>
          <w:tcPr>
            <w:tcW w:w="1395" w:type="dxa"/>
            <w:tcBorders>
              <w:top w:val="single" w:color="000000" w:sz="4" w:space="0"/>
              <w:left w:val="single" w:color="000000" w:sz="4" w:space="0"/>
              <w:bottom w:val="single" w:color="000000" w:sz="4" w:space="0"/>
              <w:right w:val="single" w:color="000000" w:sz="4" w:space="0"/>
            </w:tcBorders>
            <w:vAlign w:val="center"/>
          </w:tcPr>
          <w:p w14:paraId="7CA5E3B1">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1230" w:type="dxa"/>
            <w:tcBorders>
              <w:top w:val="single" w:color="000000" w:sz="4" w:space="0"/>
              <w:left w:val="single" w:color="000000" w:sz="4" w:space="0"/>
              <w:bottom w:val="single" w:color="000000" w:sz="4" w:space="0"/>
              <w:right w:val="single" w:color="000000" w:sz="4" w:space="0"/>
            </w:tcBorders>
            <w:vAlign w:val="center"/>
          </w:tcPr>
          <w:p w14:paraId="4CA6EB48">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台</w:t>
            </w:r>
          </w:p>
        </w:tc>
        <w:tc>
          <w:tcPr>
            <w:tcW w:w="2505" w:type="dxa"/>
            <w:tcBorders>
              <w:top w:val="single" w:color="000000" w:sz="4" w:space="0"/>
              <w:left w:val="single" w:color="000000" w:sz="4" w:space="0"/>
              <w:bottom w:val="single" w:color="000000" w:sz="4" w:space="0"/>
              <w:right w:val="single" w:color="000000" w:sz="4" w:space="0"/>
            </w:tcBorders>
            <w:vAlign w:val="center"/>
          </w:tcPr>
          <w:p w14:paraId="1591D6A4">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1320CD99">
        <w:tblPrEx>
          <w:tblCellMar>
            <w:top w:w="0" w:type="dxa"/>
            <w:left w:w="108" w:type="dxa"/>
            <w:bottom w:w="0" w:type="dxa"/>
            <w:right w:w="108" w:type="dxa"/>
          </w:tblCellMar>
        </w:tblPrEx>
        <w:trPr>
          <w:trHeight w:val="161" w:hRule="atLeast"/>
          <w:jc w:val="center"/>
        </w:trPr>
        <w:tc>
          <w:tcPr>
            <w:tcW w:w="1094" w:type="dxa"/>
            <w:tcBorders>
              <w:top w:val="single" w:color="000000" w:sz="4" w:space="0"/>
              <w:left w:val="single" w:color="000000" w:sz="4" w:space="0"/>
              <w:bottom w:val="single" w:color="000000" w:sz="4" w:space="0"/>
              <w:right w:val="single" w:color="000000" w:sz="4" w:space="0"/>
            </w:tcBorders>
            <w:vAlign w:val="center"/>
          </w:tcPr>
          <w:p w14:paraId="0E582809">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lang w:bidi="ar"/>
              </w:rPr>
              <w:t>8</w:t>
            </w:r>
          </w:p>
        </w:tc>
        <w:tc>
          <w:tcPr>
            <w:tcW w:w="2977" w:type="dxa"/>
            <w:tcBorders>
              <w:top w:val="single" w:color="000000" w:sz="4" w:space="0"/>
              <w:left w:val="single" w:color="000000" w:sz="4" w:space="0"/>
              <w:bottom w:val="single" w:color="000000" w:sz="4" w:space="0"/>
              <w:right w:val="single" w:color="000000" w:sz="4" w:space="0"/>
            </w:tcBorders>
            <w:vAlign w:val="center"/>
          </w:tcPr>
          <w:p w14:paraId="397CE1BB">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实训室配套</w:t>
            </w:r>
          </w:p>
        </w:tc>
        <w:tc>
          <w:tcPr>
            <w:tcW w:w="1395" w:type="dxa"/>
            <w:tcBorders>
              <w:top w:val="single" w:color="000000" w:sz="4" w:space="0"/>
              <w:left w:val="single" w:color="000000" w:sz="4" w:space="0"/>
              <w:bottom w:val="single" w:color="000000" w:sz="4" w:space="0"/>
              <w:right w:val="single" w:color="000000" w:sz="4" w:space="0"/>
            </w:tcBorders>
            <w:vAlign w:val="center"/>
          </w:tcPr>
          <w:p w14:paraId="5823667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1</w:t>
            </w:r>
          </w:p>
        </w:tc>
        <w:tc>
          <w:tcPr>
            <w:tcW w:w="1230" w:type="dxa"/>
            <w:tcBorders>
              <w:top w:val="single" w:color="000000" w:sz="4" w:space="0"/>
              <w:left w:val="single" w:color="000000" w:sz="4" w:space="0"/>
              <w:bottom w:val="single" w:color="000000" w:sz="4" w:space="0"/>
              <w:right w:val="single" w:color="000000" w:sz="4" w:space="0"/>
            </w:tcBorders>
            <w:vAlign w:val="center"/>
          </w:tcPr>
          <w:p w14:paraId="68E84919">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套</w:t>
            </w:r>
          </w:p>
        </w:tc>
        <w:tc>
          <w:tcPr>
            <w:tcW w:w="2505" w:type="dxa"/>
            <w:tcBorders>
              <w:top w:val="single" w:color="000000" w:sz="4" w:space="0"/>
              <w:left w:val="single" w:color="000000" w:sz="4" w:space="0"/>
              <w:bottom w:val="single" w:color="000000" w:sz="4" w:space="0"/>
              <w:right w:val="single" w:color="000000" w:sz="4" w:space="0"/>
            </w:tcBorders>
            <w:vAlign w:val="center"/>
          </w:tcPr>
          <w:p w14:paraId="3DEE487D">
            <w:pPr>
              <w:jc w:val="center"/>
              <w:rPr>
                <w:rFonts w:ascii="宋体" w:hAnsi="宋体" w:cs="宋体"/>
                <w:color w:val="auto"/>
                <w:szCs w:val="21"/>
                <w:highlight w:val="none"/>
              </w:rPr>
            </w:pPr>
            <w:r>
              <w:rPr>
                <w:rFonts w:hint="eastAsia" w:ascii="宋体" w:hAnsi="宋体" w:cs="宋体"/>
                <w:color w:val="auto"/>
                <w:szCs w:val="21"/>
                <w:highlight w:val="none"/>
              </w:rPr>
              <w:t>详见采购需求</w:t>
            </w:r>
          </w:p>
        </w:tc>
      </w:tr>
      <w:tr w14:paraId="1CDF89D8">
        <w:tblPrEx>
          <w:tblCellMar>
            <w:top w:w="0" w:type="dxa"/>
            <w:left w:w="108" w:type="dxa"/>
            <w:bottom w:w="0" w:type="dxa"/>
            <w:right w:w="108" w:type="dxa"/>
          </w:tblCellMar>
        </w:tblPrEx>
        <w:trPr>
          <w:trHeight w:val="594" w:hRule="atLeast"/>
          <w:jc w:val="center"/>
        </w:trPr>
        <w:tc>
          <w:tcPr>
            <w:tcW w:w="9201" w:type="dxa"/>
            <w:gridSpan w:val="5"/>
            <w:tcBorders>
              <w:top w:val="single" w:color="000000" w:sz="4" w:space="0"/>
              <w:left w:val="single" w:color="000000" w:sz="4" w:space="0"/>
              <w:bottom w:val="single" w:color="000000" w:sz="4" w:space="0"/>
              <w:right w:val="single" w:color="000000" w:sz="4" w:space="0"/>
            </w:tcBorders>
            <w:vAlign w:val="center"/>
          </w:tcPr>
          <w:p w14:paraId="39E5C11C">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rPr>
              <w:t>预算合计金额（人民币大写）</w:t>
            </w:r>
            <w:r>
              <w:rPr>
                <w:rFonts w:hint="eastAsia" w:ascii="宋体" w:hAnsi="宋体" w:cs="宋体"/>
                <w:color w:val="auto"/>
                <w:szCs w:val="21"/>
                <w:highlight w:val="none"/>
                <w:u w:val="single"/>
              </w:rPr>
              <w:t xml:space="preserve"> 肆拾柒万叁仟捌佰陆拾肆元零捌分（小写）¥ 473864.08 </w:t>
            </w:r>
          </w:p>
        </w:tc>
      </w:tr>
    </w:tbl>
    <w:p w14:paraId="573BD60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合同履行期限：详见采购文件。</w:t>
      </w:r>
    </w:p>
    <w:p w14:paraId="6D1EAF1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本项目是否接受联合体：否。</w:t>
      </w:r>
    </w:p>
    <w:p w14:paraId="11B5A245">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二、申请人的</w:t>
      </w:r>
      <w:bookmarkStart w:id="9" w:name="资格条件"/>
      <w:r>
        <w:rPr>
          <w:rFonts w:hint="eastAsia" w:ascii="宋体" w:hAnsi="宋体" w:cs="宋体"/>
          <w:b/>
          <w:bCs/>
          <w:color w:val="auto"/>
          <w:szCs w:val="21"/>
          <w:highlight w:val="none"/>
        </w:rPr>
        <w:t>资格条件</w:t>
      </w:r>
      <w:bookmarkEnd w:id="9"/>
      <w:r>
        <w:rPr>
          <w:rFonts w:hint="eastAsia" w:ascii="宋体" w:hAnsi="宋体" w:cs="宋体"/>
          <w:b/>
          <w:bCs/>
          <w:color w:val="auto"/>
          <w:szCs w:val="21"/>
          <w:highlight w:val="none"/>
        </w:rPr>
        <w:t>：</w:t>
      </w:r>
    </w:p>
    <w:p w14:paraId="31A475BE">
      <w:pPr>
        <w:spacing w:line="360" w:lineRule="auto"/>
        <w:ind w:firstLine="420" w:firstLineChars="200"/>
        <w:rPr>
          <w:rFonts w:ascii="宋体" w:hAnsi="宋体" w:cs="宋体"/>
          <w:color w:val="auto"/>
          <w:szCs w:val="21"/>
          <w:highlight w:val="none"/>
        </w:rPr>
      </w:pPr>
      <w:bookmarkStart w:id="10" w:name="_Hlk51746371"/>
      <w:r>
        <w:rPr>
          <w:rFonts w:hint="eastAsia" w:ascii="宋体" w:hAnsi="宋体" w:cs="宋体"/>
          <w:color w:val="auto"/>
          <w:szCs w:val="21"/>
          <w:highlight w:val="none"/>
        </w:rPr>
        <w:t>1.满足《中华人民共和国政府采购法》第二十二条规定；</w:t>
      </w:r>
    </w:p>
    <w:p w14:paraId="3A1658AE">
      <w:pPr>
        <w:spacing w:line="360" w:lineRule="auto"/>
        <w:ind w:firstLine="420" w:firstLineChars="200"/>
        <w:rPr>
          <w:rFonts w:ascii="宋体" w:hAnsi="宋体"/>
          <w:color w:val="auto"/>
          <w:szCs w:val="21"/>
          <w:highlight w:val="none"/>
        </w:rPr>
      </w:pPr>
      <w:r>
        <w:rPr>
          <w:rFonts w:hint="eastAsia" w:ascii="宋体" w:hAnsi="宋体" w:cs="宋体"/>
          <w:color w:val="auto"/>
          <w:szCs w:val="21"/>
          <w:highlight w:val="none"/>
        </w:rPr>
        <w:t>2.落实政府采购政策需满足的资格要求：非</w:t>
      </w:r>
      <w:r>
        <w:rPr>
          <w:rFonts w:hint="eastAsia" w:ascii="宋体" w:hAnsi="宋体"/>
          <w:color w:val="auto"/>
          <w:szCs w:val="21"/>
          <w:highlight w:val="none"/>
        </w:rPr>
        <w:t>专门面向中小企业采购；</w:t>
      </w:r>
    </w:p>
    <w:p w14:paraId="33D47A4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w:t>
      </w:r>
      <w:bookmarkEnd w:id="10"/>
      <w:r>
        <w:rPr>
          <w:rFonts w:hint="eastAsia" w:ascii="宋体" w:hAnsi="宋体" w:cs="宋体"/>
          <w:color w:val="auto"/>
          <w:szCs w:val="21"/>
          <w:highlight w:val="none"/>
        </w:rPr>
        <w:t>无。</w:t>
      </w:r>
    </w:p>
    <w:p w14:paraId="6DA93871">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三、获取竞争性谈判采购文件</w:t>
      </w:r>
    </w:p>
    <w:p w14:paraId="436FE5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b/>
          <w:bCs/>
          <w:color w:val="auto"/>
          <w:szCs w:val="21"/>
          <w:highlight w:val="none"/>
        </w:rPr>
        <w:t>2026年</w:t>
      </w:r>
      <w:r>
        <w:rPr>
          <w:rFonts w:hint="eastAsia" w:ascii="宋体" w:hAnsi="宋体" w:cs="宋体"/>
          <w:b/>
          <w:bCs/>
          <w:color w:val="auto"/>
          <w:szCs w:val="21"/>
          <w:highlight w:val="none"/>
          <w:lang w:val="en-US" w:eastAsia="zh-CN"/>
        </w:rPr>
        <w:t>9</w:t>
      </w:r>
      <w:r>
        <w:rPr>
          <w:rFonts w:hint="eastAsia" w:ascii="宋体" w:hAnsi="宋体" w:cs="宋体"/>
          <w:b/>
          <w:bCs/>
          <w:color w:val="auto"/>
          <w:szCs w:val="21"/>
          <w:highlight w:val="none"/>
        </w:rPr>
        <w:t>月</w:t>
      </w:r>
      <w:r>
        <w:rPr>
          <w:rFonts w:hint="eastAsia" w:ascii="宋体" w:hAnsi="宋体" w:cs="宋体"/>
          <w:b/>
          <w:bCs/>
          <w:color w:val="auto"/>
          <w:szCs w:val="21"/>
          <w:highlight w:val="none"/>
          <w:lang w:val="en-US" w:eastAsia="zh-CN"/>
        </w:rPr>
        <w:t>14</w:t>
      </w:r>
      <w:r>
        <w:rPr>
          <w:rFonts w:hint="eastAsia" w:ascii="宋体" w:hAnsi="宋体" w:cs="宋体"/>
          <w:b/>
          <w:bCs/>
          <w:color w:val="auto"/>
          <w:szCs w:val="21"/>
          <w:highlight w:val="none"/>
        </w:rPr>
        <w:t>日至2026年</w:t>
      </w:r>
      <w:r>
        <w:rPr>
          <w:rFonts w:hint="eastAsia" w:ascii="宋体" w:hAnsi="宋体" w:cs="宋体"/>
          <w:b/>
          <w:bCs/>
          <w:color w:val="auto"/>
          <w:szCs w:val="21"/>
          <w:highlight w:val="none"/>
          <w:lang w:val="en-US" w:eastAsia="zh-CN"/>
        </w:rPr>
        <w:t>9</w:t>
      </w:r>
      <w:r>
        <w:rPr>
          <w:rFonts w:hint="eastAsia" w:ascii="宋体" w:hAnsi="宋体" w:cs="宋体"/>
          <w:b/>
          <w:bCs/>
          <w:color w:val="auto"/>
          <w:szCs w:val="21"/>
          <w:highlight w:val="none"/>
        </w:rPr>
        <w:t>月</w:t>
      </w:r>
      <w:r>
        <w:rPr>
          <w:rFonts w:hint="eastAsia" w:ascii="宋体" w:hAnsi="宋体" w:cs="宋体"/>
          <w:b/>
          <w:bCs/>
          <w:color w:val="auto"/>
          <w:szCs w:val="21"/>
          <w:highlight w:val="none"/>
          <w:lang w:val="en-US" w:eastAsia="zh-CN"/>
        </w:rPr>
        <w:t>16</w:t>
      </w:r>
      <w:r>
        <w:rPr>
          <w:rFonts w:hint="eastAsia" w:ascii="宋体" w:hAnsi="宋体" w:cs="宋体"/>
          <w:b/>
          <w:bCs/>
          <w:color w:val="auto"/>
          <w:szCs w:val="21"/>
          <w:highlight w:val="none"/>
        </w:rPr>
        <w:t>日</w:t>
      </w:r>
      <w:r>
        <w:rPr>
          <w:rFonts w:hint="eastAsia" w:ascii="宋体" w:hAnsi="宋体" w:cs="宋体"/>
          <w:color w:val="auto"/>
          <w:szCs w:val="21"/>
          <w:highlight w:val="none"/>
        </w:rPr>
        <w:t>，每天上午00:00至12:00，下午12:00至23:59（北京时间，法定节假日除外）</w:t>
      </w:r>
    </w:p>
    <w:p w14:paraId="2176827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地点：广西政府采购云平台（https://www.gcy.zfcg.gxzf.gov.cn/）。</w:t>
      </w:r>
    </w:p>
    <w:p w14:paraId="7E7908B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方式：网上下载。本项目不发放纸质文件，供应商应自行在</w:t>
      </w:r>
      <w:r>
        <w:rPr>
          <w:color w:val="auto"/>
          <w:highlight w:val="none"/>
        </w:rPr>
        <w:fldChar w:fldCharType="begin"/>
      </w:r>
      <w:r>
        <w:rPr>
          <w:color w:val="auto"/>
          <w:highlight w:val="none"/>
        </w:rPr>
        <w:instrText xml:space="preserve"> HYPERLINK </w:instrText>
      </w:r>
      <w:r>
        <w:rPr>
          <w:color w:val="auto"/>
          <w:highlight w:val="none"/>
        </w:rPr>
        <w:fldChar w:fldCharType="separate"/>
      </w:r>
      <w:r>
        <w:rPr>
          <w:color w:val="auto"/>
          <w:highlight w:val="none"/>
        </w:rPr>
        <w:fldChar w:fldCharType="end"/>
      </w:r>
      <w:r>
        <w:rPr>
          <w:rFonts w:hint="eastAsia" w:ascii="宋体" w:hAnsi="宋体" w:cs="宋体"/>
          <w:color w:val="auto"/>
          <w:szCs w:val="21"/>
          <w:highlight w:val="none"/>
        </w:rPr>
        <w:t>广西政府采购云平台（https://www.gcy.zfcg.gxzf.gov.cn/）下载竞争性谈判采购文件（操作路径：登录广西政府采购云平台-项目采购-获取采购文件-找到本项目-点击“申请获取采购文件”），电子响应文件制作需要基于广西政府采购云平台获取的竞争性谈判采购文件编制。</w:t>
      </w:r>
    </w:p>
    <w:p w14:paraId="600186A9">
      <w:pPr>
        <w:spacing w:line="360" w:lineRule="auto"/>
        <w:ind w:firstLine="735" w:firstLineChars="350"/>
        <w:rPr>
          <w:rFonts w:ascii="宋体" w:hAnsi="宋体" w:cs="宋体"/>
          <w:color w:val="auto"/>
          <w:szCs w:val="21"/>
          <w:highlight w:val="none"/>
        </w:rPr>
      </w:pPr>
      <w:r>
        <w:rPr>
          <w:rFonts w:hint="eastAsia" w:ascii="宋体" w:hAnsi="宋体" w:cs="宋体"/>
          <w:color w:val="auto"/>
          <w:szCs w:val="21"/>
          <w:highlight w:val="none"/>
        </w:rPr>
        <w:t>售价：0元。</w:t>
      </w:r>
    </w:p>
    <w:p w14:paraId="0D71F683">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四、响应文件提交</w:t>
      </w:r>
    </w:p>
    <w:p w14:paraId="4B7042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1.首次响应文件提交截止时间：2026年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w:t>
      </w:r>
    </w:p>
    <w:p w14:paraId="0AD5E6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2.地点：通过广西政府采购云平台在线提交。</w:t>
      </w:r>
    </w:p>
    <w:p w14:paraId="4DBB690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为全流程电子化项目，没有现场递交响应文件及现场开标环节，通过广西政府采购云平台（https://www.gcy.zfcg.gxzf.gov.cn/）实行在线电子投标，供应商应先安装“广西政府采购云平台投标客户端”（请自行前往广西政府采购云平台进行下载），并按照本项目采购文件和广西政府采购云平台的要求使用CA认证编制、加密响应文件后在首次响应文件提交截止时间前上传至 广西政府采购云平台，供应商在广西政府采购云平台提交电子版响应文件时，请填写参加远程开标活动经办人联系方式，如在谈判评审过程中有电子询标，应在规定的时间内对电子询标函进行澄清回复。</w:t>
      </w:r>
    </w:p>
    <w:p w14:paraId="20E4F0FC">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五、开启</w:t>
      </w:r>
    </w:p>
    <w:p w14:paraId="4A581D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1.首次响应文件开启时间：2026年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分（北京时间）</w:t>
      </w:r>
    </w:p>
    <w:p w14:paraId="35F363B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2.地点：本项目将在广西政府采购云平台电子开标大厅解密、开启。</w:t>
      </w:r>
    </w:p>
    <w:p w14:paraId="60840B05">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六、公告期限</w:t>
      </w:r>
    </w:p>
    <w:p w14:paraId="7DCDE8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自本公告发布之日起3个工作日。</w:t>
      </w:r>
    </w:p>
    <w:p w14:paraId="476B0F0D">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七、其他补充事宜</w:t>
      </w:r>
    </w:p>
    <w:p w14:paraId="1FFF172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1.竞标保证金（须足额交纳）：4500.00元（交纳注意事项详见供应商须知前附表）。</w:t>
      </w:r>
    </w:p>
    <w:p w14:paraId="36D2063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612A13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3.根据财政部《关于在政府采购活动中查询及使用信用记录有关问题的通知》（财库〔2016〕125号）的规定，对在“信用中国”网站(www.creditchina.gov.cn)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政府采购活动。</w:t>
      </w:r>
    </w:p>
    <w:p w14:paraId="06FCA64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4.网上查询地址：中国政府采购网（www.ccgp.gov.cn）、广西政府采购网（zfcg.gxzf.gov.cn）。</w:t>
      </w:r>
    </w:p>
    <w:p w14:paraId="69E5910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5.本项目需要落实的政府采购政策：</w:t>
      </w:r>
    </w:p>
    <w:p w14:paraId="3BC3163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（1）政府采购促进中小企业发展。</w:t>
      </w:r>
    </w:p>
    <w:p w14:paraId="4C1121F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（2）政府采购支持采用本国产品的政策。</w:t>
      </w:r>
    </w:p>
    <w:p w14:paraId="2978F57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（3）强制采购节能产品；优先采购节能产品、环境标志产品。</w:t>
      </w:r>
    </w:p>
    <w:p w14:paraId="613F3C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（4）政府采购促进残疾人就业政策。</w:t>
      </w:r>
    </w:p>
    <w:p w14:paraId="0CFF863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（5）政府采购支持监狱企业发展。</w:t>
      </w:r>
    </w:p>
    <w:p w14:paraId="64825BC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（6）扶持不发达地区和少数民族地区政策</w:t>
      </w:r>
    </w:p>
    <w:p w14:paraId="516326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6.谈判注意事项：</w:t>
      </w:r>
    </w:p>
    <w:p w14:paraId="6E2935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响应文件提交方式：本项目为全流程电子化政府采购项目，通过广西政府采购云平台（https://www.gcy.zfcg.gxzf.gov.cn/）实行在线电子竞争性谈判，供应商应先安装“广西政府采购云平台电子交易客户端”（请自行前往广西政府采购云平台进行下载），并按照本项目竞争性谈判采购文件和广西政府采购云平台的要求编制、加密后在首次响应文件提交截止时间前通过网络上传至广西政府采购云平台，</w:t>
      </w:r>
      <w:r>
        <w:rPr>
          <w:rFonts w:hint="eastAsia" w:ascii="宋体" w:hAnsi="宋体" w:cs="宋体"/>
          <w:b/>
          <w:color w:val="auto"/>
          <w:szCs w:val="21"/>
          <w:highlight w:val="none"/>
        </w:rPr>
        <w:t>供应商在广西政府采购云平台提交电子版响应文件时，请填写参加远程开标活动经办人联系方式。</w:t>
      </w:r>
    </w:p>
    <w:p w14:paraId="4DB825E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供应商应及时熟悉掌握电子标系统操作指南（见广西政府采购云平台电子卖场首页右上角—服务中心—帮助文档—项目采购）；及时完成CA申领和绑定（见广西壮族自治区政府采购网—办事服务—下载专区-广西政府采购云平台CA证书办理操作指南）。</w:t>
      </w:r>
    </w:p>
    <w:p w14:paraId="37EF3A4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未进行网上注册并办理数字证书（CA认证）的供应商将无法参与本项目政府采购活动，潜在供应商应当在首次响应文件提交截止时间前，完成电子交易平台上的CA数字证书办理及响应文件的提交。完成CA数字证书办理预计7日左右，供应商只需办理其中一家CA数字证书及签章，建议各供应商抓紧时间办理。</w:t>
      </w:r>
    </w:p>
    <w:p w14:paraId="64041E3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（4）为确保网上操作合法、有效和安全，请供应商确保在参与电子竞争性谈判过程中能够对相关数据电文进行加密和使用电子签章，妥善保管CA数字证书并使用有效的CA数字证书参与整个采购活动。</w:t>
      </w:r>
    </w:p>
    <w:p w14:paraId="764E8A43">
      <w:pPr>
        <w:spacing w:line="360" w:lineRule="auto"/>
        <w:ind w:firstLine="422" w:firstLineChars="200"/>
        <w:rPr>
          <w:rFonts w:ascii="楷体" w:hAnsi="楷体" w:eastAsia="楷体" w:cs="宋体"/>
          <w:b/>
          <w:color w:val="auto"/>
          <w:szCs w:val="21"/>
          <w:highlight w:val="none"/>
        </w:rPr>
      </w:pPr>
      <w:r>
        <w:rPr>
          <w:rFonts w:hint="eastAsia" w:ascii="楷体" w:hAnsi="楷体" w:eastAsia="楷体" w:cs="宋体"/>
          <w:b/>
          <w:color w:val="auto"/>
          <w:szCs w:val="21"/>
          <w:highlight w:val="none"/>
        </w:rPr>
        <w:t>注：供应商应当在首次响应文件提交截止时间前完成电子响应文件的上传、递交，首次响应文件提交截止时间前可以补充、修改或者撤回响应文件。补充或者修改响应文件的，应当先行撤回原文件，补充、修改后重新上传、递交。首次响应文件提交截止时间前未完成上传、递交的，视为撤回响应文件。首次响应文件提交截止时间以后上传递交的响应文件，广西政府采购云平台将予以拒收。</w:t>
      </w:r>
    </w:p>
    <w:p w14:paraId="74D80B6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7.CA证书在线解密：首次响应文件开启时，须要供应商携带制作响应文件时用来加密的有效数字证书（CA认证）登录广西政府采购云平台电子开标大厅现场按规定时间对加密的响应文件进行解密，否则后果自负。</w:t>
      </w:r>
    </w:p>
    <w:p w14:paraId="598752B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8.供应商需要在具备有摄像头及语音功能且互联网网络状况良好的电脑登录广西政府采购云平台远程开标大厅参与本次谈判，否则后果自负。</w:t>
      </w:r>
    </w:p>
    <w:p w14:paraId="270E2F6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9.若对项目采购电子交易系统操作有疑问，可登录广西政府采购云平台（https://www.gcy.zfcg.gxzf.gov.cn/），点击右侧咨询小采，获取采小蜜智能服务管家帮助，或拨打广西政府采购云平台服务热线</w:t>
      </w:r>
      <w:r>
        <w:rPr>
          <w:rFonts w:ascii="宋体" w:hAnsi="宋体" w:cs="宋体"/>
          <w:color w:val="auto"/>
          <w:szCs w:val="21"/>
          <w:highlight w:val="none"/>
        </w:rPr>
        <w:t>95763</w:t>
      </w:r>
      <w:r>
        <w:rPr>
          <w:rFonts w:hint="eastAsia" w:ascii="宋体" w:hAnsi="宋体" w:cs="宋体"/>
          <w:color w:val="auto"/>
          <w:szCs w:val="21"/>
          <w:highlight w:val="none"/>
        </w:rPr>
        <w:t>获取热线服务帮助。</w:t>
      </w:r>
    </w:p>
    <w:p w14:paraId="02C64C09">
      <w:pPr>
        <w:spacing w:line="360" w:lineRule="auto"/>
        <w:ind w:firstLine="316" w:firstLineChars="150"/>
        <w:rPr>
          <w:rFonts w:ascii="宋体" w:hAnsi="宋体" w:cs="宋体"/>
          <w:b/>
          <w:bCs/>
          <w:color w:val="auto"/>
          <w:szCs w:val="21"/>
          <w:highlight w:val="none"/>
        </w:rPr>
      </w:pPr>
      <w:r>
        <w:rPr>
          <w:rFonts w:hint="eastAsia" w:ascii="宋体" w:hAnsi="宋体" w:cs="宋体"/>
          <w:b/>
          <w:bCs/>
          <w:color w:val="auto"/>
          <w:szCs w:val="21"/>
          <w:highlight w:val="none"/>
        </w:rPr>
        <w:t>八、凡对本次采购提出询问，请按以下方式联系。</w:t>
      </w:r>
      <w:bookmarkEnd w:id="2"/>
      <w:bookmarkEnd w:id="3"/>
      <w:bookmarkEnd w:id="4"/>
      <w:bookmarkEnd w:id="5"/>
      <w:bookmarkEnd w:id="6"/>
      <w:bookmarkEnd w:id="7"/>
    </w:p>
    <w:p w14:paraId="3EA46203">
      <w:pPr>
        <w:spacing w:line="360" w:lineRule="auto"/>
        <w:ind w:firstLine="422" w:firstLineChars="200"/>
        <w:rPr>
          <w:rFonts w:ascii="宋体" w:hAnsi="宋体" w:cs="宋体"/>
          <w:b/>
          <w:bCs/>
          <w:color w:val="auto"/>
          <w:szCs w:val="21"/>
          <w:highlight w:val="none"/>
        </w:rPr>
      </w:pPr>
      <w:bookmarkStart w:id="11" w:name="_Toc35393637"/>
      <w:bookmarkStart w:id="12" w:name="_Toc28359019"/>
      <w:bookmarkStart w:id="13" w:name="_Toc28359096"/>
      <w:bookmarkStart w:id="14" w:name="_Toc35393806"/>
      <w:r>
        <w:rPr>
          <w:rFonts w:hint="eastAsia" w:ascii="宋体" w:hAnsi="宋体" w:cs="宋体"/>
          <w:b/>
          <w:bCs/>
          <w:color w:val="auto"/>
          <w:szCs w:val="21"/>
          <w:highlight w:val="none"/>
        </w:rPr>
        <w:t>1.采购人信息</w:t>
      </w:r>
    </w:p>
    <w:p w14:paraId="63D890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名 称：广西幼儿师范高等专科学校</w:t>
      </w:r>
    </w:p>
    <w:p w14:paraId="0E53530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地址：南宁市民族大道77号</w:t>
      </w:r>
    </w:p>
    <w:p w14:paraId="52E208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联系人：古文             联系电话：</w:t>
      </w:r>
      <w:r>
        <w:rPr>
          <w:rFonts w:hint="eastAsia" w:ascii="宋体" w:hAnsi="宋体" w:cs="宋体"/>
          <w:color w:val="auto"/>
          <w:szCs w:val="21"/>
          <w:highlight w:val="none"/>
          <w:lang w:eastAsia="zh-CN"/>
        </w:rPr>
        <w:t>0771-5712442</w:t>
      </w:r>
      <w:r>
        <w:rPr>
          <w:rFonts w:hint="eastAsia" w:ascii="宋体" w:hAnsi="宋体" w:cs="宋体"/>
          <w:color w:val="auto"/>
          <w:szCs w:val="21"/>
          <w:highlight w:val="none"/>
        </w:rPr>
        <w:t xml:space="preserve">  </w:t>
      </w:r>
    </w:p>
    <w:p w14:paraId="1492BFE1">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2.采购代理机构信息</w:t>
      </w:r>
    </w:p>
    <w:p w14:paraId="5BFAB99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名 称：广西同泽工程项目管理股份有限公司</w:t>
      </w:r>
      <w:r>
        <w:rPr>
          <w:rFonts w:ascii="宋体" w:hAnsi="宋体" w:cs="宋体"/>
          <w:color w:val="auto"/>
          <w:szCs w:val="21"/>
          <w:highlight w:val="none"/>
        </w:rPr>
        <w:t xml:space="preserve"> </w:t>
      </w:r>
    </w:p>
    <w:p w14:paraId="628E07E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　址：南宁市良庆区凯旋路16号裕达国际中心广东大厦18层</w:t>
      </w:r>
    </w:p>
    <w:p w14:paraId="14B77AD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联系人：韦婷   联系电话：0771-8075508</w:t>
      </w:r>
      <w:r>
        <w:rPr>
          <w:rFonts w:ascii="宋体" w:hAnsi="宋体" w:cs="宋体"/>
          <w:color w:val="auto"/>
          <w:szCs w:val="21"/>
          <w:highlight w:val="none"/>
        </w:rPr>
        <w:t xml:space="preserve"> </w:t>
      </w:r>
    </w:p>
    <w:p w14:paraId="763F8C97">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3.项目联系方式</w:t>
      </w:r>
    </w:p>
    <w:p w14:paraId="6AB1DC9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联系人：韦婷   联系电话：0771-8075508</w:t>
      </w:r>
      <w:r>
        <w:rPr>
          <w:rFonts w:ascii="宋体" w:hAnsi="宋体" w:cs="宋体"/>
          <w:color w:val="auto"/>
          <w:szCs w:val="21"/>
          <w:highlight w:val="none"/>
        </w:rPr>
        <w:t xml:space="preserve"> </w:t>
      </w:r>
      <w:bookmarkEnd w:id="11"/>
      <w:bookmarkEnd w:id="12"/>
      <w:bookmarkEnd w:id="13"/>
      <w:bookmarkEnd w:id="14"/>
    </w:p>
    <w:p w14:paraId="45CEF025">
      <w:pPr>
        <w:spacing w:line="360" w:lineRule="auto"/>
        <w:ind w:firstLine="4725" w:firstLineChars="2250"/>
        <w:rPr>
          <w:rFonts w:ascii="宋体" w:hAnsi="宋体" w:cs="宋体"/>
          <w:color w:val="auto"/>
          <w:szCs w:val="21"/>
          <w:highlight w:val="none"/>
        </w:rPr>
      </w:pPr>
    </w:p>
    <w:p w14:paraId="45922F7A">
      <w:pPr>
        <w:spacing w:line="360" w:lineRule="auto"/>
        <w:ind w:firstLine="4725" w:firstLineChars="2250"/>
        <w:rPr>
          <w:rFonts w:ascii="宋体" w:hAnsi="宋体" w:cs="宋体"/>
          <w:color w:val="auto"/>
          <w:szCs w:val="21"/>
          <w:highlight w:val="none"/>
        </w:rPr>
      </w:pPr>
    </w:p>
    <w:p w14:paraId="3DF3ADE2">
      <w:pPr>
        <w:spacing w:line="360" w:lineRule="auto"/>
        <w:ind w:firstLine="4935" w:firstLineChars="2350"/>
        <w:rPr>
          <w:rFonts w:ascii="宋体" w:hAnsi="宋体" w:cs="宋体"/>
          <w:color w:val="auto"/>
          <w:szCs w:val="21"/>
          <w:highlight w:val="none"/>
        </w:rPr>
      </w:pPr>
      <w:r>
        <w:rPr>
          <w:rFonts w:hint="eastAsia" w:ascii="宋体" w:hAnsi="宋体" w:cs="宋体"/>
          <w:color w:val="auto"/>
          <w:szCs w:val="21"/>
          <w:highlight w:val="none"/>
        </w:rPr>
        <w:t>广西同泽工程项目管理股份有限公司</w:t>
      </w:r>
    </w:p>
    <w:bookmarkEnd w:id="1"/>
    <w:p w14:paraId="18EB9276">
      <w:pPr>
        <w:pStyle w:val="2"/>
        <w:spacing w:before="0" w:after="0" w:line="360" w:lineRule="auto"/>
        <w:jc w:val="center"/>
        <w:rPr>
          <w:rFonts w:ascii="宋体" w:hAnsi="宋体" w:cs="宋体"/>
          <w:color w:val="auto"/>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r>
        <w:rPr>
          <w:rFonts w:hint="eastAsia" w:ascii="宋体" w:hAnsi="宋体" w:cs="宋体"/>
          <w:b w:val="0"/>
          <w:bCs w:val="0"/>
          <w:color w:val="auto"/>
          <w:sz w:val="21"/>
          <w:szCs w:val="21"/>
          <w:highlight w:val="none"/>
        </w:rPr>
        <w:t xml:space="preserve"> </w:t>
      </w:r>
      <w:bookmarkStart w:id="15" w:name="_Toc26488"/>
      <w:r>
        <w:rPr>
          <w:rFonts w:hint="eastAsia" w:ascii="宋体" w:hAnsi="宋体" w:cs="宋体"/>
          <w:b w:val="0"/>
          <w:bCs w:val="0"/>
          <w:color w:val="auto"/>
          <w:sz w:val="21"/>
          <w:szCs w:val="21"/>
          <w:highlight w:val="none"/>
        </w:rPr>
        <w:t>2026年</w:t>
      </w:r>
      <w:r>
        <w:rPr>
          <w:rFonts w:hint="eastAsia" w:ascii="宋体" w:hAnsi="宋体" w:cs="宋体"/>
          <w:b w:val="0"/>
          <w:bCs w:val="0"/>
          <w:color w:val="auto"/>
          <w:sz w:val="21"/>
          <w:szCs w:val="21"/>
          <w:highlight w:val="none"/>
          <w:lang w:val="en-US" w:eastAsia="zh-CN"/>
        </w:rPr>
        <w:t>9</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11</w:t>
      </w:r>
      <w:r>
        <w:rPr>
          <w:rFonts w:hint="eastAsia" w:ascii="宋体" w:hAnsi="宋体" w:cs="宋体"/>
          <w:b w:val="0"/>
          <w:bCs w:val="0"/>
          <w:color w:val="auto"/>
          <w:sz w:val="21"/>
          <w:szCs w:val="21"/>
          <w:highlight w:val="none"/>
        </w:rPr>
        <w:t>日</w:t>
      </w:r>
      <w:r>
        <w:rPr>
          <w:rFonts w:hint="eastAsia" w:ascii="宋体" w:hAnsi="宋体" w:cs="宋体"/>
          <w:color w:val="auto"/>
          <w:sz w:val="21"/>
          <w:szCs w:val="21"/>
        </w:rPr>
        <w:br w:type="page"/>
      </w:r>
      <w:r>
        <w:rPr>
          <w:rFonts w:hint="eastAsia" w:ascii="宋体" w:hAnsi="宋体" w:cs="宋体"/>
          <w:color w:val="auto"/>
        </w:rPr>
        <w:t>第二章 供应商须知</w:t>
      </w:r>
      <w:bookmarkEnd w:id="15"/>
    </w:p>
    <w:p w14:paraId="06227F72">
      <w:pPr>
        <w:spacing w:line="400" w:lineRule="exact"/>
        <w:jc w:val="center"/>
        <w:rPr>
          <w:rFonts w:ascii="宋体" w:hAnsi="宋体" w:cs="宋体"/>
          <w:b/>
          <w:color w:val="auto"/>
          <w:sz w:val="32"/>
          <w:szCs w:val="32"/>
        </w:rPr>
      </w:pPr>
    </w:p>
    <w:p w14:paraId="72F53177">
      <w:pPr>
        <w:spacing w:line="400" w:lineRule="exact"/>
        <w:jc w:val="center"/>
        <w:rPr>
          <w:rFonts w:ascii="宋体" w:hAnsi="宋体" w:cs="宋体"/>
          <w:b/>
          <w:color w:val="auto"/>
          <w:sz w:val="32"/>
          <w:szCs w:val="32"/>
        </w:rPr>
      </w:pPr>
      <w:r>
        <w:rPr>
          <w:rFonts w:hint="eastAsia" w:ascii="宋体" w:hAnsi="宋体" w:cs="宋体"/>
          <w:b/>
          <w:color w:val="auto"/>
          <w:sz w:val="32"/>
          <w:szCs w:val="32"/>
        </w:rPr>
        <w:t>供应商须知前附表</w:t>
      </w:r>
    </w:p>
    <w:p w14:paraId="5E850455">
      <w:pPr>
        <w:spacing w:line="400" w:lineRule="exact"/>
        <w:jc w:val="center"/>
        <w:rPr>
          <w:rFonts w:ascii="宋体" w:hAnsi="宋体" w:cs="宋体"/>
          <w:b/>
          <w:color w:val="auto"/>
          <w:sz w:val="32"/>
          <w:szCs w:val="32"/>
        </w:rPr>
      </w:pPr>
    </w:p>
    <w:tbl>
      <w:tblPr>
        <w:tblStyle w:val="27"/>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
        <w:gridCol w:w="8181"/>
      </w:tblGrid>
      <w:tr w14:paraId="586C3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991" w:type="dxa"/>
            <w:vAlign w:val="center"/>
          </w:tcPr>
          <w:p w14:paraId="17636BDF">
            <w:pPr>
              <w:spacing w:line="500" w:lineRule="exact"/>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条款号</w:t>
            </w:r>
          </w:p>
        </w:tc>
        <w:tc>
          <w:tcPr>
            <w:tcW w:w="8181" w:type="dxa"/>
            <w:vAlign w:val="center"/>
          </w:tcPr>
          <w:p w14:paraId="00967B61">
            <w:pPr>
              <w:spacing w:line="500" w:lineRule="exact"/>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内    容</w:t>
            </w:r>
          </w:p>
        </w:tc>
      </w:tr>
      <w:tr w14:paraId="4CB5C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991" w:type="dxa"/>
            <w:vAlign w:val="center"/>
          </w:tcPr>
          <w:p w14:paraId="4CC23156">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8181" w:type="dxa"/>
            <w:vAlign w:val="center"/>
          </w:tcPr>
          <w:p w14:paraId="66FD50AA">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供应商的资格条件：详见竞争性谈判公告</w:t>
            </w:r>
          </w:p>
        </w:tc>
      </w:tr>
      <w:tr w14:paraId="3DBDF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991" w:type="dxa"/>
            <w:vAlign w:val="center"/>
          </w:tcPr>
          <w:p w14:paraId="6B79F9F5">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5.1</w:t>
            </w:r>
          </w:p>
        </w:tc>
        <w:tc>
          <w:tcPr>
            <w:tcW w:w="8181" w:type="dxa"/>
            <w:vAlign w:val="center"/>
          </w:tcPr>
          <w:p w14:paraId="7A511F9F">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是否接受联合体参与: 详见竞争性谈判公告</w:t>
            </w:r>
          </w:p>
        </w:tc>
      </w:tr>
      <w:tr w14:paraId="05D2D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1" w:type="dxa"/>
            <w:vAlign w:val="center"/>
          </w:tcPr>
          <w:p w14:paraId="40DE7E5D">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5.2</w:t>
            </w:r>
          </w:p>
        </w:tc>
        <w:tc>
          <w:tcPr>
            <w:tcW w:w="8181" w:type="dxa"/>
            <w:vAlign w:val="center"/>
          </w:tcPr>
          <w:p w14:paraId="075CD700">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如接受联合体参与，要求如下：</w:t>
            </w:r>
          </w:p>
          <w:p w14:paraId="5075F24E">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两个以上供应商可以组成一个联合体，以一个供应商的身份共同参与竞争性谈判，联合体供应商的名称应统一按“XXX 公司与 XXX 公司的联合体”的规则填写。</w:t>
            </w:r>
            <w:r>
              <w:rPr>
                <w:rFonts w:hint="eastAsia" w:asciiTheme="minorEastAsia" w:hAnsiTheme="minorEastAsia" w:eastAsiaTheme="minorEastAsia" w:cstheme="minorEastAsia"/>
                <w:color w:val="auto"/>
                <w:szCs w:val="21"/>
              </w:rPr>
              <w:tab/>
            </w:r>
          </w:p>
          <w:p w14:paraId="79F8A301">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以联合体形式参与竞争性谈判的，联合体各方均必须具备《中华人民共和国政府采购法》第二十二条第一款规定的基本条件（涉及行政许可范围的内容，联合体各方均应具备相应资质）。本项目有特殊要求规定供应商特定条件的，联合体各方中至少有一方必须符合本项目竞争性谈判公告“申请人的资格条件”第3点 “3、本项目的特定资格要求”的要求。</w:t>
            </w:r>
          </w:p>
          <w:p w14:paraId="1FE066F3">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联合体参与竞争性谈判的，须提供《联合体参与竞争性谈判协议书》（格式后附），协议书必须明确主体方（或者牵头方）并明确约定联合体各方承担的工作和相应的责任（各方承担责任与义务的分工必须符合采购需求，否则，联合体响应无效），并将《联合体参与竞争性谈判协议书》放入响应文件。联合体各方必须共同与采购人签订采购合同，就采购合同约定的事项对采购人承担连带责任。</w:t>
            </w:r>
            <w:r>
              <w:rPr>
                <w:rFonts w:hint="eastAsia" w:asciiTheme="minorEastAsia" w:hAnsiTheme="minorEastAsia" w:eastAsiaTheme="minorEastAsia" w:cstheme="minorEastAsia"/>
                <w:color w:val="auto"/>
                <w:szCs w:val="21"/>
              </w:rPr>
              <w:tab/>
            </w:r>
          </w:p>
          <w:p w14:paraId="321F7ECD">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以联合体形式参加政府采购活动的，联合体各方不得再单独参加或者与其他供应商另外组成联合体参加同一合同项下的政府采购活动，否则与之相关的响应文件作废</w:t>
            </w:r>
            <w:r>
              <w:rPr>
                <w:rFonts w:hint="eastAsia" w:asciiTheme="minorEastAsia" w:hAnsiTheme="minorEastAsia" w:eastAsiaTheme="minorEastAsia" w:cstheme="minorEastAsia"/>
                <w:color w:val="auto"/>
                <w:szCs w:val="21"/>
              </w:rPr>
              <w:tab/>
            </w:r>
          </w:p>
          <w:p w14:paraId="3DD15FDE">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联合体中有同类资质的供应商按照联合体分工承担相同工作的，应当按照资质等级较低的供应商确定资质等级。</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ab/>
            </w:r>
          </w:p>
          <w:p w14:paraId="3F3262BD">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联合体参与竞争性谈判的业绩、履约能力按照联合体各方其中较高的一方认定并计算（竞争性谈判采购文件另有规定的除外）。</w:t>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ab/>
            </w:r>
            <w:r>
              <w:rPr>
                <w:rFonts w:hint="eastAsia" w:asciiTheme="minorEastAsia" w:hAnsiTheme="minorEastAsia" w:eastAsiaTheme="minorEastAsia" w:cstheme="minorEastAsia"/>
                <w:color w:val="auto"/>
                <w:szCs w:val="21"/>
              </w:rPr>
              <w:tab/>
            </w:r>
          </w:p>
          <w:p w14:paraId="6C29A5D0">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联合体各方均应按照竞争性谈判采购文件的规定提交资格证明文件。</w:t>
            </w:r>
          </w:p>
        </w:tc>
      </w:tr>
      <w:tr w14:paraId="2DEA6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991" w:type="dxa"/>
            <w:vAlign w:val="center"/>
          </w:tcPr>
          <w:p w14:paraId="752F38E5">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6.2</w:t>
            </w:r>
          </w:p>
        </w:tc>
        <w:tc>
          <w:tcPr>
            <w:tcW w:w="8181" w:type="dxa"/>
            <w:vAlign w:val="center"/>
          </w:tcPr>
          <w:p w14:paraId="28F3176C">
            <w:pPr>
              <w:pStyle w:val="9"/>
              <w:spacing w:line="500" w:lineRule="exact"/>
              <w:jc w:val="both"/>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FE"/>
            </w:r>
            <w:r>
              <w:rPr>
                <w:rFonts w:hint="eastAsia" w:asciiTheme="minorEastAsia" w:hAnsiTheme="minorEastAsia" w:eastAsiaTheme="minorEastAsia" w:cstheme="minorEastAsia"/>
                <w:color w:val="auto"/>
                <w:szCs w:val="21"/>
              </w:rPr>
              <w:t>本项目不允许分包。</w:t>
            </w:r>
          </w:p>
          <w:p w14:paraId="7BD2B0C2">
            <w:pPr>
              <w:pStyle w:val="9"/>
              <w:spacing w:line="500" w:lineRule="exact"/>
              <w:jc w:val="both"/>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A8"/>
            </w:r>
            <w:r>
              <w:rPr>
                <w:rFonts w:hint="eastAsia" w:asciiTheme="minorEastAsia" w:hAnsiTheme="minorEastAsia" w:eastAsiaTheme="minorEastAsia" w:cstheme="minorEastAsia"/>
                <w:color w:val="auto"/>
                <w:szCs w:val="21"/>
              </w:rPr>
              <w:t>本项目允许分包：</w:t>
            </w:r>
          </w:p>
          <w:p w14:paraId="5F441F6B">
            <w:pPr>
              <w:pStyle w:val="9"/>
              <w:spacing w:line="500" w:lineRule="exact"/>
              <w:jc w:val="both"/>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分包内容：</w:t>
            </w:r>
            <w:r>
              <w:rPr>
                <w:rFonts w:hint="eastAsia" w:asciiTheme="minorEastAsia" w:hAnsiTheme="minorEastAsia" w:eastAsiaTheme="minorEastAsia" w:cstheme="minorEastAsia"/>
                <w:color w:val="auto"/>
                <w:szCs w:val="21"/>
                <w:u w:val="single"/>
              </w:rPr>
              <w:t>/</w:t>
            </w:r>
          </w:p>
          <w:p w14:paraId="4F8BDE9B">
            <w:pPr>
              <w:pStyle w:val="9"/>
              <w:spacing w:line="500" w:lineRule="exact"/>
              <w:jc w:val="both"/>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分包金额或者比例：</w:t>
            </w:r>
            <w:r>
              <w:rPr>
                <w:rFonts w:hint="eastAsia" w:asciiTheme="minorEastAsia" w:hAnsiTheme="minorEastAsia" w:eastAsiaTheme="minorEastAsia" w:cstheme="minorEastAsia"/>
                <w:color w:val="auto"/>
                <w:szCs w:val="21"/>
                <w:u w:val="single"/>
              </w:rPr>
              <w:t>/</w:t>
            </w:r>
          </w:p>
        </w:tc>
      </w:tr>
      <w:tr w14:paraId="0995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991" w:type="dxa"/>
            <w:vAlign w:val="center"/>
          </w:tcPr>
          <w:p w14:paraId="7F2DF02C">
            <w:pPr>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w:t>
            </w:r>
          </w:p>
        </w:tc>
        <w:tc>
          <w:tcPr>
            <w:tcW w:w="8181" w:type="dxa"/>
            <w:vAlign w:val="center"/>
          </w:tcPr>
          <w:p w14:paraId="5FC12BE5">
            <w:pPr>
              <w:pStyle w:val="9"/>
              <w:spacing w:line="400" w:lineRule="exact"/>
              <w:jc w:val="both"/>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是否适用支持本国产品：☑是/□否</w:t>
            </w:r>
          </w:p>
        </w:tc>
      </w:tr>
      <w:tr w14:paraId="4D3A3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jc w:val="center"/>
        </w:trPr>
        <w:tc>
          <w:tcPr>
            <w:tcW w:w="991" w:type="dxa"/>
            <w:vAlign w:val="center"/>
          </w:tcPr>
          <w:p w14:paraId="0899003C">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12.1.1</w:t>
            </w:r>
          </w:p>
        </w:tc>
        <w:tc>
          <w:tcPr>
            <w:tcW w:w="8181" w:type="dxa"/>
            <w:vAlign w:val="center"/>
          </w:tcPr>
          <w:p w14:paraId="59EC35D2">
            <w:pPr>
              <w:snapToGrid w:val="0"/>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资格证明文件</w:t>
            </w:r>
          </w:p>
          <w:p w14:paraId="3690D998">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供应商为法人或者其他组织的，证明文件为其营业执照复印件（如营业执照或者事业单位法人证书或者执业许可证等）；供应商为自然人的，证明文件为其身份证复印件；（</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35135620">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依法缴纳税收的相关材料（截至首次响应文件提交截止之日半年内任意连续三个月的依法缴纳税收的凭据复印件；依法免税的，必须提供相应文件证明。从成立之日起到首次响应文件提交截止之日不足要求月数的，只需提供从成立之日起的依法缴纳税收相应证明文件）；（</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5E96D073">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依法缴纳社会保障资金的相关材料（截至首次响应文件提交截止之日半年内任意连续三个月的依法缴纳社会保障资金的缴费凭证（专用收据或者社会保险缴纳清单）复印件；依法不需要缴纳社会保障资金的，必须提供相应文件证明。从成立之日起到首次响应文件提交截止之日不足要求月数的只需提供从成立之日起一个月的依法缴纳社会保障资金的相应证明文件）；（</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4D0A307A">
            <w:pPr>
              <w:spacing w:line="500" w:lineRule="exact"/>
              <w:contextualSpacing/>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财务状况报告（提供2025年财务状况报告复印件，或者银行出具的资信证明（资信证明应在有效期内，未注明有效期的，银行出具时间至首次响应文件提交截止之日不超过一年）；供应商成立不满一年的应按提供首次响应文件提交截止之日上一个月的财务状况报告复印件）</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b/>
                <w:color w:val="auto"/>
                <w:szCs w:val="21"/>
              </w:rPr>
              <w:t>除自然人外必须提供，否则响应文件按无效响应处理</w:t>
            </w:r>
            <w:r>
              <w:rPr>
                <w:rFonts w:hint="eastAsia" w:asciiTheme="minorEastAsia" w:hAnsiTheme="minorEastAsia" w:eastAsiaTheme="minorEastAsia" w:cstheme="minorEastAsia"/>
                <w:bCs/>
                <w:color w:val="auto"/>
                <w:szCs w:val="21"/>
              </w:rPr>
              <w:t>）</w:t>
            </w:r>
          </w:p>
          <w:p w14:paraId="75943597">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供应商直接控股、管理关系信息表（格式后附）；（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5EB4FDBF">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参与竞争性谈判声明（格式后附）；（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1CC8002B">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竞争性谈判公告中特定资格要求的资格证明材料；（</w:t>
            </w:r>
            <w:r>
              <w:rPr>
                <w:rFonts w:hint="eastAsia" w:asciiTheme="minorEastAsia" w:hAnsiTheme="minorEastAsia" w:eastAsiaTheme="minorEastAsia" w:cstheme="minorEastAsia"/>
                <w:b/>
                <w:bCs/>
                <w:color w:val="auto"/>
                <w:szCs w:val="21"/>
              </w:rPr>
              <w:t>公告如有则必</w:t>
            </w:r>
            <w:r>
              <w:rPr>
                <w:rFonts w:hint="eastAsia" w:asciiTheme="minorEastAsia" w:hAnsiTheme="minorEastAsia" w:eastAsiaTheme="minorEastAsia" w:cstheme="minorEastAsia"/>
                <w:b/>
                <w:color w:val="auto"/>
                <w:szCs w:val="21"/>
              </w:rPr>
              <w:t>须提供，否则响应文件按无效响应处理</w:t>
            </w:r>
            <w:r>
              <w:rPr>
                <w:rFonts w:hint="eastAsia" w:asciiTheme="minorEastAsia" w:hAnsiTheme="minorEastAsia" w:eastAsiaTheme="minorEastAsia" w:cstheme="minorEastAsia"/>
                <w:color w:val="auto"/>
                <w:szCs w:val="21"/>
              </w:rPr>
              <w:t>）</w:t>
            </w:r>
          </w:p>
          <w:p w14:paraId="4C87A337">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除谈判文件规定必须提供以外，供应商认为需要提供的其他证明材料。</w:t>
            </w:r>
          </w:p>
          <w:p w14:paraId="2F3BCFB4">
            <w:pPr>
              <w:snapToGrid w:val="0"/>
              <w:spacing w:line="500" w:lineRule="exac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
                <w:bCs/>
                <w:color w:val="auto"/>
                <w:szCs w:val="21"/>
              </w:rPr>
              <w:t>【注】</w:t>
            </w:r>
            <w:r>
              <w:rPr>
                <w:rFonts w:hint="eastAsia" w:asciiTheme="minorEastAsia" w:hAnsiTheme="minorEastAsia" w:eastAsiaTheme="minorEastAsia" w:cstheme="minorEastAsia"/>
                <w:bCs/>
                <w:color w:val="auto"/>
                <w:szCs w:val="21"/>
              </w:rPr>
              <w:t>1.以上标明“必须提供”的材料属于复印件的，必须加盖供应商公章，否则响应文件按无效响应处理。</w:t>
            </w:r>
          </w:p>
          <w:p w14:paraId="5DED591E">
            <w:pPr>
              <w:snapToGrid w:val="0"/>
              <w:spacing w:line="500" w:lineRule="exac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2.参与竞争性谈判声明必须由法定代表人在规定签章处逐一签字并加盖供应商公章，否则响应文件按无效响应处理。</w:t>
            </w:r>
          </w:p>
          <w:p w14:paraId="0DAE6737">
            <w:pPr>
              <w:snapToGrid w:val="0"/>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Cs/>
                <w:color w:val="auto"/>
                <w:szCs w:val="21"/>
              </w:rPr>
              <w:t>3.供应商直接控股、管理关系信息表必须由法定代表人或者委托代理人在规定签章处逐一签字并加盖供应商公章，否则响应文件按无效响应处理。</w:t>
            </w:r>
          </w:p>
        </w:tc>
      </w:tr>
      <w:tr w14:paraId="28C0D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jc w:val="center"/>
        </w:trPr>
        <w:tc>
          <w:tcPr>
            <w:tcW w:w="991" w:type="dxa"/>
            <w:vMerge w:val="restart"/>
            <w:vAlign w:val="center"/>
          </w:tcPr>
          <w:p w14:paraId="41552513">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12.1.2</w:t>
            </w:r>
          </w:p>
        </w:tc>
        <w:tc>
          <w:tcPr>
            <w:tcW w:w="8181" w:type="dxa"/>
            <w:vAlign w:val="center"/>
          </w:tcPr>
          <w:p w14:paraId="4D758C7E">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报价文件</w:t>
            </w:r>
          </w:p>
          <w:p w14:paraId="273507F1">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无串通参与竞争性谈判行为的承诺函（格式后附）；（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2E2C40B2">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竞争性谈判报价表（格式后附）；（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1509FCD4">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中小企业声明函（或残疾人福利性单位声明函或监狱企业声明函，残疾人福利性单位或监狱企业视同小微企业）或《关于符合本国产品标准的声明函》（格式后附）；</w:t>
            </w:r>
          </w:p>
          <w:p w14:paraId="196FD060">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针对报价需要说明的其他文件和说明（格式自拟）。</w:t>
            </w:r>
          </w:p>
          <w:p w14:paraId="3E9E5281">
            <w:pPr>
              <w:spacing w:line="500" w:lineRule="exac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
                <w:color w:val="auto"/>
                <w:szCs w:val="21"/>
              </w:rPr>
              <w:t>注</w:t>
            </w:r>
            <w:r>
              <w:rPr>
                <w:rFonts w:hint="eastAsia" w:asciiTheme="minorEastAsia" w:hAnsiTheme="minorEastAsia" w:eastAsiaTheme="minorEastAsia" w:cstheme="minorEastAsia"/>
                <w:color w:val="auto"/>
                <w:szCs w:val="21"/>
              </w:rPr>
              <w:t>：以上标明“必须提供”材料复印件的，必须加盖供应商公章，否则响应文件按无效响应处理。</w:t>
            </w:r>
          </w:p>
        </w:tc>
      </w:tr>
      <w:tr w14:paraId="78C38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jc w:val="center"/>
        </w:trPr>
        <w:tc>
          <w:tcPr>
            <w:tcW w:w="991" w:type="dxa"/>
            <w:vMerge w:val="continue"/>
            <w:vAlign w:val="center"/>
          </w:tcPr>
          <w:p w14:paraId="34A3AE4D">
            <w:pPr>
              <w:spacing w:line="500" w:lineRule="exact"/>
              <w:jc w:val="center"/>
              <w:rPr>
                <w:rFonts w:asciiTheme="minorEastAsia" w:hAnsiTheme="minorEastAsia" w:eastAsiaTheme="minorEastAsia" w:cstheme="minorEastAsia"/>
                <w:color w:val="auto"/>
                <w:szCs w:val="21"/>
              </w:rPr>
            </w:pPr>
          </w:p>
        </w:tc>
        <w:tc>
          <w:tcPr>
            <w:tcW w:w="8181" w:type="dxa"/>
            <w:vAlign w:val="center"/>
          </w:tcPr>
          <w:p w14:paraId="454645D9">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商务技术文件</w:t>
            </w:r>
          </w:p>
          <w:p w14:paraId="2E0D1F47">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法定代表人身份证明及法定代表人有效身份证正反面复印件（格式后附）；（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07DADDDF">
            <w:pPr>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授权委托书及委托代理人有效身份证正反面复印件（格式后附）；（</w:t>
            </w:r>
            <w:r>
              <w:rPr>
                <w:rFonts w:hint="eastAsia" w:asciiTheme="minorEastAsia" w:hAnsiTheme="minorEastAsia" w:eastAsiaTheme="minorEastAsia" w:cstheme="minorEastAsia"/>
                <w:b/>
                <w:color w:val="auto"/>
                <w:szCs w:val="21"/>
              </w:rPr>
              <w:t>委托时必须提供，否则响应文件按无效响应处理</w:t>
            </w:r>
            <w:r>
              <w:rPr>
                <w:rFonts w:hint="eastAsia" w:asciiTheme="minorEastAsia" w:hAnsiTheme="minorEastAsia" w:eastAsiaTheme="minorEastAsia" w:cstheme="minorEastAsia"/>
                <w:color w:val="auto"/>
                <w:szCs w:val="21"/>
              </w:rPr>
              <w:t>）</w:t>
            </w:r>
          </w:p>
          <w:p w14:paraId="306B0B75">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谈判保证金提交凭证；（</w:t>
            </w:r>
            <w:r>
              <w:rPr>
                <w:rFonts w:hint="eastAsia" w:asciiTheme="minorEastAsia" w:hAnsiTheme="minorEastAsia" w:eastAsiaTheme="minorEastAsia" w:cstheme="minorEastAsia"/>
                <w:b/>
                <w:bCs/>
                <w:color w:val="auto"/>
                <w:szCs w:val="21"/>
              </w:rPr>
              <w:t>如要求提交谈判保证金的则必须提供</w:t>
            </w:r>
            <w:r>
              <w:rPr>
                <w:rFonts w:hint="eastAsia" w:asciiTheme="minorEastAsia" w:hAnsiTheme="minorEastAsia" w:eastAsiaTheme="minorEastAsia" w:cstheme="minorEastAsia"/>
                <w:b/>
                <w:color w:val="auto"/>
                <w:szCs w:val="21"/>
              </w:rPr>
              <w:t>，否则响应文件按无效响应处理</w:t>
            </w:r>
            <w:r>
              <w:rPr>
                <w:rFonts w:hint="eastAsia" w:asciiTheme="minorEastAsia" w:hAnsiTheme="minorEastAsia" w:eastAsiaTheme="minorEastAsia" w:cstheme="minorEastAsia"/>
                <w:color w:val="auto"/>
                <w:szCs w:val="21"/>
              </w:rPr>
              <w:t>）</w:t>
            </w:r>
          </w:p>
          <w:p w14:paraId="00E7FC95">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商务要求偏离表（格式后附）；（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176CDB88">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售后服务承诺（格式自拟）；（</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7BFE8AF7">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货物配置清单（均不含报价）（格式后附）；（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7D0DC59A">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技术偏离表（格式后附）；（</w:t>
            </w:r>
            <w:r>
              <w:rPr>
                <w:rFonts w:hint="eastAsia" w:asciiTheme="minorEastAsia" w:hAnsiTheme="minorEastAsia" w:eastAsiaTheme="minorEastAsia" w:cstheme="minorEastAsia"/>
                <w:b/>
                <w:color w:val="auto"/>
                <w:szCs w:val="21"/>
              </w:rPr>
              <w:t>必须提供，否则响应文件按无效响应处理</w:t>
            </w:r>
            <w:r>
              <w:rPr>
                <w:rFonts w:hint="eastAsia" w:asciiTheme="minorEastAsia" w:hAnsiTheme="minorEastAsia" w:eastAsiaTheme="minorEastAsia" w:cstheme="minorEastAsia"/>
                <w:color w:val="auto"/>
                <w:szCs w:val="21"/>
              </w:rPr>
              <w:t>）</w:t>
            </w:r>
          </w:p>
          <w:p w14:paraId="0425ECDF">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对应采购需求的技术要求、商务要求提供的其他文件资料（格式自拟）；</w:t>
            </w:r>
          </w:p>
          <w:p w14:paraId="35C4F287">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供应商认为需要提供的其他有关资料。</w:t>
            </w:r>
          </w:p>
          <w:p w14:paraId="07D50FCB">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【注】</w:t>
            </w:r>
            <w:r>
              <w:rPr>
                <w:rFonts w:hint="eastAsia" w:asciiTheme="minorEastAsia" w:hAnsiTheme="minorEastAsia" w:eastAsiaTheme="minorEastAsia" w:cstheme="minorEastAsia"/>
                <w:color w:val="auto"/>
                <w:szCs w:val="21"/>
              </w:rPr>
              <w:t>1.法定代表人授权委托书必须由法定代表人及委托代理人签字，并加盖供应商公章，否则做无效响应处理。</w:t>
            </w:r>
          </w:p>
          <w:p w14:paraId="448F51D7">
            <w:pPr>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2.以上标明“必须提供”材料复印件的，必须加盖供应商公章，否则响应文件按无效响应处理。</w:t>
            </w:r>
          </w:p>
        </w:tc>
      </w:tr>
      <w:tr w14:paraId="22F19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jc w:val="center"/>
        </w:trPr>
        <w:tc>
          <w:tcPr>
            <w:tcW w:w="991" w:type="dxa"/>
            <w:vAlign w:val="center"/>
          </w:tcPr>
          <w:p w14:paraId="525EC726">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15.2</w:t>
            </w:r>
          </w:p>
        </w:tc>
        <w:tc>
          <w:tcPr>
            <w:tcW w:w="8181" w:type="dxa"/>
            <w:vAlign w:val="center"/>
          </w:tcPr>
          <w:p w14:paraId="2DD730B0">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谈判报价合计金额包括货物价款、配套软件、标准附件、随配附件、备品备件、辅助材料、专用工具、包装、运抵指定交货地点、运输、装卸、完工清场清洁、货到就位、安装、调试、检验、技术培训、技术资料、售后服务、保险、投标费用、预验收及履约验收及售后服务、人工费、一切税费等全部费用。税费因政策等原因发生变化的，由成交供应商承担。合同履行过程中，采购人不再支付合同以外的其他费用。（采购需求另有约定的，从其约定）</w:t>
            </w:r>
          </w:p>
        </w:tc>
      </w:tr>
      <w:tr w14:paraId="6C1EB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991" w:type="dxa"/>
            <w:vAlign w:val="center"/>
          </w:tcPr>
          <w:p w14:paraId="1DF0C01C">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16.2</w:t>
            </w:r>
          </w:p>
        </w:tc>
        <w:tc>
          <w:tcPr>
            <w:tcW w:w="8181" w:type="dxa"/>
            <w:vAlign w:val="center"/>
          </w:tcPr>
          <w:p w14:paraId="29C44A1E">
            <w:pPr>
              <w:pStyle w:val="8"/>
              <w:widowControl w:val="0"/>
              <w:tabs>
                <w:tab w:val="clear" w:pos="454"/>
              </w:tabs>
              <w:snapToGrid w:val="0"/>
              <w:spacing w:after="0" w:afterLines="0" w:line="500" w:lineRule="exact"/>
              <w:ind w:left="283" w:hanging="283" w:hangingChars="135"/>
              <w:jc w:val="both"/>
              <w:rPr>
                <w:rFonts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 xml:space="preserve">竞争性谈判有效期：首次响应文件提交截止之日起60天内。 </w:t>
            </w:r>
          </w:p>
        </w:tc>
      </w:tr>
      <w:tr w14:paraId="677E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jc w:val="center"/>
        </w:trPr>
        <w:tc>
          <w:tcPr>
            <w:tcW w:w="991" w:type="dxa"/>
            <w:vAlign w:val="center"/>
          </w:tcPr>
          <w:p w14:paraId="2BB1A95D">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17.1</w:t>
            </w:r>
          </w:p>
        </w:tc>
        <w:tc>
          <w:tcPr>
            <w:tcW w:w="8181" w:type="dxa"/>
            <w:vAlign w:val="center"/>
          </w:tcPr>
          <w:p w14:paraId="649B115D">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A8"/>
            </w:r>
            <w:r>
              <w:rPr>
                <w:rFonts w:hint="eastAsia" w:asciiTheme="minorEastAsia" w:hAnsiTheme="minorEastAsia" w:eastAsiaTheme="minorEastAsia" w:cstheme="minorEastAsia"/>
                <w:color w:val="auto"/>
                <w:szCs w:val="21"/>
              </w:rPr>
              <w:t>本项目不收取谈判保证金。</w:t>
            </w:r>
          </w:p>
          <w:p w14:paraId="72C837FD">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FE"/>
            </w:r>
            <w:r>
              <w:rPr>
                <w:rFonts w:hint="eastAsia" w:asciiTheme="minorEastAsia" w:hAnsiTheme="minorEastAsia" w:eastAsiaTheme="minorEastAsia" w:cstheme="minorEastAsia"/>
                <w:color w:val="auto"/>
                <w:szCs w:val="21"/>
              </w:rPr>
              <w:t>本项目收取谈判保证金。</w:t>
            </w:r>
            <w:bookmarkStart w:id="16" w:name="_Toc8224"/>
          </w:p>
          <w:p w14:paraId="1E4C7701">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谈判保证金（人民币）：详见竞争性谈判公告。</w:t>
            </w:r>
            <w:bookmarkEnd w:id="16"/>
          </w:p>
          <w:p w14:paraId="00F5D7FA">
            <w:pPr>
              <w:spacing w:line="500" w:lineRule="exac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保证金专用银行账号：</w:t>
            </w:r>
          </w:p>
          <w:p w14:paraId="4A808D10">
            <w:pPr>
              <w:spacing w:line="500" w:lineRule="exact"/>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szCs w:val="21"/>
              </w:rPr>
              <w:t>开户名称：广西同泽工程项目管理股份有限公司</w:t>
            </w:r>
          </w:p>
          <w:p w14:paraId="3A82290F">
            <w:pPr>
              <w:snapToGrid w:val="0"/>
              <w:spacing w:line="500" w:lineRule="exact"/>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开户银行：建行广西区分行营业部本级营业厅（网银支付可选建行广西区分行营业部本级营业厅）</w:t>
            </w:r>
          </w:p>
          <w:p w14:paraId="71D615B1">
            <w:pPr>
              <w:snapToGrid w:val="0"/>
              <w:spacing w:line="500" w:lineRule="exact"/>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银行账号：45001594151050716039</w:t>
            </w:r>
          </w:p>
          <w:p w14:paraId="35E9534F">
            <w:pPr>
              <w:snapToGrid w:val="0"/>
              <w:spacing w:line="500" w:lineRule="exac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谈判保证金的交纳方式：</w:t>
            </w:r>
            <w:r>
              <w:rPr>
                <w:rFonts w:hint="eastAsia" w:asciiTheme="minorEastAsia" w:hAnsiTheme="minorEastAsia" w:eastAsiaTheme="minorEastAsia" w:cstheme="minorEastAsia"/>
                <w:color w:val="auto"/>
                <w:szCs w:val="21"/>
              </w:rPr>
              <w:t>银行转账、支票、汇票、本票、保函等非现金方式</w:t>
            </w:r>
            <w:r>
              <w:rPr>
                <w:rFonts w:hint="eastAsia" w:asciiTheme="minorEastAsia" w:hAnsiTheme="minorEastAsia" w:eastAsiaTheme="minorEastAsia" w:cstheme="minorEastAsia"/>
                <w:color w:val="auto"/>
                <w:kern w:val="0"/>
                <w:szCs w:val="21"/>
              </w:rPr>
              <w:t>，禁止采用现钞方式。采用银行转账方式的，在响应文件提交截止时间前交至指定账户并且到账；采用支票、汇票、本票或者保函方式的，在响应文件提交截止时间前，供应商必须提交支票、汇票、本票或者保函原件。否则视为无效谈判保证金。</w:t>
            </w:r>
          </w:p>
          <w:p w14:paraId="64F99885">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相关要求：</w:t>
            </w:r>
          </w:p>
          <w:p w14:paraId="32E53E23">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1.谈判保证金采用银行转账交纳方式的，在响应文件提交截止时间前交至指定账户并且到账，供应商应将银行转账底单的复印件作为谈判保证金提交凭证，放置于报价商务技术文件中，</w:t>
            </w:r>
            <w:r>
              <w:rPr>
                <w:rFonts w:hint="eastAsia" w:asciiTheme="minorEastAsia" w:hAnsiTheme="minorEastAsia" w:eastAsiaTheme="minorEastAsia" w:cstheme="minorEastAsia"/>
                <w:b/>
                <w:color w:val="auto"/>
                <w:szCs w:val="21"/>
              </w:rPr>
              <w:t>否则响应文件按无效响应处理</w:t>
            </w:r>
            <w:r>
              <w:rPr>
                <w:rFonts w:hint="eastAsia" w:asciiTheme="minorEastAsia" w:hAnsiTheme="minorEastAsia" w:eastAsiaTheme="minorEastAsia" w:cstheme="minorEastAsia"/>
                <w:color w:val="auto"/>
                <w:szCs w:val="21"/>
              </w:rPr>
              <w:t>。</w:t>
            </w:r>
          </w:p>
          <w:p w14:paraId="70F71B7B">
            <w:pPr>
              <w:snapToGrid w:val="0"/>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2.谈判保证金采用</w:t>
            </w:r>
            <w:r>
              <w:rPr>
                <w:rFonts w:hint="eastAsia" w:asciiTheme="minorEastAsia" w:hAnsiTheme="minorEastAsia" w:eastAsiaTheme="minorEastAsia" w:cstheme="minorEastAsia"/>
                <w:color w:val="auto"/>
                <w:kern w:val="0"/>
                <w:szCs w:val="21"/>
              </w:rPr>
              <w:t>支票、汇票、本票或者</w:t>
            </w:r>
            <w:r>
              <w:rPr>
                <w:rFonts w:hint="eastAsia" w:asciiTheme="minorEastAsia" w:hAnsiTheme="minorEastAsia" w:eastAsiaTheme="minorEastAsia" w:cstheme="minorEastAsia"/>
                <w:color w:val="auto"/>
                <w:szCs w:val="21"/>
              </w:rPr>
              <w:t>保函交纳方式的，供应商应将</w:t>
            </w:r>
            <w:r>
              <w:rPr>
                <w:rFonts w:hint="eastAsia" w:asciiTheme="minorEastAsia" w:hAnsiTheme="minorEastAsia" w:eastAsiaTheme="minorEastAsia" w:cstheme="minorEastAsia"/>
                <w:color w:val="auto"/>
                <w:kern w:val="0"/>
                <w:szCs w:val="21"/>
              </w:rPr>
              <w:t>支票、汇票、本票或者</w:t>
            </w:r>
            <w:r>
              <w:rPr>
                <w:rFonts w:hint="eastAsia" w:asciiTheme="minorEastAsia" w:hAnsiTheme="minorEastAsia" w:eastAsiaTheme="minorEastAsia" w:cstheme="minorEastAsia"/>
                <w:color w:val="auto"/>
                <w:szCs w:val="21"/>
              </w:rPr>
              <w:t>保函的复印件作为谈判保证金提交凭证，放置于报价商务技术文件中，</w:t>
            </w:r>
            <w:r>
              <w:rPr>
                <w:rFonts w:hint="eastAsia" w:asciiTheme="minorEastAsia" w:hAnsiTheme="minorEastAsia" w:eastAsiaTheme="minorEastAsia" w:cstheme="minorEastAsia"/>
                <w:b/>
                <w:color w:val="auto"/>
                <w:szCs w:val="21"/>
              </w:rPr>
              <w:t>否则响应文件按无效响应处理</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b/>
                <w:color w:val="auto"/>
                <w:szCs w:val="21"/>
              </w:rPr>
              <w:t>供应商必须在首次响应文件提交截止时间前将</w:t>
            </w:r>
            <w:r>
              <w:rPr>
                <w:rFonts w:hint="eastAsia" w:asciiTheme="minorEastAsia" w:hAnsiTheme="minorEastAsia" w:eastAsiaTheme="minorEastAsia" w:cstheme="minorEastAsia"/>
                <w:color w:val="auto"/>
                <w:kern w:val="0"/>
                <w:szCs w:val="21"/>
              </w:rPr>
              <w:t>支票、汇票、本票或者</w:t>
            </w:r>
            <w:r>
              <w:rPr>
                <w:rFonts w:hint="eastAsia" w:asciiTheme="minorEastAsia" w:hAnsiTheme="minorEastAsia" w:eastAsiaTheme="minorEastAsia" w:cstheme="minorEastAsia"/>
                <w:b/>
                <w:color w:val="auto"/>
                <w:szCs w:val="21"/>
              </w:rPr>
              <w:t>保函原件提交给采购代理机构，由采购代理机构向供应商出具回执，并妥善保管。</w:t>
            </w:r>
          </w:p>
          <w:p w14:paraId="78E19C93">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3.供应商为联合体的，可以由联合体中的一方或者多方共同交纳谈判保证金，其交纳的保证金对联合体各方均具有约束力。</w:t>
            </w:r>
          </w:p>
          <w:p w14:paraId="77E37EF2">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【备注】</w:t>
            </w:r>
            <w:r>
              <w:rPr>
                <w:rFonts w:hint="eastAsia" w:asciiTheme="minorEastAsia" w:hAnsiTheme="minorEastAsia" w:eastAsiaTheme="minorEastAsia" w:cstheme="minorEastAsia"/>
                <w:color w:val="auto"/>
                <w:szCs w:val="21"/>
              </w:rPr>
              <w:t>1.首次响应文件提交截止时间后提交的，或者未足额交纳的，或者保函额度不足的，视为无效谈判保证金。</w:t>
            </w:r>
          </w:p>
          <w:p w14:paraId="5686C968">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2.供应商采用现钞方式或者从个人账户（自然人参与竞争性谈判除外）转出的谈判保证金，视为无效谈判保证金。</w:t>
            </w:r>
          </w:p>
          <w:p w14:paraId="5BA50B61">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3.保函有效期短于竞争性谈判有效期的，视为无效谈判保证金。</w:t>
            </w:r>
          </w:p>
          <w:p w14:paraId="0A322C23">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4.谈判保证金采用保函为有条件保函的，视为无效谈判保证金。</w:t>
            </w:r>
          </w:p>
        </w:tc>
      </w:tr>
      <w:tr w14:paraId="0C451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91" w:type="dxa"/>
            <w:vAlign w:val="center"/>
          </w:tcPr>
          <w:p w14:paraId="65D744D7">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18.2</w:t>
            </w:r>
          </w:p>
        </w:tc>
        <w:tc>
          <w:tcPr>
            <w:tcW w:w="8181" w:type="dxa"/>
            <w:vAlign w:val="center"/>
          </w:tcPr>
          <w:p w14:paraId="304BEF48">
            <w:pPr>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响应文件应按资格证明文件、报价商务技术文件分别编制，</w:t>
            </w:r>
            <w:r>
              <w:rPr>
                <w:rFonts w:hint="eastAsia" w:asciiTheme="minorEastAsia" w:hAnsiTheme="minorEastAsia" w:eastAsiaTheme="minorEastAsia" w:cstheme="minorEastAsia"/>
                <w:color w:val="auto"/>
                <w:szCs w:val="21"/>
                <w:lang w:bidi="ar"/>
              </w:rPr>
              <w:t>并按广西政府采购云平台的要求编制、加密、上传。</w:t>
            </w:r>
          </w:p>
        </w:tc>
      </w:tr>
      <w:tr w14:paraId="17EF8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91" w:type="dxa"/>
            <w:vAlign w:val="center"/>
          </w:tcPr>
          <w:p w14:paraId="4E00746E">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20.1</w:t>
            </w:r>
          </w:p>
        </w:tc>
        <w:tc>
          <w:tcPr>
            <w:tcW w:w="8181" w:type="dxa"/>
            <w:vAlign w:val="center"/>
          </w:tcPr>
          <w:p w14:paraId="2D2BC37C">
            <w:pPr>
              <w:spacing w:line="500" w:lineRule="exact"/>
              <w:contextualSpacing/>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首次响应文件提交截止时间：详见竞争性谈判公告。</w:t>
            </w:r>
          </w:p>
          <w:p w14:paraId="3A1F8DFC">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首次响应文件提交地点：详见竞争性谈判公告。</w:t>
            </w:r>
          </w:p>
        </w:tc>
      </w:tr>
      <w:tr w14:paraId="24393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991" w:type="dxa"/>
            <w:vAlign w:val="center"/>
          </w:tcPr>
          <w:p w14:paraId="50886D6E">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24.1</w:t>
            </w:r>
          </w:p>
        </w:tc>
        <w:tc>
          <w:tcPr>
            <w:tcW w:w="8181" w:type="dxa"/>
            <w:vAlign w:val="center"/>
          </w:tcPr>
          <w:p w14:paraId="67EB06B6">
            <w:pPr>
              <w:snapToGrid w:val="0"/>
              <w:spacing w:line="500" w:lineRule="exac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谈判小组的人数：3人。</w:t>
            </w:r>
          </w:p>
        </w:tc>
      </w:tr>
      <w:tr w14:paraId="32C6B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991" w:type="dxa"/>
            <w:vAlign w:val="center"/>
          </w:tcPr>
          <w:p w14:paraId="7CEE876D">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25.2</w:t>
            </w:r>
          </w:p>
        </w:tc>
        <w:tc>
          <w:tcPr>
            <w:tcW w:w="8181" w:type="dxa"/>
            <w:vAlign w:val="center"/>
          </w:tcPr>
          <w:p w14:paraId="2894D004">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采购代理机构将依托电子交易平台发起开始解密指令，</w:t>
            </w:r>
            <w:r>
              <w:rPr>
                <w:rFonts w:hint="eastAsia" w:asciiTheme="minorEastAsia" w:hAnsiTheme="minorEastAsia" w:eastAsiaTheme="minorEastAsia" w:cstheme="minorEastAsia"/>
                <w:b/>
                <w:color w:val="auto"/>
                <w:szCs w:val="21"/>
              </w:rPr>
              <w:t>供应商的法定代表人或其委托代理人须携带加密时所用的CA锁按平台提示和采购文件的规定登录到广西政府采购云平台电子开标大厅签到并在发起解密指令之时起30分钟内完成对电子响应文件在线解密。</w:t>
            </w:r>
            <w:r>
              <w:rPr>
                <w:rFonts w:hint="eastAsia" w:asciiTheme="minorEastAsia" w:hAnsiTheme="minorEastAsia" w:eastAsiaTheme="minorEastAsia" w:cstheme="minorEastAsia"/>
                <w:b/>
                <w:bCs/>
                <w:color w:val="auto"/>
                <w:szCs w:val="21"/>
              </w:rPr>
              <w:t>响应文件未按时解密的，视为响应文件无效。</w:t>
            </w:r>
          </w:p>
        </w:tc>
      </w:tr>
      <w:tr w14:paraId="4671C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91" w:type="dxa"/>
            <w:vMerge w:val="restart"/>
            <w:vAlign w:val="center"/>
          </w:tcPr>
          <w:p w14:paraId="27B29FF9">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w:t>
            </w:r>
          </w:p>
        </w:tc>
        <w:tc>
          <w:tcPr>
            <w:tcW w:w="8181" w:type="dxa"/>
            <w:vAlign w:val="center"/>
          </w:tcPr>
          <w:p w14:paraId="2C0615CB">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商务要求评审中允许负偏离的条款数为</w:t>
            </w:r>
            <w:r>
              <w:rPr>
                <w:rFonts w:hint="eastAsia" w:asciiTheme="minorEastAsia" w:hAnsiTheme="minorEastAsia" w:eastAsiaTheme="minorEastAsia" w:cstheme="minorEastAsia"/>
                <w:color w:val="auto"/>
                <w:szCs w:val="21"/>
                <w:u w:val="single"/>
              </w:rPr>
              <w:t xml:space="preserve">  0  </w:t>
            </w:r>
            <w:r>
              <w:rPr>
                <w:rFonts w:hint="eastAsia" w:asciiTheme="minorEastAsia" w:hAnsiTheme="minorEastAsia" w:eastAsiaTheme="minorEastAsia" w:cstheme="minorEastAsia"/>
                <w:color w:val="auto"/>
                <w:szCs w:val="21"/>
              </w:rPr>
              <w:t>项。</w:t>
            </w:r>
          </w:p>
          <w:p w14:paraId="490B1D8F">
            <w:pPr>
              <w:snapToGrid w:val="0"/>
              <w:spacing w:line="500" w:lineRule="exact"/>
              <w:rPr>
                <w:rFonts w:asciiTheme="minorEastAsia" w:hAnsiTheme="minorEastAsia" w:eastAsiaTheme="minorEastAsia" w:cstheme="minorEastAsia"/>
                <w:color w:val="auto"/>
                <w:szCs w:val="21"/>
              </w:rPr>
            </w:pPr>
            <w:bookmarkStart w:id="17" w:name="负偏离的条款数"/>
            <w:r>
              <w:rPr>
                <w:rFonts w:hint="eastAsia" w:asciiTheme="minorEastAsia" w:hAnsiTheme="minorEastAsia" w:eastAsiaTheme="minorEastAsia" w:cstheme="minorEastAsia"/>
                <w:color w:val="auto"/>
                <w:szCs w:val="21"/>
                <w:highlight w:val="none"/>
              </w:rPr>
              <w:t>技术要求评审中允许负偏离的条款数为</w:t>
            </w:r>
            <w:r>
              <w:rPr>
                <w:rFonts w:hint="eastAsia" w:asciiTheme="minorEastAsia" w:hAnsiTheme="minorEastAsia" w:eastAsiaTheme="minorEastAsia" w:cstheme="minorEastAsia"/>
                <w:color w:val="auto"/>
                <w:szCs w:val="21"/>
                <w:highlight w:val="none"/>
                <w:u w:val="single"/>
              </w:rPr>
              <w:t xml:space="preserve">  2  </w:t>
            </w:r>
            <w:r>
              <w:rPr>
                <w:rFonts w:hint="eastAsia" w:asciiTheme="minorEastAsia" w:hAnsiTheme="minorEastAsia" w:eastAsiaTheme="minorEastAsia" w:cstheme="minorEastAsia"/>
                <w:color w:val="auto"/>
                <w:szCs w:val="21"/>
                <w:highlight w:val="none"/>
              </w:rPr>
              <w:t>项。</w:t>
            </w:r>
            <w:bookmarkEnd w:id="17"/>
          </w:p>
        </w:tc>
      </w:tr>
      <w:tr w14:paraId="787B3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jc w:val="center"/>
        </w:trPr>
        <w:tc>
          <w:tcPr>
            <w:tcW w:w="991" w:type="dxa"/>
            <w:vMerge w:val="continue"/>
            <w:vAlign w:val="center"/>
          </w:tcPr>
          <w:p w14:paraId="622DC2FD">
            <w:pPr>
              <w:spacing w:line="500" w:lineRule="exact"/>
              <w:jc w:val="center"/>
              <w:rPr>
                <w:rFonts w:asciiTheme="minorEastAsia" w:hAnsiTheme="minorEastAsia" w:eastAsiaTheme="minorEastAsia" w:cstheme="minorEastAsia"/>
                <w:color w:val="auto"/>
                <w:szCs w:val="21"/>
              </w:rPr>
            </w:pPr>
          </w:p>
        </w:tc>
        <w:tc>
          <w:tcPr>
            <w:tcW w:w="8181" w:type="dxa"/>
            <w:vAlign w:val="center"/>
          </w:tcPr>
          <w:p w14:paraId="5D8B841D">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谈判的顺序：按“广西政府采购云平台”系统的编号顺序。</w:t>
            </w:r>
          </w:p>
          <w:p w14:paraId="1A52A5B4">
            <w:pPr>
              <w:snapToGrid w:val="0"/>
              <w:spacing w:line="500" w:lineRule="exac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符合谈判资格的供应商必须在接到谈判通知后规定时间内参加谈判，未在规定时间内参加谈判的视同放弃参加谈判权利，其响应文件按无效响应处理。</w:t>
            </w:r>
          </w:p>
          <w:p w14:paraId="20C2F9E1">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参与谈判前，供应商法定代表人或者委托代理人必须向谈判小组出示本人有效证件原件[有效证件可以是身份证（含临时身份证明）或者护照的其中一项。</w:t>
            </w:r>
          </w:p>
        </w:tc>
      </w:tr>
      <w:tr w14:paraId="5C970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91" w:type="dxa"/>
            <w:vMerge w:val="continue"/>
            <w:vAlign w:val="center"/>
          </w:tcPr>
          <w:p w14:paraId="223A9DC6">
            <w:pPr>
              <w:spacing w:line="500" w:lineRule="exact"/>
              <w:jc w:val="center"/>
              <w:rPr>
                <w:rFonts w:asciiTheme="minorEastAsia" w:hAnsiTheme="minorEastAsia" w:eastAsiaTheme="minorEastAsia" w:cstheme="minorEastAsia"/>
                <w:color w:val="auto"/>
                <w:szCs w:val="21"/>
              </w:rPr>
            </w:pPr>
          </w:p>
        </w:tc>
        <w:tc>
          <w:tcPr>
            <w:tcW w:w="8181" w:type="dxa"/>
            <w:vAlign w:val="center"/>
          </w:tcPr>
          <w:p w14:paraId="5B50121B">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评审价相同时，按照最后报价由低到高顺序依次推荐；最后报价相同的，按以下原则确定成交候选人的顺序：</w:t>
            </w:r>
          </w:p>
          <w:p w14:paraId="119C3E3E">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依次按带“▲”的实质性要求正偏离项数多的优先、均无正偏离或者正偏离项数一致时负偏离项数少的优先、质量保证期长优先、交货期短优先、故障响应时间短优先、节能环保产品累计金额多的优先的顺序排列。</w:t>
            </w:r>
          </w:p>
          <w:p w14:paraId="1DD97819">
            <w:pPr>
              <w:spacing w:line="500" w:lineRule="exact"/>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□由谈判小组推荐代表随机抽取。</w:t>
            </w:r>
          </w:p>
        </w:tc>
      </w:tr>
      <w:tr w14:paraId="422F5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991" w:type="dxa"/>
            <w:vAlign w:val="center"/>
          </w:tcPr>
          <w:p w14:paraId="0DAB38E6">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28.1</w:t>
            </w:r>
          </w:p>
        </w:tc>
        <w:tc>
          <w:tcPr>
            <w:tcW w:w="8181" w:type="dxa"/>
            <w:vAlign w:val="center"/>
          </w:tcPr>
          <w:p w14:paraId="63B8BEC7">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A8"/>
            </w:r>
            <w:r>
              <w:rPr>
                <w:rFonts w:hint="eastAsia" w:asciiTheme="minorEastAsia" w:hAnsiTheme="minorEastAsia" w:eastAsiaTheme="minorEastAsia" w:cstheme="minorEastAsia"/>
                <w:color w:val="auto"/>
                <w:szCs w:val="21"/>
              </w:rPr>
              <w:t>本项目不收取履约保证金。</w:t>
            </w:r>
          </w:p>
          <w:p w14:paraId="456D1DB8">
            <w:pPr>
              <w:pStyle w:val="9"/>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w:char="00FE"/>
            </w:r>
            <w:r>
              <w:rPr>
                <w:rFonts w:hint="eastAsia" w:asciiTheme="minorEastAsia" w:hAnsiTheme="minorEastAsia" w:eastAsiaTheme="minorEastAsia" w:cstheme="minorEastAsia"/>
                <w:color w:val="auto"/>
                <w:szCs w:val="21"/>
              </w:rPr>
              <w:t>本项目收取履约保证金：详见商务条款。</w:t>
            </w:r>
          </w:p>
          <w:p w14:paraId="0DBBE1B2">
            <w:pPr>
              <w:autoSpaceDE w:val="0"/>
              <w:autoSpaceDN w:val="0"/>
              <w:snapToGrid w:val="0"/>
              <w:spacing w:line="360" w:lineRule="auto"/>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履约保证金递交方式：详见商务条款。</w:t>
            </w:r>
          </w:p>
          <w:p w14:paraId="3B850126">
            <w:pPr>
              <w:autoSpaceDE w:val="0"/>
              <w:autoSpaceDN w:val="0"/>
              <w:snapToGrid w:val="0"/>
              <w:spacing w:line="360" w:lineRule="auto"/>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履约保证金退付方式、时间及条件详见商务条款。</w:t>
            </w:r>
          </w:p>
          <w:p w14:paraId="0762EF14">
            <w:pPr>
              <w:autoSpaceDE w:val="0"/>
              <w:autoSpaceDN w:val="0"/>
              <w:snapToGrid w:val="0"/>
              <w:spacing w:line="360" w:lineRule="auto"/>
              <w:textAlignment w:val="bottom"/>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【备注】</w:t>
            </w:r>
          </w:p>
          <w:p w14:paraId="5B5A8924">
            <w:pPr>
              <w:autoSpaceDE w:val="0"/>
              <w:autoSpaceDN w:val="0"/>
              <w:snapToGrid w:val="0"/>
              <w:spacing w:line="360" w:lineRule="auto"/>
              <w:textAlignment w:val="bottom"/>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1.根据《广西壮族自治区财政厅关于持续优化政府采购营商环境推动高质量发展的通知》（桂财采〔2024〕55号），采购文件要求中标人或者成交供应商提交履约保证金的，履约保证金数额不得超过政府采购合同金额的5%，对中小企业收取的履约保证金数额不得超过政府采购合同金额的2%。</w:t>
            </w:r>
          </w:p>
          <w:p w14:paraId="32355684">
            <w:pPr>
              <w:autoSpaceDE w:val="0"/>
              <w:autoSpaceDN w:val="0"/>
              <w:snapToGrid w:val="0"/>
              <w:spacing w:line="360" w:lineRule="auto"/>
              <w:textAlignment w:val="bottom"/>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2.履约保证金必须足额缴纳，或出具的保函额度必须足额且保函有效期不能低于合同履行期限（即签订采购合同之日起至履行完合同约定的权利及义务之日止），否则视为无效履约保证金。</w:t>
            </w:r>
          </w:p>
          <w:p w14:paraId="29AF30CE">
            <w:pPr>
              <w:autoSpaceDE w:val="0"/>
              <w:autoSpaceDN w:val="0"/>
              <w:snapToGrid w:val="0"/>
              <w:spacing w:line="360" w:lineRule="auto"/>
              <w:textAlignment w:val="bottom"/>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3.采用保函的，必须为无条件保函，否则视为无效履约保证金。</w:t>
            </w:r>
          </w:p>
          <w:p w14:paraId="2085AF1F">
            <w:pPr>
              <w:autoSpaceDE w:val="0"/>
              <w:autoSpaceDN w:val="0"/>
              <w:snapToGrid w:val="0"/>
              <w:spacing w:line="360" w:lineRule="auto"/>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4.供应商为联合体的，由联合体任意一方按规定提交的履约保证金，视为有效履约保证金。</w:t>
            </w:r>
          </w:p>
        </w:tc>
      </w:tr>
      <w:tr w14:paraId="65E24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991" w:type="dxa"/>
            <w:vAlign w:val="center"/>
          </w:tcPr>
          <w:p w14:paraId="68DE7E71">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29.1</w:t>
            </w:r>
          </w:p>
        </w:tc>
        <w:tc>
          <w:tcPr>
            <w:tcW w:w="8181" w:type="dxa"/>
            <w:vAlign w:val="center"/>
          </w:tcPr>
          <w:p w14:paraId="55B0C27B">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签订合同携带的证明材料： </w:t>
            </w:r>
          </w:p>
          <w:p w14:paraId="12E9B613">
            <w:pPr>
              <w:autoSpaceDE w:val="0"/>
              <w:autoSpaceDN w:val="0"/>
              <w:snapToGrid w:val="0"/>
              <w:spacing w:line="500" w:lineRule="exact"/>
              <w:textAlignment w:val="bottom"/>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委托代理人负责签订合同的，须携带授权委托书及委托代理人身份证原件等其他资格证件。</w:t>
            </w:r>
          </w:p>
          <w:p w14:paraId="606A36ED">
            <w:pPr>
              <w:snapToGrid w:val="0"/>
              <w:spacing w:line="500" w:lineRule="exac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法定代表人负责签订合同的，须携带法定代表人身份证明原件及身份证原件等其他证明材料。</w:t>
            </w:r>
          </w:p>
        </w:tc>
      </w:tr>
      <w:tr w14:paraId="1EBAD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jc w:val="center"/>
        </w:trPr>
        <w:tc>
          <w:tcPr>
            <w:tcW w:w="991" w:type="dxa"/>
            <w:vAlign w:val="center"/>
          </w:tcPr>
          <w:p w14:paraId="615446F1">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31.2</w:t>
            </w:r>
          </w:p>
        </w:tc>
        <w:tc>
          <w:tcPr>
            <w:tcW w:w="8181" w:type="dxa"/>
            <w:vAlign w:val="center"/>
          </w:tcPr>
          <w:p w14:paraId="00F384C2">
            <w:pPr>
              <w:snapToGrid w:val="0"/>
              <w:spacing w:line="500" w:lineRule="atLeas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接收质疑函方式：以纸质书面形式。</w:t>
            </w:r>
          </w:p>
          <w:p w14:paraId="01D9F58C">
            <w:pPr>
              <w:pStyle w:val="15"/>
              <w:snapToGrid w:val="0"/>
              <w:spacing w:line="500" w:lineRule="atLeast"/>
              <w:rPr>
                <w:rFonts w:hAnsi="宋体" w:cs="宋体"/>
                <w:color w:val="auto"/>
                <w:kern w:val="2"/>
                <w:sz w:val="21"/>
              </w:rPr>
            </w:pPr>
            <w:r>
              <w:rPr>
                <w:rFonts w:hint="eastAsia" w:hAnsi="宋体" w:cs="宋体"/>
                <w:color w:val="auto"/>
                <w:kern w:val="2"/>
                <w:sz w:val="21"/>
              </w:rPr>
              <w:t>质疑联系部门及联系方式：</w:t>
            </w:r>
            <w:r>
              <w:rPr>
                <w:rFonts w:hint="eastAsia" w:hAnsi="宋体" w:cs="宋体"/>
                <w:color w:val="auto"/>
                <w:kern w:val="2"/>
                <w:sz w:val="21"/>
                <w:u w:val="single"/>
              </w:rPr>
              <w:t>广西同泽工程项目管理股份有限公司</w:t>
            </w:r>
            <w:r>
              <w:rPr>
                <w:rFonts w:hint="eastAsia" w:hAnsi="宋体" w:cs="宋体"/>
                <w:color w:val="auto"/>
                <w:kern w:val="2"/>
                <w:sz w:val="21"/>
              </w:rPr>
              <w:t>，联系电话：</w:t>
            </w:r>
            <w:r>
              <w:rPr>
                <w:rFonts w:hint="eastAsia" w:hAnsi="宋体" w:cs="宋体"/>
                <w:color w:val="auto"/>
                <w:kern w:val="2"/>
                <w:sz w:val="21"/>
                <w:u w:val="single"/>
              </w:rPr>
              <w:t>0771-8075508</w:t>
            </w:r>
            <w:r>
              <w:rPr>
                <w:rFonts w:hint="eastAsia" w:hAnsi="宋体" w:cs="宋体"/>
                <w:color w:val="auto"/>
                <w:kern w:val="2"/>
                <w:sz w:val="21"/>
              </w:rPr>
              <w:t>，通讯地址：</w:t>
            </w:r>
            <w:r>
              <w:rPr>
                <w:rFonts w:hint="eastAsia" w:hAnsi="宋体" w:cs="宋体"/>
                <w:color w:val="auto"/>
                <w:kern w:val="2"/>
                <w:sz w:val="21"/>
                <w:u w:val="single"/>
              </w:rPr>
              <w:t>南宁市良庆区凯旋路16号裕达国际中心广东大厦18层</w:t>
            </w:r>
          </w:p>
          <w:p w14:paraId="532A9C37">
            <w:pPr>
              <w:pStyle w:val="15"/>
              <w:snapToGrid w:val="0"/>
              <w:spacing w:line="500" w:lineRule="atLeast"/>
              <w:rPr>
                <w:rFonts w:asciiTheme="minorEastAsia" w:hAnsiTheme="minorEastAsia" w:eastAsiaTheme="minorEastAsia" w:cstheme="minorEastAsia"/>
                <w:color w:val="auto"/>
                <w:kern w:val="2"/>
                <w:sz w:val="21"/>
              </w:rPr>
            </w:pPr>
            <w:r>
              <w:rPr>
                <w:rFonts w:hint="eastAsia" w:hAnsi="宋体" w:cs="宋体"/>
                <w:color w:val="auto"/>
                <w:sz w:val="21"/>
              </w:rPr>
              <w:t>业务时间：上午09时00分到12时00分，下午14时30分到17时30分，业务时间以外、双休日和法定节假日不办理业务。</w:t>
            </w:r>
          </w:p>
        </w:tc>
      </w:tr>
      <w:tr w14:paraId="64E54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jc w:val="center"/>
        </w:trPr>
        <w:tc>
          <w:tcPr>
            <w:tcW w:w="991" w:type="dxa"/>
            <w:vAlign w:val="center"/>
          </w:tcPr>
          <w:p w14:paraId="4238F7D5">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32.1</w:t>
            </w:r>
          </w:p>
        </w:tc>
        <w:tc>
          <w:tcPr>
            <w:tcW w:w="8181" w:type="dxa"/>
            <w:vAlign w:val="center"/>
          </w:tcPr>
          <w:p w14:paraId="0FFCA8FB">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1.采购代理服务费支付方式：本项目的招标代理服务费按以下收费标准向成交供应商收取。</w:t>
            </w:r>
          </w:p>
          <w:p w14:paraId="0DE9F900">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w:t>
            </w:r>
            <w:r>
              <w:rPr>
                <w:rFonts w:hint="eastAsia" w:asciiTheme="minorEastAsia" w:hAnsiTheme="minorEastAsia" w:eastAsiaTheme="minorEastAsia" w:cstheme="minorEastAsia"/>
                <w:bCs/>
                <w:color w:val="auto"/>
                <w:sz w:val="21"/>
              </w:rPr>
              <w:t>.</w:t>
            </w:r>
            <w:r>
              <w:rPr>
                <w:rFonts w:hint="eastAsia" w:asciiTheme="minorEastAsia" w:hAnsiTheme="minorEastAsia" w:eastAsiaTheme="minorEastAsia" w:cstheme="minorEastAsia"/>
                <w:color w:val="auto"/>
                <w:sz w:val="21"/>
              </w:rPr>
              <w:t>采购代理服务费收取标准：</w:t>
            </w:r>
          </w:p>
          <w:p w14:paraId="071C1D6E">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以</w:t>
            </w:r>
            <w:r>
              <w:rPr>
                <w:rFonts w:hint="eastAsia" w:asciiTheme="minorEastAsia" w:hAnsiTheme="minorEastAsia" w:eastAsiaTheme="minorEastAsia" w:cstheme="minorEastAsia"/>
                <w:color w:val="auto"/>
                <w:sz w:val="21"/>
                <w:lang w:val="en-US" w:eastAsia="zh-CN"/>
              </w:rPr>
              <w:t>分标</w:t>
            </w:r>
            <w:r>
              <w:rPr>
                <w:rFonts w:hint="eastAsia" w:asciiTheme="minorEastAsia" w:hAnsiTheme="minorEastAsia" w:eastAsiaTheme="minorEastAsia" w:cstheme="minorEastAsia"/>
                <w:color w:val="auto"/>
                <w:sz w:val="21"/>
              </w:rPr>
              <w:t>成交金额为计费额，按本采购文件之供应商须知正文第32.2条规定的收费计算标准（货物类）采用差额定率累进法计算出收费基准价格，</w:t>
            </w:r>
            <w:r>
              <w:rPr>
                <w:rFonts w:hint="eastAsia" w:asciiTheme="minorEastAsia" w:hAnsiTheme="minorEastAsia" w:eastAsiaTheme="minorEastAsia" w:cstheme="minorEastAsia"/>
                <w:color w:val="auto"/>
                <w:sz w:val="21"/>
                <w:lang w:val="en-US" w:eastAsia="zh-CN"/>
              </w:rPr>
              <w:t>各分标</w:t>
            </w:r>
            <w:r>
              <w:rPr>
                <w:rFonts w:hint="eastAsia" w:asciiTheme="minorEastAsia" w:hAnsiTheme="minorEastAsia" w:eastAsiaTheme="minorEastAsia" w:cstheme="minorEastAsia"/>
                <w:color w:val="auto"/>
                <w:sz w:val="21"/>
              </w:rPr>
              <w:t>采购代理服务费收费以收费基准价格下浮20%收取。</w:t>
            </w:r>
          </w:p>
          <w:p w14:paraId="0E21027B">
            <w:pPr>
              <w:pStyle w:val="15"/>
              <w:snapToGrid w:val="0"/>
              <w:spacing w:line="500" w:lineRule="exact"/>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3</w:t>
            </w:r>
            <w:r>
              <w:rPr>
                <w:rFonts w:hint="eastAsia" w:asciiTheme="minorEastAsia" w:hAnsiTheme="minorEastAsia" w:eastAsiaTheme="minorEastAsia" w:cstheme="minorEastAsia"/>
                <w:bCs/>
                <w:color w:val="auto"/>
                <w:sz w:val="21"/>
              </w:rPr>
              <w:t>.</w:t>
            </w:r>
            <w:r>
              <w:rPr>
                <w:rFonts w:hint="eastAsia" w:asciiTheme="minorEastAsia" w:hAnsiTheme="minorEastAsia" w:eastAsiaTheme="minorEastAsia" w:cstheme="minorEastAsia"/>
                <w:b/>
                <w:bCs/>
                <w:color w:val="auto"/>
                <w:sz w:val="21"/>
              </w:rPr>
              <w:t>采购代理服务费专用银行信息：</w:t>
            </w:r>
            <w:bookmarkStart w:id="43" w:name="_GoBack"/>
            <w:bookmarkEnd w:id="43"/>
          </w:p>
          <w:p w14:paraId="17BA972A">
            <w:pPr>
              <w:pStyle w:val="15"/>
              <w:snapToGrid w:val="0"/>
              <w:spacing w:line="500" w:lineRule="exact"/>
              <w:rPr>
                <w:rFonts w:hint="eastAsia" w:asciiTheme="minorEastAsia" w:hAnsiTheme="minorEastAsia" w:eastAsiaTheme="minorEastAsia" w:cstheme="minorEastAsia"/>
                <w:b/>
                <w:bCs/>
                <w:color w:val="auto"/>
                <w:sz w:val="21"/>
                <w:u w:val="none"/>
              </w:rPr>
            </w:pPr>
            <w:r>
              <w:rPr>
                <w:rFonts w:hint="eastAsia" w:asciiTheme="minorEastAsia" w:hAnsiTheme="minorEastAsia" w:eastAsiaTheme="minorEastAsia" w:cstheme="minorEastAsia"/>
                <w:b/>
                <w:bCs/>
                <w:color w:val="auto"/>
                <w:sz w:val="21"/>
                <w:u w:val="none"/>
              </w:rPr>
              <w:t>开户名称：广西同泽工程项目管理股份有限公司南宁第七分公司</w:t>
            </w:r>
          </w:p>
          <w:p w14:paraId="3357DD41">
            <w:pPr>
              <w:pStyle w:val="15"/>
              <w:snapToGrid w:val="0"/>
              <w:spacing w:line="500" w:lineRule="exact"/>
              <w:rPr>
                <w:rFonts w:hint="eastAsia" w:asciiTheme="minorEastAsia" w:hAnsiTheme="minorEastAsia" w:eastAsiaTheme="minorEastAsia" w:cstheme="minorEastAsia"/>
                <w:b/>
                <w:bCs/>
                <w:color w:val="auto"/>
                <w:sz w:val="21"/>
                <w:u w:val="none"/>
              </w:rPr>
            </w:pPr>
            <w:r>
              <w:rPr>
                <w:rFonts w:hint="eastAsia" w:asciiTheme="minorEastAsia" w:hAnsiTheme="minorEastAsia" w:eastAsiaTheme="minorEastAsia" w:cstheme="minorEastAsia"/>
                <w:b/>
                <w:bCs/>
                <w:color w:val="auto"/>
                <w:sz w:val="21"/>
                <w:u w:val="none"/>
              </w:rPr>
              <w:t>开户银行：中国工商银行股份有限公司南宁市东葛东支行</w:t>
            </w:r>
          </w:p>
          <w:p w14:paraId="5F86A3C7">
            <w:pPr>
              <w:pStyle w:val="15"/>
              <w:snapToGrid w:val="0"/>
              <w:spacing w:line="500" w:lineRule="exact"/>
              <w:rPr>
                <w:rFonts w:asciiTheme="minorEastAsia" w:hAnsiTheme="minorEastAsia" w:eastAsiaTheme="minorEastAsia" w:cstheme="minorEastAsia"/>
                <w:color w:val="auto"/>
                <w:sz w:val="21"/>
                <w:u w:val="single"/>
              </w:rPr>
            </w:pPr>
            <w:r>
              <w:rPr>
                <w:rFonts w:hint="eastAsia" w:asciiTheme="minorEastAsia" w:hAnsiTheme="minorEastAsia" w:eastAsiaTheme="minorEastAsia" w:cstheme="minorEastAsia"/>
                <w:b/>
                <w:bCs/>
                <w:color w:val="auto"/>
                <w:sz w:val="21"/>
                <w:u w:val="none"/>
              </w:rPr>
              <w:t>银行账号：2102101509100009992</w:t>
            </w:r>
          </w:p>
        </w:tc>
      </w:tr>
      <w:tr w14:paraId="48AE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2" w:hRule="atLeast"/>
          <w:jc w:val="center"/>
        </w:trPr>
        <w:tc>
          <w:tcPr>
            <w:tcW w:w="991" w:type="dxa"/>
            <w:vAlign w:val="center"/>
          </w:tcPr>
          <w:p w14:paraId="4269B855">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33.1</w:t>
            </w:r>
          </w:p>
        </w:tc>
        <w:tc>
          <w:tcPr>
            <w:tcW w:w="8181" w:type="dxa"/>
            <w:vAlign w:val="center"/>
          </w:tcPr>
          <w:p w14:paraId="27513149">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解释：构成本谈判文件的各个组成文件应互为解释，互为说明；除谈判文件中有特别规定外，仅适用于竞争性谈判阶段的规定，按更正公告（澄清公告）、竞争性谈判公告、供应商须知、采购需求、评审程序和评定成交的标准、响应文件格式、合同文本的先后顺序解释；同一组成文件中就同一事项的规定或约定不一致的，以编排顺序在后者为准；同一组成文件不同版本之间有不一致的，以形成时间在后者为准；更正公告（澄清公告）与同步更新的谈判文件不一致时以更正公告（澄清公告）为准。按本款前述规定仍不能形成结论的，由采购人或者采购代理机构负责解释。</w:t>
            </w:r>
          </w:p>
        </w:tc>
      </w:tr>
      <w:tr w14:paraId="505F1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5" w:hRule="atLeast"/>
          <w:jc w:val="center"/>
        </w:trPr>
        <w:tc>
          <w:tcPr>
            <w:tcW w:w="991" w:type="dxa"/>
            <w:vAlign w:val="center"/>
          </w:tcPr>
          <w:p w14:paraId="3C9CBF53">
            <w:pPr>
              <w:spacing w:line="5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33.2</w:t>
            </w:r>
          </w:p>
        </w:tc>
        <w:tc>
          <w:tcPr>
            <w:tcW w:w="8181" w:type="dxa"/>
            <w:vAlign w:val="center"/>
          </w:tcPr>
          <w:p w14:paraId="76D1C2C3">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1.本谈判文件中描述供应商的“公章”是指根据我国对公章的管理规定，用供应商法定主体名称制作的印章或供应商通过指定电子化政府采购平台办理数字证书（CA认证）获得的以法定主体名称制作的电子印章。除本谈判文件有特殊规定外，供应商的财务章、部门章、分公司章、工会章、合同章、竞争性谈判专用章、业务专用章及银行的转账章、现金收讫章、现金付讫章等其他形式印章均不能代替公章。</w:t>
            </w:r>
          </w:p>
          <w:p w14:paraId="0972ECB0">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2.供应商为其他组织或者自然人时，本谈判文件规定的法定代表人指负责人或者自然人。本谈判文件所称负责人是指参加竞争性谈判的其他组织</w:t>
            </w:r>
            <w:r>
              <w:rPr>
                <w:rFonts w:hint="eastAsia" w:asciiTheme="minorEastAsia" w:hAnsiTheme="minorEastAsia" w:eastAsiaTheme="minorEastAsia" w:cstheme="minorEastAsia"/>
                <w:bCs/>
                <w:color w:val="auto"/>
                <w:sz w:val="21"/>
              </w:rPr>
              <w:t>营业执照或者执业许可证等证照上</w:t>
            </w:r>
            <w:r>
              <w:rPr>
                <w:rFonts w:hint="eastAsia" w:asciiTheme="minorEastAsia" w:hAnsiTheme="minorEastAsia" w:eastAsiaTheme="minorEastAsia" w:cstheme="minorEastAsia"/>
                <w:color w:val="auto"/>
                <w:sz w:val="21"/>
              </w:rPr>
              <w:t>的负责人，本谈判文件所称自然人指参与竞争性谈判的自然人本人，</w:t>
            </w:r>
            <w:r>
              <w:rPr>
                <w:rFonts w:hint="eastAsia" w:asciiTheme="minorEastAsia" w:hAnsiTheme="minorEastAsia" w:eastAsiaTheme="minorEastAsia" w:cstheme="minorEastAsia"/>
                <w:bCs/>
                <w:color w:val="auto"/>
                <w:sz w:val="21"/>
              </w:rPr>
              <w:t>且应具备独立承担民事责任能力，自然人应当为年满18岁以上成年人（十六周岁以上的未成年人，以自己的劳动收入为主要生活来源的，视为完全民事行为能力人）。</w:t>
            </w:r>
          </w:p>
          <w:p w14:paraId="064DADFE">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3.本谈判文件中描述供应商的“签字”是指供应商的法定代表人或者委托代理人在文件规定签署处签名或者指供应商通过指定电子化政府采购平台办理数字证书（CA认证）获得的以供应商法定代表人或者委托代理人姓名制作的电子印章签名的行为，私章、印鉴等其他形式均不能代替签字。</w:t>
            </w:r>
          </w:p>
          <w:p w14:paraId="4F81C0EA">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4.本谈判文件所称的“电子签章”“电子签名”，是指经广西政府采购云平台认可的CA认证的电子签名数据为表现形式的印章，可用于签署电子响应文件，电子印章与实物印章具有同等法律效力，不因其采用电子化表现形式而否定其法律效力。</w:t>
            </w:r>
          </w:p>
          <w:p w14:paraId="6C7B7FC7">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5.自然人参与竞争性谈判的，谈判文件规定盖章的地方自然人可以加盖手指指印。</w:t>
            </w:r>
          </w:p>
          <w:p w14:paraId="591DAA96">
            <w:pPr>
              <w:pStyle w:val="15"/>
              <w:snapToGrid w:val="0"/>
              <w:spacing w:line="500" w:lineRule="exac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6.本谈判文件所称的“以上”“以下”“以内”“届满”，包括本数；所称的“不满”“超过”“以外”，不包括本数。</w:t>
            </w:r>
          </w:p>
        </w:tc>
      </w:tr>
    </w:tbl>
    <w:p w14:paraId="0AC7A4AE">
      <w:pPr>
        <w:spacing w:line="360" w:lineRule="auto"/>
        <w:jc w:val="center"/>
        <w:rPr>
          <w:rFonts w:ascii="宋体" w:hAnsi="宋体" w:cs="宋体"/>
          <w:b/>
          <w:color w:val="auto"/>
          <w:sz w:val="36"/>
          <w:szCs w:val="36"/>
        </w:rPr>
      </w:pPr>
      <w:r>
        <w:rPr>
          <w:rFonts w:hint="eastAsia" w:ascii="宋体" w:hAnsi="宋体" w:cs="宋体"/>
          <w:b/>
          <w:color w:val="auto"/>
          <w:sz w:val="32"/>
          <w:szCs w:val="32"/>
        </w:rPr>
        <w:br w:type="page"/>
      </w:r>
      <w:r>
        <w:rPr>
          <w:rFonts w:hint="eastAsia" w:ascii="宋体" w:hAnsi="宋体" w:cs="宋体"/>
          <w:b/>
          <w:color w:val="auto"/>
          <w:sz w:val="36"/>
          <w:szCs w:val="36"/>
        </w:rPr>
        <w:t>供应商须知正文</w:t>
      </w:r>
    </w:p>
    <w:p w14:paraId="018FCE32">
      <w:pPr>
        <w:spacing w:line="360" w:lineRule="auto"/>
        <w:jc w:val="center"/>
        <w:rPr>
          <w:rFonts w:ascii="宋体" w:hAnsi="宋体" w:cs="宋体"/>
          <w:b/>
          <w:color w:val="auto"/>
          <w:sz w:val="36"/>
          <w:szCs w:val="36"/>
        </w:rPr>
      </w:pPr>
      <w:r>
        <w:rPr>
          <w:rFonts w:hint="eastAsia" w:ascii="宋体" w:hAnsi="宋体" w:cs="宋体"/>
          <w:b/>
          <w:color w:val="auto"/>
          <w:sz w:val="36"/>
          <w:szCs w:val="36"/>
        </w:rPr>
        <w:t>一、总则</w:t>
      </w:r>
    </w:p>
    <w:p w14:paraId="641BD6F3">
      <w:pPr>
        <w:spacing w:line="400" w:lineRule="exact"/>
        <w:rPr>
          <w:rFonts w:ascii="宋体" w:hAnsi="宋体" w:cs="宋体"/>
          <w:color w:val="auto"/>
          <w:szCs w:val="21"/>
        </w:rPr>
      </w:pPr>
    </w:p>
    <w:p w14:paraId="252CC10A">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1.适用范围</w:t>
      </w:r>
    </w:p>
    <w:p w14:paraId="3773BB33">
      <w:pPr>
        <w:spacing w:line="360" w:lineRule="auto"/>
        <w:ind w:firstLine="420" w:firstLineChars="200"/>
        <w:rPr>
          <w:rFonts w:ascii="宋体" w:hAnsi="宋体" w:cs="宋体"/>
          <w:color w:val="auto"/>
          <w:szCs w:val="21"/>
        </w:rPr>
      </w:pPr>
      <w:r>
        <w:rPr>
          <w:rFonts w:hint="eastAsia" w:ascii="宋体" w:hAnsi="宋体" w:cs="宋体"/>
          <w:color w:val="auto"/>
          <w:szCs w:val="21"/>
        </w:rPr>
        <w:t>1.1适用法律：本项目采购人、采购代理机构、供应商、谈判小组的相关行为均受《中华人民共和国政府采购法》《中华人民共和国政府采购法实施条例》《政府采购非招标采购方式管理办法》及本项目本级和上级财政部门政府采购有关规定的约束和保护。</w:t>
      </w:r>
    </w:p>
    <w:p w14:paraId="00B280DB">
      <w:pPr>
        <w:spacing w:line="360" w:lineRule="auto"/>
        <w:ind w:firstLine="420" w:firstLineChars="200"/>
        <w:rPr>
          <w:rFonts w:ascii="宋体" w:hAnsi="宋体" w:cs="宋体"/>
          <w:color w:val="auto"/>
          <w:szCs w:val="21"/>
        </w:rPr>
      </w:pPr>
      <w:r>
        <w:rPr>
          <w:rFonts w:hint="eastAsia" w:ascii="宋体" w:hAnsi="宋体" w:cs="宋体"/>
          <w:color w:val="auto"/>
          <w:szCs w:val="21"/>
        </w:rPr>
        <w:t>1.2</w:t>
      </w:r>
      <w:r>
        <w:rPr>
          <w:rFonts w:hint="eastAsia" w:ascii="宋体" w:hAnsi="宋体" w:cs="宋体"/>
          <w:color w:val="auto"/>
          <w:spacing w:val="-6"/>
          <w:szCs w:val="21"/>
        </w:rPr>
        <w:t>本竞争性谈判采购文件（以下简称谈判文件）适用于本项目的所有采购程序和环节（法律、法规另有规定的，从其规定）。</w:t>
      </w:r>
    </w:p>
    <w:p w14:paraId="0BB915C0">
      <w:pPr>
        <w:spacing w:line="360" w:lineRule="auto"/>
        <w:ind w:firstLine="482" w:firstLineChars="200"/>
        <w:rPr>
          <w:rFonts w:ascii="宋体" w:hAnsi="宋体" w:cs="宋体"/>
          <w:b/>
          <w:bCs/>
          <w:color w:val="auto"/>
          <w:sz w:val="24"/>
        </w:rPr>
      </w:pPr>
      <w:r>
        <w:rPr>
          <w:rFonts w:hint="eastAsia" w:ascii="宋体" w:hAnsi="宋体" w:cs="宋体"/>
          <w:b/>
          <w:bCs/>
          <w:color w:val="auto"/>
          <w:sz w:val="24"/>
        </w:rPr>
        <w:t>2.定义</w:t>
      </w:r>
    </w:p>
    <w:p w14:paraId="562704BD">
      <w:pPr>
        <w:spacing w:line="360" w:lineRule="auto"/>
        <w:ind w:firstLine="420" w:firstLineChars="200"/>
        <w:rPr>
          <w:rFonts w:ascii="宋体" w:hAnsi="宋体" w:cs="宋体"/>
          <w:color w:val="auto"/>
          <w:szCs w:val="21"/>
        </w:rPr>
      </w:pPr>
      <w:r>
        <w:rPr>
          <w:rFonts w:hint="eastAsia" w:ascii="宋体" w:hAnsi="宋体" w:cs="宋体"/>
          <w:color w:val="auto"/>
          <w:szCs w:val="21"/>
        </w:rPr>
        <w:t>2.1“采购人”是指依法进行采购的国家机关、事业单位、团体组织。</w:t>
      </w:r>
    </w:p>
    <w:p w14:paraId="70BFF29F">
      <w:pPr>
        <w:spacing w:line="360" w:lineRule="auto"/>
        <w:ind w:firstLine="420" w:firstLineChars="200"/>
        <w:rPr>
          <w:rFonts w:ascii="宋体" w:hAnsi="宋体" w:cs="宋体"/>
          <w:b/>
          <w:color w:val="auto"/>
          <w:szCs w:val="21"/>
        </w:rPr>
      </w:pPr>
      <w:r>
        <w:rPr>
          <w:rFonts w:hint="eastAsia" w:ascii="宋体" w:hAnsi="宋体" w:cs="宋体"/>
          <w:color w:val="auto"/>
          <w:szCs w:val="21"/>
        </w:rPr>
        <w:t>2.2“采购代理机构”</w:t>
      </w:r>
      <w:r>
        <w:rPr>
          <w:rFonts w:hint="eastAsia" w:ascii="宋体" w:hAnsi="宋体" w:cs="宋体"/>
          <w:b/>
          <w:color w:val="auto"/>
          <w:szCs w:val="21"/>
        </w:rPr>
        <w:t>是指政府采购集中采购机构和集中采购机构以外的采购代理机构。</w:t>
      </w:r>
    </w:p>
    <w:p w14:paraId="03389B1F">
      <w:pPr>
        <w:spacing w:line="360" w:lineRule="auto"/>
        <w:ind w:firstLine="420" w:firstLineChars="200"/>
        <w:rPr>
          <w:rFonts w:ascii="宋体" w:hAnsi="宋体" w:cs="宋体"/>
          <w:color w:val="auto"/>
          <w:szCs w:val="21"/>
        </w:rPr>
      </w:pPr>
      <w:r>
        <w:rPr>
          <w:rFonts w:hint="eastAsia" w:ascii="宋体" w:hAnsi="宋体" w:cs="宋体"/>
          <w:color w:val="auto"/>
          <w:szCs w:val="21"/>
        </w:rPr>
        <w:t>2.3“供应商”是指向采购人提供货物、工程或者服务的法人、其他组织或者自然人。</w:t>
      </w:r>
    </w:p>
    <w:p w14:paraId="4BE4FF96">
      <w:pPr>
        <w:spacing w:line="360" w:lineRule="auto"/>
        <w:ind w:firstLine="420" w:firstLineChars="200"/>
        <w:rPr>
          <w:rFonts w:ascii="宋体" w:hAnsi="宋体" w:cs="宋体"/>
          <w:color w:val="auto"/>
          <w:szCs w:val="21"/>
        </w:rPr>
      </w:pPr>
      <w:r>
        <w:rPr>
          <w:rFonts w:hint="eastAsia" w:ascii="宋体" w:hAnsi="宋体" w:cs="宋体"/>
          <w:color w:val="auto"/>
          <w:szCs w:val="21"/>
        </w:rPr>
        <w:t>2.4“货物”是指各种形态和种类的物品，包括原材料、燃料、设备、产品等。</w:t>
      </w:r>
    </w:p>
    <w:p w14:paraId="4C397A22">
      <w:pPr>
        <w:spacing w:line="360" w:lineRule="auto"/>
        <w:ind w:firstLine="420" w:firstLineChars="200"/>
        <w:rPr>
          <w:rFonts w:ascii="宋体" w:hAnsi="宋体" w:cs="宋体"/>
          <w:color w:val="auto"/>
          <w:szCs w:val="21"/>
        </w:rPr>
      </w:pPr>
      <w:r>
        <w:rPr>
          <w:rFonts w:hint="eastAsia" w:ascii="宋体" w:hAnsi="宋体" w:cs="宋体"/>
          <w:color w:val="auto"/>
          <w:szCs w:val="21"/>
        </w:rPr>
        <w:t>2.5“</w:t>
      </w:r>
      <w:r>
        <w:rPr>
          <w:rFonts w:hint="eastAsia" w:hAnsi="宋体" w:cs="宋体"/>
          <w:color w:val="auto"/>
          <w:szCs w:val="21"/>
        </w:rPr>
        <w:t>竞争性谈判</w:t>
      </w:r>
      <w:r>
        <w:rPr>
          <w:rFonts w:hint="eastAsia" w:ascii="宋体" w:hAnsi="宋体" w:cs="宋体"/>
          <w:color w:val="auto"/>
          <w:szCs w:val="21"/>
        </w:rPr>
        <w:t>”是指按照本项目竞争性谈判公告或者邀请函规定的方式供应商获取谈判文件、提交响应文件并希望获得标的的行为。</w:t>
      </w:r>
    </w:p>
    <w:p w14:paraId="12AEF5E1">
      <w:pPr>
        <w:spacing w:line="360" w:lineRule="auto"/>
        <w:ind w:firstLine="420" w:firstLineChars="200"/>
        <w:rPr>
          <w:rFonts w:ascii="宋体" w:hAnsi="宋体" w:cs="宋体"/>
          <w:color w:val="auto"/>
          <w:szCs w:val="21"/>
        </w:rPr>
      </w:pPr>
      <w:r>
        <w:rPr>
          <w:rFonts w:hint="eastAsia" w:ascii="宋体" w:hAnsi="宋体" w:cs="宋体"/>
          <w:color w:val="auto"/>
          <w:szCs w:val="21"/>
        </w:rPr>
        <w:t>2.6“售后服务” 是指包含但不限于供应商须承担的备品备件、包装、运输、装卸、保险、货到就位以及安装、调试、培训、保修和其他类似的义务。</w:t>
      </w:r>
    </w:p>
    <w:p w14:paraId="305FA7C8">
      <w:pPr>
        <w:spacing w:line="360" w:lineRule="auto"/>
        <w:ind w:firstLine="420" w:firstLineChars="200"/>
        <w:rPr>
          <w:rFonts w:ascii="宋体" w:hAnsi="宋体" w:cs="宋体"/>
          <w:color w:val="auto"/>
          <w:szCs w:val="21"/>
        </w:rPr>
      </w:pPr>
      <w:r>
        <w:rPr>
          <w:rFonts w:hint="eastAsia" w:ascii="宋体" w:hAnsi="宋体" w:cs="宋体"/>
          <w:color w:val="auto"/>
          <w:szCs w:val="21"/>
        </w:rPr>
        <w:t>2.7“书面形式”是指合同书、信件和数据电文（包括电报、电传、传真、电子数据交换和电子邮件）等可以有形地表现所载内容的形式。</w:t>
      </w:r>
    </w:p>
    <w:p w14:paraId="556B8EC7">
      <w:pPr>
        <w:spacing w:line="360" w:lineRule="auto"/>
        <w:ind w:firstLine="420" w:firstLineChars="200"/>
        <w:rPr>
          <w:rFonts w:ascii="宋体" w:hAnsi="宋体" w:cs="宋体"/>
          <w:color w:val="auto"/>
          <w:szCs w:val="21"/>
        </w:rPr>
      </w:pPr>
      <w:r>
        <w:rPr>
          <w:rFonts w:hint="eastAsia" w:ascii="宋体" w:hAnsi="宋体" w:cs="宋体"/>
          <w:color w:val="auto"/>
          <w:szCs w:val="21"/>
        </w:rPr>
        <w:t>2.8“响应文件”</w:t>
      </w:r>
      <w:r>
        <w:rPr>
          <w:rFonts w:hint="eastAsia" w:ascii="宋体" w:hAnsi="宋体" w:cs="宋体"/>
          <w:color w:val="auto"/>
          <w:spacing w:val="-6"/>
          <w:szCs w:val="21"/>
        </w:rPr>
        <w:t>是指：供应商根据本谈判文件要求，编制包含报价、技术和服务等所有内容的文件。</w:t>
      </w:r>
    </w:p>
    <w:p w14:paraId="4BFDC2D6">
      <w:pPr>
        <w:spacing w:line="360" w:lineRule="auto"/>
        <w:ind w:firstLine="420" w:firstLineChars="200"/>
        <w:rPr>
          <w:rFonts w:ascii="宋体" w:hAnsi="宋体" w:cs="宋体"/>
          <w:color w:val="auto"/>
          <w:szCs w:val="21"/>
        </w:rPr>
      </w:pPr>
      <w:r>
        <w:rPr>
          <w:rFonts w:hint="eastAsia" w:ascii="宋体" w:hAnsi="宋体" w:cs="宋体"/>
          <w:color w:val="auto"/>
          <w:szCs w:val="21"/>
        </w:rPr>
        <w:t>2.9 “实质性要求”是指采购需求中带“▲”的条款或者不能负偏离的条款或者已经指明不满足按响应文件按无效响应处理的条款。</w:t>
      </w:r>
    </w:p>
    <w:p w14:paraId="082D0138">
      <w:pPr>
        <w:spacing w:line="360" w:lineRule="auto"/>
        <w:ind w:firstLine="420" w:firstLineChars="200"/>
        <w:rPr>
          <w:rFonts w:ascii="宋体" w:hAnsi="宋体" w:cs="宋体"/>
          <w:color w:val="auto"/>
          <w:szCs w:val="21"/>
        </w:rPr>
      </w:pPr>
      <w:r>
        <w:rPr>
          <w:rFonts w:hint="eastAsia" w:ascii="宋体" w:hAnsi="宋体" w:cs="宋体"/>
          <w:color w:val="auto"/>
          <w:szCs w:val="21"/>
        </w:rPr>
        <w:t>2.10“正偏离”，是指响应文件对谈判文件“采购需求”中有关条款作出优于条款要求并有利于采购人的响应情形；</w:t>
      </w:r>
    </w:p>
    <w:p w14:paraId="2285EB84">
      <w:pPr>
        <w:spacing w:line="360" w:lineRule="auto"/>
        <w:ind w:firstLine="420" w:firstLineChars="200"/>
        <w:rPr>
          <w:rFonts w:ascii="宋体" w:hAnsi="宋体" w:cs="宋体"/>
          <w:color w:val="auto"/>
          <w:szCs w:val="21"/>
        </w:rPr>
      </w:pPr>
      <w:r>
        <w:rPr>
          <w:rFonts w:hint="eastAsia" w:ascii="宋体" w:hAnsi="宋体" w:cs="宋体"/>
          <w:color w:val="auto"/>
          <w:szCs w:val="21"/>
        </w:rPr>
        <w:t>2.11“负偏离”，是指响应文件对谈判文件“采购需求”中有关条款作出的响应不满足条款要求，导致采购人要求不能得到满足的情形。</w:t>
      </w:r>
    </w:p>
    <w:p w14:paraId="20106F2E">
      <w:pPr>
        <w:spacing w:line="360" w:lineRule="auto"/>
        <w:ind w:firstLine="420" w:firstLineChars="200"/>
        <w:rPr>
          <w:rFonts w:ascii="宋体" w:hAnsi="宋体" w:cs="宋体"/>
          <w:color w:val="auto"/>
          <w:szCs w:val="21"/>
        </w:rPr>
      </w:pPr>
      <w:r>
        <w:rPr>
          <w:rFonts w:hint="eastAsia" w:ascii="宋体" w:hAnsi="宋体" w:cs="宋体"/>
          <w:color w:val="auto"/>
          <w:szCs w:val="21"/>
        </w:rPr>
        <w:t>2.12“允许负偏离的条款”是指采购需求中的不属于“实质性要求”的条款。</w:t>
      </w:r>
    </w:p>
    <w:p w14:paraId="2D95DC0A">
      <w:pPr>
        <w:spacing w:line="360" w:lineRule="auto"/>
        <w:ind w:firstLine="420" w:firstLineChars="200"/>
        <w:rPr>
          <w:rFonts w:ascii="宋体" w:hAnsi="宋体" w:cs="宋体"/>
          <w:color w:val="auto"/>
          <w:sz w:val="24"/>
        </w:rPr>
      </w:pPr>
      <w:r>
        <w:rPr>
          <w:rFonts w:hint="eastAsia" w:ascii="宋体" w:hAnsi="宋体" w:cs="宋体"/>
          <w:color w:val="auto"/>
          <w:szCs w:val="21"/>
        </w:rPr>
        <w:t>2.13“首次报价”是指供应商提交的首次响应文件中的</w:t>
      </w:r>
      <w:r>
        <w:rPr>
          <w:rFonts w:hint="eastAsia" w:hAnsi="宋体" w:cs="宋体"/>
          <w:color w:val="auto"/>
          <w:szCs w:val="21"/>
        </w:rPr>
        <w:t>竞争性谈判</w:t>
      </w:r>
      <w:r>
        <w:rPr>
          <w:rFonts w:hint="eastAsia" w:ascii="宋体" w:hAnsi="宋体" w:cs="宋体"/>
          <w:color w:val="auto"/>
          <w:szCs w:val="21"/>
        </w:rPr>
        <w:t>报价。</w:t>
      </w:r>
    </w:p>
    <w:p w14:paraId="21E6CCC4">
      <w:pPr>
        <w:spacing w:line="360" w:lineRule="auto"/>
        <w:ind w:firstLine="482" w:firstLineChars="200"/>
        <w:contextualSpacing/>
        <w:rPr>
          <w:rFonts w:ascii="宋体" w:hAnsi="宋体" w:cs="宋体"/>
          <w:b/>
          <w:bCs/>
          <w:color w:val="auto"/>
          <w:sz w:val="32"/>
          <w:szCs w:val="32"/>
        </w:rPr>
      </w:pPr>
      <w:r>
        <w:rPr>
          <w:rFonts w:hint="eastAsia" w:ascii="宋体" w:hAnsi="宋体" w:cs="宋体"/>
          <w:b/>
          <w:bCs/>
          <w:color w:val="auto"/>
          <w:sz w:val="24"/>
        </w:rPr>
        <w:t>3.供应商的资格条件</w:t>
      </w:r>
    </w:p>
    <w:p w14:paraId="10453BFD">
      <w:pPr>
        <w:spacing w:line="360" w:lineRule="auto"/>
        <w:ind w:firstLine="420" w:firstLineChars="200"/>
        <w:contextualSpacing/>
        <w:rPr>
          <w:rFonts w:ascii="宋体" w:hAnsi="宋体" w:cs="宋体"/>
          <w:color w:val="auto"/>
          <w:szCs w:val="21"/>
        </w:rPr>
      </w:pPr>
      <w:r>
        <w:rPr>
          <w:rFonts w:hint="eastAsia" w:ascii="宋体" w:hAnsi="宋体" w:cs="宋体"/>
          <w:color w:val="auto"/>
          <w:szCs w:val="21"/>
        </w:rPr>
        <w:t>供应商的资格条件详见“供应商须知前附表”。</w:t>
      </w:r>
    </w:p>
    <w:p w14:paraId="4E20CBC5">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4.竞争性谈判费用</w:t>
      </w:r>
    </w:p>
    <w:p w14:paraId="5246997A">
      <w:pPr>
        <w:spacing w:line="360" w:lineRule="auto"/>
        <w:ind w:firstLine="440" w:firstLineChars="200"/>
        <w:rPr>
          <w:rFonts w:ascii="宋体" w:hAnsi="宋体" w:cs="宋体"/>
          <w:color w:val="auto"/>
          <w:sz w:val="22"/>
          <w:szCs w:val="22"/>
        </w:rPr>
      </w:pPr>
      <w:r>
        <w:rPr>
          <w:rFonts w:hint="eastAsia" w:hAnsi="宋体" w:cs="宋体"/>
          <w:color w:val="auto"/>
          <w:sz w:val="22"/>
          <w:szCs w:val="22"/>
        </w:rPr>
        <w:t>竞争性谈判</w:t>
      </w:r>
      <w:r>
        <w:rPr>
          <w:rFonts w:hint="eastAsia" w:ascii="宋体" w:hAnsi="宋体" w:cs="宋体"/>
          <w:color w:val="auto"/>
          <w:sz w:val="22"/>
          <w:szCs w:val="22"/>
        </w:rPr>
        <w:t>费用：供应商应承担参与本次采购活动有关的所有费用，包括但不限于获取谈判文件、勘查现场、编制和提交响应文件、参加谈判与应答、签订合同等，不论</w:t>
      </w:r>
      <w:r>
        <w:rPr>
          <w:rFonts w:hint="eastAsia" w:hAnsi="宋体" w:cs="宋体"/>
          <w:color w:val="auto"/>
          <w:sz w:val="22"/>
          <w:szCs w:val="22"/>
        </w:rPr>
        <w:t>竞争性谈判</w:t>
      </w:r>
      <w:r>
        <w:rPr>
          <w:rFonts w:hint="eastAsia" w:ascii="宋体" w:hAnsi="宋体" w:cs="宋体"/>
          <w:color w:val="auto"/>
          <w:sz w:val="22"/>
          <w:szCs w:val="22"/>
        </w:rPr>
        <w:t>结果如何，均应自行承担。</w:t>
      </w:r>
    </w:p>
    <w:p w14:paraId="5EDBD6E3">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5.联合体参与竞争性谈判</w:t>
      </w:r>
    </w:p>
    <w:p w14:paraId="2E3955D5">
      <w:pPr>
        <w:spacing w:line="360" w:lineRule="auto"/>
        <w:ind w:firstLine="420" w:firstLineChars="200"/>
        <w:rPr>
          <w:rFonts w:ascii="宋体" w:hAnsi="宋体" w:cs="宋体"/>
          <w:color w:val="auto"/>
          <w:szCs w:val="21"/>
        </w:rPr>
      </w:pPr>
      <w:r>
        <w:rPr>
          <w:rFonts w:hint="eastAsia" w:ascii="宋体" w:hAnsi="宋体" w:cs="宋体"/>
          <w:color w:val="auto"/>
          <w:szCs w:val="21"/>
        </w:rPr>
        <w:t>5.1本项目是否接受联合体参与</w:t>
      </w:r>
      <w:r>
        <w:rPr>
          <w:rFonts w:hint="eastAsia" w:hAnsi="宋体" w:cs="宋体"/>
          <w:color w:val="auto"/>
          <w:szCs w:val="21"/>
        </w:rPr>
        <w:t>竞争性谈判</w:t>
      </w:r>
      <w:r>
        <w:rPr>
          <w:rFonts w:hint="eastAsia" w:ascii="宋体" w:hAnsi="宋体" w:cs="宋体"/>
          <w:color w:val="auto"/>
          <w:szCs w:val="21"/>
        </w:rPr>
        <w:t>，详见“供应商须知前附表”。</w:t>
      </w:r>
    </w:p>
    <w:p w14:paraId="195F5AFB">
      <w:pPr>
        <w:spacing w:line="360" w:lineRule="auto"/>
        <w:ind w:firstLine="420" w:firstLineChars="200"/>
        <w:rPr>
          <w:rFonts w:ascii="宋体" w:hAnsi="宋体" w:cs="宋体"/>
          <w:color w:val="auto"/>
          <w:szCs w:val="21"/>
        </w:rPr>
      </w:pPr>
      <w:r>
        <w:rPr>
          <w:rFonts w:hint="eastAsia" w:ascii="宋体" w:hAnsi="宋体" w:cs="宋体"/>
          <w:color w:val="auto"/>
          <w:szCs w:val="21"/>
        </w:rPr>
        <w:t>5.2</w:t>
      </w:r>
      <w:r>
        <w:rPr>
          <w:rFonts w:hint="eastAsia" w:ascii="宋体" w:hAnsi="宋体" w:cs="宋体"/>
          <w:bCs/>
          <w:color w:val="auto"/>
          <w:szCs w:val="21"/>
        </w:rPr>
        <w:t>如接受联合体参与</w:t>
      </w:r>
      <w:r>
        <w:rPr>
          <w:rFonts w:hint="eastAsia" w:hAnsi="宋体" w:cs="宋体"/>
          <w:color w:val="auto"/>
          <w:szCs w:val="21"/>
        </w:rPr>
        <w:t>竞争性谈判</w:t>
      </w:r>
      <w:r>
        <w:rPr>
          <w:rFonts w:hint="eastAsia" w:ascii="宋体" w:hAnsi="宋体" w:cs="宋体"/>
          <w:bCs/>
          <w:color w:val="auto"/>
          <w:szCs w:val="21"/>
        </w:rPr>
        <w:t>，</w:t>
      </w:r>
      <w:r>
        <w:rPr>
          <w:rFonts w:hint="eastAsia" w:ascii="宋体" w:hAnsi="宋体" w:cs="宋体"/>
          <w:color w:val="auto"/>
          <w:szCs w:val="21"/>
        </w:rPr>
        <w:t>具体要求详见“供应商须知前附表”。</w:t>
      </w:r>
    </w:p>
    <w:p w14:paraId="32D506B0">
      <w:pPr>
        <w:spacing w:line="360" w:lineRule="auto"/>
        <w:ind w:firstLine="420" w:firstLineChars="200"/>
        <w:rPr>
          <w:rFonts w:ascii="宋体" w:hAnsi="宋体" w:cs="宋体"/>
          <w:color w:val="auto"/>
          <w:szCs w:val="21"/>
        </w:rPr>
      </w:pPr>
      <w:r>
        <w:rPr>
          <w:rFonts w:hint="eastAsia" w:ascii="宋体" w:hAnsi="宋体" w:cs="宋体"/>
          <w:color w:val="auto"/>
          <w:szCs w:val="21"/>
        </w:rPr>
        <w:t>5.3</w:t>
      </w:r>
      <w:bookmarkStart w:id="18" w:name="_Hlk65857072"/>
      <w:r>
        <w:rPr>
          <w:rFonts w:hint="eastAsia" w:ascii="宋体" w:hAnsi="宋体" w:cs="宋体"/>
          <w:color w:val="auto"/>
          <w:szCs w:val="21"/>
        </w:rPr>
        <w:t>根据《政府采购促进中小企业发展管理办法》（财库〔2020〕46号）第九条第二款的规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bookmarkEnd w:id="18"/>
    </w:p>
    <w:p w14:paraId="223F9E57">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 xml:space="preserve">6.转包与分包 </w:t>
      </w:r>
      <w:r>
        <w:rPr>
          <w:rFonts w:hint="eastAsia" w:ascii="宋体" w:hAnsi="宋体" w:cs="宋体"/>
          <w:b/>
          <w:bCs/>
          <w:color w:val="auto"/>
          <w:sz w:val="32"/>
          <w:szCs w:val="32"/>
        </w:rPr>
        <w:t xml:space="preserve">            </w:t>
      </w:r>
    </w:p>
    <w:p w14:paraId="656A9C6A">
      <w:pPr>
        <w:pStyle w:val="6"/>
        <w:keepNext w:val="0"/>
        <w:keepLines w:val="0"/>
        <w:spacing w:before="0" w:after="0" w:line="360" w:lineRule="auto"/>
        <w:ind w:firstLine="420" w:firstLineChars="200"/>
        <w:rPr>
          <w:rFonts w:ascii="宋体" w:hAnsi="宋体" w:cs="宋体"/>
          <w:b w:val="0"/>
          <w:color w:val="auto"/>
          <w:sz w:val="21"/>
          <w:szCs w:val="21"/>
        </w:rPr>
      </w:pPr>
      <w:bookmarkStart w:id="19" w:name="_Toc254970673"/>
      <w:bookmarkStart w:id="20" w:name="_Toc254970532"/>
      <w:r>
        <w:rPr>
          <w:rFonts w:hint="eastAsia" w:ascii="宋体" w:hAnsi="宋体" w:cs="宋体"/>
          <w:b w:val="0"/>
          <w:color w:val="auto"/>
          <w:sz w:val="21"/>
          <w:szCs w:val="21"/>
        </w:rPr>
        <w:t>6.1本项目不允许转包。</w:t>
      </w:r>
    </w:p>
    <w:p w14:paraId="3DB68247">
      <w:pPr>
        <w:pStyle w:val="6"/>
        <w:keepNext w:val="0"/>
        <w:keepLines w:val="0"/>
        <w:spacing w:before="0" w:after="0" w:line="360" w:lineRule="auto"/>
        <w:ind w:firstLine="315" w:firstLineChars="150"/>
        <w:rPr>
          <w:rFonts w:ascii="宋体" w:hAnsi="宋体" w:cs="宋体"/>
          <w:b w:val="0"/>
          <w:color w:val="auto"/>
          <w:sz w:val="21"/>
          <w:szCs w:val="21"/>
        </w:rPr>
      </w:pPr>
      <w:r>
        <w:rPr>
          <w:rFonts w:hint="eastAsia" w:ascii="宋体" w:hAnsi="宋体" w:cs="宋体"/>
          <w:b w:val="0"/>
          <w:color w:val="auto"/>
          <w:sz w:val="21"/>
          <w:szCs w:val="21"/>
        </w:rPr>
        <w:t xml:space="preserve"> 6.2本项目是否允许分包详见“供应商须知前附表”，本项目不允许违法分包。允许分包的非主体、非关键性工作，根据法律法规规定承担该工作需要行政许可的，如该工作由供应商自行承担，供应商应具备相应的行政许可，如供应商不具备相应的行政许可必须采用分包的方式，但分包供应商应具备相应行政许可。</w:t>
      </w:r>
    </w:p>
    <w:p w14:paraId="1B29EDC9">
      <w:pPr>
        <w:pStyle w:val="6"/>
        <w:keepNext w:val="0"/>
        <w:keepLines w:val="0"/>
        <w:spacing w:before="0" w:after="0" w:line="360" w:lineRule="auto"/>
        <w:ind w:firstLine="315" w:firstLineChars="150"/>
        <w:rPr>
          <w:rFonts w:ascii="宋体" w:hAnsi="宋体" w:cs="宋体"/>
          <w:b w:val="0"/>
          <w:color w:val="auto"/>
          <w:sz w:val="21"/>
          <w:szCs w:val="21"/>
        </w:rPr>
      </w:pPr>
      <w:r>
        <w:rPr>
          <w:rFonts w:hint="eastAsia" w:ascii="宋体" w:hAnsi="宋体" w:cs="宋体"/>
          <w:b w:val="0"/>
          <w:color w:val="auto"/>
          <w:sz w:val="21"/>
          <w:szCs w:val="21"/>
        </w:rPr>
        <w:t xml:space="preserve"> 6.3供应商根据谈判文件的规定和采购项目的实际情况，拟在成交后将成交项目的非主体、非关键性工作分包的，应当在响应文件中载明分包承担主体，分包承担主体应当具备相应资质条件且不得再次分包。</w:t>
      </w:r>
    </w:p>
    <w:p w14:paraId="7DD4A739">
      <w:pPr>
        <w:spacing w:line="360" w:lineRule="auto"/>
        <w:ind w:firstLine="482" w:firstLineChars="200"/>
        <w:rPr>
          <w:rFonts w:ascii="宋体" w:hAnsi="宋体" w:cs="宋体"/>
          <w:color w:val="auto"/>
          <w:sz w:val="24"/>
        </w:rPr>
      </w:pPr>
      <w:r>
        <w:rPr>
          <w:rFonts w:hint="eastAsia" w:ascii="宋体" w:hAnsi="宋体" w:cs="宋体"/>
          <w:b/>
          <w:bCs/>
          <w:color w:val="auto"/>
          <w:sz w:val="24"/>
        </w:rPr>
        <w:t>7.特别说明</w:t>
      </w:r>
      <w:bookmarkEnd w:id="19"/>
      <w:bookmarkEnd w:id="20"/>
      <w:bookmarkStart w:id="21" w:name="_8.1提供相同品牌产品且通过资格审查、符合性审查的不同投标人参加同一合"/>
      <w:bookmarkEnd w:id="21"/>
    </w:p>
    <w:p w14:paraId="47DF5FCD">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1</w:t>
      </w:r>
      <w:r>
        <w:rPr>
          <w:rFonts w:hint="eastAsia" w:ascii="宋体" w:hAnsi="宋体" w:cs="宋体"/>
          <w:color w:val="auto"/>
          <w:szCs w:val="21"/>
        </w:rPr>
        <w:t>如果本谈判文件要求提供供应商或制造商的资格、信誉、荣誉、业绩与企业认证等材料的，资格、信誉、荣誉、业绩与企业认证等必须为供应商或者制造商所拥有或自身获得 。</w:t>
      </w:r>
    </w:p>
    <w:p w14:paraId="33159214">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2</w:t>
      </w:r>
      <w:r>
        <w:rPr>
          <w:rFonts w:hint="eastAsia" w:ascii="宋体" w:hAnsi="宋体" w:cs="宋体"/>
          <w:color w:val="auto"/>
          <w:szCs w:val="21"/>
        </w:rPr>
        <w:t>供应商应仔细阅读谈判文件的所有内容，按照谈判文件的要求提交响应文件，并对所提供的全部资料的真实性承担法律责任。</w:t>
      </w:r>
    </w:p>
    <w:p w14:paraId="6C50BB2C">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3</w:t>
      </w:r>
      <w:r>
        <w:rPr>
          <w:rFonts w:hint="eastAsia" w:ascii="宋体" w:hAnsi="宋体" w:cs="宋体"/>
          <w:color w:val="auto"/>
          <w:szCs w:val="21"/>
        </w:rPr>
        <w:t>供应商在参与</w:t>
      </w:r>
      <w:r>
        <w:rPr>
          <w:rFonts w:hint="eastAsia" w:hAnsi="宋体" w:cs="宋体"/>
          <w:color w:val="auto"/>
          <w:szCs w:val="21"/>
        </w:rPr>
        <w:t>竞争性谈判</w:t>
      </w:r>
      <w:r>
        <w:rPr>
          <w:rFonts w:hint="eastAsia" w:ascii="宋体" w:hAnsi="宋体" w:cs="宋体"/>
          <w:color w:val="auto"/>
          <w:szCs w:val="21"/>
        </w:rPr>
        <w:t>活动中提供任何虚假材料,其响应文件按无效响应处理，并报监管部门查处；签订合同后发现的, 采购人有权单方解除合同，成交供应商须依法赔偿采购人，且民事赔偿并不免除违法供应商的行政与刑事责任。</w:t>
      </w:r>
    </w:p>
    <w:p w14:paraId="761AB348">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4</w:t>
      </w:r>
      <w:r>
        <w:rPr>
          <w:rFonts w:hint="eastAsia" w:ascii="宋体" w:hAnsi="宋体" w:cs="宋体"/>
          <w:color w:val="auto"/>
          <w:szCs w:val="21"/>
        </w:rPr>
        <w:t>在政府采购活动中，采购人员及相关人员与供应商有下列利害关系之一的，应当回避：</w:t>
      </w:r>
    </w:p>
    <w:p w14:paraId="65941F38">
      <w:pPr>
        <w:spacing w:line="360" w:lineRule="auto"/>
        <w:ind w:firstLine="420" w:firstLineChars="200"/>
        <w:rPr>
          <w:rFonts w:ascii="宋体" w:hAnsi="宋体" w:cs="宋体"/>
          <w:color w:val="auto"/>
          <w:szCs w:val="21"/>
        </w:rPr>
      </w:pPr>
      <w:r>
        <w:rPr>
          <w:rFonts w:hint="eastAsia" w:ascii="宋体" w:hAnsi="宋体" w:cs="宋体"/>
          <w:color w:val="auto"/>
          <w:szCs w:val="21"/>
        </w:rPr>
        <w:t>（1）参加采购活动前3年内与供应商存在劳动关系；</w:t>
      </w:r>
    </w:p>
    <w:p w14:paraId="552BF7BE">
      <w:pPr>
        <w:spacing w:line="360" w:lineRule="auto"/>
        <w:ind w:firstLine="420" w:firstLineChars="200"/>
        <w:rPr>
          <w:rFonts w:ascii="宋体" w:hAnsi="宋体" w:cs="宋体"/>
          <w:color w:val="auto"/>
          <w:szCs w:val="21"/>
        </w:rPr>
      </w:pPr>
      <w:r>
        <w:rPr>
          <w:rFonts w:hint="eastAsia" w:ascii="宋体" w:hAnsi="宋体" w:cs="宋体"/>
          <w:color w:val="auto"/>
          <w:szCs w:val="21"/>
        </w:rPr>
        <w:t>（2）参加采购活动前3年内担任供应商的董事、监事；</w:t>
      </w:r>
    </w:p>
    <w:p w14:paraId="45F29AD3">
      <w:pPr>
        <w:spacing w:line="360" w:lineRule="auto"/>
        <w:ind w:firstLine="420" w:firstLineChars="200"/>
        <w:rPr>
          <w:rFonts w:ascii="宋体" w:hAnsi="宋体" w:cs="宋体"/>
          <w:color w:val="auto"/>
          <w:szCs w:val="21"/>
        </w:rPr>
      </w:pPr>
      <w:r>
        <w:rPr>
          <w:rFonts w:hint="eastAsia" w:ascii="宋体" w:hAnsi="宋体" w:cs="宋体"/>
          <w:color w:val="auto"/>
          <w:szCs w:val="21"/>
        </w:rPr>
        <w:t>（3）参加采购活动前3年内是供应商的控股股东或者实际控制人；</w:t>
      </w:r>
    </w:p>
    <w:p w14:paraId="04E0F905">
      <w:pPr>
        <w:spacing w:line="360" w:lineRule="auto"/>
        <w:ind w:firstLine="420" w:firstLineChars="200"/>
        <w:rPr>
          <w:rFonts w:ascii="宋体" w:hAnsi="宋体" w:cs="宋体"/>
          <w:color w:val="auto"/>
          <w:szCs w:val="21"/>
        </w:rPr>
      </w:pPr>
      <w:r>
        <w:rPr>
          <w:rFonts w:hint="eastAsia" w:ascii="宋体" w:hAnsi="宋体" w:cs="宋体"/>
          <w:color w:val="auto"/>
          <w:szCs w:val="21"/>
        </w:rPr>
        <w:t>（4）与供应商的法定代表人或者负责人有夫妻、直系血亲、三代以内旁系血亲或者近姻亲关系；</w:t>
      </w:r>
    </w:p>
    <w:p w14:paraId="16E9AAE1">
      <w:pPr>
        <w:spacing w:line="360" w:lineRule="auto"/>
        <w:ind w:firstLine="420" w:firstLineChars="200"/>
        <w:rPr>
          <w:rFonts w:ascii="宋体" w:hAnsi="宋体" w:cs="宋体"/>
          <w:color w:val="auto"/>
          <w:szCs w:val="21"/>
        </w:rPr>
      </w:pPr>
      <w:r>
        <w:rPr>
          <w:rFonts w:hint="eastAsia" w:ascii="宋体" w:hAnsi="宋体" w:cs="宋体"/>
          <w:color w:val="auto"/>
          <w:szCs w:val="21"/>
        </w:rPr>
        <w:t>（5）与供应商有其他可能影响政府采购活动公平、公正进行的关系。</w:t>
      </w:r>
    </w:p>
    <w:p w14:paraId="59C00C3A">
      <w:pPr>
        <w:spacing w:line="360" w:lineRule="auto"/>
        <w:ind w:firstLine="420" w:firstLineChars="200"/>
        <w:rPr>
          <w:rFonts w:ascii="宋体" w:hAnsi="宋体" w:cs="宋体"/>
          <w:color w:val="auto"/>
          <w:szCs w:val="21"/>
        </w:rPr>
      </w:pPr>
      <w:r>
        <w:rPr>
          <w:rFonts w:hint="eastAsia" w:ascii="宋体" w:hAnsi="宋体" w:cs="宋体"/>
          <w:color w:val="auto"/>
          <w:szCs w:val="21"/>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4F2A1677">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5</w:t>
      </w:r>
      <w:r>
        <w:rPr>
          <w:rFonts w:hint="eastAsia" w:ascii="宋体" w:hAnsi="宋体" w:cs="宋体"/>
          <w:color w:val="auto"/>
          <w:szCs w:val="21"/>
        </w:rPr>
        <w:t>有下列情形之一的视为供应商相互串通参与</w:t>
      </w:r>
      <w:r>
        <w:rPr>
          <w:rFonts w:hint="eastAsia" w:hAnsi="宋体" w:cs="宋体"/>
          <w:color w:val="auto"/>
          <w:szCs w:val="21"/>
        </w:rPr>
        <w:t>竞争性谈判</w:t>
      </w:r>
      <w:r>
        <w:rPr>
          <w:rFonts w:hint="eastAsia" w:ascii="宋体" w:hAnsi="宋体" w:cs="宋体"/>
          <w:color w:val="auto"/>
          <w:szCs w:val="21"/>
        </w:rPr>
        <w:t>，响应文件将被视为无效：</w:t>
      </w:r>
    </w:p>
    <w:p w14:paraId="2838C013">
      <w:pPr>
        <w:spacing w:line="360" w:lineRule="auto"/>
        <w:ind w:firstLine="420" w:firstLineChars="200"/>
        <w:rPr>
          <w:rFonts w:ascii="宋体" w:hAnsi="宋体" w:cs="宋体"/>
          <w:color w:val="auto"/>
          <w:szCs w:val="21"/>
        </w:rPr>
      </w:pPr>
      <w:r>
        <w:rPr>
          <w:rFonts w:hint="eastAsia" w:ascii="宋体" w:hAnsi="宋体" w:cs="宋体"/>
          <w:color w:val="auto"/>
          <w:szCs w:val="21"/>
        </w:rPr>
        <w:t>（1）不同供应商的响应文件由同一单位或者个人编制；</w:t>
      </w:r>
      <w:r>
        <w:rPr>
          <w:rFonts w:hint="eastAsia" w:ascii="宋体" w:hAnsi="宋体" w:cs="宋体"/>
          <w:color w:val="auto"/>
          <w:szCs w:val="21"/>
          <w:shd w:val="clear" w:color="auto" w:fill="FFFFFF"/>
        </w:rPr>
        <w:t>或者上传提交响应文件硬件设备CPU编号、硬盘编号、网卡地址一致的情况；</w:t>
      </w:r>
    </w:p>
    <w:p w14:paraId="1B309ABC">
      <w:pPr>
        <w:spacing w:line="360" w:lineRule="auto"/>
        <w:ind w:firstLine="420" w:firstLineChars="200"/>
        <w:rPr>
          <w:rFonts w:ascii="宋体" w:hAnsi="宋体" w:cs="宋体"/>
          <w:color w:val="auto"/>
          <w:szCs w:val="21"/>
        </w:rPr>
      </w:pPr>
      <w:r>
        <w:rPr>
          <w:rFonts w:hint="eastAsia" w:ascii="宋体" w:hAnsi="宋体" w:cs="宋体"/>
          <w:color w:val="auto"/>
          <w:szCs w:val="21"/>
        </w:rPr>
        <w:t>（2）不同供应商委托同一单位或者个人办理</w:t>
      </w:r>
      <w:r>
        <w:rPr>
          <w:rFonts w:hint="eastAsia" w:hAnsi="宋体" w:cs="宋体"/>
          <w:color w:val="auto"/>
          <w:szCs w:val="21"/>
        </w:rPr>
        <w:t>竞争性谈判</w:t>
      </w:r>
      <w:r>
        <w:rPr>
          <w:rFonts w:hint="eastAsia" w:ascii="宋体" w:hAnsi="宋体" w:cs="宋体"/>
          <w:color w:val="auto"/>
          <w:szCs w:val="21"/>
        </w:rPr>
        <w:t>事宜；</w:t>
      </w:r>
    </w:p>
    <w:p w14:paraId="13CE7C90">
      <w:pPr>
        <w:spacing w:line="360" w:lineRule="auto"/>
        <w:ind w:firstLine="420" w:firstLineChars="200"/>
        <w:rPr>
          <w:rFonts w:ascii="宋体" w:hAnsi="宋体" w:cs="宋体"/>
          <w:color w:val="auto"/>
          <w:szCs w:val="21"/>
        </w:rPr>
      </w:pPr>
      <w:r>
        <w:rPr>
          <w:rFonts w:hint="eastAsia" w:ascii="宋体" w:hAnsi="宋体" w:cs="宋体"/>
          <w:color w:val="auto"/>
          <w:szCs w:val="21"/>
        </w:rPr>
        <w:t>（3）不同的供应商的响应文件载明的项目管理员为同一个人；</w:t>
      </w:r>
    </w:p>
    <w:p w14:paraId="70107657">
      <w:pPr>
        <w:spacing w:line="360" w:lineRule="auto"/>
        <w:ind w:firstLine="420" w:firstLineChars="200"/>
        <w:rPr>
          <w:rFonts w:ascii="宋体" w:hAnsi="宋体" w:cs="宋体"/>
          <w:color w:val="auto"/>
          <w:szCs w:val="21"/>
        </w:rPr>
      </w:pPr>
      <w:r>
        <w:rPr>
          <w:rFonts w:hint="eastAsia" w:ascii="宋体" w:hAnsi="宋体" w:cs="宋体"/>
          <w:color w:val="auto"/>
          <w:szCs w:val="21"/>
        </w:rPr>
        <w:t>（4）不同供应商的响应文件异常一致或者报价呈规律性差异；</w:t>
      </w:r>
    </w:p>
    <w:p w14:paraId="6D487625">
      <w:pPr>
        <w:spacing w:line="360" w:lineRule="auto"/>
        <w:ind w:firstLine="420" w:firstLineChars="200"/>
        <w:rPr>
          <w:rFonts w:ascii="宋体" w:hAnsi="宋体" w:cs="宋体"/>
          <w:color w:val="auto"/>
          <w:szCs w:val="21"/>
        </w:rPr>
      </w:pPr>
      <w:r>
        <w:rPr>
          <w:rFonts w:hint="eastAsia" w:ascii="宋体" w:hAnsi="宋体" w:cs="宋体"/>
          <w:color w:val="auto"/>
          <w:szCs w:val="21"/>
        </w:rPr>
        <w:t>（5）不同供应商的响应文件相互混装；</w:t>
      </w:r>
    </w:p>
    <w:p w14:paraId="4B045211">
      <w:pPr>
        <w:spacing w:line="360" w:lineRule="auto"/>
        <w:ind w:firstLine="420" w:firstLineChars="200"/>
        <w:rPr>
          <w:rFonts w:ascii="宋体" w:hAnsi="宋体" w:cs="宋体"/>
          <w:color w:val="auto"/>
          <w:szCs w:val="21"/>
        </w:rPr>
      </w:pPr>
      <w:r>
        <w:rPr>
          <w:rFonts w:hint="eastAsia" w:ascii="宋体" w:hAnsi="宋体" w:cs="宋体"/>
          <w:color w:val="auto"/>
          <w:szCs w:val="21"/>
        </w:rPr>
        <w:t>（6）不同供应商的谈判保证金从同一单位或者个人账户转出；</w:t>
      </w:r>
    </w:p>
    <w:p w14:paraId="399565BF">
      <w:pPr>
        <w:spacing w:line="360" w:lineRule="auto"/>
        <w:ind w:firstLine="420" w:firstLineChars="200"/>
        <w:rPr>
          <w:rFonts w:ascii="宋体" w:hAnsi="宋体" w:cs="宋体"/>
          <w:color w:val="auto"/>
          <w:szCs w:val="21"/>
        </w:rPr>
      </w:pPr>
      <w:r>
        <w:rPr>
          <w:rFonts w:hint="eastAsia" w:ascii="宋体" w:hAnsi="宋体" w:cs="宋体"/>
          <w:color w:val="auto"/>
          <w:szCs w:val="21"/>
        </w:rPr>
        <w:t>（7）供应商之间协商报价等响应文件的实质性内容；</w:t>
      </w:r>
    </w:p>
    <w:p w14:paraId="70F88EDE">
      <w:pPr>
        <w:spacing w:line="360" w:lineRule="auto"/>
        <w:ind w:firstLine="420" w:firstLineChars="200"/>
        <w:rPr>
          <w:rFonts w:ascii="宋体" w:hAnsi="宋体" w:cs="宋体"/>
          <w:color w:val="auto"/>
          <w:szCs w:val="21"/>
        </w:rPr>
      </w:pPr>
      <w:r>
        <w:rPr>
          <w:rFonts w:hint="eastAsia" w:ascii="宋体" w:hAnsi="宋体" w:cs="宋体"/>
          <w:color w:val="auto"/>
          <w:szCs w:val="21"/>
        </w:rPr>
        <w:t>（8）供应商之间约定成交供应商；</w:t>
      </w:r>
    </w:p>
    <w:p w14:paraId="24968679">
      <w:pPr>
        <w:spacing w:line="360" w:lineRule="auto"/>
        <w:ind w:firstLine="420" w:firstLineChars="200"/>
        <w:rPr>
          <w:rFonts w:ascii="宋体" w:hAnsi="宋体" w:cs="宋体"/>
          <w:color w:val="auto"/>
          <w:szCs w:val="21"/>
        </w:rPr>
      </w:pPr>
      <w:r>
        <w:rPr>
          <w:rFonts w:hint="eastAsia" w:ascii="宋体" w:hAnsi="宋体" w:cs="宋体"/>
          <w:color w:val="auto"/>
          <w:szCs w:val="21"/>
        </w:rPr>
        <w:t>（9）供应商之间约定部分供应商放弃参与竞争性谈判或者成交；</w:t>
      </w:r>
    </w:p>
    <w:p w14:paraId="31FDDE14">
      <w:pPr>
        <w:spacing w:line="360" w:lineRule="auto"/>
        <w:ind w:firstLine="420" w:firstLineChars="200"/>
        <w:rPr>
          <w:rFonts w:ascii="宋体" w:hAnsi="宋体" w:cs="宋体"/>
          <w:color w:val="auto"/>
          <w:szCs w:val="21"/>
        </w:rPr>
      </w:pPr>
      <w:r>
        <w:rPr>
          <w:rFonts w:hint="eastAsia" w:ascii="宋体" w:hAnsi="宋体" w:cs="宋体"/>
          <w:color w:val="auto"/>
          <w:szCs w:val="21"/>
        </w:rPr>
        <w:t>（10）属于同一集团、协会、商会等组织成员的供应商按照该组织要求协同参与竞争性谈判；</w:t>
      </w:r>
    </w:p>
    <w:p w14:paraId="22E24F7D">
      <w:pPr>
        <w:spacing w:line="360" w:lineRule="auto"/>
        <w:ind w:firstLine="420" w:firstLineChars="200"/>
        <w:rPr>
          <w:rFonts w:ascii="宋体" w:hAnsi="宋体" w:cs="宋体"/>
          <w:color w:val="auto"/>
          <w:szCs w:val="21"/>
        </w:rPr>
      </w:pPr>
      <w:r>
        <w:rPr>
          <w:rFonts w:hint="eastAsia" w:ascii="宋体" w:hAnsi="宋体" w:cs="宋体"/>
          <w:color w:val="auto"/>
          <w:szCs w:val="21"/>
        </w:rPr>
        <w:t>（11）供应商之间为谋取成交或者排斥特定供应商而采取的其他联合行动。</w:t>
      </w:r>
    </w:p>
    <w:p w14:paraId="54DF5706">
      <w:pPr>
        <w:spacing w:line="360" w:lineRule="auto"/>
        <w:ind w:firstLine="420" w:firstLineChars="200"/>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6</w:t>
      </w:r>
      <w:r>
        <w:rPr>
          <w:rFonts w:hint="eastAsia" w:ascii="宋体" w:hAnsi="宋体" w:cs="宋体"/>
          <w:color w:val="auto"/>
          <w:szCs w:val="21"/>
        </w:rPr>
        <w:t>供应商有下列情形之一的，属于恶意串通行为</w:t>
      </w:r>
      <w:bookmarkStart w:id="22" w:name="_Hlk54682620"/>
      <w:r>
        <w:rPr>
          <w:rFonts w:hint="eastAsia" w:ascii="宋体" w:hAnsi="宋体" w:cs="宋体"/>
          <w:color w:val="auto"/>
          <w:szCs w:val="21"/>
        </w:rPr>
        <w:t>，将报同级监督管理部门</w:t>
      </w:r>
      <w:bookmarkEnd w:id="22"/>
      <w:r>
        <w:rPr>
          <w:rFonts w:hint="eastAsia" w:ascii="宋体" w:hAnsi="宋体" w:cs="宋体"/>
          <w:color w:val="auto"/>
          <w:szCs w:val="21"/>
        </w:rPr>
        <w:t>：</w:t>
      </w:r>
    </w:p>
    <w:p w14:paraId="3C5B7EF6">
      <w:pPr>
        <w:spacing w:line="360" w:lineRule="auto"/>
        <w:ind w:firstLine="420" w:firstLineChars="200"/>
        <w:rPr>
          <w:rFonts w:ascii="宋体" w:hAnsi="宋体" w:cs="宋体"/>
          <w:color w:val="auto"/>
          <w:szCs w:val="21"/>
        </w:rPr>
      </w:pPr>
      <w:r>
        <w:rPr>
          <w:rFonts w:hint="eastAsia" w:ascii="宋体" w:hAnsi="宋体" w:cs="宋体"/>
          <w:color w:val="auto"/>
          <w:szCs w:val="21"/>
        </w:rPr>
        <w:t>（1）供应商直接或者间接从采购人或者采购代理机构处获得其他供应商的相关信息并修改其响应文件；</w:t>
      </w:r>
    </w:p>
    <w:p w14:paraId="3EFCCEBA">
      <w:pPr>
        <w:spacing w:line="360" w:lineRule="auto"/>
        <w:ind w:firstLine="420" w:firstLineChars="200"/>
        <w:rPr>
          <w:rFonts w:ascii="宋体" w:hAnsi="宋体" w:cs="宋体"/>
          <w:color w:val="auto"/>
          <w:szCs w:val="21"/>
        </w:rPr>
      </w:pPr>
      <w:r>
        <w:rPr>
          <w:rFonts w:hint="eastAsia" w:ascii="宋体" w:hAnsi="宋体" w:cs="宋体"/>
          <w:color w:val="auto"/>
          <w:szCs w:val="21"/>
        </w:rPr>
        <w:t>（2）供应商按照采购人或者采购代理机构的授意撤换、修改响应文件；</w:t>
      </w:r>
    </w:p>
    <w:p w14:paraId="7EEC1D55">
      <w:pPr>
        <w:spacing w:line="360" w:lineRule="auto"/>
        <w:ind w:firstLine="420" w:firstLineChars="200"/>
        <w:rPr>
          <w:rFonts w:ascii="宋体" w:hAnsi="宋体" w:cs="宋体"/>
          <w:color w:val="auto"/>
          <w:szCs w:val="21"/>
        </w:rPr>
      </w:pPr>
      <w:r>
        <w:rPr>
          <w:rFonts w:hint="eastAsia" w:ascii="宋体" w:hAnsi="宋体" w:cs="宋体"/>
          <w:color w:val="auto"/>
          <w:szCs w:val="21"/>
        </w:rPr>
        <w:t>（3）供应商之间协商报价、技术方案等响应文件或者响应文件的实质性内容；</w:t>
      </w:r>
    </w:p>
    <w:p w14:paraId="393399B5">
      <w:pPr>
        <w:spacing w:line="360" w:lineRule="auto"/>
        <w:ind w:firstLine="420" w:firstLineChars="200"/>
        <w:rPr>
          <w:rFonts w:ascii="宋体" w:hAnsi="宋体" w:cs="宋体"/>
          <w:color w:val="auto"/>
          <w:szCs w:val="21"/>
        </w:rPr>
      </w:pPr>
      <w:r>
        <w:rPr>
          <w:rFonts w:hint="eastAsia" w:ascii="宋体" w:hAnsi="宋体" w:cs="宋体"/>
          <w:color w:val="auto"/>
          <w:szCs w:val="21"/>
        </w:rPr>
        <w:t>（4）属于同一集团、协会、商会等组织成员的供应商按照该组织要求协同参加政府采购活动；</w:t>
      </w:r>
    </w:p>
    <w:p w14:paraId="334CE0F7">
      <w:pPr>
        <w:spacing w:line="360" w:lineRule="auto"/>
        <w:ind w:firstLine="420" w:firstLineChars="200"/>
        <w:rPr>
          <w:rFonts w:ascii="宋体" w:hAnsi="宋体" w:cs="宋体"/>
          <w:color w:val="auto"/>
          <w:szCs w:val="21"/>
        </w:rPr>
      </w:pPr>
      <w:r>
        <w:rPr>
          <w:rFonts w:hint="eastAsia" w:ascii="宋体" w:hAnsi="宋体" w:cs="宋体"/>
          <w:color w:val="auto"/>
          <w:szCs w:val="21"/>
        </w:rPr>
        <w:t>（5）供应商之间事先约定一致抬高或者压低报价,或者在政府采购活动中事先约定轮流以高价位或者低价位成交,或者事先约定由某一特定供应商成交,然后再参加</w:t>
      </w:r>
      <w:r>
        <w:rPr>
          <w:rFonts w:hint="eastAsia" w:hAnsi="宋体" w:cs="宋体"/>
          <w:color w:val="auto"/>
          <w:szCs w:val="21"/>
        </w:rPr>
        <w:t>竞争性谈判</w:t>
      </w:r>
      <w:r>
        <w:rPr>
          <w:rFonts w:hint="eastAsia" w:ascii="宋体" w:hAnsi="宋体" w:cs="宋体"/>
          <w:color w:val="auto"/>
          <w:szCs w:val="21"/>
        </w:rPr>
        <w:t>；</w:t>
      </w:r>
    </w:p>
    <w:p w14:paraId="2A556BD9">
      <w:pPr>
        <w:spacing w:line="360" w:lineRule="auto"/>
        <w:ind w:firstLine="420" w:firstLineChars="200"/>
        <w:rPr>
          <w:rFonts w:ascii="宋体" w:hAnsi="宋体" w:cs="宋体"/>
          <w:color w:val="auto"/>
          <w:szCs w:val="21"/>
        </w:rPr>
      </w:pPr>
      <w:r>
        <w:rPr>
          <w:rFonts w:hint="eastAsia" w:ascii="宋体" w:hAnsi="宋体" w:cs="宋体"/>
          <w:color w:val="auto"/>
          <w:szCs w:val="21"/>
        </w:rPr>
        <w:t>（6）供应商之间商定部分供应商放弃参加政府采购活动或者放弃成交；</w:t>
      </w:r>
    </w:p>
    <w:p w14:paraId="0415EB23">
      <w:pPr>
        <w:spacing w:line="360" w:lineRule="auto"/>
        <w:ind w:firstLine="420" w:firstLineChars="200"/>
        <w:rPr>
          <w:rFonts w:ascii="宋体" w:hAnsi="宋体" w:cs="宋体"/>
          <w:color w:val="auto"/>
          <w:szCs w:val="21"/>
        </w:rPr>
      </w:pPr>
      <w:r>
        <w:rPr>
          <w:rFonts w:hint="eastAsia" w:ascii="宋体" w:hAnsi="宋体" w:cs="宋体"/>
          <w:color w:val="auto"/>
          <w:szCs w:val="21"/>
        </w:rPr>
        <w:t>（7）供应商与采购人或者采购代理机构之间、供应商相互之间，为谋求特定供应商成交或者排斥其他供应商的其他串通行为。</w:t>
      </w:r>
    </w:p>
    <w:p w14:paraId="39AD58DB">
      <w:pPr>
        <w:spacing w:line="360" w:lineRule="auto"/>
        <w:ind w:firstLine="420" w:firstLineChars="200"/>
        <w:rPr>
          <w:rFonts w:ascii="宋体" w:hAnsi="宋体" w:cs="宋体"/>
          <w:color w:val="auto"/>
          <w:szCs w:val="21"/>
        </w:rPr>
      </w:pPr>
      <w:r>
        <w:rPr>
          <w:rFonts w:ascii="宋体" w:hAnsi="宋体" w:cs="宋体"/>
          <w:color w:val="auto"/>
          <w:szCs w:val="21"/>
        </w:rPr>
        <w:t>7.7</w:t>
      </w:r>
      <w:r>
        <w:rPr>
          <w:rFonts w:hint="eastAsia" w:ascii="宋体" w:hAnsi="宋体" w:cs="宋体"/>
          <w:color w:val="auto"/>
          <w:szCs w:val="21"/>
        </w:rPr>
        <w:t>单一产品采购项目，提供相同品牌产品的不同供应商参加同一合同项下</w:t>
      </w:r>
      <w:r>
        <w:rPr>
          <w:rFonts w:hint="eastAsia" w:hAnsi="宋体" w:cs="宋体"/>
          <w:color w:val="auto"/>
          <w:szCs w:val="21"/>
        </w:rPr>
        <w:t>竞争性谈判</w:t>
      </w:r>
      <w:r>
        <w:rPr>
          <w:rFonts w:hint="eastAsia" w:ascii="宋体" w:hAnsi="宋体" w:cs="宋体"/>
          <w:color w:val="auto"/>
          <w:szCs w:val="21"/>
        </w:rPr>
        <w:t>的，以其中通过资格审查、符合性审查、谈判且最后报价最低的参加报价评审；最后报价相同的，按照前附表第2</w:t>
      </w:r>
      <w:r>
        <w:rPr>
          <w:rFonts w:ascii="宋体" w:hAnsi="宋体" w:cs="宋体"/>
          <w:color w:val="auto"/>
          <w:szCs w:val="21"/>
        </w:rPr>
        <w:t>6</w:t>
      </w:r>
      <w:r>
        <w:rPr>
          <w:rFonts w:hint="eastAsia" w:ascii="宋体" w:hAnsi="宋体" w:cs="宋体"/>
          <w:color w:val="auto"/>
          <w:szCs w:val="21"/>
        </w:rPr>
        <w:t>条规定确定一个参加评审的供应商，其他响应文件作无效处理。</w:t>
      </w:r>
    </w:p>
    <w:p w14:paraId="321655A5">
      <w:pPr>
        <w:spacing w:line="360" w:lineRule="auto"/>
        <w:ind w:firstLine="420" w:firstLineChars="200"/>
        <w:rPr>
          <w:rFonts w:ascii="宋体" w:hAnsi="宋体" w:cs="宋体"/>
          <w:color w:val="auto"/>
          <w:szCs w:val="21"/>
        </w:rPr>
      </w:pPr>
      <w:r>
        <w:rPr>
          <w:rFonts w:hint="eastAsia" w:ascii="宋体" w:hAnsi="宋体" w:cs="宋体"/>
          <w:color w:val="auto"/>
          <w:szCs w:val="21"/>
        </w:rPr>
        <w:t>非单一产品采购项目，多家供应商提供的核心产品品牌相同的，按前款规定处理；多家供应商提供的所有产品品牌相同，按前款处理。</w:t>
      </w:r>
    </w:p>
    <w:p w14:paraId="0B696ED0">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7.8.对本国产品的支持政策</w:t>
      </w:r>
    </w:p>
    <w:p w14:paraId="24AFE63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7.8.1本国产品标准</w:t>
      </w:r>
    </w:p>
    <w:p w14:paraId="71754DC2">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“本国产品标准的产品”是指：符合《国务院办公厅关于在政府采购中实施本国产品标准及相关政策的通知》（国办发〔2025〕34号）规定的本国产品标准的产品。</w:t>
      </w:r>
    </w:p>
    <w:p w14:paraId="4D7E17FD">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本国产品标准的产品应当符合以下条件：</w:t>
      </w:r>
    </w:p>
    <w:p w14:paraId="3B63A7F7">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ADA68B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①为确保产品在运输或者储存期间保持某种状态而进行的操作；</w:t>
      </w:r>
    </w:p>
    <w:p w14:paraId="710A6E66">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②为产品运输或者销售进行的包装或者展示；</w:t>
      </w:r>
    </w:p>
    <w:p w14:paraId="410044C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③在产品或者其包装上粘贴或者印刷品牌、标志、标识以及其他用于区别的标记；</w:t>
      </w:r>
    </w:p>
    <w:p w14:paraId="6E3880C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④简单的上漆、磨光和分装；</w:t>
      </w:r>
    </w:p>
    <w:p w14:paraId="2B4A3DD9">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⑤其他不属于属性改变的情形；</w:t>
      </w:r>
    </w:p>
    <w:p w14:paraId="248AE92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中国境内生产的组件成本占比达到规定比例。</w:t>
      </w:r>
    </w:p>
    <w:p w14:paraId="064AEBB9">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①产品在中国境内生产的组件成本占比应当达到规定比例，计算公式为：产品在中国境内生产的组件成本/产品总成本≥规定比例；</w:t>
      </w:r>
    </w:p>
    <w:p w14:paraId="5175468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②产品在中国境内生产的组件成本，按照《中国境内生产的组件成本核算基本规则》（见第七章15.6中的附件）计算；</w:t>
      </w:r>
    </w:p>
    <w:p w14:paraId="67E2AAB4">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③中国境内生产的组件成本占比相关要求实施前，符合第（一）项条件的产品在政府采购活动中视同本国产品。</w:t>
      </w:r>
    </w:p>
    <w:p w14:paraId="19E8B0D9">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特定产品的关键组件和工序在中国境内完成。</w:t>
      </w:r>
    </w:p>
    <w:p w14:paraId="6334A822">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①对特定产品，在符合第（一）项和第（二）项条件的基础上，应当符合财政部会同有关行业主管部门确定的其关键组件、关键工序在中国境内生产、完成等要求；</w:t>
      </w:r>
    </w:p>
    <w:p w14:paraId="45F11241">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②特定产品的关键组件、关键工序符合相关要求实施前，符合第（一）项和第（二）项条件的产品在政府采购活动中视同本国产品。</w:t>
      </w:r>
    </w:p>
    <w:p w14:paraId="163ACCE7">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7.8.2本国产品标准的适用范围</w:t>
      </w:r>
    </w:p>
    <w:p w14:paraId="352C106D">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项目是否适用对本国产品的支持政策详见供应商须知前附表。</w:t>
      </w:r>
    </w:p>
    <w:p w14:paraId="7C9EDC3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中华人民共和国缔结或者共同参加的国际条约、协定对政府采购中本国产品政策另有规定的，按照有关条约、协定执行。</w:t>
      </w:r>
    </w:p>
    <w:p w14:paraId="5D559AC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7.8.3价格评审优惠既有本国产品又有非本国产品参与竞争的，依法对本国产品给予价格评审优惠，对本国产品的报价给予20%的价格扣除，用扣除后的价格参与评审。</w:t>
      </w:r>
    </w:p>
    <w:p w14:paraId="6A70C4B2">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EBB8DB8">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价格扣除比例在第四章评审方法及标准中规定。</w:t>
      </w:r>
    </w:p>
    <w:p w14:paraId="7815C981">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7.8.4政策执行要求</w:t>
      </w:r>
    </w:p>
    <w:p w14:paraId="744D928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7.8.4.1产品在中国境内生产的组件成本核算规则：产品在中国境内生产的组件成本，按照《中国境内生产的组件成本核算基本规则》计算。</w:t>
      </w:r>
    </w:p>
    <w:p w14:paraId="22C6CB5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《中国境内生产的组件成本核算基本规则》</w:t>
      </w:r>
    </w:p>
    <w:p w14:paraId="44CDFF27">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E72D11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1.产品的一级组件是指直接组成产品的组件。产品的二级组件是指直接组成产品一级组件的组件。一级组件不可分解的，视同二级组件。</w:t>
      </w:r>
    </w:p>
    <w:p w14:paraId="2D53C965">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2.二级组件在中国境内生产的，其全部成本计入中国境内生产的组件成本；二级组件不在中国境内生产的，其成本不计入中国境内生产的组件成本。</w:t>
      </w:r>
    </w:p>
    <w:p w14:paraId="354D6AB9">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3.产品总成本和组件成本以相关会计核算数据、采购合同、进货记录等为基础进行计算。</w:t>
      </w:r>
    </w:p>
    <w:p w14:paraId="4A2EB48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4.需要对成本核算规则予以进一步明确的其他有关事项，由财政部会同有关部门另行规定。</w:t>
      </w:r>
    </w:p>
    <w:p w14:paraId="066B6EDA">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7.8.4.2证明材料要求：供应商需在竞标文件中对其提供的产品出具《关于符合本国产品标准的声明函》（样式见竞标文件格式）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4EF03FDF">
      <w:pPr>
        <w:pStyle w:val="18"/>
        <w:rPr>
          <w:color w:val="auto"/>
        </w:rPr>
      </w:pPr>
    </w:p>
    <w:p w14:paraId="34668521">
      <w:pPr>
        <w:spacing w:line="360" w:lineRule="auto"/>
        <w:ind w:firstLine="477" w:firstLineChars="199"/>
        <w:jc w:val="center"/>
        <w:rPr>
          <w:rFonts w:ascii="宋体" w:hAnsi="宋体" w:cs="宋体"/>
          <w:color w:val="auto"/>
          <w:sz w:val="24"/>
          <w:szCs w:val="32"/>
        </w:rPr>
      </w:pPr>
      <w:bookmarkStart w:id="23" w:name="_Toc254970534"/>
      <w:bookmarkStart w:id="24" w:name="_Toc254970675"/>
    </w:p>
    <w:p w14:paraId="4279AD69">
      <w:pPr>
        <w:spacing w:line="360" w:lineRule="auto"/>
        <w:jc w:val="center"/>
        <w:rPr>
          <w:rFonts w:ascii="宋体" w:hAnsi="宋体" w:cs="宋体"/>
          <w:b/>
          <w:color w:val="auto"/>
          <w:sz w:val="40"/>
          <w:szCs w:val="40"/>
        </w:rPr>
      </w:pPr>
      <w:r>
        <w:rPr>
          <w:rFonts w:hint="eastAsia" w:ascii="宋体" w:hAnsi="宋体" w:cs="宋体"/>
          <w:b/>
          <w:color w:val="auto"/>
          <w:sz w:val="40"/>
          <w:szCs w:val="40"/>
        </w:rPr>
        <w:t>二、谈判文件</w:t>
      </w:r>
      <w:bookmarkEnd w:id="23"/>
      <w:bookmarkEnd w:id="24"/>
    </w:p>
    <w:p w14:paraId="1AD3C203">
      <w:pPr>
        <w:spacing w:line="360" w:lineRule="auto"/>
        <w:jc w:val="center"/>
        <w:rPr>
          <w:rFonts w:ascii="宋体" w:hAnsi="宋体" w:cs="宋体"/>
          <w:color w:val="auto"/>
          <w:sz w:val="24"/>
        </w:rPr>
      </w:pPr>
    </w:p>
    <w:p w14:paraId="522B04FB">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8.谈判文件的构成</w:t>
      </w:r>
    </w:p>
    <w:p w14:paraId="4C495A4D">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（1）竞争性谈判公告；</w:t>
      </w:r>
    </w:p>
    <w:p w14:paraId="3ED94A15">
      <w:pPr>
        <w:spacing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（2）供应商须知； </w:t>
      </w:r>
    </w:p>
    <w:p w14:paraId="51BA08B0">
      <w:pPr>
        <w:spacing w:line="360" w:lineRule="auto"/>
        <w:ind w:firstLine="420" w:firstLineChars="200"/>
        <w:jc w:val="left"/>
        <w:rPr>
          <w:rFonts w:ascii="宋体" w:hAnsi="宋体" w:cs="宋体"/>
          <w:color w:val="auto"/>
          <w:szCs w:val="21"/>
        </w:rPr>
      </w:pPr>
      <w:r>
        <w:rPr>
          <w:rFonts w:hint="eastAsia" w:ascii="宋体" w:hAnsi="宋体" w:cs="宋体"/>
          <w:color w:val="auto"/>
          <w:szCs w:val="21"/>
        </w:rPr>
        <w:t>（3）采购需求；</w:t>
      </w:r>
    </w:p>
    <w:p w14:paraId="5928B1A2">
      <w:pPr>
        <w:spacing w:line="360" w:lineRule="auto"/>
        <w:ind w:firstLine="420" w:firstLineChars="200"/>
        <w:jc w:val="left"/>
        <w:rPr>
          <w:rFonts w:ascii="宋体" w:hAnsi="宋体" w:cs="宋体"/>
          <w:color w:val="auto"/>
          <w:szCs w:val="21"/>
        </w:rPr>
      </w:pPr>
      <w:r>
        <w:rPr>
          <w:rFonts w:hint="eastAsia" w:ascii="宋体" w:hAnsi="宋体" w:cs="宋体"/>
          <w:color w:val="auto"/>
          <w:szCs w:val="21"/>
        </w:rPr>
        <w:t>（4）响应文件格式；</w:t>
      </w:r>
    </w:p>
    <w:p w14:paraId="40FC81F6">
      <w:pPr>
        <w:spacing w:line="360" w:lineRule="auto"/>
        <w:ind w:firstLine="420" w:firstLineChars="200"/>
        <w:jc w:val="left"/>
        <w:rPr>
          <w:rFonts w:ascii="宋体" w:hAnsi="宋体" w:cs="宋体"/>
          <w:color w:val="auto"/>
          <w:szCs w:val="21"/>
        </w:rPr>
      </w:pPr>
      <w:r>
        <w:rPr>
          <w:rFonts w:hint="eastAsia" w:ascii="宋体" w:hAnsi="宋体" w:cs="宋体"/>
          <w:color w:val="auto"/>
          <w:szCs w:val="21"/>
        </w:rPr>
        <w:t>（5）合同文本；</w:t>
      </w:r>
    </w:p>
    <w:p w14:paraId="43A1120A">
      <w:pPr>
        <w:spacing w:line="360" w:lineRule="auto"/>
        <w:ind w:firstLine="420" w:firstLineChars="200"/>
        <w:jc w:val="left"/>
        <w:rPr>
          <w:rFonts w:ascii="宋体" w:hAnsi="宋体" w:cs="宋体"/>
          <w:color w:val="auto"/>
          <w:szCs w:val="21"/>
        </w:rPr>
      </w:pPr>
      <w:r>
        <w:rPr>
          <w:rFonts w:hint="eastAsia" w:ascii="宋体" w:hAnsi="宋体" w:cs="宋体"/>
          <w:color w:val="auto"/>
          <w:szCs w:val="21"/>
        </w:rPr>
        <w:t>（6）评审程序和评定成交的标准。</w:t>
      </w:r>
    </w:p>
    <w:p w14:paraId="797A0FC1">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9.供应商的询问</w:t>
      </w:r>
    </w:p>
    <w:p w14:paraId="0D8352E5">
      <w:pPr>
        <w:spacing w:line="360" w:lineRule="auto"/>
        <w:ind w:firstLine="420" w:firstLineChars="200"/>
        <w:rPr>
          <w:rFonts w:ascii="宋体" w:hAnsi="宋体" w:cs="宋体"/>
          <w:color w:val="auto"/>
          <w:szCs w:val="21"/>
        </w:rPr>
      </w:pPr>
      <w:r>
        <w:rPr>
          <w:rFonts w:hint="eastAsia" w:ascii="宋体" w:hAnsi="宋体" w:cs="宋体"/>
          <w:color w:val="auto"/>
          <w:szCs w:val="21"/>
        </w:rPr>
        <w:t>供应商应认真阅读谈判文件的采购需求，如供应商对谈判文件有疑问的，如要求采购人作出澄清或者修改的，供应商尽可能在提交首次响应文件截止之日前，以纸质书面形式向采购人、采购代理机构提出，否则，由此产生的后果由供应商自行负责。</w:t>
      </w:r>
    </w:p>
    <w:p w14:paraId="3A3E6BF2">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10.谈判文件的澄清和修改</w:t>
      </w:r>
    </w:p>
    <w:p w14:paraId="7EE6E032">
      <w:pPr>
        <w:spacing w:line="360" w:lineRule="auto"/>
        <w:ind w:firstLine="420" w:firstLineChars="200"/>
        <w:rPr>
          <w:rFonts w:ascii="宋体" w:hAnsi="宋体" w:cs="宋体"/>
          <w:color w:val="auto"/>
          <w:szCs w:val="21"/>
        </w:rPr>
      </w:pPr>
      <w:r>
        <w:rPr>
          <w:rFonts w:hint="eastAsia" w:ascii="宋体" w:hAnsi="宋体" w:cs="宋体"/>
          <w:color w:val="auto"/>
          <w:szCs w:val="21"/>
        </w:rPr>
        <w:t>10.1提交首次响应文件截止之日前，采购人、采购代理机构可以对已发出的谈判文件进行必要的澄清或者修改，澄清或者修改的内容作为谈判文件的组成部分。澄清或者修改将在原公告发布媒体上发布更正公告。澄清或者修改的内容可能影响响应文件编制的，采购人、采购代理机构或者谈判小组应当在提交首次响应文件截止之日</w:t>
      </w:r>
      <w:r>
        <w:rPr>
          <w:rFonts w:ascii="宋体" w:hAnsi="宋体" w:cs="宋体"/>
          <w:color w:val="auto"/>
          <w:szCs w:val="21"/>
        </w:rPr>
        <w:t>3个工作日前，在原公告发布媒体上发布更正公告</w:t>
      </w:r>
      <w:r>
        <w:rPr>
          <w:rFonts w:hint="eastAsia" w:ascii="宋体" w:hAnsi="宋体" w:cs="宋体"/>
          <w:color w:val="auto"/>
          <w:szCs w:val="21"/>
        </w:rPr>
        <w:t>；不足</w:t>
      </w:r>
      <w:r>
        <w:rPr>
          <w:rFonts w:ascii="宋体" w:hAnsi="宋体" w:cs="宋体"/>
          <w:color w:val="auto"/>
          <w:szCs w:val="21"/>
        </w:rPr>
        <w:t>3个工作日的，应当顺延提交首次响应文件截止</w:t>
      </w:r>
      <w:r>
        <w:rPr>
          <w:rFonts w:hint="eastAsia" w:ascii="宋体" w:hAnsi="宋体" w:cs="宋体"/>
          <w:color w:val="auto"/>
          <w:szCs w:val="21"/>
        </w:rPr>
        <w:t>时间。</w:t>
      </w:r>
    </w:p>
    <w:p w14:paraId="099BF56C">
      <w:pPr>
        <w:spacing w:line="400" w:lineRule="exact"/>
        <w:ind w:firstLine="420" w:firstLineChars="200"/>
        <w:rPr>
          <w:rFonts w:ascii="宋体" w:hAnsi="宋体" w:cs="宋体"/>
          <w:color w:val="auto"/>
          <w:szCs w:val="21"/>
        </w:rPr>
      </w:pPr>
      <w:r>
        <w:rPr>
          <w:rFonts w:hint="eastAsia" w:ascii="宋体" w:hAnsi="宋体" w:cs="宋体"/>
          <w:color w:val="auto"/>
        </w:rPr>
        <w:t>10.2采购人和采购代理机构可以视采购具体情况，变更</w:t>
      </w:r>
      <w:r>
        <w:rPr>
          <w:rFonts w:hint="eastAsia" w:ascii="宋体" w:hAnsi="宋体" w:cs="宋体"/>
          <w:color w:val="auto"/>
          <w:szCs w:val="21"/>
        </w:rPr>
        <w:t>首次响应文件提交截止时间</w:t>
      </w:r>
      <w:r>
        <w:rPr>
          <w:rFonts w:hint="eastAsia" w:ascii="宋体" w:hAnsi="宋体" w:cs="宋体"/>
          <w:color w:val="auto"/>
        </w:rPr>
        <w:t>，并</w:t>
      </w:r>
      <w:r>
        <w:rPr>
          <w:rFonts w:hint="eastAsia" w:ascii="宋体" w:hAnsi="宋体" w:cs="宋体"/>
          <w:color w:val="auto"/>
          <w:szCs w:val="21"/>
        </w:rPr>
        <w:t>在原公告发布媒体上发布更正公告。</w:t>
      </w:r>
    </w:p>
    <w:p w14:paraId="591DA583">
      <w:pPr>
        <w:spacing w:line="360" w:lineRule="auto"/>
        <w:ind w:firstLine="420" w:firstLineChars="200"/>
        <w:rPr>
          <w:rFonts w:ascii="宋体" w:hAnsi="宋体" w:cs="宋体"/>
          <w:color w:val="auto"/>
          <w:szCs w:val="21"/>
        </w:rPr>
      </w:pPr>
      <w:r>
        <w:rPr>
          <w:rFonts w:hint="eastAsia" w:ascii="宋体" w:hAnsi="宋体" w:cs="宋体"/>
          <w:color w:val="auto"/>
          <w:szCs w:val="21"/>
        </w:rPr>
        <w:t>10.3谈判文件澄清、答复、修改、补充的内容为谈判文件的组成部分。当谈判文件与谈判文件的澄清、答复、修改、补充通知就同一内容的表述不一致时，以最后发出的文件为准。</w:t>
      </w:r>
    </w:p>
    <w:p w14:paraId="5CF8154F">
      <w:pPr>
        <w:spacing w:line="360" w:lineRule="auto"/>
        <w:ind w:firstLine="420" w:firstLineChars="200"/>
        <w:rPr>
          <w:rFonts w:ascii="宋体" w:hAnsi="宋体" w:cs="宋体"/>
          <w:color w:val="auto"/>
          <w:szCs w:val="21"/>
        </w:rPr>
      </w:pPr>
      <w:r>
        <w:rPr>
          <w:rFonts w:hint="eastAsia" w:ascii="宋体" w:hAnsi="宋体" w:cs="宋体"/>
          <w:color w:val="auto"/>
          <w:szCs w:val="21"/>
        </w:rPr>
        <w:t>10.4响应文件未按谈判文件的澄清、修改后的内容编制的，其响应文件作无效响应处理。</w:t>
      </w:r>
    </w:p>
    <w:p w14:paraId="421B3E83">
      <w:pPr>
        <w:spacing w:line="360" w:lineRule="auto"/>
        <w:ind w:firstLine="480" w:firstLineChars="200"/>
        <w:rPr>
          <w:rFonts w:ascii="宋体" w:hAnsi="宋体" w:cs="宋体"/>
          <w:color w:val="auto"/>
          <w:sz w:val="24"/>
        </w:rPr>
      </w:pPr>
    </w:p>
    <w:p w14:paraId="363D2B37">
      <w:pPr>
        <w:spacing w:line="360" w:lineRule="auto"/>
        <w:rPr>
          <w:rFonts w:ascii="宋体" w:hAnsi="宋体" w:cs="宋体"/>
          <w:color w:val="auto"/>
          <w:sz w:val="24"/>
        </w:rPr>
      </w:pPr>
    </w:p>
    <w:p w14:paraId="03330FAB">
      <w:pPr>
        <w:spacing w:line="360" w:lineRule="auto"/>
        <w:jc w:val="center"/>
        <w:rPr>
          <w:rFonts w:ascii="宋体" w:hAnsi="宋体" w:cs="宋体"/>
          <w:b/>
          <w:color w:val="auto"/>
          <w:sz w:val="24"/>
        </w:rPr>
      </w:pPr>
      <w:r>
        <w:rPr>
          <w:rFonts w:hint="eastAsia" w:ascii="宋体" w:hAnsi="宋体" w:cs="宋体"/>
          <w:b/>
          <w:color w:val="auto"/>
          <w:sz w:val="40"/>
          <w:szCs w:val="40"/>
        </w:rPr>
        <w:t>三、响应文件的编制</w:t>
      </w:r>
    </w:p>
    <w:p w14:paraId="62B1C0B8">
      <w:pPr>
        <w:spacing w:line="360" w:lineRule="auto"/>
        <w:rPr>
          <w:rFonts w:ascii="宋体" w:hAnsi="宋体" w:cs="宋体"/>
          <w:color w:val="auto"/>
          <w:sz w:val="24"/>
        </w:rPr>
      </w:pPr>
    </w:p>
    <w:p w14:paraId="3130FDAB">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11.响应文件的编制原则</w:t>
      </w:r>
    </w:p>
    <w:p w14:paraId="14B25C58">
      <w:pPr>
        <w:spacing w:line="360" w:lineRule="auto"/>
        <w:ind w:firstLine="420" w:firstLineChars="200"/>
        <w:rPr>
          <w:rFonts w:ascii="宋体" w:hAnsi="宋体" w:cs="宋体"/>
          <w:color w:val="auto"/>
          <w:szCs w:val="21"/>
        </w:rPr>
      </w:pPr>
      <w:r>
        <w:rPr>
          <w:rFonts w:hint="eastAsia" w:ascii="宋体" w:hAnsi="宋体" w:cs="宋体"/>
          <w:color w:val="auto"/>
          <w:szCs w:val="21"/>
        </w:rPr>
        <w:t>供应商必须按照谈判文件的要求编制响应文件，并对其提交的响应文件的真实性、合法性承担法律责任。响应文件必须对谈判文件作出实质性响应。</w:t>
      </w:r>
    </w:p>
    <w:p w14:paraId="44662707">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12.响应文件的组成</w:t>
      </w:r>
    </w:p>
    <w:p w14:paraId="42393C1D">
      <w:pPr>
        <w:spacing w:line="360" w:lineRule="auto"/>
        <w:ind w:firstLine="420" w:firstLineChars="200"/>
        <w:rPr>
          <w:rFonts w:ascii="宋体" w:hAnsi="宋体" w:cs="宋体"/>
          <w:color w:val="auto"/>
          <w:szCs w:val="21"/>
        </w:rPr>
      </w:pPr>
      <w:r>
        <w:rPr>
          <w:rFonts w:hint="eastAsia" w:ascii="宋体" w:hAnsi="宋体" w:cs="宋体"/>
          <w:color w:val="auto"/>
          <w:szCs w:val="21"/>
        </w:rPr>
        <w:t>12.1响应文件由资格证明文件、报价商务技术文件两部分组成。</w:t>
      </w:r>
    </w:p>
    <w:p w14:paraId="6A3C939C">
      <w:pPr>
        <w:spacing w:line="360" w:lineRule="auto"/>
        <w:ind w:firstLine="420" w:firstLineChars="200"/>
        <w:rPr>
          <w:rFonts w:ascii="宋体" w:hAnsi="宋体" w:cs="宋体"/>
          <w:color w:val="auto"/>
          <w:szCs w:val="21"/>
        </w:rPr>
      </w:pPr>
      <w:r>
        <w:rPr>
          <w:rFonts w:hint="eastAsia" w:ascii="宋体" w:hAnsi="宋体" w:cs="宋体"/>
          <w:color w:val="auto"/>
          <w:szCs w:val="21"/>
        </w:rPr>
        <w:t>12.1.1资格证明文件：详见“供应商须知前附表”</w:t>
      </w:r>
    </w:p>
    <w:p w14:paraId="3CD78939">
      <w:pPr>
        <w:spacing w:line="360" w:lineRule="auto"/>
        <w:ind w:firstLine="420" w:firstLineChars="200"/>
        <w:rPr>
          <w:rFonts w:ascii="宋体" w:hAnsi="宋体" w:cs="宋体"/>
          <w:color w:val="auto"/>
          <w:szCs w:val="21"/>
        </w:rPr>
      </w:pPr>
      <w:r>
        <w:rPr>
          <w:rFonts w:hint="eastAsia" w:ascii="宋体" w:hAnsi="宋体" w:cs="宋体"/>
          <w:color w:val="auto"/>
          <w:szCs w:val="21"/>
        </w:rPr>
        <w:t>12.1.2报价商务技术文件：详见“供应商须知前附表”</w:t>
      </w:r>
    </w:p>
    <w:p w14:paraId="209FC6E6">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13.计量单位</w:t>
      </w:r>
    </w:p>
    <w:p w14:paraId="4C6B34F4">
      <w:pPr>
        <w:spacing w:line="360" w:lineRule="auto"/>
        <w:ind w:firstLine="420" w:firstLineChars="200"/>
        <w:rPr>
          <w:rFonts w:ascii="宋体" w:hAnsi="宋体" w:cs="宋体"/>
          <w:color w:val="auto"/>
          <w:szCs w:val="21"/>
        </w:rPr>
      </w:pPr>
      <w:r>
        <w:rPr>
          <w:rFonts w:hint="eastAsia" w:ascii="宋体" w:hAnsi="宋体" w:cs="宋体"/>
          <w:color w:val="auto"/>
          <w:szCs w:val="21"/>
        </w:rPr>
        <w:t>谈判文件已有明确规定的，使用谈判文件规定的计量单位；谈判文件没有规定的，应采用中华人民共和国法定计量单位，货币种类为人民币，否则视同未响应。</w:t>
      </w:r>
    </w:p>
    <w:p w14:paraId="579B417E">
      <w:pPr>
        <w:spacing w:line="360" w:lineRule="auto"/>
        <w:ind w:firstLine="482" w:firstLineChars="200"/>
        <w:rPr>
          <w:rFonts w:ascii="宋体" w:hAnsi="宋体" w:cs="宋体"/>
          <w:b/>
          <w:bCs/>
          <w:color w:val="auto"/>
          <w:sz w:val="24"/>
        </w:rPr>
      </w:pPr>
      <w:r>
        <w:rPr>
          <w:rFonts w:hint="eastAsia" w:ascii="宋体" w:hAnsi="宋体" w:cs="宋体"/>
          <w:b/>
          <w:bCs/>
          <w:color w:val="auto"/>
          <w:sz w:val="24"/>
        </w:rPr>
        <w:t>14.竞争性谈判的风险</w:t>
      </w:r>
    </w:p>
    <w:p w14:paraId="4F632909">
      <w:pPr>
        <w:spacing w:line="360" w:lineRule="auto"/>
        <w:ind w:firstLine="420" w:firstLineChars="200"/>
        <w:rPr>
          <w:rFonts w:ascii="宋体" w:hAnsi="宋体" w:cs="宋体"/>
          <w:color w:val="auto"/>
          <w:szCs w:val="21"/>
        </w:rPr>
      </w:pPr>
      <w:r>
        <w:rPr>
          <w:rFonts w:hint="eastAsia" w:ascii="宋体" w:hAnsi="宋体" w:cs="宋体"/>
          <w:color w:val="auto"/>
          <w:szCs w:val="21"/>
        </w:rPr>
        <w:t>供应商没有按照谈判文件要求提供全部资料，或者供应商没有对谈判文件在各方面作出实质性响应可能导致其响应文件按无效响应处理，是供应商应当考虑的风险。</w:t>
      </w:r>
    </w:p>
    <w:p w14:paraId="40A0DC02">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15.竞争性谈判报价</w:t>
      </w:r>
    </w:p>
    <w:p w14:paraId="30F6C24E">
      <w:pPr>
        <w:spacing w:line="360" w:lineRule="auto"/>
        <w:ind w:firstLine="420" w:firstLineChars="200"/>
        <w:rPr>
          <w:rFonts w:ascii="宋体" w:hAnsi="宋体" w:cs="宋体"/>
          <w:color w:val="auto"/>
          <w:szCs w:val="21"/>
        </w:rPr>
      </w:pPr>
      <w:r>
        <w:rPr>
          <w:rFonts w:hint="eastAsia" w:ascii="宋体" w:hAnsi="宋体" w:cs="宋体"/>
          <w:color w:val="auto"/>
          <w:szCs w:val="21"/>
        </w:rPr>
        <w:t>15.1</w:t>
      </w:r>
      <w:r>
        <w:rPr>
          <w:rFonts w:hint="eastAsia" w:hAnsi="宋体" w:cs="宋体"/>
          <w:color w:val="auto"/>
          <w:szCs w:val="21"/>
        </w:rPr>
        <w:t>竞争性谈判</w:t>
      </w:r>
      <w:r>
        <w:rPr>
          <w:rFonts w:hint="eastAsia" w:ascii="宋体" w:hAnsi="宋体" w:cs="宋体"/>
          <w:color w:val="auto"/>
          <w:szCs w:val="21"/>
        </w:rPr>
        <w:t>报价应按谈判文件中“</w:t>
      </w:r>
      <w:r>
        <w:rPr>
          <w:rFonts w:hint="eastAsia" w:hAnsi="宋体" w:cs="宋体"/>
          <w:color w:val="auto"/>
          <w:szCs w:val="21"/>
        </w:rPr>
        <w:t>竞争性谈判</w:t>
      </w:r>
      <w:r>
        <w:rPr>
          <w:rFonts w:hint="eastAsia" w:ascii="宋体" w:hAnsi="宋体" w:cs="宋体"/>
          <w:color w:val="auto"/>
          <w:szCs w:val="21"/>
        </w:rPr>
        <w:t>报价表”格式填写。</w:t>
      </w:r>
    </w:p>
    <w:p w14:paraId="2D5FB001">
      <w:pPr>
        <w:spacing w:line="360" w:lineRule="auto"/>
        <w:ind w:firstLine="420" w:firstLineChars="200"/>
        <w:rPr>
          <w:rFonts w:ascii="宋体" w:hAnsi="宋体" w:cs="宋体"/>
          <w:color w:val="auto"/>
          <w:szCs w:val="21"/>
        </w:rPr>
      </w:pPr>
      <w:r>
        <w:rPr>
          <w:rFonts w:hint="eastAsia" w:ascii="宋体" w:hAnsi="宋体" w:cs="宋体"/>
          <w:color w:val="auto"/>
          <w:szCs w:val="21"/>
        </w:rPr>
        <w:t>15.2</w:t>
      </w:r>
      <w:r>
        <w:rPr>
          <w:rFonts w:hint="eastAsia" w:hAnsi="宋体" w:cs="宋体"/>
          <w:color w:val="auto"/>
          <w:szCs w:val="21"/>
        </w:rPr>
        <w:t>竞争性谈判</w:t>
      </w:r>
      <w:r>
        <w:rPr>
          <w:rFonts w:hint="eastAsia" w:ascii="宋体" w:hAnsi="宋体" w:cs="宋体"/>
          <w:color w:val="auto"/>
          <w:szCs w:val="21"/>
        </w:rPr>
        <w:t>报价的内容详见“供应商须知前附表”。</w:t>
      </w:r>
    </w:p>
    <w:p w14:paraId="7060708B">
      <w:pPr>
        <w:spacing w:line="360" w:lineRule="auto"/>
        <w:ind w:firstLine="420" w:firstLineChars="200"/>
        <w:rPr>
          <w:rFonts w:ascii="宋体" w:hAnsi="宋体" w:cs="宋体"/>
          <w:color w:val="auto"/>
          <w:szCs w:val="21"/>
        </w:rPr>
      </w:pPr>
      <w:r>
        <w:rPr>
          <w:rFonts w:hint="eastAsia" w:ascii="宋体" w:hAnsi="宋体" w:cs="宋体"/>
          <w:color w:val="auto"/>
          <w:szCs w:val="21"/>
        </w:rPr>
        <w:t>15.3</w:t>
      </w:r>
      <w:r>
        <w:rPr>
          <w:rFonts w:hint="eastAsia" w:hAnsi="宋体" w:cs="宋体"/>
          <w:color w:val="auto"/>
          <w:szCs w:val="21"/>
        </w:rPr>
        <w:t>竞争性谈判</w:t>
      </w:r>
      <w:r>
        <w:rPr>
          <w:rFonts w:hint="eastAsia" w:ascii="宋体" w:hAnsi="宋体" w:cs="宋体"/>
          <w:color w:val="auto"/>
          <w:szCs w:val="21"/>
        </w:rPr>
        <w:t>报价要求</w:t>
      </w:r>
    </w:p>
    <w:p w14:paraId="34339C5A">
      <w:pPr>
        <w:spacing w:line="360" w:lineRule="auto"/>
        <w:ind w:firstLine="420" w:firstLineChars="200"/>
        <w:rPr>
          <w:rFonts w:ascii="宋体" w:hAnsi="宋体" w:cs="宋体"/>
          <w:color w:val="auto"/>
          <w:szCs w:val="21"/>
        </w:rPr>
      </w:pPr>
      <w:r>
        <w:rPr>
          <w:rFonts w:hint="eastAsia" w:ascii="宋体" w:hAnsi="宋体" w:cs="宋体"/>
          <w:color w:val="auto"/>
          <w:szCs w:val="21"/>
        </w:rPr>
        <w:t>15.3.1供应商的</w:t>
      </w:r>
      <w:r>
        <w:rPr>
          <w:rFonts w:hint="eastAsia" w:hAnsi="宋体" w:cs="宋体"/>
          <w:color w:val="auto"/>
          <w:szCs w:val="21"/>
        </w:rPr>
        <w:t>竞争性谈判</w:t>
      </w:r>
      <w:r>
        <w:rPr>
          <w:rFonts w:hint="eastAsia" w:ascii="宋体" w:hAnsi="宋体" w:cs="宋体"/>
          <w:color w:val="auto"/>
          <w:szCs w:val="21"/>
        </w:rPr>
        <w:t>报价应符合以下要求，否则响应文件按无效响应处理：</w:t>
      </w:r>
    </w:p>
    <w:p w14:paraId="131708B9">
      <w:pPr>
        <w:spacing w:line="360" w:lineRule="auto"/>
        <w:ind w:firstLine="420" w:firstLineChars="200"/>
        <w:rPr>
          <w:rFonts w:ascii="宋体" w:hAnsi="宋体" w:cs="宋体"/>
          <w:color w:val="auto"/>
          <w:szCs w:val="21"/>
        </w:rPr>
      </w:pPr>
      <w:r>
        <w:rPr>
          <w:rFonts w:hint="eastAsia" w:ascii="宋体" w:hAnsi="宋体" w:cs="宋体"/>
          <w:color w:val="auto"/>
          <w:szCs w:val="21"/>
        </w:rPr>
        <w:t>（1）供应商必须就“采购需求”中所需</w:t>
      </w:r>
      <w:r>
        <w:rPr>
          <w:rFonts w:hint="eastAsia" w:hAnsi="宋体" w:cs="宋体"/>
          <w:color w:val="auto"/>
          <w:szCs w:val="21"/>
        </w:rPr>
        <w:t>竞争性谈判</w:t>
      </w:r>
      <w:r>
        <w:rPr>
          <w:rFonts w:hint="eastAsia" w:ascii="宋体" w:hAnsi="宋体" w:cs="宋体"/>
          <w:color w:val="auto"/>
          <w:szCs w:val="21"/>
        </w:rPr>
        <w:t>的每个分标的全部内容分别作完整唯一总价报价，不得存在漏项报价；</w:t>
      </w:r>
    </w:p>
    <w:p w14:paraId="0C19DCE2">
      <w:pPr>
        <w:spacing w:line="360" w:lineRule="auto"/>
        <w:ind w:firstLine="420" w:firstLineChars="200"/>
        <w:rPr>
          <w:rFonts w:ascii="宋体" w:hAnsi="宋体" w:cs="宋体"/>
          <w:color w:val="auto"/>
          <w:szCs w:val="21"/>
        </w:rPr>
      </w:pPr>
      <w:r>
        <w:rPr>
          <w:rFonts w:hint="eastAsia" w:ascii="宋体" w:hAnsi="宋体" w:cs="宋体"/>
          <w:color w:val="auto"/>
          <w:szCs w:val="21"/>
        </w:rPr>
        <w:t>（2）供应商必须就所需</w:t>
      </w:r>
      <w:r>
        <w:rPr>
          <w:rFonts w:hint="eastAsia" w:hAnsi="宋体" w:cs="宋体"/>
          <w:color w:val="auto"/>
          <w:szCs w:val="21"/>
        </w:rPr>
        <w:t>竞争性谈判</w:t>
      </w:r>
      <w:r>
        <w:rPr>
          <w:rFonts w:hint="eastAsia" w:ascii="宋体" w:hAnsi="宋体" w:cs="宋体"/>
          <w:color w:val="auto"/>
          <w:szCs w:val="21"/>
        </w:rPr>
        <w:t>的分标的单项内容作唯一报价。</w:t>
      </w:r>
    </w:p>
    <w:p w14:paraId="6B8FB041">
      <w:pPr>
        <w:spacing w:line="360" w:lineRule="auto"/>
        <w:ind w:firstLine="420" w:firstLineChars="200"/>
        <w:rPr>
          <w:rFonts w:ascii="宋体" w:hAnsi="宋体" w:cs="宋体"/>
          <w:color w:val="auto"/>
          <w:szCs w:val="21"/>
        </w:rPr>
      </w:pPr>
      <w:r>
        <w:rPr>
          <w:rFonts w:hint="eastAsia" w:ascii="宋体" w:hAnsi="宋体" w:cs="宋体"/>
          <w:color w:val="auto"/>
          <w:szCs w:val="21"/>
        </w:rPr>
        <w:t>15.3.2</w:t>
      </w:r>
      <w:r>
        <w:rPr>
          <w:rFonts w:hint="eastAsia" w:hAnsi="宋体" w:cs="宋体"/>
          <w:color w:val="auto"/>
          <w:szCs w:val="21"/>
        </w:rPr>
        <w:t>竞争性谈判</w:t>
      </w:r>
      <w:r>
        <w:rPr>
          <w:rFonts w:hint="eastAsia" w:ascii="宋体" w:hAnsi="宋体" w:cs="宋体"/>
          <w:color w:val="auto"/>
          <w:szCs w:val="21"/>
        </w:rPr>
        <w:t>报价（包含首次报价、最后报价）超过所参与</w:t>
      </w:r>
      <w:r>
        <w:rPr>
          <w:rFonts w:hint="eastAsia" w:hAnsi="宋体" w:cs="宋体"/>
          <w:color w:val="auto"/>
          <w:szCs w:val="21"/>
        </w:rPr>
        <w:t>竞争性谈判</w:t>
      </w:r>
      <w:r>
        <w:rPr>
          <w:rFonts w:hint="eastAsia" w:ascii="宋体" w:hAnsi="宋体" w:cs="宋体"/>
          <w:color w:val="auto"/>
          <w:szCs w:val="21"/>
        </w:rPr>
        <w:t>分标规定的采购预算金额或者最高限价的，其响应文件将按无效响应处理。</w:t>
      </w:r>
    </w:p>
    <w:p w14:paraId="2E0EF49D">
      <w:pPr>
        <w:spacing w:line="360" w:lineRule="auto"/>
        <w:ind w:firstLine="420" w:firstLineChars="200"/>
        <w:rPr>
          <w:rFonts w:ascii="宋体" w:hAnsi="宋体" w:cs="宋体"/>
          <w:color w:val="auto"/>
          <w:szCs w:val="21"/>
        </w:rPr>
      </w:pPr>
      <w:r>
        <w:rPr>
          <w:rFonts w:ascii="宋体" w:hAnsi="宋体" w:cs="宋体"/>
          <w:color w:val="auto"/>
          <w:szCs w:val="21"/>
        </w:rPr>
        <w:t>15.3.3</w:t>
      </w:r>
      <w:r>
        <w:rPr>
          <w:rFonts w:hint="eastAsia" w:hAnsi="宋体" w:cs="宋体"/>
          <w:color w:val="auto"/>
          <w:szCs w:val="21"/>
        </w:rPr>
        <w:t>竞争性谈判</w:t>
      </w:r>
      <w:r>
        <w:rPr>
          <w:rFonts w:hint="eastAsia" w:ascii="宋体" w:hAnsi="宋体" w:cs="宋体"/>
          <w:color w:val="auto"/>
          <w:szCs w:val="21"/>
        </w:rPr>
        <w:t>报价（包含首次报价、最后报价）超过分项采购预算金额或者最高限价的，其响应文件将作无效处理。</w:t>
      </w:r>
    </w:p>
    <w:p w14:paraId="7AC4CBF6">
      <w:pPr>
        <w:spacing w:line="360" w:lineRule="auto"/>
        <w:ind w:firstLine="482" w:firstLineChars="200"/>
        <w:rPr>
          <w:rFonts w:ascii="宋体" w:hAnsi="宋体" w:cs="宋体"/>
          <w:b/>
          <w:bCs/>
          <w:color w:val="auto"/>
          <w:sz w:val="24"/>
        </w:rPr>
      </w:pPr>
      <w:r>
        <w:rPr>
          <w:rFonts w:hint="eastAsia" w:ascii="宋体" w:hAnsi="宋体" w:cs="宋体"/>
          <w:b/>
          <w:bCs/>
          <w:color w:val="auto"/>
          <w:sz w:val="24"/>
        </w:rPr>
        <w:t>16.竞争性谈判有效期</w:t>
      </w:r>
    </w:p>
    <w:p w14:paraId="143271B7">
      <w:pPr>
        <w:spacing w:line="360" w:lineRule="auto"/>
        <w:ind w:firstLine="420" w:firstLineChars="200"/>
        <w:rPr>
          <w:rFonts w:ascii="宋体" w:hAnsi="宋体" w:cs="宋体"/>
          <w:color w:val="auto"/>
          <w:szCs w:val="21"/>
        </w:rPr>
      </w:pPr>
      <w:r>
        <w:rPr>
          <w:rFonts w:hint="eastAsia" w:ascii="宋体" w:hAnsi="宋体" w:cs="宋体"/>
          <w:color w:val="auto"/>
          <w:szCs w:val="21"/>
        </w:rPr>
        <w:t>16.1</w:t>
      </w:r>
      <w:r>
        <w:rPr>
          <w:rFonts w:hint="eastAsia" w:hAnsi="宋体" w:cs="宋体"/>
          <w:color w:val="auto"/>
          <w:szCs w:val="21"/>
        </w:rPr>
        <w:t>竞争性谈判</w:t>
      </w:r>
      <w:r>
        <w:rPr>
          <w:rFonts w:hint="eastAsia" w:ascii="宋体" w:hAnsi="宋体" w:cs="宋体"/>
          <w:color w:val="auto"/>
          <w:szCs w:val="21"/>
        </w:rPr>
        <w:t>有效期是指为保证采购人有足够的时间在提交响应文件后完成评审、确定成交供应商、合同签订等工作而要求供应商提交的响应文件在一定时间内保持有效的期限。</w:t>
      </w:r>
    </w:p>
    <w:p w14:paraId="5AE61814">
      <w:pPr>
        <w:spacing w:line="360" w:lineRule="auto"/>
        <w:ind w:firstLine="420" w:firstLineChars="200"/>
        <w:rPr>
          <w:rFonts w:ascii="宋体" w:hAnsi="宋体" w:cs="宋体"/>
          <w:color w:val="auto"/>
          <w:szCs w:val="21"/>
        </w:rPr>
      </w:pPr>
      <w:r>
        <w:rPr>
          <w:rFonts w:hint="eastAsia" w:ascii="宋体" w:hAnsi="宋体" w:cs="宋体"/>
          <w:color w:val="auto"/>
          <w:szCs w:val="21"/>
        </w:rPr>
        <w:t>16.2</w:t>
      </w:r>
      <w:r>
        <w:rPr>
          <w:rFonts w:hint="eastAsia" w:hAnsi="宋体" w:cs="宋体"/>
          <w:color w:val="auto"/>
          <w:szCs w:val="21"/>
        </w:rPr>
        <w:t>竞争性谈判</w:t>
      </w:r>
      <w:r>
        <w:rPr>
          <w:rFonts w:hint="eastAsia" w:ascii="宋体" w:hAnsi="宋体" w:cs="宋体"/>
          <w:color w:val="auto"/>
          <w:szCs w:val="21"/>
        </w:rPr>
        <w:t>有效期应由供应商按“供应商须知前附表”规定的期限作出响应。</w:t>
      </w:r>
    </w:p>
    <w:p w14:paraId="2E19D818">
      <w:pPr>
        <w:spacing w:line="360" w:lineRule="auto"/>
        <w:ind w:firstLine="420" w:firstLineChars="200"/>
        <w:rPr>
          <w:rFonts w:ascii="宋体" w:hAnsi="宋体" w:cs="宋体"/>
          <w:color w:val="auto"/>
          <w:szCs w:val="21"/>
        </w:rPr>
      </w:pPr>
      <w:r>
        <w:rPr>
          <w:rFonts w:hint="eastAsia" w:ascii="宋体" w:hAnsi="宋体" w:cs="宋体"/>
          <w:color w:val="auto"/>
          <w:szCs w:val="21"/>
        </w:rPr>
        <w:t>16.3供应商的响应文件在</w:t>
      </w:r>
      <w:r>
        <w:rPr>
          <w:rFonts w:hint="eastAsia" w:hAnsi="宋体" w:cs="宋体"/>
          <w:color w:val="auto"/>
          <w:szCs w:val="21"/>
        </w:rPr>
        <w:t>竞争性谈判</w:t>
      </w:r>
      <w:r>
        <w:rPr>
          <w:rFonts w:hint="eastAsia" w:ascii="宋体" w:hAnsi="宋体" w:cs="宋体"/>
          <w:color w:val="auto"/>
          <w:szCs w:val="21"/>
        </w:rPr>
        <w:t>有效期内均保持有效。</w:t>
      </w:r>
    </w:p>
    <w:p w14:paraId="3F91EBA2">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17.谈判保证金</w:t>
      </w:r>
    </w:p>
    <w:p w14:paraId="549C016C">
      <w:pPr>
        <w:spacing w:line="360" w:lineRule="auto"/>
        <w:ind w:firstLine="420" w:firstLineChars="200"/>
        <w:rPr>
          <w:rFonts w:ascii="宋体" w:hAnsi="宋体" w:cs="宋体"/>
          <w:color w:val="auto"/>
          <w:szCs w:val="21"/>
        </w:rPr>
      </w:pPr>
      <w:r>
        <w:rPr>
          <w:rFonts w:hint="eastAsia" w:ascii="宋体" w:hAnsi="宋体" w:cs="宋体"/>
          <w:color w:val="auto"/>
          <w:szCs w:val="21"/>
        </w:rPr>
        <w:t>17.1供应商须按“供应商须知前附表”的规定提交谈判保证金。</w:t>
      </w:r>
    </w:p>
    <w:p w14:paraId="61B9EF18">
      <w:pPr>
        <w:spacing w:line="360" w:lineRule="auto"/>
        <w:ind w:firstLine="420" w:firstLineChars="200"/>
        <w:rPr>
          <w:rFonts w:ascii="宋体" w:hAnsi="宋体" w:cs="宋体"/>
          <w:color w:val="auto"/>
          <w:szCs w:val="21"/>
        </w:rPr>
      </w:pPr>
      <w:r>
        <w:rPr>
          <w:rFonts w:hint="eastAsia" w:ascii="宋体" w:hAnsi="宋体" w:cs="宋体"/>
          <w:color w:val="auto"/>
          <w:szCs w:val="21"/>
        </w:rPr>
        <w:t>17.2谈判保证金的退还</w:t>
      </w:r>
    </w:p>
    <w:p w14:paraId="29DD0FCC">
      <w:pPr>
        <w:spacing w:line="360" w:lineRule="auto"/>
        <w:ind w:firstLine="420" w:firstLineChars="200"/>
        <w:rPr>
          <w:rFonts w:ascii="宋体" w:hAnsi="宋体" w:cs="宋体"/>
          <w:color w:val="auto"/>
          <w:szCs w:val="21"/>
        </w:rPr>
      </w:pPr>
      <w:r>
        <w:rPr>
          <w:rFonts w:hint="eastAsia" w:ascii="宋体" w:hAnsi="宋体" w:cs="宋体"/>
          <w:color w:val="auto"/>
          <w:szCs w:val="21"/>
        </w:rPr>
        <w:t>未</w:t>
      </w:r>
      <w:r>
        <w:rPr>
          <w:rFonts w:hint="eastAsia" w:ascii="宋体" w:hAnsi="宋体" w:cs="宋体"/>
          <w:color w:val="auto"/>
          <w:spacing w:val="-6"/>
          <w:szCs w:val="21"/>
        </w:rPr>
        <w:t>成交</w:t>
      </w:r>
      <w:r>
        <w:rPr>
          <w:rFonts w:hint="eastAsia" w:ascii="宋体" w:hAnsi="宋体" w:cs="宋体"/>
          <w:color w:val="auto"/>
          <w:szCs w:val="21"/>
        </w:rPr>
        <w:t xml:space="preserve">供应商的谈判保证金自成交通知书发出之日起5个工作日内退还；成交供应商的谈判保证金自签订合同之日起5个工作日内退还。 </w:t>
      </w:r>
    </w:p>
    <w:p w14:paraId="6E733EA3">
      <w:pPr>
        <w:spacing w:line="360" w:lineRule="auto"/>
        <w:ind w:firstLine="420" w:firstLineChars="200"/>
        <w:rPr>
          <w:rFonts w:ascii="宋体" w:hAnsi="宋体" w:cs="宋体"/>
          <w:color w:val="auto"/>
          <w:szCs w:val="21"/>
        </w:rPr>
      </w:pPr>
      <w:r>
        <w:rPr>
          <w:rFonts w:hint="eastAsia" w:ascii="宋体" w:hAnsi="宋体" w:cs="宋体"/>
          <w:color w:val="auto"/>
          <w:szCs w:val="21"/>
        </w:rPr>
        <w:t>17.3谈判保证金不计息。</w:t>
      </w:r>
    </w:p>
    <w:p w14:paraId="107AA09B">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17.4供应商有下列情形之一的，谈判保证金将不予退还： </w:t>
      </w:r>
    </w:p>
    <w:p w14:paraId="02A1CBB1">
      <w:pPr>
        <w:spacing w:line="360" w:lineRule="auto"/>
        <w:ind w:firstLine="420" w:firstLineChars="200"/>
        <w:rPr>
          <w:rFonts w:ascii="宋体" w:hAnsi="宋体" w:cs="宋体"/>
          <w:color w:val="auto"/>
          <w:szCs w:val="21"/>
        </w:rPr>
      </w:pPr>
      <w:r>
        <w:rPr>
          <w:rFonts w:hint="eastAsia" w:ascii="宋体" w:hAnsi="宋体" w:cs="宋体"/>
          <w:color w:val="auto"/>
          <w:szCs w:val="21"/>
        </w:rPr>
        <w:t>（1）供应商在提交首次响应文件截止时间后撤回响应文件的，但在提交最后报价之前退出谈判的情况除外；</w:t>
      </w:r>
    </w:p>
    <w:p w14:paraId="27935C59">
      <w:pPr>
        <w:spacing w:line="360" w:lineRule="auto"/>
        <w:ind w:firstLine="420" w:firstLineChars="200"/>
        <w:rPr>
          <w:rFonts w:ascii="宋体" w:hAnsi="宋体" w:cs="宋体"/>
          <w:color w:val="auto"/>
          <w:szCs w:val="21"/>
        </w:rPr>
      </w:pPr>
      <w:r>
        <w:rPr>
          <w:rFonts w:hint="eastAsia" w:ascii="宋体" w:hAnsi="宋体" w:cs="宋体"/>
          <w:color w:val="auto"/>
          <w:szCs w:val="21"/>
        </w:rPr>
        <w:t>（2）未按规定提交履约保证金的；</w:t>
      </w:r>
    </w:p>
    <w:p w14:paraId="580755AA">
      <w:pPr>
        <w:spacing w:line="360" w:lineRule="auto"/>
        <w:ind w:firstLine="420" w:firstLineChars="200"/>
        <w:rPr>
          <w:rFonts w:ascii="宋体" w:hAnsi="宋体" w:cs="宋体"/>
          <w:color w:val="auto"/>
          <w:szCs w:val="21"/>
        </w:rPr>
      </w:pPr>
      <w:r>
        <w:rPr>
          <w:rFonts w:hint="eastAsia" w:ascii="宋体" w:hAnsi="宋体" w:cs="宋体"/>
          <w:color w:val="auto"/>
          <w:szCs w:val="21"/>
        </w:rPr>
        <w:t>（3）供应商在响应文件中提供虚假材料的；</w:t>
      </w:r>
    </w:p>
    <w:p w14:paraId="1D76707E">
      <w:pPr>
        <w:spacing w:line="360" w:lineRule="auto"/>
        <w:ind w:firstLine="420" w:firstLineChars="200"/>
        <w:rPr>
          <w:rFonts w:ascii="宋体" w:hAnsi="宋体" w:cs="宋体"/>
          <w:color w:val="auto"/>
          <w:szCs w:val="21"/>
        </w:rPr>
      </w:pPr>
      <w:r>
        <w:rPr>
          <w:rFonts w:hint="eastAsia" w:ascii="宋体" w:hAnsi="宋体" w:cs="宋体"/>
          <w:color w:val="auto"/>
          <w:szCs w:val="21"/>
        </w:rPr>
        <w:t>（4）除因不可抗力或者谈判文件认可的情形以外，成交供应商不与采购人签订合同的；</w:t>
      </w:r>
    </w:p>
    <w:p w14:paraId="2237CA26">
      <w:pPr>
        <w:spacing w:line="360" w:lineRule="auto"/>
        <w:ind w:firstLine="420" w:firstLineChars="200"/>
        <w:rPr>
          <w:rFonts w:ascii="宋体" w:hAnsi="宋体" w:cs="宋体"/>
          <w:color w:val="auto"/>
          <w:szCs w:val="21"/>
        </w:rPr>
      </w:pPr>
      <w:r>
        <w:rPr>
          <w:rFonts w:hint="eastAsia" w:ascii="宋体" w:hAnsi="宋体" w:cs="宋体"/>
          <w:color w:val="auto"/>
          <w:szCs w:val="21"/>
        </w:rPr>
        <w:t>（5）供应商与采购人、其他供应商或者采购代理机构恶意串通的；</w:t>
      </w:r>
    </w:p>
    <w:p w14:paraId="18F6EC28">
      <w:pPr>
        <w:spacing w:line="360" w:lineRule="auto"/>
        <w:ind w:firstLine="420" w:firstLineChars="200"/>
        <w:rPr>
          <w:rFonts w:ascii="宋体" w:hAnsi="宋体" w:cs="宋体"/>
          <w:color w:val="auto"/>
          <w:szCs w:val="21"/>
        </w:rPr>
      </w:pPr>
      <w:r>
        <w:rPr>
          <w:rFonts w:hint="eastAsia" w:ascii="宋体" w:hAnsi="宋体" w:cs="宋体"/>
          <w:color w:val="auto"/>
          <w:szCs w:val="21"/>
        </w:rPr>
        <w:t>（6）法律法规规定的其他情形。</w:t>
      </w:r>
    </w:p>
    <w:p w14:paraId="758F72D6">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18.响应文件编制的要求</w:t>
      </w:r>
    </w:p>
    <w:p w14:paraId="5D96E5A5">
      <w:pPr>
        <w:spacing w:line="360" w:lineRule="auto"/>
        <w:ind w:firstLine="420" w:firstLineChars="200"/>
        <w:rPr>
          <w:rFonts w:ascii="宋体" w:hAnsi="宋体" w:cs="宋体"/>
          <w:color w:val="auto"/>
          <w:szCs w:val="21"/>
        </w:rPr>
      </w:pPr>
      <w:r>
        <w:rPr>
          <w:rFonts w:hint="eastAsia" w:ascii="宋体" w:hAnsi="宋体" w:cs="宋体"/>
          <w:color w:val="auto"/>
          <w:szCs w:val="21"/>
        </w:rPr>
        <w:t>18.1供应商应按本谈判文件规定的格式和顺序编制、装订响应文件并标注页码，响应文件内容</w:t>
      </w:r>
      <w:r>
        <w:rPr>
          <w:rFonts w:hint="eastAsia" w:ascii="宋体" w:hAnsi="宋体" w:cs="宋体"/>
          <w:color w:val="auto"/>
          <w:spacing w:val="-6"/>
          <w:szCs w:val="21"/>
        </w:rPr>
        <w:t>不完整、编排混乱导致响应文件被误读、漏读或者查找不到相关内容的，</w:t>
      </w:r>
      <w:r>
        <w:rPr>
          <w:rFonts w:hint="eastAsia" w:ascii="宋体" w:hAnsi="宋体" w:cs="宋体"/>
          <w:color w:val="auto"/>
        </w:rPr>
        <w:t>由此引发的</w:t>
      </w:r>
      <w:r>
        <w:rPr>
          <w:rFonts w:hint="eastAsia" w:ascii="宋体" w:hAnsi="宋体" w:cs="宋体"/>
          <w:color w:val="auto"/>
          <w:spacing w:val="-6"/>
          <w:szCs w:val="21"/>
        </w:rPr>
        <w:t>后果由供应商承担。</w:t>
      </w:r>
    </w:p>
    <w:p w14:paraId="18589EED">
      <w:pPr>
        <w:spacing w:line="360" w:lineRule="auto"/>
        <w:ind w:firstLine="420" w:firstLineChars="200"/>
        <w:rPr>
          <w:rFonts w:ascii="宋体" w:hAnsi="宋体" w:cs="宋体"/>
          <w:color w:val="auto"/>
          <w:szCs w:val="21"/>
        </w:rPr>
      </w:pPr>
      <w:r>
        <w:rPr>
          <w:rFonts w:hint="eastAsia" w:ascii="宋体" w:hAnsi="宋体" w:cs="宋体"/>
          <w:color w:val="auto"/>
          <w:szCs w:val="21"/>
        </w:rPr>
        <w:t>18.2响应文件应按资格证明文件、报价商务技术文件分别编制电子文件，</w:t>
      </w:r>
      <w:r>
        <w:rPr>
          <w:rFonts w:hint="eastAsia" w:ascii="宋体" w:hAnsi="宋体" w:cs="宋体"/>
          <w:color w:val="auto"/>
          <w:szCs w:val="21"/>
          <w:lang w:bidi="ar"/>
        </w:rPr>
        <w:t>并按广西政府采购云平台的要求编制、加密、上传。</w:t>
      </w:r>
    </w:p>
    <w:p w14:paraId="5D82970F">
      <w:pPr>
        <w:spacing w:line="360" w:lineRule="auto"/>
        <w:ind w:firstLine="420" w:firstLineChars="200"/>
        <w:rPr>
          <w:rFonts w:ascii="宋体" w:hAnsi="宋体" w:cs="宋体"/>
          <w:color w:val="auto"/>
          <w:szCs w:val="21"/>
        </w:rPr>
      </w:pPr>
      <w:r>
        <w:rPr>
          <w:rFonts w:hint="eastAsia" w:ascii="宋体" w:hAnsi="宋体" w:cs="宋体"/>
          <w:color w:val="auto"/>
          <w:szCs w:val="21"/>
        </w:rPr>
        <w:t>18.</w:t>
      </w:r>
      <w:bookmarkStart w:id="25" w:name="_Hlk65832699"/>
      <w:r>
        <w:rPr>
          <w:rFonts w:hint="eastAsia" w:ascii="宋体" w:hAnsi="宋体" w:cs="宋体"/>
          <w:color w:val="auto"/>
          <w:szCs w:val="21"/>
        </w:rPr>
        <w:t>3响应文件须由供应商在规定位置盖公章并签字</w:t>
      </w:r>
      <w:bookmarkStart w:id="26" w:name="_Hlk65832569"/>
      <w:r>
        <w:rPr>
          <w:rFonts w:hint="eastAsia" w:ascii="宋体" w:hAnsi="宋体" w:cs="宋体"/>
          <w:color w:val="auto"/>
          <w:szCs w:val="21"/>
        </w:rPr>
        <w:t>（具体以供应商须知前附表或响应文件格式规定为准）</w:t>
      </w:r>
      <w:bookmarkEnd w:id="25"/>
      <w:bookmarkEnd w:id="26"/>
      <w:r>
        <w:rPr>
          <w:rFonts w:hint="eastAsia" w:ascii="宋体" w:hAnsi="宋体" w:cs="宋体"/>
          <w:color w:val="auto"/>
          <w:szCs w:val="21"/>
        </w:rPr>
        <w:t>，否则其响应文件按无效响应处理。</w:t>
      </w:r>
    </w:p>
    <w:p w14:paraId="1C33E5A1">
      <w:pPr>
        <w:spacing w:line="360" w:lineRule="auto"/>
        <w:ind w:firstLine="420" w:firstLineChars="200"/>
        <w:rPr>
          <w:rFonts w:ascii="宋体" w:hAnsi="宋体" w:cs="宋体"/>
          <w:color w:val="auto"/>
          <w:szCs w:val="21"/>
        </w:rPr>
      </w:pPr>
      <w:r>
        <w:rPr>
          <w:rFonts w:hint="eastAsia" w:ascii="宋体" w:hAnsi="宋体" w:cs="宋体"/>
          <w:color w:val="auto"/>
          <w:szCs w:val="21"/>
        </w:rPr>
        <w:t>18.4响应文件中标注的供应商名称应与营业执照（事业单位法人证书、执业许可证、自然人身份证）及公章一致，否则其响应文件按无效响应处理。</w:t>
      </w:r>
    </w:p>
    <w:p w14:paraId="72A0AEEC">
      <w:pPr>
        <w:spacing w:line="360" w:lineRule="auto"/>
        <w:ind w:firstLine="420" w:firstLineChars="200"/>
        <w:rPr>
          <w:rFonts w:ascii="宋体" w:hAnsi="宋体" w:cs="宋体"/>
          <w:color w:val="auto"/>
          <w:szCs w:val="21"/>
        </w:rPr>
      </w:pPr>
      <w:r>
        <w:rPr>
          <w:rFonts w:hint="eastAsia" w:ascii="宋体" w:hAnsi="宋体" w:cs="宋体"/>
          <w:color w:val="auto"/>
          <w:szCs w:val="21"/>
        </w:rPr>
        <w:t>18.5响应文件应尽量避免涂改、行间插字或者删除。如果出现上述情况，改动之处应由供应商的法定代表人或者其委托代理人签字或者加盖公章。响应文件因涂改、行间插字或者删除导致字迹潦草或者表达不清所引起的后果由供应商承担。</w:t>
      </w:r>
    </w:p>
    <w:p w14:paraId="2DB940F1">
      <w:pPr>
        <w:spacing w:line="360" w:lineRule="auto"/>
        <w:ind w:firstLine="482" w:firstLineChars="200"/>
        <w:rPr>
          <w:rFonts w:ascii="宋体" w:hAnsi="宋体" w:cs="宋体"/>
          <w:b/>
          <w:bCs/>
          <w:color w:val="auto"/>
          <w:sz w:val="32"/>
          <w:szCs w:val="32"/>
        </w:rPr>
      </w:pPr>
      <w:r>
        <w:rPr>
          <w:rFonts w:hint="eastAsia" w:ascii="宋体" w:hAnsi="宋体" w:cs="宋体"/>
          <w:b/>
          <w:color w:val="auto"/>
          <w:sz w:val="24"/>
        </w:rPr>
        <w:t>19.响应文件的加密、解密</w:t>
      </w:r>
    </w:p>
    <w:p w14:paraId="5126C5A5">
      <w:pPr>
        <w:spacing w:line="360" w:lineRule="auto"/>
        <w:ind w:firstLine="420" w:firstLineChars="200"/>
        <w:rPr>
          <w:rFonts w:ascii="宋体" w:hAnsi="宋体" w:cs="宋体"/>
          <w:color w:val="auto"/>
          <w:szCs w:val="21"/>
        </w:rPr>
      </w:pPr>
      <w:r>
        <w:rPr>
          <w:rFonts w:hint="eastAsia" w:ascii="宋体" w:hAnsi="宋体" w:cs="宋体"/>
          <w:color w:val="auto"/>
          <w:szCs w:val="21"/>
        </w:rPr>
        <w:t>19.1电子响应文件编制完成后，供应商应按广西政府采购云平台的要求进行加密，并在规定时间内解密，否则，由此产生的后果由供应商自行负责。</w:t>
      </w:r>
    </w:p>
    <w:p w14:paraId="2B5E8C57">
      <w:pPr>
        <w:pStyle w:val="40"/>
        <w:ind w:firstLine="420" w:firstLineChars="200"/>
        <w:rPr>
          <w:color w:val="auto"/>
          <w:sz w:val="18"/>
          <w:szCs w:val="20"/>
        </w:rPr>
      </w:pPr>
      <w:r>
        <w:rPr>
          <w:rFonts w:hint="eastAsia" w:ascii="宋体" w:hAnsi="宋体" w:cs="宋体"/>
          <w:color w:val="auto"/>
          <w:szCs w:val="20"/>
        </w:rPr>
        <w:t>19.</w:t>
      </w:r>
      <w:r>
        <w:rPr>
          <w:rFonts w:ascii="宋体" w:hAnsi="宋体" w:cs="宋体"/>
          <w:color w:val="auto"/>
          <w:szCs w:val="20"/>
        </w:rPr>
        <w:t>2</w:t>
      </w:r>
      <w:r>
        <w:rPr>
          <w:rFonts w:hint="eastAsia" w:ascii="宋体" w:hAnsi="宋体" w:cs="宋体"/>
          <w:color w:val="auto"/>
          <w:szCs w:val="20"/>
        </w:rPr>
        <w:t>本项目不接受电子备份响应文件。</w:t>
      </w:r>
    </w:p>
    <w:p w14:paraId="071D35B9">
      <w:pPr>
        <w:spacing w:line="360" w:lineRule="auto"/>
        <w:ind w:firstLine="482" w:firstLineChars="200"/>
        <w:rPr>
          <w:rFonts w:ascii="宋体" w:hAnsi="宋体" w:cs="宋体"/>
          <w:b/>
          <w:bCs/>
          <w:color w:val="auto"/>
          <w:sz w:val="24"/>
        </w:rPr>
      </w:pPr>
      <w:r>
        <w:rPr>
          <w:rFonts w:hint="eastAsia" w:ascii="宋体" w:hAnsi="宋体" w:cs="宋体"/>
          <w:b/>
          <w:bCs/>
          <w:color w:val="auto"/>
          <w:sz w:val="24"/>
        </w:rPr>
        <w:t>20.响应文件的提交</w:t>
      </w:r>
    </w:p>
    <w:p w14:paraId="3B0A4460">
      <w:pPr>
        <w:widowControl/>
        <w:spacing w:line="360" w:lineRule="auto"/>
        <w:ind w:firstLine="420" w:firstLineChars="200"/>
        <w:rPr>
          <w:rFonts w:ascii="宋体" w:hAnsi="宋体" w:cs="宋体"/>
          <w:color w:val="auto"/>
          <w:szCs w:val="21"/>
        </w:rPr>
      </w:pPr>
      <w:r>
        <w:rPr>
          <w:rFonts w:hint="eastAsia" w:ascii="宋体" w:hAnsi="宋体" w:cs="宋体"/>
          <w:color w:val="auto"/>
          <w:szCs w:val="21"/>
        </w:rPr>
        <w:t>20.1供应商必须在“供应商须知前附表”规定的时间和地点提交响应文件。</w:t>
      </w:r>
    </w:p>
    <w:p w14:paraId="1449CFEE">
      <w:pPr>
        <w:widowControl/>
        <w:spacing w:line="360" w:lineRule="auto"/>
        <w:ind w:firstLine="420" w:firstLineChars="200"/>
        <w:rPr>
          <w:rFonts w:ascii="宋体" w:hAnsi="宋体" w:cs="宋体"/>
          <w:b/>
          <w:color w:val="auto"/>
          <w:szCs w:val="21"/>
          <w:lang w:bidi="ar"/>
        </w:rPr>
      </w:pPr>
      <w:r>
        <w:rPr>
          <w:rFonts w:hint="eastAsia" w:ascii="宋体" w:hAnsi="宋体" w:cs="宋体"/>
          <w:color w:val="auto"/>
          <w:szCs w:val="21"/>
        </w:rPr>
        <w:t>20.</w:t>
      </w:r>
      <w:r>
        <w:rPr>
          <w:rFonts w:ascii="宋体" w:hAnsi="宋体" w:cs="宋体"/>
          <w:color w:val="auto"/>
          <w:szCs w:val="21"/>
        </w:rPr>
        <w:t>2</w:t>
      </w:r>
      <w:r>
        <w:rPr>
          <w:rFonts w:hint="eastAsia" w:ascii="宋体" w:hAnsi="宋体" w:cs="宋体"/>
          <w:color w:val="auto"/>
          <w:szCs w:val="21"/>
          <w:lang w:bidi="ar"/>
        </w:rPr>
        <w:t>本项目为全流程电子化政府采购项目，通过广西政府采购云平台（https://www.gcy.zfcg.gxzf.gov.cn/）实行在线电子竞争性谈判，供应商应先安装“广西政府采购云平台电子交易客户端”（请自行前往广西政府采购云平台进行下载），并按照本项目竞争性谈判文件和广西政府采购云平台的要求编制、加密后在首次响应文件提交截止时间前通过网络上传至广西政府采购云平台，</w:t>
      </w:r>
      <w:r>
        <w:rPr>
          <w:rFonts w:hint="eastAsia" w:ascii="宋体" w:hAnsi="宋体" w:cs="宋体"/>
          <w:b/>
          <w:color w:val="auto"/>
          <w:szCs w:val="21"/>
          <w:lang w:bidi="ar"/>
        </w:rPr>
        <w:t>供应商在广西政府采购云平台提交电子版响应文件时，请填写参加远程开标活动经办人联系方式。</w:t>
      </w:r>
    </w:p>
    <w:p w14:paraId="7EABA5C0">
      <w:pPr>
        <w:pStyle w:val="6"/>
        <w:keepNext w:val="0"/>
        <w:keepLines w:val="0"/>
        <w:spacing w:before="0" w:after="0" w:line="360" w:lineRule="auto"/>
        <w:ind w:firstLine="420" w:firstLineChars="200"/>
        <w:jc w:val="left"/>
        <w:rPr>
          <w:rFonts w:ascii="宋体" w:hAnsi="宋体" w:cs="宋体"/>
          <w:b w:val="0"/>
          <w:color w:val="auto"/>
          <w:sz w:val="21"/>
          <w:szCs w:val="21"/>
        </w:rPr>
      </w:pPr>
      <w:r>
        <w:rPr>
          <w:rFonts w:hint="eastAsia" w:ascii="宋体" w:hAnsi="宋体" w:cs="宋体"/>
          <w:b w:val="0"/>
          <w:color w:val="auto"/>
          <w:sz w:val="21"/>
          <w:szCs w:val="21"/>
        </w:rPr>
        <w:t>20.</w:t>
      </w:r>
      <w:r>
        <w:rPr>
          <w:rFonts w:ascii="宋体" w:hAnsi="宋体" w:cs="宋体"/>
          <w:b w:val="0"/>
          <w:color w:val="auto"/>
          <w:sz w:val="21"/>
          <w:szCs w:val="21"/>
        </w:rPr>
        <w:t>3</w:t>
      </w:r>
      <w:r>
        <w:rPr>
          <w:rFonts w:hint="eastAsia" w:ascii="宋体" w:hAnsi="宋体" w:cs="宋体"/>
          <w:b w:val="0"/>
          <w:color w:val="auto"/>
          <w:sz w:val="21"/>
          <w:szCs w:val="21"/>
        </w:rPr>
        <w:t>未在规定时间内上传或者未按广西政府采购云平台的要求编制、加密的电子响应文件，广西政府采购云平台将拒收。</w:t>
      </w:r>
    </w:p>
    <w:p w14:paraId="55EF3A8E">
      <w:pPr>
        <w:widowControl/>
        <w:spacing w:line="360" w:lineRule="auto"/>
        <w:ind w:firstLine="420" w:firstLineChars="200"/>
        <w:rPr>
          <w:rFonts w:ascii="宋体" w:hAnsi="宋体" w:cs="宋体"/>
          <w:color w:val="auto"/>
          <w:sz w:val="24"/>
        </w:rPr>
      </w:pPr>
      <w:r>
        <w:rPr>
          <w:rFonts w:hint="eastAsia" w:ascii="宋体" w:hAnsi="宋体" w:cs="宋体"/>
          <w:color w:val="auto"/>
          <w:szCs w:val="21"/>
        </w:rPr>
        <w:t>20.</w:t>
      </w:r>
      <w:r>
        <w:rPr>
          <w:rFonts w:ascii="宋体" w:hAnsi="宋体" w:cs="宋体"/>
          <w:color w:val="auto"/>
          <w:szCs w:val="21"/>
        </w:rPr>
        <w:t>4</w:t>
      </w:r>
      <w:r>
        <w:rPr>
          <w:rFonts w:hint="eastAsia" w:ascii="宋体" w:hAnsi="宋体" w:cs="宋体"/>
          <w:color w:val="auto"/>
          <w:szCs w:val="21"/>
        </w:rPr>
        <w:t>电子响应文件提交方式见“竞争性谈判公告”中“四、响应文件提交”。</w:t>
      </w:r>
    </w:p>
    <w:p w14:paraId="18877380">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21.首次响应文件的补充、修改与撤回</w:t>
      </w:r>
    </w:p>
    <w:p w14:paraId="38A5F686">
      <w:pPr>
        <w:spacing w:line="360" w:lineRule="auto"/>
        <w:ind w:firstLine="420" w:firstLineChars="200"/>
        <w:rPr>
          <w:rFonts w:ascii="宋体" w:hAnsi="宋体" w:cs="宋体"/>
          <w:color w:val="auto"/>
          <w:szCs w:val="21"/>
        </w:rPr>
      </w:pPr>
      <w:r>
        <w:rPr>
          <w:rFonts w:hint="eastAsia" w:ascii="宋体" w:hAnsi="宋体" w:cs="宋体"/>
          <w:bCs/>
          <w:color w:val="auto"/>
          <w:szCs w:val="21"/>
          <w:lang w:bidi="ar"/>
        </w:rPr>
        <w:t>21.1供应商应当在首次响应文件提交截止时间前完成电子响应文件的上传、递交，首次响应文件提交截止时间前可以补充、修改或者撤回响应文件。补充或者修改响应文件的，应当先行撤回原文件，补充、修改后重新上传、递交。首次响应文件提交截止时间前未完成上传、递交的，视为撤回响应文件。首次响应文件提交截止时间以后上传递交的响应文件，广西政府采购云平台将予以拒收。</w:t>
      </w:r>
    </w:p>
    <w:p w14:paraId="3D9CDFE0">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22.首次响应文件的退回</w:t>
      </w:r>
    </w:p>
    <w:p w14:paraId="1CAD3A8D">
      <w:pPr>
        <w:spacing w:line="360" w:lineRule="auto"/>
        <w:ind w:firstLine="420" w:firstLineChars="200"/>
        <w:rPr>
          <w:rFonts w:ascii="宋体" w:hAnsi="宋体" w:cs="宋体"/>
          <w:color w:val="auto"/>
          <w:sz w:val="24"/>
        </w:rPr>
      </w:pPr>
      <w:r>
        <w:rPr>
          <w:rFonts w:hint="eastAsia" w:ascii="宋体" w:hAnsi="宋体" w:cs="宋体"/>
          <w:color w:val="auto"/>
          <w:szCs w:val="21"/>
        </w:rPr>
        <w:t>22.1在首次响应文件提交截止时间止提交响应文件的供应商不足3家时，采购代理机构将根据广西政府采购云平台的操作将电子版响应文件退回，除此之外采购人和采购代理机构对已提交的电子响应文件概不退回。</w:t>
      </w:r>
    </w:p>
    <w:p w14:paraId="0E15CC75">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23.截止时间后的撤回</w:t>
      </w:r>
    </w:p>
    <w:p w14:paraId="06CFD8F4">
      <w:pPr>
        <w:spacing w:line="360" w:lineRule="auto"/>
        <w:ind w:firstLine="420" w:firstLineChars="200"/>
        <w:rPr>
          <w:rFonts w:ascii="宋体" w:hAnsi="宋体" w:cs="宋体"/>
          <w:color w:val="auto"/>
          <w:szCs w:val="21"/>
        </w:rPr>
      </w:pPr>
      <w:r>
        <w:rPr>
          <w:rFonts w:hint="eastAsia" w:ascii="宋体" w:hAnsi="宋体" w:cs="宋体"/>
          <w:color w:val="auto"/>
          <w:szCs w:val="21"/>
        </w:rPr>
        <w:t>23.1供应商在首次响应文件提交截止时间后书面通知采购人、采购代理机构书面撤回响应文件的，将根据本须知正文17.4的规定不予退还其谈判保证金。</w:t>
      </w:r>
    </w:p>
    <w:p w14:paraId="6DF1679C">
      <w:pPr>
        <w:spacing w:line="360" w:lineRule="auto"/>
        <w:ind w:firstLine="480" w:firstLineChars="200"/>
        <w:rPr>
          <w:rFonts w:ascii="宋体" w:hAnsi="宋体" w:cs="宋体"/>
          <w:color w:val="auto"/>
          <w:sz w:val="24"/>
        </w:rPr>
      </w:pPr>
    </w:p>
    <w:p w14:paraId="54FF3CDA">
      <w:pPr>
        <w:spacing w:line="360" w:lineRule="auto"/>
        <w:jc w:val="center"/>
        <w:rPr>
          <w:rFonts w:ascii="宋体" w:hAnsi="宋体" w:cs="宋体"/>
          <w:b/>
          <w:color w:val="auto"/>
          <w:sz w:val="40"/>
          <w:szCs w:val="40"/>
        </w:rPr>
      </w:pPr>
      <w:r>
        <w:rPr>
          <w:rFonts w:hint="eastAsia" w:ascii="宋体" w:hAnsi="宋体" w:cs="宋体"/>
          <w:b/>
          <w:color w:val="auto"/>
          <w:sz w:val="40"/>
          <w:szCs w:val="40"/>
        </w:rPr>
        <w:t>四、评审及谈判</w:t>
      </w:r>
    </w:p>
    <w:p w14:paraId="13972D85">
      <w:pPr>
        <w:spacing w:line="360" w:lineRule="auto"/>
        <w:ind w:firstLine="420"/>
        <w:rPr>
          <w:rFonts w:ascii="宋体" w:hAnsi="宋体" w:cs="宋体"/>
          <w:color w:val="auto"/>
          <w:sz w:val="24"/>
        </w:rPr>
      </w:pPr>
    </w:p>
    <w:p w14:paraId="5BF1B4E8">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24.谈判小组成立</w:t>
      </w:r>
    </w:p>
    <w:p w14:paraId="52D7CDA3">
      <w:pPr>
        <w:spacing w:line="360" w:lineRule="auto"/>
        <w:ind w:firstLine="420" w:firstLineChars="200"/>
        <w:rPr>
          <w:rFonts w:ascii="宋体" w:hAnsi="宋体" w:cs="宋体"/>
          <w:color w:val="auto"/>
          <w:szCs w:val="21"/>
        </w:rPr>
      </w:pPr>
      <w:r>
        <w:rPr>
          <w:rFonts w:hint="eastAsia" w:ascii="宋体" w:hAnsi="宋体" w:cs="宋体"/>
          <w:color w:val="auto"/>
          <w:szCs w:val="21"/>
        </w:rPr>
        <w:t>24.1竞争性谈判小组成立：谈判小组由采购人代表和评审专家共3人以上单数组成，具体人数详见“供应商须知前附表”，其中评审专家人数不得少于竞争性谈判小组成员总数的2/3。采购人不得以评审专家身份参加本部门或者本单位采购项目的评审。采购代理机构人员不得参加本机构代理的采购项目的评审。达到公开招标数额标准的货物或者服务采购项目，或者达到招标规模标准的政府采购工程，竞争性谈判小组应当由5人以上单数组成。</w:t>
      </w:r>
    </w:p>
    <w:p w14:paraId="195106FA">
      <w:pPr>
        <w:spacing w:line="360" w:lineRule="auto"/>
        <w:ind w:firstLine="420" w:firstLineChars="200"/>
        <w:rPr>
          <w:rFonts w:ascii="宋体" w:hAnsi="宋体" w:cs="宋体"/>
          <w:color w:val="auto"/>
          <w:szCs w:val="21"/>
        </w:rPr>
      </w:pPr>
      <w:r>
        <w:rPr>
          <w:rFonts w:hint="eastAsia" w:ascii="宋体" w:hAnsi="宋体" w:cs="宋体"/>
          <w:color w:val="auto"/>
          <w:szCs w:val="21"/>
        </w:rPr>
        <w:t>24.2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14:paraId="78D3E4F0">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25.首次响应文件的开启</w:t>
      </w:r>
    </w:p>
    <w:p w14:paraId="71E7D62E">
      <w:pPr>
        <w:spacing w:line="360" w:lineRule="auto"/>
        <w:ind w:firstLine="420" w:firstLineChars="200"/>
        <w:rPr>
          <w:rFonts w:ascii="宋体" w:hAnsi="宋体" w:cs="宋体"/>
          <w:color w:val="auto"/>
          <w:szCs w:val="21"/>
        </w:rPr>
      </w:pPr>
      <w:r>
        <w:rPr>
          <w:rFonts w:hint="eastAsia" w:ascii="宋体" w:hAnsi="宋体" w:cs="宋体"/>
          <w:color w:val="auto"/>
          <w:szCs w:val="21"/>
        </w:rPr>
        <w:t>25.1首次响应文件由谈判小组或者采购代理机构在“供应商须知前附表”规定的时间开启。</w:t>
      </w:r>
    </w:p>
    <w:p w14:paraId="75224A57">
      <w:pPr>
        <w:spacing w:line="360" w:lineRule="auto"/>
        <w:ind w:firstLine="420" w:firstLineChars="200"/>
        <w:rPr>
          <w:rFonts w:ascii="宋体" w:hAnsi="宋体" w:cs="宋体"/>
          <w:color w:val="auto"/>
          <w:szCs w:val="21"/>
        </w:rPr>
      </w:pPr>
      <w:r>
        <w:rPr>
          <w:rFonts w:hint="eastAsia" w:ascii="宋体" w:hAnsi="宋体" w:cs="宋体"/>
          <w:color w:val="auto"/>
          <w:szCs w:val="21"/>
        </w:rPr>
        <w:t>25.2 响应文件解密：采购代理机构将在“供应商须知前附表”规定的时间通过电子交易平台组织响应文件开启，采购代理机构将依托电子交易平台发起开始解密指令，</w:t>
      </w:r>
      <w:r>
        <w:rPr>
          <w:rFonts w:hint="eastAsia" w:ascii="宋体" w:hAnsi="宋体" w:cs="宋体"/>
          <w:b/>
          <w:color w:val="auto"/>
          <w:szCs w:val="21"/>
        </w:rPr>
        <w:t>供应商的法定代表人或其委托代理人须携带加密时所用的CA锁按平台提示和采购文件的规定登录到广西政府采购云平台电子开标大厅签到并在发起解密指令之时起30分钟内完成对电子响应文件在线解密。</w:t>
      </w:r>
      <w:r>
        <w:rPr>
          <w:rFonts w:hint="eastAsia" w:ascii="宋体" w:hAnsi="宋体" w:cs="宋体"/>
          <w:b/>
          <w:bCs/>
          <w:color w:val="auto"/>
          <w:szCs w:val="21"/>
        </w:rPr>
        <w:t>响应文件未按时解密的，视为响应文件无效。</w:t>
      </w:r>
      <w:r>
        <w:rPr>
          <w:rFonts w:hint="eastAsia" w:ascii="宋体" w:hAnsi="宋体" w:cs="宋体"/>
          <w:color w:val="auto"/>
          <w:szCs w:val="21"/>
        </w:rPr>
        <w:t>（解密异常情况处理：详见本章26.2电子交易活动的中止。）</w:t>
      </w:r>
    </w:p>
    <w:p w14:paraId="6DAA3B9E">
      <w:pPr>
        <w:spacing w:line="360" w:lineRule="auto"/>
        <w:ind w:firstLine="420" w:firstLineChars="200"/>
        <w:rPr>
          <w:rFonts w:ascii="宋体" w:hAnsi="宋体" w:cs="宋体"/>
          <w:color w:val="auto"/>
          <w:szCs w:val="21"/>
        </w:rPr>
      </w:pPr>
      <w:r>
        <w:rPr>
          <w:rFonts w:hint="eastAsia" w:ascii="宋体" w:hAnsi="宋体" w:cs="宋体"/>
          <w:color w:val="auto"/>
          <w:szCs w:val="21"/>
        </w:rPr>
        <w:t>25.3成功解密响应文件的供应商不足3家的，不得谈判。</w:t>
      </w:r>
    </w:p>
    <w:p w14:paraId="45FDA97C">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26.评审程序和评定成交的标准</w:t>
      </w:r>
    </w:p>
    <w:p w14:paraId="19CF3920">
      <w:pPr>
        <w:spacing w:line="360" w:lineRule="auto"/>
        <w:ind w:firstLine="420" w:firstLineChars="200"/>
        <w:rPr>
          <w:rFonts w:ascii="宋体" w:hAnsi="宋体" w:cs="宋体"/>
          <w:color w:val="auto"/>
          <w:szCs w:val="21"/>
        </w:rPr>
      </w:pPr>
      <w:r>
        <w:rPr>
          <w:rFonts w:hint="eastAsia" w:ascii="宋体" w:hAnsi="宋体" w:cs="宋体"/>
          <w:color w:val="auto"/>
          <w:szCs w:val="21"/>
        </w:rPr>
        <w:t>26.1谈判小组按照“第四章  评审程序和评定成交的标准”规定的评审程序对响应文件进行评审，并按照评定成交的标准推荐成交候选供应商。</w:t>
      </w:r>
    </w:p>
    <w:p w14:paraId="05E380D6">
      <w:pPr>
        <w:spacing w:line="360" w:lineRule="auto"/>
        <w:ind w:firstLine="420" w:firstLineChars="200"/>
        <w:rPr>
          <w:rFonts w:ascii="宋体" w:hAnsi="宋体" w:cs="宋体"/>
          <w:color w:val="auto"/>
          <w:szCs w:val="21"/>
        </w:rPr>
      </w:pPr>
      <w:r>
        <w:rPr>
          <w:rFonts w:hint="eastAsia" w:ascii="宋体" w:hAnsi="宋体" w:cs="宋体"/>
          <w:color w:val="auto"/>
          <w:szCs w:val="21"/>
        </w:rPr>
        <w:t>26.2电子交易活动的中止。采购过程中出现以下情形，导致电子交易平台无法正常运行，或者无法保证电子交易的公平、公正和安全时，采购机构可中止电子交易活动：</w:t>
      </w:r>
    </w:p>
    <w:p w14:paraId="5EB3E87F">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（1）电子交易平台发生故障而无法登录访问的； </w:t>
      </w:r>
    </w:p>
    <w:p w14:paraId="26A635A9">
      <w:pPr>
        <w:spacing w:line="360" w:lineRule="auto"/>
        <w:ind w:firstLine="420" w:firstLineChars="200"/>
        <w:rPr>
          <w:rFonts w:ascii="宋体" w:hAnsi="宋体" w:cs="宋体"/>
          <w:color w:val="auto"/>
          <w:szCs w:val="21"/>
        </w:rPr>
      </w:pPr>
      <w:r>
        <w:rPr>
          <w:rFonts w:hint="eastAsia" w:ascii="宋体" w:hAnsi="宋体" w:cs="宋体"/>
          <w:color w:val="auto"/>
          <w:szCs w:val="21"/>
        </w:rPr>
        <w:t>（2）电子交易平台应用或数据库出现错误，不能进行正常操作的；</w:t>
      </w:r>
    </w:p>
    <w:p w14:paraId="64A021E1">
      <w:pPr>
        <w:spacing w:line="360" w:lineRule="auto"/>
        <w:ind w:firstLine="420" w:firstLineChars="200"/>
        <w:rPr>
          <w:rFonts w:ascii="宋体" w:hAnsi="宋体" w:cs="宋体"/>
          <w:color w:val="auto"/>
          <w:szCs w:val="21"/>
        </w:rPr>
      </w:pPr>
      <w:r>
        <w:rPr>
          <w:rFonts w:hint="eastAsia" w:ascii="宋体" w:hAnsi="宋体" w:cs="宋体"/>
          <w:color w:val="auto"/>
          <w:szCs w:val="21"/>
        </w:rPr>
        <w:t>（3）电子交易平台发现严重安全漏洞，有潜在泄密危险的；</w:t>
      </w:r>
    </w:p>
    <w:p w14:paraId="284A8B18">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（4）病毒发作导致不能进行正常操作的； </w:t>
      </w:r>
    </w:p>
    <w:p w14:paraId="0B3C9419">
      <w:pPr>
        <w:spacing w:line="360" w:lineRule="auto"/>
        <w:ind w:firstLine="420" w:firstLineChars="200"/>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5</w:t>
      </w:r>
      <w:r>
        <w:rPr>
          <w:rFonts w:hint="eastAsia" w:ascii="宋体" w:hAnsi="宋体" w:cs="宋体"/>
          <w:color w:val="auto"/>
          <w:szCs w:val="21"/>
        </w:rPr>
        <w:t>）其他无法保证电子交易的公平、公正和安全的情况。</w:t>
      </w:r>
    </w:p>
    <w:p w14:paraId="3985BC39">
      <w:pPr>
        <w:spacing w:line="360" w:lineRule="auto"/>
        <w:ind w:firstLine="420" w:firstLineChars="200"/>
        <w:rPr>
          <w:rFonts w:ascii="宋体" w:hAnsi="宋体" w:cs="宋体"/>
          <w:color w:val="auto"/>
          <w:szCs w:val="21"/>
        </w:rPr>
      </w:pPr>
      <w:r>
        <w:rPr>
          <w:rFonts w:hint="eastAsia" w:ascii="宋体" w:hAnsi="宋体" w:cs="宋体"/>
          <w:color w:val="auto"/>
          <w:szCs w:val="21"/>
        </w:rPr>
        <w:t>26.3出现以上情形，不影响采购公平、公正性的，采购代理机构可以待上述情形消除后继续组织电子交易活动；影响或可能影响采购公平、公正性的，经采购代理机构确认后，应当重新采购。</w:t>
      </w:r>
    </w:p>
    <w:p w14:paraId="6EA045ED">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27.确定成交供应商及结果公告</w:t>
      </w:r>
    </w:p>
    <w:p w14:paraId="52BD4170">
      <w:pPr>
        <w:spacing w:line="360" w:lineRule="auto"/>
        <w:ind w:firstLine="420" w:firstLineChars="200"/>
        <w:rPr>
          <w:rFonts w:ascii="宋体" w:hAnsi="宋体" w:cs="宋体"/>
          <w:color w:val="auto"/>
          <w:szCs w:val="21"/>
        </w:rPr>
      </w:pPr>
      <w:r>
        <w:rPr>
          <w:rFonts w:hint="eastAsia" w:ascii="宋体" w:hAnsi="宋体" w:cs="宋体"/>
          <w:color w:val="auto"/>
          <w:szCs w:val="21"/>
        </w:rPr>
        <w:t>27.1 采购代理机构应当在评审结束后2个工作日内将评审报告送采购人确认。采购人应当在收到评审报告后5个工作日内，将评审报告提出的排名第一的成交候选人确定为成交供应商，也可以书面授权谈判小组直接确定成交供应商。采购人逾期未确定成交供应商且不提出异议的，视为确定评审报告提出的排名第一的成交候选人为成交供应商。</w:t>
      </w:r>
    </w:p>
    <w:p w14:paraId="46254FF1">
      <w:pPr>
        <w:pStyle w:val="9"/>
        <w:spacing w:line="360" w:lineRule="auto"/>
        <w:ind w:firstLine="420" w:firstLineChars="200"/>
        <w:jc w:val="both"/>
        <w:rPr>
          <w:rFonts w:ascii="宋体" w:hAnsi="宋体" w:cs="宋体"/>
          <w:color w:val="auto"/>
          <w:kern w:val="0"/>
          <w:szCs w:val="21"/>
        </w:rPr>
      </w:pPr>
      <w:r>
        <w:rPr>
          <w:rFonts w:hint="eastAsia" w:ascii="宋体" w:hAnsi="宋体" w:cs="宋体"/>
          <w:color w:val="auto"/>
          <w:kern w:val="0"/>
          <w:szCs w:val="21"/>
        </w:rPr>
        <w:t>27.2采购代理机构应当在成交供应商确定后2个工作日内，在省级以上财政部门指定的媒体上公告成交结果，同时向成交供应商发出成交通知书。</w:t>
      </w:r>
      <w:r>
        <w:rPr>
          <w:rFonts w:hint="eastAsia" w:ascii="宋体" w:hAnsi="宋体" w:cs="宋体"/>
          <w:b/>
          <w:color w:val="auto"/>
          <w:kern w:val="0"/>
          <w:szCs w:val="21"/>
        </w:rPr>
        <w:t>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w:t>
      </w:r>
      <w:r>
        <w:rPr>
          <w:rFonts w:hint="eastAsia" w:ascii="宋体" w:hAnsi="宋体" w:cs="宋体"/>
          <w:color w:val="auto"/>
          <w:kern w:val="0"/>
          <w:szCs w:val="21"/>
        </w:rPr>
        <w:t>排名第二的成交候选人因上述规定的同样原因被取消成交资格的，采购人可以确定排名第三的成交候选人为成交供应商。以上信息查询记录及相关证据与谈判文件一并保存。</w:t>
      </w:r>
      <w:r>
        <w:rPr>
          <w:rFonts w:hint="eastAsia" w:ascii="宋体" w:hAnsi="宋体" w:cs="宋体"/>
          <w:color w:val="auto"/>
          <w:szCs w:val="21"/>
        </w:rPr>
        <w:t>成交供应商享受《政府采购促进中小企业发展管理办法》（财库〔2020〕46号）规定的中小企业扶持政策的，采购人、采购代理机构应当随成交结果公开成交供应商的《中小企业声明函》。</w:t>
      </w:r>
    </w:p>
    <w:p w14:paraId="25184EC6">
      <w:pPr>
        <w:pStyle w:val="9"/>
        <w:spacing w:line="360" w:lineRule="auto"/>
        <w:ind w:firstLine="420" w:firstLineChars="200"/>
        <w:jc w:val="both"/>
        <w:rPr>
          <w:rFonts w:ascii="宋体" w:hAnsi="宋体" w:cs="宋体"/>
          <w:color w:val="auto"/>
          <w:szCs w:val="21"/>
        </w:rPr>
      </w:pPr>
      <w:r>
        <w:rPr>
          <w:rFonts w:hint="eastAsia" w:ascii="宋体" w:hAnsi="宋体" w:cs="宋体"/>
          <w:color w:val="auto"/>
          <w:szCs w:val="21"/>
        </w:rPr>
        <w:t>27.3出现下列情形之一的，采购人或者采购代理机构应当终止竞争性谈判采购活动，发布项目终止公告并说明原因，重新开展采购活动：</w:t>
      </w:r>
    </w:p>
    <w:p w14:paraId="7D61A429">
      <w:pPr>
        <w:pStyle w:val="9"/>
        <w:spacing w:line="360" w:lineRule="auto"/>
        <w:ind w:firstLine="420" w:firstLineChars="200"/>
        <w:jc w:val="both"/>
        <w:rPr>
          <w:rFonts w:ascii="宋体" w:hAnsi="宋体" w:cs="宋体"/>
          <w:color w:val="auto"/>
          <w:szCs w:val="21"/>
        </w:rPr>
      </w:pPr>
      <w:r>
        <w:rPr>
          <w:rFonts w:hint="eastAsia" w:ascii="宋体" w:hAnsi="宋体" w:cs="宋体"/>
          <w:color w:val="auto"/>
          <w:szCs w:val="21"/>
        </w:rPr>
        <w:t>（一）因情况变化，不再符合规定的竞争性谈判采购方式适用情形的；</w:t>
      </w:r>
    </w:p>
    <w:p w14:paraId="643A2984">
      <w:pPr>
        <w:pStyle w:val="9"/>
        <w:spacing w:line="360" w:lineRule="auto"/>
        <w:ind w:firstLine="420" w:firstLineChars="200"/>
        <w:jc w:val="both"/>
        <w:rPr>
          <w:rFonts w:ascii="宋体" w:hAnsi="宋体" w:cs="宋体"/>
          <w:color w:val="auto"/>
          <w:szCs w:val="21"/>
        </w:rPr>
      </w:pPr>
      <w:r>
        <w:rPr>
          <w:rFonts w:hint="eastAsia" w:ascii="宋体" w:hAnsi="宋体" w:cs="宋体"/>
          <w:color w:val="auto"/>
          <w:szCs w:val="21"/>
        </w:rPr>
        <w:t>（二）出现影响采购公正的违法、违规行为的；</w:t>
      </w:r>
    </w:p>
    <w:p w14:paraId="5F73A69E">
      <w:pPr>
        <w:pStyle w:val="9"/>
        <w:spacing w:line="360" w:lineRule="auto"/>
        <w:ind w:firstLine="420" w:firstLineChars="200"/>
        <w:jc w:val="both"/>
        <w:rPr>
          <w:rFonts w:ascii="宋体" w:hAnsi="宋体" w:cs="宋体"/>
          <w:color w:val="auto"/>
          <w:szCs w:val="21"/>
        </w:rPr>
      </w:pPr>
      <w:r>
        <w:rPr>
          <w:rFonts w:hint="eastAsia" w:ascii="宋体" w:hAnsi="宋体" w:cs="宋体"/>
          <w:color w:val="auto"/>
          <w:szCs w:val="21"/>
        </w:rPr>
        <w:t>（三）在采购过程中符合竞争要求的供应商或者报价未超过采购预算的供应商不足3家的，但“第四章 评审程序和评定成交的标准”第3.7条规定的情形除外。</w:t>
      </w:r>
    </w:p>
    <w:p w14:paraId="09363673">
      <w:pPr>
        <w:pStyle w:val="9"/>
        <w:spacing w:line="360" w:lineRule="auto"/>
        <w:ind w:firstLine="420" w:firstLineChars="200"/>
        <w:rPr>
          <w:rFonts w:ascii="宋体" w:hAnsi="宋体" w:cs="宋体"/>
          <w:color w:val="auto"/>
          <w:szCs w:val="21"/>
        </w:rPr>
      </w:pPr>
      <w:r>
        <w:rPr>
          <w:rFonts w:hint="eastAsia" w:ascii="宋体" w:hAnsi="宋体" w:cs="宋体"/>
          <w:color w:val="auto"/>
          <w:szCs w:val="21"/>
        </w:rPr>
        <w:t>27.4在采购活动中因重大变故，采购任务取消的，采购人或者采购代理机构应当终止采购活动，通知所有参加采购活动的供应商。</w:t>
      </w:r>
    </w:p>
    <w:p w14:paraId="6F924F7E">
      <w:pPr>
        <w:pStyle w:val="9"/>
        <w:spacing w:line="360" w:lineRule="auto"/>
        <w:ind w:firstLine="420" w:firstLineChars="200"/>
        <w:rPr>
          <w:rFonts w:ascii="宋体" w:hAnsi="宋体" w:cs="宋体"/>
          <w:color w:val="auto"/>
          <w:szCs w:val="21"/>
        </w:rPr>
      </w:pPr>
      <w:r>
        <w:rPr>
          <w:rFonts w:hint="eastAsia" w:ascii="宋体" w:hAnsi="宋体" w:cs="宋体"/>
          <w:bCs/>
          <w:color w:val="auto"/>
          <w:szCs w:val="21"/>
        </w:rPr>
        <w:t>27.5</w:t>
      </w:r>
      <w:r>
        <w:rPr>
          <w:rFonts w:hint="eastAsia" w:ascii="宋体" w:hAnsi="宋体" w:cs="宋体"/>
          <w:color w:val="auto"/>
          <w:szCs w:val="21"/>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拒绝签订政府采购合同的成交供应商不得参加对该项目重新开展的采购活动。</w:t>
      </w:r>
    </w:p>
    <w:p w14:paraId="090B94F7">
      <w:pPr>
        <w:pStyle w:val="9"/>
        <w:spacing w:line="360" w:lineRule="auto"/>
        <w:ind w:firstLine="422" w:firstLineChars="200"/>
        <w:rPr>
          <w:rFonts w:ascii="宋体" w:hAnsi="宋体" w:cs="宋体"/>
          <w:b/>
          <w:color w:val="auto"/>
          <w:szCs w:val="21"/>
        </w:rPr>
      </w:pPr>
      <w:r>
        <w:rPr>
          <w:rFonts w:hint="eastAsia" w:ascii="宋体" w:hAnsi="宋体" w:cs="宋体"/>
          <w:b/>
          <w:color w:val="auto"/>
          <w:szCs w:val="21"/>
        </w:rPr>
        <w:t>除因不可抗力外，成交供应商不与采购人签订合同的，除不予退还其谈判保证金外，若给采购人造成损失，或（并）因此延误采购人教学科研计划的，须依据《中华人民共和国民法典》第五百条、《政府采购非招标采购方式管理办法（财政部令第74号）》第二十二条、第五十四条规定承担赔偿损失等法律责任，采购人有权将成交供应商的失信行为报财政部门记入诚信档案，以示惩戒。</w:t>
      </w:r>
    </w:p>
    <w:p w14:paraId="72B62F41">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28.履约保证金</w:t>
      </w:r>
    </w:p>
    <w:p w14:paraId="3003624D">
      <w:pPr>
        <w:pStyle w:val="9"/>
        <w:spacing w:line="360" w:lineRule="auto"/>
        <w:ind w:firstLine="420" w:firstLineChars="200"/>
        <w:rPr>
          <w:rFonts w:ascii="宋体" w:hAnsi="宋体" w:cs="宋体"/>
          <w:color w:val="auto"/>
        </w:rPr>
      </w:pPr>
      <w:r>
        <w:rPr>
          <w:rFonts w:hint="eastAsia" w:ascii="宋体" w:hAnsi="宋体" w:cs="宋体"/>
          <w:color w:val="auto"/>
          <w:szCs w:val="21"/>
        </w:rPr>
        <w:t>28.1履约保证金的金额、提交方式、退付的时间和条件详见 “供应商须知前附表”。</w:t>
      </w:r>
    </w:p>
    <w:p w14:paraId="52D807BE">
      <w:pPr>
        <w:spacing w:line="360" w:lineRule="auto"/>
        <w:ind w:firstLine="424" w:firstLineChars="202"/>
        <w:rPr>
          <w:rFonts w:ascii="宋体" w:hAnsi="宋体" w:cs="宋体"/>
          <w:color w:val="auto"/>
          <w:szCs w:val="21"/>
        </w:rPr>
      </w:pPr>
      <w:r>
        <w:rPr>
          <w:rFonts w:hint="eastAsia" w:ascii="宋体" w:hAnsi="宋体" w:cs="宋体"/>
          <w:color w:val="auto"/>
          <w:szCs w:val="21"/>
        </w:rPr>
        <w:t>28.2在履约保证金退还日期前，若成交供应商的开户名称、开户银行、账号有变动的，请以书面形式通知履约保证金收取单位，否则由此产生的后果由成交供应商自负。</w:t>
      </w:r>
    </w:p>
    <w:p w14:paraId="29BA5A27">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29.签订合同</w:t>
      </w:r>
    </w:p>
    <w:p w14:paraId="195A5594">
      <w:pPr>
        <w:spacing w:line="360" w:lineRule="auto"/>
        <w:ind w:firstLine="424" w:firstLineChars="202"/>
        <w:rPr>
          <w:rFonts w:ascii="宋体" w:hAnsi="宋体" w:cs="宋体"/>
          <w:color w:val="auto"/>
          <w:szCs w:val="21"/>
        </w:rPr>
      </w:pPr>
      <w:r>
        <w:rPr>
          <w:rFonts w:hint="eastAsia" w:ascii="宋体" w:hAnsi="宋体" w:cs="宋体"/>
          <w:color w:val="auto"/>
          <w:szCs w:val="21"/>
        </w:rPr>
        <w:t>29.1成交供应商在收到成交通知书（书面或电子）后，按“供应商须知前附表”规定向采购人出示相关证明材料，经采购人核验合格后方可签订合同（书面或电子）。如成交供应商为联合体的，联合体各方应当共同与采购人签订采购合同，就采购合同约定的事项对采购人承担连带责任。</w:t>
      </w:r>
    </w:p>
    <w:p w14:paraId="22E04B7C">
      <w:pPr>
        <w:spacing w:line="360" w:lineRule="auto"/>
        <w:ind w:firstLine="424" w:firstLineChars="202"/>
        <w:rPr>
          <w:rFonts w:ascii="宋体" w:hAnsi="宋体" w:cs="宋体"/>
          <w:color w:val="auto"/>
          <w:szCs w:val="21"/>
        </w:rPr>
      </w:pPr>
      <w:r>
        <w:rPr>
          <w:rFonts w:hint="eastAsia" w:ascii="宋体" w:hAnsi="宋体" w:cs="宋体"/>
          <w:color w:val="auto"/>
          <w:szCs w:val="21"/>
        </w:rPr>
        <w:t>29.2 签订合同时间：按成交通知书的规定与采购人签订政府采购合同（最长不能超过25日）。</w:t>
      </w:r>
    </w:p>
    <w:p w14:paraId="4D1DD55F">
      <w:pPr>
        <w:spacing w:line="360" w:lineRule="auto"/>
        <w:ind w:firstLine="424" w:firstLineChars="202"/>
        <w:rPr>
          <w:rFonts w:ascii="宋体" w:hAnsi="宋体" w:cs="宋体"/>
          <w:color w:val="auto"/>
          <w:szCs w:val="21"/>
        </w:rPr>
      </w:pPr>
      <w:r>
        <w:rPr>
          <w:rFonts w:hint="eastAsia" w:ascii="宋体" w:hAnsi="宋体" w:cs="宋体"/>
          <w:color w:val="auto"/>
          <w:szCs w:val="21"/>
        </w:rPr>
        <w:t>29.3成交供应商拒绝与采购人签订合同的，按照本文件之《供应商须知正文》第27.5条的规定执行。</w:t>
      </w:r>
    </w:p>
    <w:p w14:paraId="74386EBB">
      <w:pPr>
        <w:spacing w:line="360" w:lineRule="auto"/>
        <w:ind w:firstLine="482" w:firstLineChars="200"/>
        <w:rPr>
          <w:rFonts w:ascii="宋体" w:hAnsi="宋体" w:cs="宋体"/>
          <w:b/>
          <w:bCs/>
          <w:color w:val="auto"/>
          <w:sz w:val="24"/>
        </w:rPr>
      </w:pPr>
      <w:r>
        <w:rPr>
          <w:rFonts w:hint="eastAsia" w:ascii="宋体" w:hAnsi="宋体" w:cs="宋体"/>
          <w:b/>
          <w:bCs/>
          <w:color w:val="auto"/>
          <w:sz w:val="24"/>
        </w:rPr>
        <w:t>30.政府采购合同公告</w:t>
      </w:r>
    </w:p>
    <w:p w14:paraId="3B58F680">
      <w:pPr>
        <w:spacing w:line="360" w:lineRule="auto"/>
        <w:ind w:firstLine="420" w:firstLineChars="200"/>
        <w:rPr>
          <w:rFonts w:ascii="宋体" w:hAnsi="宋体" w:cs="宋体"/>
          <w:color w:val="auto"/>
          <w:szCs w:val="21"/>
        </w:rPr>
      </w:pPr>
      <w:r>
        <w:rPr>
          <w:rFonts w:hint="eastAsia" w:ascii="宋体" w:hAnsi="宋体" w:cs="宋体"/>
          <w:color w:val="auto"/>
          <w:szCs w:val="21"/>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57E44661">
      <w:pPr>
        <w:spacing w:line="360" w:lineRule="auto"/>
        <w:ind w:firstLine="482" w:firstLineChars="200"/>
        <w:rPr>
          <w:rFonts w:ascii="宋体" w:hAnsi="宋体" w:cs="宋体"/>
          <w:b/>
          <w:bCs/>
          <w:color w:val="auto"/>
          <w:sz w:val="24"/>
        </w:rPr>
      </w:pPr>
      <w:r>
        <w:rPr>
          <w:rFonts w:hint="eastAsia" w:ascii="宋体" w:hAnsi="宋体" w:cs="宋体"/>
          <w:b/>
          <w:bCs/>
          <w:color w:val="auto"/>
          <w:sz w:val="24"/>
        </w:rPr>
        <w:t>31.询问、质疑和投诉</w:t>
      </w:r>
    </w:p>
    <w:p w14:paraId="0B3A7F26">
      <w:pPr>
        <w:pStyle w:val="7"/>
        <w:spacing w:line="360" w:lineRule="auto"/>
        <w:rPr>
          <w:rFonts w:ascii="宋体" w:hAnsi="宋体" w:cs="宋体"/>
          <w:color w:val="auto"/>
          <w:szCs w:val="21"/>
        </w:rPr>
      </w:pPr>
      <w:r>
        <w:rPr>
          <w:rFonts w:hint="eastAsia" w:ascii="宋体" w:hAnsi="宋体" w:cs="宋体"/>
          <w:color w:val="auto"/>
        </w:rPr>
        <w:t>31.1供应商对政府采购活动事项有疑问的，可以向采购人、采购代理机构提出询问，采购人或者采购代理机构应当在3个工作日内对供应商依法提出的询问作出答复，</w:t>
      </w:r>
      <w:r>
        <w:rPr>
          <w:rFonts w:hint="eastAsia" w:ascii="宋体" w:hAnsi="宋体" w:cs="宋体"/>
          <w:color w:val="auto"/>
          <w:szCs w:val="21"/>
        </w:rPr>
        <w:t>但答复的内容不得涉及商业秘密。</w:t>
      </w:r>
    </w:p>
    <w:p w14:paraId="5609BD2D">
      <w:pPr>
        <w:spacing w:line="360" w:lineRule="auto"/>
        <w:ind w:firstLine="420" w:firstLineChars="200"/>
        <w:rPr>
          <w:rFonts w:ascii="宋体" w:hAnsi="宋体" w:cs="宋体"/>
          <w:color w:val="auto"/>
        </w:rPr>
      </w:pPr>
      <w:r>
        <w:rPr>
          <w:rFonts w:hint="eastAsia" w:ascii="宋体" w:hAnsi="宋体" w:cs="宋体"/>
          <w:color w:val="auto"/>
        </w:rPr>
        <w:t>31.2供应商认为谈判文件、采购过程或者成交结果使自己的合法权益受到损害的，应当在知道或者应知其权益受到损害之日起7个工作日内，以纸质书面形式向采购人、采购代理机构提出质疑，</w:t>
      </w:r>
      <w:r>
        <w:rPr>
          <w:rFonts w:hint="eastAsia" w:ascii="宋体" w:hAnsi="宋体" w:cs="宋体"/>
          <w:color w:val="auto"/>
          <w:shd w:val="clear" w:color="auto" w:fill="FFFFFF"/>
        </w:rPr>
        <w:t>接收质疑函的方式、联系部门、联系电话和通讯地址等信息</w:t>
      </w:r>
      <w:r>
        <w:rPr>
          <w:rFonts w:hint="eastAsia" w:ascii="宋体" w:hAnsi="宋体" w:cs="宋体"/>
          <w:color w:val="auto"/>
          <w:szCs w:val="21"/>
        </w:rPr>
        <w:t>详见“供应商须知前附表”</w:t>
      </w:r>
      <w:r>
        <w:rPr>
          <w:rFonts w:hint="eastAsia" w:ascii="宋体" w:hAnsi="宋体" w:cs="宋体"/>
          <w:color w:val="auto"/>
        </w:rPr>
        <w:t>。供应商应当在法定质疑期内一次性提出针对同一采购程序环节的质疑。具体质疑起算时间如下：</w:t>
      </w:r>
    </w:p>
    <w:p w14:paraId="41ED79E9">
      <w:pPr>
        <w:spacing w:line="360" w:lineRule="auto"/>
        <w:ind w:firstLine="420" w:firstLineChars="200"/>
        <w:rPr>
          <w:rFonts w:ascii="宋体" w:hAnsi="宋体" w:cs="宋体"/>
          <w:color w:val="auto"/>
        </w:rPr>
      </w:pPr>
      <w:r>
        <w:rPr>
          <w:rFonts w:hint="eastAsia" w:ascii="宋体" w:hAnsi="宋体" w:cs="宋体"/>
          <w:color w:val="auto"/>
        </w:rPr>
        <w:t>（1）对可以质疑的谈判文件提出质疑的，为获取谈判文件之日；</w:t>
      </w:r>
    </w:p>
    <w:p w14:paraId="3FAEFD92">
      <w:pPr>
        <w:spacing w:line="360" w:lineRule="auto"/>
        <w:ind w:firstLine="420" w:firstLineChars="200"/>
        <w:rPr>
          <w:rFonts w:ascii="宋体" w:hAnsi="宋体" w:cs="宋体"/>
          <w:color w:val="auto"/>
        </w:rPr>
      </w:pPr>
      <w:r>
        <w:rPr>
          <w:rFonts w:hint="eastAsia" w:ascii="宋体" w:hAnsi="宋体" w:cs="宋体"/>
          <w:color w:val="auto"/>
        </w:rPr>
        <w:t>（2）对采购过程提出质疑的，为各采购程序环节结束之日；</w:t>
      </w:r>
    </w:p>
    <w:p w14:paraId="31AA3FA9">
      <w:pPr>
        <w:spacing w:line="360" w:lineRule="auto"/>
        <w:ind w:firstLine="420" w:firstLineChars="200"/>
        <w:rPr>
          <w:rFonts w:ascii="宋体" w:hAnsi="宋体" w:cs="宋体"/>
          <w:color w:val="auto"/>
        </w:rPr>
      </w:pPr>
      <w:r>
        <w:rPr>
          <w:rFonts w:hint="eastAsia" w:ascii="宋体" w:hAnsi="宋体" w:cs="宋体"/>
          <w:color w:val="auto"/>
        </w:rPr>
        <w:t>（3）对成交结果提出质疑的，为成交结果公告期限届满之日。</w:t>
      </w:r>
    </w:p>
    <w:p w14:paraId="2D8FE06B">
      <w:pPr>
        <w:spacing w:line="360" w:lineRule="auto"/>
        <w:ind w:firstLine="420" w:firstLineChars="200"/>
        <w:rPr>
          <w:rFonts w:ascii="宋体" w:hAnsi="宋体" w:cs="宋体"/>
          <w:color w:val="auto"/>
        </w:rPr>
      </w:pPr>
      <w:r>
        <w:rPr>
          <w:rFonts w:hint="eastAsia" w:ascii="宋体" w:hAnsi="宋体" w:cs="宋体"/>
          <w:color w:val="auto"/>
        </w:rPr>
        <w:t>31.3供应商提出的询问或者质疑超出采购人对采购代理机构委托授权范围的，采购代理机构应当告知供应商向采购人提出。政府采购评审专家应当配合采购人或者采购代理机构答复供应商的询问和质疑。</w:t>
      </w:r>
    </w:p>
    <w:p w14:paraId="5EC51174">
      <w:pPr>
        <w:spacing w:line="360" w:lineRule="auto"/>
        <w:ind w:firstLine="420" w:firstLineChars="200"/>
        <w:rPr>
          <w:rFonts w:ascii="宋体" w:hAnsi="宋体" w:cs="宋体"/>
          <w:color w:val="auto"/>
        </w:rPr>
      </w:pPr>
      <w:r>
        <w:rPr>
          <w:rFonts w:hint="eastAsia" w:ascii="宋体" w:hAnsi="宋体" w:cs="宋体"/>
          <w:color w:val="auto"/>
        </w:rPr>
        <w:t>31.4供应商提出质疑应当提交质疑函和必要的证明材料，针对同一采购程序环节的质疑必须在法定质疑期内一次性提出。质疑函应当包括下列内容</w:t>
      </w:r>
      <w:r>
        <w:rPr>
          <w:rFonts w:hint="eastAsia" w:ascii="宋体" w:hAnsi="宋体" w:cs="宋体"/>
          <w:bCs/>
          <w:color w:val="auto"/>
        </w:rPr>
        <w:t>（质疑函格式后附）</w:t>
      </w:r>
      <w:r>
        <w:rPr>
          <w:rFonts w:hint="eastAsia" w:ascii="宋体" w:hAnsi="宋体" w:cs="宋体"/>
          <w:color w:val="auto"/>
        </w:rPr>
        <w:t>：</w:t>
      </w:r>
    </w:p>
    <w:p w14:paraId="056AA694">
      <w:pPr>
        <w:spacing w:line="360" w:lineRule="auto"/>
        <w:ind w:firstLine="420" w:firstLineChars="200"/>
        <w:rPr>
          <w:rFonts w:ascii="宋体" w:hAnsi="宋体" w:cs="宋体"/>
          <w:color w:val="auto"/>
        </w:rPr>
      </w:pPr>
      <w:r>
        <w:rPr>
          <w:rFonts w:hint="eastAsia" w:ascii="宋体" w:hAnsi="宋体" w:cs="宋体"/>
          <w:color w:val="auto"/>
        </w:rPr>
        <w:t>（1）供应商的姓名或者名称、地址、邮编、联系人及联系电话；</w:t>
      </w:r>
    </w:p>
    <w:p w14:paraId="20F5A1AA">
      <w:pPr>
        <w:spacing w:line="360" w:lineRule="auto"/>
        <w:ind w:firstLine="420" w:firstLineChars="200"/>
        <w:rPr>
          <w:rFonts w:ascii="宋体" w:hAnsi="宋体" w:cs="宋体"/>
          <w:color w:val="auto"/>
        </w:rPr>
      </w:pPr>
      <w:r>
        <w:rPr>
          <w:rFonts w:hint="eastAsia" w:ascii="宋体" w:hAnsi="宋体" w:cs="宋体"/>
          <w:color w:val="auto"/>
        </w:rPr>
        <w:t>（2）质疑项目的名称、编号；</w:t>
      </w:r>
    </w:p>
    <w:p w14:paraId="2D0E814E">
      <w:pPr>
        <w:spacing w:line="360" w:lineRule="auto"/>
        <w:ind w:firstLine="420" w:firstLineChars="200"/>
        <w:rPr>
          <w:rFonts w:ascii="宋体" w:hAnsi="宋体" w:cs="宋体"/>
          <w:color w:val="auto"/>
        </w:rPr>
      </w:pPr>
      <w:r>
        <w:rPr>
          <w:rFonts w:hint="eastAsia" w:ascii="宋体" w:hAnsi="宋体" w:cs="宋体"/>
          <w:color w:val="auto"/>
        </w:rPr>
        <w:t>（3）具体、明确的质疑事项和与质疑事项相关的请求；</w:t>
      </w:r>
    </w:p>
    <w:p w14:paraId="58AEF832">
      <w:pPr>
        <w:spacing w:line="360" w:lineRule="auto"/>
        <w:ind w:firstLine="420" w:firstLineChars="200"/>
        <w:rPr>
          <w:rFonts w:ascii="宋体" w:hAnsi="宋体" w:cs="宋体"/>
          <w:color w:val="auto"/>
        </w:rPr>
      </w:pPr>
      <w:r>
        <w:rPr>
          <w:rFonts w:hint="eastAsia" w:ascii="宋体" w:hAnsi="宋体" w:cs="宋体"/>
          <w:color w:val="auto"/>
        </w:rPr>
        <w:t>（4）事实依据；</w:t>
      </w:r>
    </w:p>
    <w:p w14:paraId="445E8535">
      <w:pPr>
        <w:spacing w:line="360" w:lineRule="auto"/>
        <w:ind w:firstLine="420" w:firstLineChars="200"/>
        <w:rPr>
          <w:rFonts w:ascii="宋体" w:hAnsi="宋体" w:cs="宋体"/>
          <w:color w:val="auto"/>
        </w:rPr>
      </w:pPr>
      <w:r>
        <w:rPr>
          <w:rFonts w:hint="eastAsia" w:ascii="宋体" w:hAnsi="宋体" w:cs="宋体"/>
          <w:color w:val="auto"/>
        </w:rPr>
        <w:t>（5）必要的法律依据；</w:t>
      </w:r>
    </w:p>
    <w:p w14:paraId="0677F041">
      <w:pPr>
        <w:spacing w:line="360" w:lineRule="auto"/>
        <w:ind w:firstLine="420" w:firstLineChars="200"/>
        <w:rPr>
          <w:rFonts w:ascii="宋体" w:hAnsi="宋体" w:cs="宋体"/>
          <w:color w:val="auto"/>
        </w:rPr>
      </w:pPr>
      <w:r>
        <w:rPr>
          <w:rFonts w:hint="eastAsia" w:ascii="宋体" w:hAnsi="宋体" w:cs="宋体"/>
          <w:color w:val="auto"/>
        </w:rPr>
        <w:t>（6）提出质疑的日期。</w:t>
      </w:r>
    </w:p>
    <w:p w14:paraId="0E5648EF">
      <w:pPr>
        <w:spacing w:line="360" w:lineRule="auto"/>
        <w:ind w:firstLine="420" w:firstLineChars="200"/>
        <w:rPr>
          <w:rFonts w:ascii="宋体" w:hAnsi="宋体" w:cs="宋体"/>
          <w:color w:val="auto"/>
        </w:rPr>
      </w:pPr>
      <w:r>
        <w:rPr>
          <w:rFonts w:hint="eastAsia" w:ascii="宋体" w:hAnsi="宋体" w:cs="宋体"/>
          <w:color w:val="auto"/>
        </w:rPr>
        <w:t>供应商为自然人的，应当由本人签字；供应商为法人或者其他组织的，应当由法定代表人、主要负责人，或者其委托代理人签字或者盖章，并加盖公章。</w:t>
      </w:r>
    </w:p>
    <w:p w14:paraId="0A21489C">
      <w:pPr>
        <w:spacing w:line="360" w:lineRule="auto"/>
        <w:ind w:firstLine="420" w:firstLineChars="200"/>
        <w:rPr>
          <w:rFonts w:ascii="宋体" w:hAnsi="宋体" w:cs="宋体"/>
          <w:color w:val="auto"/>
        </w:rPr>
      </w:pPr>
      <w:r>
        <w:rPr>
          <w:rFonts w:hint="eastAsia" w:ascii="宋体" w:hAnsi="宋体" w:cs="宋体"/>
          <w:color w:val="auto"/>
        </w:rPr>
        <w:t>31.5采购人、采购代理机构认为供应商质疑不成立，或者成立但未对成交结果构成影响的，继续开展采购活动；认为供应商质疑成立且影响或者可能影响成交结果的，按照下列情况处理：</w:t>
      </w:r>
    </w:p>
    <w:p w14:paraId="3F7A74B0">
      <w:pPr>
        <w:spacing w:line="360" w:lineRule="auto"/>
        <w:ind w:firstLine="420" w:firstLineChars="200"/>
        <w:rPr>
          <w:rFonts w:ascii="宋体" w:hAnsi="宋体" w:cs="宋体"/>
          <w:color w:val="auto"/>
        </w:rPr>
      </w:pPr>
      <w:r>
        <w:rPr>
          <w:rFonts w:hint="eastAsia" w:ascii="宋体" w:hAnsi="宋体" w:cs="宋体"/>
          <w:color w:val="auto"/>
        </w:rPr>
        <w:t>（1）对采购文件提出的质疑，依法通过澄清或者修改可以继续开展采购活动的，澄清或者修改采购文件后继续开展采购活动；否则应当修改采购文件后重新开展采购活动。</w:t>
      </w:r>
    </w:p>
    <w:p w14:paraId="08176336">
      <w:pPr>
        <w:spacing w:line="360" w:lineRule="auto"/>
        <w:ind w:firstLine="420" w:firstLineChars="200"/>
        <w:rPr>
          <w:rFonts w:ascii="宋体" w:hAnsi="宋体" w:cs="宋体"/>
          <w:color w:val="auto"/>
        </w:rPr>
      </w:pPr>
      <w:r>
        <w:rPr>
          <w:rFonts w:hint="eastAsia" w:ascii="宋体" w:hAnsi="宋体" w:cs="宋体"/>
          <w:color w:val="auto"/>
        </w:rPr>
        <w:t>（2）对采购过程或者成交结果提出的质疑，合格供应商符合法定数量时，可以从合格的成交候选人中另行确定成交供应商的，应当依法另行确定成交供应商；否则应当重新开展采购活动。</w:t>
      </w:r>
    </w:p>
    <w:p w14:paraId="7A397107">
      <w:pPr>
        <w:spacing w:line="360" w:lineRule="auto"/>
        <w:ind w:firstLine="420" w:firstLineChars="200"/>
        <w:rPr>
          <w:rFonts w:ascii="宋体" w:hAnsi="宋体" w:cs="宋体"/>
          <w:color w:val="auto"/>
        </w:rPr>
      </w:pPr>
      <w:r>
        <w:rPr>
          <w:rFonts w:hint="eastAsia" w:ascii="宋体" w:hAnsi="宋体" w:cs="宋体"/>
          <w:color w:val="auto"/>
        </w:rPr>
        <w:t>质疑答复导致成交结果改变的，采购人或者采购代理机构应当将有关情况书面报告本级财政部门。</w:t>
      </w:r>
    </w:p>
    <w:p w14:paraId="2630FE36">
      <w:pPr>
        <w:spacing w:line="360" w:lineRule="auto"/>
        <w:ind w:firstLine="420" w:firstLineChars="200"/>
        <w:rPr>
          <w:rFonts w:ascii="宋体" w:hAnsi="宋体" w:cs="宋体"/>
          <w:b/>
          <w:bCs/>
          <w:color w:val="auto"/>
          <w:sz w:val="24"/>
        </w:rPr>
      </w:pPr>
      <w:r>
        <w:rPr>
          <w:rFonts w:hint="eastAsia" w:ascii="宋体" w:hAnsi="宋体" w:cs="宋体"/>
          <w:color w:val="auto"/>
        </w:rPr>
        <w:t>31.6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731A18E6">
      <w:pPr>
        <w:spacing w:line="360" w:lineRule="auto"/>
        <w:ind w:firstLine="482" w:firstLineChars="200"/>
        <w:rPr>
          <w:rFonts w:ascii="宋体" w:hAnsi="宋体" w:cs="宋体"/>
          <w:b/>
          <w:bCs/>
          <w:color w:val="auto"/>
          <w:sz w:val="32"/>
          <w:szCs w:val="32"/>
        </w:rPr>
      </w:pPr>
      <w:r>
        <w:rPr>
          <w:rFonts w:hint="eastAsia" w:ascii="宋体" w:hAnsi="宋体" w:cs="宋体"/>
          <w:b/>
          <w:bCs/>
          <w:color w:val="auto"/>
          <w:sz w:val="24"/>
        </w:rPr>
        <w:t>32.其他内容</w:t>
      </w:r>
    </w:p>
    <w:p w14:paraId="2B2FC14D">
      <w:pPr>
        <w:tabs>
          <w:tab w:val="left" w:pos="2835"/>
        </w:tabs>
        <w:spacing w:line="360" w:lineRule="auto"/>
        <w:ind w:firstLine="420" w:firstLineChars="200"/>
        <w:rPr>
          <w:rFonts w:ascii="宋体" w:hAnsi="宋体" w:cs="宋体"/>
          <w:color w:val="auto"/>
          <w:szCs w:val="21"/>
        </w:rPr>
      </w:pPr>
      <w:r>
        <w:rPr>
          <w:rFonts w:hint="eastAsia" w:ascii="宋体" w:hAnsi="宋体" w:cs="宋体"/>
          <w:color w:val="auto"/>
          <w:szCs w:val="21"/>
        </w:rPr>
        <w:t>32.1代理服务费：代理服务收取标准及缴费账户详见“供应商须知前附表”，供应商为联合体的，可以由联合体中的一方或者多方共同交纳代理服务费。</w:t>
      </w:r>
    </w:p>
    <w:p w14:paraId="302D8DB1">
      <w:pPr>
        <w:tabs>
          <w:tab w:val="left" w:pos="2835"/>
        </w:tabs>
        <w:spacing w:line="360" w:lineRule="auto"/>
        <w:ind w:firstLine="420" w:firstLineChars="200"/>
        <w:rPr>
          <w:rFonts w:ascii="宋体" w:hAnsi="宋体" w:cs="宋体"/>
          <w:color w:val="auto"/>
          <w:szCs w:val="21"/>
        </w:rPr>
      </w:pPr>
      <w:r>
        <w:rPr>
          <w:rFonts w:hint="eastAsia" w:ascii="宋体" w:hAnsi="宋体" w:cs="宋体"/>
          <w:color w:val="auto"/>
          <w:szCs w:val="21"/>
        </w:rPr>
        <w:t>32.2代理服务费收费计算标准：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14:paraId="4425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l2br w:val="single" w:color="auto" w:sz="4" w:space="0"/>
            </w:tcBorders>
          </w:tcPr>
          <w:p w14:paraId="03A650DD">
            <w:pPr>
              <w:spacing w:line="360" w:lineRule="auto"/>
              <w:rPr>
                <w:rFonts w:ascii="宋体" w:hAnsi="宋体" w:cs="宋体"/>
                <w:color w:val="auto"/>
                <w:szCs w:val="21"/>
              </w:rPr>
            </w:pPr>
            <w:r>
              <w:rPr>
                <w:rFonts w:hint="eastAsia" w:ascii="宋体" w:hAnsi="宋体" w:cs="宋体"/>
                <w:color w:val="auto"/>
                <w:szCs w:val="21"/>
              </w:rPr>
              <w:t xml:space="preserve">               费率</w:t>
            </w:r>
          </w:p>
          <w:p w14:paraId="5A3B9F76">
            <w:pPr>
              <w:spacing w:line="360" w:lineRule="auto"/>
              <w:rPr>
                <w:rFonts w:ascii="宋体" w:hAnsi="宋体" w:cs="宋体"/>
                <w:color w:val="auto"/>
                <w:szCs w:val="21"/>
              </w:rPr>
            </w:pPr>
            <w:r>
              <w:rPr>
                <w:rFonts w:hint="eastAsia" w:ascii="宋体" w:hAnsi="宋体" w:cs="宋体"/>
                <w:color w:val="auto"/>
                <w:szCs w:val="21"/>
              </w:rPr>
              <w:t>金额（人民币）</w:t>
            </w:r>
          </w:p>
        </w:tc>
        <w:tc>
          <w:tcPr>
            <w:tcW w:w="1659" w:type="dxa"/>
            <w:vAlign w:val="center"/>
          </w:tcPr>
          <w:p w14:paraId="05B01243">
            <w:pPr>
              <w:spacing w:line="360" w:lineRule="auto"/>
              <w:ind w:firstLine="105" w:firstLineChars="50"/>
              <w:jc w:val="center"/>
              <w:rPr>
                <w:rFonts w:ascii="宋体" w:hAnsi="宋体" w:cs="宋体"/>
                <w:color w:val="auto"/>
                <w:szCs w:val="21"/>
              </w:rPr>
            </w:pPr>
            <w:r>
              <w:rPr>
                <w:rFonts w:hint="eastAsia" w:ascii="宋体" w:hAnsi="宋体" w:cs="宋体"/>
                <w:color w:val="auto"/>
                <w:szCs w:val="21"/>
              </w:rPr>
              <w:t>货物类</w:t>
            </w:r>
          </w:p>
        </w:tc>
        <w:tc>
          <w:tcPr>
            <w:tcW w:w="1532" w:type="dxa"/>
            <w:vAlign w:val="center"/>
          </w:tcPr>
          <w:p w14:paraId="6F3B9251">
            <w:pPr>
              <w:spacing w:line="360" w:lineRule="auto"/>
              <w:jc w:val="center"/>
              <w:rPr>
                <w:rFonts w:ascii="宋体" w:hAnsi="宋体" w:cs="宋体"/>
                <w:color w:val="auto"/>
                <w:szCs w:val="21"/>
              </w:rPr>
            </w:pPr>
            <w:r>
              <w:rPr>
                <w:rFonts w:hint="eastAsia" w:ascii="宋体" w:hAnsi="宋体" w:cs="宋体"/>
                <w:color w:val="auto"/>
                <w:szCs w:val="21"/>
              </w:rPr>
              <w:t>服务类</w:t>
            </w:r>
          </w:p>
        </w:tc>
        <w:tc>
          <w:tcPr>
            <w:tcW w:w="1546" w:type="dxa"/>
            <w:vAlign w:val="center"/>
          </w:tcPr>
          <w:p w14:paraId="34FD69D1">
            <w:pPr>
              <w:spacing w:line="360" w:lineRule="auto"/>
              <w:jc w:val="center"/>
              <w:rPr>
                <w:rFonts w:ascii="宋体" w:hAnsi="宋体" w:cs="宋体"/>
                <w:color w:val="auto"/>
                <w:szCs w:val="21"/>
              </w:rPr>
            </w:pPr>
            <w:r>
              <w:rPr>
                <w:rFonts w:hint="eastAsia" w:ascii="宋体" w:hAnsi="宋体" w:cs="宋体"/>
                <w:color w:val="auto"/>
                <w:szCs w:val="21"/>
              </w:rPr>
              <w:t>工程类</w:t>
            </w:r>
          </w:p>
        </w:tc>
      </w:tr>
      <w:tr w14:paraId="70D4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39F29867">
            <w:pPr>
              <w:spacing w:line="460" w:lineRule="exact"/>
              <w:jc w:val="center"/>
              <w:rPr>
                <w:rFonts w:ascii="宋体" w:hAnsi="宋体" w:cs="宋体"/>
                <w:color w:val="auto"/>
                <w:szCs w:val="21"/>
              </w:rPr>
            </w:pPr>
            <w:r>
              <w:rPr>
                <w:rFonts w:hint="eastAsia" w:ascii="宋体" w:hAnsi="宋体" w:cs="宋体"/>
                <w:color w:val="auto"/>
                <w:szCs w:val="21"/>
              </w:rPr>
              <w:t>100万元以下</w:t>
            </w:r>
          </w:p>
        </w:tc>
        <w:tc>
          <w:tcPr>
            <w:tcW w:w="1659" w:type="dxa"/>
          </w:tcPr>
          <w:p w14:paraId="1E598331">
            <w:pPr>
              <w:spacing w:line="460" w:lineRule="exact"/>
              <w:jc w:val="center"/>
              <w:rPr>
                <w:rFonts w:ascii="宋体" w:hAnsi="宋体" w:cs="宋体"/>
                <w:color w:val="auto"/>
                <w:kern w:val="0"/>
                <w:szCs w:val="21"/>
              </w:rPr>
            </w:pPr>
            <w:r>
              <w:rPr>
                <w:rFonts w:hint="eastAsia" w:ascii="宋体" w:hAnsi="宋体" w:cs="宋体"/>
                <w:color w:val="auto"/>
                <w:kern w:val="0"/>
                <w:szCs w:val="21"/>
              </w:rPr>
              <w:t>1.5%</w:t>
            </w:r>
          </w:p>
        </w:tc>
        <w:tc>
          <w:tcPr>
            <w:tcW w:w="1532" w:type="dxa"/>
          </w:tcPr>
          <w:p w14:paraId="4A35EB9B">
            <w:pPr>
              <w:spacing w:line="460" w:lineRule="exact"/>
              <w:jc w:val="center"/>
              <w:rPr>
                <w:rFonts w:ascii="宋体" w:hAnsi="宋体" w:cs="宋体"/>
                <w:color w:val="auto"/>
                <w:kern w:val="0"/>
                <w:szCs w:val="21"/>
              </w:rPr>
            </w:pPr>
            <w:r>
              <w:rPr>
                <w:rFonts w:hint="eastAsia" w:ascii="宋体" w:hAnsi="宋体" w:cs="宋体"/>
                <w:color w:val="auto"/>
                <w:kern w:val="0"/>
                <w:szCs w:val="21"/>
              </w:rPr>
              <w:t>1.5%</w:t>
            </w:r>
          </w:p>
        </w:tc>
        <w:tc>
          <w:tcPr>
            <w:tcW w:w="1546" w:type="dxa"/>
          </w:tcPr>
          <w:p w14:paraId="242E451F">
            <w:pPr>
              <w:spacing w:line="460" w:lineRule="exact"/>
              <w:jc w:val="center"/>
              <w:rPr>
                <w:rFonts w:ascii="宋体" w:hAnsi="宋体" w:cs="宋体"/>
                <w:color w:val="auto"/>
                <w:kern w:val="0"/>
                <w:szCs w:val="21"/>
              </w:rPr>
            </w:pPr>
            <w:r>
              <w:rPr>
                <w:rFonts w:hint="eastAsia" w:ascii="宋体" w:hAnsi="宋体" w:cs="宋体"/>
                <w:color w:val="auto"/>
                <w:kern w:val="0"/>
                <w:szCs w:val="21"/>
              </w:rPr>
              <w:t>1.0%</w:t>
            </w:r>
          </w:p>
        </w:tc>
      </w:tr>
      <w:tr w14:paraId="67D2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06C2707B">
            <w:pPr>
              <w:spacing w:line="460" w:lineRule="exact"/>
              <w:jc w:val="center"/>
              <w:rPr>
                <w:rFonts w:ascii="宋体" w:hAnsi="宋体" w:cs="宋体"/>
                <w:color w:val="auto"/>
                <w:szCs w:val="21"/>
              </w:rPr>
            </w:pPr>
            <w:r>
              <w:rPr>
                <w:rFonts w:hint="eastAsia" w:ascii="宋体" w:hAnsi="宋体" w:cs="宋体"/>
                <w:color w:val="auto"/>
                <w:szCs w:val="21"/>
              </w:rPr>
              <w:t>100～500万元</w:t>
            </w:r>
          </w:p>
        </w:tc>
        <w:tc>
          <w:tcPr>
            <w:tcW w:w="1659" w:type="dxa"/>
          </w:tcPr>
          <w:p w14:paraId="7BCE66A8">
            <w:pPr>
              <w:spacing w:line="460" w:lineRule="exact"/>
              <w:jc w:val="center"/>
              <w:rPr>
                <w:rFonts w:ascii="宋体" w:hAnsi="宋体" w:cs="宋体"/>
                <w:color w:val="auto"/>
                <w:kern w:val="0"/>
                <w:szCs w:val="21"/>
              </w:rPr>
            </w:pPr>
            <w:r>
              <w:rPr>
                <w:rFonts w:hint="eastAsia" w:ascii="宋体" w:hAnsi="宋体" w:cs="宋体"/>
                <w:color w:val="auto"/>
                <w:kern w:val="0"/>
                <w:szCs w:val="21"/>
              </w:rPr>
              <w:t>1.1%</w:t>
            </w:r>
          </w:p>
        </w:tc>
        <w:tc>
          <w:tcPr>
            <w:tcW w:w="1532" w:type="dxa"/>
          </w:tcPr>
          <w:p w14:paraId="4C8CEAF2">
            <w:pPr>
              <w:spacing w:line="460" w:lineRule="exact"/>
              <w:jc w:val="center"/>
              <w:rPr>
                <w:rFonts w:ascii="宋体" w:hAnsi="宋体" w:cs="宋体"/>
                <w:color w:val="auto"/>
                <w:kern w:val="0"/>
                <w:szCs w:val="21"/>
              </w:rPr>
            </w:pPr>
            <w:r>
              <w:rPr>
                <w:rFonts w:hint="eastAsia" w:ascii="宋体" w:hAnsi="宋体" w:cs="宋体"/>
                <w:color w:val="auto"/>
                <w:kern w:val="0"/>
                <w:szCs w:val="21"/>
              </w:rPr>
              <w:t>0.8%</w:t>
            </w:r>
          </w:p>
        </w:tc>
        <w:tc>
          <w:tcPr>
            <w:tcW w:w="1546" w:type="dxa"/>
          </w:tcPr>
          <w:p w14:paraId="1FACB918">
            <w:pPr>
              <w:spacing w:line="460" w:lineRule="exact"/>
              <w:jc w:val="center"/>
              <w:rPr>
                <w:rFonts w:ascii="宋体" w:hAnsi="宋体" w:cs="宋体"/>
                <w:color w:val="auto"/>
                <w:kern w:val="0"/>
                <w:szCs w:val="21"/>
              </w:rPr>
            </w:pPr>
            <w:r>
              <w:rPr>
                <w:rFonts w:hint="eastAsia" w:ascii="宋体" w:hAnsi="宋体" w:cs="宋体"/>
                <w:color w:val="auto"/>
                <w:kern w:val="0"/>
                <w:szCs w:val="21"/>
              </w:rPr>
              <w:t>0.7%</w:t>
            </w:r>
          </w:p>
        </w:tc>
      </w:tr>
      <w:tr w14:paraId="0A94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5C2CF683">
            <w:pPr>
              <w:spacing w:line="460" w:lineRule="exact"/>
              <w:jc w:val="center"/>
              <w:rPr>
                <w:rFonts w:ascii="宋体" w:hAnsi="宋体" w:cs="宋体"/>
                <w:color w:val="auto"/>
                <w:szCs w:val="21"/>
              </w:rPr>
            </w:pPr>
            <w:r>
              <w:rPr>
                <w:rFonts w:hint="eastAsia" w:ascii="宋体" w:hAnsi="宋体" w:cs="宋体"/>
                <w:color w:val="auto"/>
                <w:szCs w:val="21"/>
              </w:rPr>
              <w:t>500～1000万元</w:t>
            </w:r>
          </w:p>
        </w:tc>
        <w:tc>
          <w:tcPr>
            <w:tcW w:w="1659" w:type="dxa"/>
          </w:tcPr>
          <w:p w14:paraId="21F734D1">
            <w:pPr>
              <w:spacing w:line="460" w:lineRule="exact"/>
              <w:jc w:val="center"/>
              <w:rPr>
                <w:rFonts w:ascii="宋体" w:hAnsi="宋体" w:cs="宋体"/>
                <w:color w:val="auto"/>
                <w:kern w:val="0"/>
                <w:szCs w:val="21"/>
              </w:rPr>
            </w:pPr>
            <w:r>
              <w:rPr>
                <w:rFonts w:hint="eastAsia" w:ascii="宋体" w:hAnsi="宋体" w:cs="宋体"/>
                <w:color w:val="auto"/>
                <w:kern w:val="0"/>
                <w:szCs w:val="21"/>
              </w:rPr>
              <w:t>0.8%</w:t>
            </w:r>
          </w:p>
        </w:tc>
        <w:tc>
          <w:tcPr>
            <w:tcW w:w="1532" w:type="dxa"/>
          </w:tcPr>
          <w:p w14:paraId="4334A7FF">
            <w:pPr>
              <w:spacing w:line="460" w:lineRule="exact"/>
              <w:jc w:val="center"/>
              <w:rPr>
                <w:rFonts w:ascii="宋体" w:hAnsi="宋体" w:cs="宋体"/>
                <w:color w:val="auto"/>
                <w:kern w:val="0"/>
                <w:szCs w:val="21"/>
              </w:rPr>
            </w:pPr>
            <w:r>
              <w:rPr>
                <w:rFonts w:hint="eastAsia" w:ascii="宋体" w:hAnsi="宋体" w:cs="宋体"/>
                <w:color w:val="auto"/>
                <w:kern w:val="0"/>
                <w:szCs w:val="21"/>
              </w:rPr>
              <w:t>0.45%</w:t>
            </w:r>
          </w:p>
        </w:tc>
        <w:tc>
          <w:tcPr>
            <w:tcW w:w="1546" w:type="dxa"/>
          </w:tcPr>
          <w:p w14:paraId="2B8E27C7">
            <w:pPr>
              <w:spacing w:line="460" w:lineRule="exact"/>
              <w:jc w:val="center"/>
              <w:rPr>
                <w:rFonts w:ascii="宋体" w:hAnsi="宋体" w:cs="宋体"/>
                <w:color w:val="auto"/>
                <w:kern w:val="0"/>
                <w:szCs w:val="21"/>
              </w:rPr>
            </w:pPr>
            <w:r>
              <w:rPr>
                <w:rFonts w:hint="eastAsia" w:ascii="宋体" w:hAnsi="宋体" w:cs="宋体"/>
                <w:color w:val="auto"/>
                <w:kern w:val="0"/>
                <w:szCs w:val="21"/>
              </w:rPr>
              <w:t>0.55%</w:t>
            </w:r>
          </w:p>
        </w:tc>
      </w:tr>
      <w:tr w14:paraId="7E3F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0BF3C7CF">
            <w:pPr>
              <w:spacing w:line="460" w:lineRule="exact"/>
              <w:jc w:val="center"/>
              <w:rPr>
                <w:rFonts w:ascii="宋体" w:hAnsi="宋体" w:cs="宋体"/>
                <w:color w:val="auto"/>
                <w:szCs w:val="21"/>
              </w:rPr>
            </w:pPr>
            <w:r>
              <w:rPr>
                <w:rFonts w:hint="eastAsia" w:ascii="宋体" w:hAnsi="宋体" w:cs="宋体"/>
                <w:color w:val="auto"/>
                <w:szCs w:val="21"/>
              </w:rPr>
              <w:t>1000～5000万元</w:t>
            </w:r>
          </w:p>
        </w:tc>
        <w:tc>
          <w:tcPr>
            <w:tcW w:w="1659" w:type="dxa"/>
          </w:tcPr>
          <w:p w14:paraId="26CC5D42">
            <w:pPr>
              <w:spacing w:line="460" w:lineRule="exact"/>
              <w:jc w:val="center"/>
              <w:rPr>
                <w:rFonts w:ascii="宋体" w:hAnsi="宋体" w:cs="宋体"/>
                <w:color w:val="auto"/>
                <w:kern w:val="0"/>
                <w:szCs w:val="21"/>
              </w:rPr>
            </w:pPr>
            <w:r>
              <w:rPr>
                <w:rFonts w:hint="eastAsia" w:ascii="宋体" w:hAnsi="宋体" w:cs="宋体"/>
                <w:color w:val="auto"/>
                <w:kern w:val="0"/>
                <w:szCs w:val="21"/>
              </w:rPr>
              <w:t>0.5%</w:t>
            </w:r>
          </w:p>
        </w:tc>
        <w:tc>
          <w:tcPr>
            <w:tcW w:w="1532" w:type="dxa"/>
          </w:tcPr>
          <w:p w14:paraId="5BE305D2">
            <w:pPr>
              <w:spacing w:line="460" w:lineRule="exact"/>
              <w:jc w:val="center"/>
              <w:rPr>
                <w:rFonts w:ascii="宋体" w:hAnsi="宋体" w:cs="宋体"/>
                <w:color w:val="auto"/>
                <w:kern w:val="0"/>
                <w:szCs w:val="21"/>
              </w:rPr>
            </w:pPr>
            <w:r>
              <w:rPr>
                <w:rFonts w:hint="eastAsia" w:ascii="宋体" w:hAnsi="宋体" w:cs="宋体"/>
                <w:color w:val="auto"/>
                <w:kern w:val="0"/>
                <w:szCs w:val="21"/>
              </w:rPr>
              <w:t>0.25%</w:t>
            </w:r>
          </w:p>
        </w:tc>
        <w:tc>
          <w:tcPr>
            <w:tcW w:w="1546" w:type="dxa"/>
          </w:tcPr>
          <w:p w14:paraId="390DBAD5">
            <w:pPr>
              <w:spacing w:line="460" w:lineRule="exact"/>
              <w:jc w:val="center"/>
              <w:rPr>
                <w:rFonts w:ascii="宋体" w:hAnsi="宋体" w:cs="宋体"/>
                <w:color w:val="auto"/>
                <w:kern w:val="0"/>
                <w:szCs w:val="21"/>
              </w:rPr>
            </w:pPr>
            <w:r>
              <w:rPr>
                <w:rFonts w:hint="eastAsia" w:ascii="宋体" w:hAnsi="宋体" w:cs="宋体"/>
                <w:color w:val="auto"/>
                <w:kern w:val="0"/>
                <w:szCs w:val="21"/>
              </w:rPr>
              <w:t>0.35%</w:t>
            </w:r>
          </w:p>
        </w:tc>
      </w:tr>
      <w:tr w14:paraId="5C8C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65C84551">
            <w:pPr>
              <w:spacing w:line="460" w:lineRule="exact"/>
              <w:jc w:val="center"/>
              <w:rPr>
                <w:rFonts w:ascii="宋体" w:hAnsi="宋体" w:cs="宋体"/>
                <w:color w:val="auto"/>
                <w:szCs w:val="21"/>
              </w:rPr>
            </w:pPr>
            <w:r>
              <w:rPr>
                <w:rFonts w:hint="eastAsia" w:ascii="宋体" w:hAnsi="宋体" w:cs="宋体"/>
                <w:color w:val="auto"/>
                <w:szCs w:val="21"/>
              </w:rPr>
              <w:t>5000万元～1亿元</w:t>
            </w:r>
          </w:p>
        </w:tc>
        <w:tc>
          <w:tcPr>
            <w:tcW w:w="1659" w:type="dxa"/>
          </w:tcPr>
          <w:p w14:paraId="69D114B2">
            <w:pPr>
              <w:spacing w:line="460" w:lineRule="exact"/>
              <w:jc w:val="center"/>
              <w:rPr>
                <w:rFonts w:ascii="宋体" w:hAnsi="宋体" w:cs="宋体"/>
                <w:color w:val="auto"/>
                <w:kern w:val="0"/>
                <w:szCs w:val="21"/>
              </w:rPr>
            </w:pPr>
            <w:r>
              <w:rPr>
                <w:rFonts w:hint="eastAsia" w:ascii="宋体" w:hAnsi="宋体" w:cs="宋体"/>
                <w:color w:val="auto"/>
                <w:kern w:val="0"/>
                <w:szCs w:val="21"/>
              </w:rPr>
              <w:t>0.25%</w:t>
            </w:r>
          </w:p>
        </w:tc>
        <w:tc>
          <w:tcPr>
            <w:tcW w:w="1532" w:type="dxa"/>
          </w:tcPr>
          <w:p w14:paraId="7D6E821E">
            <w:pPr>
              <w:spacing w:line="460" w:lineRule="exact"/>
              <w:jc w:val="center"/>
              <w:rPr>
                <w:rFonts w:ascii="宋体" w:hAnsi="宋体" w:cs="宋体"/>
                <w:color w:val="auto"/>
                <w:kern w:val="0"/>
                <w:szCs w:val="21"/>
              </w:rPr>
            </w:pPr>
            <w:r>
              <w:rPr>
                <w:rFonts w:hint="eastAsia" w:ascii="宋体" w:hAnsi="宋体" w:cs="宋体"/>
                <w:color w:val="auto"/>
                <w:kern w:val="0"/>
                <w:szCs w:val="21"/>
              </w:rPr>
              <w:t>0.1%</w:t>
            </w:r>
          </w:p>
        </w:tc>
        <w:tc>
          <w:tcPr>
            <w:tcW w:w="1546" w:type="dxa"/>
          </w:tcPr>
          <w:p w14:paraId="1D0BFCAA">
            <w:pPr>
              <w:spacing w:line="460" w:lineRule="exact"/>
              <w:jc w:val="center"/>
              <w:rPr>
                <w:rFonts w:ascii="宋体" w:hAnsi="宋体" w:cs="宋体"/>
                <w:color w:val="auto"/>
                <w:kern w:val="0"/>
                <w:szCs w:val="21"/>
              </w:rPr>
            </w:pPr>
            <w:r>
              <w:rPr>
                <w:rFonts w:hint="eastAsia" w:ascii="宋体" w:hAnsi="宋体" w:cs="宋体"/>
                <w:color w:val="auto"/>
                <w:kern w:val="0"/>
                <w:szCs w:val="21"/>
              </w:rPr>
              <w:t>0.2%</w:t>
            </w:r>
          </w:p>
        </w:tc>
      </w:tr>
      <w:tr w14:paraId="0BE8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0B31E68D">
            <w:pPr>
              <w:spacing w:line="460" w:lineRule="exact"/>
              <w:jc w:val="center"/>
              <w:rPr>
                <w:rFonts w:ascii="宋体" w:hAnsi="宋体" w:cs="宋体"/>
                <w:color w:val="auto"/>
                <w:szCs w:val="21"/>
              </w:rPr>
            </w:pPr>
            <w:r>
              <w:rPr>
                <w:rFonts w:hint="eastAsia" w:ascii="宋体" w:hAnsi="宋体" w:cs="宋体"/>
                <w:color w:val="auto"/>
                <w:szCs w:val="21"/>
              </w:rPr>
              <w:t>1～5亿元</w:t>
            </w:r>
          </w:p>
        </w:tc>
        <w:tc>
          <w:tcPr>
            <w:tcW w:w="1659" w:type="dxa"/>
          </w:tcPr>
          <w:p w14:paraId="17FB9416">
            <w:pPr>
              <w:spacing w:line="460" w:lineRule="exact"/>
              <w:jc w:val="center"/>
              <w:rPr>
                <w:rFonts w:ascii="宋体" w:hAnsi="宋体" w:cs="宋体"/>
                <w:color w:val="auto"/>
                <w:kern w:val="0"/>
                <w:szCs w:val="21"/>
              </w:rPr>
            </w:pPr>
            <w:r>
              <w:rPr>
                <w:rFonts w:hint="eastAsia" w:ascii="宋体" w:hAnsi="宋体" w:cs="宋体"/>
                <w:color w:val="auto"/>
                <w:kern w:val="0"/>
                <w:szCs w:val="21"/>
              </w:rPr>
              <w:t>0.05%</w:t>
            </w:r>
          </w:p>
        </w:tc>
        <w:tc>
          <w:tcPr>
            <w:tcW w:w="1532" w:type="dxa"/>
          </w:tcPr>
          <w:p w14:paraId="1CBCD8AC">
            <w:pPr>
              <w:spacing w:line="460" w:lineRule="exact"/>
              <w:jc w:val="center"/>
              <w:rPr>
                <w:rFonts w:ascii="宋体" w:hAnsi="宋体" w:cs="宋体"/>
                <w:color w:val="auto"/>
                <w:kern w:val="0"/>
                <w:szCs w:val="21"/>
              </w:rPr>
            </w:pPr>
            <w:r>
              <w:rPr>
                <w:rFonts w:hint="eastAsia" w:ascii="宋体" w:hAnsi="宋体" w:cs="宋体"/>
                <w:color w:val="auto"/>
                <w:kern w:val="0"/>
                <w:szCs w:val="21"/>
              </w:rPr>
              <w:t>0.05%</w:t>
            </w:r>
          </w:p>
        </w:tc>
        <w:tc>
          <w:tcPr>
            <w:tcW w:w="1546" w:type="dxa"/>
          </w:tcPr>
          <w:p w14:paraId="1575BAEF">
            <w:pPr>
              <w:spacing w:line="460" w:lineRule="exact"/>
              <w:jc w:val="center"/>
              <w:rPr>
                <w:rFonts w:ascii="宋体" w:hAnsi="宋体" w:cs="宋体"/>
                <w:color w:val="auto"/>
                <w:kern w:val="0"/>
                <w:szCs w:val="21"/>
              </w:rPr>
            </w:pPr>
            <w:r>
              <w:rPr>
                <w:rFonts w:hint="eastAsia" w:ascii="宋体" w:hAnsi="宋体" w:cs="宋体"/>
                <w:color w:val="auto"/>
                <w:kern w:val="0"/>
                <w:szCs w:val="21"/>
              </w:rPr>
              <w:t>0.05%</w:t>
            </w:r>
          </w:p>
        </w:tc>
      </w:tr>
      <w:tr w14:paraId="6372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7CEAC3C1">
            <w:pPr>
              <w:spacing w:line="460" w:lineRule="exact"/>
              <w:jc w:val="center"/>
              <w:rPr>
                <w:rFonts w:ascii="宋体" w:hAnsi="宋体" w:cs="宋体"/>
                <w:color w:val="auto"/>
                <w:szCs w:val="21"/>
              </w:rPr>
            </w:pPr>
            <w:r>
              <w:rPr>
                <w:rFonts w:hint="eastAsia" w:ascii="宋体" w:hAnsi="宋体" w:cs="宋体"/>
                <w:color w:val="auto"/>
                <w:szCs w:val="21"/>
              </w:rPr>
              <w:t>5～10亿元</w:t>
            </w:r>
          </w:p>
        </w:tc>
        <w:tc>
          <w:tcPr>
            <w:tcW w:w="1659" w:type="dxa"/>
          </w:tcPr>
          <w:p w14:paraId="1B3AED96">
            <w:pPr>
              <w:spacing w:line="460" w:lineRule="exact"/>
              <w:jc w:val="center"/>
              <w:rPr>
                <w:rFonts w:ascii="宋体" w:hAnsi="宋体" w:cs="宋体"/>
                <w:color w:val="auto"/>
                <w:kern w:val="0"/>
                <w:szCs w:val="21"/>
              </w:rPr>
            </w:pPr>
            <w:r>
              <w:rPr>
                <w:rFonts w:hint="eastAsia" w:ascii="宋体" w:hAnsi="宋体" w:cs="宋体"/>
                <w:color w:val="auto"/>
                <w:kern w:val="0"/>
                <w:szCs w:val="21"/>
              </w:rPr>
              <w:t>0.035%</w:t>
            </w:r>
          </w:p>
        </w:tc>
        <w:tc>
          <w:tcPr>
            <w:tcW w:w="1532" w:type="dxa"/>
          </w:tcPr>
          <w:p w14:paraId="0453C5B0">
            <w:pPr>
              <w:spacing w:line="460" w:lineRule="exact"/>
              <w:jc w:val="center"/>
              <w:rPr>
                <w:rFonts w:ascii="宋体" w:hAnsi="宋体" w:cs="宋体"/>
                <w:color w:val="auto"/>
                <w:kern w:val="0"/>
                <w:szCs w:val="21"/>
              </w:rPr>
            </w:pPr>
            <w:r>
              <w:rPr>
                <w:rFonts w:hint="eastAsia" w:ascii="宋体" w:hAnsi="宋体" w:cs="宋体"/>
                <w:color w:val="auto"/>
                <w:kern w:val="0"/>
                <w:szCs w:val="21"/>
              </w:rPr>
              <w:t>0.035%</w:t>
            </w:r>
          </w:p>
        </w:tc>
        <w:tc>
          <w:tcPr>
            <w:tcW w:w="1546" w:type="dxa"/>
          </w:tcPr>
          <w:p w14:paraId="141FD920">
            <w:pPr>
              <w:spacing w:line="460" w:lineRule="exact"/>
              <w:jc w:val="center"/>
              <w:rPr>
                <w:rFonts w:ascii="宋体" w:hAnsi="宋体" w:cs="宋体"/>
                <w:color w:val="auto"/>
                <w:kern w:val="0"/>
                <w:szCs w:val="21"/>
              </w:rPr>
            </w:pPr>
            <w:r>
              <w:rPr>
                <w:rFonts w:hint="eastAsia" w:ascii="宋体" w:hAnsi="宋体" w:cs="宋体"/>
                <w:color w:val="auto"/>
                <w:kern w:val="0"/>
                <w:szCs w:val="21"/>
              </w:rPr>
              <w:t>0.035%</w:t>
            </w:r>
          </w:p>
        </w:tc>
      </w:tr>
      <w:tr w14:paraId="6D52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25149018">
            <w:pPr>
              <w:spacing w:line="460" w:lineRule="exact"/>
              <w:jc w:val="center"/>
              <w:rPr>
                <w:rFonts w:ascii="宋体" w:hAnsi="宋体" w:cs="宋体"/>
                <w:color w:val="auto"/>
                <w:kern w:val="0"/>
                <w:szCs w:val="21"/>
              </w:rPr>
            </w:pPr>
            <w:r>
              <w:rPr>
                <w:rFonts w:hint="eastAsia" w:ascii="宋体" w:hAnsi="宋体" w:cs="宋体"/>
                <w:color w:val="auto"/>
                <w:kern w:val="0"/>
                <w:szCs w:val="21"/>
              </w:rPr>
              <w:t>10～50亿元</w:t>
            </w:r>
          </w:p>
        </w:tc>
        <w:tc>
          <w:tcPr>
            <w:tcW w:w="1659" w:type="dxa"/>
          </w:tcPr>
          <w:p w14:paraId="74689978">
            <w:pPr>
              <w:spacing w:line="460" w:lineRule="exact"/>
              <w:jc w:val="center"/>
              <w:rPr>
                <w:rFonts w:ascii="宋体" w:hAnsi="宋体" w:cs="宋体"/>
                <w:color w:val="auto"/>
                <w:kern w:val="0"/>
                <w:szCs w:val="21"/>
              </w:rPr>
            </w:pPr>
            <w:r>
              <w:rPr>
                <w:rFonts w:hint="eastAsia" w:ascii="宋体" w:hAnsi="宋体" w:cs="宋体"/>
                <w:color w:val="auto"/>
                <w:kern w:val="0"/>
                <w:szCs w:val="21"/>
              </w:rPr>
              <w:t>0.008%</w:t>
            </w:r>
          </w:p>
        </w:tc>
        <w:tc>
          <w:tcPr>
            <w:tcW w:w="1532" w:type="dxa"/>
          </w:tcPr>
          <w:p w14:paraId="2D5C3E17">
            <w:pPr>
              <w:spacing w:line="460" w:lineRule="exact"/>
              <w:jc w:val="center"/>
              <w:rPr>
                <w:rFonts w:ascii="宋体" w:hAnsi="宋体" w:cs="宋体"/>
                <w:color w:val="auto"/>
                <w:kern w:val="0"/>
                <w:szCs w:val="21"/>
              </w:rPr>
            </w:pPr>
            <w:r>
              <w:rPr>
                <w:rFonts w:hint="eastAsia" w:ascii="宋体" w:hAnsi="宋体" w:cs="宋体"/>
                <w:color w:val="auto"/>
                <w:kern w:val="0"/>
                <w:szCs w:val="21"/>
              </w:rPr>
              <w:t>0.008%</w:t>
            </w:r>
          </w:p>
        </w:tc>
        <w:tc>
          <w:tcPr>
            <w:tcW w:w="1546" w:type="dxa"/>
          </w:tcPr>
          <w:p w14:paraId="0EAE6177">
            <w:pPr>
              <w:spacing w:line="460" w:lineRule="exact"/>
              <w:jc w:val="center"/>
              <w:rPr>
                <w:rFonts w:ascii="宋体" w:hAnsi="宋体" w:cs="宋体"/>
                <w:color w:val="auto"/>
                <w:kern w:val="0"/>
                <w:szCs w:val="21"/>
              </w:rPr>
            </w:pPr>
            <w:r>
              <w:rPr>
                <w:rFonts w:hint="eastAsia" w:ascii="宋体" w:hAnsi="宋体" w:cs="宋体"/>
                <w:color w:val="auto"/>
                <w:kern w:val="0"/>
                <w:szCs w:val="21"/>
              </w:rPr>
              <w:t>0.008%</w:t>
            </w:r>
          </w:p>
        </w:tc>
      </w:tr>
      <w:tr w14:paraId="737E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63E890AE">
            <w:pPr>
              <w:spacing w:line="460" w:lineRule="exact"/>
              <w:jc w:val="center"/>
              <w:rPr>
                <w:rFonts w:ascii="宋体" w:hAnsi="宋体" w:cs="宋体"/>
                <w:color w:val="auto"/>
                <w:kern w:val="0"/>
                <w:szCs w:val="21"/>
              </w:rPr>
            </w:pPr>
            <w:r>
              <w:rPr>
                <w:rFonts w:hint="eastAsia" w:ascii="宋体" w:hAnsi="宋体" w:cs="宋体"/>
                <w:color w:val="auto"/>
                <w:kern w:val="0"/>
                <w:szCs w:val="21"/>
              </w:rPr>
              <w:t>50～100亿元</w:t>
            </w:r>
          </w:p>
        </w:tc>
        <w:tc>
          <w:tcPr>
            <w:tcW w:w="1659" w:type="dxa"/>
          </w:tcPr>
          <w:p w14:paraId="53536BA2">
            <w:pPr>
              <w:spacing w:line="460" w:lineRule="exact"/>
              <w:jc w:val="center"/>
              <w:rPr>
                <w:rFonts w:ascii="宋体" w:hAnsi="宋体" w:cs="宋体"/>
                <w:color w:val="auto"/>
                <w:kern w:val="0"/>
                <w:szCs w:val="21"/>
              </w:rPr>
            </w:pPr>
            <w:r>
              <w:rPr>
                <w:rFonts w:hint="eastAsia" w:ascii="宋体" w:hAnsi="宋体" w:cs="宋体"/>
                <w:color w:val="auto"/>
                <w:kern w:val="0"/>
                <w:szCs w:val="21"/>
              </w:rPr>
              <w:t xml:space="preserve"> 0.006%</w:t>
            </w:r>
          </w:p>
        </w:tc>
        <w:tc>
          <w:tcPr>
            <w:tcW w:w="1532" w:type="dxa"/>
          </w:tcPr>
          <w:p w14:paraId="562552C4">
            <w:pPr>
              <w:spacing w:line="460" w:lineRule="exact"/>
              <w:jc w:val="center"/>
              <w:rPr>
                <w:rFonts w:ascii="宋体" w:hAnsi="宋体" w:cs="宋体"/>
                <w:color w:val="auto"/>
                <w:kern w:val="0"/>
                <w:szCs w:val="21"/>
              </w:rPr>
            </w:pPr>
            <w:r>
              <w:rPr>
                <w:rFonts w:hint="eastAsia" w:ascii="宋体" w:hAnsi="宋体" w:cs="宋体"/>
                <w:color w:val="auto"/>
                <w:kern w:val="0"/>
                <w:szCs w:val="21"/>
              </w:rPr>
              <w:t>0.006%</w:t>
            </w:r>
          </w:p>
        </w:tc>
        <w:tc>
          <w:tcPr>
            <w:tcW w:w="1546" w:type="dxa"/>
          </w:tcPr>
          <w:p w14:paraId="7146A170">
            <w:pPr>
              <w:spacing w:line="460" w:lineRule="exact"/>
              <w:jc w:val="center"/>
              <w:rPr>
                <w:rFonts w:ascii="宋体" w:hAnsi="宋体" w:cs="宋体"/>
                <w:color w:val="auto"/>
                <w:kern w:val="0"/>
                <w:szCs w:val="21"/>
              </w:rPr>
            </w:pPr>
            <w:r>
              <w:rPr>
                <w:rFonts w:hint="eastAsia" w:ascii="宋体" w:hAnsi="宋体" w:cs="宋体"/>
                <w:color w:val="auto"/>
                <w:kern w:val="0"/>
                <w:szCs w:val="21"/>
              </w:rPr>
              <w:t>0.006%</w:t>
            </w:r>
          </w:p>
        </w:tc>
      </w:tr>
      <w:tr w14:paraId="05B55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Pr>
          <w:p w14:paraId="2DCA11DC">
            <w:pPr>
              <w:spacing w:line="460" w:lineRule="exact"/>
              <w:jc w:val="center"/>
              <w:rPr>
                <w:rFonts w:ascii="宋体" w:hAnsi="宋体" w:cs="宋体"/>
                <w:color w:val="auto"/>
                <w:kern w:val="0"/>
                <w:szCs w:val="21"/>
              </w:rPr>
            </w:pPr>
            <w:r>
              <w:rPr>
                <w:rFonts w:hint="eastAsia" w:ascii="宋体" w:hAnsi="宋体" w:cs="宋体"/>
                <w:color w:val="auto"/>
                <w:kern w:val="0"/>
                <w:szCs w:val="21"/>
              </w:rPr>
              <w:t>100亿元以上</w:t>
            </w:r>
          </w:p>
        </w:tc>
        <w:tc>
          <w:tcPr>
            <w:tcW w:w="1659" w:type="dxa"/>
          </w:tcPr>
          <w:p w14:paraId="0362008E">
            <w:pPr>
              <w:spacing w:line="460" w:lineRule="exact"/>
              <w:jc w:val="center"/>
              <w:rPr>
                <w:rFonts w:ascii="宋体" w:hAnsi="宋体" w:cs="宋体"/>
                <w:color w:val="auto"/>
                <w:kern w:val="0"/>
                <w:szCs w:val="21"/>
              </w:rPr>
            </w:pPr>
            <w:r>
              <w:rPr>
                <w:rFonts w:hint="eastAsia" w:ascii="宋体" w:hAnsi="宋体" w:cs="宋体"/>
                <w:color w:val="auto"/>
                <w:kern w:val="0"/>
                <w:szCs w:val="21"/>
              </w:rPr>
              <w:t xml:space="preserve"> 0.004%</w:t>
            </w:r>
          </w:p>
        </w:tc>
        <w:tc>
          <w:tcPr>
            <w:tcW w:w="1532" w:type="dxa"/>
          </w:tcPr>
          <w:p w14:paraId="560896FB">
            <w:pPr>
              <w:spacing w:line="460" w:lineRule="exact"/>
              <w:jc w:val="center"/>
              <w:rPr>
                <w:rFonts w:ascii="宋体" w:hAnsi="宋体" w:cs="宋体"/>
                <w:color w:val="auto"/>
                <w:kern w:val="0"/>
                <w:szCs w:val="21"/>
              </w:rPr>
            </w:pPr>
            <w:r>
              <w:rPr>
                <w:rFonts w:hint="eastAsia" w:ascii="宋体" w:hAnsi="宋体" w:cs="宋体"/>
                <w:color w:val="auto"/>
                <w:kern w:val="0"/>
                <w:szCs w:val="21"/>
              </w:rPr>
              <w:t>0.004%</w:t>
            </w:r>
          </w:p>
        </w:tc>
        <w:tc>
          <w:tcPr>
            <w:tcW w:w="1546" w:type="dxa"/>
          </w:tcPr>
          <w:p w14:paraId="34A5DD70">
            <w:pPr>
              <w:spacing w:line="460" w:lineRule="exact"/>
              <w:jc w:val="center"/>
              <w:rPr>
                <w:rFonts w:ascii="宋体" w:hAnsi="宋体" w:cs="宋体"/>
                <w:color w:val="auto"/>
                <w:kern w:val="0"/>
                <w:szCs w:val="21"/>
              </w:rPr>
            </w:pPr>
            <w:r>
              <w:rPr>
                <w:rFonts w:hint="eastAsia" w:ascii="宋体" w:hAnsi="宋体" w:cs="宋体"/>
                <w:color w:val="auto"/>
                <w:kern w:val="0"/>
                <w:szCs w:val="21"/>
              </w:rPr>
              <w:t>0.004%</w:t>
            </w:r>
          </w:p>
        </w:tc>
      </w:tr>
    </w:tbl>
    <w:p w14:paraId="50680F2B">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注： </w:t>
      </w:r>
    </w:p>
    <w:p w14:paraId="508DD5B1">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（1）按本表费率计算的收费为采购代理的收费基准价格；</w:t>
      </w:r>
    </w:p>
    <w:p w14:paraId="3D59213A">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（2）采购代理收费按差额定率累进法计算。</w:t>
      </w:r>
    </w:p>
    <w:p w14:paraId="2208B026">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例如：某货物采购代理业务成交金额或者暂定价为150万元，计算采购代理收费额如下：</w:t>
      </w:r>
    </w:p>
    <w:p w14:paraId="0F4569B8">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 万元 ×l.5 %＝ 1.5 万元</w:t>
      </w:r>
    </w:p>
    <w:p w14:paraId="2B3CF0BF">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150 － 100 ）万元 ×1.1%＝ 0.55 万元</w:t>
      </w:r>
    </w:p>
    <w:p w14:paraId="1001934C">
      <w:pPr>
        <w:spacing w:line="360" w:lineRule="auto"/>
        <w:ind w:firstLine="420" w:firstLineChars="200"/>
        <w:contextualSpacing/>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合计收费＝ 1.5 ＋ 0.55＝ 2.05 （万元）</w:t>
      </w:r>
    </w:p>
    <w:p w14:paraId="2D3AFA06">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33.需要补充的其他内容</w:t>
      </w:r>
    </w:p>
    <w:p w14:paraId="218D13B9">
      <w:pPr>
        <w:pStyle w:val="15"/>
        <w:spacing w:line="360" w:lineRule="auto"/>
        <w:ind w:firstLine="420" w:firstLineChars="200"/>
        <w:contextualSpacing/>
        <w:rPr>
          <w:rFonts w:hAnsi="宋体" w:cs="宋体"/>
          <w:color w:val="auto"/>
          <w:sz w:val="21"/>
        </w:rPr>
      </w:pPr>
      <w:r>
        <w:rPr>
          <w:rFonts w:hint="eastAsia" w:hAnsi="宋体" w:cs="宋体"/>
          <w:color w:val="auto"/>
          <w:sz w:val="21"/>
        </w:rPr>
        <w:t>33.1本谈判文件解释规则详见“供应商须知前附表”。</w:t>
      </w:r>
    </w:p>
    <w:p w14:paraId="541DCCFA">
      <w:pPr>
        <w:spacing w:line="360" w:lineRule="auto"/>
        <w:ind w:firstLine="420" w:firstLineChars="200"/>
        <w:contextualSpacing/>
        <w:rPr>
          <w:rFonts w:ascii="宋体" w:hAnsi="宋体" w:cs="宋体"/>
          <w:color w:val="auto"/>
          <w:szCs w:val="21"/>
        </w:rPr>
      </w:pPr>
      <w:r>
        <w:rPr>
          <w:rFonts w:hint="eastAsia" w:ascii="宋体" w:hAnsi="宋体" w:cs="宋体"/>
          <w:color w:val="auto"/>
          <w:kern w:val="0"/>
          <w:szCs w:val="21"/>
        </w:rPr>
        <w:t>33.2 其他事</w:t>
      </w:r>
      <w:r>
        <w:rPr>
          <w:rFonts w:hint="eastAsia" w:ascii="宋体" w:hAnsi="宋体" w:cs="宋体"/>
          <w:color w:val="auto"/>
          <w:szCs w:val="21"/>
        </w:rPr>
        <w:t>项详见“供应商须知前附表”。</w:t>
      </w:r>
    </w:p>
    <w:p w14:paraId="4EF05C84">
      <w:pPr>
        <w:pStyle w:val="15"/>
        <w:spacing w:line="360" w:lineRule="auto"/>
        <w:ind w:firstLine="420" w:firstLineChars="200"/>
        <w:contextualSpacing/>
        <w:rPr>
          <w:rFonts w:hAnsi="宋体" w:cs="宋体"/>
          <w:color w:val="auto"/>
          <w:sz w:val="21"/>
        </w:rPr>
      </w:pPr>
      <w:r>
        <w:rPr>
          <w:rFonts w:hint="eastAsia" w:hAnsi="宋体" w:cs="宋体"/>
          <w:color w:val="auto"/>
          <w:sz w:val="21"/>
        </w:rPr>
        <w:t>33.3</w:t>
      </w:r>
      <w:bookmarkStart w:id="27" w:name="_Hlk65857140"/>
      <w:r>
        <w:rPr>
          <w:rFonts w:hint="eastAsia" w:hAnsi="宋体" w:cs="宋体"/>
          <w:color w:val="auto"/>
          <w:sz w:val="21"/>
        </w:rPr>
        <w:t>本谈判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谈判文件规定的中小企业扶持政策：</w:t>
      </w:r>
    </w:p>
    <w:p w14:paraId="7A738B48">
      <w:pPr>
        <w:pStyle w:val="15"/>
        <w:spacing w:line="360" w:lineRule="auto"/>
        <w:ind w:firstLine="420" w:firstLineChars="200"/>
        <w:contextualSpacing/>
        <w:rPr>
          <w:rFonts w:hAnsi="宋体" w:cs="宋体"/>
          <w:color w:val="auto"/>
          <w:sz w:val="21"/>
        </w:rPr>
      </w:pPr>
      <w:r>
        <w:rPr>
          <w:rFonts w:hint="eastAsia" w:hAnsi="宋体" w:cs="宋体"/>
          <w:color w:val="auto"/>
          <w:sz w:val="21"/>
        </w:rPr>
        <w:t>（1）在货物采购项目中，货物由中小企业制造，即货物由中小企业生产且使用该中小企业商号或者注册商标，不对其中涉及的工程承建商和服务的承接商作出要求；</w:t>
      </w:r>
    </w:p>
    <w:p w14:paraId="27AB3ED3">
      <w:pPr>
        <w:pStyle w:val="15"/>
        <w:spacing w:line="360" w:lineRule="auto"/>
        <w:ind w:firstLine="420" w:firstLineChars="200"/>
        <w:contextualSpacing/>
        <w:rPr>
          <w:rFonts w:hAnsi="宋体" w:cs="宋体"/>
          <w:color w:val="auto"/>
          <w:sz w:val="21"/>
        </w:rPr>
      </w:pPr>
      <w:r>
        <w:rPr>
          <w:rFonts w:hint="eastAsia" w:hAnsi="宋体" w:cs="宋体"/>
          <w:color w:val="auto"/>
          <w:sz w:val="21"/>
        </w:rPr>
        <w:t>（2）在工程采购项目中，工程由中小企业承建，即工程施工单位为中小企业，不对其中涉及的货物的制造商和服务的承接商作出要求；</w:t>
      </w:r>
    </w:p>
    <w:p w14:paraId="0CE99675">
      <w:pPr>
        <w:pStyle w:val="15"/>
        <w:spacing w:line="360" w:lineRule="auto"/>
        <w:ind w:firstLine="420" w:firstLineChars="200"/>
        <w:contextualSpacing/>
        <w:rPr>
          <w:rFonts w:hAnsi="宋体" w:cs="宋体"/>
          <w:color w:val="auto"/>
          <w:sz w:val="21"/>
        </w:rPr>
      </w:pPr>
      <w:r>
        <w:rPr>
          <w:rFonts w:hint="eastAsia" w:hAnsi="宋体" w:cs="宋体"/>
          <w:color w:val="auto"/>
          <w:sz w:val="21"/>
        </w:rPr>
        <w:t>（3）在服务采购项目中，服务由中小企业承接，即提供服务的人员为中小企业依照《中华人民共和国劳动合同法》订立劳动合同的从业人员，不对其中涉及的货物的制造商和工程承建商作出要求。</w:t>
      </w:r>
    </w:p>
    <w:p w14:paraId="4FD1E93F">
      <w:pPr>
        <w:pStyle w:val="15"/>
        <w:spacing w:line="360" w:lineRule="auto"/>
        <w:ind w:firstLine="420" w:firstLineChars="200"/>
        <w:contextualSpacing/>
        <w:rPr>
          <w:rFonts w:hAnsi="宋体" w:cs="宋体"/>
          <w:color w:val="auto"/>
          <w:sz w:val="21"/>
        </w:rPr>
      </w:pPr>
      <w:r>
        <w:rPr>
          <w:rFonts w:hint="eastAsia" w:hAnsi="宋体" w:cs="宋体"/>
          <w:color w:val="auto"/>
          <w:sz w:val="21"/>
        </w:rPr>
        <w:t>在货物采购项目中，供应商提供的货物既有中小企业制造货物，也有大型企业制造货物的，不享受本谈判文件规定的中小企业扶持政策。以联合体形式参加政府采购活动，联合体各方均为中小企业的，联合体视同中小企业。其中，联合体各方均为小微企业的，联合体视同小微企业。</w:t>
      </w:r>
    </w:p>
    <w:p w14:paraId="3F9E2E27">
      <w:pPr>
        <w:spacing w:line="360" w:lineRule="auto"/>
        <w:ind w:firstLine="420" w:firstLineChars="200"/>
        <w:contextualSpacing/>
        <w:rPr>
          <w:rFonts w:ascii="宋体" w:hAnsi="宋体" w:cs="宋体"/>
          <w:color w:val="auto"/>
          <w:sz w:val="24"/>
        </w:rPr>
      </w:pPr>
      <w:r>
        <w:rPr>
          <w:rFonts w:hint="eastAsia" w:ascii="宋体" w:hAnsi="宋体" w:cs="宋体"/>
          <w:color w:val="auto"/>
          <w:szCs w:val="21"/>
        </w:rPr>
        <w:t>依据本谈判文件规定享受扶持政策获得政府采购合同的，小微企业不得将合同分包给大中型企业，中型企业不得将合同分包给大型企业。</w:t>
      </w:r>
      <w:bookmarkEnd w:id="27"/>
    </w:p>
    <w:p w14:paraId="4413333D">
      <w:pPr>
        <w:pStyle w:val="2"/>
        <w:spacing w:before="0" w:after="0" w:line="360" w:lineRule="auto"/>
        <w:jc w:val="center"/>
        <w:rPr>
          <w:rFonts w:ascii="宋体" w:hAnsi="宋体" w:cs="宋体"/>
          <w:color w:val="auto"/>
          <w:sz w:val="32"/>
          <w:szCs w:val="32"/>
        </w:rPr>
      </w:pPr>
      <w:r>
        <w:rPr>
          <w:rFonts w:hint="eastAsia" w:ascii="宋体" w:hAnsi="宋体" w:cs="宋体"/>
          <w:bCs w:val="0"/>
          <w:color w:val="auto"/>
          <w:sz w:val="24"/>
          <w:szCs w:val="24"/>
        </w:rPr>
        <w:br w:type="page"/>
      </w:r>
      <w:bookmarkStart w:id="28" w:name="_Toc27583"/>
      <w:r>
        <w:rPr>
          <w:rFonts w:hint="eastAsia" w:ascii="宋体" w:hAnsi="宋体" w:cs="宋体"/>
          <w:color w:val="auto"/>
        </w:rPr>
        <w:t>第三章 采购需求</w:t>
      </w:r>
      <w:bookmarkEnd w:id="28"/>
    </w:p>
    <w:p w14:paraId="5C5320FE">
      <w:pPr>
        <w:spacing w:line="360" w:lineRule="auto"/>
        <w:jc w:val="left"/>
        <w:rPr>
          <w:rFonts w:ascii="宋体" w:hAnsi="宋体" w:cs="宋体"/>
          <w:bCs/>
          <w:color w:val="auto"/>
          <w:szCs w:val="21"/>
        </w:rPr>
      </w:pPr>
      <w:r>
        <w:rPr>
          <w:rFonts w:hint="eastAsia" w:ascii="宋体" w:hAnsi="宋体" w:cs="宋体"/>
          <w:bCs/>
          <w:color w:val="auto"/>
          <w:szCs w:val="21"/>
        </w:rPr>
        <w:t>说明：</w:t>
      </w:r>
    </w:p>
    <w:p w14:paraId="41E73B45">
      <w:pPr>
        <w:spacing w:line="360" w:lineRule="auto"/>
        <w:ind w:left="-10" w:leftChars="-5" w:right="2" w:rightChars="1" w:firstLine="420" w:firstLineChars="200"/>
        <w:rPr>
          <w:bCs/>
          <w:color w:val="auto"/>
          <w:szCs w:val="21"/>
        </w:rPr>
      </w:pPr>
      <w:r>
        <w:rPr>
          <w:bCs/>
          <w:color w:val="auto"/>
          <w:szCs w:val="21"/>
        </w:rPr>
        <w:t>1</w:t>
      </w:r>
      <w:r>
        <w:rPr>
          <w:rFonts w:hint="eastAsia" w:ascii="宋体" w:hAnsi="宋体" w:cs="宋体"/>
          <w:color w:val="auto"/>
          <w:szCs w:val="21"/>
        </w:rPr>
        <w:t>.</w:t>
      </w:r>
      <w:r>
        <w:rPr>
          <w:bCs/>
          <w:color w:val="auto"/>
          <w:szCs w:val="21"/>
        </w:rPr>
        <w:t>采购需求中如出现品牌、型号或者生产厂家等均仅起参考作用，不属于指定品牌、型号或者生产厂家的情形，</w:t>
      </w:r>
      <w:r>
        <w:rPr>
          <w:rFonts w:hint="eastAsia"/>
          <w:bCs/>
          <w:color w:val="auto"/>
          <w:szCs w:val="21"/>
        </w:rPr>
        <w:t>供应商</w:t>
      </w:r>
      <w:r>
        <w:rPr>
          <w:bCs/>
          <w:color w:val="auto"/>
          <w:szCs w:val="21"/>
        </w:rPr>
        <w:t>可参照或者选用其他相当的品牌、型号或者生产供应商替代。但</w:t>
      </w:r>
      <w:r>
        <w:rPr>
          <w:rFonts w:hint="eastAsia"/>
          <w:bCs/>
          <w:color w:val="auto"/>
          <w:szCs w:val="21"/>
        </w:rPr>
        <w:t>供应商提供</w:t>
      </w:r>
      <w:r>
        <w:rPr>
          <w:bCs/>
          <w:color w:val="auto"/>
          <w:szCs w:val="21"/>
        </w:rPr>
        <w:t>的产品实质上应相当于或优于本</w:t>
      </w:r>
      <w:r>
        <w:rPr>
          <w:rFonts w:hint="eastAsia"/>
          <w:bCs/>
          <w:color w:val="auto"/>
          <w:szCs w:val="21"/>
        </w:rPr>
        <w:t>《采购</w:t>
      </w:r>
      <w:r>
        <w:rPr>
          <w:bCs/>
          <w:color w:val="auto"/>
          <w:szCs w:val="21"/>
        </w:rPr>
        <w:t>需求</w:t>
      </w:r>
      <w:r>
        <w:rPr>
          <w:rFonts w:hint="eastAsia"/>
          <w:bCs/>
          <w:color w:val="auto"/>
          <w:szCs w:val="21"/>
        </w:rPr>
        <w:t>》</w:t>
      </w:r>
      <w:r>
        <w:rPr>
          <w:bCs/>
          <w:color w:val="auto"/>
          <w:szCs w:val="21"/>
        </w:rPr>
        <w:t>中的技术要求。</w:t>
      </w:r>
    </w:p>
    <w:p w14:paraId="336FDD6B">
      <w:pPr>
        <w:spacing w:line="360" w:lineRule="auto"/>
        <w:ind w:left="-10" w:leftChars="-5" w:right="2" w:rightChars="1" w:firstLine="420" w:firstLineChars="200"/>
        <w:rPr>
          <w:bCs/>
          <w:color w:val="auto"/>
          <w:szCs w:val="21"/>
        </w:rPr>
      </w:pPr>
      <w:r>
        <w:rPr>
          <w:bCs/>
          <w:color w:val="auto"/>
          <w:szCs w:val="21"/>
        </w:rPr>
        <w:t>2</w:t>
      </w:r>
      <w:r>
        <w:rPr>
          <w:rFonts w:hint="eastAsia" w:ascii="宋体" w:hAnsi="宋体" w:cs="宋体"/>
          <w:color w:val="auto"/>
          <w:szCs w:val="21"/>
        </w:rPr>
        <w:t>.</w:t>
      </w:r>
      <w:r>
        <w:rPr>
          <w:bCs/>
          <w:color w:val="auto"/>
          <w:szCs w:val="21"/>
        </w:rPr>
        <w:t>凡在“技术要求”中表述为“标配”或“标准配置”的设备，</w:t>
      </w:r>
      <w:r>
        <w:rPr>
          <w:rFonts w:hint="eastAsia"/>
          <w:bCs/>
          <w:color w:val="auto"/>
          <w:szCs w:val="21"/>
        </w:rPr>
        <w:t>供应商</w:t>
      </w:r>
      <w:r>
        <w:rPr>
          <w:bCs/>
          <w:color w:val="auto"/>
          <w:szCs w:val="21"/>
        </w:rPr>
        <w:t>应在</w:t>
      </w:r>
      <w:r>
        <w:rPr>
          <w:rFonts w:hint="eastAsia" w:ascii="宋体" w:hAnsi="宋体" w:cs="宋体"/>
          <w:color w:val="auto"/>
          <w:szCs w:val="21"/>
          <w:lang w:bidi="ar"/>
        </w:rPr>
        <w:t>竞争性谈判</w:t>
      </w:r>
      <w:r>
        <w:rPr>
          <w:bCs/>
          <w:color w:val="auto"/>
          <w:szCs w:val="21"/>
        </w:rPr>
        <w:t>设备性能配置清单中将其标配参数详细列明。</w:t>
      </w:r>
    </w:p>
    <w:p w14:paraId="0339344C">
      <w:pPr>
        <w:spacing w:line="360" w:lineRule="auto"/>
        <w:ind w:left="-10" w:leftChars="-5" w:right="2" w:rightChars="1" w:firstLine="420" w:firstLineChars="200"/>
        <w:rPr>
          <w:bCs/>
          <w:color w:val="auto"/>
          <w:szCs w:val="21"/>
        </w:rPr>
      </w:pPr>
      <w:r>
        <w:rPr>
          <w:bCs/>
          <w:color w:val="auto"/>
          <w:szCs w:val="21"/>
        </w:rPr>
        <w:t>3</w:t>
      </w:r>
      <w:r>
        <w:rPr>
          <w:rFonts w:hint="eastAsia" w:ascii="宋体" w:hAnsi="宋体" w:cs="宋体"/>
          <w:color w:val="auto"/>
          <w:szCs w:val="21"/>
        </w:rPr>
        <w:t>.</w:t>
      </w:r>
      <w:r>
        <w:rPr>
          <w:bCs/>
          <w:color w:val="auto"/>
          <w:szCs w:val="21"/>
        </w:rPr>
        <w:t>根据《财政部发展改革委生态环境部市场监管总局关于调整优化节能产品、环境标志产品政府采购执行机制的通知》（财库〔2019〕9 号）和《关于印发节能产品政府采购品目清单的通知》（财库〔2019〕19 号）的规定，采购需求中的产品属于节能产品政府采购品目清单内标注“</w:t>
      </w:r>
      <w:r>
        <w:rPr>
          <w:rFonts w:hint="eastAsia" w:ascii="Segoe UI Symbol" w:hAnsi="Segoe UI Symbol" w:cs="Segoe UI Symbol"/>
          <w:bCs/>
          <w:color w:val="auto"/>
          <w:szCs w:val="21"/>
        </w:rPr>
        <w:t>★</w:t>
      </w:r>
      <w:r>
        <w:rPr>
          <w:bCs/>
          <w:color w:val="auto"/>
          <w:szCs w:val="21"/>
        </w:rPr>
        <w:t>”的（详见本章后附的节能产品政府采购品目清单），</w:t>
      </w:r>
      <w:r>
        <w:rPr>
          <w:rFonts w:hint="eastAsia"/>
          <w:bCs/>
          <w:color w:val="auto"/>
          <w:szCs w:val="21"/>
        </w:rPr>
        <w:t>供应商参与</w:t>
      </w:r>
      <w:r>
        <w:rPr>
          <w:rFonts w:hint="eastAsia" w:ascii="宋体" w:hAnsi="宋体" w:cs="宋体"/>
          <w:color w:val="auto"/>
          <w:szCs w:val="21"/>
          <w:lang w:bidi="ar"/>
        </w:rPr>
        <w:t>竞争性谈判</w:t>
      </w:r>
      <w:r>
        <w:rPr>
          <w:rFonts w:hint="eastAsia"/>
          <w:bCs/>
          <w:color w:val="auto"/>
          <w:szCs w:val="21"/>
        </w:rPr>
        <w:t>提供的</w:t>
      </w:r>
      <w:r>
        <w:rPr>
          <w:bCs/>
          <w:color w:val="auto"/>
          <w:szCs w:val="21"/>
        </w:rPr>
        <w:t>货物必须使用政府强制采购的节能产品，</w:t>
      </w:r>
      <w:r>
        <w:rPr>
          <w:rFonts w:hint="eastAsia"/>
          <w:bCs/>
          <w:color w:val="auto"/>
          <w:szCs w:val="21"/>
        </w:rPr>
        <w:t>供应商必须在响应文件（商务及技术文件）中提供所投产品的节能产品认证证书复印件（加盖投标人电子签章），</w:t>
      </w:r>
      <w:r>
        <w:rPr>
          <w:bCs/>
          <w:color w:val="auto"/>
          <w:szCs w:val="21"/>
        </w:rPr>
        <w:t>否则</w:t>
      </w:r>
      <w:r>
        <w:rPr>
          <w:rFonts w:hint="eastAsia"/>
          <w:bCs/>
          <w:color w:val="auto"/>
          <w:szCs w:val="21"/>
        </w:rPr>
        <w:t>响应</w:t>
      </w:r>
      <w:r>
        <w:rPr>
          <w:bCs/>
          <w:color w:val="auto"/>
          <w:szCs w:val="21"/>
        </w:rPr>
        <w:t>文件作无效处理。</w:t>
      </w:r>
    </w:p>
    <w:p w14:paraId="62D6452D">
      <w:pPr>
        <w:spacing w:line="360" w:lineRule="auto"/>
        <w:ind w:left="-10" w:leftChars="-5" w:right="2" w:rightChars="1" w:firstLine="420" w:firstLineChars="200"/>
        <w:rPr>
          <w:bCs/>
          <w:color w:val="auto"/>
          <w:szCs w:val="21"/>
        </w:rPr>
      </w:pPr>
      <w:r>
        <w:rPr>
          <w:bCs/>
          <w:color w:val="auto"/>
          <w:szCs w:val="21"/>
        </w:rPr>
        <w:t>4</w:t>
      </w:r>
      <w:r>
        <w:rPr>
          <w:rFonts w:hint="eastAsia" w:ascii="宋体" w:hAnsi="宋体" w:cs="宋体"/>
          <w:color w:val="auto"/>
          <w:szCs w:val="21"/>
        </w:rPr>
        <w:t>.</w:t>
      </w:r>
      <w:r>
        <w:rPr>
          <w:bCs/>
          <w:color w:val="auto"/>
          <w:szCs w:val="21"/>
        </w:rPr>
        <w:t>如</w:t>
      </w:r>
      <w:r>
        <w:rPr>
          <w:rFonts w:hint="eastAsia"/>
          <w:bCs/>
          <w:color w:val="auto"/>
          <w:szCs w:val="21"/>
        </w:rPr>
        <w:t>供应商参与</w:t>
      </w:r>
      <w:r>
        <w:rPr>
          <w:rFonts w:hint="eastAsia" w:ascii="宋体" w:hAnsi="宋体" w:cs="宋体"/>
          <w:color w:val="auto"/>
          <w:szCs w:val="21"/>
          <w:lang w:bidi="ar"/>
        </w:rPr>
        <w:t>竞争性谈判提供的</w:t>
      </w:r>
      <w:r>
        <w:rPr>
          <w:bCs/>
          <w:color w:val="auto"/>
          <w:szCs w:val="21"/>
        </w:rPr>
        <w:t>产品存在侵犯他人的知识产权或者专利成果行为的，由</w:t>
      </w:r>
      <w:r>
        <w:rPr>
          <w:rFonts w:hint="eastAsia"/>
          <w:bCs/>
          <w:color w:val="auto"/>
          <w:szCs w:val="21"/>
        </w:rPr>
        <w:t>供应商</w:t>
      </w:r>
      <w:r>
        <w:rPr>
          <w:bCs/>
          <w:color w:val="auto"/>
          <w:szCs w:val="21"/>
        </w:rPr>
        <w:t>自行承担相应法律责任。</w:t>
      </w:r>
    </w:p>
    <w:p w14:paraId="3B89168B">
      <w:pPr>
        <w:spacing w:line="360" w:lineRule="auto"/>
        <w:ind w:left="-10" w:leftChars="-5" w:right="2" w:rightChars="1" w:firstLine="420" w:firstLineChars="200"/>
        <w:rPr>
          <w:rFonts w:asciiTheme="minorEastAsia" w:hAnsiTheme="minorEastAsia" w:eastAsiaTheme="minorEastAsia" w:cstheme="minorEastAsia"/>
          <w:bCs/>
          <w:color w:val="auto"/>
          <w:szCs w:val="21"/>
        </w:rPr>
      </w:pPr>
      <w:r>
        <w:rPr>
          <w:bCs/>
          <w:color w:val="auto"/>
          <w:szCs w:val="21"/>
        </w:rPr>
        <w:t>5</w:t>
      </w:r>
      <w:r>
        <w:rPr>
          <w:rFonts w:hint="eastAsia" w:ascii="宋体" w:hAnsi="宋体" w:cs="宋体"/>
          <w:color w:val="auto"/>
          <w:szCs w:val="21"/>
        </w:rPr>
        <w:t>.“</w:t>
      </w:r>
      <w:r>
        <w:rPr>
          <w:rFonts w:hint="eastAsia" w:asciiTheme="minorEastAsia" w:hAnsiTheme="minorEastAsia" w:eastAsiaTheme="minorEastAsia" w:cstheme="minorEastAsia"/>
          <w:bCs/>
          <w:color w:val="auto"/>
          <w:szCs w:val="21"/>
        </w:rPr>
        <w:t>实质性要求</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bCs/>
          <w:color w:val="auto"/>
          <w:szCs w:val="21"/>
        </w:rPr>
        <w:t>是指采购文件中已经指明不满足则</w:t>
      </w:r>
      <w:r>
        <w:rPr>
          <w:rFonts w:hint="eastAsia" w:asciiTheme="minorEastAsia" w:hAnsiTheme="minorEastAsia" w:eastAsiaTheme="minorEastAsia" w:cstheme="minorEastAsia"/>
          <w:color w:val="auto"/>
          <w:szCs w:val="21"/>
          <w:lang w:bidi="ar"/>
        </w:rPr>
        <w:t>竞争性谈判</w:t>
      </w:r>
      <w:r>
        <w:rPr>
          <w:rFonts w:hint="eastAsia" w:asciiTheme="minorEastAsia" w:hAnsiTheme="minorEastAsia" w:eastAsiaTheme="minorEastAsia" w:cstheme="minorEastAsia"/>
          <w:bCs/>
          <w:color w:val="auto"/>
          <w:szCs w:val="21"/>
        </w:rPr>
        <w:t>无效的条款，或者不容许负偏离的条款，或者采购需求中带“▲”的条款。分标1：未标注“▲”号的非实质性条款要求可允许</w:t>
      </w:r>
      <w:r>
        <w:rPr>
          <w:rFonts w:hint="eastAsia" w:asciiTheme="minorEastAsia" w:hAnsiTheme="minorEastAsia" w:eastAsiaTheme="minorEastAsia" w:cstheme="minorEastAsia"/>
          <w:bCs/>
          <w:color w:val="auto"/>
          <w:szCs w:val="21"/>
          <w:u w:val="single"/>
        </w:rPr>
        <w:t xml:space="preserve"> 2 </w:t>
      </w:r>
      <w:r>
        <w:rPr>
          <w:rFonts w:hint="eastAsia" w:asciiTheme="minorEastAsia" w:hAnsiTheme="minorEastAsia" w:eastAsiaTheme="minorEastAsia" w:cstheme="minorEastAsia"/>
          <w:bCs/>
          <w:color w:val="auto"/>
          <w:szCs w:val="21"/>
        </w:rPr>
        <w:t>项负偏离，</w:t>
      </w:r>
      <w:r>
        <w:rPr>
          <w:rFonts w:hint="eastAsia" w:asciiTheme="minorEastAsia" w:hAnsiTheme="minorEastAsia" w:eastAsiaTheme="minorEastAsia" w:cstheme="minorEastAsia"/>
          <w:bCs/>
          <w:color w:val="auto"/>
          <w:szCs w:val="21"/>
          <w:u w:val="single"/>
        </w:rPr>
        <w:t xml:space="preserve"> 3 </w:t>
      </w:r>
      <w:r>
        <w:rPr>
          <w:rFonts w:hint="eastAsia" w:asciiTheme="minorEastAsia" w:hAnsiTheme="minorEastAsia" w:eastAsiaTheme="minorEastAsia" w:cstheme="minorEastAsia"/>
          <w:bCs/>
          <w:color w:val="auto"/>
          <w:szCs w:val="21"/>
        </w:rPr>
        <w:t>项以上（含</w:t>
      </w:r>
      <w:r>
        <w:rPr>
          <w:rFonts w:hint="eastAsia" w:asciiTheme="minorEastAsia" w:hAnsiTheme="minorEastAsia" w:eastAsiaTheme="minorEastAsia" w:cstheme="minorEastAsia"/>
          <w:bCs/>
          <w:color w:val="auto"/>
          <w:szCs w:val="21"/>
          <w:u w:val="single"/>
        </w:rPr>
        <w:t xml:space="preserve"> 3 </w:t>
      </w:r>
      <w:r>
        <w:rPr>
          <w:rFonts w:hint="eastAsia" w:asciiTheme="minorEastAsia" w:hAnsiTheme="minorEastAsia" w:eastAsiaTheme="minorEastAsia" w:cstheme="minorEastAsia"/>
          <w:bCs/>
          <w:color w:val="auto"/>
          <w:szCs w:val="21"/>
        </w:rPr>
        <w:t>项）负偏离的</w:t>
      </w:r>
      <w:r>
        <w:rPr>
          <w:rFonts w:hint="eastAsia" w:asciiTheme="minorEastAsia" w:hAnsiTheme="minorEastAsia" w:eastAsiaTheme="minorEastAsia" w:cstheme="minorEastAsia"/>
          <w:color w:val="auto"/>
          <w:szCs w:val="21"/>
          <w:lang w:bidi="ar"/>
        </w:rPr>
        <w:t>竞争性谈判</w:t>
      </w:r>
      <w:r>
        <w:rPr>
          <w:rFonts w:hint="eastAsia" w:asciiTheme="minorEastAsia" w:hAnsiTheme="minorEastAsia" w:eastAsiaTheme="minorEastAsia" w:cstheme="minorEastAsia"/>
          <w:bCs/>
          <w:color w:val="auto"/>
          <w:szCs w:val="21"/>
        </w:rPr>
        <w:t>无效。</w:t>
      </w:r>
    </w:p>
    <w:tbl>
      <w:tblPr>
        <w:tblStyle w:val="27"/>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
        <w:gridCol w:w="1308"/>
        <w:gridCol w:w="637"/>
        <w:gridCol w:w="538"/>
        <w:gridCol w:w="5800"/>
        <w:gridCol w:w="787"/>
      </w:tblGrid>
      <w:tr w14:paraId="4E38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4" w:hRule="exact"/>
          <w:jc w:val="center"/>
        </w:trPr>
        <w:tc>
          <w:tcPr>
            <w:tcW w:w="9540" w:type="dxa"/>
            <w:gridSpan w:val="6"/>
            <w:vAlign w:val="center"/>
          </w:tcPr>
          <w:p w14:paraId="4CFC34FA">
            <w:pPr>
              <w:spacing w:line="400" w:lineRule="exact"/>
              <w:jc w:val="center"/>
              <w:rPr>
                <w:rFonts w:ascii="宋体" w:hAnsi="宋体" w:cs="宋体"/>
                <w:b/>
                <w:bCs/>
                <w:color w:val="auto"/>
                <w:szCs w:val="21"/>
              </w:rPr>
            </w:pPr>
            <w:bookmarkStart w:id="29" w:name="分标1需求"/>
            <w:r>
              <w:rPr>
                <w:rFonts w:hint="eastAsia" w:ascii="宋体" w:hAnsi="宋体" w:cs="宋体"/>
                <w:b/>
                <w:bCs/>
                <w:color w:val="auto"/>
                <w:szCs w:val="21"/>
              </w:rPr>
              <w:t>分标1</w:t>
            </w:r>
            <w:bookmarkEnd w:id="29"/>
            <w:r>
              <w:rPr>
                <w:rFonts w:hint="eastAsia" w:ascii="宋体" w:hAnsi="宋体" w:cs="宋体"/>
                <w:b/>
                <w:bCs/>
                <w:color w:val="auto"/>
                <w:szCs w:val="21"/>
              </w:rPr>
              <w:t>：中华书画临摹与数字化应用实训室采购项目</w:t>
            </w:r>
          </w:p>
        </w:tc>
      </w:tr>
      <w:tr w14:paraId="5FDC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exact"/>
          <w:jc w:val="center"/>
        </w:trPr>
        <w:tc>
          <w:tcPr>
            <w:tcW w:w="0" w:type="auto"/>
            <w:vAlign w:val="center"/>
          </w:tcPr>
          <w:p w14:paraId="3D97B089">
            <w:pPr>
              <w:spacing w:line="400" w:lineRule="exact"/>
              <w:jc w:val="center"/>
              <w:rPr>
                <w:rFonts w:ascii="宋体" w:hAnsi="宋体" w:cs="宋体"/>
                <w:b/>
                <w:bCs/>
                <w:color w:val="auto"/>
                <w:szCs w:val="21"/>
              </w:rPr>
            </w:pPr>
            <w:r>
              <w:rPr>
                <w:rFonts w:hint="eastAsia" w:ascii="宋体" w:hAnsi="宋体" w:cs="宋体"/>
                <w:b/>
                <w:bCs/>
                <w:color w:val="auto"/>
                <w:szCs w:val="21"/>
              </w:rPr>
              <w:t>序号</w:t>
            </w:r>
          </w:p>
        </w:tc>
        <w:tc>
          <w:tcPr>
            <w:tcW w:w="1308" w:type="dxa"/>
            <w:vAlign w:val="center"/>
          </w:tcPr>
          <w:p w14:paraId="29FC5CB2">
            <w:pPr>
              <w:spacing w:line="400" w:lineRule="exact"/>
              <w:jc w:val="center"/>
              <w:rPr>
                <w:rFonts w:ascii="宋体" w:hAnsi="宋体" w:cs="宋体"/>
                <w:b/>
                <w:bCs/>
                <w:color w:val="auto"/>
                <w:szCs w:val="21"/>
              </w:rPr>
            </w:pPr>
            <w:r>
              <w:rPr>
                <w:rFonts w:hint="eastAsia" w:ascii="宋体" w:hAnsi="宋体" w:cs="宋体"/>
                <w:b/>
                <w:bCs/>
                <w:color w:val="auto"/>
                <w:szCs w:val="21"/>
              </w:rPr>
              <w:t>标的名称</w:t>
            </w:r>
          </w:p>
        </w:tc>
        <w:tc>
          <w:tcPr>
            <w:tcW w:w="637" w:type="dxa"/>
            <w:vAlign w:val="center"/>
          </w:tcPr>
          <w:p w14:paraId="260AD25B">
            <w:pPr>
              <w:spacing w:line="400" w:lineRule="exact"/>
              <w:jc w:val="center"/>
              <w:rPr>
                <w:rFonts w:ascii="宋体" w:hAnsi="宋体" w:cs="宋体"/>
                <w:b/>
                <w:bCs/>
                <w:color w:val="auto"/>
                <w:szCs w:val="21"/>
              </w:rPr>
            </w:pPr>
            <w:r>
              <w:rPr>
                <w:rFonts w:hint="eastAsia" w:ascii="宋体" w:hAnsi="宋体" w:cs="宋体"/>
                <w:b/>
                <w:bCs/>
                <w:color w:val="auto"/>
                <w:szCs w:val="21"/>
              </w:rPr>
              <w:t>数量</w:t>
            </w:r>
          </w:p>
        </w:tc>
        <w:tc>
          <w:tcPr>
            <w:tcW w:w="538" w:type="dxa"/>
            <w:vAlign w:val="center"/>
          </w:tcPr>
          <w:p w14:paraId="2A3DF727">
            <w:pPr>
              <w:spacing w:line="400" w:lineRule="exact"/>
              <w:jc w:val="center"/>
              <w:rPr>
                <w:rFonts w:ascii="宋体" w:hAnsi="宋体" w:cs="宋体"/>
                <w:b/>
                <w:bCs/>
                <w:color w:val="auto"/>
                <w:szCs w:val="21"/>
              </w:rPr>
            </w:pPr>
            <w:r>
              <w:rPr>
                <w:rFonts w:hint="eastAsia" w:ascii="宋体" w:hAnsi="宋体" w:cs="宋体"/>
                <w:b/>
                <w:bCs/>
                <w:color w:val="auto"/>
                <w:szCs w:val="21"/>
              </w:rPr>
              <w:t>单位</w:t>
            </w:r>
          </w:p>
        </w:tc>
        <w:tc>
          <w:tcPr>
            <w:tcW w:w="5800" w:type="dxa"/>
            <w:vAlign w:val="center"/>
          </w:tcPr>
          <w:p w14:paraId="6159BCA5">
            <w:pPr>
              <w:spacing w:line="400" w:lineRule="exact"/>
              <w:jc w:val="center"/>
              <w:rPr>
                <w:rFonts w:ascii="宋体" w:hAnsi="宋体" w:cs="宋体"/>
                <w:b/>
                <w:bCs/>
                <w:color w:val="auto"/>
                <w:szCs w:val="21"/>
              </w:rPr>
            </w:pPr>
            <w:r>
              <w:rPr>
                <w:rFonts w:hint="eastAsia" w:ascii="宋体" w:hAnsi="宋体" w:cs="宋体"/>
                <w:b/>
                <w:bCs/>
                <w:color w:val="auto"/>
                <w:kern w:val="0"/>
                <w:szCs w:val="21"/>
              </w:rPr>
              <w:t>技术参数及性能（配置）要求</w:t>
            </w:r>
          </w:p>
        </w:tc>
        <w:tc>
          <w:tcPr>
            <w:tcW w:w="787" w:type="dxa"/>
            <w:vAlign w:val="center"/>
          </w:tcPr>
          <w:p w14:paraId="25734C9A">
            <w:pPr>
              <w:spacing w:line="400" w:lineRule="exact"/>
              <w:jc w:val="center"/>
              <w:rPr>
                <w:rFonts w:ascii="宋体" w:hAnsi="宋体" w:cs="宋体"/>
                <w:b/>
                <w:bCs/>
                <w:color w:val="auto"/>
                <w:kern w:val="0"/>
                <w:szCs w:val="21"/>
              </w:rPr>
            </w:pPr>
            <w:r>
              <w:rPr>
                <w:rFonts w:hint="eastAsia" w:ascii="宋体" w:hAnsi="宋体" w:cs="宋体"/>
                <w:color w:val="auto"/>
                <w:szCs w:val="21"/>
              </w:rPr>
              <w:t>所属行业</w:t>
            </w:r>
          </w:p>
        </w:tc>
      </w:tr>
      <w:tr w14:paraId="1E640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1275A0A5">
            <w:pPr>
              <w:spacing w:line="400" w:lineRule="exact"/>
              <w:jc w:val="center"/>
              <w:rPr>
                <w:rFonts w:ascii="宋体" w:hAnsi="宋体" w:cs="宋体"/>
                <w:color w:val="auto"/>
                <w:szCs w:val="21"/>
              </w:rPr>
            </w:pPr>
            <w:r>
              <w:rPr>
                <w:rFonts w:hint="eastAsia" w:ascii="宋体" w:hAnsi="宋体" w:cs="宋体"/>
                <w:color w:val="auto"/>
                <w:szCs w:val="21"/>
              </w:rPr>
              <w:t>1</w:t>
            </w:r>
          </w:p>
        </w:tc>
        <w:tc>
          <w:tcPr>
            <w:tcW w:w="1308" w:type="dxa"/>
            <w:vAlign w:val="center"/>
          </w:tcPr>
          <w:p w14:paraId="3D74C2C7">
            <w:pPr>
              <w:adjustRightInd w:val="0"/>
              <w:snapToGrid w:val="0"/>
              <w:spacing w:line="5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临摹画案</w:t>
            </w:r>
          </w:p>
        </w:tc>
        <w:tc>
          <w:tcPr>
            <w:tcW w:w="637" w:type="dxa"/>
            <w:vAlign w:val="center"/>
          </w:tcPr>
          <w:p w14:paraId="214F93F6">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538" w:type="dxa"/>
            <w:vAlign w:val="center"/>
          </w:tcPr>
          <w:p w14:paraId="24A6F2FA">
            <w:pPr>
              <w:widowControl/>
              <w:jc w:val="center"/>
              <w:textAlignment w:val="center"/>
              <w:rPr>
                <w:rFonts w:ascii="宋体" w:hAnsi="宋体" w:cs="宋体"/>
                <w:color w:val="auto"/>
                <w:szCs w:val="21"/>
              </w:rPr>
            </w:pPr>
            <w:r>
              <w:rPr>
                <w:rFonts w:hint="eastAsia" w:ascii="宋体" w:hAnsi="宋体" w:cs="宋体"/>
                <w:color w:val="auto"/>
                <w:szCs w:val="21"/>
              </w:rPr>
              <w:t>张</w:t>
            </w:r>
          </w:p>
        </w:tc>
        <w:tc>
          <w:tcPr>
            <w:tcW w:w="5800" w:type="dxa"/>
            <w:vAlign w:val="center"/>
          </w:tcPr>
          <w:p w14:paraId="0AC0830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1、规格尺寸：约180cm×90cm×80cm</w:t>
            </w:r>
          </w:p>
          <w:p w14:paraId="3F6A64A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2、台面：实木、榫卯结构</w:t>
            </w:r>
          </w:p>
          <w:p w14:paraId="7C21A07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3、材质：橡胶木/榆木</w:t>
            </w:r>
          </w:p>
          <w:p w14:paraId="346683E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3、桌体：古色古香，环保油漆,优质原木料，采用优质健康环保UV漆，涂层光滑。</w:t>
            </w:r>
          </w:p>
        </w:tc>
        <w:tc>
          <w:tcPr>
            <w:tcW w:w="787" w:type="dxa"/>
            <w:vAlign w:val="center"/>
          </w:tcPr>
          <w:p w14:paraId="4E6897DF">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48CC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48220176">
            <w:pPr>
              <w:spacing w:line="400" w:lineRule="exact"/>
              <w:jc w:val="center"/>
              <w:rPr>
                <w:rFonts w:ascii="宋体" w:hAnsi="宋体" w:cs="宋体"/>
                <w:color w:val="auto"/>
                <w:szCs w:val="21"/>
              </w:rPr>
            </w:pPr>
            <w:r>
              <w:rPr>
                <w:rFonts w:hint="eastAsia" w:ascii="宋体" w:hAnsi="宋体" w:cs="宋体"/>
                <w:color w:val="auto"/>
                <w:szCs w:val="21"/>
              </w:rPr>
              <w:t>2</w:t>
            </w:r>
          </w:p>
        </w:tc>
        <w:tc>
          <w:tcPr>
            <w:tcW w:w="1308" w:type="dxa"/>
            <w:vAlign w:val="center"/>
          </w:tcPr>
          <w:p w14:paraId="0AF1121C">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文房四宝套装</w:t>
            </w:r>
          </w:p>
        </w:tc>
        <w:tc>
          <w:tcPr>
            <w:tcW w:w="637" w:type="dxa"/>
            <w:vAlign w:val="center"/>
          </w:tcPr>
          <w:p w14:paraId="0ABED460">
            <w:pPr>
              <w:widowControl/>
              <w:jc w:val="center"/>
              <w:textAlignment w:val="center"/>
              <w:rPr>
                <w:rFonts w:ascii="宋体" w:hAnsi="宋体" w:cs="宋体"/>
                <w:color w:val="auto"/>
                <w:kern w:val="0"/>
                <w:szCs w:val="21"/>
              </w:rPr>
            </w:pPr>
            <w:r>
              <w:rPr>
                <w:rFonts w:hint="eastAsia" w:ascii="宋体" w:hAnsi="宋体" w:cs="宋体"/>
                <w:color w:val="auto"/>
                <w:szCs w:val="21"/>
              </w:rPr>
              <w:t>4</w:t>
            </w:r>
          </w:p>
        </w:tc>
        <w:tc>
          <w:tcPr>
            <w:tcW w:w="538" w:type="dxa"/>
            <w:vAlign w:val="center"/>
          </w:tcPr>
          <w:p w14:paraId="63C3A3D1">
            <w:pPr>
              <w:widowControl/>
              <w:jc w:val="center"/>
              <w:textAlignment w:val="center"/>
              <w:rPr>
                <w:rFonts w:ascii="宋体" w:hAnsi="宋体" w:cs="宋体"/>
                <w:color w:val="auto"/>
                <w:kern w:val="0"/>
                <w:szCs w:val="21"/>
              </w:rPr>
            </w:pPr>
            <w:r>
              <w:rPr>
                <w:rFonts w:hint="eastAsia" w:ascii="宋体" w:hAnsi="宋体" w:cs="宋体"/>
                <w:color w:val="auto"/>
                <w:szCs w:val="21"/>
              </w:rPr>
              <w:t>套</w:t>
            </w:r>
          </w:p>
        </w:tc>
        <w:tc>
          <w:tcPr>
            <w:tcW w:w="5800" w:type="dxa"/>
            <w:vAlign w:val="center"/>
          </w:tcPr>
          <w:p w14:paraId="1476E3B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1.毛笔：大中小三种型号</w:t>
            </w:r>
          </w:p>
          <w:p w14:paraId="3118D36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2.精制墨汁500g</w:t>
            </w:r>
          </w:p>
          <w:p w14:paraId="454AE97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3.宣纸：净皮（7分熟），四尺整</w:t>
            </w:r>
          </w:p>
          <w:p w14:paraId="74692AB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4.木镇尺：长宽高30*4*2.3cm</w:t>
            </w:r>
          </w:p>
        </w:tc>
        <w:tc>
          <w:tcPr>
            <w:tcW w:w="787" w:type="dxa"/>
            <w:vAlign w:val="center"/>
          </w:tcPr>
          <w:p w14:paraId="2D62670B">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045C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0" w:type="auto"/>
            <w:vAlign w:val="center"/>
          </w:tcPr>
          <w:p w14:paraId="5D5E84A9">
            <w:pPr>
              <w:spacing w:line="400" w:lineRule="exact"/>
              <w:jc w:val="center"/>
              <w:rPr>
                <w:rFonts w:ascii="宋体" w:hAnsi="宋体" w:cs="宋体"/>
                <w:color w:val="auto"/>
                <w:szCs w:val="21"/>
              </w:rPr>
            </w:pPr>
            <w:r>
              <w:rPr>
                <w:rFonts w:hint="eastAsia" w:ascii="宋体" w:hAnsi="宋体" w:cs="宋体"/>
                <w:color w:val="auto"/>
                <w:szCs w:val="21"/>
              </w:rPr>
              <w:t>3</w:t>
            </w:r>
          </w:p>
        </w:tc>
        <w:tc>
          <w:tcPr>
            <w:tcW w:w="1308" w:type="dxa"/>
            <w:vAlign w:val="center"/>
          </w:tcPr>
          <w:p w14:paraId="10120D55">
            <w:pPr>
              <w:adjustRightInd w:val="0"/>
              <w:snapToGrid w:val="0"/>
              <w:spacing w:line="56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书画毡</w:t>
            </w:r>
          </w:p>
        </w:tc>
        <w:tc>
          <w:tcPr>
            <w:tcW w:w="637" w:type="dxa"/>
            <w:vAlign w:val="center"/>
          </w:tcPr>
          <w:p w14:paraId="3030BFED">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538" w:type="dxa"/>
            <w:vAlign w:val="center"/>
          </w:tcPr>
          <w:p w14:paraId="1D675266">
            <w:pPr>
              <w:widowControl/>
              <w:jc w:val="center"/>
              <w:textAlignment w:val="center"/>
              <w:rPr>
                <w:rFonts w:ascii="宋体" w:hAnsi="宋体" w:cs="宋体"/>
                <w:color w:val="auto"/>
                <w:szCs w:val="21"/>
              </w:rPr>
            </w:pPr>
            <w:r>
              <w:rPr>
                <w:rFonts w:hint="eastAsia" w:ascii="宋体" w:hAnsi="宋体" w:cs="宋体"/>
                <w:color w:val="auto"/>
                <w:szCs w:val="21"/>
              </w:rPr>
              <w:t>块</w:t>
            </w:r>
          </w:p>
        </w:tc>
        <w:tc>
          <w:tcPr>
            <w:tcW w:w="5800" w:type="dxa"/>
            <w:vAlign w:val="center"/>
          </w:tcPr>
          <w:p w14:paraId="1FE5356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深蓝色羊毛毛毡，不起球、不漏墨；180cm×90cm×80cm，边缘缝合。</w:t>
            </w:r>
          </w:p>
        </w:tc>
        <w:tc>
          <w:tcPr>
            <w:tcW w:w="787" w:type="dxa"/>
            <w:vAlign w:val="center"/>
          </w:tcPr>
          <w:p w14:paraId="0385126B">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4AC4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7DB5AF29">
            <w:pPr>
              <w:spacing w:line="400" w:lineRule="exact"/>
              <w:jc w:val="center"/>
              <w:rPr>
                <w:rFonts w:ascii="宋体" w:hAnsi="宋体" w:cs="宋体"/>
                <w:color w:val="auto"/>
                <w:szCs w:val="21"/>
              </w:rPr>
            </w:pPr>
            <w:r>
              <w:rPr>
                <w:rFonts w:hint="eastAsia" w:ascii="宋体" w:hAnsi="宋体" w:cs="宋体"/>
                <w:color w:val="auto"/>
                <w:szCs w:val="21"/>
              </w:rPr>
              <w:t>4</w:t>
            </w:r>
          </w:p>
        </w:tc>
        <w:tc>
          <w:tcPr>
            <w:tcW w:w="1308" w:type="dxa"/>
            <w:vAlign w:val="center"/>
          </w:tcPr>
          <w:p w14:paraId="0F7CA034">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书画临摹范本</w:t>
            </w:r>
          </w:p>
        </w:tc>
        <w:tc>
          <w:tcPr>
            <w:tcW w:w="637" w:type="dxa"/>
            <w:vAlign w:val="center"/>
          </w:tcPr>
          <w:p w14:paraId="354091EF">
            <w:pPr>
              <w:widowControl/>
              <w:jc w:val="center"/>
              <w:textAlignment w:val="center"/>
              <w:rPr>
                <w:rFonts w:ascii="宋体" w:hAnsi="宋体" w:cs="宋体"/>
                <w:color w:val="auto"/>
                <w:szCs w:val="21"/>
              </w:rPr>
            </w:pPr>
            <w:r>
              <w:rPr>
                <w:rFonts w:hint="eastAsia" w:ascii="宋体" w:hAnsi="宋体" w:cs="宋体"/>
                <w:color w:val="auto"/>
                <w:szCs w:val="21"/>
              </w:rPr>
              <w:t>50</w:t>
            </w:r>
          </w:p>
        </w:tc>
        <w:tc>
          <w:tcPr>
            <w:tcW w:w="538" w:type="dxa"/>
            <w:vAlign w:val="center"/>
          </w:tcPr>
          <w:p w14:paraId="1269D740">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5800" w:type="dxa"/>
            <w:vAlign w:val="center"/>
          </w:tcPr>
          <w:p w14:paraId="75D9AB83">
            <w:pPr>
              <w:adjustRightInd w:val="0"/>
              <w:snapToGrid w:val="0"/>
              <w:spacing w:line="400" w:lineRule="exact"/>
              <w:jc w:val="left"/>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szCs w:val="21"/>
              </w:rPr>
              <w:t>古代名家经典作品高清复制品（如《兰亭序》《清明上河图》等）</w:t>
            </w:r>
          </w:p>
        </w:tc>
        <w:tc>
          <w:tcPr>
            <w:tcW w:w="787" w:type="dxa"/>
            <w:vAlign w:val="center"/>
          </w:tcPr>
          <w:p w14:paraId="098D53C5">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0D27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00991DBB">
            <w:pPr>
              <w:spacing w:line="400" w:lineRule="exact"/>
              <w:jc w:val="center"/>
              <w:rPr>
                <w:rFonts w:ascii="宋体" w:hAnsi="宋体" w:cs="宋体"/>
                <w:color w:val="auto"/>
                <w:szCs w:val="21"/>
              </w:rPr>
            </w:pPr>
            <w:r>
              <w:rPr>
                <w:rFonts w:hint="eastAsia" w:ascii="宋体" w:hAnsi="宋体" w:cs="宋体"/>
                <w:color w:val="auto"/>
                <w:szCs w:val="21"/>
              </w:rPr>
              <w:t>5</w:t>
            </w:r>
          </w:p>
        </w:tc>
        <w:tc>
          <w:tcPr>
            <w:tcW w:w="1308" w:type="dxa"/>
            <w:vAlign w:val="center"/>
          </w:tcPr>
          <w:p w14:paraId="76F49B46">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数位屏</w:t>
            </w:r>
          </w:p>
        </w:tc>
        <w:tc>
          <w:tcPr>
            <w:tcW w:w="637" w:type="dxa"/>
            <w:vAlign w:val="center"/>
          </w:tcPr>
          <w:p w14:paraId="2B3986BF">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538" w:type="dxa"/>
            <w:vAlign w:val="center"/>
          </w:tcPr>
          <w:p w14:paraId="78F2E2F1">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5800" w:type="dxa"/>
            <w:vAlign w:val="center"/>
          </w:tcPr>
          <w:p w14:paraId="7C5AAE6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1.产品外形尺寸约：422毫米×285毫米×24.5毫米；</w:t>
            </w:r>
          </w:p>
          <w:p w14:paraId="6FCB736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2.液晶模式IPSFHD液晶屏(15.6寸)；</w:t>
            </w:r>
          </w:p>
          <w:p w14:paraId="44EDD9E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3.最大分辨率：1920*1080；显示颜色1670万色；</w:t>
            </w:r>
          </w:p>
          <w:p w14:paraId="6609E41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4.色域：72%NTSC(CIE1931)Typical；</w:t>
            </w:r>
          </w:p>
          <w:p w14:paraId="64A9BE92">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5.宽高比：16:9；</w:t>
            </w:r>
          </w:p>
          <w:p w14:paraId="3680D39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6.对比度：1000:1；</w:t>
            </w:r>
          </w:p>
          <w:p w14:paraId="6440348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7.亮度：210cd/m2；反应时间约25毫秒；</w:t>
            </w:r>
          </w:p>
          <w:p w14:paraId="6AED44C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8.笔活动区域：344x194毫米；</w:t>
            </w:r>
          </w:p>
          <w:p w14:paraId="60654B8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9.输入信号：HDMI1.4withHDCP；</w:t>
            </w:r>
          </w:p>
          <w:p w14:paraId="3A01D46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10.压感笔：WacomProPen2；</w:t>
            </w:r>
          </w:p>
          <w:p w14:paraId="19EC583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11.压感级别笔和橡皮擦均为8192级压力感应；</w:t>
            </w:r>
          </w:p>
          <w:p w14:paraId="7F1C63D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12.笔感应技术无源无线压力感应；</w:t>
            </w:r>
          </w:p>
          <w:p w14:paraId="6443F4F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13.压感笔倾角支持：+/-60度；</w:t>
            </w:r>
          </w:p>
          <w:p w14:paraId="1FCB44D8">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14.压感笔识别高度：5毫米或更高；</w:t>
            </w:r>
          </w:p>
          <w:p w14:paraId="13EAF38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15.侧边按键笔尖转换器、侧面双开关、橡皮擦；</w:t>
            </w:r>
          </w:p>
          <w:p w14:paraId="3F4896B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16.调节支架：内置折叠式支架，架起可实现19度倾斜；连接PC和MacUSB；</w:t>
            </w:r>
          </w:p>
          <w:p w14:paraId="07706D4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17.安全性：支持Kensington锁孔；线材：三合一端口数据线；</w:t>
            </w:r>
          </w:p>
          <w:p w14:paraId="74512D5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18. 交货时提供厂家盖章的售后服务承诺函原件；</w:t>
            </w:r>
          </w:p>
        </w:tc>
        <w:tc>
          <w:tcPr>
            <w:tcW w:w="787" w:type="dxa"/>
            <w:vAlign w:val="center"/>
          </w:tcPr>
          <w:p w14:paraId="38E7882F">
            <w:pPr>
              <w:adjustRightInd w:val="0"/>
              <w:snapToGrid w:val="0"/>
              <w:spacing w:line="400" w:lineRule="exact"/>
              <w:jc w:val="center"/>
              <w:rPr>
                <w:rFonts w:ascii="Segoe UI Symbol" w:hAnsi="Segoe UI Symbol" w:cs="Segoe UI Symbol"/>
                <w:bCs/>
                <w:color w:val="auto"/>
                <w:szCs w:val="21"/>
              </w:rPr>
            </w:pPr>
            <w:r>
              <w:rPr>
                <w:rFonts w:hint="eastAsia" w:asciiTheme="minorEastAsia" w:hAnsiTheme="minorEastAsia" w:eastAsiaTheme="minorEastAsia" w:cstheme="minorEastAsia"/>
                <w:color w:val="auto"/>
                <w:szCs w:val="21"/>
              </w:rPr>
              <w:t>工业</w:t>
            </w:r>
          </w:p>
        </w:tc>
      </w:tr>
      <w:tr w14:paraId="60DD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0D0B4407">
            <w:pPr>
              <w:spacing w:line="400" w:lineRule="exact"/>
              <w:jc w:val="center"/>
              <w:rPr>
                <w:rFonts w:ascii="宋体" w:hAnsi="宋体" w:cs="宋体"/>
                <w:color w:val="auto"/>
                <w:szCs w:val="21"/>
              </w:rPr>
            </w:pPr>
            <w:r>
              <w:rPr>
                <w:rFonts w:hint="eastAsia" w:ascii="宋体" w:hAnsi="宋体" w:cs="宋体"/>
                <w:color w:val="auto"/>
                <w:szCs w:val="21"/>
              </w:rPr>
              <w:t>6</w:t>
            </w:r>
          </w:p>
        </w:tc>
        <w:tc>
          <w:tcPr>
            <w:tcW w:w="1308" w:type="dxa"/>
            <w:vAlign w:val="center"/>
          </w:tcPr>
          <w:p w14:paraId="5987C221">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图形工作站</w:t>
            </w:r>
          </w:p>
        </w:tc>
        <w:tc>
          <w:tcPr>
            <w:tcW w:w="637" w:type="dxa"/>
            <w:vAlign w:val="center"/>
          </w:tcPr>
          <w:p w14:paraId="3079C680">
            <w:pPr>
              <w:widowControl/>
              <w:jc w:val="center"/>
              <w:textAlignment w:val="center"/>
              <w:rPr>
                <w:rFonts w:ascii="宋体" w:hAnsi="宋体" w:cs="宋体"/>
                <w:color w:val="auto"/>
                <w:szCs w:val="21"/>
              </w:rPr>
            </w:pPr>
            <w:r>
              <w:rPr>
                <w:rFonts w:hint="eastAsia" w:ascii="宋体" w:hAnsi="宋体" w:cs="宋体"/>
                <w:color w:val="auto"/>
                <w:szCs w:val="21"/>
              </w:rPr>
              <w:t>20</w:t>
            </w:r>
          </w:p>
        </w:tc>
        <w:tc>
          <w:tcPr>
            <w:tcW w:w="538" w:type="dxa"/>
            <w:vAlign w:val="center"/>
          </w:tcPr>
          <w:p w14:paraId="45FEA56A">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5800" w:type="dxa"/>
            <w:vAlign w:val="center"/>
          </w:tcPr>
          <w:p w14:paraId="23889EC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一、硬件配置：</w:t>
            </w:r>
          </w:p>
          <w:p w14:paraId="78F3E87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1、塔式图形工作站，非组装机；</w:t>
            </w:r>
          </w:p>
          <w:p w14:paraId="3FC2384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2、CPU：</w:t>
            </w:r>
            <w:r>
              <w:rPr>
                <w:rFonts w:hint="eastAsia"/>
                <w:color w:val="auto"/>
                <w:lang w:eastAsia="zh-CN"/>
              </w:rPr>
              <w:t>参照或相当于</w:t>
            </w:r>
            <w:r>
              <w:rPr>
                <w:rFonts w:hint="eastAsia" w:asciiTheme="minorEastAsia" w:hAnsiTheme="minorEastAsia" w:eastAsiaTheme="minorEastAsia" w:cstheme="minorEastAsia"/>
                <w:color w:val="auto"/>
                <w:szCs w:val="21"/>
              </w:rPr>
              <w:t>Ultra7 265新一代20核20线程同档次或以上AI处理器，内置‌嵌入式神经网络单元NPU，可高效运行新一代AI增强型软件；配备智能散热系统（由BIOS管理的智能风扇通过对机箱内部的温度感应来调节风扇速度）；</w:t>
            </w:r>
          </w:p>
          <w:p w14:paraId="5EFC107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3、主板：</w:t>
            </w:r>
            <w:r>
              <w:rPr>
                <w:rFonts w:hint="eastAsia"/>
                <w:color w:val="auto"/>
                <w:lang w:eastAsia="zh-CN"/>
              </w:rPr>
              <w:t>参照或相当于</w:t>
            </w:r>
            <w:r>
              <w:rPr>
                <w:rFonts w:hint="eastAsia" w:asciiTheme="minorEastAsia" w:hAnsiTheme="minorEastAsia" w:eastAsiaTheme="minorEastAsia" w:cstheme="minorEastAsia"/>
                <w:color w:val="auto"/>
                <w:szCs w:val="21"/>
              </w:rPr>
              <w:t xml:space="preserve">英特尔Q870同档次或以上芯片组主板。配置≥1个M.2 2230（用于WLAN），≥2个PCIe3x1，≥1个PCIe5x16，≥1个PCIe3x16，≥3个M.2 2280（用于存储），方便后期升级； </w:t>
            </w:r>
          </w:p>
          <w:p w14:paraId="0387C39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4、内存：≥16GB DDR5 5600，数据传输率最高可达 5600MT/s，4条内存插槽，最高支持128GB DDR5 5600扩容；</w:t>
            </w:r>
          </w:p>
          <w:p w14:paraId="28A8326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5、硬盘：≥512GB NVMe M.2固态硬盘，内置硬盘端对端侦错模块。为响应国家信息安全政策及保障用户的数据安全；</w:t>
            </w:r>
          </w:p>
          <w:p w14:paraId="2626DAA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6、显卡：原厂预装≥6GB显存同档次或以上高性能显卡；</w:t>
            </w:r>
          </w:p>
          <w:p w14:paraId="6BBF2FF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7、电源：≥500W高效节能电源；</w:t>
            </w:r>
          </w:p>
          <w:p w14:paraId="1580EA82">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8、接口：USB接口≥11个（包含USB Type-C、USB Type-A两种接口）。其中前置≥2个SuperSpeed USB Type-C 20Gbps信率接口，≥4个SuperSpeed USB Type-A 10Gbps信率接口；后置≥1个音频输入/输出端口，≥2个DisplayPort2.1视频接口，≥1个HDMI2.1视频接口。智能屏蔽USB接口，可以对USB口进行加密功能，支持USB接口单个禁用功能，可实现禁止存储类设备，开放非存储类设备，确保数据安全；</w:t>
            </w:r>
          </w:p>
          <w:p w14:paraId="069C67E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9、主机箱：通用立式机箱，体积≥16L，高效散热静音，整机具有高温报警功能；具备计算机系统优化及带多向风扇的计算机系统技术；免工具开启机箱面板，机箱后部预留有机箱安全锁位孔；</w:t>
            </w:r>
          </w:p>
          <w:p w14:paraId="72EEC4F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10、显示器：与主机同品牌≥23.8英寸宽屏液晶显示器，分辨率1920x1080；</w:t>
            </w:r>
          </w:p>
          <w:p w14:paraId="452BF6D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11、其他配件：抗菌USB键盘，抗菌光电USB鼠标。</w:t>
            </w:r>
          </w:p>
          <w:p w14:paraId="4A6581B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二、软件要求：</w:t>
            </w:r>
          </w:p>
          <w:p w14:paraId="4C7D3F9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1、操作系统：出厂预装正版Win11系统；</w:t>
            </w:r>
          </w:p>
          <w:p w14:paraId="3EAAA12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2、BIOS保护技术（BIOSphere Gen3），增强防御针对BIOS的病毒攻击和其他安全威胁，帮助防止丢失数据和大幅缩短故障停机时间，可通过BIOS进行开启与静音；</w:t>
            </w:r>
          </w:p>
          <w:p w14:paraId="52F2912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3、提供专业图形计算器软件（投标时提供软件界面截图并盖供应商公章）。内置多种应用，包括函数、数列、参数、几何、极坐标、求解器、探索器、电子表格、矩阵、列表、程序等功能，满足师生需求；计算器具备高级绘图功能，可绘制X-Y平面的数学表达式，如不等式等；可实现CAS与非CAS快速自由切换；支持导入图片，并在多个app中对导入的图片进行分析；函数应用中可手触法对函数图像进行缩放，函数表达式可随之变化</w:t>
            </w:r>
          </w:p>
          <w:p w14:paraId="4680A52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4、云管理软件功能：</w:t>
            </w:r>
          </w:p>
          <w:p w14:paraId="08A06CE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（1）支持2块硬盘的保护和同传，每块硬盘都支持安装操作系统；</w:t>
            </w:r>
          </w:p>
          <w:p w14:paraId="5539274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（2）支持同时安装24个操作系统；</w:t>
            </w:r>
          </w:p>
          <w:p w14:paraId="7EB4051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（3）在2块硬盘上最大可同时支持40个分区（含启动分区、数据分区）；</w:t>
            </w:r>
          </w:p>
          <w:p w14:paraId="009BFCB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（4）支持可由任意一台主机发起网络拷贝、增量拷贝和临时部署；</w:t>
            </w:r>
          </w:p>
          <w:p w14:paraId="37CE115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（5）网络传输速度标值：千兆网卡 7GB-15GB/Min；</w:t>
            </w:r>
          </w:p>
          <w:p w14:paraId="7BEFF7E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（6）支持断点续传功能：支持多种情况的断点续传功能；</w:t>
            </w:r>
          </w:p>
          <w:p w14:paraId="628F906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（7）支持网络故障定位：支持网络故障定位，便于排查；</w:t>
            </w:r>
          </w:p>
          <w:p w14:paraId="1DE60C1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（8）支持在局域网内分组管理，为多个系统分配不同的IP；</w:t>
            </w:r>
          </w:p>
          <w:p w14:paraId="2D88C618">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（9）支持硬盘容量差异网络拷贝；</w:t>
            </w:r>
          </w:p>
          <w:p w14:paraId="18965EC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（10）支持6秒内的物理掉线(断路)可自动恢复；</w:t>
            </w:r>
          </w:p>
          <w:p w14:paraId="3DF4BCD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（11）支持网络传输数据加密（投标时提供功能截图）；</w:t>
            </w:r>
          </w:p>
          <w:p w14:paraId="7742928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（12）网络克隆维护：在局域网络内一次最多可传输254台客户端；</w:t>
            </w:r>
          </w:p>
          <w:p w14:paraId="65B6ADF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（13）支持主流的DOS/Win7/Win8/Win10/Win11/Linux等操作系统；</w:t>
            </w:r>
          </w:p>
          <w:p w14:paraId="5234726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（14）可以从底层控制U盘和光盘的使用，防止病毒的带入；</w:t>
            </w:r>
          </w:p>
          <w:p w14:paraId="1FB7414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（15）支持定制软件界面；</w:t>
            </w:r>
          </w:p>
          <w:p w14:paraId="2EB1D65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（16）支持远程唤醒、远程重启、远程锁定、远程关机等；</w:t>
            </w:r>
          </w:p>
          <w:p w14:paraId="0FCB0A3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（17）可通过设备管理列表查询当前运行状态下所有固定资产设备的明细信息；</w:t>
            </w:r>
          </w:p>
          <w:p w14:paraId="4502087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（18）详细记录每一种设备所属的设备类型、制造开发商、在当前物理架构上所处的位置、当前设备运行状态（投标时提供功能截图）；</w:t>
            </w:r>
          </w:p>
          <w:p w14:paraId="22468C58">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（19）提供硬件设备驱动程序级别的更新功能，同时具备对应的数字签名者、程序版本、程序日期及对应的供应商信息（投标时提供功能截图）；</w:t>
            </w:r>
          </w:p>
          <w:p w14:paraId="77A3B242">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（20）视觉效果调优，可根据实际需求调节功能外观和性能设置（投标时提供功能截图）；</w:t>
            </w:r>
          </w:p>
          <w:p w14:paraId="1B4DB5D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（21）计算资源和虚拟内存分配，根据不同的应用场景分配当前的计算资源及虚拟内存资源（投标时提供功能截图，）；</w:t>
            </w:r>
          </w:p>
          <w:p w14:paraId="24AE9062">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（22）提供专业级别的数据执行保护功能，以免受病毒攻击或其他安全威胁的破坏（投标时提供功能截图）。</w:t>
            </w:r>
          </w:p>
          <w:p w14:paraId="5CB01288">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三、教学软件要求</w:t>
            </w:r>
          </w:p>
          <w:p w14:paraId="2B7AD96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1.技术要求</w:t>
            </w:r>
          </w:p>
          <w:p w14:paraId="2FAAC54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（1）.纯软件产品，安装部署快捷，升级简易方便，全中文人性化界面设计，配有详细的在线帮助，支持主窗口功能按钮、浮动工具条、右键菜单、快捷键多项操作方式。</w:t>
            </w:r>
          </w:p>
          <w:p w14:paraId="421F216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采用核心的动态局部截屏及实时压缩技术，在网络条件较差时亦能体现良好的性能；可根据网络条件调节网络补偿强度，根据广播内容调节广播及录制效率，使广播达到最佳效果，即使广播多媒体课件，3D，甚至大型游戏界面，也可达到实时流畅的效果，支持DirectDraw、Direct3D、 Overlay、OpenGL等特殊显示方式。屏幕广播响应时间&lt;0.4秒。</w:t>
            </w:r>
          </w:p>
          <w:p w14:paraId="380A6F2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（3）.采用流媒体技术，流畅无延时，文件清晰度无损耗，支持常见的媒体音视频格式， Windows Media文件，VCD文件，DVD文件，Real文件，AVI文件，MP3等主流文件格式，支持720p、1080p的高清视频。</w:t>
            </w:r>
          </w:p>
          <w:p w14:paraId="430463C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（4）.防杀进程、断线保护、卸载密码保护等辅助功能维护教学秩序。</w:t>
            </w:r>
          </w:p>
          <w:p w14:paraId="2EC1034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（5）.文件分发和提交必须支持拖拽添加文件，可添加不同目录下的文件或文件目录。</w:t>
            </w:r>
          </w:p>
          <w:p w14:paraId="37A5573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2.功能要求</w:t>
            </w:r>
          </w:p>
          <w:p w14:paraId="25CC226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（1）.屏幕广播：将教师机屏幕和教师讲话实时广播给单一、部分或全体学生，可选择全屏或窗口方式。窗口模式下或教师机与学生机分辨率不同情况下，学生机可以以不同的窗口方式接收广播。</w:t>
            </w:r>
          </w:p>
          <w:p w14:paraId="1A054F8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（2）.屏幕广播速度增强：屏幕广播时支持多种画面质量的调节，根据网络的不同选择最好的效果进行教学。</w:t>
            </w:r>
          </w:p>
          <w:p w14:paraId="5A7FB94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（3）.屏幕笔：教师教学使用的辅助工具，突出显示项目、添加注释，添加批注等等。</w:t>
            </w:r>
          </w:p>
          <w:p w14:paraId="6A13078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（4）.共享白板：教师可共享白板、桌面或图片与选定的学生共同完成相同的学习任务或绘画作品，提供学生也可以单独完成。</w:t>
            </w:r>
          </w:p>
          <w:p w14:paraId="065ABA7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（5）.网络影院：实现教师机播放的视频同步广播到学生机。</w:t>
            </w:r>
          </w:p>
          <w:p w14:paraId="3D7DEB4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（6）.视频直播：通过USB摄像头将教师的画面实时广播到学生机，达到更形象的教学效果，具有引导客户选择视频设备的提示画面，以便客户快速完成摄像头设备的设置。</w:t>
            </w:r>
          </w:p>
          <w:p w14:paraId="72AB055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（7）.语音广播：将教师机麦克风的声音广播给学生，教学过程中，可以请任何一位已登录的学生发言，其他学生和教师收听该学生发言。</w:t>
            </w:r>
          </w:p>
          <w:p w14:paraId="26EA6C0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（8）.语音对讲：教师可以选择任意一名已登录学生与其进行双向语音交谈，除教师和此学生外，其他学生不会受到干扰，可以动态切换对讲对象。</w:t>
            </w:r>
          </w:p>
          <w:p w14:paraId="143BCFF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（9）.学生演示：教师可选定一台学生机作为示范，由此学生代替教师进行示范教学。</w:t>
            </w:r>
          </w:p>
          <w:p w14:paraId="695778B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（10）.分组教学：教师分派组长执行指定的功能，组长代替教师进行小组教学，小组不需要再临时创建，可以直接使用既有分组信息，教师可以监控每个分组的教学过程，以了解分组教学的进度。</w:t>
            </w:r>
          </w:p>
          <w:p w14:paraId="45F2634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（11）.分组讨论：教师可以创建多个小组进行讨论活动，并可任意选择分组加入讨论活动。同组师生支持多种方式进行交流，包括文字，表情，图片等。</w:t>
            </w:r>
          </w:p>
          <w:p w14:paraId="4C892C9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（12）.屏幕录制：教师机可以将本地的操作和讲解过程录制为ASF录像文件，可以用 Windows 自带的 Media Player 直接播放。</w:t>
            </w:r>
          </w:p>
          <w:p w14:paraId="1C227C9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（13）.学生端屏幕录制、回放：学生端接收教师端广播的时候可以自动录制教师机广播教学的过程，课后可以重复观看学习。</w:t>
            </w:r>
          </w:p>
          <w:p w14:paraId="32BD180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（14）.文件分发：允许教师将教师机不同盘符中的目录或文件一起发送至生机的某目录下。目录不存在自动新建此目录；盘符不存在或路径非法不允许分发；文件已存在选择自动覆盖或保留原始文件。</w:t>
            </w:r>
          </w:p>
          <w:p w14:paraId="3C9430D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p w14:paraId="6595618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（16）.网络快照：教师可以在监控学生的时候，对学生画面拍快照，保存学生画面的截图。</w:t>
            </w:r>
          </w:p>
          <w:p w14:paraId="47CF370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（17）.屏幕监视：教师机可以监视单一、部分、全体学生机的屏幕，教师机每屏可监视多个学生屏幕（最多36个）。可以控制教师机监控的同屏幕各窗口间、屏幕与屏幕间的切换速度。可手动或自动循环监视。</w:t>
            </w:r>
          </w:p>
          <w:p w14:paraId="648E812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（18）.多频道教学：支持多达32个频道的划分，一个教师可对单个班级或多个班级同时上课；多个教师可同时对多个班级进行不同内容的教学。</w:t>
            </w:r>
          </w:p>
          <w:p w14:paraId="1617150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（19）.试卷编辑：教师能够在家中编辑试题，试题类型支持单选、多选、判断、简答，可插入图片，设置试卷名称、教师名称、班级、考试时间和总分。</w:t>
            </w:r>
          </w:p>
          <w:p w14:paraId="6673456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开始考试：教师将试卷分发给学生即可开始考试，考试过程中可以教师如有问题补充，可暂停考试，在特殊情况下，可以暂挂考试，下次启动系统后可继续考试；考试过程中如有断电、关机等意外情况学生机可断线重连，考试结束后学生可提交或时间到自动提交。</w:t>
            </w:r>
          </w:p>
          <w:p w14:paraId="1D4F05C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（21）.阅卷评分：收取的试卷系统可自动评分，教师添加批注，查看柱状图显示的考试统计结果，并能够将评分结果以网页形式发送给相应的学生。</w:t>
            </w:r>
          </w:p>
          <w:p w14:paraId="3C856D1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（22）.答题卡考试：教师导入word、ppt、excel、pdf等文档类型的考试内容共享给学生，直接生成答题卡用于学生作答，包含多种不同的题型：多选题，判断题，填空题和论述题。</w:t>
            </w:r>
          </w:p>
          <w:p w14:paraId="3674101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（23）.抢答竞赛：教师可以出任意题目请学生作答，学生抢答时只需按下按钮即可，作答正确“星星”奖励，并可升级为月亮和太阳，吸引学生注意力，主动参与活动。</w:t>
            </w:r>
          </w:p>
          <w:p w14:paraId="03E5B11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（24）.随堂小考：教师启动快速的单题考试或随堂调查，限定考试时间，学生答题后立即给出结果，结果显示学生答案柱状图分析和答题时间，可作为抢答依据。</w:t>
            </w:r>
          </w:p>
          <w:p w14:paraId="4C6C85F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（25）.签到：提供学生名单管理工具，为软件和考试模块提供实名验证。提供点名功能，支持保留学生多次登录记录、考勤统计、签到信息的导出与对比。</w:t>
            </w:r>
          </w:p>
          <w:p w14:paraId="33178EB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（26）.班级模型：有单独的管理界面，实现对班级模型的统一管理，并能够导入、导出，调用不同网络教室中的班级模型。</w:t>
            </w:r>
          </w:p>
          <w:p w14:paraId="3FE4261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（27）.打印和光盘限制：对打印的权限和光盘使用做限制。</w:t>
            </w:r>
          </w:p>
          <w:p w14:paraId="43FF23A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（28）.U 盘限制：对U盘访问权限的设定（完全开放、只读、只写、完全限制），有效控制学生使用U盘，防止资料的流失和病毒的引入。</w:t>
            </w:r>
          </w:p>
          <w:p w14:paraId="3D8278D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（29）.上网限制：设定学生访问网站的黑名单或白名单，对学生可以访问的Internet站点进行管理。支持多浏览器限制，如QQ、IE、谷歌、360、遨游等浏览器。</w:t>
            </w:r>
          </w:p>
          <w:p w14:paraId="4AF2805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（30）.程序限制：通过各种策略的应用，可防止学生在教学过程中打游戏，或使用QQ，MSN等聊天工具，支持限制 U 盘，网络映射盘，硬盘虚拟盘，虚拟光盘，内存虚拟盘里的程序。</w:t>
            </w:r>
          </w:p>
          <w:p w14:paraId="05DE41E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（31）.学生端属性查看：教师可以获取学生端计算机的名称、登录名和其它常用信息，并可以列出学生端的应用程序、进程和进程 ID，教师还可以远程终止学生端的进程。</w:t>
            </w:r>
          </w:p>
          <w:p w14:paraId="6349D81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（32）.系统日志：显示和自动保存系统运行过程中的关键事件，包括学生登录登出，资源不足，提交文件等。</w:t>
            </w:r>
          </w:p>
          <w:p w14:paraId="2DC309B2">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（33）.远程消息：教师与学生能够使用远程消息进行交流，并可以允许和阻止学生发送文字消息。 </w:t>
            </w:r>
          </w:p>
          <w:p w14:paraId="1CBDFD4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（34）.远程设置：远程设置学生桌面主题、桌面背景、屏幕保护方案、学生的频道号和音量、学生的卸载密码，是否启用进程保护，断线锁屏，热键退出等。</w:t>
            </w:r>
          </w:p>
          <w:p w14:paraId="6D7E24A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Segoe UI Symbol" w:hAnsi="Segoe UI Symbol" w:cs="Segoe UI Symbol"/>
                <w:bCs/>
                <w:color w:val="auto"/>
                <w:szCs w:val="21"/>
              </w:rPr>
              <w:t>▲</w:t>
            </w:r>
            <w:r>
              <w:rPr>
                <w:rFonts w:hint="eastAsia" w:asciiTheme="minorEastAsia" w:hAnsiTheme="minorEastAsia" w:eastAsiaTheme="minorEastAsia" w:cstheme="minorEastAsia"/>
                <w:color w:val="auto"/>
                <w:szCs w:val="21"/>
              </w:rPr>
              <w:t>四、质量及服务保障：</w:t>
            </w:r>
          </w:p>
          <w:p w14:paraId="2946206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三年原厂保修，第二日上门，365天全年无休。为保证设备的品质和服务，供货时需提供设备生产厂家针对此项目的售后服务承诺函原件。</w:t>
            </w:r>
          </w:p>
        </w:tc>
        <w:tc>
          <w:tcPr>
            <w:tcW w:w="787" w:type="dxa"/>
            <w:vAlign w:val="center"/>
          </w:tcPr>
          <w:p w14:paraId="0C4F0C47">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26B1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58FF7511">
            <w:pPr>
              <w:spacing w:line="400" w:lineRule="exact"/>
              <w:jc w:val="center"/>
              <w:rPr>
                <w:rFonts w:ascii="宋体" w:hAnsi="宋体" w:cs="宋体"/>
                <w:color w:val="auto"/>
                <w:szCs w:val="21"/>
              </w:rPr>
            </w:pPr>
            <w:r>
              <w:rPr>
                <w:rFonts w:hint="eastAsia" w:ascii="宋体" w:hAnsi="宋体" w:cs="宋体"/>
                <w:color w:val="auto"/>
                <w:szCs w:val="21"/>
              </w:rPr>
              <w:t>7</w:t>
            </w:r>
          </w:p>
        </w:tc>
        <w:tc>
          <w:tcPr>
            <w:tcW w:w="1308" w:type="dxa"/>
            <w:vAlign w:val="center"/>
          </w:tcPr>
          <w:p w14:paraId="3F83AC8E">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高清扫描仪</w:t>
            </w:r>
          </w:p>
        </w:tc>
        <w:tc>
          <w:tcPr>
            <w:tcW w:w="637" w:type="dxa"/>
            <w:vAlign w:val="center"/>
          </w:tcPr>
          <w:p w14:paraId="2C9FA699">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538" w:type="dxa"/>
            <w:vAlign w:val="center"/>
          </w:tcPr>
          <w:p w14:paraId="782EF6CE">
            <w:pPr>
              <w:widowControl/>
              <w:jc w:val="center"/>
              <w:textAlignment w:val="center"/>
              <w:rPr>
                <w:rFonts w:ascii="宋体" w:hAnsi="宋体" w:cs="宋体"/>
                <w:color w:val="auto"/>
                <w:szCs w:val="21"/>
              </w:rPr>
            </w:pPr>
            <w:r>
              <w:rPr>
                <w:rFonts w:hint="eastAsia" w:ascii="宋体" w:hAnsi="宋体" w:cs="宋体"/>
                <w:color w:val="auto"/>
                <w:szCs w:val="21"/>
              </w:rPr>
              <w:t>台</w:t>
            </w:r>
          </w:p>
        </w:tc>
        <w:tc>
          <w:tcPr>
            <w:tcW w:w="5800" w:type="dxa"/>
            <w:vAlign w:val="center"/>
          </w:tcPr>
          <w:p w14:paraId="41CA0D9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1、A1幅面；</w:t>
            </w:r>
          </w:p>
          <w:p w14:paraId="7A772B0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2、扫描速度 </w:t>
            </w:r>
          </w:p>
          <w:p w14:paraId="6852C99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彩色</w:t>
            </w:r>
            <w:r>
              <w:rPr>
                <w:rStyle w:val="30"/>
                <w:rFonts w:ascii="Arial" w:hAnsi="Arial" w:cs="Arial"/>
                <w:b w:val="0"/>
                <w:bCs w:val="0"/>
                <w:color w:val="auto"/>
                <w:shd w:val="clear" w:color="auto" w:fill="FFFFFF"/>
              </w:rPr>
              <w:t>≥</w:t>
            </w:r>
            <w:r>
              <w:rPr>
                <w:rFonts w:ascii="Arial" w:hAnsi="Arial" w:cs="Arial"/>
                <w:color w:val="auto"/>
                <w:shd w:val="clear" w:color="auto" w:fill="FFFFFF"/>
              </w:rPr>
              <w:t>‌</w:t>
            </w:r>
            <w:r>
              <w:rPr>
                <w:rFonts w:hint="eastAsia" w:asciiTheme="minorEastAsia" w:hAnsiTheme="minorEastAsia" w:eastAsiaTheme="minorEastAsia" w:cstheme="minorEastAsia"/>
                <w:color w:val="auto"/>
                <w:szCs w:val="21"/>
              </w:rPr>
              <w:t>1英寸/秒</w:t>
            </w:r>
          </w:p>
          <w:p w14:paraId="2FC9CF2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灰度</w:t>
            </w:r>
            <w:r>
              <w:rPr>
                <w:rStyle w:val="30"/>
                <w:rFonts w:ascii="Arial" w:hAnsi="Arial" w:cs="Arial"/>
                <w:b w:val="0"/>
                <w:bCs w:val="0"/>
                <w:color w:val="auto"/>
                <w:shd w:val="clear" w:color="auto" w:fill="FFFFFF"/>
              </w:rPr>
              <w:t>≥</w:t>
            </w:r>
            <w:r>
              <w:rPr>
                <w:rFonts w:ascii="Arial" w:hAnsi="Arial" w:cs="Arial"/>
                <w:color w:val="auto"/>
                <w:shd w:val="clear" w:color="auto" w:fill="FFFFFF"/>
              </w:rPr>
              <w:t>‌</w:t>
            </w:r>
            <w:r>
              <w:rPr>
                <w:rFonts w:hint="eastAsia" w:asciiTheme="minorEastAsia" w:hAnsiTheme="minorEastAsia" w:eastAsiaTheme="minorEastAsia" w:cstheme="minorEastAsia"/>
                <w:color w:val="auto"/>
                <w:szCs w:val="21"/>
              </w:rPr>
              <w:t>3英寸/秒</w:t>
            </w:r>
          </w:p>
          <w:p w14:paraId="37EA1DC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3、扫描分辨率：600dpi；</w:t>
            </w:r>
          </w:p>
          <w:p w14:paraId="0A5C1D1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4、最大扫描尺寸：610mm×2.77m（24×109英寸）</w:t>
            </w:r>
          </w:p>
          <w:p w14:paraId="23CE3BE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5、内存：1G</w:t>
            </w:r>
          </w:p>
          <w:p w14:paraId="545E5B2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6、接口：千兆以太网，Wi-Fi 802.11 b/g/n，Wi-Fi Direct;</w:t>
            </w:r>
          </w:p>
          <w:p w14:paraId="6EBD773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7、通过3C认证，质保一年。</w:t>
            </w:r>
          </w:p>
        </w:tc>
        <w:tc>
          <w:tcPr>
            <w:tcW w:w="787" w:type="dxa"/>
            <w:vAlign w:val="center"/>
          </w:tcPr>
          <w:p w14:paraId="3BD355A9">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3135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0" w:type="auto"/>
            <w:vAlign w:val="center"/>
          </w:tcPr>
          <w:p w14:paraId="13A5A9BD">
            <w:pPr>
              <w:spacing w:line="400" w:lineRule="exact"/>
              <w:jc w:val="center"/>
              <w:rPr>
                <w:rFonts w:ascii="宋体" w:hAnsi="宋体" w:cs="宋体"/>
                <w:color w:val="auto"/>
                <w:szCs w:val="21"/>
              </w:rPr>
            </w:pPr>
            <w:r>
              <w:rPr>
                <w:rFonts w:hint="eastAsia" w:ascii="宋体" w:hAnsi="宋体" w:cs="宋体"/>
                <w:color w:val="auto"/>
                <w:szCs w:val="21"/>
              </w:rPr>
              <w:t>8</w:t>
            </w:r>
          </w:p>
        </w:tc>
        <w:tc>
          <w:tcPr>
            <w:tcW w:w="1308" w:type="dxa"/>
            <w:vAlign w:val="center"/>
          </w:tcPr>
          <w:p w14:paraId="4BBBE74D">
            <w:pPr>
              <w:adjustRightInd w:val="0"/>
              <w:snapToGrid w:val="0"/>
              <w:spacing w:line="56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实训室配套</w:t>
            </w:r>
          </w:p>
        </w:tc>
        <w:tc>
          <w:tcPr>
            <w:tcW w:w="637" w:type="dxa"/>
            <w:vAlign w:val="center"/>
          </w:tcPr>
          <w:p w14:paraId="0C5EBAB1">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538" w:type="dxa"/>
            <w:vAlign w:val="center"/>
          </w:tcPr>
          <w:p w14:paraId="685F2A4E">
            <w:pPr>
              <w:widowControl/>
              <w:jc w:val="center"/>
              <w:textAlignment w:val="center"/>
              <w:rPr>
                <w:rFonts w:ascii="宋体" w:hAnsi="宋体" w:cs="宋体"/>
                <w:color w:val="auto"/>
                <w:szCs w:val="21"/>
              </w:rPr>
            </w:pPr>
            <w:r>
              <w:rPr>
                <w:rFonts w:hint="eastAsia" w:ascii="宋体" w:hAnsi="宋体" w:cs="宋体"/>
                <w:color w:val="auto"/>
                <w:szCs w:val="21"/>
              </w:rPr>
              <w:t>套</w:t>
            </w:r>
          </w:p>
        </w:tc>
        <w:tc>
          <w:tcPr>
            <w:tcW w:w="5800" w:type="dxa"/>
            <w:vAlign w:val="center"/>
          </w:tcPr>
          <w:p w14:paraId="3EEA4F2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1、电源插座/插线板20套</w:t>
            </w:r>
          </w:p>
          <w:p w14:paraId="1804EF5A">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2、音响设备：包含无线话筒、音箱</w:t>
            </w:r>
          </w:p>
          <w:p w14:paraId="5C2EF2B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3、通风设备：根据教室结构定制教室排气系统</w:t>
            </w:r>
          </w:p>
          <w:p w14:paraId="32BEFB4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4、其他</w:t>
            </w:r>
          </w:p>
          <w:p w14:paraId="2C877FF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千兆24口交换机2台</w:t>
            </w:r>
          </w:p>
          <w:p w14:paraId="561AE6F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1)24个10/100/1000BASE-T电口，个1GBASE-XSFP端口</w:t>
            </w:r>
          </w:p>
          <w:p w14:paraId="1A2EC12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2)金属外壳，标准1U设备，可上架19寸机柜安装</w:t>
            </w:r>
          </w:p>
          <w:p w14:paraId="52350C3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3)交换容量≥336Gbps,包转发率≥90Mpps</w:t>
            </w:r>
          </w:p>
          <w:p w14:paraId="22FDFB25">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加厚机柜1个</w:t>
            </w:r>
          </w:p>
          <w:p w14:paraId="61AC7D7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1)规格（单位cm）：黑色600*600*1200</w:t>
            </w:r>
          </w:p>
          <w:p w14:paraId="7B6F244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2)标准配置：前钢化玻璃门，后散热钢板门</w:t>
            </w:r>
          </w:p>
          <w:p w14:paraId="3875F46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千兆非屏蔽六类网线3箱</w:t>
            </w:r>
          </w:p>
          <w:p w14:paraId="72575C5B">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1)最大单段长度米):100M</w:t>
            </w:r>
          </w:p>
          <w:p w14:paraId="50F185A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2)传输速率Mbps):1000Mbps</w:t>
            </w:r>
          </w:p>
          <w:p w14:paraId="3B7BFB7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3)包装长度米):305米</w:t>
            </w:r>
          </w:p>
          <w:p w14:paraId="121D5C87">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4)十字骨架分隔结构提供真正的6类性能</w:t>
            </w:r>
          </w:p>
          <w:p w14:paraId="204E800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5)性能超过TIA/EIA568B.2六类标准</w:t>
            </w:r>
          </w:p>
          <w:p w14:paraId="11D1DC8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六类非屏蔽水晶头1包</w:t>
            </w:r>
          </w:p>
          <w:p w14:paraId="1089EED8">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1)符合ANSI/TIA-568.2-D和ISO/IEC11801-2017标准</w:t>
            </w:r>
          </w:p>
          <w:p w14:paraId="28AFE0A4">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2)插拔次数≥1000次</w:t>
            </w:r>
          </w:p>
          <w:p w14:paraId="1A54745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3)采用三叉簧片设计、磷青铜镀金材料</w:t>
            </w:r>
          </w:p>
          <w:p w14:paraId="73557C7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4)支持语音、数据、视频信号高速传输</w:t>
            </w:r>
          </w:p>
          <w:p w14:paraId="23454BA1">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强、弱电线槽150米</w:t>
            </w:r>
          </w:p>
          <w:p w14:paraId="7DF593A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1)PVC材质</w:t>
            </w:r>
          </w:p>
          <w:p w14:paraId="69E28E1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2)规格（单位mm）：60*40</w:t>
            </w:r>
          </w:p>
          <w:p w14:paraId="5459B05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电源线200米</w:t>
            </w:r>
          </w:p>
          <w:p w14:paraId="75168240">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1)抗张强度比一般PVC电线大：一般PVC电线抗张强度大于1.05Kgf/mm²,而低烟无卤电线抗张强度大于1.2Kgf/mm²;具有良好的耐温性-30℃~105℃；</w:t>
            </w:r>
          </w:p>
          <w:p w14:paraId="42894CA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2)燃烧时不会产生有毒黑烟会产生少量白色烟雾；</w:t>
            </w:r>
          </w:p>
          <w:p w14:paraId="0391CCFC">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3)具有较高的体积电阻率：PVC电线一般为1012～1015Ω/cm²,低烟无卤电线大于1016Ω/cm³；</w:t>
            </w:r>
          </w:p>
          <w:p w14:paraId="6A54CF3F">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4)具有良好的耐高压特性：PVC电线一般耐10KV以上，而低烟无卤电线高达15KV以上；</w:t>
            </w:r>
          </w:p>
          <w:p w14:paraId="64577663">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音频、音箱、话筒线50米</w:t>
            </w:r>
          </w:p>
          <w:p w14:paraId="4BC2B21E">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1)专业音响线，高保真音质；</w:t>
            </w:r>
          </w:p>
          <w:p w14:paraId="217E96FD">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2)纯铜2芯</w:t>
            </w:r>
          </w:p>
          <w:p w14:paraId="22A8E4A9">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3)带PVC绝缘外套</w:t>
            </w:r>
          </w:p>
          <w:p w14:paraId="562BA156">
            <w:pPr>
              <w:adjustRightInd w:val="0"/>
              <w:snapToGrid w:val="0"/>
              <w:spacing w:line="400" w:lineRule="exact"/>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材料运输、工安装、调试、使用培训等。</w:t>
            </w:r>
          </w:p>
        </w:tc>
        <w:tc>
          <w:tcPr>
            <w:tcW w:w="787" w:type="dxa"/>
            <w:vAlign w:val="center"/>
          </w:tcPr>
          <w:p w14:paraId="675FBF86">
            <w:pPr>
              <w:adjustRightInd w:val="0"/>
              <w:snapToGrid w:val="0"/>
              <w:spacing w:line="40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工业</w:t>
            </w:r>
          </w:p>
        </w:tc>
      </w:tr>
      <w:tr w14:paraId="29988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540" w:type="dxa"/>
            <w:gridSpan w:val="6"/>
            <w:vAlign w:val="center"/>
          </w:tcPr>
          <w:p w14:paraId="7A9CC7E3">
            <w:pPr>
              <w:widowControl/>
              <w:spacing w:line="400" w:lineRule="exact"/>
              <w:textAlignment w:val="center"/>
              <w:rPr>
                <w:rFonts w:ascii="宋体" w:hAnsi="宋体" w:cs="宋体"/>
                <w:b/>
                <w:bCs/>
                <w:color w:val="auto"/>
                <w:szCs w:val="21"/>
              </w:rPr>
            </w:pPr>
            <w:r>
              <w:rPr>
                <w:rFonts w:hint="eastAsia" w:ascii="宋体" w:hAnsi="宋体" w:cs="宋体"/>
                <w:b/>
                <w:bCs/>
                <w:color w:val="auto"/>
                <w:szCs w:val="21"/>
              </w:rPr>
              <w:t>二、</w:t>
            </w:r>
            <w:bookmarkStart w:id="30" w:name="分标1商务要求"/>
            <w:r>
              <w:rPr>
                <w:rFonts w:hint="eastAsia" w:ascii="宋体" w:hAnsi="宋体" w:cs="宋体"/>
                <w:b/>
                <w:bCs/>
                <w:color w:val="auto"/>
                <w:szCs w:val="21"/>
              </w:rPr>
              <w:t>商务要求</w:t>
            </w:r>
            <w:bookmarkEnd w:id="30"/>
          </w:p>
        </w:tc>
      </w:tr>
      <w:tr w14:paraId="4CC7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5205882B">
            <w:pPr>
              <w:widowControl/>
              <w:spacing w:line="400" w:lineRule="exact"/>
              <w:jc w:val="center"/>
              <w:rPr>
                <w:rFonts w:ascii="宋体" w:hAnsi="宋体" w:cs="宋体"/>
                <w:b/>
                <w:bCs/>
                <w:color w:val="auto"/>
                <w:kern w:val="1"/>
                <w:szCs w:val="21"/>
              </w:rPr>
            </w:pPr>
            <w:r>
              <w:rPr>
                <w:rFonts w:hint="eastAsia" w:ascii="宋体" w:hAnsi="宋体" w:cs="宋体"/>
                <w:b/>
                <w:bCs/>
                <w:color w:val="auto"/>
                <w:szCs w:val="21"/>
              </w:rPr>
              <w:t>合同签订时间</w:t>
            </w:r>
          </w:p>
        </w:tc>
        <w:tc>
          <w:tcPr>
            <w:tcW w:w="7762" w:type="dxa"/>
            <w:gridSpan w:val="4"/>
            <w:vAlign w:val="center"/>
          </w:tcPr>
          <w:p w14:paraId="113BE065">
            <w:pPr>
              <w:widowControl/>
              <w:spacing w:line="400" w:lineRule="exact"/>
              <w:textAlignment w:val="center"/>
              <w:rPr>
                <w:rFonts w:ascii="宋体" w:hAnsi="宋体" w:cs="宋体"/>
                <w:color w:val="auto"/>
                <w:szCs w:val="21"/>
              </w:rPr>
            </w:pPr>
            <w:r>
              <w:rPr>
                <w:rFonts w:hint="eastAsia" w:ascii="宋体" w:hAnsi="宋体" w:cs="宋体"/>
                <w:color w:val="auto"/>
                <w:szCs w:val="21"/>
              </w:rPr>
              <w:t>自成交通知书发出之日起 15 日内。</w:t>
            </w:r>
          </w:p>
        </w:tc>
      </w:tr>
      <w:tr w14:paraId="1301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10656D1A">
            <w:pPr>
              <w:spacing w:line="400" w:lineRule="exact"/>
              <w:jc w:val="center"/>
              <w:rPr>
                <w:rFonts w:ascii="宋体" w:hAnsi="宋体" w:cs="宋体"/>
                <w:color w:val="auto"/>
                <w:kern w:val="1"/>
                <w:szCs w:val="21"/>
              </w:rPr>
            </w:pPr>
            <w:r>
              <w:rPr>
                <w:rFonts w:hint="eastAsia" w:ascii="Segoe UI Symbol" w:hAnsi="Segoe UI Symbol" w:cs="Segoe UI Symbol"/>
                <w:bCs/>
                <w:color w:val="auto"/>
                <w:sz w:val="24"/>
              </w:rPr>
              <w:t>▲</w:t>
            </w:r>
            <w:r>
              <w:rPr>
                <w:rFonts w:hint="eastAsia" w:ascii="宋体" w:hAnsi="宋体" w:cs="宋体"/>
                <w:b/>
                <w:color w:val="auto"/>
                <w:szCs w:val="21"/>
              </w:rPr>
              <w:t>交货时间及地点</w:t>
            </w:r>
          </w:p>
        </w:tc>
        <w:tc>
          <w:tcPr>
            <w:tcW w:w="7762" w:type="dxa"/>
            <w:gridSpan w:val="4"/>
            <w:vAlign w:val="center"/>
          </w:tcPr>
          <w:p w14:paraId="598BEA69">
            <w:pPr>
              <w:widowControl/>
              <w:spacing w:line="400" w:lineRule="exact"/>
              <w:textAlignment w:val="center"/>
              <w:rPr>
                <w:rFonts w:ascii="宋体" w:hAnsi="宋体" w:cs="宋体"/>
                <w:color w:val="auto"/>
                <w:szCs w:val="21"/>
              </w:rPr>
            </w:pPr>
            <w:r>
              <w:rPr>
                <w:rFonts w:hint="eastAsia" w:ascii="宋体" w:hAnsi="宋体" w:cs="宋体"/>
                <w:color w:val="auto"/>
                <w:szCs w:val="21"/>
              </w:rPr>
              <w:t>交货时间：自签订合同之日起15日历天内全部安装验收合格并交付使用。</w:t>
            </w:r>
          </w:p>
          <w:p w14:paraId="77B75B3B">
            <w:pPr>
              <w:widowControl/>
              <w:spacing w:line="400" w:lineRule="exact"/>
              <w:textAlignment w:val="center"/>
              <w:rPr>
                <w:rFonts w:ascii="宋体" w:hAnsi="宋体" w:cs="宋体"/>
                <w:color w:val="auto"/>
                <w:szCs w:val="21"/>
              </w:rPr>
            </w:pPr>
            <w:r>
              <w:rPr>
                <w:rFonts w:hint="eastAsia" w:ascii="宋体" w:hAnsi="宋体" w:cs="宋体"/>
                <w:color w:val="auto"/>
                <w:szCs w:val="21"/>
              </w:rPr>
              <w:t>地点：广西南宁市（采购人指定地点）。</w:t>
            </w:r>
          </w:p>
        </w:tc>
      </w:tr>
      <w:tr w14:paraId="31E8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09E37C71">
            <w:pPr>
              <w:spacing w:line="400" w:lineRule="exact"/>
              <w:jc w:val="center"/>
              <w:rPr>
                <w:rFonts w:ascii="宋体" w:hAnsi="宋体" w:cs="宋体"/>
                <w:b/>
                <w:bCs/>
                <w:color w:val="auto"/>
                <w:kern w:val="0"/>
                <w:szCs w:val="21"/>
              </w:rPr>
            </w:pPr>
            <w:r>
              <w:rPr>
                <w:rFonts w:hint="eastAsia" w:ascii="Segoe UI Symbol" w:hAnsi="Segoe UI Symbol" w:cs="Segoe UI Symbol"/>
                <w:bCs/>
                <w:color w:val="auto"/>
                <w:sz w:val="24"/>
              </w:rPr>
              <w:t>▲</w:t>
            </w:r>
            <w:r>
              <w:rPr>
                <w:rFonts w:hint="eastAsia" w:ascii="宋体" w:hAnsi="宋体" w:cs="宋体"/>
                <w:b/>
                <w:color w:val="auto"/>
                <w:szCs w:val="21"/>
              </w:rPr>
              <w:t>验收条件及标准</w:t>
            </w:r>
          </w:p>
        </w:tc>
        <w:tc>
          <w:tcPr>
            <w:tcW w:w="7762" w:type="dxa"/>
            <w:gridSpan w:val="4"/>
            <w:vAlign w:val="center"/>
          </w:tcPr>
          <w:p w14:paraId="6C148783">
            <w:pPr>
              <w:widowControl/>
              <w:spacing w:line="400" w:lineRule="exact"/>
              <w:textAlignment w:val="center"/>
              <w:rPr>
                <w:rFonts w:ascii="宋体" w:hAnsi="宋体" w:cs="宋体"/>
                <w:color w:val="auto"/>
                <w:szCs w:val="21"/>
              </w:rPr>
            </w:pPr>
            <w:r>
              <w:rPr>
                <w:rFonts w:hint="eastAsia" w:ascii="宋体" w:hAnsi="宋体" w:cs="宋体"/>
                <w:color w:val="auto"/>
                <w:szCs w:val="21"/>
              </w:rPr>
              <w:t>1.到货验收：产品到达现场后，成交供应商应在采购人单位人员在场情况下当面开箱，共同清点、检查外观，作出开箱记录，双方签字确认。中标供应商应保证货物在送达采购人指定地点时完好无损，如有缺漏、损坏，由成交供应商负责调换、补齐或赔偿。</w:t>
            </w:r>
          </w:p>
          <w:p w14:paraId="546550F6">
            <w:pPr>
              <w:widowControl/>
              <w:spacing w:line="400" w:lineRule="exact"/>
              <w:textAlignment w:val="center"/>
              <w:rPr>
                <w:rFonts w:ascii="宋体" w:hAnsi="宋体" w:cs="宋体"/>
                <w:color w:val="auto"/>
                <w:szCs w:val="21"/>
              </w:rPr>
            </w:pPr>
            <w:r>
              <w:rPr>
                <w:rFonts w:hint="eastAsia" w:ascii="宋体" w:hAnsi="宋体" w:cs="宋体"/>
                <w:color w:val="auto"/>
                <w:szCs w:val="21"/>
              </w:rPr>
              <w:t>2.验收方案：</w:t>
            </w:r>
          </w:p>
          <w:p w14:paraId="2519B8A3">
            <w:pPr>
              <w:widowControl/>
              <w:spacing w:line="400" w:lineRule="exact"/>
              <w:textAlignment w:val="center"/>
              <w:rPr>
                <w:rFonts w:ascii="宋体" w:hAnsi="宋体" w:cs="宋体"/>
                <w:color w:val="auto"/>
                <w:szCs w:val="21"/>
              </w:rPr>
            </w:pPr>
            <w:r>
              <w:rPr>
                <w:rFonts w:hint="eastAsia" w:ascii="宋体" w:hAnsi="宋体" w:cs="宋体"/>
                <w:color w:val="auto"/>
                <w:szCs w:val="21"/>
              </w:rPr>
              <w:t>（1）货物或服务技术参数与采购合同一致，性能或指标达到规定的标准。</w:t>
            </w:r>
          </w:p>
          <w:p w14:paraId="064F3C8A">
            <w:pPr>
              <w:widowControl/>
              <w:spacing w:line="400" w:lineRule="exact"/>
              <w:textAlignment w:val="center"/>
              <w:rPr>
                <w:rFonts w:ascii="宋体" w:hAnsi="宋体" w:cs="宋体"/>
                <w:color w:val="auto"/>
                <w:szCs w:val="21"/>
              </w:rPr>
            </w:pPr>
            <w:r>
              <w:rPr>
                <w:rFonts w:hint="eastAsia" w:ascii="宋体" w:hAnsi="宋体" w:cs="宋体"/>
                <w:color w:val="auto"/>
                <w:szCs w:val="21"/>
              </w:rPr>
              <w:t>（2）技术或资料、装箱单、中文操作手册、合格证等资料齐全。</w:t>
            </w:r>
          </w:p>
          <w:p w14:paraId="7CA9F48E">
            <w:pPr>
              <w:widowControl/>
              <w:spacing w:line="400" w:lineRule="exact"/>
              <w:textAlignment w:val="center"/>
              <w:rPr>
                <w:rFonts w:ascii="宋体" w:hAnsi="宋体" w:cs="宋体"/>
                <w:color w:val="auto"/>
                <w:szCs w:val="21"/>
              </w:rPr>
            </w:pPr>
            <w:r>
              <w:rPr>
                <w:rFonts w:hint="eastAsia" w:ascii="宋体" w:hAnsi="宋体" w:cs="宋体"/>
                <w:color w:val="auto"/>
                <w:szCs w:val="21"/>
              </w:rPr>
              <w:t>（3）在测试或试运行期间所出现的问题得到解决，并运行或工作正常。</w:t>
            </w:r>
          </w:p>
          <w:p w14:paraId="43379BF0">
            <w:pPr>
              <w:widowControl/>
              <w:spacing w:line="400" w:lineRule="exact"/>
              <w:textAlignment w:val="center"/>
              <w:rPr>
                <w:rFonts w:ascii="宋体" w:hAnsi="宋体" w:cs="宋体"/>
                <w:color w:val="auto"/>
                <w:szCs w:val="21"/>
              </w:rPr>
            </w:pPr>
            <w:r>
              <w:rPr>
                <w:rFonts w:hint="eastAsia" w:ascii="宋体" w:hAnsi="宋体" w:cs="宋体"/>
                <w:color w:val="auto"/>
                <w:szCs w:val="21"/>
              </w:rPr>
              <w:t>（4）在规定时间内完成交货及验收，并经采购人确认。</w:t>
            </w:r>
          </w:p>
          <w:p w14:paraId="37378487">
            <w:pPr>
              <w:widowControl/>
              <w:spacing w:line="400" w:lineRule="exact"/>
              <w:textAlignment w:val="center"/>
              <w:rPr>
                <w:rFonts w:ascii="宋体" w:hAnsi="宋体" w:cs="宋体"/>
                <w:color w:val="auto"/>
                <w:szCs w:val="21"/>
              </w:rPr>
            </w:pPr>
            <w:r>
              <w:rPr>
                <w:rFonts w:hint="eastAsia" w:ascii="宋体" w:hAnsi="宋体" w:cs="宋体"/>
                <w:color w:val="auto"/>
                <w:szCs w:val="21"/>
              </w:rPr>
              <w:t>3.产品或服务在安装调试并试运行符合要求后，才作为最终验收。</w:t>
            </w:r>
          </w:p>
          <w:p w14:paraId="34BA2868">
            <w:pPr>
              <w:widowControl/>
              <w:spacing w:line="400" w:lineRule="exact"/>
              <w:textAlignment w:val="center"/>
              <w:rPr>
                <w:rFonts w:ascii="宋体" w:hAnsi="宋体" w:cs="宋体"/>
                <w:color w:val="auto"/>
                <w:szCs w:val="21"/>
              </w:rPr>
            </w:pPr>
            <w:r>
              <w:rPr>
                <w:rFonts w:hint="eastAsia" w:ascii="宋体" w:hAnsi="宋体" w:cs="宋体"/>
                <w:color w:val="auto"/>
                <w:szCs w:val="21"/>
              </w:rPr>
              <w:t>4.成交供应商提供的货物或服务未达到竞争性谈判文件规定要求，且对采购人造成损失的，由成交供应商承担一切责任，并赔偿所造成的损失。</w:t>
            </w:r>
          </w:p>
          <w:p w14:paraId="608ED82D">
            <w:pPr>
              <w:widowControl/>
              <w:spacing w:line="400" w:lineRule="exact"/>
              <w:textAlignment w:val="center"/>
              <w:rPr>
                <w:rFonts w:ascii="宋体" w:hAnsi="宋体" w:cs="宋体"/>
                <w:color w:val="auto"/>
                <w:szCs w:val="21"/>
              </w:rPr>
            </w:pPr>
            <w:r>
              <w:rPr>
                <w:rFonts w:hint="eastAsia" w:ascii="宋体" w:hAnsi="宋体" w:cs="宋体"/>
                <w:color w:val="auto"/>
                <w:szCs w:val="21"/>
              </w:rPr>
              <w:t>5.采购人需要制造商对成交供应商交付的产品或服务（包括质量、参数等）进行确认的，制造商应予以配合并出具书面意见，相关配合事项由成交供应商与制造商协调。</w:t>
            </w:r>
          </w:p>
          <w:p w14:paraId="15A5AE2D">
            <w:pPr>
              <w:widowControl/>
              <w:spacing w:line="400" w:lineRule="exact"/>
              <w:textAlignment w:val="center"/>
              <w:rPr>
                <w:rFonts w:ascii="宋体" w:hAnsi="宋体" w:cs="宋体"/>
                <w:color w:val="auto"/>
                <w:szCs w:val="21"/>
              </w:rPr>
            </w:pPr>
            <w:r>
              <w:rPr>
                <w:rFonts w:hint="eastAsia" w:ascii="宋体" w:hAnsi="宋体" w:cs="宋体"/>
                <w:color w:val="auto"/>
                <w:szCs w:val="21"/>
              </w:rPr>
              <w:t>6.验收要求未尽事宜按照《关于印发广西壮族自治区政府采购项目履约验收管理办法的通知》[桂财采〔2015〕22号]以及《财政部关于进一步加强政府采购需求和履约验收管理的指导意见》[财库〔2016〕205号]规定执行。</w:t>
            </w:r>
          </w:p>
          <w:p w14:paraId="53C46B4C">
            <w:pPr>
              <w:widowControl/>
              <w:spacing w:line="400" w:lineRule="exact"/>
              <w:textAlignment w:val="center"/>
              <w:rPr>
                <w:rFonts w:ascii="宋体" w:hAnsi="宋体" w:cs="宋体"/>
                <w:color w:val="auto"/>
                <w:szCs w:val="21"/>
              </w:rPr>
            </w:pPr>
            <w:r>
              <w:rPr>
                <w:rFonts w:hint="eastAsia" w:ascii="宋体" w:hAnsi="宋体" w:cs="宋体"/>
                <w:color w:val="auto"/>
                <w:szCs w:val="21"/>
              </w:rPr>
              <w:t>7.成交供应商所投产品不能满足竞争性谈判要求的，采购人有权拒绝接收货物，由此引发的所有损失由成交供应商负责，同时按有国家相关法律法规规定进行处罚。</w:t>
            </w:r>
          </w:p>
          <w:p w14:paraId="02EDAD99">
            <w:pPr>
              <w:widowControl/>
              <w:spacing w:line="400" w:lineRule="exact"/>
              <w:textAlignment w:val="center"/>
              <w:rPr>
                <w:rFonts w:ascii="宋体" w:hAnsi="宋体" w:cs="宋体"/>
                <w:color w:val="auto"/>
                <w:szCs w:val="21"/>
              </w:rPr>
            </w:pPr>
            <w:r>
              <w:rPr>
                <w:rFonts w:hint="eastAsia" w:ascii="宋体" w:hAnsi="宋体" w:cs="宋体"/>
                <w:color w:val="auto"/>
                <w:szCs w:val="21"/>
              </w:rPr>
              <w:t>8.验收、检测所产生的全部费用由成交供应商承担。</w:t>
            </w:r>
          </w:p>
          <w:p w14:paraId="25B12855">
            <w:pPr>
              <w:widowControl/>
              <w:spacing w:line="400" w:lineRule="exact"/>
              <w:textAlignment w:val="center"/>
              <w:rPr>
                <w:rFonts w:hint="eastAsia" w:ascii="宋体" w:hAnsi="宋体" w:cs="宋体"/>
                <w:color w:val="auto"/>
                <w:szCs w:val="21"/>
              </w:rPr>
            </w:pPr>
            <w:r>
              <w:rPr>
                <w:rFonts w:hint="eastAsia" w:ascii="宋体" w:hAnsi="宋体" w:cs="宋体"/>
                <w:color w:val="auto"/>
                <w:szCs w:val="21"/>
              </w:rPr>
              <w:t>9.签订合同后交货验收，如与响应文件承诺不符，不予验收。</w:t>
            </w:r>
          </w:p>
          <w:p w14:paraId="22B1F199">
            <w:pPr>
              <w:widowControl/>
              <w:spacing w:line="400" w:lineRule="exact"/>
              <w:textAlignment w:val="center"/>
              <w:rPr>
                <w:rFonts w:hint="eastAsia" w:ascii="宋体" w:hAnsi="宋体" w:cs="宋体"/>
                <w:color w:val="auto"/>
                <w:szCs w:val="21"/>
              </w:rPr>
            </w:pPr>
            <w:r>
              <w:rPr>
                <w:rFonts w:hint="eastAsia" w:ascii="宋体" w:hAnsi="宋体" w:cs="宋体"/>
                <w:color w:val="auto"/>
                <w:szCs w:val="21"/>
                <w:lang w:val="en-US" w:eastAsia="zh-CN"/>
              </w:rPr>
              <w:t>10.发现质量问题无偿整件换新</w:t>
            </w:r>
          </w:p>
        </w:tc>
      </w:tr>
      <w:tr w14:paraId="19A9F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7B219FFA">
            <w:pPr>
              <w:spacing w:line="400" w:lineRule="exact"/>
              <w:jc w:val="center"/>
              <w:rPr>
                <w:rFonts w:ascii="宋体" w:hAnsi="宋体" w:cs="宋体"/>
                <w:b/>
                <w:bCs/>
                <w:color w:val="auto"/>
                <w:szCs w:val="21"/>
              </w:rPr>
            </w:pPr>
            <w:r>
              <w:rPr>
                <w:rFonts w:hint="eastAsia" w:ascii="Segoe UI Symbol" w:hAnsi="Segoe UI Symbol" w:cs="Segoe UI Symbol"/>
                <w:bCs/>
                <w:color w:val="auto"/>
                <w:sz w:val="24"/>
              </w:rPr>
              <w:t>▲</w:t>
            </w:r>
            <w:r>
              <w:rPr>
                <w:rFonts w:hint="eastAsia" w:ascii="宋体" w:hAnsi="宋体" w:cs="宋体"/>
                <w:b/>
                <w:bCs/>
                <w:color w:val="auto"/>
                <w:kern w:val="0"/>
                <w:szCs w:val="21"/>
              </w:rPr>
              <w:t>质保期</w:t>
            </w:r>
          </w:p>
        </w:tc>
        <w:tc>
          <w:tcPr>
            <w:tcW w:w="7762" w:type="dxa"/>
            <w:gridSpan w:val="4"/>
            <w:vAlign w:val="center"/>
          </w:tcPr>
          <w:p w14:paraId="739A5E4C">
            <w:pPr>
              <w:widowControl/>
              <w:spacing w:line="400" w:lineRule="exact"/>
              <w:textAlignment w:val="center"/>
              <w:rPr>
                <w:rFonts w:ascii="宋体" w:hAnsi="宋体" w:cs="宋体"/>
                <w:color w:val="auto"/>
                <w:szCs w:val="21"/>
              </w:rPr>
            </w:pPr>
            <w:r>
              <w:rPr>
                <w:rFonts w:hint="eastAsia" w:ascii="宋体" w:hAnsi="宋体" w:cs="宋体"/>
                <w:color w:val="auto"/>
                <w:szCs w:val="21"/>
              </w:rPr>
              <w:t>1.按国家有关产品“三包”规定执行“三包”，自货物验收合格之日起计算，产品质保期1年（若分项中有具体要求按其要求执行，若国家或生产厂家对本项目所涉及货物的质量保证期的规定高于本项目要求的，按国家或生产厂家的规定执行，若供应商在响应文件中承诺高于该期限，按照供应商承诺）。</w:t>
            </w:r>
          </w:p>
          <w:p w14:paraId="67C84E6D">
            <w:pPr>
              <w:widowControl/>
              <w:spacing w:line="400" w:lineRule="exact"/>
              <w:textAlignment w:val="center"/>
              <w:rPr>
                <w:rFonts w:ascii="宋体" w:hAnsi="宋体" w:cs="宋体"/>
                <w:color w:val="auto"/>
                <w:szCs w:val="21"/>
              </w:rPr>
            </w:pPr>
            <w:r>
              <w:rPr>
                <w:rFonts w:hint="eastAsia" w:ascii="宋体" w:hAnsi="宋体" w:cs="宋体"/>
                <w:color w:val="auto"/>
                <w:szCs w:val="21"/>
              </w:rPr>
              <w:t>2.设备保修服务自最终验收合格之日计算，保修期内设备运行故障，成交供应商须提供维修服务。保修期外对设备提供终身维修服务。需求表中特别注明的按需求表中的执行。质保期满的维修收取成本价。</w:t>
            </w:r>
          </w:p>
        </w:tc>
      </w:tr>
      <w:tr w14:paraId="45C6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15B3FD2A">
            <w:pPr>
              <w:spacing w:line="400" w:lineRule="exact"/>
              <w:jc w:val="center"/>
              <w:rPr>
                <w:rFonts w:ascii="宋体" w:hAnsi="宋体" w:cs="宋体"/>
                <w:b/>
                <w:bCs/>
                <w:color w:val="auto"/>
                <w:szCs w:val="21"/>
              </w:rPr>
            </w:pPr>
            <w:r>
              <w:rPr>
                <w:rFonts w:hint="eastAsia" w:ascii="Segoe UI Symbol" w:hAnsi="Segoe UI Symbol" w:cs="Segoe UI Symbol"/>
                <w:bCs/>
                <w:color w:val="auto"/>
                <w:sz w:val="24"/>
              </w:rPr>
              <w:t>▲</w:t>
            </w:r>
            <w:r>
              <w:rPr>
                <w:rFonts w:hint="eastAsia" w:ascii="宋体" w:hAnsi="宋体" w:cs="宋体"/>
                <w:b/>
                <w:bCs/>
                <w:color w:val="auto"/>
                <w:szCs w:val="21"/>
              </w:rPr>
              <w:t>售后服务要求</w:t>
            </w:r>
          </w:p>
        </w:tc>
        <w:tc>
          <w:tcPr>
            <w:tcW w:w="7762" w:type="dxa"/>
            <w:gridSpan w:val="4"/>
            <w:vAlign w:val="center"/>
          </w:tcPr>
          <w:p w14:paraId="054B3864">
            <w:pPr>
              <w:widowControl/>
              <w:spacing w:line="400" w:lineRule="exact"/>
              <w:textAlignment w:val="center"/>
              <w:rPr>
                <w:rFonts w:ascii="宋体" w:hAnsi="宋体" w:cs="宋体"/>
                <w:color w:val="auto"/>
                <w:szCs w:val="21"/>
              </w:rPr>
            </w:pPr>
            <w:r>
              <w:rPr>
                <w:rFonts w:hint="eastAsia" w:ascii="宋体" w:hAnsi="宋体" w:cs="宋体"/>
                <w:color w:val="auto"/>
                <w:szCs w:val="21"/>
              </w:rPr>
              <w:t>售后服务保障或维修响应时间要求：</w:t>
            </w:r>
          </w:p>
          <w:p w14:paraId="23D0250E">
            <w:pPr>
              <w:widowControl/>
              <w:spacing w:line="400" w:lineRule="exact"/>
              <w:textAlignment w:val="center"/>
              <w:rPr>
                <w:rFonts w:ascii="宋体" w:hAnsi="宋体" w:cs="宋体"/>
                <w:color w:val="auto"/>
                <w:szCs w:val="21"/>
              </w:rPr>
            </w:pPr>
            <w:r>
              <w:rPr>
                <w:rFonts w:hint="eastAsia" w:ascii="宋体" w:hAnsi="宋体" w:cs="宋体"/>
                <w:color w:val="auto"/>
                <w:szCs w:val="21"/>
              </w:rPr>
              <w:t>1.对于故障处理，要求成交人在质保期内提供7×24小时提供提供维护服务，要求接到故障通知后4小时内响应，48小时内到现场解决故障。</w:t>
            </w:r>
          </w:p>
          <w:p w14:paraId="5A6964AC">
            <w:pPr>
              <w:widowControl/>
              <w:spacing w:line="400" w:lineRule="exact"/>
              <w:textAlignment w:val="center"/>
              <w:rPr>
                <w:rFonts w:ascii="宋体" w:hAnsi="宋体" w:cs="宋体"/>
                <w:color w:val="auto"/>
                <w:szCs w:val="21"/>
              </w:rPr>
            </w:pPr>
            <w:r>
              <w:rPr>
                <w:rFonts w:hint="eastAsia" w:ascii="宋体" w:hAnsi="宋体" w:cs="宋体"/>
                <w:color w:val="auto"/>
                <w:szCs w:val="21"/>
              </w:rPr>
              <w:t>2.送货上门、安装、调试，培训使用人员和维护人员，培训内容主要为：所采购设备的使用和维护知识。</w:t>
            </w:r>
          </w:p>
          <w:p w14:paraId="113CCB51">
            <w:pPr>
              <w:widowControl/>
              <w:spacing w:line="400" w:lineRule="exact"/>
              <w:textAlignment w:val="center"/>
              <w:rPr>
                <w:rFonts w:ascii="宋体" w:hAnsi="宋体" w:cs="宋体"/>
                <w:color w:val="auto"/>
                <w:szCs w:val="21"/>
              </w:rPr>
            </w:pPr>
            <w:r>
              <w:rPr>
                <w:rFonts w:hint="eastAsia" w:ascii="宋体" w:hAnsi="宋体" w:cs="宋体"/>
                <w:color w:val="auto"/>
                <w:szCs w:val="21"/>
              </w:rPr>
              <w:t>3.成交供应商负责处理解决货物出现的质量及安全问题并承担一切费用，所有非故意性损坏以及正常使用范围内造成的损坏均要维修；因人为因素出现的故障不在免费保修范围内的，成交供应商也要积极帮助采购人维修，并提供优惠价格的配件和服务。</w:t>
            </w:r>
          </w:p>
          <w:p w14:paraId="11DFAA1B">
            <w:pPr>
              <w:widowControl/>
              <w:spacing w:line="400" w:lineRule="exact"/>
              <w:textAlignment w:val="center"/>
              <w:rPr>
                <w:rFonts w:ascii="宋体" w:hAnsi="宋体" w:cs="宋体"/>
                <w:color w:val="auto"/>
                <w:szCs w:val="21"/>
              </w:rPr>
            </w:pPr>
            <w:r>
              <w:rPr>
                <w:rFonts w:hint="eastAsia" w:ascii="宋体" w:hAnsi="宋体" w:cs="宋体"/>
                <w:color w:val="auto"/>
                <w:szCs w:val="21"/>
              </w:rPr>
              <w:t>4. 竞标需提供售后服务承诺书。须针对本项目书面承诺免费提供后续的技术支持。</w:t>
            </w:r>
          </w:p>
          <w:p w14:paraId="4A3ECBD4">
            <w:pPr>
              <w:widowControl/>
              <w:spacing w:line="400" w:lineRule="exact"/>
              <w:textAlignment w:val="center"/>
              <w:rPr>
                <w:rFonts w:ascii="宋体" w:hAnsi="宋体" w:cs="宋体"/>
                <w:color w:val="auto"/>
                <w:szCs w:val="21"/>
              </w:rPr>
            </w:pPr>
            <w:r>
              <w:rPr>
                <w:rFonts w:hint="eastAsia" w:ascii="宋体" w:hAnsi="宋体" w:cs="宋体"/>
                <w:color w:val="auto"/>
                <w:szCs w:val="21"/>
              </w:rPr>
              <w:t>5. 成交供应商根据本项目的采购需求情况进行有针对性地应用和培训，所有培训涉及的费用采购人均不承担。</w:t>
            </w:r>
          </w:p>
          <w:p w14:paraId="27FE367F">
            <w:pPr>
              <w:widowControl/>
              <w:spacing w:line="400" w:lineRule="exact"/>
              <w:textAlignment w:val="center"/>
              <w:rPr>
                <w:rFonts w:ascii="宋体" w:hAnsi="宋体" w:cs="宋体"/>
                <w:color w:val="auto"/>
                <w:szCs w:val="21"/>
              </w:rPr>
            </w:pPr>
            <w:r>
              <w:rPr>
                <w:rFonts w:hint="eastAsia" w:ascii="宋体" w:hAnsi="宋体" w:cs="宋体"/>
                <w:color w:val="auto"/>
                <w:szCs w:val="21"/>
              </w:rPr>
              <w:t>6.技术参数及性能（配置）要求另有要求的，按其要求执行。</w:t>
            </w:r>
          </w:p>
        </w:tc>
      </w:tr>
      <w:tr w14:paraId="4F7F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609371A0">
            <w:pPr>
              <w:spacing w:line="400" w:lineRule="exact"/>
              <w:jc w:val="center"/>
              <w:rPr>
                <w:rFonts w:ascii="宋体" w:hAnsi="宋体" w:cs="宋体"/>
                <w:b/>
                <w:bCs/>
                <w:color w:val="auto"/>
                <w:kern w:val="0"/>
                <w:szCs w:val="21"/>
              </w:rPr>
            </w:pPr>
            <w:r>
              <w:rPr>
                <w:rFonts w:hint="eastAsia" w:ascii="Segoe UI Symbol" w:hAnsi="Segoe UI Symbol" w:cs="Segoe UI Symbol"/>
                <w:bCs/>
                <w:color w:val="auto"/>
                <w:sz w:val="24"/>
              </w:rPr>
              <w:t>▲</w:t>
            </w:r>
            <w:r>
              <w:rPr>
                <w:rFonts w:hint="eastAsia" w:ascii="宋体" w:hAnsi="宋体" w:cs="宋体"/>
                <w:b/>
                <w:bCs/>
                <w:color w:val="auto"/>
                <w:szCs w:val="21"/>
              </w:rPr>
              <w:t>履约保证金收取及退付</w:t>
            </w:r>
          </w:p>
        </w:tc>
        <w:tc>
          <w:tcPr>
            <w:tcW w:w="7762" w:type="dxa"/>
            <w:gridSpan w:val="4"/>
            <w:vAlign w:val="center"/>
          </w:tcPr>
          <w:p w14:paraId="50007032">
            <w:pPr>
              <w:widowControl/>
              <w:spacing w:line="400" w:lineRule="exact"/>
              <w:textAlignment w:val="center"/>
              <w:rPr>
                <w:rFonts w:ascii="宋体" w:hAnsi="宋体" w:cs="宋体"/>
                <w:color w:val="auto"/>
                <w:szCs w:val="21"/>
              </w:rPr>
            </w:pPr>
            <w:r>
              <w:rPr>
                <w:rFonts w:hint="eastAsia" w:ascii="宋体" w:hAnsi="宋体" w:cs="宋体"/>
                <w:color w:val="auto"/>
                <w:szCs w:val="21"/>
              </w:rPr>
              <w:t>1.成交人于合同签订前按成交金额的</w:t>
            </w:r>
            <w:r>
              <w:rPr>
                <w:rFonts w:hint="eastAsia" w:ascii="宋体" w:hAnsi="宋体" w:cs="宋体"/>
                <w:color w:val="auto"/>
                <w:szCs w:val="21"/>
                <w:u w:val="single"/>
              </w:rPr>
              <w:t xml:space="preserve"> 5 </w:t>
            </w:r>
            <w:r>
              <w:rPr>
                <w:rFonts w:hint="eastAsia" w:ascii="宋体" w:hAnsi="宋体" w:cs="宋体"/>
                <w:color w:val="auto"/>
                <w:szCs w:val="21"/>
              </w:rPr>
              <w:t xml:space="preserve">%（中小企业按合同金额的2%）。向采购人指定账户提交履约保证金。 </w:t>
            </w:r>
          </w:p>
          <w:p w14:paraId="7B7705FB">
            <w:pPr>
              <w:widowControl/>
              <w:spacing w:line="400" w:lineRule="exact"/>
              <w:textAlignment w:val="center"/>
              <w:rPr>
                <w:rFonts w:ascii="宋体" w:hAnsi="宋体" w:cs="宋体"/>
                <w:color w:val="auto"/>
                <w:szCs w:val="21"/>
              </w:rPr>
            </w:pPr>
            <w:r>
              <w:rPr>
                <w:rFonts w:hint="eastAsia" w:ascii="宋体" w:hAnsi="宋体" w:cs="宋体"/>
                <w:color w:val="auto"/>
                <w:szCs w:val="21"/>
              </w:rPr>
              <w:t xml:space="preserve">2.递交方式：银行转账、支票、汇票、本票或者金融、担保机构出具的保函等非现金方式。 </w:t>
            </w:r>
          </w:p>
          <w:p w14:paraId="58ACB330">
            <w:pPr>
              <w:widowControl/>
              <w:spacing w:line="400" w:lineRule="exact"/>
              <w:textAlignment w:val="center"/>
              <w:rPr>
                <w:rFonts w:ascii="宋体" w:hAnsi="宋体" w:cs="宋体"/>
                <w:color w:val="auto"/>
                <w:szCs w:val="21"/>
                <w:highlight w:val="none"/>
              </w:rPr>
            </w:pPr>
            <w:r>
              <w:rPr>
                <w:rFonts w:hint="eastAsia" w:ascii="宋体" w:hAnsi="宋体" w:cs="宋体"/>
                <w:color w:val="auto"/>
                <w:szCs w:val="21"/>
              </w:rPr>
              <w:t>3.成交人若不能完全履行合同，履约保证金不返还</w:t>
            </w:r>
            <w:r>
              <w:rPr>
                <w:rFonts w:hint="eastAsia" w:ascii="宋体" w:hAnsi="宋体" w:cs="宋体"/>
                <w:color w:val="auto"/>
                <w:szCs w:val="21"/>
                <w:highlight w:val="none"/>
              </w:rPr>
              <w:t xml:space="preserve">；合同验收满 (1年)项目无质量问题，成交供应商向采购人提供验收单及履约保证金退付申请，采购人在15个工作日内无息退还履约保证金。涉及违约的违约金和损失赔偿从履约保证金中扣减。履约保证金指定账户： </w:t>
            </w:r>
          </w:p>
          <w:p w14:paraId="316A250D">
            <w:pPr>
              <w:widowControl/>
              <w:spacing w:line="400" w:lineRule="exact"/>
              <w:textAlignment w:val="center"/>
              <w:rPr>
                <w:rFonts w:ascii="宋体" w:hAnsi="宋体" w:cs="宋体"/>
                <w:color w:val="auto"/>
                <w:szCs w:val="21"/>
              </w:rPr>
            </w:pPr>
            <w:r>
              <w:rPr>
                <w:rFonts w:hint="eastAsia" w:ascii="宋体" w:hAnsi="宋体" w:cs="宋体"/>
                <w:color w:val="auto"/>
                <w:szCs w:val="21"/>
              </w:rPr>
              <w:t>开户名称：广西幼儿师范高等专科学校</w:t>
            </w:r>
          </w:p>
          <w:p w14:paraId="552057B5">
            <w:pPr>
              <w:widowControl/>
              <w:spacing w:line="400" w:lineRule="exact"/>
              <w:textAlignment w:val="center"/>
              <w:rPr>
                <w:rFonts w:ascii="宋体" w:hAnsi="宋体" w:cs="宋体"/>
                <w:color w:val="auto"/>
                <w:szCs w:val="21"/>
              </w:rPr>
            </w:pPr>
            <w:r>
              <w:rPr>
                <w:rFonts w:hint="eastAsia" w:ascii="宋体" w:hAnsi="宋体" w:cs="宋体"/>
                <w:color w:val="auto"/>
                <w:szCs w:val="21"/>
              </w:rPr>
              <w:t>开户银行：招商银行南宁民族大道支行</w:t>
            </w:r>
          </w:p>
          <w:p w14:paraId="38C5F2A1">
            <w:pPr>
              <w:widowControl/>
              <w:spacing w:line="400" w:lineRule="exact"/>
              <w:textAlignment w:val="center"/>
              <w:rPr>
                <w:rFonts w:ascii="宋体" w:hAnsi="宋体" w:cs="宋体"/>
                <w:color w:val="auto"/>
                <w:szCs w:val="21"/>
              </w:rPr>
            </w:pPr>
            <w:r>
              <w:rPr>
                <w:rFonts w:hint="eastAsia" w:ascii="宋体" w:hAnsi="宋体" w:cs="宋体"/>
                <w:color w:val="auto"/>
                <w:szCs w:val="21"/>
              </w:rPr>
              <w:t>银行账号：771902121410201</w:t>
            </w:r>
          </w:p>
        </w:tc>
      </w:tr>
      <w:tr w14:paraId="6EAE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32E2D64D">
            <w:pPr>
              <w:spacing w:line="400" w:lineRule="exact"/>
              <w:jc w:val="center"/>
              <w:rPr>
                <w:rFonts w:ascii="宋体" w:hAnsi="宋体" w:cs="宋体"/>
                <w:b/>
                <w:bCs/>
                <w:color w:val="auto"/>
                <w:szCs w:val="21"/>
              </w:rPr>
            </w:pPr>
            <w:r>
              <w:rPr>
                <w:rFonts w:hint="eastAsia" w:ascii="Segoe UI Symbol" w:hAnsi="Segoe UI Symbol" w:cs="Segoe UI Symbol"/>
                <w:bCs/>
                <w:color w:val="auto"/>
                <w:sz w:val="24"/>
              </w:rPr>
              <w:t>▲</w:t>
            </w:r>
            <w:r>
              <w:rPr>
                <w:rFonts w:hint="eastAsia" w:ascii="宋体" w:hAnsi="宋体" w:cs="宋体"/>
                <w:b/>
                <w:bCs/>
                <w:color w:val="auto"/>
                <w:szCs w:val="21"/>
              </w:rPr>
              <w:t>付款方式</w:t>
            </w:r>
          </w:p>
        </w:tc>
        <w:tc>
          <w:tcPr>
            <w:tcW w:w="7762" w:type="dxa"/>
            <w:gridSpan w:val="4"/>
            <w:vAlign w:val="center"/>
          </w:tcPr>
          <w:p w14:paraId="69956850">
            <w:pPr>
              <w:widowControl/>
              <w:spacing w:line="400" w:lineRule="exact"/>
              <w:textAlignment w:val="center"/>
              <w:rPr>
                <w:rFonts w:ascii="宋体" w:hAnsi="宋体" w:cs="宋体"/>
                <w:color w:val="auto"/>
                <w:szCs w:val="21"/>
              </w:rPr>
            </w:pPr>
            <w:r>
              <w:rPr>
                <w:rFonts w:hint="eastAsia" w:ascii="宋体" w:hAnsi="宋体" w:cs="宋体"/>
                <w:color w:val="auto"/>
                <w:szCs w:val="21"/>
                <w:highlight w:val="none"/>
              </w:rPr>
              <w:t>合同签订生效之日起10个工作日内采购人向成交</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支付合同总金额的30%作为预付款；货到采购人指定地点，并经采购人签收后，采购人自收到成交</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提交的货物签收凭证及付款申请之日起10个工作日内向成交</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支付至合同总金额90%的合同款；安装调试完毕并经采购人最终验收合格后，采购人自收到成交</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提交的最终验收报告及付款申请之日起10个工作日内向成交</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支付剩余的合同款。采购人每次付款前，成交供应商应开具真实、有效、合法的</w:t>
            </w:r>
            <w:r>
              <w:rPr>
                <w:rFonts w:hint="eastAsia"/>
                <w:color w:val="auto"/>
              </w:rPr>
              <w:t>税务发票给采购人</w:t>
            </w:r>
            <w:r>
              <w:rPr>
                <w:rFonts w:hint="eastAsia" w:ascii="宋体" w:hAnsi="宋体" w:cs="宋体"/>
                <w:color w:val="auto"/>
                <w:szCs w:val="21"/>
                <w:highlight w:val="none"/>
              </w:rPr>
              <w:t>，否则，采购人的付款义务顺延，且不承担迟延履行的相关责任。</w:t>
            </w:r>
          </w:p>
        </w:tc>
      </w:tr>
      <w:tr w14:paraId="4E00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778" w:type="dxa"/>
            <w:gridSpan w:val="2"/>
            <w:vAlign w:val="center"/>
          </w:tcPr>
          <w:p w14:paraId="04BB63A8">
            <w:pPr>
              <w:spacing w:line="400" w:lineRule="exact"/>
              <w:jc w:val="center"/>
              <w:rPr>
                <w:rFonts w:ascii="宋体" w:hAnsi="宋体" w:cs="宋体"/>
                <w:b/>
                <w:bCs/>
                <w:color w:val="auto"/>
                <w:kern w:val="1"/>
                <w:szCs w:val="21"/>
              </w:rPr>
            </w:pPr>
            <w:r>
              <w:rPr>
                <w:rFonts w:hint="eastAsia" w:ascii="Segoe UI Symbol" w:hAnsi="Segoe UI Symbol" w:cs="Segoe UI Symbol"/>
                <w:bCs/>
                <w:color w:val="auto"/>
                <w:sz w:val="24"/>
              </w:rPr>
              <w:t>▲</w:t>
            </w:r>
            <w:r>
              <w:rPr>
                <w:rFonts w:hint="eastAsia" w:ascii="宋体" w:hAnsi="宋体" w:cs="宋体"/>
                <w:b/>
                <w:bCs/>
                <w:color w:val="auto"/>
                <w:szCs w:val="21"/>
              </w:rPr>
              <w:t>其他要求</w:t>
            </w:r>
          </w:p>
        </w:tc>
        <w:tc>
          <w:tcPr>
            <w:tcW w:w="7762" w:type="dxa"/>
            <w:gridSpan w:val="4"/>
            <w:vAlign w:val="center"/>
          </w:tcPr>
          <w:p w14:paraId="57B0DFC3">
            <w:pPr>
              <w:pStyle w:val="11"/>
              <w:spacing w:after="0" w:line="400" w:lineRule="exact"/>
              <w:rPr>
                <w:rFonts w:ascii="宋体" w:hAnsi="宋体" w:cs="宋体"/>
                <w:color w:val="auto"/>
                <w:szCs w:val="21"/>
              </w:rPr>
            </w:pPr>
            <w:r>
              <w:rPr>
                <w:rFonts w:hint="eastAsia" w:ascii="宋体" w:hAnsi="宋体" w:cs="宋体"/>
                <w:color w:val="auto"/>
                <w:szCs w:val="21"/>
              </w:rPr>
              <w:t>1．成交供应商提供的产品必须是原厂生产的正品全新、完整、未使用过的合格产品，产品质量符合国家相关标准和规范，具备正规合法经销渠道。相关部件及服务须满足本项目需求中各项要求。所有产品除满足上表要求的技术参数和配置外，其余均按国家标准及生产厂家出厂标准配置。</w:t>
            </w:r>
          </w:p>
          <w:p w14:paraId="58FBBE2A">
            <w:pPr>
              <w:pStyle w:val="11"/>
              <w:spacing w:after="0" w:line="400" w:lineRule="exact"/>
              <w:rPr>
                <w:rFonts w:ascii="宋体" w:hAnsi="宋体" w:cs="宋体"/>
                <w:color w:val="auto"/>
                <w:szCs w:val="21"/>
              </w:rPr>
            </w:pPr>
            <w:r>
              <w:rPr>
                <w:rFonts w:hint="eastAsia" w:ascii="宋体" w:hAnsi="宋体" w:cs="宋体"/>
                <w:color w:val="auto"/>
                <w:szCs w:val="21"/>
              </w:rPr>
              <w:t>2．本项目货物不接受进口产品投标，根据《政府采购进口产品管理办法》（财库〔2007〕119号），进口产品是指通过中国海关报关验放进入中国境内且产自关境外的产品，如供应商有采用进口产品参与投标，则投标无效。</w:t>
            </w:r>
          </w:p>
          <w:p w14:paraId="0EC00E15">
            <w:pPr>
              <w:pStyle w:val="11"/>
              <w:spacing w:after="0" w:line="400" w:lineRule="exact"/>
              <w:rPr>
                <w:rFonts w:ascii="宋体" w:hAnsi="宋体" w:cs="宋体"/>
                <w:color w:val="auto"/>
                <w:szCs w:val="21"/>
              </w:rPr>
            </w:pPr>
            <w:r>
              <w:rPr>
                <w:rFonts w:hint="eastAsia" w:ascii="宋体" w:hAnsi="宋体" w:cs="宋体"/>
                <w:color w:val="auto"/>
                <w:szCs w:val="21"/>
              </w:rPr>
              <w:t>3．本项目采购的投标产品如有属于政府采购强制节能产品的，应根据《市场监管总局关于发布参与实施政府采购节能产品、环境标志产品认证机构名录的公告》2019年第16号、财库〔2019〕9号以及财库〔2019〕19号文规定，投标人的投标产品，投标时须提供国家确定的认证机构出具的、处于有效期之内的有效的节能产品认证证书复印件并加盖投标人公章。</w:t>
            </w:r>
          </w:p>
          <w:p w14:paraId="5937482A">
            <w:pPr>
              <w:pStyle w:val="11"/>
              <w:spacing w:after="0" w:line="400" w:lineRule="exact"/>
              <w:rPr>
                <w:rFonts w:ascii="宋体" w:hAnsi="宋体" w:cs="宋体"/>
                <w:color w:val="auto"/>
                <w:szCs w:val="21"/>
              </w:rPr>
            </w:pPr>
            <w:r>
              <w:rPr>
                <w:rFonts w:hint="eastAsia" w:ascii="宋体" w:hAnsi="宋体" w:cs="宋体"/>
                <w:color w:val="auto"/>
                <w:szCs w:val="21"/>
              </w:rPr>
              <w:t>4.采购货物纳入强制性产品认证（3C认证）的，供应商所投产品必须从其规定。</w:t>
            </w:r>
          </w:p>
          <w:p w14:paraId="230813E2">
            <w:pPr>
              <w:pStyle w:val="11"/>
              <w:spacing w:after="0" w:line="400" w:lineRule="exact"/>
              <w:rPr>
                <w:rFonts w:ascii="宋体" w:hAnsi="宋体" w:cs="宋体"/>
                <w:color w:val="auto"/>
                <w:szCs w:val="21"/>
              </w:rPr>
            </w:pPr>
            <w:r>
              <w:rPr>
                <w:rFonts w:hint="eastAsia" w:ascii="宋体" w:hAnsi="宋体" w:cs="宋体"/>
                <w:color w:val="auto"/>
                <w:szCs w:val="21"/>
              </w:rPr>
              <w:t>5. 供应商可根据竞争性谈判文件及采购需求的要求，在响应文件中提供设备性能、售后服务方案、信誉分、人员配备等证明材料。</w:t>
            </w:r>
          </w:p>
          <w:p w14:paraId="5B6B40F8">
            <w:pPr>
              <w:pStyle w:val="11"/>
              <w:spacing w:after="0" w:line="400" w:lineRule="exact"/>
              <w:rPr>
                <w:rFonts w:ascii="宋体" w:hAnsi="宋体" w:cs="宋体"/>
                <w:color w:val="auto"/>
                <w:szCs w:val="21"/>
              </w:rPr>
            </w:pPr>
            <w:r>
              <w:rPr>
                <w:rFonts w:hint="eastAsia" w:ascii="宋体" w:hAnsi="宋体" w:cs="宋体"/>
                <w:color w:val="auto"/>
                <w:szCs w:val="21"/>
              </w:rPr>
              <w:t>6.保密要求：供应商必须严格遵守采购人各项管理规定，在任何情况下，禁止复制、传播、引用及非开发需要查询所接触到的采购人各类业务数据、工作要求和工作措施等信息，禁止向采购人主管部门以外的单位和个人演示。</w:t>
            </w:r>
          </w:p>
          <w:p w14:paraId="483F51BD">
            <w:pPr>
              <w:pStyle w:val="11"/>
              <w:spacing w:after="0" w:line="400" w:lineRule="exact"/>
              <w:rPr>
                <w:rFonts w:ascii="宋体" w:hAnsi="宋体" w:cs="宋体"/>
                <w:color w:val="auto"/>
                <w:szCs w:val="21"/>
              </w:rPr>
            </w:pPr>
            <w:r>
              <w:rPr>
                <w:rFonts w:hint="eastAsia" w:ascii="宋体" w:hAnsi="宋体" w:cs="宋体"/>
                <w:color w:val="auto"/>
                <w:szCs w:val="21"/>
              </w:rPr>
              <w:t>7.采购需求表中标注</w:t>
            </w:r>
            <w:r>
              <w:rPr>
                <w:rFonts w:hint="eastAsia" w:ascii="Segoe UI Symbol" w:hAnsi="Segoe UI Symbol" w:cs="Segoe UI Symbol"/>
                <w:bCs/>
                <w:color w:val="auto"/>
                <w:sz w:val="24"/>
              </w:rPr>
              <w:t>▲</w:t>
            </w:r>
            <w:r>
              <w:rPr>
                <w:rFonts w:hint="eastAsia" w:ascii="宋体" w:hAnsi="宋体" w:cs="宋体"/>
                <w:color w:val="auto"/>
                <w:szCs w:val="21"/>
              </w:rPr>
              <w:t>的技术要求为实质性技术要求。供应商在响应文件中应就实质性技术要求提供技术支持资料，未提供的将视为未实质性响应该要求，采购方有权不予接受报价，不予验收通过。</w:t>
            </w:r>
          </w:p>
          <w:p w14:paraId="29FB6798">
            <w:pPr>
              <w:pStyle w:val="11"/>
              <w:spacing w:after="0" w:line="400" w:lineRule="exact"/>
              <w:rPr>
                <w:rFonts w:ascii="宋体" w:hAnsi="宋体" w:cs="宋体"/>
                <w:color w:val="auto"/>
                <w:szCs w:val="21"/>
              </w:rPr>
            </w:pPr>
            <w:r>
              <w:rPr>
                <w:rFonts w:hint="eastAsia" w:ascii="宋体" w:hAnsi="宋体" w:cs="宋体"/>
                <w:color w:val="auto"/>
                <w:szCs w:val="21"/>
                <w:lang w:val="en-US" w:eastAsia="zh-CN"/>
              </w:rPr>
              <w:t>8</w:t>
            </w:r>
            <w:r>
              <w:rPr>
                <w:rFonts w:hint="eastAsia" w:ascii="宋体" w:hAnsi="宋体" w:cs="宋体"/>
                <w:color w:val="auto"/>
                <w:szCs w:val="21"/>
              </w:rPr>
              <w:t>.为了确保采购质量和维护公平的竞争，根据《中华人民共和国政府采购法》和《中华人民共和国反垄断法》，没有正当理由，不得以低于成本的价格销售商品。</w:t>
            </w:r>
          </w:p>
          <w:p w14:paraId="275A49C0">
            <w:pPr>
              <w:pStyle w:val="11"/>
              <w:spacing w:after="0" w:line="400" w:lineRule="exact"/>
              <w:rPr>
                <w:rFonts w:ascii="宋体" w:hAnsi="宋体" w:cs="宋体"/>
                <w:color w:val="auto"/>
                <w:szCs w:val="21"/>
              </w:rPr>
            </w:pPr>
            <w:r>
              <w:rPr>
                <w:rFonts w:hint="eastAsia" w:ascii="宋体" w:hAnsi="宋体" w:cs="宋体"/>
                <w:color w:val="auto"/>
                <w:szCs w:val="21"/>
                <w:lang w:val="en-US" w:eastAsia="zh-CN"/>
              </w:rPr>
              <w:t>9</w:t>
            </w:r>
            <w:r>
              <w:rPr>
                <w:rFonts w:hint="eastAsia" w:ascii="宋体" w:hAnsi="宋体" w:cs="宋体"/>
                <w:color w:val="auto"/>
                <w:szCs w:val="21"/>
              </w:rPr>
              <w:t>.供应商</w:t>
            </w:r>
            <w:r>
              <w:rPr>
                <w:rFonts w:hint="eastAsia" w:ascii="宋体" w:hAnsi="宋体" w:cs="宋体"/>
                <w:color w:val="auto"/>
                <w:szCs w:val="21"/>
                <w:lang w:val="en-US" w:eastAsia="zh-CN"/>
              </w:rPr>
              <w:t>如需了解现场摆位等情况，可</w:t>
            </w:r>
            <w:r>
              <w:rPr>
                <w:rFonts w:hint="eastAsia" w:ascii="宋体" w:hAnsi="宋体" w:cs="宋体"/>
                <w:color w:val="auto"/>
                <w:szCs w:val="21"/>
              </w:rPr>
              <w:t>进行现场踏勘，项目踏勘现场对接人：</w:t>
            </w:r>
            <w:r>
              <w:rPr>
                <w:rFonts w:hint="eastAsia" w:ascii="宋体" w:hAnsi="宋体" w:cs="宋体"/>
                <w:color w:val="auto"/>
                <w:szCs w:val="21"/>
                <w:highlight w:val="none"/>
              </w:rPr>
              <w:t>蒋老师/1</w:t>
            </w:r>
            <w:r>
              <w:rPr>
                <w:rFonts w:hint="eastAsia" w:ascii="宋体" w:hAnsi="宋体" w:cs="宋体"/>
                <w:color w:val="auto"/>
                <w:szCs w:val="21"/>
              </w:rPr>
              <w:t>8500225345，踏勘产生的所有费用由供应商自行承担。（注：踏勘时间在截标前）</w:t>
            </w:r>
          </w:p>
          <w:p w14:paraId="09001F39">
            <w:pPr>
              <w:pStyle w:val="11"/>
              <w:spacing w:after="0" w:line="400" w:lineRule="exact"/>
              <w:rPr>
                <w:rFonts w:ascii="宋体" w:hAnsi="宋体" w:cs="宋体"/>
                <w:color w:val="auto"/>
                <w:szCs w:val="21"/>
              </w:rPr>
            </w:pPr>
            <w:r>
              <w:rPr>
                <w:rFonts w:hint="eastAsia" w:ascii="宋体" w:hAnsi="宋体" w:cs="宋体"/>
                <w:color w:val="auto"/>
                <w:szCs w:val="21"/>
                <w:lang w:val="en-US" w:eastAsia="zh-CN"/>
              </w:rPr>
              <w:t>10</w:t>
            </w:r>
            <w:r>
              <w:rPr>
                <w:rFonts w:hint="eastAsia" w:ascii="宋体" w:hAnsi="宋体" w:cs="宋体"/>
                <w:color w:val="auto"/>
                <w:szCs w:val="21"/>
              </w:rPr>
              <w:t>.要求中的内容须用确定值响应，竞标供应商未完整响应或未按要求响应的，视为无效响应。</w:t>
            </w:r>
          </w:p>
          <w:p w14:paraId="053881A5">
            <w:pPr>
              <w:pStyle w:val="11"/>
              <w:spacing w:after="0" w:line="400" w:lineRule="exact"/>
              <w:rPr>
                <w:rFonts w:ascii="宋体" w:hAnsi="宋体" w:cs="宋体"/>
                <w:color w:val="auto"/>
                <w:szCs w:val="21"/>
              </w:rPr>
            </w:pPr>
            <w:r>
              <w:rPr>
                <w:rFonts w:hint="eastAsia" w:ascii="宋体" w:hAnsi="宋体" w:cs="宋体"/>
                <w:color w:val="auto"/>
                <w:szCs w:val="21"/>
                <w:lang w:val="en-US" w:eastAsia="zh-CN"/>
              </w:rPr>
              <w:t>11</w:t>
            </w:r>
            <w:r>
              <w:rPr>
                <w:rFonts w:hint="eastAsia" w:ascii="宋体" w:hAnsi="宋体" w:cs="宋体"/>
                <w:color w:val="auto"/>
                <w:szCs w:val="21"/>
              </w:rPr>
              <w:t>.根据采购需求提供项目实施方案（包括执行实施机构、专业人员配备、项目组织架构、项目质量控制措施、项目进度控制（含培训）、系统运行维护巡检等方面）。</w:t>
            </w:r>
          </w:p>
          <w:p w14:paraId="25EFE2F3">
            <w:pPr>
              <w:pStyle w:val="11"/>
              <w:spacing w:after="0" w:line="400" w:lineRule="exact"/>
              <w:rPr>
                <w:rFonts w:hint="eastAsia"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2</w:t>
            </w:r>
            <w:r>
              <w:rPr>
                <w:rFonts w:hint="eastAsia" w:ascii="宋体" w:hAnsi="宋体" w:cs="宋体"/>
                <w:color w:val="auto"/>
                <w:szCs w:val="21"/>
              </w:rPr>
              <w:t>.本项目的核心产品为：第6项“图形工作站”</w:t>
            </w:r>
          </w:p>
          <w:p w14:paraId="3FAE1037">
            <w:pPr>
              <w:rPr>
                <w:rFonts w:hint="default" w:eastAsia="宋体"/>
                <w:color w:val="auto"/>
                <w:lang w:val="en-US" w:eastAsia="zh-CN"/>
              </w:rPr>
            </w:pPr>
            <w:r>
              <w:rPr>
                <w:rFonts w:hint="eastAsia" w:ascii="宋体" w:hAnsi="宋体" w:cs="宋体"/>
                <w:color w:val="auto"/>
                <w:szCs w:val="21"/>
                <w:lang w:val="en-US" w:eastAsia="zh-CN"/>
              </w:rPr>
              <w:t>13.发现质量问题无偿整件换新</w:t>
            </w:r>
          </w:p>
        </w:tc>
      </w:tr>
    </w:tbl>
    <w:p w14:paraId="19A43E17">
      <w:pPr>
        <w:rPr>
          <w:rFonts w:ascii="宋体" w:hAnsi="宋体" w:cs="宋体"/>
          <w:color w:val="auto"/>
        </w:rPr>
      </w:pPr>
      <w:r>
        <w:rPr>
          <w:rFonts w:hint="eastAsia" w:ascii="宋体" w:hAnsi="宋体" w:cs="宋体"/>
          <w:color w:val="auto"/>
        </w:rPr>
        <w:br w:type="page"/>
      </w:r>
    </w:p>
    <w:p w14:paraId="3B698FBD">
      <w:pPr>
        <w:spacing w:line="428" w:lineRule="exact"/>
        <w:ind w:left="119"/>
        <w:rPr>
          <w:rFonts w:ascii="Arial Unicode MS" w:hAnsi="Arial Unicode MS" w:eastAsia="Arial Unicode MS" w:cs="Arial Unicode MS"/>
          <w:color w:val="auto"/>
          <w:sz w:val="32"/>
          <w:szCs w:val="32"/>
        </w:rPr>
      </w:pPr>
      <w:r>
        <w:rPr>
          <w:rFonts w:hint="eastAsia" w:ascii="微软雅黑" w:hAnsi="微软雅黑" w:eastAsia="微软雅黑" w:cs="微软雅黑"/>
          <w:color w:val="auto"/>
          <w:sz w:val="32"/>
          <w:szCs w:val="32"/>
        </w:rPr>
        <w:t>附件</w:t>
      </w:r>
      <w:r>
        <w:rPr>
          <w:rFonts w:ascii="Arial Unicode MS" w:hAnsi="Arial Unicode MS" w:eastAsia="Arial Unicode MS" w:cs="Arial Unicode MS"/>
          <w:color w:val="auto"/>
          <w:sz w:val="32"/>
          <w:szCs w:val="32"/>
        </w:rPr>
        <w:t>1</w:t>
      </w:r>
      <w:r>
        <w:rPr>
          <w:rFonts w:hint="eastAsia" w:ascii="微软雅黑" w:hAnsi="微软雅黑" w:eastAsia="微软雅黑" w:cs="微软雅黑"/>
          <w:color w:val="auto"/>
          <w:sz w:val="32"/>
          <w:szCs w:val="32"/>
        </w:rPr>
        <w:t>：</w:t>
      </w:r>
    </w:p>
    <w:p w14:paraId="7F9F0085">
      <w:pPr>
        <w:spacing w:before="7"/>
        <w:rPr>
          <w:rFonts w:ascii="Arial Unicode MS" w:hAnsi="Arial Unicode MS" w:eastAsia="Arial Unicode MS" w:cs="Arial Unicode MS"/>
          <w:color w:val="auto"/>
          <w:sz w:val="17"/>
          <w:szCs w:val="17"/>
        </w:rPr>
      </w:pPr>
    </w:p>
    <w:p w14:paraId="27918037">
      <w:pPr>
        <w:spacing w:line="528" w:lineRule="exact"/>
        <w:ind w:left="1871"/>
        <w:rPr>
          <w:rFonts w:ascii="Arial Unicode MS" w:hAnsi="Arial Unicode MS" w:eastAsia="Arial Unicode MS" w:cs="Arial Unicode MS"/>
          <w:color w:val="auto"/>
          <w:sz w:val="40"/>
          <w:szCs w:val="40"/>
        </w:rPr>
      </w:pPr>
      <w:r>
        <w:rPr>
          <w:rFonts w:hint="eastAsia" w:ascii="微软雅黑" w:hAnsi="微软雅黑" w:eastAsia="微软雅黑" w:cs="微软雅黑"/>
          <w:color w:val="auto"/>
          <w:sz w:val="44"/>
          <w:szCs w:val="44"/>
        </w:rPr>
        <w:t>节能产品政府采购品目清单</w:t>
      </w:r>
    </w:p>
    <w:tbl>
      <w:tblPr>
        <w:tblStyle w:val="27"/>
        <w:tblW w:w="9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543"/>
        <w:gridCol w:w="1954"/>
        <w:gridCol w:w="1488"/>
        <w:gridCol w:w="4287"/>
      </w:tblGrid>
      <w:tr w14:paraId="751D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2B4FC374">
            <w:pPr>
              <w:jc w:val="center"/>
              <w:rPr>
                <w:rFonts w:ascii="宋体" w:hAnsi="宋体"/>
                <w:color w:val="auto"/>
                <w:sz w:val="24"/>
              </w:rPr>
            </w:pPr>
            <w:r>
              <w:rPr>
                <w:rFonts w:hint="eastAsia" w:ascii="宋体" w:hAnsi="宋体" w:cs="宋体"/>
                <w:b/>
                <w:bCs/>
                <w:color w:val="auto"/>
                <w:w w:val="99"/>
                <w:sz w:val="24"/>
              </w:rPr>
              <w:t>品目序号</w:t>
            </w:r>
          </w:p>
        </w:tc>
        <w:tc>
          <w:tcPr>
            <w:tcW w:w="4985" w:type="dxa"/>
            <w:gridSpan w:val="3"/>
            <w:tcBorders>
              <w:top w:val="single" w:color="000000" w:sz="4" w:space="0"/>
              <w:left w:val="single" w:color="000000" w:sz="4" w:space="0"/>
              <w:bottom w:val="single" w:color="000000" w:sz="4" w:space="0"/>
              <w:right w:val="single" w:color="000000" w:sz="4" w:space="0"/>
            </w:tcBorders>
            <w:vAlign w:val="center"/>
          </w:tcPr>
          <w:p w14:paraId="4F68B92F">
            <w:pPr>
              <w:jc w:val="center"/>
              <w:rPr>
                <w:rFonts w:ascii="宋体" w:hAnsi="宋体"/>
                <w:color w:val="auto"/>
                <w:sz w:val="24"/>
              </w:rPr>
            </w:pPr>
            <w:r>
              <w:rPr>
                <w:rFonts w:hint="eastAsia" w:ascii="宋体" w:hAnsi="宋体" w:cs="宋体"/>
                <w:b/>
                <w:bCs/>
                <w:color w:val="auto"/>
                <w:w w:val="99"/>
                <w:sz w:val="24"/>
              </w:rPr>
              <w:t>名称</w:t>
            </w:r>
          </w:p>
        </w:tc>
        <w:tc>
          <w:tcPr>
            <w:tcW w:w="4287" w:type="dxa"/>
            <w:tcBorders>
              <w:top w:val="single" w:color="000000" w:sz="4" w:space="0"/>
              <w:left w:val="single" w:color="000000" w:sz="4" w:space="0"/>
              <w:bottom w:val="single" w:color="000000" w:sz="4" w:space="0"/>
              <w:right w:val="single" w:color="000000" w:sz="4" w:space="0"/>
            </w:tcBorders>
            <w:vAlign w:val="center"/>
          </w:tcPr>
          <w:p w14:paraId="7FF12E85">
            <w:pPr>
              <w:jc w:val="center"/>
              <w:rPr>
                <w:rFonts w:ascii="宋体" w:hAnsi="宋体"/>
                <w:color w:val="auto"/>
                <w:sz w:val="24"/>
              </w:rPr>
            </w:pPr>
            <w:r>
              <w:rPr>
                <w:rFonts w:hint="eastAsia" w:ascii="宋体" w:hAnsi="宋体" w:cs="宋体"/>
                <w:b/>
                <w:bCs/>
                <w:color w:val="auto"/>
                <w:w w:val="99"/>
                <w:sz w:val="24"/>
              </w:rPr>
              <w:t>依据的标准</w:t>
            </w:r>
          </w:p>
        </w:tc>
      </w:tr>
      <w:tr w14:paraId="45DF9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05D1743F">
            <w:pPr>
              <w:jc w:val="center"/>
              <w:rPr>
                <w:rFonts w:ascii="宋体" w:hAnsi="宋体"/>
                <w:color w:val="auto"/>
                <w:sz w:val="24"/>
              </w:rPr>
            </w:pPr>
            <w:r>
              <w:rPr>
                <w:rFonts w:hint="eastAsia" w:ascii="宋体" w:hAnsi="宋体"/>
                <w:color w:val="auto"/>
                <w:sz w:val="24"/>
              </w:rPr>
              <w:t>1</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5F9F5169">
            <w:pPr>
              <w:jc w:val="center"/>
              <w:rPr>
                <w:rFonts w:ascii="宋体" w:hAnsi="宋体"/>
                <w:color w:val="auto"/>
                <w:sz w:val="24"/>
              </w:rPr>
            </w:pPr>
            <w:r>
              <w:rPr>
                <w:rFonts w:hint="eastAsia" w:ascii="宋体" w:hAnsi="宋体" w:cs="仿宋_GB2312"/>
                <w:color w:val="auto"/>
                <w:sz w:val="24"/>
              </w:rPr>
              <w:t>A02010100</w:t>
            </w:r>
            <w:r>
              <w:rPr>
                <w:rFonts w:hint="eastAsia" w:ascii="宋体" w:hAnsi="宋体" w:cs="宋体"/>
                <w:color w:val="auto"/>
                <w:w w:val="99"/>
                <w:sz w:val="24"/>
              </w:rPr>
              <w:t>计算机</w:t>
            </w:r>
          </w:p>
        </w:tc>
        <w:tc>
          <w:tcPr>
            <w:tcW w:w="1954" w:type="dxa"/>
            <w:tcBorders>
              <w:top w:val="single" w:color="000000" w:sz="4" w:space="0"/>
              <w:left w:val="single" w:color="000000" w:sz="4" w:space="0"/>
              <w:bottom w:val="single" w:color="000000" w:sz="4" w:space="0"/>
              <w:right w:val="single" w:color="000000" w:sz="4" w:space="0"/>
            </w:tcBorders>
            <w:vAlign w:val="center"/>
          </w:tcPr>
          <w:p w14:paraId="4D24BEA7">
            <w:pPr>
              <w:pStyle w:val="63"/>
              <w:spacing w:before="93"/>
              <w:ind w:left="7" w:right="5"/>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仿宋_GB2312"/>
                <w:color w:val="auto"/>
                <w:kern w:val="2"/>
                <w:sz w:val="24"/>
                <w:szCs w:val="24"/>
              </w:rPr>
              <w:t>A02010105</w:t>
            </w:r>
            <w:r>
              <w:rPr>
                <w:rFonts w:hint="eastAsia" w:ascii="宋体" w:hAnsi="宋体" w:cs="宋体"/>
                <w:color w:val="auto"/>
                <w:w w:val="99"/>
                <w:kern w:val="2"/>
                <w:sz w:val="24"/>
                <w:szCs w:val="24"/>
              </w:rPr>
              <w:t>台式计算机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4D8BAACE">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375176B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《微型计算机能效限定值及能效等级》（GB28380）</w:t>
            </w:r>
          </w:p>
        </w:tc>
      </w:tr>
      <w:tr w14:paraId="0A9E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7F061DF">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1774A6CD">
            <w:pPr>
              <w:widowControl/>
              <w:jc w:val="left"/>
              <w:rPr>
                <w:rFonts w:ascii="宋体" w:hAnsi="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66016067">
            <w:pPr>
              <w:pStyle w:val="63"/>
              <w:spacing w:before="44"/>
              <w:ind w:left="7" w:right="5"/>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仿宋_GB2312"/>
                <w:color w:val="auto"/>
                <w:kern w:val="2"/>
                <w:sz w:val="24"/>
                <w:szCs w:val="24"/>
              </w:rPr>
              <w:t>A02010108</w:t>
            </w:r>
            <w:r>
              <w:rPr>
                <w:rFonts w:hint="eastAsia" w:ascii="宋体" w:hAnsi="宋体" w:cs="宋体"/>
                <w:color w:val="auto"/>
                <w:w w:val="99"/>
                <w:kern w:val="2"/>
                <w:sz w:val="24"/>
                <w:szCs w:val="24"/>
              </w:rPr>
              <w:t>便携式计算机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18CF2A34">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3FCF83B">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《微型计算机能效限定值及能效等级》（GB28380）</w:t>
            </w:r>
          </w:p>
        </w:tc>
      </w:tr>
      <w:tr w14:paraId="4999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05FFFAF">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056F6547">
            <w:pPr>
              <w:widowControl/>
              <w:jc w:val="left"/>
              <w:rPr>
                <w:rFonts w:ascii="宋体" w:hAnsi="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1F64697E">
            <w:pPr>
              <w:pStyle w:val="63"/>
              <w:spacing w:before="64"/>
              <w:ind w:left="7" w:right="5"/>
              <w:jc w:val="center"/>
              <w:rPr>
                <w:rFonts w:ascii="宋体" w:hAnsi="宋体" w:cs="宋体"/>
                <w:color w:val="auto"/>
                <w:kern w:val="2"/>
                <w:sz w:val="24"/>
                <w:szCs w:val="24"/>
                <w:lang w:eastAsia="zh-CN"/>
              </w:rPr>
            </w:pPr>
            <w:r>
              <w:rPr>
                <w:rFonts w:hint="eastAsia" w:ascii="宋体" w:hAnsi="宋体" w:cs="宋体"/>
                <w:color w:val="auto"/>
                <w:w w:val="99"/>
                <w:kern w:val="2"/>
                <w:sz w:val="24"/>
                <w:szCs w:val="24"/>
                <w:lang w:eastAsia="zh-CN"/>
              </w:rPr>
              <w:t>★</w:t>
            </w:r>
            <w:r>
              <w:rPr>
                <w:rFonts w:hint="eastAsia" w:ascii="宋体" w:hAnsi="宋体" w:cs="仿宋_GB2312"/>
                <w:color w:val="auto"/>
                <w:kern w:val="2"/>
                <w:sz w:val="24"/>
                <w:szCs w:val="24"/>
                <w:lang w:eastAsia="zh-CN"/>
              </w:rPr>
              <w:t>A02010109平板式计算机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18860028">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66264051">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《微型计算机能效限定值及能效等级》（GB28380）</w:t>
            </w:r>
          </w:p>
        </w:tc>
      </w:tr>
      <w:tr w14:paraId="60BE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7DBA9A71">
            <w:pPr>
              <w:jc w:val="center"/>
              <w:rPr>
                <w:rFonts w:ascii="宋体" w:hAnsi="宋体"/>
                <w:color w:val="auto"/>
                <w:sz w:val="24"/>
              </w:rPr>
            </w:pPr>
            <w:r>
              <w:rPr>
                <w:rFonts w:hint="eastAsia" w:ascii="宋体" w:hAnsi="宋体"/>
                <w:color w:val="auto"/>
                <w:sz w:val="24"/>
              </w:rPr>
              <w:t>2</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101E14B0">
            <w:pPr>
              <w:pStyle w:val="63"/>
              <w:ind w:left="7"/>
              <w:jc w:val="center"/>
              <w:rPr>
                <w:rFonts w:ascii="宋体" w:hAnsi="宋体" w:cs="宋体"/>
                <w:color w:val="auto"/>
                <w:kern w:val="2"/>
                <w:sz w:val="24"/>
                <w:szCs w:val="24"/>
              </w:rPr>
            </w:pPr>
            <w:r>
              <w:rPr>
                <w:rFonts w:hint="eastAsia" w:ascii="宋体" w:hAnsi="宋体" w:cs="仿宋_GB2312"/>
                <w:color w:val="auto"/>
                <w:kern w:val="2"/>
                <w:sz w:val="24"/>
                <w:szCs w:val="24"/>
              </w:rPr>
              <w:t>A02020000</w:t>
            </w:r>
            <w:r>
              <w:rPr>
                <w:rFonts w:hint="eastAsia" w:ascii="宋体" w:hAnsi="宋体" w:cs="宋体"/>
                <w:color w:val="auto"/>
                <w:w w:val="99"/>
                <w:kern w:val="2"/>
                <w:sz w:val="24"/>
                <w:szCs w:val="24"/>
              </w:rPr>
              <w:t>办公设备</w:t>
            </w: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55B940A5">
            <w:pPr>
              <w:jc w:val="center"/>
              <w:rPr>
                <w:rFonts w:ascii="宋体" w:hAnsi="宋体"/>
                <w:color w:val="auto"/>
                <w:sz w:val="24"/>
              </w:rPr>
            </w:pPr>
            <w:r>
              <w:rPr>
                <w:rFonts w:hint="eastAsia" w:ascii="宋体" w:hAnsi="宋体" w:cs="宋体"/>
                <w:color w:val="auto"/>
                <w:spacing w:val="1"/>
                <w:w w:val="99"/>
                <w:sz w:val="24"/>
              </w:rPr>
              <w:t>A02021000</w:t>
            </w:r>
            <w:r>
              <w:rPr>
                <w:rFonts w:hint="eastAsia" w:ascii="宋体" w:hAnsi="宋体" w:cs="Arial"/>
                <w:color w:val="auto"/>
                <w:sz w:val="24"/>
                <w:shd w:val="clear" w:color="auto" w:fill="FFFFFF"/>
              </w:rPr>
              <w:t>打印机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0BF22537">
            <w:pPr>
              <w:jc w:val="center"/>
              <w:rPr>
                <w:rFonts w:ascii="宋体" w:hAnsi="宋体"/>
                <w:color w:val="auto"/>
                <w:sz w:val="24"/>
              </w:rPr>
            </w:pPr>
            <w:r>
              <w:rPr>
                <w:rFonts w:hint="eastAsia" w:ascii="宋体" w:hAnsi="宋体"/>
                <w:color w:val="auto"/>
                <w:sz w:val="24"/>
              </w:rPr>
              <w:t>A02021001 A3黑白打印机</w:t>
            </w:r>
          </w:p>
        </w:tc>
        <w:tc>
          <w:tcPr>
            <w:tcW w:w="4287" w:type="dxa"/>
            <w:tcBorders>
              <w:top w:val="single" w:color="000000" w:sz="4" w:space="0"/>
              <w:left w:val="single" w:color="000000" w:sz="4" w:space="0"/>
              <w:bottom w:val="single" w:color="000000" w:sz="4" w:space="0"/>
              <w:right w:val="single" w:color="000000" w:sz="4" w:space="0"/>
            </w:tcBorders>
          </w:tcPr>
          <w:p w14:paraId="6CAEA6D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3455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241F6BD">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562DBAA8">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4F1203D4">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0CD17A88">
            <w:pPr>
              <w:jc w:val="center"/>
              <w:rPr>
                <w:rFonts w:ascii="宋体" w:hAnsi="宋体"/>
                <w:color w:val="auto"/>
                <w:sz w:val="24"/>
              </w:rPr>
            </w:pPr>
            <w:r>
              <w:rPr>
                <w:rFonts w:hint="eastAsia" w:ascii="宋体" w:hAnsi="宋体"/>
                <w:color w:val="auto"/>
                <w:sz w:val="24"/>
              </w:rPr>
              <w:t>A02021002 A3彩色打印机</w:t>
            </w:r>
          </w:p>
        </w:tc>
        <w:tc>
          <w:tcPr>
            <w:tcW w:w="4287" w:type="dxa"/>
            <w:tcBorders>
              <w:top w:val="single" w:color="000000" w:sz="4" w:space="0"/>
              <w:left w:val="single" w:color="000000" w:sz="4" w:space="0"/>
              <w:bottom w:val="single" w:color="000000" w:sz="4" w:space="0"/>
              <w:right w:val="single" w:color="000000" w:sz="4" w:space="0"/>
            </w:tcBorders>
          </w:tcPr>
          <w:p w14:paraId="48A5614F">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3E0A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E5A720E">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0BA33D5C">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61A69685">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64C1B67D">
            <w:pPr>
              <w:jc w:val="center"/>
              <w:rPr>
                <w:rFonts w:ascii="宋体" w:hAnsi="宋体"/>
                <w:color w:val="auto"/>
                <w:sz w:val="24"/>
              </w:rPr>
            </w:pPr>
            <w:r>
              <w:rPr>
                <w:rFonts w:hint="eastAsia" w:ascii="宋体" w:hAnsi="宋体"/>
                <w:color w:val="auto"/>
                <w:sz w:val="24"/>
              </w:rPr>
              <w:t>A02021003 A4黑白打印机</w:t>
            </w:r>
          </w:p>
        </w:tc>
        <w:tc>
          <w:tcPr>
            <w:tcW w:w="4287" w:type="dxa"/>
            <w:tcBorders>
              <w:top w:val="single" w:color="000000" w:sz="4" w:space="0"/>
              <w:left w:val="single" w:color="000000" w:sz="4" w:space="0"/>
              <w:bottom w:val="single" w:color="000000" w:sz="4" w:space="0"/>
              <w:right w:val="single" w:color="000000" w:sz="4" w:space="0"/>
            </w:tcBorders>
          </w:tcPr>
          <w:p w14:paraId="37D11C9C">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5DC5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4723FEDB">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3C818886">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32BC8BD1">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39A12831">
            <w:pPr>
              <w:jc w:val="center"/>
              <w:rPr>
                <w:rFonts w:ascii="宋体" w:hAnsi="宋体"/>
                <w:color w:val="auto"/>
                <w:sz w:val="24"/>
              </w:rPr>
            </w:pPr>
            <w:r>
              <w:rPr>
                <w:rFonts w:hint="eastAsia" w:ascii="宋体" w:hAnsi="宋体"/>
                <w:color w:val="auto"/>
                <w:sz w:val="24"/>
              </w:rPr>
              <w:t>A02021004 A4彩色打印机</w:t>
            </w:r>
          </w:p>
        </w:tc>
        <w:tc>
          <w:tcPr>
            <w:tcW w:w="4287" w:type="dxa"/>
            <w:tcBorders>
              <w:top w:val="single" w:color="000000" w:sz="4" w:space="0"/>
              <w:left w:val="single" w:color="000000" w:sz="4" w:space="0"/>
              <w:bottom w:val="single" w:color="000000" w:sz="4" w:space="0"/>
              <w:right w:val="single" w:color="000000" w:sz="4" w:space="0"/>
            </w:tcBorders>
          </w:tcPr>
          <w:p w14:paraId="6CEA35B4">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1166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4F23F7F4">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7FA71A33">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4300821D">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3A3E86FD">
            <w:pPr>
              <w:jc w:val="center"/>
              <w:rPr>
                <w:rFonts w:ascii="宋体" w:hAnsi="宋体"/>
                <w:color w:val="auto"/>
                <w:sz w:val="24"/>
              </w:rPr>
            </w:pPr>
            <w:r>
              <w:rPr>
                <w:rFonts w:hint="eastAsia" w:ascii="宋体" w:hAnsi="宋体"/>
                <w:color w:val="auto"/>
                <w:sz w:val="24"/>
              </w:rPr>
              <w:t>A02021005 3D打印机</w:t>
            </w:r>
          </w:p>
        </w:tc>
        <w:tc>
          <w:tcPr>
            <w:tcW w:w="4287" w:type="dxa"/>
            <w:tcBorders>
              <w:top w:val="single" w:color="000000" w:sz="4" w:space="0"/>
              <w:left w:val="single" w:color="000000" w:sz="4" w:space="0"/>
              <w:bottom w:val="single" w:color="000000" w:sz="4" w:space="0"/>
              <w:right w:val="single" w:color="000000" w:sz="4" w:space="0"/>
            </w:tcBorders>
          </w:tcPr>
          <w:p w14:paraId="7C542C8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00CE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0407A0D1">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61744549">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397C8817">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6FE8857B">
            <w:pPr>
              <w:jc w:val="center"/>
              <w:rPr>
                <w:rFonts w:ascii="宋体" w:hAnsi="宋体"/>
                <w:color w:val="auto"/>
                <w:sz w:val="24"/>
              </w:rPr>
            </w:pPr>
            <w:r>
              <w:rPr>
                <w:rFonts w:hint="eastAsia" w:ascii="宋体" w:hAnsi="宋体"/>
                <w:color w:val="auto"/>
                <w:sz w:val="24"/>
              </w:rPr>
              <w:t>A02021006票据打印机</w:t>
            </w:r>
          </w:p>
        </w:tc>
        <w:tc>
          <w:tcPr>
            <w:tcW w:w="4287" w:type="dxa"/>
            <w:tcBorders>
              <w:top w:val="single" w:color="000000" w:sz="4" w:space="0"/>
              <w:left w:val="single" w:color="000000" w:sz="4" w:space="0"/>
              <w:bottom w:val="single" w:color="000000" w:sz="4" w:space="0"/>
              <w:right w:val="single" w:color="000000" w:sz="4" w:space="0"/>
            </w:tcBorders>
          </w:tcPr>
          <w:p w14:paraId="2DBCCE32">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6E08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6137ACD3">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414A7DB7">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529A3503">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11B03401">
            <w:pPr>
              <w:jc w:val="center"/>
              <w:rPr>
                <w:rFonts w:ascii="宋体" w:hAnsi="宋体"/>
                <w:color w:val="auto"/>
                <w:sz w:val="24"/>
              </w:rPr>
            </w:pPr>
            <w:r>
              <w:rPr>
                <w:rFonts w:hint="eastAsia" w:ascii="宋体" w:hAnsi="宋体"/>
                <w:color w:val="auto"/>
                <w:sz w:val="24"/>
              </w:rPr>
              <w:t>A02021007条码打印机</w:t>
            </w:r>
          </w:p>
        </w:tc>
        <w:tc>
          <w:tcPr>
            <w:tcW w:w="4287" w:type="dxa"/>
            <w:tcBorders>
              <w:top w:val="single" w:color="000000" w:sz="4" w:space="0"/>
              <w:left w:val="single" w:color="000000" w:sz="4" w:space="0"/>
              <w:bottom w:val="single" w:color="000000" w:sz="4" w:space="0"/>
              <w:right w:val="single" w:color="000000" w:sz="4" w:space="0"/>
            </w:tcBorders>
          </w:tcPr>
          <w:p w14:paraId="0186F6A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19B9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10B698BE">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1C0158D3">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58CDD38E">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5D7C636C">
            <w:pPr>
              <w:jc w:val="center"/>
              <w:rPr>
                <w:rFonts w:ascii="宋体" w:hAnsi="宋体"/>
                <w:color w:val="auto"/>
                <w:sz w:val="24"/>
              </w:rPr>
            </w:pPr>
            <w:r>
              <w:rPr>
                <w:rFonts w:hint="eastAsia" w:ascii="宋体" w:hAnsi="宋体"/>
                <w:color w:val="auto"/>
                <w:sz w:val="24"/>
              </w:rPr>
              <w:t>A02021008地址打印机</w:t>
            </w:r>
          </w:p>
        </w:tc>
        <w:tc>
          <w:tcPr>
            <w:tcW w:w="4287" w:type="dxa"/>
            <w:tcBorders>
              <w:top w:val="single" w:color="000000" w:sz="4" w:space="0"/>
              <w:left w:val="single" w:color="000000" w:sz="4" w:space="0"/>
              <w:bottom w:val="single" w:color="000000" w:sz="4" w:space="0"/>
              <w:right w:val="single" w:color="000000" w:sz="4" w:space="0"/>
            </w:tcBorders>
          </w:tcPr>
          <w:p w14:paraId="59DC22F3">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4DF4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1DF3320C">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40A773B7">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281BDBBB">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4AAA64C5">
            <w:pPr>
              <w:jc w:val="center"/>
              <w:rPr>
                <w:rFonts w:ascii="宋体" w:hAnsi="宋体"/>
                <w:color w:val="auto"/>
                <w:sz w:val="24"/>
              </w:rPr>
            </w:pPr>
            <w:r>
              <w:rPr>
                <w:rFonts w:hint="eastAsia" w:ascii="宋体" w:hAnsi="宋体"/>
                <w:color w:val="auto"/>
                <w:sz w:val="24"/>
              </w:rPr>
              <w:t>A02021099其他打印机</w:t>
            </w:r>
          </w:p>
        </w:tc>
        <w:tc>
          <w:tcPr>
            <w:tcW w:w="4287" w:type="dxa"/>
            <w:tcBorders>
              <w:top w:val="single" w:color="000000" w:sz="4" w:space="0"/>
              <w:left w:val="single" w:color="000000" w:sz="4" w:space="0"/>
              <w:bottom w:val="single" w:color="000000" w:sz="4" w:space="0"/>
              <w:right w:val="single" w:color="000000" w:sz="4" w:space="0"/>
            </w:tcBorders>
          </w:tcPr>
          <w:p w14:paraId="498786F3">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1E67C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47BF01CB">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165B55A7">
            <w:pPr>
              <w:widowControl/>
              <w:jc w:val="left"/>
              <w:rPr>
                <w:rFonts w:ascii="宋体" w:hAnsi="宋体" w:cs="宋体"/>
                <w:color w:val="auto"/>
                <w:sz w:val="24"/>
              </w:rPr>
            </w:pP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65C426BA">
            <w:pPr>
              <w:jc w:val="center"/>
              <w:rPr>
                <w:rFonts w:ascii="宋体" w:hAnsi="宋体"/>
                <w:color w:val="auto"/>
                <w:sz w:val="24"/>
              </w:rPr>
            </w:pPr>
            <w:r>
              <w:rPr>
                <w:rFonts w:hint="eastAsia" w:ascii="宋体" w:hAnsi="宋体"/>
                <w:color w:val="auto"/>
                <w:sz w:val="24"/>
              </w:rPr>
              <w:t>A02021100输入输出设备</w:t>
            </w:r>
          </w:p>
        </w:tc>
        <w:tc>
          <w:tcPr>
            <w:tcW w:w="1488" w:type="dxa"/>
            <w:tcBorders>
              <w:top w:val="single" w:color="000000" w:sz="4" w:space="0"/>
              <w:left w:val="single" w:color="000000" w:sz="4" w:space="0"/>
              <w:bottom w:val="single" w:color="000000" w:sz="4" w:space="0"/>
              <w:right w:val="single" w:color="000000" w:sz="4" w:space="0"/>
            </w:tcBorders>
            <w:vAlign w:val="center"/>
          </w:tcPr>
          <w:p w14:paraId="3FC3787A">
            <w:pPr>
              <w:jc w:val="center"/>
              <w:rPr>
                <w:rFonts w:ascii="宋体" w:hAnsi="宋体"/>
                <w:color w:val="auto"/>
                <w:sz w:val="24"/>
              </w:rPr>
            </w:pPr>
            <w:r>
              <w:rPr>
                <w:rFonts w:hint="eastAsia" w:ascii="宋体" w:hAnsi="宋体" w:cs="宋体"/>
                <w:color w:val="auto"/>
                <w:w w:val="99"/>
                <w:sz w:val="24"/>
              </w:rPr>
              <w:t>★</w:t>
            </w:r>
            <w:r>
              <w:rPr>
                <w:rFonts w:hint="eastAsia" w:ascii="宋体" w:hAnsi="宋体"/>
                <w:color w:val="auto"/>
                <w:sz w:val="24"/>
              </w:rPr>
              <w:t>A02021104液晶显示器</w:t>
            </w:r>
          </w:p>
        </w:tc>
        <w:tc>
          <w:tcPr>
            <w:tcW w:w="4287" w:type="dxa"/>
            <w:tcBorders>
              <w:top w:val="single" w:color="000000" w:sz="4" w:space="0"/>
              <w:left w:val="single" w:color="000000" w:sz="4" w:space="0"/>
              <w:bottom w:val="single" w:color="000000" w:sz="4" w:space="0"/>
              <w:right w:val="single" w:color="000000" w:sz="4" w:space="0"/>
            </w:tcBorders>
            <w:vAlign w:val="center"/>
          </w:tcPr>
          <w:p w14:paraId="0495005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《计算机显示器能效限定值及能效等级》（GB21520）</w:t>
            </w:r>
          </w:p>
        </w:tc>
      </w:tr>
      <w:tr w14:paraId="0C5E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5B9B6213">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23693563">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7AB2E9A6">
            <w:pPr>
              <w:widowControl/>
              <w:jc w:val="left"/>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1BE1B110">
            <w:pPr>
              <w:jc w:val="center"/>
              <w:rPr>
                <w:rFonts w:ascii="宋体" w:hAnsi="宋体"/>
                <w:color w:val="auto"/>
                <w:sz w:val="24"/>
              </w:rPr>
            </w:pPr>
            <w:r>
              <w:rPr>
                <w:rFonts w:hint="eastAsia" w:ascii="宋体" w:hAnsi="宋体"/>
                <w:color w:val="auto"/>
                <w:sz w:val="24"/>
              </w:rPr>
              <w:t>A02021118扫描仪</w:t>
            </w:r>
          </w:p>
        </w:tc>
        <w:tc>
          <w:tcPr>
            <w:tcW w:w="4287" w:type="dxa"/>
            <w:tcBorders>
              <w:top w:val="single" w:color="000000" w:sz="4" w:space="0"/>
              <w:left w:val="single" w:color="000000" w:sz="4" w:space="0"/>
              <w:bottom w:val="single" w:color="000000" w:sz="4" w:space="0"/>
              <w:right w:val="single" w:color="000000" w:sz="4" w:space="0"/>
            </w:tcBorders>
            <w:vAlign w:val="center"/>
          </w:tcPr>
          <w:p w14:paraId="421FA8D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参照《复印机、打印机和传真机能效限定值及能效等级》（GB21521）中打印速度为15页/分的针式打印机相关要求</w:t>
            </w:r>
          </w:p>
        </w:tc>
      </w:tr>
      <w:tr w14:paraId="1130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43D6EA85">
            <w:pPr>
              <w:jc w:val="center"/>
              <w:rPr>
                <w:rFonts w:ascii="宋体" w:hAnsi="宋体"/>
                <w:color w:val="auto"/>
                <w:sz w:val="24"/>
              </w:rPr>
            </w:pPr>
            <w:r>
              <w:rPr>
                <w:rFonts w:hint="eastAsia" w:ascii="宋体" w:hAnsi="宋体"/>
                <w:color w:val="auto"/>
                <w:w w:val="99"/>
                <w:sz w:val="24"/>
              </w:rPr>
              <w:t>3</w:t>
            </w:r>
          </w:p>
        </w:tc>
        <w:tc>
          <w:tcPr>
            <w:tcW w:w="1543" w:type="dxa"/>
            <w:tcBorders>
              <w:top w:val="single" w:color="000000" w:sz="4" w:space="0"/>
              <w:left w:val="single" w:color="000000" w:sz="4" w:space="0"/>
              <w:bottom w:val="single" w:color="000000" w:sz="4" w:space="0"/>
              <w:right w:val="single" w:color="000000" w:sz="4" w:space="0"/>
            </w:tcBorders>
            <w:vAlign w:val="center"/>
          </w:tcPr>
          <w:p w14:paraId="1661979B">
            <w:pPr>
              <w:jc w:val="center"/>
              <w:rPr>
                <w:rFonts w:ascii="宋体" w:hAnsi="宋体"/>
                <w:color w:val="auto"/>
                <w:sz w:val="24"/>
              </w:rPr>
            </w:pPr>
            <w:r>
              <w:rPr>
                <w:rFonts w:hint="eastAsia" w:ascii="宋体" w:hAnsi="宋体"/>
                <w:color w:val="auto"/>
                <w:sz w:val="24"/>
              </w:rPr>
              <w:t>A02020200投影仪</w:t>
            </w:r>
          </w:p>
        </w:tc>
        <w:tc>
          <w:tcPr>
            <w:tcW w:w="1954" w:type="dxa"/>
            <w:tcBorders>
              <w:top w:val="single" w:color="000000" w:sz="4" w:space="0"/>
              <w:left w:val="single" w:color="000000" w:sz="4" w:space="0"/>
              <w:bottom w:val="single" w:color="000000" w:sz="4" w:space="0"/>
              <w:right w:val="single" w:color="000000" w:sz="4" w:space="0"/>
            </w:tcBorders>
            <w:vAlign w:val="center"/>
          </w:tcPr>
          <w:p w14:paraId="755175B3">
            <w:pPr>
              <w:jc w:val="center"/>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5970480C">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vAlign w:val="center"/>
          </w:tcPr>
          <w:p w14:paraId="54F12EAD">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《投影机能效限定值及能效等级》（GB32028）</w:t>
            </w:r>
          </w:p>
        </w:tc>
      </w:tr>
      <w:tr w14:paraId="71F0F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65DEB18D">
            <w:pPr>
              <w:jc w:val="center"/>
              <w:rPr>
                <w:rFonts w:ascii="宋体" w:hAnsi="宋体"/>
                <w:color w:val="auto"/>
                <w:sz w:val="24"/>
              </w:rPr>
            </w:pPr>
            <w:r>
              <w:rPr>
                <w:rFonts w:hint="eastAsia" w:ascii="宋体" w:hAnsi="宋体"/>
                <w:color w:val="auto"/>
                <w:sz w:val="24"/>
              </w:rPr>
              <w:t>4</w:t>
            </w:r>
          </w:p>
        </w:tc>
        <w:tc>
          <w:tcPr>
            <w:tcW w:w="1543" w:type="dxa"/>
            <w:tcBorders>
              <w:top w:val="single" w:color="000000" w:sz="4" w:space="0"/>
              <w:left w:val="single" w:color="000000" w:sz="4" w:space="0"/>
              <w:bottom w:val="single" w:color="000000" w:sz="4" w:space="0"/>
              <w:right w:val="single" w:color="000000" w:sz="4" w:space="0"/>
            </w:tcBorders>
            <w:vAlign w:val="center"/>
          </w:tcPr>
          <w:p w14:paraId="1D88CD79">
            <w:pPr>
              <w:pStyle w:val="63"/>
              <w:spacing w:before="66"/>
              <w:ind w:left="7"/>
              <w:jc w:val="center"/>
              <w:rPr>
                <w:rFonts w:ascii="宋体" w:hAnsi="宋体" w:cs="宋体"/>
                <w:color w:val="auto"/>
                <w:kern w:val="2"/>
                <w:sz w:val="24"/>
                <w:szCs w:val="24"/>
              </w:rPr>
            </w:pPr>
            <w:r>
              <w:rPr>
                <w:rFonts w:hint="eastAsia" w:ascii="宋体" w:hAnsi="宋体" w:cs="仿宋_GB2312"/>
                <w:color w:val="auto"/>
                <w:kern w:val="2"/>
                <w:sz w:val="24"/>
                <w:szCs w:val="24"/>
              </w:rPr>
              <w:t>A02020400</w:t>
            </w:r>
            <w:r>
              <w:rPr>
                <w:rFonts w:hint="eastAsia" w:ascii="宋体" w:hAnsi="宋体" w:cs="宋体"/>
                <w:color w:val="auto"/>
                <w:w w:val="99"/>
                <w:kern w:val="2"/>
                <w:sz w:val="24"/>
                <w:szCs w:val="24"/>
              </w:rPr>
              <w:t>多功能一体机</w:t>
            </w:r>
          </w:p>
        </w:tc>
        <w:tc>
          <w:tcPr>
            <w:tcW w:w="1954" w:type="dxa"/>
            <w:tcBorders>
              <w:top w:val="single" w:color="000000" w:sz="4" w:space="0"/>
              <w:left w:val="single" w:color="000000" w:sz="4" w:space="0"/>
              <w:bottom w:val="single" w:color="000000" w:sz="4" w:space="0"/>
              <w:right w:val="single" w:color="000000" w:sz="4" w:space="0"/>
            </w:tcBorders>
            <w:vAlign w:val="center"/>
          </w:tcPr>
          <w:p w14:paraId="5AEC8A1E">
            <w:pPr>
              <w:jc w:val="center"/>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537AC992">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vAlign w:val="center"/>
          </w:tcPr>
          <w:p w14:paraId="3EA8D11F">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《复印机、打印机和传真机能效限定值及能效等级》（GB21521）</w:t>
            </w:r>
          </w:p>
        </w:tc>
      </w:tr>
      <w:tr w14:paraId="7DE3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E90A4E9">
            <w:pPr>
              <w:pStyle w:val="63"/>
              <w:spacing w:before="160"/>
              <w:ind w:right="1"/>
              <w:jc w:val="center"/>
              <w:rPr>
                <w:rFonts w:ascii="宋体" w:hAnsi="宋体" w:cs="宋体"/>
                <w:color w:val="auto"/>
                <w:kern w:val="2"/>
                <w:sz w:val="24"/>
                <w:szCs w:val="24"/>
              </w:rPr>
            </w:pPr>
            <w:r>
              <w:rPr>
                <w:rFonts w:hint="eastAsia" w:ascii="宋体" w:hAnsi="宋体"/>
                <w:color w:val="auto"/>
                <w:w w:val="99"/>
                <w:kern w:val="2"/>
                <w:sz w:val="24"/>
                <w:szCs w:val="24"/>
              </w:rPr>
              <w:t>5</w:t>
            </w:r>
          </w:p>
        </w:tc>
        <w:tc>
          <w:tcPr>
            <w:tcW w:w="1543" w:type="dxa"/>
            <w:tcBorders>
              <w:top w:val="single" w:color="000000" w:sz="4" w:space="0"/>
              <w:left w:val="single" w:color="000000" w:sz="4" w:space="0"/>
              <w:bottom w:val="single" w:color="000000" w:sz="4" w:space="0"/>
              <w:right w:val="single" w:color="000000" w:sz="4" w:space="0"/>
            </w:tcBorders>
            <w:vAlign w:val="center"/>
          </w:tcPr>
          <w:p w14:paraId="7A976669">
            <w:pPr>
              <w:pStyle w:val="63"/>
              <w:spacing w:before="160"/>
              <w:ind w:left="7"/>
              <w:jc w:val="center"/>
              <w:rPr>
                <w:rFonts w:ascii="宋体" w:hAnsi="宋体" w:cs="宋体"/>
                <w:color w:val="auto"/>
                <w:kern w:val="2"/>
                <w:sz w:val="24"/>
                <w:szCs w:val="24"/>
              </w:rPr>
            </w:pPr>
            <w:r>
              <w:rPr>
                <w:rFonts w:hint="eastAsia" w:ascii="宋体" w:hAnsi="宋体" w:cs="仿宋_GB2312"/>
                <w:color w:val="auto"/>
                <w:kern w:val="2"/>
                <w:sz w:val="24"/>
                <w:szCs w:val="24"/>
              </w:rPr>
              <w:t>A02051900</w:t>
            </w:r>
            <w:r>
              <w:rPr>
                <w:rFonts w:hint="eastAsia" w:ascii="宋体" w:hAnsi="宋体" w:cs="宋体"/>
                <w:color w:val="auto"/>
                <w:w w:val="99"/>
                <w:kern w:val="2"/>
                <w:sz w:val="24"/>
                <w:szCs w:val="24"/>
              </w:rPr>
              <w:t>泵</w:t>
            </w:r>
          </w:p>
        </w:tc>
        <w:tc>
          <w:tcPr>
            <w:tcW w:w="1954" w:type="dxa"/>
            <w:tcBorders>
              <w:top w:val="single" w:color="000000" w:sz="4" w:space="0"/>
              <w:left w:val="single" w:color="000000" w:sz="4" w:space="0"/>
              <w:bottom w:val="single" w:color="000000" w:sz="4" w:space="0"/>
              <w:right w:val="single" w:color="000000" w:sz="4" w:space="0"/>
            </w:tcBorders>
            <w:vAlign w:val="center"/>
          </w:tcPr>
          <w:p w14:paraId="1460BDC8">
            <w:pPr>
              <w:pStyle w:val="63"/>
              <w:spacing w:before="160"/>
              <w:ind w:left="7"/>
              <w:jc w:val="center"/>
              <w:rPr>
                <w:rFonts w:ascii="宋体" w:hAnsi="宋体" w:cs="宋体"/>
                <w:color w:val="auto"/>
                <w:kern w:val="2"/>
                <w:sz w:val="24"/>
                <w:szCs w:val="24"/>
              </w:rPr>
            </w:pPr>
            <w:r>
              <w:rPr>
                <w:rFonts w:hint="eastAsia" w:ascii="宋体" w:hAnsi="宋体" w:cs="宋体"/>
                <w:color w:val="auto"/>
                <w:spacing w:val="1"/>
                <w:w w:val="99"/>
                <w:kern w:val="2"/>
                <w:sz w:val="24"/>
                <w:szCs w:val="24"/>
              </w:rPr>
              <w:t>A02</w:t>
            </w:r>
            <w:r>
              <w:rPr>
                <w:rFonts w:hint="eastAsia" w:ascii="宋体" w:hAnsi="宋体" w:cs="宋体"/>
                <w:color w:val="auto"/>
                <w:w w:val="99"/>
                <w:kern w:val="2"/>
                <w:sz w:val="24"/>
                <w:szCs w:val="24"/>
              </w:rPr>
              <w:t>05</w:t>
            </w:r>
            <w:r>
              <w:rPr>
                <w:rFonts w:hint="eastAsia" w:ascii="宋体" w:hAnsi="宋体" w:cs="宋体"/>
                <w:color w:val="auto"/>
                <w:spacing w:val="1"/>
                <w:w w:val="99"/>
                <w:kern w:val="2"/>
                <w:sz w:val="24"/>
                <w:szCs w:val="24"/>
              </w:rPr>
              <w:t>1</w:t>
            </w:r>
            <w:r>
              <w:rPr>
                <w:rFonts w:hint="eastAsia" w:ascii="宋体" w:hAnsi="宋体" w:cs="宋体"/>
                <w:color w:val="auto"/>
                <w:w w:val="99"/>
                <w:kern w:val="2"/>
                <w:sz w:val="24"/>
                <w:szCs w:val="24"/>
              </w:rPr>
              <w:t>901离心泵</w:t>
            </w:r>
          </w:p>
        </w:tc>
        <w:tc>
          <w:tcPr>
            <w:tcW w:w="1488" w:type="dxa"/>
            <w:tcBorders>
              <w:top w:val="single" w:color="000000" w:sz="4" w:space="0"/>
              <w:left w:val="single" w:color="000000" w:sz="4" w:space="0"/>
              <w:bottom w:val="single" w:color="000000" w:sz="4" w:space="0"/>
              <w:right w:val="single" w:color="000000" w:sz="4" w:space="0"/>
            </w:tcBorders>
            <w:vAlign w:val="center"/>
          </w:tcPr>
          <w:p w14:paraId="48F1C914">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23919C2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《清水离心泵能效限定值及节能评价值》（GB19762）</w:t>
            </w:r>
          </w:p>
        </w:tc>
      </w:tr>
      <w:tr w14:paraId="28CE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71067A98">
            <w:pPr>
              <w:jc w:val="center"/>
              <w:rPr>
                <w:rFonts w:ascii="宋体" w:hAnsi="宋体"/>
                <w:color w:val="auto"/>
                <w:sz w:val="24"/>
              </w:rPr>
            </w:pPr>
            <w:r>
              <w:rPr>
                <w:rFonts w:hint="eastAsia" w:ascii="宋体" w:hAnsi="宋体"/>
                <w:color w:val="auto"/>
                <w:sz w:val="24"/>
              </w:rPr>
              <w:t>6</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7663B13C">
            <w:pPr>
              <w:pStyle w:val="63"/>
              <w:jc w:val="center"/>
              <w:rPr>
                <w:rFonts w:ascii="宋体" w:hAnsi="宋体" w:cs="宋体"/>
                <w:color w:val="auto"/>
                <w:kern w:val="2"/>
                <w:sz w:val="24"/>
                <w:szCs w:val="24"/>
              </w:rPr>
            </w:pPr>
            <w:r>
              <w:rPr>
                <w:rFonts w:hint="eastAsia" w:ascii="宋体" w:hAnsi="宋体" w:cs="仿宋_GB2312"/>
                <w:color w:val="auto"/>
                <w:kern w:val="2"/>
                <w:sz w:val="24"/>
                <w:szCs w:val="24"/>
              </w:rPr>
              <w:t>A02052300</w:t>
            </w:r>
            <w:r>
              <w:rPr>
                <w:rFonts w:hint="eastAsia" w:ascii="宋体" w:hAnsi="宋体" w:cs="宋体"/>
                <w:color w:val="auto"/>
                <w:w w:val="99"/>
                <w:kern w:val="2"/>
                <w:sz w:val="24"/>
                <w:szCs w:val="24"/>
              </w:rPr>
              <w:t>制冷空调设备</w:t>
            </w: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45F29CEC">
            <w:pPr>
              <w:pStyle w:val="63"/>
              <w:spacing w:line="276" w:lineRule="auto"/>
              <w:ind w:right="5"/>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宋体"/>
                <w:color w:val="auto"/>
                <w:spacing w:val="1"/>
                <w:w w:val="99"/>
                <w:kern w:val="2"/>
                <w:sz w:val="24"/>
                <w:szCs w:val="24"/>
              </w:rPr>
              <w:t>A020</w:t>
            </w:r>
            <w:r>
              <w:rPr>
                <w:rFonts w:hint="eastAsia" w:ascii="宋体" w:hAnsi="宋体" w:cs="宋体"/>
                <w:color w:val="auto"/>
                <w:w w:val="99"/>
                <w:kern w:val="2"/>
                <w:sz w:val="24"/>
                <w:szCs w:val="24"/>
              </w:rPr>
              <w:t>52</w:t>
            </w:r>
            <w:r>
              <w:rPr>
                <w:rFonts w:hint="eastAsia" w:ascii="宋体" w:hAnsi="宋体" w:cs="宋体"/>
                <w:color w:val="auto"/>
                <w:spacing w:val="1"/>
                <w:w w:val="99"/>
                <w:kern w:val="2"/>
                <w:sz w:val="24"/>
                <w:szCs w:val="24"/>
              </w:rPr>
              <w:t>3</w:t>
            </w:r>
            <w:r>
              <w:rPr>
                <w:rFonts w:hint="eastAsia" w:ascii="宋体" w:hAnsi="宋体" w:cs="宋体"/>
                <w:color w:val="auto"/>
                <w:w w:val="99"/>
                <w:kern w:val="2"/>
                <w:sz w:val="24"/>
                <w:szCs w:val="24"/>
              </w:rPr>
              <w:t>01制冷压缩机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1B3D301D">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冷水机组</w:t>
            </w:r>
          </w:p>
        </w:tc>
        <w:tc>
          <w:tcPr>
            <w:tcW w:w="4287" w:type="dxa"/>
            <w:tcBorders>
              <w:top w:val="single" w:color="000000" w:sz="4" w:space="0"/>
              <w:left w:val="single" w:color="000000" w:sz="4" w:space="0"/>
              <w:bottom w:val="single" w:color="000000" w:sz="4" w:space="0"/>
              <w:right w:val="single" w:color="000000" w:sz="4" w:space="0"/>
            </w:tcBorders>
          </w:tcPr>
          <w:p w14:paraId="0FA4BBEC">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《冷水机组能效限定值及能效等级》（GB19577），《低环境温度空气源热泵（冷水）机组能效限定值及能效等级》（GB37480）</w:t>
            </w:r>
          </w:p>
        </w:tc>
      </w:tr>
      <w:tr w14:paraId="2AA8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62C38993">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61D0C8CF">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1295F860">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28C30FA9">
            <w:pPr>
              <w:jc w:val="center"/>
              <w:rPr>
                <w:rFonts w:ascii="宋体" w:hAnsi="宋体"/>
                <w:color w:val="auto"/>
                <w:sz w:val="24"/>
              </w:rPr>
            </w:pPr>
            <w:r>
              <w:rPr>
                <w:rFonts w:hint="eastAsia" w:ascii="宋体" w:hAnsi="宋体"/>
                <w:color w:val="auto"/>
                <w:sz w:val="24"/>
              </w:rPr>
              <w:t>溴化锂吸收式冷水机组</w:t>
            </w:r>
          </w:p>
        </w:tc>
        <w:tc>
          <w:tcPr>
            <w:tcW w:w="4287" w:type="dxa"/>
            <w:tcBorders>
              <w:top w:val="single" w:color="000000" w:sz="4" w:space="0"/>
              <w:left w:val="single" w:color="000000" w:sz="4" w:space="0"/>
              <w:bottom w:val="single" w:color="000000" w:sz="4" w:space="0"/>
              <w:right w:val="single" w:color="000000" w:sz="4" w:space="0"/>
            </w:tcBorders>
            <w:vAlign w:val="center"/>
          </w:tcPr>
          <w:p w14:paraId="7CED68D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《溴化锂吸收式冷水机组能效限</w:t>
            </w:r>
          </w:p>
          <w:p w14:paraId="70A172B8">
            <w:pPr>
              <w:spacing w:before="131" w:line="276" w:lineRule="auto"/>
              <w:ind w:right="4"/>
              <w:rPr>
                <w:rFonts w:ascii="宋体" w:hAnsi="宋体" w:cs="宋体"/>
                <w:color w:val="auto"/>
                <w:spacing w:val="10"/>
                <w:sz w:val="24"/>
              </w:rPr>
            </w:pPr>
            <w:r>
              <w:rPr>
                <w:rFonts w:hint="eastAsia" w:ascii="宋体" w:hAnsi="宋体" w:cs="宋体"/>
                <w:color w:val="auto"/>
                <w:spacing w:val="10"/>
                <w:sz w:val="24"/>
              </w:rPr>
              <w:t>定值及能效等级》（GB29540）</w:t>
            </w:r>
          </w:p>
        </w:tc>
      </w:tr>
      <w:tr w14:paraId="42E4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1585B65">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44D471F5">
            <w:pPr>
              <w:widowControl/>
              <w:jc w:val="left"/>
              <w:rPr>
                <w:rFonts w:ascii="宋体" w:hAnsi="宋体" w:cs="宋体"/>
                <w:color w:val="auto"/>
                <w:sz w:val="24"/>
              </w:rPr>
            </w:pP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0188137A">
            <w:pPr>
              <w:pStyle w:val="63"/>
              <w:spacing w:line="276" w:lineRule="auto"/>
              <w:ind w:right="5"/>
              <w:jc w:val="center"/>
              <w:rPr>
                <w:rFonts w:ascii="宋体" w:hAnsi="宋体" w:cs="宋体"/>
                <w:color w:val="auto"/>
                <w:kern w:val="2"/>
                <w:sz w:val="24"/>
                <w:szCs w:val="24"/>
              </w:rPr>
            </w:pPr>
            <w:r>
              <w:rPr>
                <w:rFonts w:hint="eastAsia" w:ascii="宋体" w:hAnsi="宋体" w:cs="宋体"/>
                <w:color w:val="auto"/>
                <w:w w:val="99"/>
                <w:kern w:val="2"/>
                <w:sz w:val="24"/>
                <w:szCs w:val="24"/>
              </w:rPr>
              <w:t>★A02052305空调机组</w:t>
            </w:r>
          </w:p>
        </w:tc>
        <w:tc>
          <w:tcPr>
            <w:tcW w:w="1488" w:type="dxa"/>
            <w:tcBorders>
              <w:top w:val="single" w:color="000000" w:sz="4" w:space="0"/>
              <w:left w:val="single" w:color="000000" w:sz="4" w:space="0"/>
              <w:bottom w:val="single" w:color="000000" w:sz="4" w:space="0"/>
              <w:right w:val="single" w:color="000000" w:sz="4" w:space="0"/>
            </w:tcBorders>
            <w:vAlign w:val="center"/>
          </w:tcPr>
          <w:p w14:paraId="236A031F">
            <w:pPr>
              <w:pStyle w:val="63"/>
              <w:spacing w:before="4" w:line="276" w:lineRule="auto"/>
              <w:ind w:left="7" w:right="7"/>
              <w:jc w:val="center"/>
              <w:rPr>
                <w:rFonts w:ascii="宋体" w:hAnsi="宋体" w:cs="宋体"/>
                <w:color w:val="auto"/>
                <w:w w:val="99"/>
                <w:kern w:val="2"/>
                <w:sz w:val="24"/>
                <w:szCs w:val="24"/>
                <w:lang w:eastAsia="zh-CN"/>
              </w:rPr>
            </w:pPr>
            <w:r>
              <w:rPr>
                <w:rFonts w:hint="eastAsia" w:ascii="宋体" w:hAnsi="宋体" w:cs="宋体"/>
                <w:color w:val="auto"/>
                <w:w w:val="99"/>
                <w:kern w:val="2"/>
                <w:sz w:val="24"/>
                <w:szCs w:val="24"/>
                <w:lang w:eastAsia="zh-CN"/>
              </w:rPr>
              <w:t>多联式空调（热泵）机组（制冷量&gt;14000W）</w:t>
            </w:r>
          </w:p>
        </w:tc>
        <w:tc>
          <w:tcPr>
            <w:tcW w:w="4287" w:type="dxa"/>
            <w:tcBorders>
              <w:top w:val="single" w:color="000000" w:sz="4" w:space="0"/>
              <w:left w:val="single" w:color="000000" w:sz="4" w:space="0"/>
              <w:bottom w:val="single" w:color="000000" w:sz="4" w:space="0"/>
              <w:right w:val="single" w:color="000000" w:sz="4" w:space="0"/>
            </w:tcBorders>
          </w:tcPr>
          <w:p w14:paraId="466249C0">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《多联式空调（热泵）机组能效限定值及能源效率等级》（GB21454）</w:t>
            </w:r>
          </w:p>
        </w:tc>
      </w:tr>
      <w:tr w14:paraId="245D2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7C384A88">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5095565B">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76615F69">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12B61B5C">
            <w:pPr>
              <w:jc w:val="center"/>
              <w:rPr>
                <w:rFonts w:ascii="宋体" w:hAnsi="宋体"/>
                <w:color w:val="auto"/>
                <w:sz w:val="24"/>
              </w:rPr>
            </w:pPr>
            <w:r>
              <w:rPr>
                <w:rFonts w:hint="eastAsia" w:ascii="宋体" w:hAnsi="宋体" w:cs="宋体"/>
                <w:color w:val="auto"/>
                <w:w w:val="99"/>
                <w:sz w:val="24"/>
              </w:rPr>
              <w:t>单元式空气调节机</w:t>
            </w:r>
          </w:p>
        </w:tc>
        <w:tc>
          <w:tcPr>
            <w:tcW w:w="4287" w:type="dxa"/>
            <w:tcBorders>
              <w:top w:val="single" w:color="000000" w:sz="4" w:space="0"/>
              <w:left w:val="single" w:color="000000" w:sz="4" w:space="0"/>
              <w:bottom w:val="single" w:color="000000" w:sz="4" w:space="0"/>
              <w:right w:val="single" w:color="000000" w:sz="4" w:space="0"/>
            </w:tcBorders>
          </w:tcPr>
          <w:p w14:paraId="75C261BA">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《单元式空气调节机能效限定值及能效等级》（GB19576）《风管送风式空调机组能效限定值及能效等级》（GB37479）</w:t>
            </w:r>
          </w:p>
        </w:tc>
      </w:tr>
      <w:tr w14:paraId="7836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1F25B818">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70AAF560">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5D44B909">
            <w:pPr>
              <w:pStyle w:val="63"/>
              <w:spacing w:before="83"/>
              <w:ind w:left="7"/>
              <w:jc w:val="center"/>
              <w:rPr>
                <w:rFonts w:ascii="宋体" w:hAnsi="宋体" w:cs="宋体"/>
                <w:color w:val="auto"/>
                <w:w w:val="99"/>
                <w:kern w:val="2"/>
                <w:sz w:val="24"/>
                <w:szCs w:val="24"/>
                <w:lang w:eastAsia="zh-CN"/>
              </w:rPr>
            </w:pPr>
            <w:r>
              <w:rPr>
                <w:rFonts w:hint="eastAsia" w:ascii="宋体" w:hAnsi="宋体" w:cs="宋体"/>
                <w:color w:val="auto"/>
                <w:w w:val="99"/>
                <w:kern w:val="2"/>
                <w:sz w:val="24"/>
                <w:szCs w:val="24"/>
                <w:lang w:eastAsia="zh-CN"/>
              </w:rPr>
              <w:t>★A02052309专用制冷、空调设备</w:t>
            </w:r>
          </w:p>
        </w:tc>
        <w:tc>
          <w:tcPr>
            <w:tcW w:w="1488" w:type="dxa"/>
            <w:tcBorders>
              <w:top w:val="single" w:color="000000" w:sz="4" w:space="0"/>
              <w:left w:val="single" w:color="000000" w:sz="4" w:space="0"/>
              <w:bottom w:val="single" w:color="000000" w:sz="4" w:space="0"/>
              <w:right w:val="single" w:color="000000" w:sz="4" w:space="0"/>
            </w:tcBorders>
            <w:vAlign w:val="center"/>
          </w:tcPr>
          <w:p w14:paraId="597BEEC3">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机房空调</w:t>
            </w:r>
          </w:p>
        </w:tc>
        <w:tc>
          <w:tcPr>
            <w:tcW w:w="4287" w:type="dxa"/>
            <w:tcBorders>
              <w:top w:val="single" w:color="000000" w:sz="4" w:space="0"/>
              <w:left w:val="single" w:color="000000" w:sz="4" w:space="0"/>
              <w:bottom w:val="single" w:color="000000" w:sz="4" w:space="0"/>
              <w:right w:val="single" w:color="000000" w:sz="4" w:space="0"/>
            </w:tcBorders>
          </w:tcPr>
          <w:p w14:paraId="1445DC6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《单元式空气调节机能效限定值</w:t>
            </w:r>
          </w:p>
          <w:p w14:paraId="443EE14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及能效等级》（GB19576）</w:t>
            </w:r>
          </w:p>
        </w:tc>
      </w:tr>
      <w:tr w14:paraId="0FB0F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6B9AE93">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3E6279A9">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0727B116">
            <w:pPr>
              <w:pStyle w:val="63"/>
              <w:spacing w:line="254" w:lineRule="exact"/>
              <w:ind w:left="7"/>
              <w:jc w:val="center"/>
              <w:rPr>
                <w:rFonts w:ascii="宋体" w:hAnsi="宋体" w:cs="宋体"/>
                <w:color w:val="auto"/>
                <w:w w:val="99"/>
                <w:kern w:val="2"/>
                <w:sz w:val="24"/>
                <w:szCs w:val="24"/>
              </w:rPr>
            </w:pPr>
            <w:r>
              <w:rPr>
                <w:rFonts w:hint="eastAsia" w:ascii="宋体" w:hAnsi="宋体" w:cs="宋体"/>
                <w:color w:val="auto"/>
                <w:w w:val="99"/>
                <w:kern w:val="2"/>
                <w:sz w:val="24"/>
                <w:szCs w:val="24"/>
              </w:rPr>
              <w:t>A02052399其他制冷</w:t>
            </w:r>
          </w:p>
          <w:p w14:paraId="028A95F1">
            <w:pPr>
              <w:pStyle w:val="63"/>
              <w:spacing w:line="254" w:lineRule="exact"/>
              <w:ind w:left="7"/>
              <w:jc w:val="center"/>
              <w:rPr>
                <w:rFonts w:ascii="宋体" w:hAnsi="宋体" w:cs="宋体"/>
                <w:color w:val="auto"/>
                <w:kern w:val="2"/>
                <w:sz w:val="24"/>
                <w:szCs w:val="24"/>
              </w:rPr>
            </w:pPr>
            <w:r>
              <w:rPr>
                <w:rFonts w:hint="eastAsia" w:ascii="宋体" w:hAnsi="宋体" w:cs="宋体"/>
                <w:color w:val="auto"/>
                <w:w w:val="99"/>
                <w:kern w:val="2"/>
                <w:sz w:val="24"/>
                <w:szCs w:val="24"/>
              </w:rPr>
              <w:t>空调设备</w:t>
            </w:r>
          </w:p>
        </w:tc>
        <w:tc>
          <w:tcPr>
            <w:tcW w:w="1488" w:type="dxa"/>
            <w:tcBorders>
              <w:top w:val="single" w:color="000000" w:sz="4" w:space="0"/>
              <w:left w:val="single" w:color="000000" w:sz="4" w:space="0"/>
              <w:bottom w:val="single" w:color="000000" w:sz="4" w:space="0"/>
              <w:right w:val="single" w:color="000000" w:sz="4" w:space="0"/>
            </w:tcBorders>
            <w:vAlign w:val="center"/>
          </w:tcPr>
          <w:p w14:paraId="376037FD">
            <w:pPr>
              <w:widowControl/>
              <w:jc w:val="center"/>
              <w:rPr>
                <w:rFonts w:ascii="宋体" w:hAnsi="宋体" w:cs="宋体"/>
                <w:color w:val="auto"/>
                <w:sz w:val="24"/>
                <w:lang w:eastAsia="en-US"/>
              </w:rPr>
            </w:pPr>
            <w:r>
              <w:rPr>
                <w:rFonts w:hint="eastAsia" w:ascii="宋体" w:hAnsi="宋体" w:cs="宋体"/>
                <w:color w:val="auto"/>
                <w:w w:val="99"/>
                <w:sz w:val="24"/>
              </w:rPr>
              <w:t>冷却塔</w:t>
            </w:r>
          </w:p>
        </w:tc>
        <w:tc>
          <w:tcPr>
            <w:tcW w:w="4287" w:type="dxa"/>
            <w:tcBorders>
              <w:top w:val="single" w:color="000000" w:sz="4" w:space="0"/>
              <w:left w:val="single" w:color="000000" w:sz="4" w:space="0"/>
              <w:bottom w:val="single" w:color="000000" w:sz="4" w:space="0"/>
              <w:right w:val="single" w:color="000000" w:sz="4" w:space="0"/>
            </w:tcBorders>
          </w:tcPr>
          <w:p w14:paraId="7592337A">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《机械通风冷却塔第1部分：中小型开式冷却塔》（GB/T7190.1）</w:t>
            </w:r>
          </w:p>
          <w:p w14:paraId="3E0A820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《机械通风冷却塔第2部分：大型开式冷却塔》（GB/T7190.2）</w:t>
            </w:r>
          </w:p>
        </w:tc>
      </w:tr>
      <w:tr w14:paraId="0B43A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41F5616D">
            <w:pPr>
              <w:pStyle w:val="63"/>
              <w:ind w:right="1"/>
              <w:jc w:val="center"/>
              <w:rPr>
                <w:rFonts w:ascii="宋体" w:hAnsi="宋体" w:cs="宋体"/>
                <w:color w:val="auto"/>
                <w:kern w:val="2"/>
                <w:sz w:val="24"/>
                <w:szCs w:val="24"/>
              </w:rPr>
            </w:pPr>
            <w:r>
              <w:rPr>
                <w:rFonts w:hint="eastAsia" w:ascii="宋体" w:hAnsi="宋体"/>
                <w:color w:val="auto"/>
                <w:w w:val="99"/>
                <w:kern w:val="2"/>
                <w:sz w:val="24"/>
                <w:szCs w:val="24"/>
              </w:rPr>
              <w:t>7</w:t>
            </w:r>
          </w:p>
        </w:tc>
        <w:tc>
          <w:tcPr>
            <w:tcW w:w="1543" w:type="dxa"/>
            <w:tcBorders>
              <w:top w:val="single" w:color="000000" w:sz="4" w:space="0"/>
              <w:left w:val="single" w:color="000000" w:sz="4" w:space="0"/>
              <w:bottom w:val="single" w:color="000000" w:sz="4" w:space="0"/>
              <w:right w:val="single" w:color="000000" w:sz="4" w:space="0"/>
            </w:tcBorders>
            <w:vAlign w:val="center"/>
          </w:tcPr>
          <w:p w14:paraId="05AAD4F2">
            <w:pPr>
              <w:pStyle w:val="63"/>
              <w:jc w:val="center"/>
              <w:rPr>
                <w:rFonts w:ascii="宋体" w:hAnsi="宋体" w:cs="宋体"/>
                <w:color w:val="auto"/>
                <w:kern w:val="2"/>
                <w:sz w:val="24"/>
                <w:szCs w:val="24"/>
              </w:rPr>
            </w:pPr>
            <w:r>
              <w:rPr>
                <w:rFonts w:hint="eastAsia" w:ascii="宋体" w:hAnsi="宋体" w:cs="仿宋_GB2312"/>
                <w:color w:val="auto"/>
                <w:kern w:val="2"/>
                <w:sz w:val="24"/>
                <w:szCs w:val="24"/>
              </w:rPr>
              <w:t>A02060100</w:t>
            </w:r>
            <w:r>
              <w:rPr>
                <w:rFonts w:hint="eastAsia" w:ascii="宋体" w:hAnsi="宋体" w:cs="宋体"/>
                <w:color w:val="auto"/>
                <w:w w:val="99"/>
                <w:kern w:val="2"/>
                <w:sz w:val="24"/>
                <w:szCs w:val="24"/>
              </w:rPr>
              <w:t>电机</w:t>
            </w:r>
          </w:p>
        </w:tc>
        <w:tc>
          <w:tcPr>
            <w:tcW w:w="1954" w:type="dxa"/>
            <w:tcBorders>
              <w:top w:val="single" w:color="000000" w:sz="4" w:space="0"/>
              <w:left w:val="single" w:color="000000" w:sz="4" w:space="0"/>
              <w:bottom w:val="single" w:color="000000" w:sz="4" w:space="0"/>
              <w:right w:val="single" w:color="000000" w:sz="4" w:space="0"/>
            </w:tcBorders>
            <w:vAlign w:val="center"/>
          </w:tcPr>
          <w:p w14:paraId="79182023">
            <w:pPr>
              <w:jc w:val="center"/>
              <w:rPr>
                <w:rFonts w:ascii="宋体" w:hAnsi="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7675D24A">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4F8B9A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《中小型三相异步电动机能效限定值及能效等级》（GB18613）</w:t>
            </w:r>
          </w:p>
        </w:tc>
      </w:tr>
      <w:tr w14:paraId="1C71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01DF29D2">
            <w:pPr>
              <w:pStyle w:val="63"/>
              <w:ind w:right="1"/>
              <w:jc w:val="center"/>
              <w:rPr>
                <w:rFonts w:ascii="宋体" w:hAnsi="宋体" w:cs="宋体"/>
                <w:color w:val="auto"/>
                <w:kern w:val="2"/>
                <w:sz w:val="24"/>
                <w:szCs w:val="24"/>
              </w:rPr>
            </w:pPr>
            <w:r>
              <w:rPr>
                <w:rFonts w:hint="eastAsia" w:ascii="宋体" w:hAnsi="宋体"/>
                <w:color w:val="auto"/>
                <w:w w:val="99"/>
                <w:kern w:val="2"/>
                <w:sz w:val="24"/>
                <w:szCs w:val="24"/>
              </w:rPr>
              <w:t>8</w:t>
            </w:r>
          </w:p>
        </w:tc>
        <w:tc>
          <w:tcPr>
            <w:tcW w:w="1543" w:type="dxa"/>
            <w:tcBorders>
              <w:top w:val="single" w:color="000000" w:sz="4" w:space="0"/>
              <w:left w:val="single" w:color="000000" w:sz="4" w:space="0"/>
              <w:bottom w:val="single" w:color="000000" w:sz="4" w:space="0"/>
              <w:right w:val="single" w:color="000000" w:sz="4" w:space="0"/>
            </w:tcBorders>
            <w:vAlign w:val="center"/>
          </w:tcPr>
          <w:p w14:paraId="0E492FB0">
            <w:pPr>
              <w:pStyle w:val="63"/>
              <w:spacing w:before="30"/>
              <w:ind w:left="7"/>
              <w:jc w:val="center"/>
              <w:rPr>
                <w:rFonts w:ascii="宋体" w:hAnsi="宋体" w:cs="宋体"/>
                <w:color w:val="auto"/>
                <w:kern w:val="2"/>
                <w:sz w:val="24"/>
                <w:szCs w:val="24"/>
              </w:rPr>
            </w:pPr>
            <w:r>
              <w:rPr>
                <w:rFonts w:hint="eastAsia" w:ascii="宋体" w:hAnsi="宋体" w:cs="仿宋_GB2312"/>
                <w:color w:val="auto"/>
                <w:kern w:val="2"/>
                <w:sz w:val="24"/>
                <w:szCs w:val="24"/>
              </w:rPr>
              <w:t>A02060200</w:t>
            </w:r>
            <w:r>
              <w:rPr>
                <w:rFonts w:hint="eastAsia" w:ascii="宋体" w:hAnsi="宋体" w:cs="宋体"/>
                <w:color w:val="auto"/>
                <w:w w:val="99"/>
                <w:kern w:val="2"/>
                <w:sz w:val="24"/>
                <w:szCs w:val="24"/>
              </w:rPr>
              <w:t>变压</w:t>
            </w:r>
          </w:p>
        </w:tc>
        <w:tc>
          <w:tcPr>
            <w:tcW w:w="1954" w:type="dxa"/>
            <w:tcBorders>
              <w:top w:val="single" w:color="000000" w:sz="4" w:space="0"/>
              <w:left w:val="single" w:color="000000" w:sz="4" w:space="0"/>
              <w:bottom w:val="single" w:color="000000" w:sz="4" w:space="0"/>
              <w:right w:val="single" w:color="000000" w:sz="4" w:space="0"/>
            </w:tcBorders>
            <w:vAlign w:val="center"/>
          </w:tcPr>
          <w:p w14:paraId="23766A4A">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配电变压器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43ADD52C">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AFB70A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《三相配电变压器能效限定值及能效等级》（GB 20052）</w:t>
            </w:r>
          </w:p>
        </w:tc>
      </w:tr>
      <w:tr w14:paraId="0305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E1EB618">
            <w:pPr>
              <w:pStyle w:val="63"/>
              <w:ind w:right="1"/>
              <w:jc w:val="center"/>
              <w:rPr>
                <w:rFonts w:ascii="宋体" w:hAnsi="宋体" w:cs="宋体"/>
                <w:color w:val="auto"/>
                <w:kern w:val="2"/>
                <w:sz w:val="24"/>
                <w:szCs w:val="24"/>
              </w:rPr>
            </w:pPr>
            <w:r>
              <w:rPr>
                <w:rFonts w:hint="eastAsia" w:ascii="宋体" w:hAnsi="宋体"/>
                <w:color w:val="auto"/>
                <w:w w:val="99"/>
                <w:kern w:val="2"/>
                <w:sz w:val="24"/>
                <w:szCs w:val="24"/>
              </w:rPr>
              <w:t>9</w:t>
            </w:r>
          </w:p>
        </w:tc>
        <w:tc>
          <w:tcPr>
            <w:tcW w:w="1543" w:type="dxa"/>
            <w:tcBorders>
              <w:top w:val="single" w:color="000000" w:sz="4" w:space="0"/>
              <w:left w:val="single" w:color="000000" w:sz="4" w:space="0"/>
              <w:bottom w:val="single" w:color="000000" w:sz="4" w:space="0"/>
              <w:right w:val="single" w:color="000000" w:sz="4" w:space="0"/>
            </w:tcBorders>
            <w:vAlign w:val="center"/>
          </w:tcPr>
          <w:p w14:paraId="103B2442">
            <w:pPr>
              <w:pStyle w:val="63"/>
              <w:spacing w:before="126"/>
              <w:ind w:left="7"/>
              <w:jc w:val="center"/>
              <w:rPr>
                <w:rFonts w:ascii="宋体" w:hAnsi="宋体" w:cs="宋体"/>
                <w:color w:val="auto"/>
                <w:kern w:val="2"/>
                <w:sz w:val="24"/>
                <w:szCs w:val="24"/>
              </w:rPr>
            </w:pPr>
            <w:r>
              <w:rPr>
                <w:rFonts w:hint="eastAsia" w:ascii="宋体" w:hAnsi="宋体" w:cs="宋体"/>
                <w:color w:val="auto"/>
                <w:w w:val="99"/>
                <w:kern w:val="2"/>
                <w:sz w:val="24"/>
                <w:szCs w:val="24"/>
              </w:rPr>
              <w:t>★A02060900镇流器</w:t>
            </w:r>
          </w:p>
        </w:tc>
        <w:tc>
          <w:tcPr>
            <w:tcW w:w="1954" w:type="dxa"/>
            <w:tcBorders>
              <w:top w:val="single" w:color="000000" w:sz="4" w:space="0"/>
              <w:left w:val="single" w:color="000000" w:sz="4" w:space="0"/>
              <w:bottom w:val="single" w:color="000000" w:sz="4" w:space="0"/>
              <w:right w:val="single" w:color="000000" w:sz="4" w:space="0"/>
            </w:tcBorders>
            <w:vAlign w:val="center"/>
          </w:tcPr>
          <w:p w14:paraId="48FAD30F">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管型荧光灯镇流器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1A7E38D5">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1C38B04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《管形荧光灯镇流器能效限定值及能效等级》（GB17896）</w:t>
            </w:r>
          </w:p>
        </w:tc>
      </w:tr>
      <w:tr w14:paraId="1058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041C3EAB">
            <w:pPr>
              <w:pStyle w:val="63"/>
              <w:jc w:val="center"/>
              <w:rPr>
                <w:rFonts w:ascii="宋体" w:hAnsi="宋体" w:cs="宋体"/>
                <w:color w:val="auto"/>
                <w:kern w:val="2"/>
                <w:sz w:val="24"/>
                <w:szCs w:val="24"/>
              </w:rPr>
            </w:pPr>
            <w:r>
              <w:rPr>
                <w:rFonts w:hint="eastAsia" w:ascii="宋体" w:hAnsi="宋体"/>
                <w:color w:val="auto"/>
                <w:w w:val="99"/>
                <w:kern w:val="2"/>
                <w:sz w:val="24"/>
                <w:szCs w:val="24"/>
              </w:rPr>
              <w:t>10</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7ABD4041">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A02061800生活用电器</w:t>
            </w:r>
          </w:p>
        </w:tc>
        <w:tc>
          <w:tcPr>
            <w:tcW w:w="1954" w:type="dxa"/>
            <w:tcBorders>
              <w:top w:val="single" w:color="000000" w:sz="4" w:space="0"/>
              <w:left w:val="single" w:color="000000" w:sz="4" w:space="0"/>
              <w:bottom w:val="single" w:color="000000" w:sz="4" w:space="0"/>
              <w:right w:val="single" w:color="000000" w:sz="4" w:space="0"/>
            </w:tcBorders>
            <w:vAlign w:val="center"/>
          </w:tcPr>
          <w:p w14:paraId="2F4FA65B">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A02061801电冰箱</w:t>
            </w:r>
          </w:p>
        </w:tc>
        <w:tc>
          <w:tcPr>
            <w:tcW w:w="1488" w:type="dxa"/>
            <w:tcBorders>
              <w:top w:val="single" w:color="000000" w:sz="4" w:space="0"/>
              <w:left w:val="single" w:color="000000" w:sz="4" w:space="0"/>
              <w:bottom w:val="single" w:color="000000" w:sz="4" w:space="0"/>
              <w:right w:val="single" w:color="000000" w:sz="4" w:space="0"/>
            </w:tcBorders>
            <w:vAlign w:val="center"/>
          </w:tcPr>
          <w:p w14:paraId="7D3980C6">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874E58F">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《家用电冰箱耗电量限定值及能效等级》（GB12021.2）</w:t>
            </w:r>
          </w:p>
        </w:tc>
      </w:tr>
      <w:tr w14:paraId="2BB2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2DC16C36">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3ABD4923">
            <w:pPr>
              <w:widowControl/>
              <w:jc w:val="left"/>
              <w:rPr>
                <w:rFonts w:ascii="宋体" w:hAnsi="宋体" w:cs="宋体"/>
                <w:color w:val="auto"/>
                <w:sz w:val="24"/>
              </w:rPr>
            </w:pP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61362F1D">
            <w:pPr>
              <w:pStyle w:val="63"/>
              <w:spacing w:before="171"/>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仿宋_GB2312"/>
                <w:color w:val="auto"/>
                <w:kern w:val="2"/>
                <w:sz w:val="24"/>
                <w:szCs w:val="24"/>
              </w:rPr>
              <w:t>A02061804</w:t>
            </w:r>
            <w:r>
              <w:rPr>
                <w:rFonts w:hint="eastAsia" w:ascii="宋体" w:hAnsi="宋体" w:cs="宋体"/>
                <w:color w:val="auto"/>
                <w:w w:val="99"/>
                <w:kern w:val="2"/>
                <w:sz w:val="24"/>
                <w:szCs w:val="24"/>
              </w:rPr>
              <w:t>空调机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6EF3DC30">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房间空气调节器</w:t>
            </w:r>
          </w:p>
        </w:tc>
        <w:tc>
          <w:tcPr>
            <w:tcW w:w="4287" w:type="dxa"/>
            <w:tcBorders>
              <w:top w:val="single" w:color="000000" w:sz="4" w:space="0"/>
              <w:left w:val="single" w:color="000000" w:sz="4" w:space="0"/>
              <w:bottom w:val="single" w:color="000000" w:sz="4" w:space="0"/>
              <w:right w:val="single" w:color="000000" w:sz="4" w:space="0"/>
            </w:tcBorders>
          </w:tcPr>
          <w:p w14:paraId="15317B2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《房间空气调节器能效限定值及能效等级》（GB21455-2019）</w:t>
            </w:r>
          </w:p>
        </w:tc>
      </w:tr>
      <w:tr w14:paraId="76E2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5C809B99">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1745F907">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2AF13FA0">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1A8AE6F3">
            <w:pPr>
              <w:pStyle w:val="63"/>
              <w:spacing w:before="4" w:line="276" w:lineRule="auto"/>
              <w:ind w:left="7" w:right="7"/>
              <w:jc w:val="center"/>
              <w:rPr>
                <w:rFonts w:ascii="宋体" w:hAnsi="宋体" w:cs="宋体"/>
                <w:color w:val="auto"/>
                <w:kern w:val="2"/>
                <w:sz w:val="24"/>
                <w:szCs w:val="24"/>
                <w:lang w:eastAsia="zh-CN"/>
              </w:rPr>
            </w:pPr>
            <w:r>
              <w:rPr>
                <w:rFonts w:hint="eastAsia" w:ascii="宋体" w:hAnsi="宋体" w:cs="宋体"/>
                <w:color w:val="auto"/>
                <w:w w:val="99"/>
                <w:kern w:val="2"/>
                <w:sz w:val="24"/>
                <w:szCs w:val="24"/>
                <w:lang w:eastAsia="zh-CN"/>
              </w:rPr>
              <w:t>多联式空调（热泵）机组（制冷量≤ 14000W）</w:t>
            </w:r>
          </w:p>
        </w:tc>
        <w:tc>
          <w:tcPr>
            <w:tcW w:w="4287" w:type="dxa"/>
            <w:tcBorders>
              <w:top w:val="single" w:color="000000" w:sz="4" w:space="0"/>
              <w:left w:val="single" w:color="000000" w:sz="4" w:space="0"/>
              <w:bottom w:val="single" w:color="000000" w:sz="4" w:space="0"/>
              <w:right w:val="single" w:color="000000" w:sz="4" w:space="0"/>
            </w:tcBorders>
          </w:tcPr>
          <w:p w14:paraId="1B40F17D">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《多联式空调（热泵）机组能效限定值及能源效率等级》（GB21454）</w:t>
            </w:r>
          </w:p>
        </w:tc>
      </w:tr>
      <w:tr w14:paraId="0DA36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BDD2825">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0F3C3F01">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5C123BA6">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75D37559">
            <w:pPr>
              <w:pStyle w:val="63"/>
              <w:jc w:val="center"/>
              <w:rPr>
                <w:rFonts w:ascii="宋体" w:hAnsi="宋体" w:cs="宋体"/>
                <w:color w:val="auto"/>
                <w:kern w:val="2"/>
                <w:sz w:val="24"/>
                <w:szCs w:val="24"/>
                <w:lang w:eastAsia="zh-CN"/>
              </w:rPr>
            </w:pPr>
            <w:r>
              <w:rPr>
                <w:rFonts w:hint="eastAsia" w:ascii="宋体" w:hAnsi="宋体" w:cs="宋体"/>
                <w:color w:val="auto"/>
                <w:w w:val="99"/>
                <w:kern w:val="2"/>
                <w:sz w:val="24"/>
                <w:szCs w:val="24"/>
                <w:lang w:eastAsia="zh-CN"/>
              </w:rPr>
              <w:t>单元式空气调节机（制冷量≤ 14000W）</w:t>
            </w:r>
          </w:p>
        </w:tc>
        <w:tc>
          <w:tcPr>
            <w:tcW w:w="4287" w:type="dxa"/>
            <w:tcBorders>
              <w:top w:val="single" w:color="000000" w:sz="4" w:space="0"/>
              <w:left w:val="single" w:color="000000" w:sz="4" w:space="0"/>
              <w:bottom w:val="single" w:color="000000" w:sz="4" w:space="0"/>
              <w:right w:val="single" w:color="000000" w:sz="4" w:space="0"/>
            </w:tcBorders>
          </w:tcPr>
          <w:p w14:paraId="633CE1AC">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《单元式空气调节机能效限定值及能源效率等级》（GB19576）《风管送风式空调机组能效限定值及能效等级》（GB37479）</w:t>
            </w:r>
          </w:p>
        </w:tc>
      </w:tr>
      <w:tr w14:paraId="7741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5FE7CE2F">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7C38F8CF">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0BEBC349">
            <w:pPr>
              <w:pStyle w:val="63"/>
              <w:spacing w:before="162"/>
              <w:ind w:left="7"/>
              <w:jc w:val="center"/>
              <w:rPr>
                <w:rFonts w:ascii="宋体" w:hAnsi="宋体" w:cs="宋体"/>
                <w:color w:val="auto"/>
                <w:kern w:val="2"/>
                <w:sz w:val="24"/>
                <w:szCs w:val="24"/>
              </w:rPr>
            </w:pPr>
            <w:r>
              <w:rPr>
                <w:rFonts w:hint="eastAsia" w:ascii="宋体" w:hAnsi="宋体" w:cs="仿宋_GB2312"/>
                <w:color w:val="auto"/>
                <w:kern w:val="2"/>
                <w:sz w:val="24"/>
                <w:szCs w:val="24"/>
              </w:rPr>
              <w:t>A02061810</w:t>
            </w:r>
            <w:r>
              <w:rPr>
                <w:rFonts w:hint="eastAsia" w:ascii="宋体" w:hAnsi="宋体" w:cs="宋体"/>
                <w:color w:val="auto"/>
                <w:w w:val="99"/>
                <w:kern w:val="2"/>
                <w:sz w:val="24"/>
                <w:szCs w:val="24"/>
              </w:rPr>
              <w:t>洗衣机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3146C575">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7C6FAF6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《电动洗衣机能效水效限定值及等级》（GB12021.4）</w:t>
            </w:r>
          </w:p>
        </w:tc>
      </w:tr>
      <w:tr w14:paraId="50ED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1B741D66">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3D9B6468">
            <w:pPr>
              <w:widowControl/>
              <w:jc w:val="left"/>
              <w:rPr>
                <w:rFonts w:ascii="宋体" w:hAnsi="宋体" w:cs="宋体"/>
                <w:color w:val="auto"/>
                <w:sz w:val="24"/>
              </w:rPr>
            </w:pPr>
          </w:p>
        </w:tc>
        <w:tc>
          <w:tcPr>
            <w:tcW w:w="1954" w:type="dxa"/>
            <w:vMerge w:val="restart"/>
            <w:tcBorders>
              <w:top w:val="single" w:color="000000" w:sz="4" w:space="0"/>
              <w:left w:val="single" w:color="000000" w:sz="4" w:space="0"/>
              <w:bottom w:val="single" w:color="000000" w:sz="4" w:space="0"/>
              <w:right w:val="single" w:color="000000" w:sz="4" w:space="0"/>
            </w:tcBorders>
            <w:vAlign w:val="center"/>
          </w:tcPr>
          <w:p w14:paraId="1F310D0F">
            <w:pPr>
              <w:pStyle w:val="63"/>
              <w:spacing w:before="161"/>
              <w:jc w:val="center"/>
              <w:rPr>
                <w:rFonts w:ascii="宋体" w:hAnsi="宋体" w:cs="宋体"/>
                <w:color w:val="auto"/>
                <w:kern w:val="2"/>
                <w:sz w:val="24"/>
                <w:szCs w:val="24"/>
              </w:rPr>
            </w:pPr>
            <w:r>
              <w:rPr>
                <w:rFonts w:hint="eastAsia" w:ascii="宋体" w:hAnsi="宋体" w:cs="仿宋_GB2312"/>
                <w:color w:val="auto"/>
                <w:kern w:val="2"/>
                <w:sz w:val="24"/>
                <w:szCs w:val="24"/>
              </w:rPr>
              <w:t>A02061819</w:t>
            </w:r>
            <w:r>
              <w:rPr>
                <w:rFonts w:hint="eastAsia" w:ascii="宋体" w:hAnsi="宋体" w:cs="宋体"/>
                <w:color w:val="auto"/>
                <w:w w:val="99"/>
                <w:kern w:val="2"/>
                <w:sz w:val="24"/>
                <w:szCs w:val="24"/>
              </w:rPr>
              <w:t>热水器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251FDC20">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★电热</w:t>
            </w:r>
            <w:r>
              <w:rPr>
                <w:rFonts w:hint="eastAsia" w:ascii="宋体" w:hAnsi="宋体" w:cs="宋体"/>
                <w:color w:val="auto"/>
                <w:spacing w:val="2"/>
                <w:w w:val="99"/>
                <w:kern w:val="2"/>
                <w:sz w:val="24"/>
                <w:szCs w:val="24"/>
              </w:rPr>
              <w:t>水</w:t>
            </w:r>
            <w:r>
              <w:rPr>
                <w:rFonts w:hint="eastAsia" w:ascii="宋体" w:hAnsi="宋体" w:cs="宋体"/>
                <w:color w:val="auto"/>
                <w:w w:val="99"/>
                <w:kern w:val="2"/>
                <w:sz w:val="24"/>
                <w:szCs w:val="24"/>
              </w:rPr>
              <w:t>器</w:t>
            </w:r>
          </w:p>
        </w:tc>
        <w:tc>
          <w:tcPr>
            <w:tcW w:w="4287" w:type="dxa"/>
            <w:tcBorders>
              <w:top w:val="single" w:color="000000" w:sz="4" w:space="0"/>
              <w:left w:val="single" w:color="000000" w:sz="4" w:space="0"/>
              <w:bottom w:val="single" w:color="000000" w:sz="4" w:space="0"/>
              <w:right w:val="single" w:color="000000" w:sz="4" w:space="0"/>
            </w:tcBorders>
          </w:tcPr>
          <w:p w14:paraId="1A4E5B47">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《储水式电热水器能效限定值及能效等级》（GB21519）</w:t>
            </w:r>
          </w:p>
        </w:tc>
      </w:tr>
      <w:tr w14:paraId="19E5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778FE324">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52BF47DC">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01A143D6">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713D01BD">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燃气热</w:t>
            </w:r>
            <w:r>
              <w:rPr>
                <w:rFonts w:hint="eastAsia" w:ascii="宋体" w:hAnsi="宋体" w:cs="宋体"/>
                <w:color w:val="auto"/>
                <w:spacing w:val="2"/>
                <w:w w:val="99"/>
                <w:kern w:val="2"/>
                <w:sz w:val="24"/>
                <w:szCs w:val="24"/>
              </w:rPr>
              <w:t>水</w:t>
            </w:r>
            <w:r>
              <w:rPr>
                <w:rFonts w:hint="eastAsia" w:ascii="宋体" w:hAnsi="宋体" w:cs="宋体"/>
                <w:color w:val="auto"/>
                <w:w w:val="99"/>
                <w:kern w:val="2"/>
                <w:sz w:val="24"/>
                <w:szCs w:val="24"/>
              </w:rPr>
              <w:t>器</w:t>
            </w:r>
          </w:p>
        </w:tc>
        <w:tc>
          <w:tcPr>
            <w:tcW w:w="4287" w:type="dxa"/>
            <w:tcBorders>
              <w:top w:val="single" w:color="000000" w:sz="4" w:space="0"/>
              <w:left w:val="single" w:color="000000" w:sz="4" w:space="0"/>
              <w:bottom w:val="single" w:color="000000" w:sz="4" w:space="0"/>
              <w:right w:val="single" w:color="000000" w:sz="4" w:space="0"/>
            </w:tcBorders>
          </w:tcPr>
          <w:p w14:paraId="33E4A14F">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《家用燃气快速热水器和燃气采暖热水炉能效限定值及能效等级》（GB20665）</w:t>
            </w:r>
          </w:p>
        </w:tc>
      </w:tr>
      <w:tr w14:paraId="3E09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7A77F561">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5F62F209">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62539E8E">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6B21C047">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热泵热</w:t>
            </w:r>
            <w:r>
              <w:rPr>
                <w:rFonts w:hint="eastAsia" w:ascii="宋体" w:hAnsi="宋体" w:cs="宋体"/>
                <w:color w:val="auto"/>
                <w:spacing w:val="2"/>
                <w:w w:val="99"/>
                <w:kern w:val="2"/>
                <w:sz w:val="24"/>
                <w:szCs w:val="24"/>
              </w:rPr>
              <w:t>水</w:t>
            </w:r>
            <w:r>
              <w:rPr>
                <w:rFonts w:hint="eastAsia" w:ascii="宋体" w:hAnsi="宋体" w:cs="宋体"/>
                <w:color w:val="auto"/>
                <w:w w:val="99"/>
                <w:kern w:val="2"/>
                <w:sz w:val="24"/>
                <w:szCs w:val="24"/>
              </w:rPr>
              <w:t>器</w:t>
            </w:r>
          </w:p>
        </w:tc>
        <w:tc>
          <w:tcPr>
            <w:tcW w:w="4287" w:type="dxa"/>
            <w:tcBorders>
              <w:top w:val="single" w:color="000000" w:sz="4" w:space="0"/>
              <w:left w:val="single" w:color="000000" w:sz="4" w:space="0"/>
              <w:bottom w:val="single" w:color="000000" w:sz="4" w:space="0"/>
              <w:right w:val="single" w:color="000000" w:sz="4" w:space="0"/>
            </w:tcBorders>
          </w:tcPr>
          <w:p w14:paraId="534DB7E1">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《热泵热水机（器）能效限定值及能效等级》（GB29541）</w:t>
            </w:r>
          </w:p>
        </w:tc>
      </w:tr>
      <w:tr w14:paraId="47A8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15CBBB6C">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19F5B5AA">
            <w:pPr>
              <w:widowControl/>
              <w:jc w:val="left"/>
              <w:rPr>
                <w:rFonts w:ascii="宋体" w:hAnsi="宋体" w:cs="宋体"/>
                <w:color w:val="auto"/>
                <w:sz w:val="24"/>
              </w:rPr>
            </w:pPr>
          </w:p>
        </w:tc>
        <w:tc>
          <w:tcPr>
            <w:tcW w:w="1954" w:type="dxa"/>
            <w:vMerge w:val="continue"/>
            <w:tcBorders>
              <w:top w:val="single" w:color="000000" w:sz="4" w:space="0"/>
              <w:left w:val="single" w:color="000000" w:sz="4" w:space="0"/>
              <w:bottom w:val="single" w:color="000000" w:sz="4" w:space="0"/>
              <w:right w:val="single" w:color="000000" w:sz="4" w:space="0"/>
            </w:tcBorders>
            <w:vAlign w:val="center"/>
          </w:tcPr>
          <w:p w14:paraId="641A9470">
            <w:pPr>
              <w:widowControl/>
              <w:jc w:val="left"/>
              <w:rPr>
                <w:rFonts w:ascii="宋体" w:hAnsi="宋体" w:cs="宋体"/>
                <w:color w:val="auto"/>
                <w:sz w:val="24"/>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132C333B">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太阳能</w:t>
            </w:r>
            <w:r>
              <w:rPr>
                <w:rFonts w:hint="eastAsia" w:ascii="宋体" w:hAnsi="宋体" w:cs="宋体"/>
                <w:color w:val="auto"/>
                <w:spacing w:val="2"/>
                <w:w w:val="99"/>
                <w:kern w:val="2"/>
                <w:sz w:val="24"/>
                <w:szCs w:val="24"/>
              </w:rPr>
              <w:t>热</w:t>
            </w:r>
            <w:r>
              <w:rPr>
                <w:rFonts w:hint="eastAsia" w:ascii="宋体" w:hAnsi="宋体" w:cs="宋体"/>
                <w:color w:val="auto"/>
                <w:w w:val="99"/>
                <w:kern w:val="2"/>
                <w:sz w:val="24"/>
                <w:szCs w:val="24"/>
              </w:rPr>
              <w:t>水系统</w:t>
            </w:r>
          </w:p>
        </w:tc>
        <w:tc>
          <w:tcPr>
            <w:tcW w:w="4287" w:type="dxa"/>
            <w:tcBorders>
              <w:top w:val="single" w:color="000000" w:sz="4" w:space="0"/>
              <w:left w:val="single" w:color="000000" w:sz="4" w:space="0"/>
              <w:bottom w:val="single" w:color="000000" w:sz="4" w:space="0"/>
              <w:right w:val="single" w:color="000000" w:sz="4" w:space="0"/>
            </w:tcBorders>
          </w:tcPr>
          <w:p w14:paraId="21AD5532">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《家用太阳能热水系统能效限定值及能效等级》（GB26969）</w:t>
            </w:r>
          </w:p>
        </w:tc>
      </w:tr>
      <w:tr w14:paraId="40C0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0935FC54">
            <w:pPr>
              <w:pStyle w:val="63"/>
              <w:jc w:val="center"/>
              <w:rPr>
                <w:rFonts w:ascii="宋体" w:hAnsi="宋体" w:cs="宋体"/>
                <w:color w:val="auto"/>
                <w:kern w:val="2"/>
                <w:sz w:val="24"/>
                <w:szCs w:val="24"/>
              </w:rPr>
            </w:pPr>
            <w:r>
              <w:rPr>
                <w:rFonts w:hint="eastAsia" w:ascii="宋体" w:hAnsi="宋体"/>
                <w:color w:val="auto"/>
                <w:spacing w:val="1"/>
                <w:w w:val="99"/>
                <w:kern w:val="2"/>
                <w:sz w:val="24"/>
                <w:szCs w:val="24"/>
              </w:rPr>
              <w:t>1</w:t>
            </w:r>
            <w:r>
              <w:rPr>
                <w:rFonts w:hint="eastAsia" w:ascii="宋体" w:hAnsi="宋体"/>
                <w:color w:val="auto"/>
                <w:w w:val="99"/>
                <w:kern w:val="2"/>
                <w:sz w:val="24"/>
                <w:szCs w:val="24"/>
              </w:rPr>
              <w:t>1</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60F02CD1">
            <w:pPr>
              <w:pStyle w:val="63"/>
              <w:spacing w:before="157"/>
              <w:jc w:val="center"/>
              <w:rPr>
                <w:rFonts w:ascii="宋体" w:hAnsi="宋体" w:cs="宋体"/>
                <w:color w:val="auto"/>
                <w:kern w:val="2"/>
                <w:sz w:val="24"/>
                <w:szCs w:val="24"/>
              </w:rPr>
            </w:pPr>
            <w:r>
              <w:rPr>
                <w:rFonts w:hint="eastAsia" w:ascii="宋体" w:hAnsi="宋体" w:cs="宋体"/>
                <w:color w:val="auto"/>
                <w:spacing w:val="1"/>
                <w:w w:val="99"/>
                <w:kern w:val="2"/>
                <w:sz w:val="24"/>
                <w:szCs w:val="24"/>
              </w:rPr>
              <w:t>A02</w:t>
            </w:r>
            <w:r>
              <w:rPr>
                <w:rFonts w:hint="eastAsia" w:ascii="宋体" w:hAnsi="宋体" w:cs="宋体"/>
                <w:color w:val="auto"/>
                <w:w w:val="99"/>
                <w:kern w:val="2"/>
                <w:sz w:val="24"/>
                <w:szCs w:val="24"/>
              </w:rPr>
              <w:t>06</w:t>
            </w:r>
            <w:r>
              <w:rPr>
                <w:rFonts w:hint="eastAsia" w:ascii="宋体" w:hAnsi="宋体" w:cs="宋体"/>
                <w:color w:val="auto"/>
                <w:spacing w:val="1"/>
                <w:w w:val="99"/>
                <w:kern w:val="2"/>
                <w:sz w:val="24"/>
                <w:szCs w:val="24"/>
              </w:rPr>
              <w:t>1</w:t>
            </w:r>
            <w:r>
              <w:rPr>
                <w:rFonts w:hint="eastAsia" w:ascii="宋体" w:hAnsi="宋体" w:cs="宋体"/>
                <w:color w:val="auto"/>
                <w:w w:val="99"/>
                <w:kern w:val="2"/>
                <w:sz w:val="24"/>
                <w:szCs w:val="24"/>
              </w:rPr>
              <w:t>900照明设备</w:t>
            </w:r>
          </w:p>
        </w:tc>
        <w:tc>
          <w:tcPr>
            <w:tcW w:w="1954" w:type="dxa"/>
            <w:tcBorders>
              <w:top w:val="single" w:color="000000" w:sz="4" w:space="0"/>
              <w:left w:val="single" w:color="000000" w:sz="4" w:space="0"/>
              <w:bottom w:val="single" w:color="000000" w:sz="4" w:space="0"/>
              <w:right w:val="single" w:color="000000" w:sz="4" w:space="0"/>
            </w:tcBorders>
            <w:vAlign w:val="center"/>
          </w:tcPr>
          <w:p w14:paraId="1921C889">
            <w:pPr>
              <w:pStyle w:val="63"/>
              <w:spacing w:before="133" w:line="276" w:lineRule="auto"/>
              <w:ind w:left="7" w:right="7"/>
              <w:jc w:val="center"/>
              <w:rPr>
                <w:rFonts w:ascii="宋体" w:hAnsi="宋体" w:cs="宋体"/>
                <w:color w:val="auto"/>
                <w:kern w:val="2"/>
                <w:sz w:val="24"/>
                <w:szCs w:val="24"/>
                <w:lang w:eastAsia="zh-CN"/>
              </w:rPr>
            </w:pPr>
            <w:r>
              <w:rPr>
                <w:rFonts w:hint="eastAsia" w:ascii="宋体" w:hAnsi="宋体" w:cs="宋体"/>
                <w:color w:val="auto"/>
                <w:w w:val="99"/>
                <w:kern w:val="2"/>
                <w:sz w:val="24"/>
                <w:szCs w:val="24"/>
                <w:lang w:eastAsia="zh-CN"/>
              </w:rPr>
              <w:t>★普通照明用双端荧光灯</w:t>
            </w:r>
          </w:p>
        </w:tc>
        <w:tc>
          <w:tcPr>
            <w:tcW w:w="1488" w:type="dxa"/>
            <w:tcBorders>
              <w:top w:val="single" w:color="000000" w:sz="4" w:space="0"/>
              <w:left w:val="single" w:color="000000" w:sz="4" w:space="0"/>
              <w:bottom w:val="single" w:color="000000" w:sz="4" w:space="0"/>
              <w:right w:val="single" w:color="000000" w:sz="4" w:space="0"/>
            </w:tcBorders>
            <w:vAlign w:val="center"/>
          </w:tcPr>
          <w:p w14:paraId="30F31EFE">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40D94DC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《普通照明用双端荧光灯能效限定值及能效等级》（GB19043）</w:t>
            </w:r>
          </w:p>
        </w:tc>
      </w:tr>
      <w:tr w14:paraId="4A1E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5F0137DE">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58A97C78">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0CF12CDE">
            <w:pPr>
              <w:pStyle w:val="63"/>
              <w:spacing w:before="92" w:line="276" w:lineRule="auto"/>
              <w:ind w:left="7" w:right="2"/>
              <w:jc w:val="center"/>
              <w:rPr>
                <w:rFonts w:ascii="宋体" w:hAnsi="宋体" w:cs="宋体"/>
                <w:color w:val="auto"/>
                <w:kern w:val="2"/>
                <w:sz w:val="24"/>
                <w:szCs w:val="24"/>
              </w:rPr>
            </w:pPr>
            <w:r>
              <w:rPr>
                <w:rFonts w:hint="eastAsia" w:ascii="宋体" w:hAnsi="宋体" w:cs="宋体"/>
                <w:color w:val="auto"/>
                <w:spacing w:val="1"/>
                <w:w w:val="99"/>
                <w:kern w:val="2"/>
                <w:sz w:val="24"/>
                <w:szCs w:val="24"/>
              </w:rPr>
              <w:t>LE</w:t>
            </w:r>
            <w:r>
              <w:rPr>
                <w:rFonts w:hint="eastAsia" w:ascii="宋体" w:hAnsi="宋体" w:cs="宋体"/>
                <w:color w:val="auto"/>
                <w:w w:val="99"/>
                <w:kern w:val="2"/>
                <w:sz w:val="24"/>
                <w:szCs w:val="24"/>
              </w:rPr>
              <w:t>D</w:t>
            </w:r>
            <w:r>
              <w:rPr>
                <w:rFonts w:hint="eastAsia" w:ascii="宋体" w:hAnsi="宋体" w:cs="宋体"/>
                <w:color w:val="auto"/>
                <w:spacing w:val="12"/>
                <w:w w:val="99"/>
                <w:kern w:val="2"/>
                <w:sz w:val="24"/>
                <w:szCs w:val="24"/>
              </w:rPr>
              <w:t>道</w:t>
            </w:r>
            <w:r>
              <w:rPr>
                <w:rFonts w:hint="eastAsia" w:ascii="宋体" w:hAnsi="宋体" w:cs="宋体"/>
                <w:color w:val="auto"/>
                <w:spacing w:val="9"/>
                <w:w w:val="99"/>
                <w:kern w:val="2"/>
                <w:sz w:val="24"/>
                <w:szCs w:val="24"/>
              </w:rPr>
              <w:t>路</w:t>
            </w:r>
            <w:r>
              <w:rPr>
                <w:rFonts w:hint="eastAsia" w:ascii="宋体" w:hAnsi="宋体" w:cs="宋体"/>
                <w:color w:val="auto"/>
                <w:spacing w:val="13"/>
                <w:w w:val="99"/>
                <w:kern w:val="2"/>
                <w:sz w:val="24"/>
                <w:szCs w:val="24"/>
              </w:rPr>
              <w:t>/</w:t>
            </w:r>
            <w:r>
              <w:rPr>
                <w:rFonts w:hint="eastAsia" w:ascii="宋体" w:hAnsi="宋体" w:cs="宋体"/>
                <w:color w:val="auto"/>
                <w:spacing w:val="12"/>
                <w:w w:val="99"/>
                <w:kern w:val="2"/>
                <w:sz w:val="24"/>
                <w:szCs w:val="24"/>
              </w:rPr>
              <w:t>隧道照</w:t>
            </w:r>
            <w:r>
              <w:rPr>
                <w:rFonts w:hint="eastAsia" w:ascii="宋体" w:hAnsi="宋体" w:cs="宋体"/>
                <w:color w:val="auto"/>
                <w:w w:val="99"/>
                <w:kern w:val="2"/>
                <w:sz w:val="24"/>
                <w:szCs w:val="24"/>
              </w:rPr>
              <w:t>明产品</w:t>
            </w:r>
          </w:p>
        </w:tc>
        <w:tc>
          <w:tcPr>
            <w:tcW w:w="1488" w:type="dxa"/>
            <w:tcBorders>
              <w:top w:val="single" w:color="000000" w:sz="4" w:space="0"/>
              <w:left w:val="single" w:color="000000" w:sz="4" w:space="0"/>
              <w:bottom w:val="single" w:color="000000" w:sz="4" w:space="0"/>
              <w:right w:val="single" w:color="000000" w:sz="4" w:space="0"/>
            </w:tcBorders>
            <w:vAlign w:val="center"/>
          </w:tcPr>
          <w:p w14:paraId="3A7EB2C3">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48F49858">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《道路和隧道照明用LED灯具能效限定值及能效等级》（GB37478）</w:t>
            </w:r>
          </w:p>
        </w:tc>
      </w:tr>
      <w:tr w14:paraId="676F4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3014357">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0B32F6F6">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5537ECEA">
            <w:pPr>
              <w:pStyle w:val="63"/>
              <w:jc w:val="center"/>
              <w:rPr>
                <w:rFonts w:ascii="宋体" w:hAnsi="宋体" w:cs="宋体"/>
                <w:color w:val="auto"/>
                <w:kern w:val="2"/>
                <w:sz w:val="24"/>
                <w:szCs w:val="24"/>
              </w:rPr>
            </w:pPr>
            <w:r>
              <w:rPr>
                <w:rFonts w:hint="eastAsia" w:ascii="宋体" w:hAnsi="宋体" w:cs="宋体"/>
                <w:color w:val="auto"/>
                <w:spacing w:val="1"/>
                <w:w w:val="99"/>
                <w:kern w:val="2"/>
                <w:sz w:val="24"/>
                <w:szCs w:val="24"/>
              </w:rPr>
              <w:t>LE</w:t>
            </w:r>
            <w:r>
              <w:rPr>
                <w:rFonts w:hint="eastAsia" w:ascii="宋体" w:hAnsi="宋体" w:cs="宋体"/>
                <w:color w:val="auto"/>
                <w:w w:val="99"/>
                <w:kern w:val="2"/>
                <w:sz w:val="24"/>
                <w:szCs w:val="24"/>
              </w:rPr>
              <w:t>D筒灯</w:t>
            </w:r>
          </w:p>
        </w:tc>
        <w:tc>
          <w:tcPr>
            <w:tcW w:w="1488" w:type="dxa"/>
            <w:tcBorders>
              <w:top w:val="single" w:color="000000" w:sz="4" w:space="0"/>
              <w:left w:val="single" w:color="000000" w:sz="4" w:space="0"/>
              <w:bottom w:val="single" w:color="000000" w:sz="4" w:space="0"/>
              <w:right w:val="single" w:color="000000" w:sz="4" w:space="0"/>
            </w:tcBorders>
            <w:vAlign w:val="center"/>
          </w:tcPr>
          <w:p w14:paraId="392E2F73">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4FC8D4B6">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《室内照明用LED产品能效限定值及能效等级》（GB30255）</w:t>
            </w:r>
          </w:p>
        </w:tc>
      </w:tr>
      <w:tr w14:paraId="76D9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31399580">
            <w:pPr>
              <w:widowControl/>
              <w:jc w:val="left"/>
              <w:rPr>
                <w:rFonts w:ascii="宋体" w:hAnsi="宋体" w:cs="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246B54C0">
            <w:pPr>
              <w:widowControl/>
              <w:jc w:val="left"/>
              <w:rPr>
                <w:rFonts w:ascii="宋体" w:hAnsi="宋体" w:cs="宋体"/>
                <w:color w:val="auto"/>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49DFE0B2">
            <w:pPr>
              <w:pStyle w:val="63"/>
              <w:spacing w:line="276" w:lineRule="auto"/>
              <w:ind w:right="7"/>
              <w:jc w:val="center"/>
              <w:rPr>
                <w:rFonts w:ascii="宋体" w:hAnsi="宋体" w:cs="宋体"/>
                <w:color w:val="auto"/>
                <w:kern w:val="2"/>
                <w:sz w:val="24"/>
                <w:szCs w:val="24"/>
                <w:lang w:eastAsia="zh-CN"/>
              </w:rPr>
            </w:pPr>
            <w:r>
              <w:rPr>
                <w:rFonts w:hint="eastAsia" w:ascii="宋体" w:hAnsi="宋体" w:cs="宋体"/>
                <w:color w:val="auto"/>
                <w:w w:val="99"/>
                <w:kern w:val="2"/>
                <w:sz w:val="24"/>
                <w:szCs w:val="24"/>
                <w:lang w:eastAsia="zh-CN"/>
              </w:rPr>
              <w:t>普</w:t>
            </w:r>
            <w:r>
              <w:rPr>
                <w:rFonts w:hint="eastAsia" w:ascii="宋体" w:hAnsi="宋体" w:cs="宋体"/>
                <w:color w:val="auto"/>
                <w:spacing w:val="24"/>
                <w:w w:val="99"/>
                <w:kern w:val="2"/>
                <w:sz w:val="24"/>
                <w:szCs w:val="24"/>
                <w:lang w:eastAsia="zh-CN"/>
              </w:rPr>
              <w:t>通</w:t>
            </w:r>
            <w:r>
              <w:rPr>
                <w:rFonts w:hint="eastAsia" w:ascii="宋体" w:hAnsi="宋体" w:cs="宋体"/>
                <w:color w:val="auto"/>
                <w:w w:val="99"/>
                <w:kern w:val="2"/>
                <w:sz w:val="24"/>
                <w:szCs w:val="24"/>
                <w:lang w:eastAsia="zh-CN"/>
              </w:rPr>
              <w:t>照明用非</w:t>
            </w:r>
            <w:r>
              <w:rPr>
                <w:rFonts w:hint="eastAsia" w:ascii="宋体" w:hAnsi="宋体" w:cs="宋体"/>
                <w:color w:val="auto"/>
                <w:spacing w:val="24"/>
                <w:w w:val="99"/>
                <w:kern w:val="2"/>
                <w:sz w:val="24"/>
                <w:szCs w:val="24"/>
                <w:lang w:eastAsia="zh-CN"/>
              </w:rPr>
              <w:t>定</w:t>
            </w:r>
            <w:r>
              <w:rPr>
                <w:rFonts w:hint="eastAsia" w:ascii="宋体" w:hAnsi="宋体" w:cs="宋体"/>
                <w:color w:val="auto"/>
                <w:w w:val="99"/>
                <w:kern w:val="2"/>
                <w:sz w:val="24"/>
                <w:szCs w:val="24"/>
                <w:lang w:eastAsia="zh-CN"/>
              </w:rPr>
              <w:t>向自镇流</w:t>
            </w:r>
            <w:r>
              <w:rPr>
                <w:rFonts w:hint="eastAsia" w:ascii="宋体" w:hAnsi="宋体" w:cs="宋体"/>
                <w:color w:val="auto"/>
                <w:spacing w:val="1"/>
                <w:w w:val="99"/>
                <w:kern w:val="2"/>
                <w:sz w:val="24"/>
                <w:szCs w:val="24"/>
                <w:lang w:eastAsia="zh-CN"/>
              </w:rPr>
              <w:t>LE</w:t>
            </w:r>
            <w:r>
              <w:rPr>
                <w:rFonts w:hint="eastAsia" w:ascii="宋体" w:hAnsi="宋体" w:cs="宋体"/>
                <w:color w:val="auto"/>
                <w:w w:val="99"/>
                <w:kern w:val="2"/>
                <w:sz w:val="24"/>
                <w:szCs w:val="24"/>
                <w:lang w:eastAsia="zh-CN"/>
              </w:rPr>
              <w:t>D灯</w:t>
            </w:r>
          </w:p>
        </w:tc>
        <w:tc>
          <w:tcPr>
            <w:tcW w:w="1488" w:type="dxa"/>
            <w:tcBorders>
              <w:top w:val="single" w:color="000000" w:sz="4" w:space="0"/>
              <w:left w:val="single" w:color="000000" w:sz="4" w:space="0"/>
              <w:bottom w:val="single" w:color="000000" w:sz="4" w:space="0"/>
              <w:right w:val="single" w:color="000000" w:sz="4" w:space="0"/>
            </w:tcBorders>
            <w:vAlign w:val="center"/>
          </w:tcPr>
          <w:p w14:paraId="7C37D739">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FCFE51A">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《室内照明用LED产品能效限定值及能效等级》（GB30255）</w:t>
            </w:r>
          </w:p>
        </w:tc>
      </w:tr>
      <w:tr w14:paraId="4BA8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6D6C91C0">
            <w:pPr>
              <w:pStyle w:val="63"/>
              <w:jc w:val="center"/>
              <w:rPr>
                <w:rFonts w:ascii="宋体" w:hAnsi="宋体" w:cs="宋体"/>
                <w:color w:val="auto"/>
                <w:kern w:val="2"/>
                <w:sz w:val="24"/>
                <w:szCs w:val="24"/>
              </w:rPr>
            </w:pPr>
            <w:r>
              <w:rPr>
                <w:rFonts w:hint="eastAsia" w:ascii="宋体" w:hAnsi="宋体"/>
                <w:color w:val="auto"/>
                <w:spacing w:val="1"/>
                <w:w w:val="99"/>
                <w:kern w:val="2"/>
                <w:sz w:val="24"/>
                <w:szCs w:val="24"/>
              </w:rPr>
              <w:t>1</w:t>
            </w:r>
            <w:r>
              <w:rPr>
                <w:rFonts w:hint="eastAsia" w:ascii="宋体" w:hAnsi="宋体"/>
                <w:color w:val="auto"/>
                <w:w w:val="99"/>
                <w:kern w:val="2"/>
                <w:sz w:val="24"/>
                <w:szCs w:val="24"/>
              </w:rPr>
              <w:t>2</w:t>
            </w:r>
          </w:p>
        </w:tc>
        <w:tc>
          <w:tcPr>
            <w:tcW w:w="1543" w:type="dxa"/>
            <w:tcBorders>
              <w:top w:val="single" w:color="000000" w:sz="4" w:space="0"/>
              <w:left w:val="single" w:color="000000" w:sz="4" w:space="0"/>
              <w:bottom w:val="single" w:color="000000" w:sz="4" w:space="0"/>
              <w:right w:val="single" w:color="000000" w:sz="4" w:space="0"/>
            </w:tcBorders>
            <w:vAlign w:val="center"/>
          </w:tcPr>
          <w:p w14:paraId="5039520C">
            <w:pPr>
              <w:pStyle w:val="63"/>
              <w:spacing w:before="81"/>
              <w:ind w:left="7"/>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宋体"/>
                <w:color w:val="auto"/>
                <w:spacing w:val="1"/>
                <w:w w:val="99"/>
                <w:kern w:val="2"/>
                <w:sz w:val="24"/>
                <w:szCs w:val="24"/>
              </w:rPr>
              <w:t>A020</w:t>
            </w:r>
            <w:r>
              <w:rPr>
                <w:rFonts w:hint="eastAsia" w:ascii="宋体" w:hAnsi="宋体" w:cs="宋体"/>
                <w:color w:val="auto"/>
                <w:w w:val="99"/>
                <w:kern w:val="2"/>
                <w:sz w:val="24"/>
                <w:szCs w:val="24"/>
              </w:rPr>
              <w:t>91000电视设备</w:t>
            </w:r>
          </w:p>
        </w:tc>
        <w:tc>
          <w:tcPr>
            <w:tcW w:w="1954" w:type="dxa"/>
            <w:tcBorders>
              <w:top w:val="single" w:color="000000" w:sz="4" w:space="0"/>
              <w:left w:val="single" w:color="000000" w:sz="4" w:space="0"/>
              <w:bottom w:val="single" w:color="000000" w:sz="4" w:space="0"/>
              <w:right w:val="single" w:color="000000" w:sz="4" w:space="0"/>
            </w:tcBorders>
            <w:vAlign w:val="center"/>
          </w:tcPr>
          <w:p w14:paraId="7AD15A2A">
            <w:pPr>
              <w:pStyle w:val="63"/>
              <w:spacing w:before="81" w:line="276" w:lineRule="auto"/>
              <w:ind w:left="7" w:right="5"/>
              <w:jc w:val="center"/>
              <w:rPr>
                <w:rFonts w:ascii="宋体" w:hAnsi="宋体" w:cs="宋体"/>
                <w:color w:val="auto"/>
                <w:kern w:val="2"/>
                <w:sz w:val="24"/>
                <w:szCs w:val="24"/>
                <w:lang w:eastAsia="zh-CN"/>
              </w:rPr>
            </w:pPr>
            <w:r>
              <w:rPr>
                <w:rFonts w:hint="eastAsia" w:ascii="宋体" w:hAnsi="宋体" w:cs="宋体"/>
                <w:color w:val="auto"/>
                <w:spacing w:val="1"/>
                <w:w w:val="99"/>
                <w:kern w:val="2"/>
                <w:sz w:val="24"/>
                <w:szCs w:val="24"/>
                <w:lang w:eastAsia="zh-CN"/>
              </w:rPr>
              <w:t>A02</w:t>
            </w:r>
            <w:r>
              <w:rPr>
                <w:rFonts w:hint="eastAsia" w:ascii="宋体" w:hAnsi="宋体" w:cs="宋体"/>
                <w:color w:val="auto"/>
                <w:w w:val="99"/>
                <w:kern w:val="2"/>
                <w:sz w:val="24"/>
                <w:szCs w:val="24"/>
                <w:lang w:eastAsia="zh-CN"/>
              </w:rPr>
              <w:t>09</w:t>
            </w:r>
            <w:r>
              <w:rPr>
                <w:rFonts w:hint="eastAsia" w:ascii="宋体" w:hAnsi="宋体" w:cs="宋体"/>
                <w:color w:val="auto"/>
                <w:spacing w:val="1"/>
                <w:w w:val="99"/>
                <w:kern w:val="2"/>
                <w:sz w:val="24"/>
                <w:szCs w:val="24"/>
                <w:lang w:eastAsia="zh-CN"/>
              </w:rPr>
              <w:t>1</w:t>
            </w:r>
            <w:r>
              <w:rPr>
                <w:rFonts w:hint="eastAsia" w:ascii="宋体" w:hAnsi="宋体" w:cs="宋体"/>
                <w:color w:val="auto"/>
                <w:w w:val="99"/>
                <w:kern w:val="2"/>
                <w:sz w:val="24"/>
                <w:szCs w:val="24"/>
                <w:lang w:eastAsia="zh-CN"/>
              </w:rPr>
              <w:t>001普通电视设备（</w:t>
            </w:r>
            <w:r>
              <w:rPr>
                <w:rFonts w:hint="eastAsia" w:ascii="宋体" w:hAnsi="宋体" w:cs="宋体"/>
                <w:color w:val="auto"/>
                <w:spacing w:val="2"/>
                <w:w w:val="99"/>
                <w:kern w:val="2"/>
                <w:sz w:val="24"/>
                <w:szCs w:val="24"/>
                <w:lang w:eastAsia="zh-CN"/>
              </w:rPr>
              <w:t>电</w:t>
            </w:r>
            <w:r>
              <w:rPr>
                <w:rFonts w:hint="eastAsia" w:ascii="宋体" w:hAnsi="宋体" w:cs="宋体"/>
                <w:color w:val="auto"/>
                <w:w w:val="99"/>
                <w:kern w:val="2"/>
                <w:sz w:val="24"/>
                <w:szCs w:val="24"/>
                <w:lang w:eastAsia="zh-CN"/>
              </w:rPr>
              <w:t>视机）</w:t>
            </w:r>
          </w:p>
        </w:tc>
        <w:tc>
          <w:tcPr>
            <w:tcW w:w="1488" w:type="dxa"/>
            <w:tcBorders>
              <w:top w:val="single" w:color="000000" w:sz="4" w:space="0"/>
              <w:left w:val="single" w:color="000000" w:sz="4" w:space="0"/>
              <w:bottom w:val="single" w:color="000000" w:sz="4" w:space="0"/>
              <w:right w:val="single" w:color="000000" w:sz="4" w:space="0"/>
            </w:tcBorders>
            <w:vAlign w:val="center"/>
          </w:tcPr>
          <w:p w14:paraId="7150BC17">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2F2AD951">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《平板电视能效限定值及能效等级》（GB24850）</w:t>
            </w:r>
          </w:p>
        </w:tc>
      </w:tr>
      <w:tr w14:paraId="6834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423FF03">
            <w:pPr>
              <w:pStyle w:val="63"/>
              <w:jc w:val="center"/>
              <w:rPr>
                <w:rFonts w:ascii="宋体" w:hAnsi="宋体" w:cs="宋体"/>
                <w:color w:val="auto"/>
                <w:kern w:val="2"/>
                <w:sz w:val="24"/>
                <w:szCs w:val="24"/>
              </w:rPr>
            </w:pPr>
            <w:r>
              <w:rPr>
                <w:rFonts w:hint="eastAsia" w:ascii="宋体" w:hAnsi="宋体"/>
                <w:color w:val="auto"/>
                <w:spacing w:val="1"/>
                <w:w w:val="99"/>
                <w:kern w:val="2"/>
                <w:sz w:val="24"/>
                <w:szCs w:val="24"/>
              </w:rPr>
              <w:t>1</w:t>
            </w:r>
            <w:r>
              <w:rPr>
                <w:rFonts w:hint="eastAsia" w:ascii="宋体" w:hAnsi="宋体"/>
                <w:color w:val="auto"/>
                <w:w w:val="99"/>
                <w:kern w:val="2"/>
                <w:sz w:val="24"/>
                <w:szCs w:val="24"/>
              </w:rPr>
              <w:t>3</w:t>
            </w:r>
          </w:p>
        </w:tc>
        <w:tc>
          <w:tcPr>
            <w:tcW w:w="1543" w:type="dxa"/>
            <w:tcBorders>
              <w:top w:val="single" w:color="000000" w:sz="4" w:space="0"/>
              <w:left w:val="single" w:color="000000" w:sz="4" w:space="0"/>
              <w:bottom w:val="single" w:color="000000" w:sz="4" w:space="0"/>
              <w:right w:val="single" w:color="000000" w:sz="4" w:space="0"/>
            </w:tcBorders>
            <w:vAlign w:val="center"/>
          </w:tcPr>
          <w:p w14:paraId="3E20B0C8">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w:t>
            </w:r>
            <w:r>
              <w:rPr>
                <w:rFonts w:hint="eastAsia" w:ascii="宋体" w:hAnsi="宋体" w:cs="宋体"/>
                <w:color w:val="auto"/>
                <w:spacing w:val="1"/>
                <w:w w:val="99"/>
                <w:kern w:val="2"/>
                <w:sz w:val="24"/>
                <w:szCs w:val="24"/>
              </w:rPr>
              <w:t>A020</w:t>
            </w:r>
            <w:r>
              <w:rPr>
                <w:rFonts w:hint="eastAsia" w:ascii="宋体" w:hAnsi="宋体" w:cs="宋体"/>
                <w:color w:val="auto"/>
                <w:w w:val="99"/>
                <w:kern w:val="2"/>
                <w:sz w:val="24"/>
                <w:szCs w:val="24"/>
              </w:rPr>
              <w:t>91100视频设备</w:t>
            </w:r>
          </w:p>
        </w:tc>
        <w:tc>
          <w:tcPr>
            <w:tcW w:w="1954" w:type="dxa"/>
            <w:tcBorders>
              <w:top w:val="single" w:color="000000" w:sz="4" w:space="0"/>
              <w:left w:val="single" w:color="000000" w:sz="4" w:space="0"/>
              <w:bottom w:val="single" w:color="000000" w:sz="4" w:space="0"/>
              <w:right w:val="single" w:color="000000" w:sz="4" w:space="0"/>
            </w:tcBorders>
            <w:vAlign w:val="center"/>
          </w:tcPr>
          <w:p w14:paraId="632D3C87">
            <w:pPr>
              <w:pStyle w:val="63"/>
              <w:spacing w:line="276" w:lineRule="auto"/>
              <w:ind w:right="5"/>
              <w:jc w:val="center"/>
              <w:rPr>
                <w:rFonts w:ascii="宋体" w:hAnsi="宋体" w:cs="宋体"/>
                <w:color w:val="auto"/>
                <w:kern w:val="2"/>
                <w:sz w:val="24"/>
                <w:szCs w:val="24"/>
              </w:rPr>
            </w:pPr>
            <w:r>
              <w:rPr>
                <w:rFonts w:hint="eastAsia" w:ascii="宋体" w:hAnsi="宋体" w:cs="宋体"/>
                <w:color w:val="auto"/>
                <w:spacing w:val="1"/>
                <w:w w:val="99"/>
                <w:kern w:val="2"/>
                <w:sz w:val="24"/>
                <w:szCs w:val="24"/>
              </w:rPr>
              <w:t>A02</w:t>
            </w:r>
            <w:r>
              <w:rPr>
                <w:rFonts w:hint="eastAsia" w:ascii="宋体" w:hAnsi="宋体" w:cs="宋体"/>
                <w:color w:val="auto"/>
                <w:w w:val="99"/>
                <w:kern w:val="2"/>
                <w:sz w:val="24"/>
                <w:szCs w:val="24"/>
              </w:rPr>
              <w:t>09</w:t>
            </w:r>
            <w:r>
              <w:rPr>
                <w:rFonts w:hint="eastAsia" w:ascii="宋体" w:hAnsi="宋体" w:cs="宋体"/>
                <w:color w:val="auto"/>
                <w:spacing w:val="1"/>
                <w:w w:val="99"/>
                <w:kern w:val="2"/>
                <w:sz w:val="24"/>
                <w:szCs w:val="24"/>
              </w:rPr>
              <w:t>1</w:t>
            </w:r>
            <w:r>
              <w:rPr>
                <w:rFonts w:hint="eastAsia" w:ascii="宋体" w:hAnsi="宋体" w:cs="宋体"/>
                <w:color w:val="auto"/>
                <w:w w:val="99"/>
                <w:kern w:val="2"/>
                <w:sz w:val="24"/>
                <w:szCs w:val="24"/>
              </w:rPr>
              <w:t>107视频监控设备</w:t>
            </w:r>
          </w:p>
        </w:tc>
        <w:tc>
          <w:tcPr>
            <w:tcW w:w="1488" w:type="dxa"/>
            <w:tcBorders>
              <w:top w:val="single" w:color="000000" w:sz="4" w:space="0"/>
              <w:left w:val="single" w:color="000000" w:sz="4" w:space="0"/>
              <w:bottom w:val="single" w:color="000000" w:sz="4" w:space="0"/>
              <w:right w:val="single" w:color="000000" w:sz="4" w:space="0"/>
            </w:tcBorders>
            <w:vAlign w:val="center"/>
          </w:tcPr>
          <w:p w14:paraId="2BCDB75A">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监视器</w:t>
            </w:r>
          </w:p>
        </w:tc>
        <w:tc>
          <w:tcPr>
            <w:tcW w:w="4287" w:type="dxa"/>
            <w:tcBorders>
              <w:top w:val="single" w:color="000000" w:sz="4" w:space="0"/>
              <w:left w:val="single" w:color="000000" w:sz="4" w:space="0"/>
              <w:bottom w:val="single" w:color="000000" w:sz="4" w:space="0"/>
              <w:right w:val="single" w:color="000000" w:sz="4" w:space="0"/>
            </w:tcBorders>
          </w:tcPr>
          <w:p w14:paraId="3BA8C349">
            <w:pPr>
              <w:pStyle w:val="63"/>
              <w:spacing w:before="131" w:line="276" w:lineRule="auto"/>
              <w:ind w:left="7" w:right="4"/>
              <w:rPr>
                <w:rFonts w:ascii="宋体" w:hAnsi="宋体" w:cs="宋体"/>
                <w:color w:val="auto"/>
                <w:spacing w:val="10"/>
                <w:kern w:val="2"/>
                <w:sz w:val="24"/>
                <w:szCs w:val="24"/>
                <w:lang w:eastAsia="zh-CN"/>
              </w:rPr>
            </w:pPr>
            <w:r>
              <w:rPr>
                <w:rFonts w:hint="eastAsia" w:ascii="宋体" w:hAnsi="宋体" w:cs="宋体"/>
                <w:color w:val="auto"/>
                <w:spacing w:val="10"/>
                <w:kern w:val="2"/>
                <w:sz w:val="24"/>
                <w:szCs w:val="24"/>
                <w:lang w:eastAsia="zh-CN"/>
              </w:rPr>
              <w:t>以射频信号为主要信号输入的监视器应符合《平板电视能效限定值及能效等级》（GB24850），以数字信号为主要信号输入的监视器应符合《计算机显示器能效限定值及能效等级》（GB21520）</w:t>
            </w:r>
          </w:p>
        </w:tc>
      </w:tr>
      <w:tr w14:paraId="2CCE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7695672">
            <w:pPr>
              <w:pStyle w:val="63"/>
              <w:jc w:val="center"/>
              <w:rPr>
                <w:rFonts w:ascii="宋体" w:hAnsi="宋体" w:cs="宋体"/>
                <w:color w:val="auto"/>
                <w:kern w:val="2"/>
                <w:sz w:val="24"/>
                <w:szCs w:val="24"/>
              </w:rPr>
            </w:pPr>
            <w:r>
              <w:rPr>
                <w:rFonts w:hint="eastAsia" w:ascii="宋体" w:hAnsi="宋体"/>
                <w:color w:val="auto"/>
                <w:spacing w:val="1"/>
                <w:w w:val="99"/>
                <w:kern w:val="2"/>
                <w:sz w:val="24"/>
                <w:szCs w:val="24"/>
              </w:rPr>
              <w:t>1</w:t>
            </w:r>
            <w:r>
              <w:rPr>
                <w:rFonts w:hint="eastAsia" w:ascii="宋体" w:hAnsi="宋体"/>
                <w:color w:val="auto"/>
                <w:w w:val="99"/>
                <w:kern w:val="2"/>
                <w:sz w:val="24"/>
                <w:szCs w:val="24"/>
              </w:rPr>
              <w:t>4</w:t>
            </w:r>
          </w:p>
        </w:tc>
        <w:tc>
          <w:tcPr>
            <w:tcW w:w="1543" w:type="dxa"/>
            <w:tcBorders>
              <w:top w:val="single" w:color="000000" w:sz="4" w:space="0"/>
              <w:left w:val="single" w:color="000000" w:sz="4" w:space="0"/>
              <w:bottom w:val="single" w:color="000000" w:sz="4" w:space="0"/>
              <w:right w:val="single" w:color="000000" w:sz="4" w:space="0"/>
            </w:tcBorders>
            <w:vAlign w:val="center"/>
          </w:tcPr>
          <w:p w14:paraId="196BD2B3">
            <w:pPr>
              <w:pStyle w:val="63"/>
              <w:spacing w:before="76"/>
              <w:ind w:left="7"/>
              <w:jc w:val="center"/>
              <w:rPr>
                <w:rFonts w:ascii="宋体" w:hAnsi="宋体" w:cs="宋体"/>
                <w:color w:val="auto"/>
                <w:kern w:val="2"/>
                <w:sz w:val="24"/>
                <w:szCs w:val="24"/>
              </w:rPr>
            </w:pPr>
            <w:r>
              <w:rPr>
                <w:rFonts w:hint="eastAsia" w:ascii="宋体" w:hAnsi="宋体" w:cs="仿宋_GB2312"/>
                <w:color w:val="auto"/>
                <w:kern w:val="2"/>
                <w:sz w:val="24"/>
                <w:szCs w:val="24"/>
              </w:rPr>
              <w:t>A02241000</w:t>
            </w:r>
            <w:r>
              <w:rPr>
                <w:rFonts w:hint="eastAsia" w:ascii="宋体" w:hAnsi="宋体" w:cs="宋体"/>
                <w:color w:val="auto"/>
                <w:w w:val="99"/>
                <w:kern w:val="2"/>
                <w:sz w:val="24"/>
                <w:szCs w:val="24"/>
              </w:rPr>
              <w:t>饮食炊事机械</w:t>
            </w:r>
          </w:p>
        </w:tc>
        <w:tc>
          <w:tcPr>
            <w:tcW w:w="1954" w:type="dxa"/>
            <w:tcBorders>
              <w:top w:val="single" w:color="000000" w:sz="4" w:space="0"/>
              <w:left w:val="single" w:color="000000" w:sz="4" w:space="0"/>
              <w:bottom w:val="single" w:color="000000" w:sz="4" w:space="0"/>
              <w:right w:val="single" w:color="000000" w:sz="4" w:space="0"/>
            </w:tcBorders>
            <w:vAlign w:val="center"/>
          </w:tcPr>
          <w:p w14:paraId="53B34AEE">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商用燃</w:t>
            </w:r>
            <w:r>
              <w:rPr>
                <w:rFonts w:hint="eastAsia" w:ascii="宋体" w:hAnsi="宋体" w:cs="宋体"/>
                <w:color w:val="auto"/>
                <w:spacing w:val="2"/>
                <w:w w:val="99"/>
                <w:kern w:val="2"/>
                <w:sz w:val="24"/>
                <w:szCs w:val="24"/>
              </w:rPr>
              <w:t>气</w:t>
            </w:r>
            <w:r>
              <w:rPr>
                <w:rFonts w:hint="eastAsia" w:ascii="宋体" w:hAnsi="宋体" w:cs="宋体"/>
                <w:color w:val="auto"/>
                <w:w w:val="99"/>
                <w:kern w:val="2"/>
                <w:sz w:val="24"/>
                <w:szCs w:val="24"/>
              </w:rPr>
              <w:t>灶具</w:t>
            </w:r>
          </w:p>
        </w:tc>
        <w:tc>
          <w:tcPr>
            <w:tcW w:w="1488" w:type="dxa"/>
            <w:tcBorders>
              <w:top w:val="single" w:color="000000" w:sz="4" w:space="0"/>
              <w:left w:val="single" w:color="000000" w:sz="4" w:space="0"/>
              <w:bottom w:val="single" w:color="000000" w:sz="4" w:space="0"/>
              <w:right w:val="single" w:color="000000" w:sz="4" w:space="0"/>
            </w:tcBorders>
            <w:vAlign w:val="center"/>
          </w:tcPr>
          <w:p w14:paraId="3EA7D35C">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56CAF7E1">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kern w:val="2"/>
                <w:sz w:val="24"/>
                <w:szCs w:val="24"/>
                <w:lang w:eastAsia="zh-CN"/>
              </w:rPr>
              <w:t>《商用燃气灶具能效限定值及能效等级》（GB30531）</w:t>
            </w:r>
          </w:p>
        </w:tc>
      </w:tr>
      <w:tr w14:paraId="45BB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3D0C18A5">
            <w:pPr>
              <w:jc w:val="center"/>
              <w:rPr>
                <w:rFonts w:ascii="宋体" w:hAnsi="宋体"/>
                <w:color w:val="auto"/>
                <w:sz w:val="24"/>
              </w:rPr>
            </w:pPr>
            <w:r>
              <w:rPr>
                <w:rFonts w:hint="eastAsia" w:ascii="宋体" w:hAnsi="宋体"/>
                <w:color w:val="auto"/>
                <w:sz w:val="24"/>
              </w:rPr>
              <w:t>15</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55F05E65">
            <w:pPr>
              <w:pStyle w:val="63"/>
              <w:jc w:val="center"/>
              <w:rPr>
                <w:rFonts w:ascii="宋体" w:hAnsi="宋体" w:cs="宋体"/>
                <w:color w:val="auto"/>
                <w:w w:val="99"/>
                <w:kern w:val="2"/>
                <w:sz w:val="24"/>
                <w:szCs w:val="24"/>
              </w:rPr>
            </w:pPr>
            <w:r>
              <w:rPr>
                <w:rFonts w:hint="eastAsia" w:ascii="宋体" w:hAnsi="宋体" w:cs="宋体"/>
                <w:color w:val="auto"/>
                <w:w w:val="99"/>
                <w:kern w:val="2"/>
                <w:sz w:val="24"/>
                <w:szCs w:val="24"/>
              </w:rPr>
              <w:t>★</w:t>
            </w:r>
            <w:r>
              <w:rPr>
                <w:rFonts w:hint="eastAsia" w:ascii="宋体" w:hAnsi="宋体" w:cs="仿宋_GB2312"/>
                <w:color w:val="auto"/>
                <w:kern w:val="2"/>
                <w:sz w:val="24"/>
                <w:szCs w:val="24"/>
              </w:rPr>
              <w:t>A05020105</w:t>
            </w:r>
            <w:r>
              <w:rPr>
                <w:rFonts w:hint="eastAsia" w:ascii="宋体" w:hAnsi="宋体" w:cs="宋体"/>
                <w:color w:val="auto"/>
                <w:w w:val="99"/>
                <w:kern w:val="2"/>
                <w:sz w:val="24"/>
                <w:szCs w:val="24"/>
              </w:rPr>
              <w:t>便器</w:t>
            </w:r>
          </w:p>
        </w:tc>
        <w:tc>
          <w:tcPr>
            <w:tcW w:w="1954" w:type="dxa"/>
            <w:tcBorders>
              <w:top w:val="single" w:color="000000" w:sz="4" w:space="0"/>
              <w:left w:val="single" w:color="000000" w:sz="4" w:space="0"/>
              <w:bottom w:val="single" w:color="000000" w:sz="4" w:space="0"/>
              <w:right w:val="single" w:color="000000" w:sz="4" w:space="0"/>
            </w:tcBorders>
            <w:vAlign w:val="center"/>
          </w:tcPr>
          <w:p w14:paraId="58DFDDC1">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坐便器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5A9F18BB">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67F24D54">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kern w:val="2"/>
                <w:sz w:val="24"/>
                <w:szCs w:val="24"/>
                <w:lang w:eastAsia="zh-CN"/>
              </w:rPr>
              <w:t>《坐便器水效限定值及水效等级》</w:t>
            </w:r>
          </w:p>
          <w:p w14:paraId="454911A3">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kern w:val="2"/>
                <w:sz w:val="24"/>
                <w:szCs w:val="24"/>
                <w:lang w:eastAsia="zh-CN"/>
              </w:rPr>
              <w:t>（GB25502）</w:t>
            </w:r>
          </w:p>
        </w:tc>
      </w:tr>
      <w:tr w14:paraId="257D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227F9337">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0435BE85">
            <w:pPr>
              <w:widowControl/>
              <w:jc w:val="left"/>
              <w:rPr>
                <w:rFonts w:ascii="宋体" w:hAnsi="宋体" w:cs="宋体"/>
                <w:color w:val="auto"/>
                <w:w w:val="99"/>
                <w:sz w:val="24"/>
                <w:lang w:eastAsia="en-US"/>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7604E6F1">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蹲便器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3DA54E50">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26CA610C">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kern w:val="2"/>
                <w:sz w:val="24"/>
                <w:szCs w:val="24"/>
                <w:lang w:eastAsia="zh-CN"/>
              </w:rPr>
              <w:t>《蹲便器用水效率限定值及用水效率等级》（GB30717）</w:t>
            </w:r>
          </w:p>
        </w:tc>
      </w:tr>
      <w:tr w14:paraId="4157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000000" w:sz="4" w:space="0"/>
              <w:left w:val="single" w:color="000000" w:sz="4" w:space="0"/>
              <w:bottom w:val="single" w:color="000000" w:sz="4" w:space="0"/>
              <w:right w:val="single" w:color="000000" w:sz="4" w:space="0"/>
            </w:tcBorders>
            <w:vAlign w:val="center"/>
          </w:tcPr>
          <w:p w14:paraId="7C549A2E">
            <w:pPr>
              <w:widowControl/>
              <w:jc w:val="left"/>
              <w:rPr>
                <w:rFonts w:ascii="宋体" w:hAnsi="宋体"/>
                <w:color w:val="auto"/>
                <w:sz w:val="24"/>
              </w:rPr>
            </w:pPr>
          </w:p>
        </w:tc>
        <w:tc>
          <w:tcPr>
            <w:tcW w:w="1543" w:type="dxa"/>
            <w:vMerge w:val="continue"/>
            <w:tcBorders>
              <w:top w:val="single" w:color="000000" w:sz="4" w:space="0"/>
              <w:left w:val="single" w:color="000000" w:sz="4" w:space="0"/>
              <w:bottom w:val="single" w:color="000000" w:sz="4" w:space="0"/>
              <w:right w:val="single" w:color="000000" w:sz="4" w:space="0"/>
            </w:tcBorders>
            <w:vAlign w:val="center"/>
          </w:tcPr>
          <w:p w14:paraId="66017129">
            <w:pPr>
              <w:widowControl/>
              <w:jc w:val="left"/>
              <w:rPr>
                <w:rFonts w:ascii="宋体" w:hAnsi="宋体" w:cs="宋体"/>
                <w:color w:val="auto"/>
                <w:w w:val="99"/>
                <w:sz w:val="24"/>
              </w:rPr>
            </w:pPr>
          </w:p>
        </w:tc>
        <w:tc>
          <w:tcPr>
            <w:tcW w:w="1954" w:type="dxa"/>
            <w:tcBorders>
              <w:top w:val="single" w:color="000000" w:sz="4" w:space="0"/>
              <w:left w:val="single" w:color="000000" w:sz="4" w:space="0"/>
              <w:bottom w:val="single" w:color="000000" w:sz="4" w:space="0"/>
              <w:right w:val="single" w:color="000000" w:sz="4" w:space="0"/>
            </w:tcBorders>
            <w:vAlign w:val="center"/>
          </w:tcPr>
          <w:p w14:paraId="7CCE4B13">
            <w:pPr>
              <w:pStyle w:val="63"/>
              <w:jc w:val="center"/>
              <w:rPr>
                <w:rFonts w:ascii="宋体" w:hAnsi="宋体" w:cs="宋体"/>
                <w:color w:val="auto"/>
                <w:kern w:val="2"/>
                <w:sz w:val="24"/>
                <w:szCs w:val="24"/>
              </w:rPr>
            </w:pPr>
            <w:r>
              <w:rPr>
                <w:rFonts w:hint="eastAsia" w:ascii="宋体" w:hAnsi="宋体" w:cs="宋体"/>
                <w:color w:val="auto"/>
                <w:w w:val="99"/>
                <w:kern w:val="2"/>
                <w:sz w:val="24"/>
                <w:szCs w:val="24"/>
              </w:rPr>
              <w:t>小便器</w:t>
            </w:r>
          </w:p>
        </w:tc>
        <w:tc>
          <w:tcPr>
            <w:tcW w:w="1488" w:type="dxa"/>
            <w:tcBorders>
              <w:top w:val="single" w:color="000000" w:sz="4" w:space="0"/>
              <w:left w:val="single" w:color="000000" w:sz="4" w:space="0"/>
              <w:bottom w:val="single" w:color="000000" w:sz="4" w:space="0"/>
              <w:right w:val="single" w:color="000000" w:sz="4" w:space="0"/>
            </w:tcBorders>
            <w:vAlign w:val="center"/>
          </w:tcPr>
          <w:p w14:paraId="45306D85">
            <w:pPr>
              <w:jc w:val="center"/>
              <w:rPr>
                <w:rFonts w:ascii="宋体" w:hAnsi="宋体"/>
                <w:color w:val="auto"/>
                <w:sz w:val="24"/>
              </w:rPr>
            </w:pPr>
          </w:p>
        </w:tc>
        <w:tc>
          <w:tcPr>
            <w:tcW w:w="4287" w:type="dxa"/>
            <w:tcBorders>
              <w:top w:val="single" w:color="000000" w:sz="4" w:space="0"/>
              <w:left w:val="single" w:color="000000" w:sz="4" w:space="0"/>
              <w:bottom w:val="single" w:color="000000" w:sz="4" w:space="0"/>
              <w:right w:val="single" w:color="000000" w:sz="4" w:space="0"/>
            </w:tcBorders>
          </w:tcPr>
          <w:p w14:paraId="41BF34CA">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kern w:val="2"/>
                <w:sz w:val="24"/>
                <w:szCs w:val="24"/>
                <w:lang w:eastAsia="zh-CN"/>
              </w:rPr>
              <w:t>《小便器用水效率限定值及用水效率等级》（GB28377）</w:t>
            </w:r>
          </w:p>
        </w:tc>
      </w:tr>
      <w:tr w14:paraId="651E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34F62F4D">
            <w:pPr>
              <w:pStyle w:val="63"/>
              <w:jc w:val="center"/>
              <w:rPr>
                <w:rFonts w:ascii="宋体" w:hAnsi="宋体" w:cs="宋体"/>
                <w:color w:val="auto"/>
                <w:kern w:val="2"/>
                <w:sz w:val="24"/>
                <w:szCs w:val="24"/>
              </w:rPr>
            </w:pPr>
            <w:r>
              <w:rPr>
                <w:rFonts w:hint="eastAsia" w:ascii="宋体" w:hAnsi="宋体"/>
                <w:color w:val="auto"/>
                <w:kern w:val="2"/>
                <w:sz w:val="24"/>
                <w:szCs w:val="24"/>
              </w:rPr>
              <w:t>16</w:t>
            </w:r>
          </w:p>
        </w:tc>
        <w:tc>
          <w:tcPr>
            <w:tcW w:w="1543" w:type="dxa"/>
            <w:tcBorders>
              <w:top w:val="single" w:color="000000" w:sz="4" w:space="0"/>
              <w:left w:val="single" w:color="000000" w:sz="4" w:space="0"/>
              <w:bottom w:val="single" w:color="000000" w:sz="4" w:space="0"/>
              <w:right w:val="single" w:color="000000" w:sz="4" w:space="0"/>
            </w:tcBorders>
            <w:vAlign w:val="center"/>
          </w:tcPr>
          <w:p w14:paraId="698DF6DD">
            <w:pPr>
              <w:pStyle w:val="63"/>
              <w:spacing w:before="153"/>
              <w:ind w:left="7"/>
              <w:jc w:val="center"/>
              <w:rPr>
                <w:rFonts w:ascii="宋体" w:hAnsi="宋体" w:cs="宋体"/>
                <w:color w:val="auto"/>
                <w:kern w:val="2"/>
                <w:sz w:val="24"/>
                <w:szCs w:val="24"/>
              </w:rPr>
            </w:pPr>
            <w:r>
              <w:rPr>
                <w:rFonts w:hint="eastAsia" w:ascii="宋体" w:hAnsi="宋体" w:cs="宋体"/>
                <w:color w:val="auto"/>
                <w:kern w:val="2"/>
                <w:sz w:val="24"/>
                <w:szCs w:val="24"/>
              </w:rPr>
              <w:t>★</w:t>
            </w:r>
            <w:r>
              <w:rPr>
                <w:rFonts w:hint="eastAsia" w:ascii="宋体" w:hAnsi="宋体" w:cs="仿宋_GB2312"/>
                <w:color w:val="auto"/>
                <w:kern w:val="2"/>
                <w:sz w:val="24"/>
                <w:szCs w:val="24"/>
              </w:rPr>
              <w:t>A05020106</w:t>
            </w:r>
            <w:r>
              <w:rPr>
                <w:rFonts w:hint="eastAsia" w:ascii="宋体" w:hAnsi="宋体" w:cs="宋体"/>
                <w:color w:val="auto"/>
                <w:kern w:val="2"/>
                <w:sz w:val="24"/>
                <w:szCs w:val="24"/>
              </w:rPr>
              <w:t>水</w:t>
            </w:r>
            <w:r>
              <w:rPr>
                <w:rFonts w:hint="eastAsia" w:ascii="宋体" w:hAnsi="宋体" w:cs="宋体"/>
                <w:color w:val="auto"/>
                <w:w w:val="99"/>
                <w:kern w:val="2"/>
                <w:sz w:val="24"/>
                <w:szCs w:val="24"/>
              </w:rPr>
              <w:t>嘴</w:t>
            </w:r>
          </w:p>
        </w:tc>
        <w:tc>
          <w:tcPr>
            <w:tcW w:w="1954" w:type="dxa"/>
            <w:tcBorders>
              <w:top w:val="single" w:color="000000" w:sz="4" w:space="0"/>
              <w:left w:val="single" w:color="000000" w:sz="4" w:space="0"/>
              <w:bottom w:val="single" w:color="000000" w:sz="4" w:space="0"/>
              <w:right w:val="single" w:color="000000" w:sz="4" w:space="0"/>
            </w:tcBorders>
            <w:vAlign w:val="center"/>
          </w:tcPr>
          <w:p w14:paraId="2A610295">
            <w:pPr>
              <w:jc w:val="center"/>
              <w:rPr>
                <w:rFonts w:ascii="宋体" w:hAnsi="宋体"/>
                <w:color w:val="auto"/>
                <w:sz w:val="24"/>
                <w:lang w:eastAsia="en-US"/>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6B970D7E">
            <w:pPr>
              <w:jc w:val="center"/>
              <w:rPr>
                <w:rFonts w:ascii="宋体" w:hAnsi="宋体"/>
                <w:color w:val="auto"/>
                <w:sz w:val="24"/>
                <w:lang w:eastAsia="en-US"/>
              </w:rPr>
            </w:pPr>
          </w:p>
        </w:tc>
        <w:tc>
          <w:tcPr>
            <w:tcW w:w="4287" w:type="dxa"/>
            <w:tcBorders>
              <w:top w:val="single" w:color="000000" w:sz="4" w:space="0"/>
              <w:left w:val="single" w:color="000000" w:sz="4" w:space="0"/>
              <w:bottom w:val="single" w:color="000000" w:sz="4" w:space="0"/>
              <w:right w:val="single" w:color="000000" w:sz="4" w:space="0"/>
            </w:tcBorders>
          </w:tcPr>
          <w:p w14:paraId="684742A9">
            <w:pPr>
              <w:pStyle w:val="63"/>
              <w:spacing w:before="153" w:line="276" w:lineRule="auto"/>
              <w:ind w:left="7" w:right="4"/>
              <w:rPr>
                <w:rFonts w:ascii="宋体" w:hAnsi="宋体" w:cs="宋体"/>
                <w:color w:val="auto"/>
                <w:kern w:val="2"/>
                <w:sz w:val="24"/>
                <w:szCs w:val="24"/>
                <w:lang w:eastAsia="zh-CN"/>
              </w:rPr>
            </w:pPr>
            <w:r>
              <w:rPr>
                <w:rFonts w:hint="eastAsia" w:ascii="宋体" w:hAnsi="宋体" w:cs="宋体"/>
                <w:color w:val="auto"/>
                <w:spacing w:val="10"/>
                <w:kern w:val="2"/>
                <w:sz w:val="24"/>
                <w:szCs w:val="24"/>
                <w:lang w:eastAsia="zh-CN"/>
              </w:rPr>
              <w:t>《水嘴用水效率限定值及用水效</w:t>
            </w:r>
            <w:r>
              <w:rPr>
                <w:rFonts w:hint="eastAsia" w:ascii="宋体" w:hAnsi="宋体" w:cs="宋体"/>
                <w:color w:val="auto"/>
                <w:kern w:val="2"/>
                <w:sz w:val="24"/>
                <w:szCs w:val="24"/>
                <w:lang w:eastAsia="zh-CN"/>
              </w:rPr>
              <w:t>率等级》（GB 25501）</w:t>
            </w:r>
          </w:p>
        </w:tc>
      </w:tr>
      <w:tr w14:paraId="1CA5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57A7C83D">
            <w:pPr>
              <w:pStyle w:val="63"/>
              <w:jc w:val="center"/>
              <w:rPr>
                <w:rFonts w:ascii="宋体" w:hAnsi="宋体" w:cs="宋体"/>
                <w:color w:val="auto"/>
                <w:kern w:val="2"/>
                <w:sz w:val="24"/>
                <w:szCs w:val="24"/>
              </w:rPr>
            </w:pPr>
            <w:r>
              <w:rPr>
                <w:rFonts w:hint="eastAsia" w:ascii="宋体" w:hAnsi="宋体"/>
                <w:color w:val="auto"/>
                <w:kern w:val="2"/>
                <w:sz w:val="24"/>
                <w:szCs w:val="24"/>
              </w:rPr>
              <w:t>17</w:t>
            </w:r>
          </w:p>
        </w:tc>
        <w:tc>
          <w:tcPr>
            <w:tcW w:w="1543" w:type="dxa"/>
            <w:tcBorders>
              <w:top w:val="single" w:color="000000" w:sz="4" w:space="0"/>
              <w:left w:val="single" w:color="000000" w:sz="4" w:space="0"/>
              <w:bottom w:val="single" w:color="000000" w:sz="4" w:space="0"/>
              <w:right w:val="single" w:color="000000" w:sz="4" w:space="0"/>
            </w:tcBorders>
            <w:vAlign w:val="center"/>
          </w:tcPr>
          <w:p w14:paraId="2CCFBA6D">
            <w:pPr>
              <w:pStyle w:val="63"/>
              <w:spacing w:before="112"/>
              <w:ind w:left="7"/>
              <w:jc w:val="center"/>
              <w:rPr>
                <w:rFonts w:ascii="宋体" w:hAnsi="宋体" w:cs="宋体"/>
                <w:color w:val="auto"/>
                <w:kern w:val="2"/>
                <w:sz w:val="24"/>
                <w:szCs w:val="24"/>
              </w:rPr>
            </w:pPr>
            <w:r>
              <w:rPr>
                <w:rFonts w:hint="eastAsia" w:ascii="宋体" w:hAnsi="宋体" w:cs="仿宋_GB2312"/>
                <w:color w:val="auto"/>
                <w:kern w:val="2"/>
                <w:sz w:val="24"/>
                <w:szCs w:val="24"/>
              </w:rPr>
              <w:t>A05020107</w:t>
            </w:r>
            <w:r>
              <w:rPr>
                <w:rFonts w:hint="eastAsia" w:ascii="宋体" w:hAnsi="宋体" w:cs="宋体"/>
                <w:color w:val="auto"/>
                <w:kern w:val="2"/>
                <w:sz w:val="24"/>
                <w:szCs w:val="24"/>
              </w:rPr>
              <w:t>便器冲洗阀</w:t>
            </w:r>
          </w:p>
        </w:tc>
        <w:tc>
          <w:tcPr>
            <w:tcW w:w="1954" w:type="dxa"/>
            <w:tcBorders>
              <w:top w:val="single" w:color="000000" w:sz="4" w:space="0"/>
              <w:left w:val="single" w:color="000000" w:sz="4" w:space="0"/>
              <w:bottom w:val="single" w:color="000000" w:sz="4" w:space="0"/>
              <w:right w:val="single" w:color="000000" w:sz="4" w:space="0"/>
            </w:tcBorders>
            <w:vAlign w:val="center"/>
          </w:tcPr>
          <w:p w14:paraId="5865FA8F">
            <w:pPr>
              <w:jc w:val="center"/>
              <w:rPr>
                <w:rFonts w:ascii="宋体" w:hAnsi="宋体"/>
                <w:color w:val="auto"/>
                <w:sz w:val="24"/>
                <w:lang w:eastAsia="en-US"/>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6220DCE9">
            <w:pPr>
              <w:jc w:val="center"/>
              <w:rPr>
                <w:rFonts w:ascii="宋体" w:hAnsi="宋体"/>
                <w:color w:val="auto"/>
                <w:sz w:val="24"/>
                <w:lang w:eastAsia="en-US"/>
              </w:rPr>
            </w:pPr>
          </w:p>
        </w:tc>
        <w:tc>
          <w:tcPr>
            <w:tcW w:w="4287" w:type="dxa"/>
            <w:tcBorders>
              <w:top w:val="single" w:color="000000" w:sz="4" w:space="0"/>
              <w:left w:val="single" w:color="000000" w:sz="4" w:space="0"/>
              <w:bottom w:val="single" w:color="000000" w:sz="4" w:space="0"/>
              <w:right w:val="single" w:color="000000" w:sz="4" w:space="0"/>
            </w:tcBorders>
          </w:tcPr>
          <w:p w14:paraId="54222801">
            <w:pPr>
              <w:pStyle w:val="63"/>
              <w:spacing w:before="112" w:line="276" w:lineRule="auto"/>
              <w:ind w:left="7" w:right="4"/>
              <w:rPr>
                <w:rFonts w:ascii="宋体" w:hAnsi="宋体" w:cs="宋体"/>
                <w:color w:val="auto"/>
                <w:kern w:val="2"/>
                <w:sz w:val="24"/>
                <w:szCs w:val="24"/>
                <w:lang w:eastAsia="zh-CN"/>
              </w:rPr>
            </w:pPr>
            <w:r>
              <w:rPr>
                <w:rFonts w:hint="eastAsia" w:ascii="宋体" w:hAnsi="宋体" w:cs="宋体"/>
                <w:color w:val="auto"/>
                <w:spacing w:val="10"/>
                <w:kern w:val="2"/>
                <w:sz w:val="24"/>
                <w:szCs w:val="24"/>
                <w:lang w:eastAsia="zh-CN"/>
              </w:rPr>
              <w:t>《便器冲洗阀用水效率限定值及</w:t>
            </w:r>
            <w:r>
              <w:rPr>
                <w:rFonts w:hint="eastAsia" w:ascii="宋体" w:hAnsi="宋体" w:cs="宋体"/>
                <w:color w:val="auto"/>
                <w:kern w:val="2"/>
                <w:sz w:val="24"/>
                <w:szCs w:val="24"/>
                <w:lang w:eastAsia="zh-CN"/>
              </w:rPr>
              <w:t>用水效率等级》（GB28379）</w:t>
            </w:r>
          </w:p>
        </w:tc>
      </w:tr>
      <w:tr w14:paraId="7340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42899F1F">
            <w:pPr>
              <w:pStyle w:val="63"/>
              <w:jc w:val="center"/>
              <w:rPr>
                <w:rFonts w:ascii="宋体" w:hAnsi="宋体" w:cs="宋体"/>
                <w:color w:val="auto"/>
                <w:kern w:val="2"/>
                <w:sz w:val="24"/>
                <w:szCs w:val="24"/>
              </w:rPr>
            </w:pPr>
            <w:r>
              <w:rPr>
                <w:rFonts w:hint="eastAsia" w:ascii="宋体" w:hAnsi="宋体"/>
                <w:color w:val="auto"/>
                <w:kern w:val="2"/>
                <w:sz w:val="24"/>
                <w:szCs w:val="24"/>
              </w:rPr>
              <w:t>18</w:t>
            </w:r>
          </w:p>
        </w:tc>
        <w:tc>
          <w:tcPr>
            <w:tcW w:w="1543" w:type="dxa"/>
            <w:tcBorders>
              <w:top w:val="single" w:color="000000" w:sz="4" w:space="0"/>
              <w:left w:val="single" w:color="000000" w:sz="4" w:space="0"/>
              <w:bottom w:val="single" w:color="000000" w:sz="4" w:space="0"/>
              <w:right w:val="single" w:color="000000" w:sz="4" w:space="0"/>
            </w:tcBorders>
            <w:vAlign w:val="center"/>
          </w:tcPr>
          <w:p w14:paraId="0BBD8E09">
            <w:pPr>
              <w:pStyle w:val="63"/>
              <w:spacing w:before="131"/>
              <w:ind w:left="7"/>
              <w:jc w:val="center"/>
              <w:rPr>
                <w:rFonts w:ascii="宋体" w:hAnsi="宋体" w:cs="宋体"/>
                <w:color w:val="auto"/>
                <w:kern w:val="2"/>
                <w:sz w:val="24"/>
                <w:szCs w:val="24"/>
              </w:rPr>
            </w:pPr>
            <w:r>
              <w:rPr>
                <w:rFonts w:hint="eastAsia" w:ascii="宋体" w:hAnsi="宋体" w:cs="仿宋_GB2312"/>
                <w:color w:val="auto"/>
                <w:kern w:val="2"/>
                <w:sz w:val="24"/>
                <w:szCs w:val="24"/>
              </w:rPr>
              <w:t>A05020110</w:t>
            </w:r>
            <w:r>
              <w:rPr>
                <w:rFonts w:hint="eastAsia" w:ascii="宋体" w:hAnsi="宋体" w:cs="宋体"/>
                <w:color w:val="auto"/>
                <w:kern w:val="2"/>
                <w:sz w:val="24"/>
                <w:szCs w:val="24"/>
              </w:rPr>
              <w:t>淋浴</w:t>
            </w:r>
            <w:r>
              <w:rPr>
                <w:rFonts w:hint="eastAsia" w:ascii="宋体" w:hAnsi="宋体" w:cs="宋体"/>
                <w:color w:val="auto"/>
                <w:w w:val="99"/>
                <w:kern w:val="2"/>
                <w:sz w:val="24"/>
                <w:szCs w:val="24"/>
              </w:rPr>
              <w:t>器</w:t>
            </w:r>
          </w:p>
        </w:tc>
        <w:tc>
          <w:tcPr>
            <w:tcW w:w="1954" w:type="dxa"/>
            <w:tcBorders>
              <w:top w:val="single" w:color="000000" w:sz="4" w:space="0"/>
              <w:left w:val="single" w:color="000000" w:sz="4" w:space="0"/>
              <w:bottom w:val="single" w:color="000000" w:sz="4" w:space="0"/>
              <w:right w:val="single" w:color="000000" w:sz="4" w:space="0"/>
            </w:tcBorders>
            <w:vAlign w:val="center"/>
          </w:tcPr>
          <w:p w14:paraId="5B75ACEB">
            <w:pPr>
              <w:jc w:val="center"/>
              <w:rPr>
                <w:rFonts w:ascii="宋体" w:hAnsi="宋体"/>
                <w:color w:val="auto"/>
                <w:sz w:val="24"/>
                <w:lang w:eastAsia="en-US"/>
              </w:rPr>
            </w:pPr>
          </w:p>
        </w:tc>
        <w:tc>
          <w:tcPr>
            <w:tcW w:w="1488" w:type="dxa"/>
            <w:tcBorders>
              <w:top w:val="single" w:color="000000" w:sz="4" w:space="0"/>
              <w:left w:val="single" w:color="000000" w:sz="4" w:space="0"/>
              <w:bottom w:val="single" w:color="000000" w:sz="4" w:space="0"/>
              <w:right w:val="single" w:color="000000" w:sz="4" w:space="0"/>
            </w:tcBorders>
            <w:vAlign w:val="center"/>
          </w:tcPr>
          <w:p w14:paraId="582E4C5F">
            <w:pPr>
              <w:jc w:val="center"/>
              <w:rPr>
                <w:rFonts w:ascii="宋体" w:hAnsi="宋体"/>
                <w:color w:val="auto"/>
                <w:sz w:val="24"/>
                <w:lang w:eastAsia="en-US"/>
              </w:rPr>
            </w:pPr>
          </w:p>
        </w:tc>
        <w:tc>
          <w:tcPr>
            <w:tcW w:w="4287" w:type="dxa"/>
            <w:tcBorders>
              <w:top w:val="single" w:color="000000" w:sz="4" w:space="0"/>
              <w:left w:val="single" w:color="000000" w:sz="4" w:space="0"/>
              <w:bottom w:val="single" w:color="000000" w:sz="4" w:space="0"/>
              <w:right w:val="single" w:color="000000" w:sz="4" w:space="0"/>
            </w:tcBorders>
          </w:tcPr>
          <w:p w14:paraId="788F8B57">
            <w:pPr>
              <w:pStyle w:val="63"/>
              <w:spacing w:before="131" w:line="276" w:lineRule="auto"/>
              <w:ind w:left="7" w:right="4"/>
              <w:rPr>
                <w:rFonts w:ascii="宋体" w:hAnsi="宋体" w:cs="宋体"/>
                <w:color w:val="auto"/>
                <w:kern w:val="2"/>
                <w:sz w:val="24"/>
                <w:szCs w:val="24"/>
                <w:lang w:eastAsia="zh-CN"/>
              </w:rPr>
            </w:pPr>
            <w:r>
              <w:rPr>
                <w:rFonts w:hint="eastAsia" w:ascii="宋体" w:hAnsi="宋体" w:cs="宋体"/>
                <w:color w:val="auto"/>
                <w:spacing w:val="10"/>
                <w:kern w:val="2"/>
                <w:sz w:val="24"/>
                <w:szCs w:val="24"/>
                <w:lang w:eastAsia="zh-CN"/>
              </w:rPr>
              <w:t>《淋浴器用水效率限定值及用水</w:t>
            </w:r>
            <w:r>
              <w:rPr>
                <w:rFonts w:hint="eastAsia" w:ascii="宋体" w:hAnsi="宋体" w:cs="宋体"/>
                <w:color w:val="auto"/>
                <w:kern w:val="2"/>
                <w:sz w:val="24"/>
                <w:szCs w:val="24"/>
                <w:lang w:eastAsia="zh-CN"/>
              </w:rPr>
              <w:t>效率等级》（GB28378）</w:t>
            </w:r>
          </w:p>
        </w:tc>
      </w:tr>
    </w:tbl>
    <w:p w14:paraId="38FF06A0">
      <w:pPr>
        <w:spacing w:line="360" w:lineRule="auto"/>
        <w:ind w:firstLine="470" w:firstLineChars="200"/>
        <w:rPr>
          <w:rFonts w:ascii="楷体" w:hAnsi="楷体" w:eastAsia="楷体" w:cs="宋体"/>
          <w:color w:val="auto"/>
          <w:spacing w:val="-3"/>
          <w:kern w:val="0"/>
          <w:sz w:val="24"/>
        </w:rPr>
      </w:pPr>
      <w:r>
        <w:rPr>
          <w:rFonts w:hint="eastAsia" w:ascii="楷体" w:hAnsi="楷体" w:eastAsia="楷体" w:cs="宋体"/>
          <w:b/>
          <w:color w:val="auto"/>
          <w:spacing w:val="-3"/>
          <w:kern w:val="0"/>
          <w:sz w:val="24"/>
        </w:rPr>
        <w:t>注：</w:t>
      </w:r>
      <w:r>
        <w:rPr>
          <w:rFonts w:hint="eastAsia" w:ascii="楷体" w:hAnsi="楷体" w:eastAsia="楷体" w:cs="宋体"/>
          <w:color w:val="auto"/>
          <w:spacing w:val="-3"/>
          <w:kern w:val="0"/>
          <w:sz w:val="24"/>
        </w:rPr>
        <w:t>1.节能产品认证应依据相关国家标准的最新版本，依据国家标准中二级能效（水效）指标。</w:t>
      </w:r>
    </w:p>
    <w:p w14:paraId="3ACBB41A">
      <w:pPr>
        <w:spacing w:line="360" w:lineRule="auto"/>
        <w:ind w:firstLine="468" w:firstLineChars="200"/>
        <w:rPr>
          <w:rFonts w:ascii="楷体" w:hAnsi="楷体" w:eastAsia="楷体" w:cs="宋体"/>
          <w:color w:val="auto"/>
          <w:spacing w:val="-3"/>
          <w:kern w:val="0"/>
          <w:sz w:val="24"/>
        </w:rPr>
      </w:pPr>
      <w:r>
        <w:rPr>
          <w:rFonts w:hint="eastAsia" w:ascii="楷体" w:hAnsi="楷体" w:eastAsia="楷体" w:cs="宋体"/>
          <w:color w:val="auto"/>
          <w:spacing w:val="-3"/>
          <w:kern w:val="0"/>
          <w:sz w:val="24"/>
        </w:rPr>
        <w:t>2.以“★”标注的为政府强制采购产品。</w:t>
      </w:r>
    </w:p>
    <w:p w14:paraId="316F6959">
      <w:pPr>
        <w:pStyle w:val="15"/>
        <w:ind w:firstLine="468" w:firstLineChars="200"/>
        <w:jc w:val="left"/>
        <w:rPr>
          <w:rFonts w:hAnsi="宋体" w:cs="宋体"/>
          <w:color w:val="auto"/>
          <w:sz w:val="24"/>
          <w:szCs w:val="24"/>
        </w:rPr>
      </w:pPr>
      <w:r>
        <w:rPr>
          <w:rFonts w:hint="eastAsia" w:ascii="楷体" w:hAnsi="楷体" w:eastAsia="楷体" w:cs="宋体"/>
          <w:color w:val="auto"/>
          <w:spacing w:val="-3"/>
          <w:sz w:val="24"/>
          <w:szCs w:val="24"/>
        </w:rPr>
        <w:t>3.本表格原为《关于印发节能产品政府采购品目清单的通知》（财库〔2019〕19号）规定的表格附件，其中名称及编码已根据《财政部关于印发〈政府采购品目分类目录〉的通知》（财库〔2022〕31号）修改。</w:t>
      </w:r>
    </w:p>
    <w:p w14:paraId="666D2766">
      <w:pPr>
        <w:rPr>
          <w:rFonts w:hAnsi="宋体" w:cs="宋体"/>
          <w:color w:val="auto"/>
          <w:sz w:val="24"/>
        </w:rPr>
      </w:pPr>
      <w:r>
        <w:rPr>
          <w:rFonts w:hint="eastAsia" w:hAnsi="宋体" w:cs="宋体"/>
          <w:color w:val="auto"/>
          <w:sz w:val="24"/>
        </w:rPr>
        <w:br w:type="page"/>
      </w:r>
    </w:p>
    <w:p w14:paraId="09ACFB92">
      <w:pPr>
        <w:pStyle w:val="15"/>
        <w:ind w:firstLine="480" w:firstLineChars="200"/>
        <w:jc w:val="left"/>
        <w:rPr>
          <w:rFonts w:hAnsi="宋体" w:cs="宋体"/>
          <w:color w:val="auto"/>
          <w:sz w:val="24"/>
          <w:szCs w:val="24"/>
        </w:rPr>
      </w:pPr>
      <w:r>
        <w:rPr>
          <w:rFonts w:hint="eastAsia" w:hAnsi="宋体" w:cs="宋体"/>
          <w:color w:val="auto"/>
          <w:sz w:val="24"/>
          <w:szCs w:val="24"/>
        </w:rPr>
        <w:t>附件2：</w:t>
      </w:r>
    </w:p>
    <w:p w14:paraId="57F72700">
      <w:pPr>
        <w:spacing w:line="528" w:lineRule="exact"/>
        <w:ind w:left="220"/>
        <w:jc w:val="center"/>
        <w:rPr>
          <w:rFonts w:ascii="宋体" w:hAnsi="宋体" w:cs="宋体"/>
          <w:b/>
          <w:bCs/>
          <w:color w:val="auto"/>
          <w:sz w:val="36"/>
          <w:szCs w:val="36"/>
        </w:rPr>
      </w:pPr>
      <w:r>
        <w:rPr>
          <w:rFonts w:hint="eastAsia" w:ascii="宋体" w:hAnsi="宋体" w:cs="宋体"/>
          <w:b/>
          <w:bCs/>
          <w:color w:val="auto"/>
          <w:sz w:val="36"/>
          <w:szCs w:val="36"/>
        </w:rPr>
        <w:t>中小微企业划型标准</w:t>
      </w:r>
    </w:p>
    <w:tbl>
      <w:tblPr>
        <w:tblStyle w:val="27"/>
        <w:tblW w:w="9418" w:type="dxa"/>
        <w:tblInd w:w="250" w:type="dxa"/>
        <w:tblLayout w:type="fixed"/>
        <w:tblCellMar>
          <w:top w:w="0" w:type="dxa"/>
          <w:left w:w="108" w:type="dxa"/>
          <w:bottom w:w="0" w:type="dxa"/>
          <w:right w:w="108" w:type="dxa"/>
        </w:tblCellMar>
      </w:tblPr>
      <w:tblGrid>
        <w:gridCol w:w="2007"/>
        <w:gridCol w:w="1633"/>
        <w:gridCol w:w="1077"/>
        <w:gridCol w:w="1911"/>
        <w:gridCol w:w="1699"/>
        <w:gridCol w:w="1091"/>
      </w:tblGrid>
      <w:tr w14:paraId="7A6028A1">
        <w:tblPrEx>
          <w:tblCellMar>
            <w:top w:w="0" w:type="dxa"/>
            <w:left w:w="108" w:type="dxa"/>
            <w:bottom w:w="0" w:type="dxa"/>
            <w:right w:w="108" w:type="dxa"/>
          </w:tblCellMar>
        </w:tblPrEx>
        <w:trPr>
          <w:trHeight w:val="364" w:hRule="atLeast"/>
        </w:trPr>
        <w:tc>
          <w:tcPr>
            <w:tcW w:w="2007" w:type="dxa"/>
            <w:tcBorders>
              <w:top w:val="single" w:color="auto" w:sz="4" w:space="0"/>
              <w:left w:val="single" w:color="auto" w:sz="4" w:space="0"/>
              <w:bottom w:val="single" w:color="auto" w:sz="4" w:space="0"/>
              <w:right w:val="single" w:color="auto" w:sz="4" w:space="0"/>
            </w:tcBorders>
            <w:vAlign w:val="center"/>
          </w:tcPr>
          <w:p w14:paraId="35F4FCDD">
            <w:pPr>
              <w:widowControl/>
              <w:jc w:val="center"/>
              <w:rPr>
                <w:rFonts w:ascii="宋体" w:hAnsi="宋体" w:cs="宋体"/>
                <w:b/>
                <w:color w:val="auto"/>
                <w:kern w:val="0"/>
                <w:sz w:val="20"/>
                <w:szCs w:val="20"/>
              </w:rPr>
            </w:pPr>
            <w:r>
              <w:rPr>
                <w:rFonts w:hint="eastAsia" w:ascii="宋体" w:hAnsi="宋体" w:cs="宋体"/>
                <w:b/>
                <w:color w:val="auto"/>
                <w:kern w:val="0"/>
                <w:sz w:val="20"/>
                <w:szCs w:val="20"/>
              </w:rPr>
              <w:t>行业名称</w:t>
            </w:r>
          </w:p>
        </w:tc>
        <w:tc>
          <w:tcPr>
            <w:tcW w:w="1633" w:type="dxa"/>
            <w:tcBorders>
              <w:top w:val="single" w:color="auto" w:sz="4" w:space="0"/>
              <w:left w:val="nil"/>
              <w:bottom w:val="single" w:color="auto" w:sz="4" w:space="0"/>
              <w:right w:val="single" w:color="auto" w:sz="4" w:space="0"/>
            </w:tcBorders>
            <w:vAlign w:val="center"/>
          </w:tcPr>
          <w:p w14:paraId="399D8754">
            <w:pPr>
              <w:widowControl/>
              <w:jc w:val="center"/>
              <w:rPr>
                <w:rFonts w:ascii="宋体" w:hAnsi="宋体" w:cs="宋体"/>
                <w:b/>
                <w:color w:val="auto"/>
                <w:kern w:val="0"/>
                <w:sz w:val="20"/>
                <w:szCs w:val="20"/>
              </w:rPr>
            </w:pPr>
            <w:r>
              <w:rPr>
                <w:rFonts w:hint="eastAsia" w:ascii="宋体" w:hAnsi="宋体" w:cs="宋体"/>
                <w:b/>
                <w:color w:val="auto"/>
                <w:kern w:val="0"/>
                <w:sz w:val="20"/>
                <w:szCs w:val="20"/>
              </w:rPr>
              <w:t>指标名称</w:t>
            </w:r>
          </w:p>
        </w:tc>
        <w:tc>
          <w:tcPr>
            <w:tcW w:w="1077" w:type="dxa"/>
            <w:tcBorders>
              <w:top w:val="single" w:color="auto" w:sz="4" w:space="0"/>
              <w:left w:val="nil"/>
              <w:bottom w:val="single" w:color="auto" w:sz="4" w:space="0"/>
              <w:right w:val="single" w:color="auto" w:sz="4" w:space="0"/>
            </w:tcBorders>
            <w:vAlign w:val="center"/>
          </w:tcPr>
          <w:p w14:paraId="5BA53BDA">
            <w:pPr>
              <w:widowControl/>
              <w:jc w:val="center"/>
              <w:rPr>
                <w:rFonts w:ascii="宋体" w:hAnsi="宋体" w:cs="宋体"/>
                <w:b/>
                <w:color w:val="auto"/>
                <w:kern w:val="0"/>
                <w:sz w:val="20"/>
                <w:szCs w:val="20"/>
              </w:rPr>
            </w:pPr>
            <w:r>
              <w:rPr>
                <w:rFonts w:hint="eastAsia" w:ascii="宋体" w:hAnsi="宋体" w:cs="宋体"/>
                <w:b/>
                <w:color w:val="auto"/>
                <w:kern w:val="0"/>
                <w:sz w:val="20"/>
                <w:szCs w:val="20"/>
              </w:rPr>
              <w:t>计量单位</w:t>
            </w:r>
          </w:p>
        </w:tc>
        <w:tc>
          <w:tcPr>
            <w:tcW w:w="1911" w:type="dxa"/>
            <w:tcBorders>
              <w:top w:val="single" w:color="auto" w:sz="4" w:space="0"/>
              <w:left w:val="nil"/>
              <w:bottom w:val="single" w:color="auto" w:sz="4" w:space="0"/>
              <w:right w:val="single" w:color="auto" w:sz="4" w:space="0"/>
            </w:tcBorders>
            <w:vAlign w:val="center"/>
          </w:tcPr>
          <w:p w14:paraId="32FA0D51">
            <w:pPr>
              <w:widowControl/>
              <w:jc w:val="center"/>
              <w:rPr>
                <w:rFonts w:ascii="宋体" w:hAnsi="宋体" w:cs="宋体"/>
                <w:b/>
                <w:color w:val="auto"/>
                <w:kern w:val="0"/>
                <w:sz w:val="20"/>
                <w:szCs w:val="20"/>
              </w:rPr>
            </w:pPr>
            <w:r>
              <w:rPr>
                <w:rFonts w:hint="eastAsia" w:ascii="宋体" w:hAnsi="宋体" w:cs="宋体"/>
                <w:b/>
                <w:color w:val="auto"/>
                <w:kern w:val="0"/>
                <w:sz w:val="20"/>
                <w:szCs w:val="20"/>
              </w:rPr>
              <w:t>中型</w:t>
            </w:r>
          </w:p>
        </w:tc>
        <w:tc>
          <w:tcPr>
            <w:tcW w:w="1699" w:type="dxa"/>
            <w:tcBorders>
              <w:top w:val="single" w:color="auto" w:sz="4" w:space="0"/>
              <w:left w:val="nil"/>
              <w:bottom w:val="single" w:color="auto" w:sz="4" w:space="0"/>
              <w:right w:val="single" w:color="auto" w:sz="4" w:space="0"/>
            </w:tcBorders>
            <w:vAlign w:val="center"/>
          </w:tcPr>
          <w:p w14:paraId="51767D1E">
            <w:pPr>
              <w:widowControl/>
              <w:jc w:val="center"/>
              <w:rPr>
                <w:rFonts w:ascii="宋体" w:hAnsi="宋体" w:cs="宋体"/>
                <w:b/>
                <w:color w:val="auto"/>
                <w:kern w:val="0"/>
                <w:sz w:val="20"/>
                <w:szCs w:val="20"/>
              </w:rPr>
            </w:pPr>
            <w:r>
              <w:rPr>
                <w:rFonts w:hint="eastAsia" w:ascii="宋体" w:hAnsi="宋体" w:cs="宋体"/>
                <w:b/>
                <w:color w:val="auto"/>
                <w:kern w:val="0"/>
                <w:sz w:val="20"/>
                <w:szCs w:val="20"/>
              </w:rPr>
              <w:t>小型</w:t>
            </w:r>
          </w:p>
        </w:tc>
        <w:tc>
          <w:tcPr>
            <w:tcW w:w="1091" w:type="dxa"/>
            <w:tcBorders>
              <w:top w:val="single" w:color="auto" w:sz="4" w:space="0"/>
              <w:left w:val="nil"/>
              <w:bottom w:val="single" w:color="auto" w:sz="4" w:space="0"/>
              <w:right w:val="single" w:color="auto" w:sz="4" w:space="0"/>
            </w:tcBorders>
            <w:vAlign w:val="center"/>
          </w:tcPr>
          <w:p w14:paraId="61CF940F">
            <w:pPr>
              <w:widowControl/>
              <w:jc w:val="center"/>
              <w:rPr>
                <w:rFonts w:ascii="宋体" w:hAnsi="宋体" w:cs="宋体"/>
                <w:b/>
                <w:color w:val="auto"/>
                <w:kern w:val="0"/>
                <w:sz w:val="20"/>
                <w:szCs w:val="20"/>
              </w:rPr>
            </w:pPr>
            <w:r>
              <w:rPr>
                <w:rFonts w:hint="eastAsia" w:ascii="宋体" w:hAnsi="宋体" w:cs="宋体"/>
                <w:b/>
                <w:color w:val="auto"/>
                <w:kern w:val="0"/>
                <w:sz w:val="20"/>
                <w:szCs w:val="20"/>
              </w:rPr>
              <w:t>微型</w:t>
            </w:r>
          </w:p>
        </w:tc>
      </w:tr>
      <w:tr w14:paraId="3120EEF2">
        <w:tblPrEx>
          <w:tblCellMar>
            <w:top w:w="0" w:type="dxa"/>
            <w:left w:w="108" w:type="dxa"/>
            <w:bottom w:w="0" w:type="dxa"/>
            <w:right w:w="108" w:type="dxa"/>
          </w:tblCellMar>
        </w:tblPrEx>
        <w:trPr>
          <w:trHeight w:val="364" w:hRule="atLeast"/>
        </w:trPr>
        <w:tc>
          <w:tcPr>
            <w:tcW w:w="2007" w:type="dxa"/>
            <w:tcBorders>
              <w:top w:val="nil"/>
              <w:left w:val="single" w:color="auto" w:sz="4" w:space="0"/>
              <w:bottom w:val="single" w:color="auto" w:sz="4" w:space="0"/>
              <w:right w:val="single" w:color="auto" w:sz="4" w:space="0"/>
            </w:tcBorders>
            <w:vAlign w:val="bottom"/>
          </w:tcPr>
          <w:p w14:paraId="47600629">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农、林、牧、渔</w:t>
            </w:r>
          </w:p>
        </w:tc>
        <w:tc>
          <w:tcPr>
            <w:tcW w:w="1633" w:type="dxa"/>
            <w:tcBorders>
              <w:top w:val="nil"/>
              <w:left w:val="nil"/>
              <w:bottom w:val="single" w:color="auto" w:sz="4" w:space="0"/>
              <w:right w:val="single" w:color="auto" w:sz="4" w:space="0"/>
            </w:tcBorders>
            <w:vAlign w:val="center"/>
          </w:tcPr>
          <w:p w14:paraId="17690BB7">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0E1B7D40">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23BB7938">
            <w:pPr>
              <w:widowControl/>
              <w:jc w:val="left"/>
              <w:rPr>
                <w:rFonts w:ascii="宋体" w:hAnsi="宋体" w:cs="宋体"/>
                <w:color w:val="auto"/>
                <w:kern w:val="0"/>
                <w:sz w:val="20"/>
                <w:szCs w:val="20"/>
              </w:rPr>
            </w:pPr>
            <w:r>
              <w:rPr>
                <w:rFonts w:hint="eastAsia" w:ascii="宋体" w:hAnsi="宋体" w:cs="宋体"/>
                <w:color w:val="auto"/>
                <w:kern w:val="0"/>
                <w:sz w:val="20"/>
                <w:szCs w:val="20"/>
              </w:rPr>
              <w:t>500≤Y＜20000</w:t>
            </w:r>
          </w:p>
        </w:tc>
        <w:tc>
          <w:tcPr>
            <w:tcW w:w="1699" w:type="dxa"/>
            <w:tcBorders>
              <w:top w:val="nil"/>
              <w:left w:val="nil"/>
              <w:bottom w:val="single" w:color="auto" w:sz="4" w:space="0"/>
              <w:right w:val="single" w:color="auto" w:sz="4" w:space="0"/>
            </w:tcBorders>
            <w:vAlign w:val="center"/>
          </w:tcPr>
          <w:p w14:paraId="1E53F94A">
            <w:pPr>
              <w:widowControl/>
              <w:jc w:val="left"/>
              <w:rPr>
                <w:rFonts w:ascii="宋体" w:hAnsi="宋体" w:cs="宋体"/>
                <w:color w:val="auto"/>
                <w:kern w:val="0"/>
                <w:sz w:val="20"/>
                <w:szCs w:val="20"/>
              </w:rPr>
            </w:pPr>
            <w:r>
              <w:rPr>
                <w:rFonts w:hint="eastAsia" w:ascii="宋体" w:hAnsi="宋体" w:cs="宋体"/>
                <w:color w:val="auto"/>
                <w:kern w:val="0"/>
                <w:sz w:val="20"/>
                <w:szCs w:val="20"/>
              </w:rPr>
              <w:t>50≤Y＜500</w:t>
            </w:r>
          </w:p>
        </w:tc>
        <w:tc>
          <w:tcPr>
            <w:tcW w:w="1091" w:type="dxa"/>
            <w:tcBorders>
              <w:top w:val="nil"/>
              <w:left w:val="nil"/>
              <w:bottom w:val="single" w:color="auto" w:sz="4" w:space="0"/>
              <w:right w:val="single" w:color="auto" w:sz="4" w:space="0"/>
            </w:tcBorders>
            <w:vAlign w:val="center"/>
          </w:tcPr>
          <w:p w14:paraId="0DB29E34">
            <w:pPr>
              <w:widowControl/>
              <w:jc w:val="left"/>
              <w:rPr>
                <w:rFonts w:ascii="宋体" w:hAnsi="宋体" w:cs="宋体"/>
                <w:color w:val="auto"/>
                <w:kern w:val="0"/>
                <w:sz w:val="20"/>
                <w:szCs w:val="20"/>
              </w:rPr>
            </w:pPr>
            <w:r>
              <w:rPr>
                <w:rFonts w:hint="eastAsia" w:ascii="宋体" w:hAnsi="宋体" w:cs="宋体"/>
                <w:color w:val="auto"/>
                <w:kern w:val="0"/>
                <w:sz w:val="20"/>
                <w:szCs w:val="20"/>
              </w:rPr>
              <w:t>Y＜50</w:t>
            </w:r>
          </w:p>
        </w:tc>
      </w:tr>
      <w:tr w14:paraId="34EB1B0F">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3DD5ABBA">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工业</w:t>
            </w:r>
          </w:p>
        </w:tc>
        <w:tc>
          <w:tcPr>
            <w:tcW w:w="1633" w:type="dxa"/>
            <w:tcBorders>
              <w:top w:val="nil"/>
              <w:left w:val="nil"/>
              <w:bottom w:val="single" w:color="auto" w:sz="4" w:space="0"/>
              <w:right w:val="single" w:color="auto" w:sz="4" w:space="0"/>
            </w:tcBorders>
            <w:vAlign w:val="center"/>
          </w:tcPr>
          <w:p w14:paraId="213C5FAF">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55C84D64">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36479E81">
            <w:pPr>
              <w:widowControl/>
              <w:jc w:val="left"/>
              <w:rPr>
                <w:rFonts w:ascii="宋体" w:hAnsi="宋体" w:cs="宋体"/>
                <w:color w:val="auto"/>
                <w:kern w:val="0"/>
                <w:sz w:val="20"/>
                <w:szCs w:val="20"/>
              </w:rPr>
            </w:pPr>
            <w:r>
              <w:rPr>
                <w:rFonts w:hint="eastAsia" w:ascii="宋体" w:hAnsi="宋体" w:cs="宋体"/>
                <w:color w:val="auto"/>
                <w:kern w:val="0"/>
                <w:sz w:val="20"/>
                <w:szCs w:val="20"/>
              </w:rPr>
              <w:t>300≤X＜1000</w:t>
            </w:r>
          </w:p>
        </w:tc>
        <w:tc>
          <w:tcPr>
            <w:tcW w:w="1699" w:type="dxa"/>
            <w:tcBorders>
              <w:top w:val="nil"/>
              <w:left w:val="nil"/>
              <w:bottom w:val="single" w:color="auto" w:sz="4" w:space="0"/>
              <w:right w:val="single" w:color="auto" w:sz="4" w:space="0"/>
            </w:tcBorders>
            <w:vAlign w:val="center"/>
          </w:tcPr>
          <w:p w14:paraId="1576F9F3">
            <w:pPr>
              <w:widowControl/>
              <w:jc w:val="left"/>
              <w:rPr>
                <w:rFonts w:ascii="宋体" w:hAnsi="宋体" w:cs="宋体"/>
                <w:color w:val="auto"/>
                <w:kern w:val="0"/>
                <w:sz w:val="20"/>
                <w:szCs w:val="20"/>
              </w:rPr>
            </w:pPr>
            <w:r>
              <w:rPr>
                <w:rFonts w:hint="eastAsia" w:ascii="宋体" w:hAnsi="宋体" w:cs="宋体"/>
                <w:color w:val="auto"/>
                <w:kern w:val="0"/>
                <w:sz w:val="20"/>
                <w:szCs w:val="20"/>
              </w:rPr>
              <w:t>20≤X＜300</w:t>
            </w:r>
          </w:p>
        </w:tc>
        <w:tc>
          <w:tcPr>
            <w:tcW w:w="1091" w:type="dxa"/>
            <w:tcBorders>
              <w:top w:val="nil"/>
              <w:left w:val="nil"/>
              <w:bottom w:val="single" w:color="auto" w:sz="4" w:space="0"/>
              <w:right w:val="single" w:color="auto" w:sz="4" w:space="0"/>
            </w:tcBorders>
            <w:vAlign w:val="center"/>
          </w:tcPr>
          <w:p w14:paraId="585B45DF">
            <w:pPr>
              <w:widowControl/>
              <w:jc w:val="left"/>
              <w:rPr>
                <w:rFonts w:ascii="宋体" w:hAnsi="宋体" w:cs="宋体"/>
                <w:color w:val="auto"/>
                <w:kern w:val="0"/>
                <w:sz w:val="20"/>
                <w:szCs w:val="20"/>
              </w:rPr>
            </w:pPr>
            <w:r>
              <w:rPr>
                <w:rFonts w:hint="eastAsia" w:ascii="宋体" w:hAnsi="宋体" w:cs="宋体"/>
                <w:color w:val="auto"/>
                <w:kern w:val="0"/>
                <w:sz w:val="20"/>
                <w:szCs w:val="20"/>
              </w:rPr>
              <w:t>X＜20</w:t>
            </w:r>
          </w:p>
        </w:tc>
      </w:tr>
      <w:tr w14:paraId="35DE3CC6">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074A6466">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79E95E6F">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4D56B285">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1493A7BD">
            <w:pPr>
              <w:widowControl/>
              <w:jc w:val="left"/>
              <w:rPr>
                <w:rFonts w:ascii="宋体" w:hAnsi="宋体" w:cs="宋体"/>
                <w:color w:val="auto"/>
                <w:kern w:val="0"/>
                <w:sz w:val="20"/>
                <w:szCs w:val="20"/>
              </w:rPr>
            </w:pPr>
            <w:r>
              <w:rPr>
                <w:rFonts w:hint="eastAsia" w:ascii="宋体" w:hAnsi="宋体" w:cs="宋体"/>
                <w:color w:val="auto"/>
                <w:kern w:val="0"/>
                <w:sz w:val="20"/>
                <w:szCs w:val="20"/>
              </w:rPr>
              <w:t>2000≤Y＜40000</w:t>
            </w:r>
          </w:p>
        </w:tc>
        <w:tc>
          <w:tcPr>
            <w:tcW w:w="1699" w:type="dxa"/>
            <w:tcBorders>
              <w:top w:val="nil"/>
              <w:left w:val="nil"/>
              <w:bottom w:val="single" w:color="auto" w:sz="4" w:space="0"/>
              <w:right w:val="single" w:color="auto" w:sz="4" w:space="0"/>
            </w:tcBorders>
            <w:vAlign w:val="center"/>
          </w:tcPr>
          <w:p w14:paraId="41CC0A5B">
            <w:pPr>
              <w:widowControl/>
              <w:jc w:val="left"/>
              <w:rPr>
                <w:rFonts w:ascii="宋体" w:hAnsi="宋体" w:cs="宋体"/>
                <w:color w:val="auto"/>
                <w:kern w:val="0"/>
                <w:sz w:val="20"/>
                <w:szCs w:val="20"/>
              </w:rPr>
            </w:pPr>
            <w:r>
              <w:rPr>
                <w:rFonts w:hint="eastAsia" w:ascii="宋体" w:hAnsi="宋体" w:cs="宋体"/>
                <w:color w:val="auto"/>
                <w:kern w:val="0"/>
                <w:sz w:val="20"/>
                <w:szCs w:val="20"/>
              </w:rPr>
              <w:t>300≤Y＜2000</w:t>
            </w:r>
          </w:p>
        </w:tc>
        <w:tc>
          <w:tcPr>
            <w:tcW w:w="1091" w:type="dxa"/>
            <w:tcBorders>
              <w:top w:val="nil"/>
              <w:left w:val="nil"/>
              <w:bottom w:val="single" w:color="auto" w:sz="4" w:space="0"/>
              <w:right w:val="single" w:color="auto" w:sz="4" w:space="0"/>
            </w:tcBorders>
            <w:vAlign w:val="center"/>
          </w:tcPr>
          <w:p w14:paraId="2F5A6E90">
            <w:pPr>
              <w:widowControl/>
              <w:jc w:val="left"/>
              <w:rPr>
                <w:rFonts w:ascii="宋体" w:hAnsi="宋体" w:cs="宋体"/>
                <w:color w:val="auto"/>
                <w:kern w:val="0"/>
                <w:sz w:val="20"/>
                <w:szCs w:val="20"/>
              </w:rPr>
            </w:pPr>
            <w:r>
              <w:rPr>
                <w:rFonts w:hint="eastAsia" w:ascii="宋体" w:hAnsi="宋体" w:cs="宋体"/>
                <w:color w:val="auto"/>
                <w:kern w:val="0"/>
                <w:sz w:val="20"/>
                <w:szCs w:val="20"/>
              </w:rPr>
              <w:t>Y＜300</w:t>
            </w:r>
          </w:p>
        </w:tc>
      </w:tr>
      <w:tr w14:paraId="1E232DF5">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B136228">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建筑业</w:t>
            </w:r>
          </w:p>
        </w:tc>
        <w:tc>
          <w:tcPr>
            <w:tcW w:w="1633" w:type="dxa"/>
            <w:tcBorders>
              <w:top w:val="nil"/>
              <w:left w:val="nil"/>
              <w:bottom w:val="single" w:color="auto" w:sz="4" w:space="0"/>
              <w:right w:val="single" w:color="auto" w:sz="4" w:space="0"/>
            </w:tcBorders>
            <w:vAlign w:val="center"/>
          </w:tcPr>
          <w:p w14:paraId="1BD86B56">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5CBFCE0C">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5F4DD57E">
            <w:pPr>
              <w:widowControl/>
              <w:jc w:val="left"/>
              <w:rPr>
                <w:rFonts w:ascii="宋体" w:hAnsi="宋体" w:cs="宋体"/>
                <w:color w:val="auto"/>
                <w:kern w:val="0"/>
                <w:sz w:val="20"/>
                <w:szCs w:val="20"/>
              </w:rPr>
            </w:pPr>
            <w:r>
              <w:rPr>
                <w:rFonts w:hint="eastAsia" w:ascii="宋体" w:hAnsi="宋体" w:cs="宋体"/>
                <w:color w:val="auto"/>
                <w:kern w:val="0"/>
                <w:sz w:val="20"/>
                <w:szCs w:val="20"/>
              </w:rPr>
              <w:t>6000≤Y＜80000</w:t>
            </w:r>
          </w:p>
        </w:tc>
        <w:tc>
          <w:tcPr>
            <w:tcW w:w="1699" w:type="dxa"/>
            <w:tcBorders>
              <w:top w:val="nil"/>
              <w:left w:val="nil"/>
              <w:bottom w:val="single" w:color="auto" w:sz="4" w:space="0"/>
              <w:right w:val="single" w:color="auto" w:sz="4" w:space="0"/>
            </w:tcBorders>
            <w:vAlign w:val="center"/>
          </w:tcPr>
          <w:p w14:paraId="017A52AB">
            <w:pPr>
              <w:widowControl/>
              <w:jc w:val="left"/>
              <w:rPr>
                <w:rFonts w:ascii="宋体" w:hAnsi="宋体" w:cs="宋体"/>
                <w:color w:val="auto"/>
                <w:kern w:val="0"/>
                <w:sz w:val="20"/>
                <w:szCs w:val="20"/>
              </w:rPr>
            </w:pPr>
            <w:r>
              <w:rPr>
                <w:rFonts w:hint="eastAsia" w:ascii="宋体" w:hAnsi="宋体" w:cs="宋体"/>
                <w:color w:val="auto"/>
                <w:kern w:val="0"/>
                <w:sz w:val="20"/>
                <w:szCs w:val="20"/>
              </w:rPr>
              <w:t>300≤Y＜6000</w:t>
            </w:r>
          </w:p>
        </w:tc>
        <w:tc>
          <w:tcPr>
            <w:tcW w:w="1091" w:type="dxa"/>
            <w:tcBorders>
              <w:top w:val="nil"/>
              <w:left w:val="nil"/>
              <w:bottom w:val="single" w:color="auto" w:sz="4" w:space="0"/>
              <w:right w:val="single" w:color="auto" w:sz="4" w:space="0"/>
            </w:tcBorders>
            <w:vAlign w:val="center"/>
          </w:tcPr>
          <w:p w14:paraId="11EA7F8A">
            <w:pPr>
              <w:widowControl/>
              <w:jc w:val="left"/>
              <w:rPr>
                <w:rFonts w:ascii="宋体" w:hAnsi="宋体" w:cs="宋体"/>
                <w:color w:val="auto"/>
                <w:kern w:val="0"/>
                <w:sz w:val="20"/>
                <w:szCs w:val="20"/>
              </w:rPr>
            </w:pPr>
            <w:r>
              <w:rPr>
                <w:rFonts w:hint="eastAsia" w:ascii="宋体" w:hAnsi="宋体" w:cs="宋体"/>
                <w:color w:val="auto"/>
                <w:kern w:val="0"/>
                <w:sz w:val="20"/>
                <w:szCs w:val="20"/>
              </w:rPr>
              <w:t>Y＜300</w:t>
            </w:r>
          </w:p>
        </w:tc>
      </w:tr>
      <w:tr w14:paraId="0CF994A1">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1D11F3B8">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612D132B">
            <w:pPr>
              <w:widowControl/>
              <w:jc w:val="left"/>
              <w:rPr>
                <w:rFonts w:ascii="宋体" w:hAnsi="宋体" w:cs="宋体"/>
                <w:color w:val="auto"/>
                <w:kern w:val="0"/>
                <w:sz w:val="20"/>
                <w:szCs w:val="20"/>
              </w:rPr>
            </w:pPr>
            <w:r>
              <w:rPr>
                <w:rFonts w:hint="eastAsia" w:ascii="宋体" w:hAnsi="宋体" w:cs="宋体"/>
                <w:color w:val="auto"/>
                <w:kern w:val="0"/>
                <w:sz w:val="20"/>
                <w:szCs w:val="20"/>
              </w:rPr>
              <w:t>资产总额（Z）</w:t>
            </w:r>
          </w:p>
        </w:tc>
        <w:tc>
          <w:tcPr>
            <w:tcW w:w="1077" w:type="dxa"/>
            <w:tcBorders>
              <w:top w:val="nil"/>
              <w:left w:val="nil"/>
              <w:bottom w:val="single" w:color="auto" w:sz="4" w:space="0"/>
              <w:right w:val="single" w:color="auto" w:sz="4" w:space="0"/>
            </w:tcBorders>
            <w:vAlign w:val="center"/>
          </w:tcPr>
          <w:p w14:paraId="5F077C75">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4FEA254D">
            <w:pPr>
              <w:widowControl/>
              <w:jc w:val="left"/>
              <w:rPr>
                <w:rFonts w:ascii="宋体" w:hAnsi="宋体" w:cs="宋体"/>
                <w:color w:val="auto"/>
                <w:kern w:val="0"/>
                <w:sz w:val="20"/>
                <w:szCs w:val="20"/>
              </w:rPr>
            </w:pPr>
            <w:r>
              <w:rPr>
                <w:rFonts w:hint="eastAsia" w:ascii="宋体" w:hAnsi="宋体" w:cs="宋体"/>
                <w:color w:val="auto"/>
                <w:kern w:val="0"/>
                <w:sz w:val="20"/>
                <w:szCs w:val="20"/>
              </w:rPr>
              <w:t>5000≤Z＜80000</w:t>
            </w:r>
          </w:p>
        </w:tc>
        <w:tc>
          <w:tcPr>
            <w:tcW w:w="1699" w:type="dxa"/>
            <w:tcBorders>
              <w:top w:val="nil"/>
              <w:left w:val="nil"/>
              <w:bottom w:val="single" w:color="auto" w:sz="4" w:space="0"/>
              <w:right w:val="single" w:color="auto" w:sz="4" w:space="0"/>
            </w:tcBorders>
            <w:vAlign w:val="center"/>
          </w:tcPr>
          <w:p w14:paraId="3B5E90C9">
            <w:pPr>
              <w:widowControl/>
              <w:jc w:val="left"/>
              <w:rPr>
                <w:rFonts w:ascii="宋体" w:hAnsi="宋体" w:cs="宋体"/>
                <w:color w:val="auto"/>
                <w:kern w:val="0"/>
                <w:sz w:val="20"/>
                <w:szCs w:val="20"/>
              </w:rPr>
            </w:pPr>
            <w:r>
              <w:rPr>
                <w:rFonts w:hint="eastAsia" w:ascii="宋体" w:hAnsi="宋体" w:cs="宋体"/>
                <w:color w:val="auto"/>
                <w:kern w:val="0"/>
                <w:sz w:val="20"/>
                <w:szCs w:val="20"/>
              </w:rPr>
              <w:t>300≤Z＜5000</w:t>
            </w:r>
          </w:p>
        </w:tc>
        <w:tc>
          <w:tcPr>
            <w:tcW w:w="1091" w:type="dxa"/>
            <w:tcBorders>
              <w:top w:val="nil"/>
              <w:left w:val="nil"/>
              <w:bottom w:val="single" w:color="auto" w:sz="4" w:space="0"/>
              <w:right w:val="single" w:color="auto" w:sz="4" w:space="0"/>
            </w:tcBorders>
            <w:vAlign w:val="center"/>
          </w:tcPr>
          <w:p w14:paraId="7B800419">
            <w:pPr>
              <w:widowControl/>
              <w:jc w:val="left"/>
              <w:rPr>
                <w:rFonts w:ascii="宋体" w:hAnsi="宋体" w:cs="宋体"/>
                <w:color w:val="auto"/>
                <w:kern w:val="0"/>
                <w:sz w:val="20"/>
                <w:szCs w:val="20"/>
              </w:rPr>
            </w:pPr>
            <w:r>
              <w:rPr>
                <w:rFonts w:hint="eastAsia" w:ascii="宋体" w:hAnsi="宋体" w:cs="宋体"/>
                <w:color w:val="auto"/>
                <w:kern w:val="0"/>
                <w:sz w:val="20"/>
                <w:szCs w:val="20"/>
              </w:rPr>
              <w:t>Z＜300</w:t>
            </w:r>
          </w:p>
        </w:tc>
      </w:tr>
      <w:tr w14:paraId="17724165">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3CD8992">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批发业</w:t>
            </w:r>
          </w:p>
        </w:tc>
        <w:tc>
          <w:tcPr>
            <w:tcW w:w="1633" w:type="dxa"/>
            <w:tcBorders>
              <w:top w:val="nil"/>
              <w:left w:val="nil"/>
              <w:bottom w:val="single" w:color="auto" w:sz="4" w:space="0"/>
              <w:right w:val="single" w:color="auto" w:sz="4" w:space="0"/>
            </w:tcBorders>
            <w:vAlign w:val="center"/>
          </w:tcPr>
          <w:p w14:paraId="6CDFBBAD">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044A6F85">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4B65B4A9">
            <w:pPr>
              <w:widowControl/>
              <w:jc w:val="left"/>
              <w:rPr>
                <w:rFonts w:ascii="宋体" w:hAnsi="宋体" w:cs="宋体"/>
                <w:color w:val="auto"/>
                <w:kern w:val="0"/>
                <w:sz w:val="20"/>
                <w:szCs w:val="20"/>
              </w:rPr>
            </w:pPr>
            <w:r>
              <w:rPr>
                <w:rFonts w:hint="eastAsia" w:ascii="宋体" w:hAnsi="宋体" w:cs="宋体"/>
                <w:color w:val="auto"/>
                <w:kern w:val="0"/>
                <w:sz w:val="20"/>
                <w:szCs w:val="20"/>
              </w:rPr>
              <w:t>20≤X＜200</w:t>
            </w:r>
          </w:p>
        </w:tc>
        <w:tc>
          <w:tcPr>
            <w:tcW w:w="1699" w:type="dxa"/>
            <w:tcBorders>
              <w:top w:val="nil"/>
              <w:left w:val="nil"/>
              <w:bottom w:val="single" w:color="auto" w:sz="4" w:space="0"/>
              <w:right w:val="single" w:color="auto" w:sz="4" w:space="0"/>
            </w:tcBorders>
            <w:vAlign w:val="center"/>
          </w:tcPr>
          <w:p w14:paraId="6DFBD39C">
            <w:pPr>
              <w:widowControl/>
              <w:jc w:val="left"/>
              <w:rPr>
                <w:rFonts w:ascii="宋体" w:hAnsi="宋体" w:cs="宋体"/>
                <w:color w:val="auto"/>
                <w:kern w:val="0"/>
                <w:sz w:val="20"/>
                <w:szCs w:val="20"/>
              </w:rPr>
            </w:pPr>
            <w:r>
              <w:rPr>
                <w:rFonts w:hint="eastAsia" w:ascii="宋体" w:hAnsi="宋体" w:cs="宋体"/>
                <w:color w:val="auto"/>
                <w:kern w:val="0"/>
                <w:sz w:val="20"/>
                <w:szCs w:val="20"/>
              </w:rPr>
              <w:t>5≤X＜20</w:t>
            </w:r>
          </w:p>
        </w:tc>
        <w:tc>
          <w:tcPr>
            <w:tcW w:w="1091" w:type="dxa"/>
            <w:tcBorders>
              <w:top w:val="nil"/>
              <w:left w:val="nil"/>
              <w:bottom w:val="single" w:color="auto" w:sz="4" w:space="0"/>
              <w:right w:val="single" w:color="auto" w:sz="4" w:space="0"/>
            </w:tcBorders>
            <w:vAlign w:val="center"/>
          </w:tcPr>
          <w:p w14:paraId="6A1FF12B">
            <w:pPr>
              <w:widowControl/>
              <w:jc w:val="left"/>
              <w:rPr>
                <w:rFonts w:ascii="宋体" w:hAnsi="宋体" w:cs="宋体"/>
                <w:color w:val="auto"/>
                <w:kern w:val="0"/>
                <w:sz w:val="20"/>
                <w:szCs w:val="20"/>
              </w:rPr>
            </w:pPr>
            <w:r>
              <w:rPr>
                <w:rFonts w:hint="eastAsia" w:ascii="宋体" w:hAnsi="宋体" w:cs="宋体"/>
                <w:color w:val="auto"/>
                <w:kern w:val="0"/>
                <w:sz w:val="20"/>
                <w:szCs w:val="20"/>
              </w:rPr>
              <w:t>X＜5</w:t>
            </w:r>
          </w:p>
        </w:tc>
      </w:tr>
      <w:tr w14:paraId="0DF37AAC">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4FF1CEE3">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519B80A9">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73763C32">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0FC930DC">
            <w:pPr>
              <w:widowControl/>
              <w:jc w:val="left"/>
              <w:rPr>
                <w:rFonts w:ascii="宋体" w:hAnsi="宋体" w:cs="宋体"/>
                <w:color w:val="auto"/>
                <w:kern w:val="0"/>
                <w:sz w:val="20"/>
                <w:szCs w:val="20"/>
              </w:rPr>
            </w:pPr>
            <w:r>
              <w:rPr>
                <w:rFonts w:hint="eastAsia" w:ascii="宋体" w:hAnsi="宋体" w:cs="宋体"/>
                <w:color w:val="auto"/>
                <w:kern w:val="0"/>
                <w:sz w:val="20"/>
                <w:szCs w:val="20"/>
              </w:rPr>
              <w:t>5000≤Y＜40000</w:t>
            </w:r>
          </w:p>
        </w:tc>
        <w:tc>
          <w:tcPr>
            <w:tcW w:w="1699" w:type="dxa"/>
            <w:tcBorders>
              <w:top w:val="nil"/>
              <w:left w:val="nil"/>
              <w:bottom w:val="single" w:color="auto" w:sz="4" w:space="0"/>
              <w:right w:val="single" w:color="auto" w:sz="4" w:space="0"/>
            </w:tcBorders>
            <w:vAlign w:val="center"/>
          </w:tcPr>
          <w:p w14:paraId="688F97A0">
            <w:pPr>
              <w:widowControl/>
              <w:jc w:val="left"/>
              <w:rPr>
                <w:rFonts w:ascii="宋体" w:hAnsi="宋体" w:cs="宋体"/>
                <w:color w:val="auto"/>
                <w:kern w:val="0"/>
                <w:sz w:val="20"/>
                <w:szCs w:val="20"/>
              </w:rPr>
            </w:pPr>
            <w:r>
              <w:rPr>
                <w:rFonts w:hint="eastAsia" w:ascii="宋体" w:hAnsi="宋体" w:cs="宋体"/>
                <w:color w:val="auto"/>
                <w:kern w:val="0"/>
                <w:sz w:val="20"/>
                <w:szCs w:val="20"/>
              </w:rPr>
              <w:t>1000≤Y＜5000</w:t>
            </w:r>
          </w:p>
        </w:tc>
        <w:tc>
          <w:tcPr>
            <w:tcW w:w="1091" w:type="dxa"/>
            <w:tcBorders>
              <w:top w:val="nil"/>
              <w:left w:val="nil"/>
              <w:bottom w:val="single" w:color="auto" w:sz="4" w:space="0"/>
              <w:right w:val="single" w:color="auto" w:sz="4" w:space="0"/>
            </w:tcBorders>
            <w:vAlign w:val="center"/>
          </w:tcPr>
          <w:p w14:paraId="1540C9E3">
            <w:pPr>
              <w:widowControl/>
              <w:jc w:val="left"/>
              <w:rPr>
                <w:rFonts w:ascii="宋体" w:hAnsi="宋体" w:cs="宋体"/>
                <w:color w:val="auto"/>
                <w:kern w:val="0"/>
                <w:sz w:val="20"/>
                <w:szCs w:val="20"/>
              </w:rPr>
            </w:pPr>
            <w:r>
              <w:rPr>
                <w:rFonts w:hint="eastAsia" w:ascii="宋体" w:hAnsi="宋体" w:cs="宋体"/>
                <w:color w:val="auto"/>
                <w:kern w:val="0"/>
                <w:sz w:val="20"/>
                <w:szCs w:val="20"/>
              </w:rPr>
              <w:t>Y＜1000</w:t>
            </w:r>
          </w:p>
        </w:tc>
      </w:tr>
      <w:tr w14:paraId="2C96B898">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201EEAA0">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零售业</w:t>
            </w:r>
          </w:p>
        </w:tc>
        <w:tc>
          <w:tcPr>
            <w:tcW w:w="1633" w:type="dxa"/>
            <w:tcBorders>
              <w:top w:val="nil"/>
              <w:left w:val="nil"/>
              <w:bottom w:val="single" w:color="auto" w:sz="4" w:space="0"/>
              <w:right w:val="single" w:color="auto" w:sz="4" w:space="0"/>
            </w:tcBorders>
            <w:vAlign w:val="center"/>
          </w:tcPr>
          <w:p w14:paraId="75D883C6">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612C6B73">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42A3CA13">
            <w:pPr>
              <w:widowControl/>
              <w:jc w:val="left"/>
              <w:rPr>
                <w:rFonts w:ascii="宋体" w:hAnsi="宋体" w:cs="宋体"/>
                <w:color w:val="auto"/>
                <w:kern w:val="0"/>
                <w:sz w:val="20"/>
                <w:szCs w:val="20"/>
              </w:rPr>
            </w:pPr>
            <w:r>
              <w:rPr>
                <w:rFonts w:hint="eastAsia" w:ascii="宋体" w:hAnsi="宋体" w:cs="宋体"/>
                <w:color w:val="auto"/>
                <w:kern w:val="0"/>
                <w:sz w:val="20"/>
                <w:szCs w:val="20"/>
              </w:rPr>
              <w:t>50≤X＜300</w:t>
            </w:r>
          </w:p>
        </w:tc>
        <w:tc>
          <w:tcPr>
            <w:tcW w:w="1699" w:type="dxa"/>
            <w:tcBorders>
              <w:top w:val="nil"/>
              <w:left w:val="nil"/>
              <w:bottom w:val="single" w:color="auto" w:sz="4" w:space="0"/>
              <w:right w:val="single" w:color="auto" w:sz="4" w:space="0"/>
            </w:tcBorders>
            <w:vAlign w:val="center"/>
          </w:tcPr>
          <w:p w14:paraId="6114929F">
            <w:pPr>
              <w:widowControl/>
              <w:jc w:val="left"/>
              <w:rPr>
                <w:rFonts w:ascii="宋体" w:hAnsi="宋体" w:cs="宋体"/>
                <w:color w:val="auto"/>
                <w:kern w:val="0"/>
                <w:sz w:val="20"/>
                <w:szCs w:val="20"/>
              </w:rPr>
            </w:pPr>
            <w:r>
              <w:rPr>
                <w:rFonts w:hint="eastAsia" w:ascii="宋体" w:hAnsi="宋体" w:cs="宋体"/>
                <w:color w:val="auto"/>
                <w:kern w:val="0"/>
                <w:sz w:val="20"/>
                <w:szCs w:val="20"/>
              </w:rPr>
              <w:t>10≤X＜50</w:t>
            </w:r>
          </w:p>
        </w:tc>
        <w:tc>
          <w:tcPr>
            <w:tcW w:w="1091" w:type="dxa"/>
            <w:tcBorders>
              <w:top w:val="nil"/>
              <w:left w:val="nil"/>
              <w:bottom w:val="single" w:color="auto" w:sz="4" w:space="0"/>
              <w:right w:val="single" w:color="auto" w:sz="4" w:space="0"/>
            </w:tcBorders>
            <w:vAlign w:val="center"/>
          </w:tcPr>
          <w:p w14:paraId="68381022">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23B95BE2">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32B815A5">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71DD0C4D">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0CC2F514">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0CAFC072">
            <w:pPr>
              <w:widowControl/>
              <w:jc w:val="left"/>
              <w:rPr>
                <w:rFonts w:ascii="宋体" w:hAnsi="宋体" w:cs="宋体"/>
                <w:color w:val="auto"/>
                <w:kern w:val="0"/>
                <w:sz w:val="20"/>
                <w:szCs w:val="20"/>
              </w:rPr>
            </w:pPr>
            <w:r>
              <w:rPr>
                <w:rFonts w:hint="eastAsia" w:ascii="宋体" w:hAnsi="宋体" w:cs="宋体"/>
                <w:color w:val="auto"/>
                <w:kern w:val="0"/>
                <w:sz w:val="20"/>
                <w:szCs w:val="20"/>
              </w:rPr>
              <w:t>500≤Y＜20000</w:t>
            </w:r>
          </w:p>
        </w:tc>
        <w:tc>
          <w:tcPr>
            <w:tcW w:w="1699" w:type="dxa"/>
            <w:tcBorders>
              <w:top w:val="nil"/>
              <w:left w:val="nil"/>
              <w:bottom w:val="single" w:color="auto" w:sz="4" w:space="0"/>
              <w:right w:val="single" w:color="auto" w:sz="4" w:space="0"/>
            </w:tcBorders>
            <w:vAlign w:val="center"/>
          </w:tcPr>
          <w:p w14:paraId="562B3B8F">
            <w:pPr>
              <w:widowControl/>
              <w:jc w:val="left"/>
              <w:rPr>
                <w:rFonts w:ascii="宋体" w:hAnsi="宋体" w:cs="宋体"/>
                <w:color w:val="auto"/>
                <w:kern w:val="0"/>
                <w:sz w:val="20"/>
                <w:szCs w:val="20"/>
              </w:rPr>
            </w:pPr>
            <w:r>
              <w:rPr>
                <w:rFonts w:hint="eastAsia" w:ascii="宋体" w:hAnsi="宋体" w:cs="宋体"/>
                <w:color w:val="auto"/>
                <w:kern w:val="0"/>
                <w:sz w:val="20"/>
                <w:szCs w:val="20"/>
              </w:rPr>
              <w:t>100≤Y＜500</w:t>
            </w:r>
          </w:p>
        </w:tc>
        <w:tc>
          <w:tcPr>
            <w:tcW w:w="1091" w:type="dxa"/>
            <w:tcBorders>
              <w:top w:val="nil"/>
              <w:left w:val="nil"/>
              <w:bottom w:val="single" w:color="auto" w:sz="4" w:space="0"/>
              <w:right w:val="single" w:color="auto" w:sz="4" w:space="0"/>
            </w:tcBorders>
            <w:vAlign w:val="center"/>
          </w:tcPr>
          <w:p w14:paraId="50AD7C26">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606D1206">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1332248E">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交通运输业</w:t>
            </w:r>
          </w:p>
        </w:tc>
        <w:tc>
          <w:tcPr>
            <w:tcW w:w="1633" w:type="dxa"/>
            <w:tcBorders>
              <w:top w:val="nil"/>
              <w:left w:val="nil"/>
              <w:bottom w:val="single" w:color="auto" w:sz="4" w:space="0"/>
              <w:right w:val="single" w:color="auto" w:sz="4" w:space="0"/>
            </w:tcBorders>
            <w:vAlign w:val="center"/>
          </w:tcPr>
          <w:p w14:paraId="2913C3C1">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0DC22D0D">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6F38CEAE">
            <w:pPr>
              <w:widowControl/>
              <w:jc w:val="left"/>
              <w:rPr>
                <w:rFonts w:ascii="宋体" w:hAnsi="宋体" w:cs="宋体"/>
                <w:color w:val="auto"/>
                <w:kern w:val="0"/>
                <w:sz w:val="20"/>
                <w:szCs w:val="20"/>
              </w:rPr>
            </w:pPr>
            <w:r>
              <w:rPr>
                <w:rFonts w:hint="eastAsia" w:ascii="宋体" w:hAnsi="宋体" w:cs="宋体"/>
                <w:color w:val="auto"/>
                <w:kern w:val="0"/>
                <w:sz w:val="20"/>
                <w:szCs w:val="20"/>
              </w:rPr>
              <w:t>300≤X＜1000</w:t>
            </w:r>
          </w:p>
        </w:tc>
        <w:tc>
          <w:tcPr>
            <w:tcW w:w="1699" w:type="dxa"/>
            <w:tcBorders>
              <w:top w:val="nil"/>
              <w:left w:val="nil"/>
              <w:bottom w:val="single" w:color="auto" w:sz="4" w:space="0"/>
              <w:right w:val="single" w:color="auto" w:sz="4" w:space="0"/>
            </w:tcBorders>
            <w:vAlign w:val="center"/>
          </w:tcPr>
          <w:p w14:paraId="2A2896F1">
            <w:pPr>
              <w:widowControl/>
              <w:jc w:val="left"/>
              <w:rPr>
                <w:rFonts w:ascii="宋体" w:hAnsi="宋体" w:cs="宋体"/>
                <w:color w:val="auto"/>
                <w:kern w:val="0"/>
                <w:sz w:val="20"/>
                <w:szCs w:val="20"/>
              </w:rPr>
            </w:pPr>
            <w:r>
              <w:rPr>
                <w:rFonts w:hint="eastAsia" w:ascii="宋体" w:hAnsi="宋体" w:cs="宋体"/>
                <w:color w:val="auto"/>
                <w:kern w:val="0"/>
                <w:sz w:val="20"/>
                <w:szCs w:val="20"/>
              </w:rPr>
              <w:t>20≤X＜300</w:t>
            </w:r>
          </w:p>
        </w:tc>
        <w:tc>
          <w:tcPr>
            <w:tcW w:w="1091" w:type="dxa"/>
            <w:tcBorders>
              <w:top w:val="nil"/>
              <w:left w:val="nil"/>
              <w:bottom w:val="single" w:color="auto" w:sz="4" w:space="0"/>
              <w:right w:val="single" w:color="auto" w:sz="4" w:space="0"/>
            </w:tcBorders>
            <w:vAlign w:val="center"/>
          </w:tcPr>
          <w:p w14:paraId="3D63B8EE">
            <w:pPr>
              <w:widowControl/>
              <w:jc w:val="left"/>
              <w:rPr>
                <w:rFonts w:ascii="宋体" w:hAnsi="宋体" w:cs="宋体"/>
                <w:color w:val="auto"/>
                <w:kern w:val="0"/>
                <w:sz w:val="20"/>
                <w:szCs w:val="20"/>
              </w:rPr>
            </w:pPr>
            <w:r>
              <w:rPr>
                <w:rFonts w:hint="eastAsia" w:ascii="宋体" w:hAnsi="宋体" w:cs="宋体"/>
                <w:color w:val="auto"/>
                <w:kern w:val="0"/>
                <w:sz w:val="20"/>
                <w:szCs w:val="20"/>
              </w:rPr>
              <w:t>X＜20</w:t>
            </w:r>
          </w:p>
        </w:tc>
      </w:tr>
      <w:tr w14:paraId="3747A76C">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046CD906">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44A494BC">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7DA13EAC">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5551933F">
            <w:pPr>
              <w:widowControl/>
              <w:jc w:val="left"/>
              <w:rPr>
                <w:rFonts w:ascii="宋体" w:hAnsi="宋体" w:cs="宋体"/>
                <w:color w:val="auto"/>
                <w:kern w:val="0"/>
                <w:sz w:val="20"/>
                <w:szCs w:val="20"/>
              </w:rPr>
            </w:pPr>
            <w:r>
              <w:rPr>
                <w:rFonts w:hint="eastAsia" w:ascii="宋体" w:hAnsi="宋体" w:cs="宋体"/>
                <w:color w:val="auto"/>
                <w:kern w:val="0"/>
                <w:sz w:val="20"/>
                <w:szCs w:val="20"/>
              </w:rPr>
              <w:t>3000≤Y＜30000</w:t>
            </w:r>
          </w:p>
        </w:tc>
        <w:tc>
          <w:tcPr>
            <w:tcW w:w="1699" w:type="dxa"/>
            <w:tcBorders>
              <w:top w:val="nil"/>
              <w:left w:val="nil"/>
              <w:bottom w:val="single" w:color="auto" w:sz="4" w:space="0"/>
              <w:right w:val="single" w:color="auto" w:sz="4" w:space="0"/>
            </w:tcBorders>
            <w:vAlign w:val="center"/>
          </w:tcPr>
          <w:p w14:paraId="2CADDFA3">
            <w:pPr>
              <w:widowControl/>
              <w:jc w:val="left"/>
              <w:rPr>
                <w:rFonts w:ascii="宋体" w:hAnsi="宋体" w:cs="宋体"/>
                <w:color w:val="auto"/>
                <w:kern w:val="0"/>
                <w:sz w:val="20"/>
                <w:szCs w:val="20"/>
              </w:rPr>
            </w:pPr>
            <w:r>
              <w:rPr>
                <w:rFonts w:hint="eastAsia" w:ascii="宋体" w:hAnsi="宋体" w:cs="宋体"/>
                <w:color w:val="auto"/>
                <w:kern w:val="0"/>
                <w:sz w:val="20"/>
                <w:szCs w:val="20"/>
              </w:rPr>
              <w:t>200≤Y＜3000</w:t>
            </w:r>
          </w:p>
        </w:tc>
        <w:tc>
          <w:tcPr>
            <w:tcW w:w="1091" w:type="dxa"/>
            <w:tcBorders>
              <w:top w:val="nil"/>
              <w:left w:val="nil"/>
              <w:bottom w:val="single" w:color="auto" w:sz="4" w:space="0"/>
              <w:right w:val="single" w:color="auto" w:sz="4" w:space="0"/>
            </w:tcBorders>
            <w:vAlign w:val="center"/>
          </w:tcPr>
          <w:p w14:paraId="080E1C14">
            <w:pPr>
              <w:widowControl/>
              <w:jc w:val="left"/>
              <w:rPr>
                <w:rFonts w:ascii="宋体" w:hAnsi="宋体" w:cs="宋体"/>
                <w:color w:val="auto"/>
                <w:kern w:val="0"/>
                <w:sz w:val="20"/>
                <w:szCs w:val="20"/>
              </w:rPr>
            </w:pPr>
            <w:r>
              <w:rPr>
                <w:rFonts w:hint="eastAsia" w:ascii="宋体" w:hAnsi="宋体" w:cs="宋体"/>
                <w:color w:val="auto"/>
                <w:kern w:val="0"/>
                <w:sz w:val="20"/>
                <w:szCs w:val="20"/>
              </w:rPr>
              <w:t>Y＜200</w:t>
            </w:r>
          </w:p>
        </w:tc>
      </w:tr>
      <w:tr w14:paraId="30627A4B">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14F14A67">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仓储业</w:t>
            </w:r>
          </w:p>
        </w:tc>
        <w:tc>
          <w:tcPr>
            <w:tcW w:w="1633" w:type="dxa"/>
            <w:tcBorders>
              <w:top w:val="nil"/>
              <w:left w:val="nil"/>
              <w:bottom w:val="single" w:color="auto" w:sz="4" w:space="0"/>
              <w:right w:val="single" w:color="auto" w:sz="4" w:space="0"/>
            </w:tcBorders>
            <w:vAlign w:val="center"/>
          </w:tcPr>
          <w:p w14:paraId="24564FF7">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2AB83E89">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20EE63C6">
            <w:pPr>
              <w:widowControl/>
              <w:jc w:val="left"/>
              <w:rPr>
                <w:rFonts w:ascii="宋体" w:hAnsi="宋体" w:cs="宋体"/>
                <w:color w:val="auto"/>
                <w:kern w:val="0"/>
                <w:sz w:val="20"/>
                <w:szCs w:val="20"/>
              </w:rPr>
            </w:pPr>
            <w:r>
              <w:rPr>
                <w:rFonts w:hint="eastAsia" w:ascii="宋体" w:hAnsi="宋体" w:cs="宋体"/>
                <w:color w:val="auto"/>
                <w:kern w:val="0"/>
                <w:sz w:val="20"/>
                <w:szCs w:val="20"/>
              </w:rPr>
              <w:t>100≤X＜200</w:t>
            </w:r>
          </w:p>
        </w:tc>
        <w:tc>
          <w:tcPr>
            <w:tcW w:w="1699" w:type="dxa"/>
            <w:tcBorders>
              <w:top w:val="nil"/>
              <w:left w:val="nil"/>
              <w:bottom w:val="single" w:color="auto" w:sz="4" w:space="0"/>
              <w:right w:val="single" w:color="auto" w:sz="4" w:space="0"/>
            </w:tcBorders>
            <w:vAlign w:val="center"/>
          </w:tcPr>
          <w:p w14:paraId="3107F30F">
            <w:pPr>
              <w:widowControl/>
              <w:jc w:val="left"/>
              <w:rPr>
                <w:rFonts w:ascii="宋体" w:hAnsi="宋体" w:cs="宋体"/>
                <w:color w:val="auto"/>
                <w:kern w:val="0"/>
                <w:sz w:val="20"/>
                <w:szCs w:val="20"/>
              </w:rPr>
            </w:pPr>
            <w:r>
              <w:rPr>
                <w:rFonts w:hint="eastAsia" w:ascii="宋体" w:hAnsi="宋体" w:cs="宋体"/>
                <w:color w:val="auto"/>
                <w:kern w:val="0"/>
                <w:sz w:val="20"/>
                <w:szCs w:val="20"/>
              </w:rPr>
              <w:t>20≤X＜100</w:t>
            </w:r>
          </w:p>
        </w:tc>
        <w:tc>
          <w:tcPr>
            <w:tcW w:w="1091" w:type="dxa"/>
            <w:tcBorders>
              <w:top w:val="nil"/>
              <w:left w:val="nil"/>
              <w:bottom w:val="single" w:color="auto" w:sz="4" w:space="0"/>
              <w:right w:val="single" w:color="auto" w:sz="4" w:space="0"/>
            </w:tcBorders>
            <w:vAlign w:val="center"/>
          </w:tcPr>
          <w:p w14:paraId="6CD31445">
            <w:pPr>
              <w:widowControl/>
              <w:jc w:val="left"/>
              <w:rPr>
                <w:rFonts w:ascii="宋体" w:hAnsi="宋体" w:cs="宋体"/>
                <w:color w:val="auto"/>
                <w:kern w:val="0"/>
                <w:sz w:val="20"/>
                <w:szCs w:val="20"/>
              </w:rPr>
            </w:pPr>
            <w:r>
              <w:rPr>
                <w:rFonts w:hint="eastAsia" w:ascii="宋体" w:hAnsi="宋体" w:cs="宋体"/>
                <w:color w:val="auto"/>
                <w:kern w:val="0"/>
                <w:sz w:val="20"/>
                <w:szCs w:val="20"/>
              </w:rPr>
              <w:t>X＜20</w:t>
            </w:r>
          </w:p>
        </w:tc>
      </w:tr>
      <w:tr w14:paraId="47D21E6F">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E319A5C">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1F2DA8CA">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65ED0F4C">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7C9DA67F">
            <w:pPr>
              <w:widowControl/>
              <w:jc w:val="left"/>
              <w:rPr>
                <w:rFonts w:ascii="宋体" w:hAnsi="宋体" w:cs="宋体"/>
                <w:color w:val="auto"/>
                <w:kern w:val="0"/>
                <w:sz w:val="20"/>
                <w:szCs w:val="20"/>
              </w:rPr>
            </w:pPr>
            <w:r>
              <w:rPr>
                <w:rFonts w:hint="eastAsia" w:ascii="宋体" w:hAnsi="宋体" w:cs="宋体"/>
                <w:color w:val="auto"/>
                <w:kern w:val="0"/>
                <w:sz w:val="20"/>
                <w:szCs w:val="20"/>
              </w:rPr>
              <w:t>1000≤Y＜30000</w:t>
            </w:r>
          </w:p>
        </w:tc>
        <w:tc>
          <w:tcPr>
            <w:tcW w:w="1699" w:type="dxa"/>
            <w:tcBorders>
              <w:top w:val="nil"/>
              <w:left w:val="nil"/>
              <w:bottom w:val="single" w:color="auto" w:sz="4" w:space="0"/>
              <w:right w:val="single" w:color="auto" w:sz="4" w:space="0"/>
            </w:tcBorders>
            <w:vAlign w:val="center"/>
          </w:tcPr>
          <w:p w14:paraId="029519D6">
            <w:pPr>
              <w:widowControl/>
              <w:jc w:val="left"/>
              <w:rPr>
                <w:rFonts w:ascii="宋体" w:hAnsi="宋体" w:cs="宋体"/>
                <w:color w:val="auto"/>
                <w:kern w:val="0"/>
                <w:sz w:val="20"/>
                <w:szCs w:val="20"/>
              </w:rPr>
            </w:pPr>
            <w:r>
              <w:rPr>
                <w:rFonts w:hint="eastAsia" w:ascii="宋体" w:hAnsi="宋体" w:cs="宋体"/>
                <w:color w:val="auto"/>
                <w:kern w:val="0"/>
                <w:sz w:val="20"/>
                <w:szCs w:val="20"/>
              </w:rPr>
              <w:t>100≤Y＜1000</w:t>
            </w:r>
          </w:p>
        </w:tc>
        <w:tc>
          <w:tcPr>
            <w:tcW w:w="1091" w:type="dxa"/>
            <w:tcBorders>
              <w:top w:val="nil"/>
              <w:left w:val="nil"/>
              <w:bottom w:val="single" w:color="auto" w:sz="4" w:space="0"/>
              <w:right w:val="single" w:color="auto" w:sz="4" w:space="0"/>
            </w:tcBorders>
            <w:vAlign w:val="center"/>
          </w:tcPr>
          <w:p w14:paraId="0599B3B2">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746D4EA0">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CA8DF19">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邮政业</w:t>
            </w:r>
          </w:p>
        </w:tc>
        <w:tc>
          <w:tcPr>
            <w:tcW w:w="1633" w:type="dxa"/>
            <w:tcBorders>
              <w:top w:val="nil"/>
              <w:left w:val="nil"/>
              <w:bottom w:val="single" w:color="auto" w:sz="4" w:space="0"/>
              <w:right w:val="single" w:color="auto" w:sz="4" w:space="0"/>
            </w:tcBorders>
            <w:vAlign w:val="center"/>
          </w:tcPr>
          <w:p w14:paraId="5052521D">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7404EB84">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6C3396C3">
            <w:pPr>
              <w:widowControl/>
              <w:jc w:val="left"/>
              <w:rPr>
                <w:rFonts w:ascii="宋体" w:hAnsi="宋体" w:cs="宋体"/>
                <w:color w:val="auto"/>
                <w:kern w:val="0"/>
                <w:sz w:val="20"/>
                <w:szCs w:val="20"/>
              </w:rPr>
            </w:pPr>
            <w:r>
              <w:rPr>
                <w:rFonts w:hint="eastAsia" w:ascii="宋体" w:hAnsi="宋体" w:cs="宋体"/>
                <w:color w:val="auto"/>
                <w:kern w:val="0"/>
                <w:sz w:val="20"/>
                <w:szCs w:val="20"/>
              </w:rPr>
              <w:t>300≤X＜1000</w:t>
            </w:r>
          </w:p>
        </w:tc>
        <w:tc>
          <w:tcPr>
            <w:tcW w:w="1699" w:type="dxa"/>
            <w:tcBorders>
              <w:top w:val="nil"/>
              <w:left w:val="nil"/>
              <w:bottom w:val="single" w:color="auto" w:sz="4" w:space="0"/>
              <w:right w:val="single" w:color="auto" w:sz="4" w:space="0"/>
            </w:tcBorders>
            <w:vAlign w:val="center"/>
          </w:tcPr>
          <w:p w14:paraId="1DF2E898">
            <w:pPr>
              <w:widowControl/>
              <w:jc w:val="left"/>
              <w:rPr>
                <w:rFonts w:ascii="宋体" w:hAnsi="宋体" w:cs="宋体"/>
                <w:color w:val="auto"/>
                <w:kern w:val="0"/>
                <w:sz w:val="20"/>
                <w:szCs w:val="20"/>
              </w:rPr>
            </w:pPr>
            <w:r>
              <w:rPr>
                <w:rFonts w:hint="eastAsia" w:ascii="宋体" w:hAnsi="宋体" w:cs="宋体"/>
                <w:color w:val="auto"/>
                <w:kern w:val="0"/>
                <w:sz w:val="20"/>
                <w:szCs w:val="20"/>
              </w:rPr>
              <w:t>20≤X＜300</w:t>
            </w:r>
          </w:p>
        </w:tc>
        <w:tc>
          <w:tcPr>
            <w:tcW w:w="1091" w:type="dxa"/>
            <w:tcBorders>
              <w:top w:val="nil"/>
              <w:left w:val="nil"/>
              <w:bottom w:val="single" w:color="auto" w:sz="4" w:space="0"/>
              <w:right w:val="single" w:color="auto" w:sz="4" w:space="0"/>
            </w:tcBorders>
            <w:vAlign w:val="center"/>
          </w:tcPr>
          <w:p w14:paraId="3C0F787B">
            <w:pPr>
              <w:widowControl/>
              <w:jc w:val="left"/>
              <w:rPr>
                <w:rFonts w:ascii="宋体" w:hAnsi="宋体" w:cs="宋体"/>
                <w:color w:val="auto"/>
                <w:kern w:val="0"/>
                <w:sz w:val="20"/>
                <w:szCs w:val="20"/>
              </w:rPr>
            </w:pPr>
            <w:r>
              <w:rPr>
                <w:rFonts w:hint="eastAsia" w:ascii="宋体" w:hAnsi="宋体" w:cs="宋体"/>
                <w:color w:val="auto"/>
                <w:kern w:val="0"/>
                <w:sz w:val="20"/>
                <w:szCs w:val="20"/>
              </w:rPr>
              <w:t>X＜20</w:t>
            </w:r>
          </w:p>
        </w:tc>
      </w:tr>
      <w:tr w14:paraId="56B6597B">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26F13FB3">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00A32A12">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5FDCA380">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32395044">
            <w:pPr>
              <w:widowControl/>
              <w:jc w:val="left"/>
              <w:rPr>
                <w:rFonts w:ascii="宋体" w:hAnsi="宋体" w:cs="宋体"/>
                <w:color w:val="auto"/>
                <w:kern w:val="0"/>
                <w:sz w:val="20"/>
                <w:szCs w:val="20"/>
              </w:rPr>
            </w:pPr>
            <w:r>
              <w:rPr>
                <w:rFonts w:hint="eastAsia" w:ascii="宋体" w:hAnsi="宋体" w:cs="宋体"/>
                <w:color w:val="auto"/>
                <w:kern w:val="0"/>
                <w:sz w:val="20"/>
                <w:szCs w:val="20"/>
              </w:rPr>
              <w:t>2000≤Y＜30000</w:t>
            </w:r>
          </w:p>
        </w:tc>
        <w:tc>
          <w:tcPr>
            <w:tcW w:w="1699" w:type="dxa"/>
            <w:tcBorders>
              <w:top w:val="nil"/>
              <w:left w:val="nil"/>
              <w:bottom w:val="single" w:color="auto" w:sz="4" w:space="0"/>
              <w:right w:val="single" w:color="auto" w:sz="4" w:space="0"/>
            </w:tcBorders>
            <w:vAlign w:val="center"/>
          </w:tcPr>
          <w:p w14:paraId="7FBC23EB">
            <w:pPr>
              <w:widowControl/>
              <w:jc w:val="left"/>
              <w:rPr>
                <w:rFonts w:ascii="宋体" w:hAnsi="宋体" w:cs="宋体"/>
                <w:color w:val="auto"/>
                <w:kern w:val="0"/>
                <w:sz w:val="20"/>
                <w:szCs w:val="20"/>
              </w:rPr>
            </w:pPr>
            <w:r>
              <w:rPr>
                <w:rFonts w:hint="eastAsia" w:ascii="宋体" w:hAnsi="宋体" w:cs="宋体"/>
                <w:color w:val="auto"/>
                <w:kern w:val="0"/>
                <w:sz w:val="20"/>
                <w:szCs w:val="20"/>
              </w:rPr>
              <w:t>100≤Y＜2000</w:t>
            </w:r>
          </w:p>
        </w:tc>
        <w:tc>
          <w:tcPr>
            <w:tcW w:w="1091" w:type="dxa"/>
            <w:tcBorders>
              <w:top w:val="nil"/>
              <w:left w:val="nil"/>
              <w:bottom w:val="single" w:color="auto" w:sz="4" w:space="0"/>
              <w:right w:val="single" w:color="auto" w:sz="4" w:space="0"/>
            </w:tcBorders>
            <w:vAlign w:val="center"/>
          </w:tcPr>
          <w:p w14:paraId="0AD1C54C">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00E5B02A">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CFA7771">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住宿业</w:t>
            </w:r>
          </w:p>
        </w:tc>
        <w:tc>
          <w:tcPr>
            <w:tcW w:w="1633" w:type="dxa"/>
            <w:tcBorders>
              <w:top w:val="nil"/>
              <w:left w:val="nil"/>
              <w:bottom w:val="single" w:color="auto" w:sz="4" w:space="0"/>
              <w:right w:val="single" w:color="auto" w:sz="4" w:space="0"/>
            </w:tcBorders>
            <w:vAlign w:val="center"/>
          </w:tcPr>
          <w:p w14:paraId="1AB7335C">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4D031899">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63E5252E">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699" w:type="dxa"/>
            <w:tcBorders>
              <w:top w:val="nil"/>
              <w:left w:val="nil"/>
              <w:bottom w:val="single" w:color="auto" w:sz="4" w:space="0"/>
              <w:right w:val="single" w:color="auto" w:sz="4" w:space="0"/>
            </w:tcBorders>
            <w:vAlign w:val="center"/>
          </w:tcPr>
          <w:p w14:paraId="5B7CBC42">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16A53690">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073278FA">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5085188">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4650073B">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4FA804DF">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2A1613F4">
            <w:pPr>
              <w:widowControl/>
              <w:jc w:val="left"/>
              <w:rPr>
                <w:rFonts w:ascii="宋体" w:hAnsi="宋体" w:cs="宋体"/>
                <w:color w:val="auto"/>
                <w:kern w:val="0"/>
                <w:sz w:val="20"/>
                <w:szCs w:val="20"/>
              </w:rPr>
            </w:pPr>
            <w:r>
              <w:rPr>
                <w:rFonts w:hint="eastAsia" w:ascii="宋体" w:hAnsi="宋体" w:cs="宋体"/>
                <w:color w:val="auto"/>
                <w:kern w:val="0"/>
                <w:sz w:val="20"/>
                <w:szCs w:val="20"/>
              </w:rPr>
              <w:t>2000≤Y＜10000</w:t>
            </w:r>
          </w:p>
        </w:tc>
        <w:tc>
          <w:tcPr>
            <w:tcW w:w="1699" w:type="dxa"/>
            <w:tcBorders>
              <w:top w:val="nil"/>
              <w:left w:val="nil"/>
              <w:bottom w:val="single" w:color="auto" w:sz="4" w:space="0"/>
              <w:right w:val="single" w:color="auto" w:sz="4" w:space="0"/>
            </w:tcBorders>
            <w:vAlign w:val="center"/>
          </w:tcPr>
          <w:p w14:paraId="6B522CCA">
            <w:pPr>
              <w:widowControl/>
              <w:jc w:val="left"/>
              <w:rPr>
                <w:rFonts w:ascii="宋体" w:hAnsi="宋体" w:cs="宋体"/>
                <w:color w:val="auto"/>
                <w:kern w:val="0"/>
                <w:sz w:val="20"/>
                <w:szCs w:val="20"/>
              </w:rPr>
            </w:pPr>
            <w:r>
              <w:rPr>
                <w:rFonts w:hint="eastAsia" w:ascii="宋体" w:hAnsi="宋体" w:cs="宋体"/>
                <w:color w:val="auto"/>
                <w:kern w:val="0"/>
                <w:sz w:val="20"/>
                <w:szCs w:val="20"/>
              </w:rPr>
              <w:t>100≤Y＜2000</w:t>
            </w:r>
          </w:p>
        </w:tc>
        <w:tc>
          <w:tcPr>
            <w:tcW w:w="1091" w:type="dxa"/>
            <w:tcBorders>
              <w:top w:val="nil"/>
              <w:left w:val="nil"/>
              <w:bottom w:val="single" w:color="auto" w:sz="4" w:space="0"/>
              <w:right w:val="single" w:color="auto" w:sz="4" w:space="0"/>
            </w:tcBorders>
            <w:vAlign w:val="center"/>
          </w:tcPr>
          <w:p w14:paraId="3A7E1BF1">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327254A9">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3769F87">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餐饮业</w:t>
            </w:r>
          </w:p>
        </w:tc>
        <w:tc>
          <w:tcPr>
            <w:tcW w:w="1633" w:type="dxa"/>
            <w:tcBorders>
              <w:top w:val="nil"/>
              <w:left w:val="nil"/>
              <w:bottom w:val="single" w:color="auto" w:sz="4" w:space="0"/>
              <w:right w:val="single" w:color="auto" w:sz="4" w:space="0"/>
            </w:tcBorders>
            <w:vAlign w:val="center"/>
          </w:tcPr>
          <w:p w14:paraId="4E33A7E6">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6A612A4C">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0973F473">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699" w:type="dxa"/>
            <w:tcBorders>
              <w:top w:val="nil"/>
              <w:left w:val="nil"/>
              <w:bottom w:val="single" w:color="auto" w:sz="4" w:space="0"/>
              <w:right w:val="single" w:color="auto" w:sz="4" w:space="0"/>
            </w:tcBorders>
            <w:vAlign w:val="center"/>
          </w:tcPr>
          <w:p w14:paraId="2FFDF100">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7447E49C">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6C1B860D">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682DB2F">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4A2EB610">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6B17D966">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29ED07FF">
            <w:pPr>
              <w:widowControl/>
              <w:jc w:val="left"/>
              <w:rPr>
                <w:rFonts w:ascii="宋体" w:hAnsi="宋体" w:cs="宋体"/>
                <w:color w:val="auto"/>
                <w:kern w:val="0"/>
                <w:sz w:val="20"/>
                <w:szCs w:val="20"/>
              </w:rPr>
            </w:pPr>
            <w:r>
              <w:rPr>
                <w:rFonts w:hint="eastAsia" w:ascii="宋体" w:hAnsi="宋体" w:cs="宋体"/>
                <w:color w:val="auto"/>
                <w:kern w:val="0"/>
                <w:sz w:val="20"/>
                <w:szCs w:val="20"/>
              </w:rPr>
              <w:t>2000≤Y＜10000</w:t>
            </w:r>
          </w:p>
        </w:tc>
        <w:tc>
          <w:tcPr>
            <w:tcW w:w="1699" w:type="dxa"/>
            <w:tcBorders>
              <w:top w:val="nil"/>
              <w:left w:val="nil"/>
              <w:bottom w:val="single" w:color="auto" w:sz="4" w:space="0"/>
              <w:right w:val="single" w:color="auto" w:sz="4" w:space="0"/>
            </w:tcBorders>
            <w:vAlign w:val="center"/>
          </w:tcPr>
          <w:p w14:paraId="161C491A">
            <w:pPr>
              <w:widowControl/>
              <w:jc w:val="left"/>
              <w:rPr>
                <w:rFonts w:ascii="宋体" w:hAnsi="宋体" w:cs="宋体"/>
                <w:color w:val="auto"/>
                <w:kern w:val="0"/>
                <w:sz w:val="20"/>
                <w:szCs w:val="20"/>
              </w:rPr>
            </w:pPr>
            <w:r>
              <w:rPr>
                <w:rFonts w:hint="eastAsia" w:ascii="宋体" w:hAnsi="宋体" w:cs="宋体"/>
                <w:color w:val="auto"/>
                <w:kern w:val="0"/>
                <w:sz w:val="20"/>
                <w:szCs w:val="20"/>
              </w:rPr>
              <w:t>100≤Y＜2000</w:t>
            </w:r>
          </w:p>
        </w:tc>
        <w:tc>
          <w:tcPr>
            <w:tcW w:w="1091" w:type="dxa"/>
            <w:tcBorders>
              <w:top w:val="nil"/>
              <w:left w:val="nil"/>
              <w:bottom w:val="single" w:color="auto" w:sz="4" w:space="0"/>
              <w:right w:val="single" w:color="auto" w:sz="4" w:space="0"/>
            </w:tcBorders>
            <w:vAlign w:val="center"/>
          </w:tcPr>
          <w:p w14:paraId="2F1AE955">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6104849B">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5CC03BC">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信息传输业</w:t>
            </w:r>
          </w:p>
        </w:tc>
        <w:tc>
          <w:tcPr>
            <w:tcW w:w="1633" w:type="dxa"/>
            <w:tcBorders>
              <w:top w:val="nil"/>
              <w:left w:val="nil"/>
              <w:bottom w:val="single" w:color="auto" w:sz="4" w:space="0"/>
              <w:right w:val="single" w:color="auto" w:sz="4" w:space="0"/>
            </w:tcBorders>
            <w:vAlign w:val="center"/>
          </w:tcPr>
          <w:p w14:paraId="7FE54D56">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3756D75D">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0686DCC4">
            <w:pPr>
              <w:widowControl/>
              <w:jc w:val="left"/>
              <w:rPr>
                <w:rFonts w:ascii="宋体" w:hAnsi="宋体" w:cs="宋体"/>
                <w:color w:val="auto"/>
                <w:kern w:val="0"/>
                <w:sz w:val="20"/>
                <w:szCs w:val="20"/>
              </w:rPr>
            </w:pPr>
            <w:r>
              <w:rPr>
                <w:rFonts w:hint="eastAsia" w:ascii="宋体" w:hAnsi="宋体" w:cs="宋体"/>
                <w:color w:val="auto"/>
                <w:kern w:val="0"/>
                <w:sz w:val="20"/>
                <w:szCs w:val="20"/>
              </w:rPr>
              <w:t>100≤X＜2000</w:t>
            </w:r>
          </w:p>
        </w:tc>
        <w:tc>
          <w:tcPr>
            <w:tcW w:w="1699" w:type="dxa"/>
            <w:tcBorders>
              <w:top w:val="nil"/>
              <w:left w:val="nil"/>
              <w:bottom w:val="single" w:color="auto" w:sz="4" w:space="0"/>
              <w:right w:val="single" w:color="auto" w:sz="4" w:space="0"/>
            </w:tcBorders>
            <w:vAlign w:val="center"/>
          </w:tcPr>
          <w:p w14:paraId="6C78E4D8">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04DC4A4D">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3072F85E">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23BB844E">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7AE7FE0E">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7783D426">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3A73FA83">
            <w:pPr>
              <w:widowControl/>
              <w:jc w:val="left"/>
              <w:rPr>
                <w:rFonts w:ascii="宋体" w:hAnsi="宋体" w:cs="宋体"/>
                <w:color w:val="auto"/>
                <w:kern w:val="0"/>
                <w:sz w:val="20"/>
                <w:szCs w:val="20"/>
              </w:rPr>
            </w:pPr>
            <w:r>
              <w:rPr>
                <w:rFonts w:hint="eastAsia" w:ascii="宋体" w:hAnsi="宋体" w:cs="宋体"/>
                <w:color w:val="auto"/>
                <w:kern w:val="0"/>
                <w:sz w:val="20"/>
                <w:szCs w:val="20"/>
              </w:rPr>
              <w:t>1000≤Y＜100000</w:t>
            </w:r>
          </w:p>
        </w:tc>
        <w:tc>
          <w:tcPr>
            <w:tcW w:w="1699" w:type="dxa"/>
            <w:tcBorders>
              <w:top w:val="nil"/>
              <w:left w:val="nil"/>
              <w:bottom w:val="single" w:color="auto" w:sz="4" w:space="0"/>
              <w:right w:val="single" w:color="auto" w:sz="4" w:space="0"/>
            </w:tcBorders>
            <w:vAlign w:val="center"/>
          </w:tcPr>
          <w:p w14:paraId="428F0203">
            <w:pPr>
              <w:widowControl/>
              <w:jc w:val="left"/>
              <w:rPr>
                <w:rFonts w:ascii="宋体" w:hAnsi="宋体" w:cs="宋体"/>
                <w:color w:val="auto"/>
                <w:kern w:val="0"/>
                <w:sz w:val="20"/>
                <w:szCs w:val="20"/>
              </w:rPr>
            </w:pPr>
            <w:r>
              <w:rPr>
                <w:rFonts w:hint="eastAsia" w:ascii="宋体" w:hAnsi="宋体" w:cs="宋体"/>
                <w:color w:val="auto"/>
                <w:kern w:val="0"/>
                <w:sz w:val="20"/>
                <w:szCs w:val="20"/>
              </w:rPr>
              <w:t>100≤Y＜1000</w:t>
            </w:r>
          </w:p>
        </w:tc>
        <w:tc>
          <w:tcPr>
            <w:tcW w:w="1091" w:type="dxa"/>
            <w:tcBorders>
              <w:top w:val="nil"/>
              <w:left w:val="nil"/>
              <w:bottom w:val="single" w:color="auto" w:sz="4" w:space="0"/>
              <w:right w:val="single" w:color="auto" w:sz="4" w:space="0"/>
            </w:tcBorders>
            <w:vAlign w:val="center"/>
          </w:tcPr>
          <w:p w14:paraId="3E5F74EB">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195E7A43">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6DA504CB">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软件和信息技术服务业</w:t>
            </w:r>
          </w:p>
        </w:tc>
        <w:tc>
          <w:tcPr>
            <w:tcW w:w="1633" w:type="dxa"/>
            <w:tcBorders>
              <w:top w:val="nil"/>
              <w:left w:val="nil"/>
              <w:bottom w:val="single" w:color="auto" w:sz="4" w:space="0"/>
              <w:right w:val="single" w:color="auto" w:sz="4" w:space="0"/>
            </w:tcBorders>
            <w:vAlign w:val="center"/>
          </w:tcPr>
          <w:p w14:paraId="7609BF36">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0FFE0C49">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0B714CE5">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699" w:type="dxa"/>
            <w:tcBorders>
              <w:top w:val="nil"/>
              <w:left w:val="nil"/>
              <w:bottom w:val="single" w:color="auto" w:sz="4" w:space="0"/>
              <w:right w:val="single" w:color="auto" w:sz="4" w:space="0"/>
            </w:tcBorders>
            <w:vAlign w:val="center"/>
          </w:tcPr>
          <w:p w14:paraId="0504F042">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1A9CA3BF">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472E7F0F">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3F965FB">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7C667E3E">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18B5EA84">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69D2CDE2">
            <w:pPr>
              <w:widowControl/>
              <w:jc w:val="left"/>
              <w:rPr>
                <w:rFonts w:ascii="宋体" w:hAnsi="宋体" w:cs="宋体"/>
                <w:color w:val="auto"/>
                <w:kern w:val="0"/>
                <w:sz w:val="20"/>
                <w:szCs w:val="20"/>
              </w:rPr>
            </w:pPr>
            <w:r>
              <w:rPr>
                <w:rFonts w:hint="eastAsia" w:ascii="宋体" w:hAnsi="宋体" w:cs="宋体"/>
                <w:color w:val="auto"/>
                <w:kern w:val="0"/>
                <w:sz w:val="20"/>
                <w:szCs w:val="20"/>
              </w:rPr>
              <w:t>1000≤Y＜10000</w:t>
            </w:r>
          </w:p>
        </w:tc>
        <w:tc>
          <w:tcPr>
            <w:tcW w:w="1699" w:type="dxa"/>
            <w:tcBorders>
              <w:top w:val="nil"/>
              <w:left w:val="nil"/>
              <w:bottom w:val="single" w:color="auto" w:sz="4" w:space="0"/>
              <w:right w:val="single" w:color="auto" w:sz="4" w:space="0"/>
            </w:tcBorders>
            <w:vAlign w:val="center"/>
          </w:tcPr>
          <w:p w14:paraId="008C7816">
            <w:pPr>
              <w:widowControl/>
              <w:jc w:val="left"/>
              <w:rPr>
                <w:rFonts w:ascii="宋体" w:hAnsi="宋体" w:cs="宋体"/>
                <w:color w:val="auto"/>
                <w:kern w:val="0"/>
                <w:sz w:val="20"/>
                <w:szCs w:val="20"/>
              </w:rPr>
            </w:pPr>
            <w:r>
              <w:rPr>
                <w:rFonts w:hint="eastAsia" w:ascii="宋体" w:hAnsi="宋体" w:cs="宋体"/>
                <w:color w:val="auto"/>
                <w:kern w:val="0"/>
                <w:sz w:val="20"/>
                <w:szCs w:val="20"/>
              </w:rPr>
              <w:t>50≤Y＜1000</w:t>
            </w:r>
          </w:p>
        </w:tc>
        <w:tc>
          <w:tcPr>
            <w:tcW w:w="1091" w:type="dxa"/>
            <w:tcBorders>
              <w:top w:val="nil"/>
              <w:left w:val="nil"/>
              <w:bottom w:val="single" w:color="auto" w:sz="4" w:space="0"/>
              <w:right w:val="single" w:color="auto" w:sz="4" w:space="0"/>
            </w:tcBorders>
            <w:vAlign w:val="center"/>
          </w:tcPr>
          <w:p w14:paraId="1AE25B8A">
            <w:pPr>
              <w:widowControl/>
              <w:jc w:val="left"/>
              <w:rPr>
                <w:rFonts w:ascii="宋体" w:hAnsi="宋体" w:cs="宋体"/>
                <w:color w:val="auto"/>
                <w:kern w:val="0"/>
                <w:sz w:val="20"/>
                <w:szCs w:val="20"/>
              </w:rPr>
            </w:pPr>
            <w:r>
              <w:rPr>
                <w:rFonts w:hint="eastAsia" w:ascii="宋体" w:hAnsi="宋体" w:cs="宋体"/>
                <w:color w:val="auto"/>
                <w:kern w:val="0"/>
                <w:sz w:val="20"/>
                <w:szCs w:val="20"/>
              </w:rPr>
              <w:t>Y＜50</w:t>
            </w:r>
          </w:p>
        </w:tc>
      </w:tr>
      <w:tr w14:paraId="095A569E">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22AB3706">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房地产开发经营</w:t>
            </w:r>
          </w:p>
        </w:tc>
        <w:tc>
          <w:tcPr>
            <w:tcW w:w="1633" w:type="dxa"/>
            <w:tcBorders>
              <w:top w:val="nil"/>
              <w:left w:val="nil"/>
              <w:bottom w:val="single" w:color="auto" w:sz="4" w:space="0"/>
              <w:right w:val="single" w:color="auto" w:sz="4" w:space="0"/>
            </w:tcBorders>
            <w:vAlign w:val="center"/>
          </w:tcPr>
          <w:p w14:paraId="3C696D43">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69819D2E">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3B91FC26">
            <w:pPr>
              <w:widowControl/>
              <w:jc w:val="left"/>
              <w:rPr>
                <w:rFonts w:ascii="宋体" w:hAnsi="宋体" w:cs="宋体"/>
                <w:color w:val="auto"/>
                <w:kern w:val="0"/>
                <w:sz w:val="20"/>
                <w:szCs w:val="20"/>
              </w:rPr>
            </w:pPr>
            <w:r>
              <w:rPr>
                <w:rFonts w:hint="eastAsia" w:ascii="宋体" w:hAnsi="宋体" w:cs="宋体"/>
                <w:color w:val="auto"/>
                <w:kern w:val="0"/>
                <w:sz w:val="20"/>
                <w:szCs w:val="20"/>
              </w:rPr>
              <w:t>1000≤Y＜200000</w:t>
            </w:r>
          </w:p>
        </w:tc>
        <w:tc>
          <w:tcPr>
            <w:tcW w:w="1699" w:type="dxa"/>
            <w:tcBorders>
              <w:top w:val="nil"/>
              <w:left w:val="nil"/>
              <w:bottom w:val="single" w:color="auto" w:sz="4" w:space="0"/>
              <w:right w:val="single" w:color="auto" w:sz="4" w:space="0"/>
            </w:tcBorders>
            <w:vAlign w:val="center"/>
          </w:tcPr>
          <w:p w14:paraId="18A2EB33">
            <w:pPr>
              <w:widowControl/>
              <w:jc w:val="left"/>
              <w:rPr>
                <w:rFonts w:ascii="宋体" w:hAnsi="宋体" w:cs="宋体"/>
                <w:color w:val="auto"/>
                <w:kern w:val="0"/>
                <w:sz w:val="20"/>
                <w:szCs w:val="20"/>
              </w:rPr>
            </w:pPr>
            <w:r>
              <w:rPr>
                <w:rFonts w:hint="eastAsia" w:ascii="宋体" w:hAnsi="宋体" w:cs="宋体"/>
                <w:color w:val="auto"/>
                <w:kern w:val="0"/>
                <w:sz w:val="20"/>
                <w:szCs w:val="20"/>
              </w:rPr>
              <w:t>100≤X＜1000</w:t>
            </w:r>
          </w:p>
        </w:tc>
        <w:tc>
          <w:tcPr>
            <w:tcW w:w="1091" w:type="dxa"/>
            <w:tcBorders>
              <w:top w:val="nil"/>
              <w:left w:val="nil"/>
              <w:bottom w:val="single" w:color="auto" w:sz="4" w:space="0"/>
              <w:right w:val="single" w:color="auto" w:sz="4" w:space="0"/>
            </w:tcBorders>
            <w:vAlign w:val="center"/>
          </w:tcPr>
          <w:p w14:paraId="2121357B">
            <w:pPr>
              <w:widowControl/>
              <w:jc w:val="left"/>
              <w:rPr>
                <w:rFonts w:ascii="宋体" w:hAnsi="宋体" w:cs="宋体"/>
                <w:color w:val="auto"/>
                <w:kern w:val="0"/>
                <w:sz w:val="20"/>
                <w:szCs w:val="20"/>
              </w:rPr>
            </w:pPr>
            <w:r>
              <w:rPr>
                <w:rFonts w:hint="eastAsia" w:ascii="宋体" w:hAnsi="宋体" w:cs="宋体"/>
                <w:color w:val="auto"/>
                <w:kern w:val="0"/>
                <w:sz w:val="20"/>
                <w:szCs w:val="20"/>
              </w:rPr>
              <w:t>X＜100</w:t>
            </w:r>
          </w:p>
        </w:tc>
      </w:tr>
      <w:tr w14:paraId="1BFDC746">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25D6806C">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34616A9A">
            <w:pPr>
              <w:widowControl/>
              <w:jc w:val="left"/>
              <w:rPr>
                <w:rFonts w:ascii="宋体" w:hAnsi="宋体" w:cs="宋体"/>
                <w:color w:val="auto"/>
                <w:kern w:val="0"/>
                <w:sz w:val="20"/>
                <w:szCs w:val="20"/>
              </w:rPr>
            </w:pPr>
            <w:r>
              <w:rPr>
                <w:rFonts w:hint="eastAsia" w:ascii="宋体" w:hAnsi="宋体" w:cs="宋体"/>
                <w:color w:val="auto"/>
                <w:kern w:val="0"/>
                <w:sz w:val="20"/>
                <w:szCs w:val="20"/>
              </w:rPr>
              <w:t>资产总额（Z）</w:t>
            </w:r>
          </w:p>
        </w:tc>
        <w:tc>
          <w:tcPr>
            <w:tcW w:w="1077" w:type="dxa"/>
            <w:tcBorders>
              <w:top w:val="nil"/>
              <w:left w:val="nil"/>
              <w:bottom w:val="single" w:color="auto" w:sz="4" w:space="0"/>
              <w:right w:val="single" w:color="auto" w:sz="4" w:space="0"/>
            </w:tcBorders>
            <w:vAlign w:val="center"/>
          </w:tcPr>
          <w:p w14:paraId="7E196AE0">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0BF29BD4">
            <w:pPr>
              <w:widowControl/>
              <w:jc w:val="left"/>
              <w:rPr>
                <w:rFonts w:ascii="宋体" w:hAnsi="宋体" w:cs="宋体"/>
                <w:color w:val="auto"/>
                <w:kern w:val="0"/>
                <w:sz w:val="20"/>
                <w:szCs w:val="20"/>
              </w:rPr>
            </w:pPr>
            <w:r>
              <w:rPr>
                <w:rFonts w:hint="eastAsia" w:ascii="宋体" w:hAnsi="宋体" w:cs="宋体"/>
                <w:color w:val="auto"/>
                <w:kern w:val="0"/>
                <w:sz w:val="20"/>
                <w:szCs w:val="20"/>
              </w:rPr>
              <w:t>5000≤Z＜10000</w:t>
            </w:r>
          </w:p>
        </w:tc>
        <w:tc>
          <w:tcPr>
            <w:tcW w:w="1699" w:type="dxa"/>
            <w:tcBorders>
              <w:top w:val="nil"/>
              <w:left w:val="nil"/>
              <w:bottom w:val="single" w:color="auto" w:sz="4" w:space="0"/>
              <w:right w:val="single" w:color="auto" w:sz="4" w:space="0"/>
            </w:tcBorders>
            <w:vAlign w:val="center"/>
          </w:tcPr>
          <w:p w14:paraId="54FFB7CD">
            <w:pPr>
              <w:widowControl/>
              <w:jc w:val="left"/>
              <w:rPr>
                <w:rFonts w:ascii="宋体" w:hAnsi="宋体" w:cs="宋体"/>
                <w:color w:val="auto"/>
                <w:kern w:val="0"/>
                <w:sz w:val="20"/>
                <w:szCs w:val="20"/>
              </w:rPr>
            </w:pPr>
            <w:r>
              <w:rPr>
                <w:rFonts w:hint="eastAsia" w:ascii="宋体" w:hAnsi="宋体" w:cs="宋体"/>
                <w:color w:val="auto"/>
                <w:kern w:val="0"/>
                <w:sz w:val="20"/>
                <w:szCs w:val="20"/>
              </w:rPr>
              <w:t>2000≤Y＜5000</w:t>
            </w:r>
          </w:p>
        </w:tc>
        <w:tc>
          <w:tcPr>
            <w:tcW w:w="1091" w:type="dxa"/>
            <w:tcBorders>
              <w:top w:val="nil"/>
              <w:left w:val="nil"/>
              <w:bottom w:val="single" w:color="auto" w:sz="4" w:space="0"/>
              <w:right w:val="single" w:color="auto" w:sz="4" w:space="0"/>
            </w:tcBorders>
            <w:vAlign w:val="center"/>
          </w:tcPr>
          <w:p w14:paraId="49A67741">
            <w:pPr>
              <w:widowControl/>
              <w:jc w:val="left"/>
              <w:rPr>
                <w:rFonts w:ascii="宋体" w:hAnsi="宋体" w:cs="宋体"/>
                <w:color w:val="auto"/>
                <w:kern w:val="0"/>
                <w:sz w:val="20"/>
                <w:szCs w:val="20"/>
              </w:rPr>
            </w:pPr>
            <w:r>
              <w:rPr>
                <w:rFonts w:hint="eastAsia" w:ascii="宋体" w:hAnsi="宋体" w:cs="宋体"/>
                <w:color w:val="auto"/>
                <w:kern w:val="0"/>
                <w:sz w:val="20"/>
                <w:szCs w:val="20"/>
              </w:rPr>
              <w:t>Y＜2000</w:t>
            </w:r>
          </w:p>
        </w:tc>
      </w:tr>
      <w:tr w14:paraId="049080EF">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64AC89EC">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物业管理</w:t>
            </w:r>
          </w:p>
        </w:tc>
        <w:tc>
          <w:tcPr>
            <w:tcW w:w="1633" w:type="dxa"/>
            <w:tcBorders>
              <w:top w:val="nil"/>
              <w:left w:val="nil"/>
              <w:bottom w:val="single" w:color="auto" w:sz="4" w:space="0"/>
              <w:right w:val="single" w:color="auto" w:sz="4" w:space="0"/>
            </w:tcBorders>
            <w:vAlign w:val="center"/>
          </w:tcPr>
          <w:p w14:paraId="53A627B7">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3ED1EF6D">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1D0C4E7B">
            <w:pPr>
              <w:widowControl/>
              <w:jc w:val="left"/>
              <w:rPr>
                <w:rFonts w:ascii="宋体" w:hAnsi="宋体" w:cs="宋体"/>
                <w:color w:val="auto"/>
                <w:kern w:val="0"/>
                <w:sz w:val="20"/>
                <w:szCs w:val="20"/>
              </w:rPr>
            </w:pPr>
            <w:r>
              <w:rPr>
                <w:rFonts w:hint="eastAsia" w:ascii="宋体" w:hAnsi="宋体" w:cs="宋体"/>
                <w:color w:val="auto"/>
                <w:kern w:val="0"/>
                <w:sz w:val="20"/>
                <w:szCs w:val="20"/>
              </w:rPr>
              <w:t>300≤X＜1000</w:t>
            </w:r>
          </w:p>
        </w:tc>
        <w:tc>
          <w:tcPr>
            <w:tcW w:w="1699" w:type="dxa"/>
            <w:tcBorders>
              <w:top w:val="nil"/>
              <w:left w:val="nil"/>
              <w:bottom w:val="single" w:color="auto" w:sz="4" w:space="0"/>
              <w:right w:val="single" w:color="auto" w:sz="4" w:space="0"/>
            </w:tcBorders>
            <w:vAlign w:val="center"/>
          </w:tcPr>
          <w:p w14:paraId="16354F22">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091" w:type="dxa"/>
            <w:tcBorders>
              <w:top w:val="nil"/>
              <w:left w:val="nil"/>
              <w:bottom w:val="single" w:color="auto" w:sz="4" w:space="0"/>
              <w:right w:val="single" w:color="auto" w:sz="4" w:space="0"/>
            </w:tcBorders>
            <w:vAlign w:val="center"/>
          </w:tcPr>
          <w:p w14:paraId="43C026FB">
            <w:pPr>
              <w:widowControl/>
              <w:jc w:val="left"/>
              <w:rPr>
                <w:rFonts w:ascii="宋体" w:hAnsi="宋体" w:cs="宋体"/>
                <w:color w:val="auto"/>
                <w:kern w:val="0"/>
                <w:sz w:val="20"/>
                <w:szCs w:val="20"/>
              </w:rPr>
            </w:pPr>
            <w:r>
              <w:rPr>
                <w:rFonts w:hint="eastAsia" w:ascii="宋体" w:hAnsi="宋体" w:cs="宋体"/>
                <w:color w:val="auto"/>
                <w:kern w:val="0"/>
                <w:sz w:val="20"/>
                <w:szCs w:val="20"/>
              </w:rPr>
              <w:t>X＜100</w:t>
            </w:r>
          </w:p>
        </w:tc>
      </w:tr>
      <w:tr w14:paraId="276F89BB">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394B7797">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18397561">
            <w:pPr>
              <w:widowControl/>
              <w:jc w:val="left"/>
              <w:rPr>
                <w:rFonts w:ascii="宋体" w:hAnsi="宋体" w:cs="宋体"/>
                <w:color w:val="auto"/>
                <w:kern w:val="0"/>
                <w:sz w:val="20"/>
                <w:szCs w:val="20"/>
              </w:rPr>
            </w:pPr>
            <w:r>
              <w:rPr>
                <w:rFonts w:hint="eastAsia" w:ascii="宋体" w:hAnsi="宋体" w:cs="宋体"/>
                <w:color w:val="auto"/>
                <w:kern w:val="0"/>
                <w:sz w:val="20"/>
                <w:szCs w:val="20"/>
              </w:rPr>
              <w:t>营业收入（Y）</w:t>
            </w:r>
          </w:p>
        </w:tc>
        <w:tc>
          <w:tcPr>
            <w:tcW w:w="1077" w:type="dxa"/>
            <w:tcBorders>
              <w:top w:val="nil"/>
              <w:left w:val="nil"/>
              <w:bottom w:val="single" w:color="auto" w:sz="4" w:space="0"/>
              <w:right w:val="single" w:color="auto" w:sz="4" w:space="0"/>
            </w:tcBorders>
            <w:vAlign w:val="center"/>
          </w:tcPr>
          <w:p w14:paraId="2A68B7B7">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4BE8255C">
            <w:pPr>
              <w:widowControl/>
              <w:jc w:val="left"/>
              <w:rPr>
                <w:rFonts w:ascii="宋体" w:hAnsi="宋体" w:cs="宋体"/>
                <w:color w:val="auto"/>
                <w:kern w:val="0"/>
                <w:sz w:val="20"/>
                <w:szCs w:val="20"/>
              </w:rPr>
            </w:pPr>
            <w:r>
              <w:rPr>
                <w:rFonts w:hint="eastAsia" w:ascii="宋体" w:hAnsi="宋体" w:cs="宋体"/>
                <w:color w:val="auto"/>
                <w:kern w:val="0"/>
                <w:sz w:val="20"/>
                <w:szCs w:val="20"/>
              </w:rPr>
              <w:t>1000≤Y＜5000</w:t>
            </w:r>
          </w:p>
        </w:tc>
        <w:tc>
          <w:tcPr>
            <w:tcW w:w="1699" w:type="dxa"/>
            <w:tcBorders>
              <w:top w:val="nil"/>
              <w:left w:val="nil"/>
              <w:bottom w:val="single" w:color="auto" w:sz="4" w:space="0"/>
              <w:right w:val="single" w:color="auto" w:sz="4" w:space="0"/>
            </w:tcBorders>
            <w:vAlign w:val="center"/>
          </w:tcPr>
          <w:p w14:paraId="0C79356D">
            <w:pPr>
              <w:widowControl/>
              <w:jc w:val="left"/>
              <w:rPr>
                <w:rFonts w:ascii="宋体" w:hAnsi="宋体" w:cs="宋体"/>
                <w:color w:val="auto"/>
                <w:kern w:val="0"/>
                <w:sz w:val="20"/>
                <w:szCs w:val="20"/>
              </w:rPr>
            </w:pPr>
            <w:r>
              <w:rPr>
                <w:rFonts w:hint="eastAsia" w:ascii="宋体" w:hAnsi="宋体" w:cs="宋体"/>
                <w:color w:val="auto"/>
                <w:kern w:val="0"/>
                <w:sz w:val="20"/>
                <w:szCs w:val="20"/>
              </w:rPr>
              <w:t>500≤Y＜1000</w:t>
            </w:r>
          </w:p>
        </w:tc>
        <w:tc>
          <w:tcPr>
            <w:tcW w:w="1091" w:type="dxa"/>
            <w:tcBorders>
              <w:top w:val="nil"/>
              <w:left w:val="nil"/>
              <w:bottom w:val="single" w:color="auto" w:sz="4" w:space="0"/>
              <w:right w:val="single" w:color="auto" w:sz="4" w:space="0"/>
            </w:tcBorders>
            <w:vAlign w:val="center"/>
          </w:tcPr>
          <w:p w14:paraId="0C39865C">
            <w:pPr>
              <w:widowControl/>
              <w:jc w:val="left"/>
              <w:rPr>
                <w:rFonts w:ascii="宋体" w:hAnsi="宋体" w:cs="宋体"/>
                <w:color w:val="auto"/>
                <w:kern w:val="0"/>
                <w:sz w:val="20"/>
                <w:szCs w:val="20"/>
              </w:rPr>
            </w:pPr>
            <w:r>
              <w:rPr>
                <w:rFonts w:hint="eastAsia" w:ascii="宋体" w:hAnsi="宋体" w:cs="宋体"/>
                <w:color w:val="auto"/>
                <w:kern w:val="0"/>
                <w:sz w:val="20"/>
                <w:szCs w:val="20"/>
              </w:rPr>
              <w:t>Y＜500</w:t>
            </w:r>
          </w:p>
        </w:tc>
      </w:tr>
      <w:tr w14:paraId="0BA82686">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5A34DDF">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租赁和商务服务业</w:t>
            </w:r>
          </w:p>
        </w:tc>
        <w:tc>
          <w:tcPr>
            <w:tcW w:w="1633" w:type="dxa"/>
            <w:tcBorders>
              <w:top w:val="nil"/>
              <w:left w:val="nil"/>
              <w:bottom w:val="single" w:color="auto" w:sz="4" w:space="0"/>
              <w:right w:val="single" w:color="auto" w:sz="4" w:space="0"/>
            </w:tcBorders>
            <w:vAlign w:val="center"/>
          </w:tcPr>
          <w:p w14:paraId="1D80FD2F">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370122E0">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04A1CDBE">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699" w:type="dxa"/>
            <w:tcBorders>
              <w:top w:val="nil"/>
              <w:left w:val="nil"/>
              <w:bottom w:val="single" w:color="auto" w:sz="4" w:space="0"/>
              <w:right w:val="single" w:color="auto" w:sz="4" w:space="0"/>
            </w:tcBorders>
            <w:vAlign w:val="center"/>
          </w:tcPr>
          <w:p w14:paraId="00A5FBAB">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268F4E93">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r w14:paraId="1D0781D1">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665CBC1F">
            <w:pPr>
              <w:widowControl/>
              <w:jc w:val="left"/>
              <w:rPr>
                <w:rFonts w:ascii="宋体" w:hAnsi="宋体" w:cs="宋体"/>
                <w:b/>
                <w:bCs/>
                <w:color w:val="auto"/>
                <w:kern w:val="0"/>
                <w:sz w:val="20"/>
                <w:szCs w:val="20"/>
              </w:rPr>
            </w:pPr>
          </w:p>
        </w:tc>
        <w:tc>
          <w:tcPr>
            <w:tcW w:w="1633" w:type="dxa"/>
            <w:tcBorders>
              <w:top w:val="nil"/>
              <w:left w:val="nil"/>
              <w:bottom w:val="single" w:color="auto" w:sz="4" w:space="0"/>
              <w:right w:val="single" w:color="auto" w:sz="4" w:space="0"/>
            </w:tcBorders>
            <w:vAlign w:val="center"/>
          </w:tcPr>
          <w:p w14:paraId="14C19FCD">
            <w:pPr>
              <w:widowControl/>
              <w:jc w:val="left"/>
              <w:rPr>
                <w:rFonts w:ascii="宋体" w:hAnsi="宋体" w:cs="宋体"/>
                <w:color w:val="auto"/>
                <w:kern w:val="0"/>
                <w:sz w:val="20"/>
                <w:szCs w:val="20"/>
              </w:rPr>
            </w:pPr>
            <w:r>
              <w:rPr>
                <w:rFonts w:hint="eastAsia" w:ascii="宋体" w:hAnsi="宋体" w:cs="宋体"/>
                <w:color w:val="auto"/>
                <w:kern w:val="0"/>
                <w:sz w:val="20"/>
                <w:szCs w:val="20"/>
              </w:rPr>
              <w:t>资产总额（Z）</w:t>
            </w:r>
          </w:p>
        </w:tc>
        <w:tc>
          <w:tcPr>
            <w:tcW w:w="1077" w:type="dxa"/>
            <w:tcBorders>
              <w:top w:val="nil"/>
              <w:left w:val="nil"/>
              <w:bottom w:val="single" w:color="auto" w:sz="4" w:space="0"/>
              <w:right w:val="single" w:color="auto" w:sz="4" w:space="0"/>
            </w:tcBorders>
            <w:vAlign w:val="center"/>
          </w:tcPr>
          <w:p w14:paraId="66862AE1">
            <w:pPr>
              <w:widowControl/>
              <w:jc w:val="left"/>
              <w:rPr>
                <w:rFonts w:ascii="宋体" w:hAnsi="宋体" w:cs="宋体"/>
                <w:color w:val="auto"/>
                <w:kern w:val="0"/>
                <w:sz w:val="20"/>
                <w:szCs w:val="20"/>
              </w:rPr>
            </w:pPr>
            <w:r>
              <w:rPr>
                <w:rFonts w:hint="eastAsia" w:ascii="宋体" w:hAnsi="宋体" w:cs="宋体"/>
                <w:color w:val="auto"/>
                <w:kern w:val="0"/>
                <w:sz w:val="20"/>
                <w:szCs w:val="20"/>
              </w:rPr>
              <w:t>万元</w:t>
            </w:r>
          </w:p>
        </w:tc>
        <w:tc>
          <w:tcPr>
            <w:tcW w:w="1911" w:type="dxa"/>
            <w:tcBorders>
              <w:top w:val="nil"/>
              <w:left w:val="nil"/>
              <w:bottom w:val="single" w:color="auto" w:sz="4" w:space="0"/>
              <w:right w:val="single" w:color="auto" w:sz="4" w:space="0"/>
            </w:tcBorders>
            <w:vAlign w:val="center"/>
          </w:tcPr>
          <w:p w14:paraId="416D07A1">
            <w:pPr>
              <w:widowControl/>
              <w:jc w:val="left"/>
              <w:rPr>
                <w:rFonts w:ascii="宋体" w:hAnsi="宋体" w:cs="宋体"/>
                <w:color w:val="auto"/>
                <w:kern w:val="0"/>
                <w:sz w:val="20"/>
                <w:szCs w:val="20"/>
              </w:rPr>
            </w:pPr>
            <w:r>
              <w:rPr>
                <w:rFonts w:hint="eastAsia" w:ascii="宋体" w:hAnsi="宋体" w:cs="宋体"/>
                <w:color w:val="auto"/>
                <w:kern w:val="0"/>
                <w:sz w:val="20"/>
                <w:szCs w:val="20"/>
              </w:rPr>
              <w:t>8000≤Z＜120000</w:t>
            </w:r>
          </w:p>
        </w:tc>
        <w:tc>
          <w:tcPr>
            <w:tcW w:w="1699" w:type="dxa"/>
            <w:tcBorders>
              <w:top w:val="nil"/>
              <w:left w:val="nil"/>
              <w:bottom w:val="single" w:color="auto" w:sz="4" w:space="0"/>
              <w:right w:val="single" w:color="auto" w:sz="4" w:space="0"/>
            </w:tcBorders>
            <w:vAlign w:val="center"/>
          </w:tcPr>
          <w:p w14:paraId="58BCAF98">
            <w:pPr>
              <w:widowControl/>
              <w:jc w:val="left"/>
              <w:rPr>
                <w:rFonts w:ascii="宋体" w:hAnsi="宋体" w:cs="宋体"/>
                <w:color w:val="auto"/>
                <w:kern w:val="0"/>
                <w:sz w:val="20"/>
                <w:szCs w:val="20"/>
              </w:rPr>
            </w:pPr>
            <w:r>
              <w:rPr>
                <w:rFonts w:hint="eastAsia" w:ascii="宋体" w:hAnsi="宋体" w:cs="宋体"/>
                <w:color w:val="auto"/>
                <w:kern w:val="0"/>
                <w:sz w:val="20"/>
                <w:szCs w:val="20"/>
              </w:rPr>
              <w:t>100≤Z＜8000</w:t>
            </w:r>
          </w:p>
        </w:tc>
        <w:tc>
          <w:tcPr>
            <w:tcW w:w="1091" w:type="dxa"/>
            <w:tcBorders>
              <w:top w:val="nil"/>
              <w:left w:val="nil"/>
              <w:bottom w:val="single" w:color="auto" w:sz="4" w:space="0"/>
              <w:right w:val="single" w:color="auto" w:sz="4" w:space="0"/>
            </w:tcBorders>
            <w:vAlign w:val="center"/>
          </w:tcPr>
          <w:p w14:paraId="10F52D36">
            <w:pPr>
              <w:widowControl/>
              <w:jc w:val="left"/>
              <w:rPr>
                <w:rFonts w:ascii="宋体" w:hAnsi="宋体" w:cs="宋体"/>
                <w:color w:val="auto"/>
                <w:kern w:val="0"/>
                <w:sz w:val="20"/>
                <w:szCs w:val="20"/>
              </w:rPr>
            </w:pPr>
            <w:r>
              <w:rPr>
                <w:rFonts w:hint="eastAsia" w:ascii="宋体" w:hAnsi="宋体" w:cs="宋体"/>
                <w:color w:val="auto"/>
                <w:kern w:val="0"/>
                <w:sz w:val="20"/>
                <w:szCs w:val="20"/>
              </w:rPr>
              <w:t>Y＜100</w:t>
            </w:r>
          </w:p>
        </w:tc>
      </w:tr>
      <w:tr w14:paraId="12D6E42F">
        <w:tblPrEx>
          <w:tblCellMar>
            <w:top w:w="0" w:type="dxa"/>
            <w:left w:w="108" w:type="dxa"/>
            <w:bottom w:w="0" w:type="dxa"/>
            <w:right w:w="108" w:type="dxa"/>
          </w:tblCellMar>
        </w:tblPrEx>
        <w:trPr>
          <w:trHeight w:val="375" w:hRule="atLeast"/>
        </w:trPr>
        <w:tc>
          <w:tcPr>
            <w:tcW w:w="2007" w:type="dxa"/>
            <w:tcBorders>
              <w:top w:val="nil"/>
              <w:left w:val="single" w:color="auto" w:sz="4" w:space="0"/>
              <w:bottom w:val="single" w:color="auto" w:sz="4" w:space="0"/>
              <w:right w:val="single" w:color="auto" w:sz="4" w:space="0"/>
            </w:tcBorders>
            <w:vAlign w:val="bottom"/>
          </w:tcPr>
          <w:p w14:paraId="349EDF03">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其他未列明行业</w:t>
            </w:r>
          </w:p>
        </w:tc>
        <w:tc>
          <w:tcPr>
            <w:tcW w:w="1633" w:type="dxa"/>
            <w:tcBorders>
              <w:top w:val="nil"/>
              <w:left w:val="nil"/>
              <w:bottom w:val="single" w:color="auto" w:sz="4" w:space="0"/>
              <w:right w:val="single" w:color="auto" w:sz="4" w:space="0"/>
            </w:tcBorders>
            <w:vAlign w:val="center"/>
          </w:tcPr>
          <w:p w14:paraId="63AA09BF">
            <w:pPr>
              <w:widowControl/>
              <w:jc w:val="left"/>
              <w:rPr>
                <w:rFonts w:ascii="宋体" w:hAnsi="宋体" w:cs="宋体"/>
                <w:color w:val="auto"/>
                <w:kern w:val="0"/>
                <w:sz w:val="20"/>
                <w:szCs w:val="20"/>
              </w:rPr>
            </w:pPr>
            <w:r>
              <w:rPr>
                <w:rFonts w:hint="eastAsia" w:ascii="宋体" w:hAnsi="宋体" w:cs="宋体"/>
                <w:color w:val="auto"/>
                <w:kern w:val="0"/>
                <w:sz w:val="20"/>
                <w:szCs w:val="20"/>
              </w:rPr>
              <w:t>从业人员（X）</w:t>
            </w:r>
          </w:p>
        </w:tc>
        <w:tc>
          <w:tcPr>
            <w:tcW w:w="1077" w:type="dxa"/>
            <w:tcBorders>
              <w:top w:val="nil"/>
              <w:left w:val="nil"/>
              <w:bottom w:val="single" w:color="auto" w:sz="4" w:space="0"/>
              <w:right w:val="single" w:color="auto" w:sz="4" w:space="0"/>
            </w:tcBorders>
            <w:vAlign w:val="center"/>
          </w:tcPr>
          <w:p w14:paraId="7D94DC5F">
            <w:pPr>
              <w:widowControl/>
              <w:jc w:val="left"/>
              <w:rPr>
                <w:rFonts w:ascii="宋体" w:hAnsi="宋体" w:cs="宋体"/>
                <w:color w:val="auto"/>
                <w:kern w:val="0"/>
                <w:sz w:val="20"/>
                <w:szCs w:val="20"/>
              </w:rPr>
            </w:pPr>
            <w:r>
              <w:rPr>
                <w:rFonts w:hint="eastAsia" w:ascii="宋体" w:hAnsi="宋体" w:cs="宋体"/>
                <w:color w:val="auto"/>
                <w:kern w:val="0"/>
                <w:sz w:val="20"/>
                <w:szCs w:val="20"/>
              </w:rPr>
              <w:t>人</w:t>
            </w:r>
          </w:p>
        </w:tc>
        <w:tc>
          <w:tcPr>
            <w:tcW w:w="1911" w:type="dxa"/>
            <w:tcBorders>
              <w:top w:val="nil"/>
              <w:left w:val="nil"/>
              <w:bottom w:val="single" w:color="auto" w:sz="4" w:space="0"/>
              <w:right w:val="single" w:color="auto" w:sz="4" w:space="0"/>
            </w:tcBorders>
            <w:vAlign w:val="center"/>
          </w:tcPr>
          <w:p w14:paraId="3C31CA14">
            <w:pPr>
              <w:widowControl/>
              <w:jc w:val="left"/>
              <w:rPr>
                <w:rFonts w:ascii="宋体" w:hAnsi="宋体" w:cs="宋体"/>
                <w:color w:val="auto"/>
                <w:kern w:val="0"/>
                <w:sz w:val="20"/>
                <w:szCs w:val="20"/>
              </w:rPr>
            </w:pPr>
            <w:r>
              <w:rPr>
                <w:rFonts w:hint="eastAsia" w:ascii="宋体" w:hAnsi="宋体" w:cs="宋体"/>
                <w:color w:val="auto"/>
                <w:kern w:val="0"/>
                <w:sz w:val="20"/>
                <w:szCs w:val="20"/>
              </w:rPr>
              <w:t>100≤X＜300</w:t>
            </w:r>
          </w:p>
        </w:tc>
        <w:tc>
          <w:tcPr>
            <w:tcW w:w="1699" w:type="dxa"/>
            <w:tcBorders>
              <w:top w:val="nil"/>
              <w:left w:val="nil"/>
              <w:bottom w:val="single" w:color="auto" w:sz="4" w:space="0"/>
              <w:right w:val="single" w:color="auto" w:sz="4" w:space="0"/>
            </w:tcBorders>
            <w:vAlign w:val="center"/>
          </w:tcPr>
          <w:p w14:paraId="04E4A237">
            <w:pPr>
              <w:widowControl/>
              <w:jc w:val="left"/>
              <w:rPr>
                <w:rFonts w:ascii="宋体" w:hAnsi="宋体" w:cs="宋体"/>
                <w:color w:val="auto"/>
                <w:kern w:val="0"/>
                <w:sz w:val="20"/>
                <w:szCs w:val="20"/>
              </w:rPr>
            </w:pPr>
            <w:r>
              <w:rPr>
                <w:rFonts w:hint="eastAsia" w:ascii="宋体" w:hAnsi="宋体" w:cs="宋体"/>
                <w:color w:val="auto"/>
                <w:kern w:val="0"/>
                <w:sz w:val="20"/>
                <w:szCs w:val="20"/>
              </w:rPr>
              <w:t>10≤X＜100</w:t>
            </w:r>
          </w:p>
        </w:tc>
        <w:tc>
          <w:tcPr>
            <w:tcW w:w="1091" w:type="dxa"/>
            <w:tcBorders>
              <w:top w:val="nil"/>
              <w:left w:val="nil"/>
              <w:bottom w:val="single" w:color="auto" w:sz="4" w:space="0"/>
              <w:right w:val="single" w:color="auto" w:sz="4" w:space="0"/>
            </w:tcBorders>
            <w:vAlign w:val="center"/>
          </w:tcPr>
          <w:p w14:paraId="65517C36">
            <w:pPr>
              <w:widowControl/>
              <w:jc w:val="left"/>
              <w:rPr>
                <w:rFonts w:ascii="宋体" w:hAnsi="宋体" w:cs="宋体"/>
                <w:color w:val="auto"/>
                <w:kern w:val="0"/>
                <w:sz w:val="20"/>
                <w:szCs w:val="20"/>
              </w:rPr>
            </w:pPr>
            <w:r>
              <w:rPr>
                <w:rFonts w:hint="eastAsia" w:ascii="宋体" w:hAnsi="宋体" w:cs="宋体"/>
                <w:color w:val="auto"/>
                <w:kern w:val="0"/>
                <w:sz w:val="20"/>
                <w:szCs w:val="20"/>
              </w:rPr>
              <w:t>X＜10</w:t>
            </w:r>
          </w:p>
        </w:tc>
      </w:tr>
    </w:tbl>
    <w:p w14:paraId="565AFD14">
      <w:pPr>
        <w:ind w:firstLine="602" w:firstLineChars="250"/>
        <w:rPr>
          <w:rFonts w:ascii="楷体" w:hAnsi="楷体" w:eastAsia="楷体" w:cs="宋体"/>
          <w:b/>
          <w:color w:val="auto"/>
          <w:sz w:val="24"/>
        </w:rPr>
      </w:pPr>
      <w:r>
        <w:rPr>
          <w:rFonts w:hint="eastAsia" w:ascii="楷体" w:hAnsi="楷体" w:eastAsia="楷体" w:cs="宋体"/>
          <w:b/>
          <w:color w:val="auto"/>
          <w:sz w:val="24"/>
        </w:rPr>
        <w:t>说明：</w:t>
      </w:r>
    </w:p>
    <w:p w14:paraId="39481729">
      <w:pPr>
        <w:ind w:firstLine="600" w:firstLineChars="250"/>
        <w:rPr>
          <w:rFonts w:ascii="楷体" w:hAnsi="楷体" w:eastAsia="楷体" w:cs="宋体"/>
          <w:color w:val="auto"/>
          <w:sz w:val="24"/>
        </w:rPr>
      </w:pPr>
      <w:r>
        <w:rPr>
          <w:rFonts w:hint="eastAsia" w:ascii="楷体" w:hAnsi="楷体" w:eastAsia="楷体" w:cs="宋体"/>
          <w:color w:val="auto"/>
          <w:sz w:val="24"/>
        </w:rPr>
        <w:t>上述标准参照《关于印发中小企业划型标准规定的通知》（工信部联企业</w:t>
      </w:r>
      <w:r>
        <w:rPr>
          <w:rFonts w:ascii="楷体" w:hAnsi="楷体" w:eastAsia="楷体" w:cs="宋体"/>
          <w:color w:val="auto"/>
          <w:sz w:val="24"/>
        </w:rPr>
        <w:t>[2011]300号），大型、中型和小型企业须同时满足所列指标的下限，否则下划一档；微型企业只须满足所列指标中的一项即可。</w:t>
      </w:r>
    </w:p>
    <w:p w14:paraId="3986BCA4">
      <w:pPr>
        <w:widowControl/>
        <w:jc w:val="left"/>
        <w:rPr>
          <w:rFonts w:ascii="宋体" w:hAnsi="宋体" w:cs="宋体"/>
          <w:color w:val="auto"/>
          <w:sz w:val="24"/>
        </w:rPr>
        <w:sectPr>
          <w:footerReference r:id="rId5" w:type="default"/>
          <w:pgSz w:w="11906" w:h="16838"/>
          <w:pgMar w:top="1417" w:right="1417" w:bottom="1417" w:left="1417" w:header="720" w:footer="720" w:gutter="0"/>
          <w:pgNumType w:start="1"/>
          <w:cols w:space="720" w:num="1"/>
          <w:docGrid w:type="lines" w:linePitch="331" w:charSpace="0"/>
        </w:sectPr>
      </w:pPr>
    </w:p>
    <w:p w14:paraId="536F90F6">
      <w:pPr>
        <w:pStyle w:val="2"/>
        <w:spacing w:before="0" w:after="0" w:line="360" w:lineRule="auto"/>
        <w:ind w:firstLine="883" w:firstLineChars="200"/>
        <w:jc w:val="left"/>
        <w:rPr>
          <w:rFonts w:ascii="宋体" w:hAnsi="宋体" w:cs="宋体"/>
          <w:color w:val="auto"/>
        </w:rPr>
      </w:pPr>
      <w:bookmarkStart w:id="31" w:name="_Toc3333"/>
      <w:r>
        <w:rPr>
          <w:rFonts w:hint="eastAsia" w:ascii="宋体" w:hAnsi="宋体" w:cs="宋体"/>
          <w:color w:val="auto"/>
        </w:rPr>
        <w:t xml:space="preserve">第四章  </w:t>
      </w:r>
      <w:bookmarkStart w:id="32" w:name="_Hlk68601507"/>
      <w:r>
        <w:rPr>
          <w:rFonts w:hint="eastAsia" w:ascii="宋体" w:hAnsi="宋体" w:cs="宋体"/>
          <w:color w:val="auto"/>
        </w:rPr>
        <w:t>评审程序和评定成交的标准</w:t>
      </w:r>
      <w:bookmarkEnd w:id="31"/>
      <w:bookmarkEnd w:id="32"/>
    </w:p>
    <w:p w14:paraId="3210665B">
      <w:pPr>
        <w:spacing w:line="360" w:lineRule="auto"/>
        <w:jc w:val="center"/>
        <w:rPr>
          <w:rFonts w:ascii="宋体" w:hAnsi="宋体" w:cs="宋体"/>
          <w:b/>
          <w:color w:val="auto"/>
          <w:sz w:val="32"/>
          <w:szCs w:val="32"/>
        </w:rPr>
      </w:pPr>
    </w:p>
    <w:p w14:paraId="6E47B314">
      <w:pPr>
        <w:jc w:val="center"/>
        <w:rPr>
          <w:rFonts w:ascii="宋体" w:hAnsi="宋体" w:cs="宋体"/>
          <w:b/>
          <w:color w:val="auto"/>
          <w:sz w:val="32"/>
          <w:szCs w:val="32"/>
        </w:rPr>
      </w:pPr>
      <w:r>
        <w:rPr>
          <w:rFonts w:hint="eastAsia" w:ascii="宋体" w:hAnsi="宋体" w:cs="宋体"/>
          <w:b/>
          <w:color w:val="auto"/>
          <w:sz w:val="32"/>
          <w:szCs w:val="32"/>
        </w:rPr>
        <w:t>一、评审程序</w:t>
      </w:r>
    </w:p>
    <w:p w14:paraId="6C1D8D75">
      <w:pPr>
        <w:spacing w:line="360" w:lineRule="auto"/>
        <w:ind w:firstLine="482" w:firstLineChars="200"/>
        <w:rPr>
          <w:rFonts w:ascii="宋体" w:hAnsi="宋体" w:cs="宋体"/>
          <w:b/>
          <w:bCs/>
          <w:color w:val="auto"/>
          <w:sz w:val="24"/>
        </w:rPr>
      </w:pPr>
    </w:p>
    <w:p w14:paraId="5F018AD8">
      <w:pPr>
        <w:spacing w:line="360" w:lineRule="auto"/>
        <w:ind w:firstLine="442" w:firstLineChars="200"/>
        <w:rPr>
          <w:rFonts w:ascii="宋体" w:hAnsi="宋体" w:cs="宋体"/>
          <w:b/>
          <w:bCs/>
          <w:color w:val="auto"/>
          <w:sz w:val="22"/>
          <w:szCs w:val="22"/>
        </w:rPr>
      </w:pPr>
      <w:r>
        <w:rPr>
          <w:rFonts w:hint="eastAsia" w:ascii="宋体" w:hAnsi="宋体" w:cs="宋体"/>
          <w:b/>
          <w:bCs/>
          <w:color w:val="auto"/>
          <w:sz w:val="22"/>
          <w:szCs w:val="22"/>
        </w:rPr>
        <w:t>1.确认谈判文件</w:t>
      </w:r>
    </w:p>
    <w:p w14:paraId="5696FA86">
      <w:pPr>
        <w:spacing w:line="360" w:lineRule="auto"/>
        <w:ind w:firstLine="420" w:firstLineChars="200"/>
        <w:rPr>
          <w:rFonts w:ascii="宋体" w:hAnsi="宋体" w:cs="宋体"/>
          <w:color w:val="auto"/>
          <w:szCs w:val="21"/>
        </w:rPr>
      </w:pPr>
      <w:r>
        <w:rPr>
          <w:rFonts w:hint="eastAsia" w:ascii="宋体" w:hAnsi="宋体" w:cs="宋体"/>
          <w:color w:val="auto"/>
          <w:szCs w:val="21"/>
        </w:rPr>
        <w:t>由谈判小组确认谈判文件。</w:t>
      </w:r>
    </w:p>
    <w:p w14:paraId="65FDFE31">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2.资格审查</w:t>
      </w:r>
    </w:p>
    <w:p w14:paraId="32521B82">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2.1响应文件开启后，谈判小组依法对供应商的资格证明文件进行审查。</w:t>
      </w:r>
    </w:p>
    <w:p w14:paraId="6BF12494">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（1）查询渠道：中国执行信息公开网（https://zxgk.court.gov.cn/）、“信用中国”网站（www.creditchina.gov.cn）、中国政府采购网（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宋体" w:hAnsi="宋体" w:cs="宋体"/>
          <w:color w:val="auto"/>
          <w:szCs w:val="21"/>
        </w:rPr>
        <w:t>www.ccgp.gov.cn</w:t>
      </w:r>
      <w:r>
        <w:rPr>
          <w:rFonts w:hint="eastAsia" w:ascii="宋体" w:hAnsi="宋体" w:cs="宋体"/>
          <w:color w:val="auto"/>
          <w:szCs w:val="21"/>
        </w:rPr>
        <w:fldChar w:fldCharType="end"/>
      </w:r>
      <w:r>
        <w:rPr>
          <w:rFonts w:hint="eastAsia" w:ascii="宋体" w:hAnsi="宋体" w:cs="宋体"/>
          <w:color w:val="auto"/>
          <w:szCs w:val="21"/>
        </w:rPr>
        <w:t xml:space="preserve">） </w:t>
      </w:r>
    </w:p>
    <w:p w14:paraId="502D02D8">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（2）信用查询截止时点：资格审查结束前</w:t>
      </w:r>
    </w:p>
    <w:p w14:paraId="59FDFC4D">
      <w:pPr>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（3）查询记录和证据留存方式：将查询网站中的查询记录截图并作为评审资料保存。</w:t>
      </w:r>
    </w:p>
    <w:p w14:paraId="7F38BCEF">
      <w:pPr>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信用信息使用规则：根据财政部《关于在政府采购活动中查询及使用信用记录有关问题的通知》（财库〔2016〕125号）的规定，对在中国执行信息公开网（https://zxgk.court.gov.cn/）、“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政府采购活动。</w:t>
      </w:r>
    </w:p>
    <w:p w14:paraId="0F6E8105">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2.2资格审查标准为本谈判文件中载明对供应商资格要求的条件。本项目资格审查采用合格制，凡符合谈判文件规定的供应商资格要求的供应商均通过资格审查。</w:t>
      </w:r>
    </w:p>
    <w:p w14:paraId="7946EFD2">
      <w:pPr>
        <w:spacing w:line="360" w:lineRule="auto"/>
        <w:ind w:firstLine="420" w:firstLineChars="200"/>
        <w:rPr>
          <w:rFonts w:ascii="宋体" w:hAnsi="宋体" w:cs="宋体"/>
          <w:color w:val="auto"/>
          <w:szCs w:val="21"/>
        </w:rPr>
      </w:pPr>
      <w:r>
        <w:rPr>
          <w:rFonts w:hint="eastAsia" w:ascii="宋体" w:hAnsi="宋体" w:cs="宋体"/>
          <w:color w:val="auto"/>
          <w:szCs w:val="21"/>
        </w:rPr>
        <w:t>2.3 供应商有下列情形之一的，资格审查不通过，其响应文件按无效响应处理：</w:t>
      </w:r>
    </w:p>
    <w:p w14:paraId="4D9B8474">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（1）不具备谈判文件中规定的资格要求的；</w:t>
      </w:r>
    </w:p>
    <w:p w14:paraId="579063C2">
      <w:pPr>
        <w:spacing w:line="360" w:lineRule="auto"/>
        <w:ind w:firstLine="420" w:firstLineChars="200"/>
        <w:contextualSpacing/>
        <w:rPr>
          <w:rFonts w:ascii="宋体" w:hAnsi="宋体" w:cs="宋体"/>
          <w:color w:val="auto"/>
          <w:szCs w:val="21"/>
        </w:rPr>
      </w:pPr>
      <w:r>
        <w:rPr>
          <w:rFonts w:hint="eastAsia" w:ascii="宋体" w:hAnsi="宋体" w:cs="宋体"/>
          <w:color w:val="auto"/>
          <w:szCs w:val="21"/>
        </w:rPr>
        <w:t>（2）响应文件中的资格证明文件缺少任一项“供应商须知前附表”资格证明文件规定的“必须提供”的文件资料的；</w:t>
      </w:r>
    </w:p>
    <w:p w14:paraId="2253A3AD">
      <w:pPr>
        <w:spacing w:line="360" w:lineRule="auto"/>
        <w:ind w:firstLine="420" w:firstLineChars="200"/>
        <w:contextualSpacing/>
        <w:rPr>
          <w:rFonts w:ascii="宋体" w:hAnsi="宋体" w:cs="宋体"/>
          <w:color w:val="auto"/>
          <w:szCs w:val="21"/>
        </w:rPr>
      </w:pPr>
      <w:r>
        <w:rPr>
          <w:rFonts w:hint="eastAsia" w:ascii="宋体" w:hAnsi="宋体" w:cs="宋体"/>
          <w:color w:val="auto"/>
          <w:szCs w:val="21"/>
        </w:rPr>
        <w:t>（3）响应文件中的资格证明文件出现任一项不符合“供应商须知前附表”资格证明文件规定的“必须提供”的文件资料要求或者无效的；</w:t>
      </w:r>
    </w:p>
    <w:p w14:paraId="54AD2276">
      <w:pPr>
        <w:spacing w:line="360" w:lineRule="auto"/>
        <w:ind w:firstLine="420" w:firstLineChars="200"/>
        <w:rPr>
          <w:rFonts w:ascii="宋体" w:hAnsi="宋体" w:cs="宋体"/>
          <w:color w:val="auto"/>
          <w:szCs w:val="21"/>
        </w:rPr>
      </w:pPr>
      <w:r>
        <w:rPr>
          <w:rFonts w:hint="eastAsia" w:ascii="宋体" w:hAnsi="宋体" w:cs="宋体"/>
          <w:color w:val="auto"/>
          <w:szCs w:val="21"/>
        </w:rPr>
        <w:t>（4）同一合同项下的不同供应商，单位负责人为同一人或者存在直接控股、管理关系的；为本项目提供过整体设计、规范编制或者项目管理、监理、检测等服务的供应商，再参加该采购项目的其他采购活动的。</w:t>
      </w:r>
    </w:p>
    <w:p w14:paraId="45D0514B">
      <w:pPr>
        <w:spacing w:line="360" w:lineRule="auto"/>
        <w:ind w:firstLine="420" w:firstLineChars="200"/>
        <w:rPr>
          <w:rFonts w:ascii="宋体" w:hAnsi="宋体" w:cs="宋体"/>
          <w:color w:val="auto"/>
          <w:szCs w:val="21"/>
        </w:rPr>
      </w:pPr>
      <w:r>
        <w:rPr>
          <w:rFonts w:hint="eastAsia" w:ascii="宋体" w:hAnsi="宋体" w:cs="宋体"/>
          <w:color w:val="auto"/>
          <w:szCs w:val="21"/>
        </w:rPr>
        <w:t>2.4通过资格审查的合格供应商不足3家（本章3.7条规定除外）的，不得进入符合性审查环节，应当重新开展采购活动。</w:t>
      </w:r>
    </w:p>
    <w:p w14:paraId="1A8FA5A7">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3.符合性审查</w:t>
      </w:r>
    </w:p>
    <w:p w14:paraId="687B88A6">
      <w:pPr>
        <w:spacing w:line="360" w:lineRule="auto"/>
        <w:ind w:firstLine="420" w:firstLineChars="200"/>
        <w:rPr>
          <w:rFonts w:ascii="宋体" w:hAnsi="宋体" w:cs="宋体"/>
          <w:color w:val="auto"/>
          <w:szCs w:val="21"/>
        </w:rPr>
      </w:pPr>
      <w:r>
        <w:rPr>
          <w:rFonts w:hint="eastAsia" w:ascii="宋体" w:hAnsi="宋体" w:cs="宋体"/>
          <w:color w:val="auto"/>
          <w:szCs w:val="21"/>
        </w:rPr>
        <w:t>3.1由谈判小组对资格审查的合格的供应商的响应文件进行</w:t>
      </w:r>
      <w:r>
        <w:rPr>
          <w:rFonts w:hint="eastAsia" w:ascii="宋体" w:hAnsi="宋体" w:cs="宋体"/>
          <w:color w:val="auto"/>
          <w:szCs w:val="21"/>
          <w:lang w:bidi="ar"/>
        </w:rPr>
        <w:t>竞争性谈判</w:t>
      </w:r>
      <w:r>
        <w:rPr>
          <w:rFonts w:hint="eastAsia" w:ascii="宋体" w:hAnsi="宋体" w:cs="宋体"/>
          <w:color w:val="auto"/>
          <w:szCs w:val="21"/>
        </w:rPr>
        <w:t>报价、商务、技术等实质性要求符合性审查，以确定其是否满足谈判文件的实质性要求。</w:t>
      </w:r>
    </w:p>
    <w:p w14:paraId="64C1E0AF">
      <w:pPr>
        <w:spacing w:line="360" w:lineRule="auto"/>
        <w:ind w:firstLine="420" w:firstLineChars="200"/>
        <w:rPr>
          <w:rFonts w:ascii="宋体" w:hAnsi="宋体" w:cs="宋体"/>
          <w:color w:val="auto"/>
          <w:szCs w:val="21"/>
        </w:rPr>
      </w:pPr>
      <w:r>
        <w:rPr>
          <w:rFonts w:hint="eastAsia" w:ascii="宋体" w:hAnsi="宋体" w:cs="宋体"/>
          <w:color w:val="auto"/>
          <w:szCs w:val="21"/>
        </w:rPr>
        <w:t>3.2谈判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8055441">
      <w:pPr>
        <w:spacing w:line="360" w:lineRule="auto"/>
        <w:ind w:firstLine="420" w:firstLineChars="200"/>
        <w:rPr>
          <w:rFonts w:ascii="宋体" w:hAnsi="宋体" w:cs="宋体"/>
          <w:color w:val="auto"/>
          <w:spacing w:val="-6"/>
          <w:szCs w:val="21"/>
        </w:rPr>
      </w:pPr>
      <w:r>
        <w:rPr>
          <w:rFonts w:hint="eastAsia" w:ascii="宋体" w:hAnsi="宋体" w:cs="宋体"/>
          <w:color w:val="auto"/>
          <w:szCs w:val="21"/>
        </w:rPr>
        <w:t>3.3谈判小组要求供应商澄清、说明或者更正响应文件应当以电子澄清函形式作出。供应商的澄清、说明或者更正应当以电子回函形式按照谈判小组的要求作出明确的澄清、说明或者更正，未按谈判小组的要求作出明确澄清、说明或者更正的供应商的响应文件将按照有利于采购人的原则由谈判小组进行判定。供应商的澄清、说明或者更正必须由法定代表人或者其委托代理人签字或者加盖供应商公章。</w:t>
      </w:r>
    </w:p>
    <w:p w14:paraId="7C6EBC29">
      <w:pPr>
        <w:spacing w:line="360" w:lineRule="auto"/>
        <w:ind w:firstLine="396" w:firstLineChars="200"/>
        <w:rPr>
          <w:rFonts w:ascii="宋体" w:hAnsi="宋体" w:cs="宋体"/>
          <w:color w:val="auto"/>
          <w:szCs w:val="21"/>
        </w:rPr>
      </w:pPr>
      <w:r>
        <w:rPr>
          <w:rFonts w:hint="eastAsia" w:ascii="宋体" w:hAnsi="宋体" w:cs="宋体"/>
          <w:color w:val="auto"/>
          <w:spacing w:val="-6"/>
          <w:szCs w:val="21"/>
        </w:rPr>
        <w:t>3.4</w:t>
      </w:r>
      <w:r>
        <w:rPr>
          <w:rFonts w:hint="eastAsia" w:ascii="宋体" w:hAnsi="宋体" w:cs="宋体"/>
          <w:color w:val="auto"/>
          <w:szCs w:val="21"/>
        </w:rPr>
        <w:t xml:space="preserve">首次响应文件报价出现前后不一致的，按照下列规定修正： </w:t>
      </w:r>
    </w:p>
    <w:p w14:paraId="798C855C">
      <w:pPr>
        <w:spacing w:line="360" w:lineRule="auto"/>
        <w:ind w:firstLine="420" w:firstLineChars="200"/>
        <w:rPr>
          <w:rFonts w:ascii="宋体" w:hAnsi="宋体" w:cs="宋体"/>
          <w:color w:val="auto"/>
          <w:szCs w:val="21"/>
        </w:rPr>
      </w:pPr>
      <w:r>
        <w:rPr>
          <w:rFonts w:hint="eastAsia" w:ascii="宋体" w:hAnsi="宋体" w:cs="宋体"/>
          <w:color w:val="auto"/>
          <w:szCs w:val="21"/>
        </w:rPr>
        <w:t>（1）响应文件中报价表内容与响应文件中相应内容不一致的，以报价表为准；</w:t>
      </w:r>
    </w:p>
    <w:p w14:paraId="1200A635">
      <w:pPr>
        <w:spacing w:line="360" w:lineRule="auto"/>
        <w:ind w:firstLine="420" w:firstLineChars="200"/>
        <w:rPr>
          <w:rFonts w:ascii="宋体" w:hAnsi="宋体" w:cs="宋体"/>
          <w:color w:val="auto"/>
          <w:szCs w:val="21"/>
        </w:rPr>
      </w:pPr>
      <w:r>
        <w:rPr>
          <w:rFonts w:hint="eastAsia" w:ascii="宋体" w:hAnsi="宋体" w:cs="宋体"/>
          <w:color w:val="auto"/>
          <w:szCs w:val="21"/>
        </w:rPr>
        <w:t>（2）大写金额和小写金额不一致的，以大写金额为准；</w:t>
      </w:r>
    </w:p>
    <w:p w14:paraId="771AC061">
      <w:pPr>
        <w:spacing w:line="360" w:lineRule="auto"/>
        <w:ind w:firstLine="420" w:firstLineChars="200"/>
        <w:rPr>
          <w:rFonts w:ascii="宋体" w:hAnsi="宋体" w:cs="宋体"/>
          <w:color w:val="auto"/>
          <w:szCs w:val="21"/>
        </w:rPr>
      </w:pPr>
      <w:r>
        <w:rPr>
          <w:rFonts w:hint="eastAsia" w:ascii="宋体" w:hAnsi="宋体" w:cs="宋体"/>
          <w:color w:val="auto"/>
          <w:szCs w:val="21"/>
        </w:rPr>
        <w:t>（3）单价金额小数点或者百分比有明显错位的，以报价表的总价为准，并修改单价；</w:t>
      </w:r>
    </w:p>
    <w:p w14:paraId="735D412E">
      <w:pPr>
        <w:spacing w:line="360" w:lineRule="auto"/>
        <w:ind w:firstLine="420" w:firstLineChars="200"/>
        <w:rPr>
          <w:rFonts w:ascii="宋体" w:hAnsi="宋体" w:cs="宋体"/>
          <w:color w:val="auto"/>
          <w:szCs w:val="21"/>
        </w:rPr>
      </w:pPr>
      <w:r>
        <w:rPr>
          <w:rFonts w:hint="eastAsia" w:ascii="宋体" w:hAnsi="宋体" w:cs="宋体"/>
          <w:color w:val="auto"/>
          <w:szCs w:val="21"/>
        </w:rPr>
        <w:t>（4）总价金额与按单价汇总金额不一致的，以单价金额计算结果为准。</w:t>
      </w:r>
    </w:p>
    <w:p w14:paraId="1C283BD1">
      <w:pPr>
        <w:spacing w:line="360" w:lineRule="auto"/>
        <w:ind w:firstLine="420" w:firstLineChars="200"/>
        <w:rPr>
          <w:rFonts w:ascii="宋体" w:hAnsi="宋体" w:cs="宋体"/>
          <w:color w:val="auto"/>
          <w:szCs w:val="21"/>
        </w:rPr>
      </w:pPr>
      <w:r>
        <w:rPr>
          <w:rFonts w:hint="eastAsia" w:ascii="宋体" w:hAnsi="宋体" w:cs="宋体"/>
          <w:color w:val="auto"/>
          <w:szCs w:val="21"/>
        </w:rPr>
        <w:t>同时出现两种以上不一致的，按照以上（1）-（4）规定的顺序逐条进行修正。修正后的报价经供应商确认后产生约束力，供应商不确认的，其响应文件按无效响应处理。</w:t>
      </w:r>
    </w:p>
    <w:p w14:paraId="6ED01DBA">
      <w:pPr>
        <w:spacing w:line="360" w:lineRule="auto"/>
        <w:ind w:firstLine="420" w:firstLineChars="200"/>
        <w:rPr>
          <w:rFonts w:ascii="宋体" w:hAnsi="宋体" w:cs="宋体"/>
          <w:color w:val="auto"/>
          <w:szCs w:val="21"/>
        </w:rPr>
      </w:pPr>
      <w:r>
        <w:rPr>
          <w:rFonts w:hint="eastAsia" w:ascii="宋体" w:hAnsi="宋体" w:cs="宋体"/>
          <w:color w:val="auto"/>
          <w:szCs w:val="21"/>
        </w:rPr>
        <w:t>3.5商务技术报价评审</w:t>
      </w:r>
    </w:p>
    <w:p w14:paraId="29DBDBEB">
      <w:pPr>
        <w:spacing w:line="360" w:lineRule="auto"/>
        <w:ind w:firstLine="420" w:firstLineChars="200"/>
        <w:rPr>
          <w:rFonts w:ascii="宋体" w:hAnsi="宋体" w:cs="宋体"/>
          <w:color w:val="auto"/>
          <w:szCs w:val="21"/>
        </w:rPr>
      </w:pPr>
      <w:r>
        <w:rPr>
          <w:rFonts w:hint="eastAsia" w:ascii="宋体" w:hAnsi="宋体" w:cs="宋体"/>
          <w:color w:val="auto"/>
          <w:szCs w:val="21"/>
        </w:rPr>
        <w:t>在评审时，如发现下列情形之一的，将被视为响应文件无效响应处理：</w:t>
      </w:r>
    </w:p>
    <w:p w14:paraId="00EE97B0">
      <w:pPr>
        <w:spacing w:line="360" w:lineRule="auto"/>
        <w:ind w:firstLine="420" w:firstLineChars="200"/>
        <w:rPr>
          <w:rFonts w:ascii="宋体" w:hAnsi="宋体" w:cs="宋体"/>
          <w:color w:val="auto"/>
          <w:szCs w:val="21"/>
        </w:rPr>
      </w:pPr>
      <w:r>
        <w:rPr>
          <w:rFonts w:hint="eastAsia" w:ascii="宋体" w:hAnsi="宋体" w:cs="宋体"/>
          <w:color w:val="auto"/>
          <w:szCs w:val="21"/>
        </w:rPr>
        <w:t>（1）商务技术评审</w:t>
      </w:r>
    </w:p>
    <w:p w14:paraId="2E36B26A">
      <w:pPr>
        <w:spacing w:line="360" w:lineRule="auto"/>
        <w:ind w:firstLine="420" w:firstLineChars="200"/>
        <w:rPr>
          <w:rFonts w:ascii="宋体" w:hAnsi="宋体" w:cs="宋体"/>
          <w:color w:val="auto"/>
          <w:szCs w:val="21"/>
        </w:rPr>
      </w:pPr>
      <w:r>
        <w:rPr>
          <w:rFonts w:hint="eastAsia" w:ascii="宋体" w:hAnsi="宋体" w:cs="宋体"/>
          <w:color w:val="auto"/>
          <w:szCs w:val="21"/>
        </w:rPr>
        <w:t>1）响应文件未按谈判文件要求签署、盖章的；</w:t>
      </w:r>
    </w:p>
    <w:p w14:paraId="42267805">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2）委托代理人未能出具有效身份证或者出具的身份证与授权委托书中的信息不符的； </w:t>
      </w:r>
    </w:p>
    <w:p w14:paraId="5423B01A">
      <w:pPr>
        <w:spacing w:line="360" w:lineRule="auto"/>
        <w:ind w:firstLine="420" w:firstLineChars="200"/>
        <w:rPr>
          <w:rFonts w:ascii="宋体" w:hAnsi="宋体" w:cs="宋体"/>
          <w:color w:val="auto"/>
          <w:szCs w:val="21"/>
        </w:rPr>
      </w:pPr>
      <w:r>
        <w:rPr>
          <w:rFonts w:hint="eastAsia" w:ascii="宋体" w:hAnsi="宋体" w:cs="宋体"/>
          <w:color w:val="auto"/>
          <w:szCs w:val="21"/>
        </w:rPr>
        <w:t>3）提交的谈判保证金无效的或者未按照谈判文件的规定提交谈判保证金；</w:t>
      </w:r>
    </w:p>
    <w:p w14:paraId="670CAA7E">
      <w:pPr>
        <w:spacing w:line="360" w:lineRule="auto"/>
        <w:ind w:firstLine="420" w:firstLineChars="200"/>
        <w:rPr>
          <w:rFonts w:ascii="宋体" w:hAnsi="宋体" w:cs="宋体"/>
          <w:color w:val="auto"/>
          <w:szCs w:val="21"/>
        </w:rPr>
      </w:pPr>
      <w:r>
        <w:rPr>
          <w:rFonts w:hint="eastAsia" w:ascii="宋体" w:hAnsi="宋体" w:cs="宋体"/>
          <w:color w:val="auto"/>
          <w:szCs w:val="21"/>
        </w:rPr>
        <w:t>4）响应文件中的报价商务技术文件出现任一项不符合“供应商须知前附表”中“必须提供”或者“委托时必须提供”文件资料要求的规定或者提供的报价商务技术文件无效。</w:t>
      </w:r>
    </w:p>
    <w:p w14:paraId="6F91EFE7">
      <w:pPr>
        <w:spacing w:line="360" w:lineRule="auto"/>
        <w:ind w:firstLine="420" w:firstLineChars="200"/>
        <w:rPr>
          <w:rFonts w:ascii="宋体" w:hAnsi="宋体" w:cs="宋体"/>
          <w:color w:val="auto"/>
          <w:szCs w:val="21"/>
        </w:rPr>
      </w:pPr>
      <w:r>
        <w:rPr>
          <w:rFonts w:hint="eastAsia" w:ascii="宋体" w:hAnsi="宋体" w:cs="宋体"/>
          <w:color w:val="auto"/>
          <w:szCs w:val="21"/>
        </w:rPr>
        <w:t>5）商务条款中标“▲”的条款发生负偏离或者允许负偏离的条款数超过“供应商须知前附表”规定项数的；</w:t>
      </w:r>
    </w:p>
    <w:p w14:paraId="2EE71C42">
      <w:pPr>
        <w:spacing w:line="360" w:lineRule="auto"/>
        <w:ind w:firstLine="420" w:firstLineChars="200"/>
        <w:rPr>
          <w:rFonts w:ascii="宋体" w:hAnsi="宋体" w:cs="宋体"/>
          <w:color w:val="auto"/>
          <w:szCs w:val="21"/>
        </w:rPr>
      </w:pPr>
      <w:r>
        <w:rPr>
          <w:rFonts w:hint="eastAsia" w:ascii="宋体" w:hAnsi="宋体" w:cs="宋体"/>
          <w:color w:val="auto"/>
          <w:szCs w:val="21"/>
        </w:rPr>
        <w:t>6）未对</w:t>
      </w:r>
      <w:r>
        <w:rPr>
          <w:rFonts w:hint="eastAsia" w:ascii="宋体" w:hAnsi="宋体" w:cs="宋体"/>
          <w:color w:val="auto"/>
          <w:szCs w:val="21"/>
          <w:lang w:bidi="ar"/>
        </w:rPr>
        <w:t>竞争性谈判</w:t>
      </w:r>
      <w:r>
        <w:rPr>
          <w:rFonts w:hint="eastAsia" w:ascii="宋体" w:hAnsi="宋体" w:cs="宋体"/>
          <w:color w:val="auto"/>
          <w:szCs w:val="21"/>
        </w:rPr>
        <w:t>有效期作出响应或者响应文件承诺的</w:t>
      </w:r>
      <w:r>
        <w:rPr>
          <w:rFonts w:hint="eastAsia" w:ascii="宋体" w:hAnsi="宋体" w:cs="宋体"/>
          <w:color w:val="auto"/>
          <w:szCs w:val="21"/>
          <w:lang w:bidi="ar"/>
        </w:rPr>
        <w:t>竞争性谈判</w:t>
      </w:r>
      <w:r>
        <w:rPr>
          <w:rFonts w:hint="eastAsia" w:ascii="宋体" w:hAnsi="宋体" w:cs="宋体"/>
          <w:color w:val="auto"/>
          <w:szCs w:val="21"/>
        </w:rPr>
        <w:t>有效期不满足谈判文件要求；</w:t>
      </w:r>
    </w:p>
    <w:p w14:paraId="5CD27E27">
      <w:pPr>
        <w:spacing w:line="360" w:lineRule="auto"/>
        <w:ind w:firstLine="420" w:firstLineChars="200"/>
        <w:rPr>
          <w:rFonts w:ascii="宋体" w:hAnsi="宋体" w:cs="宋体"/>
          <w:color w:val="auto"/>
          <w:szCs w:val="21"/>
        </w:rPr>
      </w:pPr>
      <w:r>
        <w:rPr>
          <w:rFonts w:hint="eastAsia" w:ascii="宋体" w:hAnsi="宋体" w:cs="宋体"/>
          <w:color w:val="auto"/>
          <w:szCs w:val="21"/>
        </w:rPr>
        <w:t>7）响应文件的实质性内容未使用中文表述、使用计量单位不符合谈判文件要求的；</w:t>
      </w:r>
    </w:p>
    <w:p w14:paraId="54B02EEE">
      <w:pPr>
        <w:spacing w:line="360" w:lineRule="auto"/>
        <w:ind w:firstLine="420" w:firstLineChars="200"/>
        <w:rPr>
          <w:rFonts w:ascii="宋体" w:hAnsi="宋体" w:cs="宋体"/>
          <w:color w:val="auto"/>
          <w:szCs w:val="21"/>
        </w:rPr>
      </w:pPr>
      <w:r>
        <w:rPr>
          <w:rFonts w:hint="eastAsia" w:ascii="宋体" w:hAnsi="宋体" w:cs="宋体"/>
          <w:color w:val="auto"/>
          <w:szCs w:val="21"/>
        </w:rPr>
        <w:t>8）响应文件中的文件资料因填写不齐全或者内容虚假或者出现其他情形而导致被谈判小组认定无效的；</w:t>
      </w:r>
    </w:p>
    <w:p w14:paraId="5B0630CE">
      <w:pPr>
        <w:spacing w:line="360" w:lineRule="auto"/>
        <w:ind w:firstLine="420" w:firstLineChars="200"/>
        <w:rPr>
          <w:rFonts w:ascii="宋体" w:hAnsi="宋体" w:cs="宋体"/>
          <w:color w:val="auto"/>
          <w:szCs w:val="21"/>
        </w:rPr>
      </w:pPr>
      <w:r>
        <w:rPr>
          <w:rFonts w:hint="eastAsia" w:ascii="宋体" w:hAnsi="宋体" w:cs="宋体"/>
          <w:color w:val="auto"/>
          <w:szCs w:val="21"/>
        </w:rPr>
        <w:t>9）响应文件含有采购人不能接受的附加条件的；</w:t>
      </w:r>
    </w:p>
    <w:p w14:paraId="232F0750">
      <w:pPr>
        <w:spacing w:line="360" w:lineRule="auto"/>
        <w:ind w:firstLine="420" w:firstLineChars="200"/>
        <w:rPr>
          <w:rFonts w:ascii="宋体" w:hAnsi="宋体" w:cs="宋体"/>
          <w:color w:val="auto"/>
          <w:szCs w:val="21"/>
        </w:rPr>
      </w:pPr>
      <w:r>
        <w:rPr>
          <w:rFonts w:hint="eastAsia" w:ascii="宋体" w:hAnsi="宋体" w:cs="宋体"/>
          <w:color w:val="auto"/>
          <w:szCs w:val="21"/>
        </w:rPr>
        <w:t>10）属于“供应商须知正文”第7.</w:t>
      </w:r>
      <w:r>
        <w:rPr>
          <w:rFonts w:ascii="宋体" w:hAnsi="宋体" w:cs="宋体"/>
          <w:color w:val="auto"/>
          <w:szCs w:val="21"/>
        </w:rPr>
        <w:t>4</w:t>
      </w:r>
      <w:r>
        <w:rPr>
          <w:rFonts w:hint="eastAsia" w:ascii="宋体" w:hAnsi="宋体" w:cs="宋体"/>
          <w:color w:val="auto"/>
          <w:szCs w:val="21"/>
        </w:rPr>
        <w:t>条的情形的；</w:t>
      </w:r>
    </w:p>
    <w:p w14:paraId="029312CC">
      <w:pPr>
        <w:spacing w:line="360" w:lineRule="auto"/>
        <w:ind w:firstLine="420" w:firstLineChars="200"/>
        <w:rPr>
          <w:rFonts w:ascii="宋体" w:hAnsi="宋体" w:cs="宋体"/>
          <w:color w:val="auto"/>
          <w:szCs w:val="21"/>
        </w:rPr>
      </w:pPr>
      <w:r>
        <w:rPr>
          <w:rFonts w:hint="eastAsia" w:ascii="宋体" w:hAnsi="宋体" w:cs="宋体"/>
          <w:color w:val="auto"/>
          <w:szCs w:val="21"/>
        </w:rPr>
        <w:t>11）技术要求中标“▲”的条款发生负偏离或允许负偏离的条款数超过“供应商须知前附表”规定项数的；</w:t>
      </w:r>
    </w:p>
    <w:p w14:paraId="1A5E8EE4">
      <w:pPr>
        <w:spacing w:line="360" w:lineRule="auto"/>
        <w:ind w:firstLine="420" w:firstLineChars="200"/>
        <w:rPr>
          <w:rFonts w:ascii="宋体" w:hAnsi="宋体" w:cs="宋体"/>
          <w:color w:val="auto"/>
          <w:szCs w:val="21"/>
        </w:rPr>
      </w:pPr>
      <w:r>
        <w:rPr>
          <w:rFonts w:hint="eastAsia" w:ascii="宋体" w:hAnsi="宋体" w:cs="宋体"/>
          <w:color w:val="auto"/>
          <w:szCs w:val="21"/>
        </w:rPr>
        <w:t>12）虚假响应，或者出现其他情形而导致被谈判小组认定无效的；</w:t>
      </w:r>
    </w:p>
    <w:p w14:paraId="274DD268">
      <w:pPr>
        <w:spacing w:line="360" w:lineRule="auto"/>
        <w:ind w:firstLine="420" w:firstLineChars="200"/>
        <w:rPr>
          <w:rFonts w:ascii="宋体" w:hAnsi="宋体" w:cs="宋体"/>
          <w:color w:val="auto"/>
          <w:szCs w:val="21"/>
        </w:rPr>
      </w:pPr>
      <w:r>
        <w:rPr>
          <w:rFonts w:hint="eastAsia" w:ascii="宋体" w:hAnsi="宋体" w:cs="宋体"/>
          <w:color w:val="auto"/>
          <w:szCs w:val="21"/>
        </w:rPr>
        <w:t>13）</w:t>
      </w:r>
      <w:bookmarkStart w:id="33" w:name="_Hlk71704147"/>
      <w:r>
        <w:rPr>
          <w:rFonts w:hint="eastAsia" w:ascii="宋体" w:hAnsi="宋体" w:cs="宋体"/>
          <w:color w:val="auto"/>
          <w:szCs w:val="21"/>
        </w:rPr>
        <w:t>谈判文件未载明允许提供备选（替代）响应方案或明确不允许提供备选（替代）响应方案时，供应商提供了备选（替代）响应方案的；</w:t>
      </w:r>
      <w:bookmarkEnd w:id="33"/>
    </w:p>
    <w:p w14:paraId="15490B01">
      <w:pPr>
        <w:spacing w:line="360" w:lineRule="auto"/>
        <w:ind w:firstLine="420" w:firstLineChars="200"/>
        <w:rPr>
          <w:rFonts w:ascii="宋体" w:hAnsi="宋体" w:cs="宋体"/>
          <w:color w:val="auto"/>
          <w:szCs w:val="21"/>
        </w:rPr>
      </w:pPr>
      <w:r>
        <w:rPr>
          <w:rFonts w:hint="eastAsia" w:ascii="宋体" w:hAnsi="宋体" w:cs="宋体"/>
          <w:color w:val="auto"/>
          <w:szCs w:val="21"/>
        </w:rPr>
        <w:t>14）响应文件标注的项目名称或者项目编号与谈判文件标注的项目名称或者项目编号不一致的；</w:t>
      </w:r>
    </w:p>
    <w:p w14:paraId="2398E2D6">
      <w:pPr>
        <w:spacing w:line="360" w:lineRule="auto"/>
        <w:ind w:firstLine="420" w:firstLineChars="200"/>
        <w:rPr>
          <w:rFonts w:ascii="宋体" w:hAnsi="宋体" w:cs="宋体"/>
          <w:color w:val="auto"/>
          <w:szCs w:val="21"/>
        </w:rPr>
      </w:pPr>
      <w:r>
        <w:rPr>
          <w:rFonts w:hint="eastAsia" w:ascii="宋体" w:hAnsi="宋体" w:cs="宋体"/>
          <w:color w:val="auto"/>
          <w:szCs w:val="21"/>
        </w:rPr>
        <w:t>15）</w:t>
      </w:r>
      <w:r>
        <w:rPr>
          <w:rFonts w:hint="eastAsia" w:ascii="宋体" w:hAnsi="宋体" w:cs="宋体"/>
          <w:b/>
          <w:color w:val="auto"/>
          <w:szCs w:val="21"/>
        </w:rPr>
        <w:t>谈判文件明确不允许分包，响应文件拟分包的；</w:t>
      </w:r>
    </w:p>
    <w:p w14:paraId="00A9C13F">
      <w:pPr>
        <w:spacing w:line="360" w:lineRule="auto"/>
        <w:ind w:firstLine="420" w:firstLineChars="200"/>
        <w:rPr>
          <w:rFonts w:ascii="宋体" w:hAnsi="宋体" w:cs="宋体"/>
          <w:color w:val="auto"/>
          <w:szCs w:val="21"/>
        </w:rPr>
      </w:pPr>
      <w:r>
        <w:rPr>
          <w:rFonts w:hint="eastAsia" w:ascii="宋体" w:hAnsi="宋体" w:cs="宋体"/>
          <w:color w:val="auto"/>
          <w:szCs w:val="21"/>
        </w:rPr>
        <w:t>16）未响应谈判文件实质性要求；</w:t>
      </w:r>
    </w:p>
    <w:p w14:paraId="127F1E03">
      <w:pPr>
        <w:spacing w:line="360" w:lineRule="auto"/>
        <w:ind w:firstLine="420" w:firstLineChars="200"/>
        <w:rPr>
          <w:rFonts w:ascii="宋体" w:hAnsi="宋体" w:cs="宋体"/>
          <w:color w:val="auto"/>
          <w:szCs w:val="21"/>
        </w:rPr>
      </w:pPr>
      <w:r>
        <w:rPr>
          <w:rFonts w:hint="eastAsia" w:ascii="宋体" w:hAnsi="宋体" w:cs="宋体"/>
          <w:color w:val="auto"/>
          <w:szCs w:val="21"/>
        </w:rPr>
        <w:t>17）法律、法规和谈判文件规定的其他无效情形。</w:t>
      </w:r>
    </w:p>
    <w:p w14:paraId="462E8FC0">
      <w:pPr>
        <w:spacing w:line="360" w:lineRule="auto"/>
        <w:ind w:firstLine="420" w:firstLineChars="200"/>
        <w:rPr>
          <w:rFonts w:ascii="宋体" w:hAnsi="宋体" w:cs="宋体"/>
          <w:color w:val="auto"/>
          <w:szCs w:val="21"/>
        </w:rPr>
      </w:pPr>
      <w:r>
        <w:rPr>
          <w:rFonts w:hint="eastAsia" w:ascii="宋体" w:hAnsi="宋体" w:cs="宋体"/>
          <w:color w:val="auto"/>
          <w:szCs w:val="21"/>
        </w:rPr>
        <w:t>（2）报价评审</w:t>
      </w:r>
    </w:p>
    <w:p w14:paraId="7DBAF85B">
      <w:pPr>
        <w:spacing w:line="360" w:lineRule="auto"/>
        <w:ind w:firstLine="420" w:firstLineChars="200"/>
        <w:rPr>
          <w:rFonts w:ascii="宋体" w:hAnsi="宋体" w:cs="宋体"/>
          <w:color w:val="auto"/>
          <w:szCs w:val="21"/>
        </w:rPr>
      </w:pPr>
      <w:r>
        <w:rPr>
          <w:rFonts w:hint="eastAsia" w:ascii="宋体" w:hAnsi="宋体" w:cs="宋体"/>
          <w:color w:val="auto"/>
          <w:szCs w:val="21"/>
        </w:rPr>
        <w:t>1）响应文件未提供“供应商须知前附表” 报价商务技术文件中规定的“</w:t>
      </w:r>
      <w:r>
        <w:rPr>
          <w:rFonts w:hint="eastAsia" w:ascii="宋体" w:hAnsi="宋体" w:cs="宋体"/>
          <w:color w:val="auto"/>
          <w:szCs w:val="21"/>
          <w:lang w:bidi="ar"/>
        </w:rPr>
        <w:t>竞争性谈判</w:t>
      </w:r>
      <w:r>
        <w:rPr>
          <w:rFonts w:hint="eastAsia" w:ascii="宋体" w:hAnsi="宋体" w:cs="宋体"/>
          <w:color w:val="auto"/>
          <w:szCs w:val="21"/>
        </w:rPr>
        <w:t>报价表”的；</w:t>
      </w:r>
    </w:p>
    <w:p w14:paraId="4A462537">
      <w:pPr>
        <w:spacing w:line="360" w:lineRule="auto"/>
        <w:ind w:firstLine="420" w:firstLineChars="200"/>
        <w:rPr>
          <w:rFonts w:ascii="宋体" w:hAnsi="宋体" w:cs="宋体"/>
          <w:color w:val="auto"/>
          <w:szCs w:val="21"/>
        </w:rPr>
      </w:pPr>
      <w:r>
        <w:rPr>
          <w:rFonts w:hint="eastAsia" w:ascii="宋体" w:hAnsi="宋体" w:cs="宋体"/>
          <w:color w:val="auto"/>
          <w:szCs w:val="21"/>
        </w:rPr>
        <w:t>2）未采用人民币报价或者未按照谈判文件标明的币种报价的；</w:t>
      </w:r>
    </w:p>
    <w:p w14:paraId="5CA8EE68">
      <w:pPr>
        <w:spacing w:line="360" w:lineRule="auto"/>
        <w:ind w:firstLine="420" w:firstLineChars="200"/>
        <w:rPr>
          <w:rFonts w:ascii="宋体" w:hAnsi="宋体" w:cs="宋体"/>
          <w:color w:val="auto"/>
          <w:szCs w:val="21"/>
        </w:rPr>
      </w:pPr>
      <w:r>
        <w:rPr>
          <w:rFonts w:hint="eastAsia" w:ascii="宋体" w:hAnsi="宋体" w:cs="宋体"/>
          <w:color w:val="auto"/>
          <w:szCs w:val="21"/>
        </w:rPr>
        <w:t>3）供应商未就所参与</w:t>
      </w:r>
      <w:r>
        <w:rPr>
          <w:rFonts w:hint="eastAsia" w:ascii="宋体" w:hAnsi="宋体" w:cs="宋体"/>
          <w:color w:val="auto"/>
          <w:szCs w:val="21"/>
          <w:lang w:bidi="ar"/>
        </w:rPr>
        <w:t>竞争性谈判</w:t>
      </w:r>
      <w:r>
        <w:rPr>
          <w:rFonts w:hint="eastAsia" w:ascii="宋体" w:hAnsi="宋体" w:cs="宋体"/>
          <w:color w:val="auto"/>
          <w:szCs w:val="21"/>
        </w:rPr>
        <w:t>分标进行报价或者存在漏项报价的；供应商未就所参与</w:t>
      </w:r>
      <w:r>
        <w:rPr>
          <w:rFonts w:hint="eastAsia" w:ascii="宋体" w:hAnsi="宋体" w:cs="宋体"/>
          <w:color w:val="auto"/>
          <w:szCs w:val="21"/>
          <w:lang w:bidi="ar"/>
        </w:rPr>
        <w:t>竞争性谈判</w:t>
      </w:r>
      <w:r>
        <w:rPr>
          <w:rFonts w:hint="eastAsia" w:ascii="宋体" w:hAnsi="宋体" w:cs="宋体"/>
          <w:color w:val="auto"/>
          <w:szCs w:val="21"/>
        </w:rPr>
        <w:t>分标的单项内容作唯一报价的；供应商未就所参与</w:t>
      </w:r>
      <w:r>
        <w:rPr>
          <w:rFonts w:hint="eastAsia" w:ascii="宋体" w:hAnsi="宋体" w:cs="宋体"/>
          <w:color w:val="auto"/>
          <w:szCs w:val="21"/>
          <w:lang w:bidi="ar"/>
        </w:rPr>
        <w:t>竞争性谈判</w:t>
      </w:r>
      <w:r>
        <w:rPr>
          <w:rFonts w:hint="eastAsia" w:ascii="宋体" w:hAnsi="宋体" w:cs="宋体"/>
          <w:color w:val="auto"/>
          <w:szCs w:val="21"/>
        </w:rPr>
        <w:t>分标的全部内容作完整唯一总价报价的；供应商响应文件中存在有选择、有条件报价的（谈判文件允许有备选方案或者其他约定的除外）；</w:t>
      </w:r>
    </w:p>
    <w:p w14:paraId="12D4FCBB">
      <w:pPr>
        <w:spacing w:line="360" w:lineRule="auto"/>
        <w:ind w:firstLine="420" w:firstLineChars="200"/>
        <w:rPr>
          <w:rFonts w:ascii="宋体" w:hAnsi="宋体" w:cs="宋体"/>
          <w:color w:val="auto"/>
          <w:szCs w:val="21"/>
        </w:rPr>
      </w:pPr>
      <w:r>
        <w:rPr>
          <w:rFonts w:hint="eastAsia" w:ascii="宋体" w:hAnsi="宋体" w:cs="宋体"/>
          <w:color w:val="auto"/>
          <w:szCs w:val="21"/>
        </w:rPr>
        <w:t>4）</w:t>
      </w:r>
      <w:r>
        <w:rPr>
          <w:rFonts w:hint="eastAsia" w:ascii="宋体" w:hAnsi="宋体" w:cs="宋体"/>
          <w:color w:val="auto"/>
          <w:szCs w:val="21"/>
          <w:lang w:bidi="ar"/>
        </w:rPr>
        <w:t>竞争性谈判</w:t>
      </w:r>
      <w:r>
        <w:rPr>
          <w:rFonts w:hint="eastAsia" w:ascii="宋体" w:hAnsi="宋体" w:cs="宋体"/>
          <w:color w:val="auto"/>
          <w:szCs w:val="21"/>
        </w:rPr>
        <w:t>报价（包含首次报价、最后报价）超过所参与</w:t>
      </w:r>
      <w:r>
        <w:rPr>
          <w:rFonts w:hint="eastAsia" w:ascii="宋体" w:hAnsi="宋体" w:cs="宋体"/>
          <w:color w:val="auto"/>
          <w:szCs w:val="21"/>
          <w:lang w:bidi="ar"/>
        </w:rPr>
        <w:t>竞争性谈判</w:t>
      </w:r>
      <w:r>
        <w:rPr>
          <w:rFonts w:hint="eastAsia" w:ascii="宋体" w:hAnsi="宋体" w:cs="宋体"/>
          <w:color w:val="auto"/>
          <w:szCs w:val="21"/>
        </w:rPr>
        <w:t>分标规定的采购预算金额或者最高限价的；</w:t>
      </w:r>
    </w:p>
    <w:p w14:paraId="3284F81C">
      <w:pPr>
        <w:spacing w:line="360" w:lineRule="auto"/>
        <w:ind w:firstLine="420" w:firstLineChars="200"/>
        <w:rPr>
          <w:rFonts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lang w:bidi="ar"/>
        </w:rPr>
        <w:t>竞争性谈判</w:t>
      </w:r>
      <w:r>
        <w:rPr>
          <w:rFonts w:hint="eastAsia" w:ascii="宋体" w:hAnsi="宋体" w:cs="宋体"/>
          <w:color w:val="auto"/>
          <w:szCs w:val="21"/>
        </w:rPr>
        <w:t>报价（包含首次报价、最后报价）超过分项采购预算金额或者最高限价的，其响应文件将作无效处理；</w:t>
      </w:r>
    </w:p>
    <w:p w14:paraId="0792859B">
      <w:pPr>
        <w:spacing w:line="360" w:lineRule="auto"/>
        <w:ind w:firstLine="420" w:firstLineChars="200"/>
        <w:rPr>
          <w:rFonts w:ascii="宋体" w:hAnsi="宋体" w:cs="宋体"/>
          <w:color w:val="auto"/>
          <w:szCs w:val="21"/>
        </w:rPr>
      </w:pPr>
      <w:r>
        <w:rPr>
          <w:rFonts w:ascii="宋体" w:hAnsi="宋体" w:cs="宋体"/>
          <w:color w:val="auto"/>
          <w:szCs w:val="21"/>
        </w:rPr>
        <w:t>6</w:t>
      </w:r>
      <w:r>
        <w:rPr>
          <w:rFonts w:hint="eastAsia" w:ascii="宋体" w:hAnsi="宋体" w:cs="宋体"/>
          <w:color w:val="auto"/>
          <w:szCs w:val="21"/>
        </w:rPr>
        <w:t>）修正后的报价，供应商不确认的；或者经供应商确认修正后的最后报价超过所参与</w:t>
      </w:r>
      <w:r>
        <w:rPr>
          <w:rFonts w:hint="eastAsia" w:ascii="宋体" w:hAnsi="宋体" w:cs="宋体"/>
          <w:color w:val="auto"/>
          <w:szCs w:val="21"/>
          <w:lang w:bidi="ar"/>
        </w:rPr>
        <w:t>竞争性谈判</w:t>
      </w:r>
      <w:r>
        <w:rPr>
          <w:rFonts w:hint="eastAsia" w:ascii="宋体" w:hAnsi="宋体" w:cs="宋体"/>
          <w:color w:val="auto"/>
          <w:szCs w:val="21"/>
        </w:rPr>
        <w:t>分标规定的采购预算金额或者最高限价（如本项目公布了最高限价）；</w:t>
      </w:r>
    </w:p>
    <w:p w14:paraId="2D2FE34E">
      <w:pPr>
        <w:spacing w:line="360" w:lineRule="auto"/>
        <w:ind w:firstLine="420" w:firstLineChars="200"/>
        <w:rPr>
          <w:rFonts w:ascii="宋体" w:hAnsi="宋体" w:cs="宋体"/>
          <w:color w:val="auto"/>
          <w:szCs w:val="21"/>
        </w:rPr>
      </w:pPr>
      <w:r>
        <w:rPr>
          <w:rFonts w:ascii="宋体" w:hAnsi="宋体" w:cs="宋体"/>
          <w:color w:val="auto"/>
          <w:szCs w:val="21"/>
        </w:rPr>
        <w:t>7</w:t>
      </w:r>
      <w:r>
        <w:rPr>
          <w:rFonts w:hint="eastAsia" w:ascii="宋体" w:hAnsi="宋体" w:cs="宋体"/>
          <w:color w:val="auto"/>
          <w:szCs w:val="21"/>
        </w:rPr>
        <w:t>）响应文件响应的标的数量及单位与竞争性谈判采购文件要求实质性不一致的。</w:t>
      </w:r>
    </w:p>
    <w:p w14:paraId="72375393">
      <w:pPr>
        <w:spacing w:line="360" w:lineRule="auto"/>
        <w:ind w:firstLine="420" w:firstLineChars="200"/>
        <w:rPr>
          <w:rFonts w:ascii="宋体" w:hAnsi="宋体" w:cs="宋体"/>
          <w:color w:val="auto"/>
          <w:szCs w:val="21"/>
        </w:rPr>
      </w:pPr>
      <w:r>
        <w:rPr>
          <w:rFonts w:hint="eastAsia" w:ascii="宋体" w:hAnsi="宋体" w:cs="宋体"/>
          <w:color w:val="auto"/>
          <w:szCs w:val="21"/>
        </w:rPr>
        <w:t>3.6谈判小组对响应文件进行评审，未实质性响应谈判文件的响应文件按无效响应处理。谈判小组应当将资格和符合性不通过的情况告知有关供应商。谈判小组从符合谈判文件规定的相应资格条件的供应商名单中确定不少于3家的供应商参加谈判。</w:t>
      </w:r>
    </w:p>
    <w:p w14:paraId="697AF486">
      <w:pPr>
        <w:spacing w:line="360" w:lineRule="auto"/>
        <w:ind w:firstLine="420" w:firstLineChars="200"/>
        <w:rPr>
          <w:rFonts w:ascii="宋体" w:hAnsi="宋体" w:cs="宋体"/>
          <w:color w:val="auto"/>
          <w:szCs w:val="21"/>
        </w:rPr>
      </w:pPr>
      <w:r>
        <w:rPr>
          <w:rFonts w:hint="eastAsia" w:ascii="宋体" w:hAnsi="宋体" w:cs="宋体"/>
          <w:color w:val="auto"/>
          <w:szCs w:val="21"/>
        </w:rPr>
        <w:t>3.7竞争性谈判方式采购的货物、服务项目，竞争性谈判过程中提交响应文件或者经评审实质性响应文件要求的供应商只有两家时，采购人、采购代理机构按照《政府采购非招标采购方式管理办法》（财政部74号令）第四条经本级财政部门批准后可以与该两家供应商进行竞争性谈判采购，采购人、采购代理机构应当根据</w:t>
      </w:r>
      <w:r>
        <w:rPr>
          <w:rFonts w:hint="eastAsia" w:ascii="宋体" w:hAnsi="宋体" w:cs="宋体"/>
          <w:color w:val="auto"/>
          <w:szCs w:val="21"/>
          <w:lang w:bidi="ar"/>
        </w:rPr>
        <w:t>竞争性谈判</w:t>
      </w:r>
      <w:r>
        <w:rPr>
          <w:rFonts w:hint="eastAsia" w:ascii="宋体" w:hAnsi="宋体" w:cs="宋体"/>
          <w:color w:val="auto"/>
          <w:szCs w:val="21"/>
        </w:rPr>
        <w:t>文件中的采购需求编制谈判文件，成立谈判小组，由谈判小组对谈判文件进行确认。</w:t>
      </w:r>
    </w:p>
    <w:p w14:paraId="496CB347">
      <w:pPr>
        <w:spacing w:line="360" w:lineRule="auto"/>
        <w:ind w:firstLine="420" w:firstLineChars="200"/>
        <w:rPr>
          <w:rFonts w:ascii="宋体" w:hAnsi="宋体" w:cs="宋体"/>
          <w:color w:val="auto"/>
          <w:szCs w:val="21"/>
        </w:rPr>
      </w:pPr>
      <w:r>
        <w:rPr>
          <w:rFonts w:hint="eastAsia" w:ascii="宋体" w:hAnsi="宋体" w:cs="宋体"/>
          <w:color w:val="auto"/>
          <w:szCs w:val="21"/>
        </w:rPr>
        <w:t>3.8通过符合性审查的合格供应商不足3家的，不得进入谈判环节，应当重新开展采购活动。</w:t>
      </w:r>
    </w:p>
    <w:p w14:paraId="31A3F0EB">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4.谈判程序</w:t>
      </w:r>
    </w:p>
    <w:p w14:paraId="2C5AEB01">
      <w:pPr>
        <w:spacing w:line="360" w:lineRule="auto"/>
        <w:ind w:firstLine="420" w:firstLineChars="200"/>
        <w:rPr>
          <w:rFonts w:ascii="宋体" w:hAnsi="宋体" w:cs="宋体"/>
          <w:color w:val="auto"/>
          <w:szCs w:val="21"/>
        </w:rPr>
      </w:pPr>
      <w:r>
        <w:rPr>
          <w:rFonts w:hint="eastAsia" w:ascii="宋体" w:hAnsi="宋体" w:cs="宋体"/>
          <w:color w:val="auto"/>
          <w:kern w:val="0"/>
          <w:szCs w:val="21"/>
        </w:rPr>
        <w:t>4.1谈判小组按照“供应商须知前附表”第26条确定的</w:t>
      </w:r>
      <w:r>
        <w:rPr>
          <w:rFonts w:hint="eastAsia" w:ascii="宋体" w:hAnsi="宋体" w:cs="宋体"/>
          <w:color w:val="auto"/>
          <w:szCs w:val="21"/>
        </w:rPr>
        <w:t>顺序，集中与单一供应商分别进行谈判，并给予所有参加谈判的供应商平等的谈判机会。符合谈判资格的供应商必须在接到谈判通知后规定时间内参加谈判，未在规定时间内参加谈判的视同放弃参加谈判权利，其响应文件按无效响应处理。</w:t>
      </w:r>
    </w:p>
    <w:p w14:paraId="5BE24827">
      <w:pPr>
        <w:spacing w:line="360" w:lineRule="auto"/>
        <w:ind w:firstLine="420" w:firstLineChars="200"/>
        <w:rPr>
          <w:rFonts w:ascii="宋体" w:hAnsi="宋体" w:cs="宋体"/>
          <w:color w:val="auto"/>
          <w:szCs w:val="21"/>
        </w:rPr>
      </w:pPr>
      <w:r>
        <w:rPr>
          <w:rFonts w:hint="eastAsia" w:ascii="宋体" w:hAnsi="宋体" w:cs="宋体"/>
          <w:color w:val="auto"/>
          <w:szCs w:val="21"/>
        </w:rPr>
        <w:t>4.2在谈判过程中，谈判小组可以根据谈判文件和谈判情况实质性变动采购需求中的技术、服务要求以及合同草案条款，但不得变动谈判文件中的其他内容，实质性变动的内容须经采购人代表确认。可能实质性变动的内容为采购需求中的技术、服务要求以及合同草案条款。</w:t>
      </w:r>
    </w:p>
    <w:p w14:paraId="2407353E">
      <w:pPr>
        <w:spacing w:line="360" w:lineRule="auto"/>
        <w:ind w:firstLine="420" w:firstLineChars="200"/>
        <w:rPr>
          <w:rFonts w:ascii="宋体" w:hAnsi="宋体" w:cs="宋体"/>
          <w:color w:val="auto"/>
          <w:szCs w:val="21"/>
        </w:rPr>
      </w:pPr>
      <w:r>
        <w:rPr>
          <w:rFonts w:hint="eastAsia" w:ascii="宋体" w:hAnsi="宋体" w:cs="宋体"/>
          <w:color w:val="auto"/>
          <w:szCs w:val="21"/>
        </w:rPr>
        <w:t>4.3对谈判文件作出的实质性变动是谈判文件的有效组成部分，谈判小组应当及时以电子谈判记录形式同时通知所有参加谈判的供应商。</w:t>
      </w:r>
    </w:p>
    <w:p w14:paraId="6334DD54">
      <w:pPr>
        <w:spacing w:line="360" w:lineRule="auto"/>
        <w:ind w:firstLine="420" w:firstLineChars="200"/>
        <w:rPr>
          <w:rFonts w:ascii="宋体" w:hAnsi="宋体" w:cs="宋体"/>
          <w:color w:val="auto"/>
          <w:szCs w:val="21"/>
        </w:rPr>
      </w:pPr>
      <w:r>
        <w:rPr>
          <w:rFonts w:hint="eastAsia" w:ascii="宋体" w:hAnsi="宋体" w:cs="宋体"/>
          <w:color w:val="auto"/>
          <w:szCs w:val="21"/>
        </w:rPr>
        <w:t>4.4供应商必须按照谈判文件的变动情况和谈判小组的要求以电子回函的形式重新提交响应文件，并由其法定代表人或者委托代理人签字或者加盖供应商公章。由委托代理人签字的，</w:t>
      </w:r>
      <w:r>
        <w:rPr>
          <w:rFonts w:hint="eastAsia" w:ascii="宋体" w:hAnsi="宋体" w:cs="宋体"/>
          <w:bCs/>
          <w:color w:val="auto"/>
          <w:szCs w:val="21"/>
        </w:rPr>
        <w:t>若委托代理人不是响应文件中授权的委托代理人时，必须同时出示有效的授权委托书原件</w:t>
      </w:r>
      <w:r>
        <w:rPr>
          <w:rFonts w:hint="eastAsia" w:ascii="宋体" w:hAnsi="宋体" w:cs="宋体"/>
          <w:color w:val="auto"/>
          <w:szCs w:val="21"/>
        </w:rPr>
        <w:t>。供应商为自然人的，必须由本人签字并附身份证明。参加谈判的供应商未在规定时间内以电子回函的形式重新提交响应文件的，视同退出谈判，其响应文件按无效响应处理。</w:t>
      </w:r>
    </w:p>
    <w:p w14:paraId="457A08B3">
      <w:pPr>
        <w:spacing w:line="360" w:lineRule="auto"/>
        <w:ind w:firstLine="420" w:firstLineChars="200"/>
        <w:rPr>
          <w:rFonts w:ascii="宋体" w:hAnsi="宋体" w:cs="宋体"/>
          <w:color w:val="auto"/>
          <w:szCs w:val="21"/>
        </w:rPr>
      </w:pPr>
      <w:r>
        <w:rPr>
          <w:rFonts w:hint="eastAsia" w:ascii="宋体" w:hAnsi="宋体" w:cs="宋体"/>
          <w:color w:val="auto"/>
          <w:szCs w:val="21"/>
        </w:rPr>
        <w:t>4.5谈判中，谈判的任何一方不得透露与谈判有关的其他供应商的技术资料、价格和其他信息。</w:t>
      </w:r>
    </w:p>
    <w:p w14:paraId="2647DCCF">
      <w:pPr>
        <w:tabs>
          <w:tab w:val="left" w:pos="2835"/>
        </w:tabs>
        <w:spacing w:line="360" w:lineRule="auto"/>
        <w:ind w:firstLine="420" w:firstLineChars="200"/>
        <w:rPr>
          <w:rFonts w:ascii="宋体" w:hAnsi="宋体" w:cs="宋体"/>
          <w:color w:val="auto"/>
          <w:szCs w:val="21"/>
        </w:rPr>
      </w:pPr>
      <w:r>
        <w:rPr>
          <w:rFonts w:hint="eastAsia" w:ascii="宋体" w:hAnsi="宋体" w:cs="宋体"/>
          <w:color w:val="auto"/>
          <w:szCs w:val="21"/>
        </w:rPr>
        <w:t>4.6对谈判过程提交的响应文件进行有效性、完整性和响应程度审查，通过审查的合格供应商不足3家的，采购人或者采购代理机构应当重新开展采购活动。</w:t>
      </w:r>
    </w:p>
    <w:p w14:paraId="0A194168">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5.最后报价</w:t>
      </w:r>
    </w:p>
    <w:p w14:paraId="393DFD98">
      <w:pPr>
        <w:spacing w:line="360" w:lineRule="auto"/>
        <w:ind w:firstLine="420" w:firstLineChars="200"/>
        <w:rPr>
          <w:rFonts w:ascii="宋体" w:hAnsi="宋体" w:cs="宋体"/>
          <w:color w:val="auto"/>
          <w:szCs w:val="21"/>
        </w:rPr>
      </w:pPr>
      <w:r>
        <w:rPr>
          <w:rFonts w:hint="eastAsia" w:ascii="宋体" w:hAnsi="宋体" w:cs="宋体"/>
          <w:color w:val="auto"/>
          <w:szCs w:val="21"/>
        </w:rPr>
        <w:t>5.1谈判文件能够详细列明采购标的的技术、服务要求的，谈判结束后，谈判小组应当要求所有继续参加谈判的供应商在规定时间内以电子文件形式提交最后报价，提交最后报价的供应商不得少于3家，除本章第3.7条外，否则必须重新采购。</w:t>
      </w:r>
    </w:p>
    <w:p w14:paraId="3DFFA1E3">
      <w:pPr>
        <w:spacing w:line="360" w:lineRule="auto"/>
        <w:ind w:firstLine="420" w:firstLineChars="200"/>
        <w:rPr>
          <w:rFonts w:ascii="宋体" w:hAnsi="宋体" w:cs="宋体"/>
          <w:color w:val="auto"/>
          <w:szCs w:val="21"/>
        </w:rPr>
      </w:pPr>
      <w:r>
        <w:rPr>
          <w:rFonts w:hint="eastAsia" w:ascii="宋体" w:hAnsi="宋体" w:cs="宋体"/>
          <w:color w:val="auto"/>
          <w:szCs w:val="21"/>
        </w:rPr>
        <w:t>5.2谈判文件不能详细列明采购标的的技术、服务要求，需经谈判由供应商提供最后设计方案或者解决方案的，谈判结束后，谈判小组应当按照少数服从多数的原则投票推荐3家以上供应商的设计方案或者解决方案，并要求其在规定时间内以电子文件形式提交最后报价。</w:t>
      </w:r>
    </w:p>
    <w:p w14:paraId="0F45DF26">
      <w:pPr>
        <w:spacing w:line="360" w:lineRule="auto"/>
        <w:ind w:firstLine="420" w:firstLineChars="200"/>
        <w:rPr>
          <w:rFonts w:ascii="宋体" w:hAnsi="宋体" w:cs="宋体"/>
          <w:color w:val="auto"/>
          <w:szCs w:val="21"/>
        </w:rPr>
      </w:pPr>
      <w:r>
        <w:rPr>
          <w:rFonts w:hint="eastAsia" w:ascii="宋体" w:hAnsi="宋体" w:cs="宋体"/>
          <w:color w:val="auto"/>
          <w:szCs w:val="21"/>
        </w:rPr>
        <w:t>5.3最后报价是供应商响应文件的有效组成部分。</w:t>
      </w:r>
    </w:p>
    <w:p w14:paraId="7FD6B44E">
      <w:pPr>
        <w:spacing w:line="360" w:lineRule="auto"/>
        <w:ind w:firstLine="420" w:firstLineChars="200"/>
        <w:rPr>
          <w:rFonts w:ascii="宋体" w:hAnsi="宋体" w:cs="宋体"/>
          <w:color w:val="auto"/>
          <w:szCs w:val="21"/>
        </w:rPr>
      </w:pPr>
      <w:r>
        <w:rPr>
          <w:rFonts w:hint="eastAsia" w:ascii="宋体" w:hAnsi="宋体" w:cs="宋体"/>
          <w:color w:val="auto"/>
          <w:szCs w:val="21"/>
        </w:rPr>
        <w:t>5.4已经提交响应文件的供应商，在提交最后报价之前，可以根据谈判情况退出谈判。采购人、采购代理机构将退还退出谈判的供应商的保证金。</w:t>
      </w:r>
    </w:p>
    <w:p w14:paraId="195C50F8">
      <w:pPr>
        <w:spacing w:line="360" w:lineRule="auto"/>
        <w:ind w:firstLine="420" w:firstLineChars="200"/>
        <w:rPr>
          <w:rFonts w:ascii="宋体" w:hAnsi="宋体" w:cs="宋体"/>
          <w:color w:val="auto"/>
          <w:szCs w:val="21"/>
        </w:rPr>
      </w:pPr>
      <w:r>
        <w:rPr>
          <w:rFonts w:hint="eastAsia" w:ascii="宋体" w:hAnsi="宋体" w:cs="宋体"/>
          <w:color w:val="auto"/>
          <w:szCs w:val="21"/>
        </w:rPr>
        <w:t>5.5供应商未在规定时间内提交最后报价的，视为退出谈判，其响应文件按无效响应处理。</w:t>
      </w:r>
    </w:p>
    <w:p w14:paraId="5090A549">
      <w:pPr>
        <w:spacing w:line="360" w:lineRule="auto"/>
        <w:ind w:firstLine="420" w:firstLineChars="200"/>
        <w:rPr>
          <w:rFonts w:ascii="宋体" w:hAnsi="宋体" w:cs="宋体"/>
          <w:color w:val="auto"/>
          <w:szCs w:val="21"/>
        </w:rPr>
      </w:pPr>
      <w:r>
        <w:rPr>
          <w:rFonts w:hint="eastAsia" w:ascii="宋体" w:hAnsi="宋体" w:cs="宋体"/>
          <w:color w:val="auto"/>
          <w:szCs w:val="21"/>
        </w:rPr>
        <w:t>5.6谈判小组收齐某一分标最后报价后或达到规定时间后统一开启，谈判小组对最后报价进行有效性、完整性和响应程度的审查。</w:t>
      </w:r>
    </w:p>
    <w:p w14:paraId="39BA1A9A">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5.7响应文件首次及最后报价出现前后不一致的，按照本章第3.4条的规定修正。 </w:t>
      </w:r>
    </w:p>
    <w:p w14:paraId="639AC7C3">
      <w:pPr>
        <w:spacing w:line="360" w:lineRule="auto"/>
        <w:ind w:firstLine="420" w:firstLineChars="200"/>
        <w:rPr>
          <w:rFonts w:ascii="宋体" w:hAnsi="宋体" w:cs="宋体"/>
          <w:color w:val="auto"/>
          <w:szCs w:val="21"/>
        </w:rPr>
      </w:pPr>
      <w:r>
        <w:rPr>
          <w:rFonts w:hint="eastAsia" w:ascii="宋体" w:hAnsi="宋体" w:cs="宋体"/>
          <w:color w:val="auto"/>
          <w:szCs w:val="21"/>
        </w:rPr>
        <w:t>5.8经供应商确认修正后的最后报价作为评审及签订合同的依据。</w:t>
      </w:r>
    </w:p>
    <w:p w14:paraId="58BD3683">
      <w:pPr>
        <w:spacing w:line="360" w:lineRule="auto"/>
        <w:ind w:firstLine="420" w:firstLineChars="200"/>
        <w:rPr>
          <w:rFonts w:ascii="宋体" w:hAnsi="宋体" w:cs="宋体"/>
          <w:color w:val="auto"/>
          <w:szCs w:val="21"/>
        </w:rPr>
      </w:pPr>
      <w:r>
        <w:rPr>
          <w:rFonts w:hint="eastAsia" w:ascii="宋体" w:hAnsi="宋体" w:cs="宋体"/>
          <w:color w:val="auto"/>
          <w:szCs w:val="21"/>
        </w:rPr>
        <w:t>5.9供应商出现最后报价按无效响应处理或者响应文件按无效响应处理时，谈判小组应当告知有关供应商。</w:t>
      </w:r>
    </w:p>
    <w:p w14:paraId="4EDCFAE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5.10最后报价结束后，谈判小组不得再与供应商进行任何形式的商谈。</w:t>
      </w:r>
    </w:p>
    <w:p w14:paraId="247F41B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5.11</w:t>
      </w:r>
      <w:bookmarkStart w:id="34" w:name="政府采购异常低价审查"/>
      <w:r>
        <w:rPr>
          <w:rFonts w:hint="eastAsia" w:asciiTheme="minorEastAsia" w:hAnsiTheme="minorEastAsia" w:eastAsiaTheme="minorEastAsia" w:cstheme="minorEastAsia"/>
          <w:color w:val="auto"/>
          <w:szCs w:val="21"/>
          <w:highlight w:val="none"/>
        </w:rPr>
        <w:t>政府采购异常低价审查</w:t>
      </w:r>
    </w:p>
    <w:bookmarkEnd w:id="34"/>
    <w:p w14:paraId="1BFF7B99">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（一）政府采购评审中出现下列情形之一的，谈判小组应当启动异常低价响应审查程序：</w:t>
      </w:r>
    </w:p>
    <w:p w14:paraId="1AFD9FAB">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1)最后报价低于全部通过符合性审查供应商投标最后报价平均值50%的，即最后报价＜全部通过符合性审查供应商最后报价平均值×50%；</w:t>
      </w:r>
    </w:p>
    <w:p w14:paraId="2350AD96">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2）最后报价低于通过符合性审查的次低报价供应商最后报价50%的，即最后报价＜通过符合性审查的次低报价供应商投标最后报价×50%；</w:t>
      </w:r>
    </w:p>
    <w:p w14:paraId="108B6C16">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3）最后报价低于采购项目最高限价45%的，即最后报价＜采购项目最高限价×45%；</w:t>
      </w:r>
    </w:p>
    <w:p w14:paraId="315B987F">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4）谈判小组基于专业判断，认为供应商报价过低，有可能影响产品质量或者不能诚信履约的其他情形。</w:t>
      </w:r>
    </w:p>
    <w:p w14:paraId="1F1EADD5">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二）谈判小组启动异常低价响应审查后，属于前述第1项至第4项情形的，应当要求相关供应商在评审现场合理的时间内对最后报价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58D05AD">
      <w:pPr>
        <w:spacing w:line="360" w:lineRule="auto"/>
        <w:ind w:firstLine="420" w:firstLineChars="200"/>
        <w:rPr>
          <w:color w:val="auto"/>
          <w:szCs w:val="21"/>
        </w:rPr>
      </w:pPr>
      <w:r>
        <w:rPr>
          <w:rFonts w:hint="eastAsia" w:asciiTheme="minorEastAsia" w:hAnsiTheme="minorEastAsia" w:eastAsiaTheme="minorEastAsia" w:cstheme="minorEastAsia"/>
          <w:color w:val="auto"/>
          <w:szCs w:val="21"/>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最后报价应当将其作为无效响应处理。</w:t>
      </w:r>
    </w:p>
    <w:p w14:paraId="12A0B976">
      <w:pPr>
        <w:spacing w:line="360" w:lineRule="auto"/>
        <w:ind w:firstLine="413" w:firstLineChars="196"/>
        <w:rPr>
          <w:rFonts w:ascii="宋体" w:hAnsi="宋体" w:cs="宋体"/>
          <w:b/>
          <w:bCs/>
          <w:color w:val="auto"/>
          <w:szCs w:val="21"/>
        </w:rPr>
      </w:pPr>
      <w:r>
        <w:rPr>
          <w:rFonts w:hint="eastAsia" w:ascii="宋体" w:hAnsi="宋体" w:cs="宋体"/>
          <w:b/>
          <w:bCs/>
          <w:color w:val="auto"/>
          <w:szCs w:val="21"/>
        </w:rPr>
        <w:t>6.最后报价政府采购政策性扣除</w:t>
      </w:r>
    </w:p>
    <w:p w14:paraId="7443063F">
      <w:pPr>
        <w:spacing w:line="360" w:lineRule="auto"/>
        <w:ind w:firstLine="420" w:firstLineChars="200"/>
        <w:rPr>
          <w:rFonts w:ascii="宋体" w:hAnsi="宋体" w:cs="宋体"/>
          <w:color w:val="auto"/>
          <w:szCs w:val="21"/>
        </w:rPr>
      </w:pPr>
      <w:r>
        <w:rPr>
          <w:rFonts w:hint="eastAsia" w:ascii="宋体" w:hAnsi="宋体" w:cs="宋体"/>
          <w:color w:val="auto"/>
          <w:szCs w:val="21"/>
        </w:rPr>
        <w:t>6.1评标价为供应商的最后报价进行政策性扣除后的价格，评标价只是作为评审时使用。最终成交供应商的成交金额等于最后报价（如有修正，以确认修正后的最后报价为准）。</w:t>
      </w:r>
    </w:p>
    <w:p w14:paraId="1F7712C5">
      <w:pPr>
        <w:spacing w:line="360" w:lineRule="auto"/>
        <w:ind w:firstLine="420" w:firstLineChars="200"/>
        <w:rPr>
          <w:rFonts w:ascii="宋体" w:hAnsi="宋体" w:cs="宋体"/>
          <w:color w:val="auto"/>
          <w:szCs w:val="21"/>
        </w:rPr>
      </w:pPr>
      <w:r>
        <w:rPr>
          <w:rFonts w:hint="eastAsia" w:ascii="宋体" w:hAnsi="宋体" w:cs="宋体"/>
          <w:color w:val="auto"/>
          <w:szCs w:val="21"/>
        </w:rPr>
        <w:t>6.2政策性扣除计算方法。</w:t>
      </w:r>
    </w:p>
    <w:p w14:paraId="08F577B8">
      <w:pPr>
        <w:spacing w:line="360" w:lineRule="auto"/>
        <w:ind w:firstLine="420" w:firstLineChars="200"/>
        <w:rPr>
          <w:rFonts w:ascii="宋体" w:hAnsi="宋体" w:cs="宋体"/>
          <w:color w:val="auto"/>
          <w:szCs w:val="21"/>
        </w:rPr>
      </w:pPr>
      <w:r>
        <w:rPr>
          <w:rFonts w:hint="eastAsia" w:ascii="宋体" w:hAnsi="宋体" w:cs="宋体"/>
          <w:color w:val="auto"/>
          <w:szCs w:val="21"/>
        </w:rPr>
        <w:t>根据《政府采购促进中小企业发展管理办法》</w:t>
      </w:r>
      <w:r>
        <w:rPr>
          <w:rFonts w:hint="eastAsia" w:hAnsi="宋体" w:cs="宋体"/>
          <w:bCs/>
          <w:color w:val="auto"/>
          <w:szCs w:val="21"/>
        </w:rPr>
        <w:t>及《广西壮族自治区财政厅关于持续优化政府采购营商环境推动高质量发展的通知》</w:t>
      </w:r>
      <w:r>
        <w:rPr>
          <w:rFonts w:hint="eastAsia" w:ascii="宋体" w:hAnsi="宋体" w:cs="宋体"/>
          <w:color w:val="auto"/>
          <w:szCs w:val="21"/>
        </w:rPr>
        <w:t>的规定，</w:t>
      </w:r>
      <w:r>
        <w:rPr>
          <w:rFonts w:hint="eastAsia" w:hAnsi="宋体" w:cs="宋体"/>
          <w:bCs/>
          <w:color w:val="auto"/>
          <w:szCs w:val="21"/>
        </w:rPr>
        <w:t>调整对小微企业的价格评审优惠幅度</w:t>
      </w:r>
      <w:r>
        <w:rPr>
          <w:rFonts w:hint="eastAsia" w:ascii="宋体" w:hAnsi="宋体" w:cs="宋体"/>
          <w:color w:val="auto"/>
          <w:szCs w:val="21"/>
        </w:rPr>
        <w:t>，供应商属于《政府采购促进中小企业发展管理办法》规定的小微企业的，对</w:t>
      </w:r>
      <w:r>
        <w:rPr>
          <w:rFonts w:hint="eastAsia" w:ascii="宋体" w:hAnsi="宋体" w:cs="宋体"/>
          <w:color w:val="auto"/>
          <w:szCs w:val="21"/>
          <w:lang w:bidi="ar"/>
        </w:rPr>
        <w:t>竞争性谈判</w:t>
      </w:r>
      <w:r>
        <w:rPr>
          <w:rFonts w:hint="eastAsia" w:ascii="宋体" w:hAnsi="宋体" w:cs="宋体"/>
          <w:color w:val="auto"/>
          <w:szCs w:val="21"/>
        </w:rPr>
        <w:t>报价给予20%的扣除，用扣除后的价格参加评审；大中型企业与小微企业组成联合体或者大中型企业向一家或者多家小微企业分包，且联合协议或者分包意向协议约定小微企业的合同份额占到合同总金额30%以上的，对联合体或者大中型企业的报价给予6%的扣除，用扣除后的价格参加评审。符合上述规定对报价给予扣除的，扣除后的价格为评标价，即评标价=最后报价×（1 - 扣除比例）。</w:t>
      </w:r>
    </w:p>
    <w:p w14:paraId="262F1623">
      <w:pPr>
        <w:spacing w:line="360" w:lineRule="auto"/>
        <w:ind w:firstLine="420" w:firstLineChars="200"/>
        <w:rPr>
          <w:rFonts w:ascii="宋体" w:hAnsi="宋体" w:cs="宋体"/>
          <w:color w:val="auto"/>
          <w:szCs w:val="21"/>
        </w:rPr>
      </w:pPr>
      <w:r>
        <w:rPr>
          <w:rFonts w:hint="eastAsia" w:ascii="宋体" w:hAnsi="宋体" w:cs="宋体"/>
          <w:color w:val="auto"/>
          <w:szCs w:val="21"/>
        </w:rPr>
        <w:t>6.3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不重复享受政策。</w:t>
      </w:r>
    </w:p>
    <w:p w14:paraId="7BB8A3A9">
      <w:pPr>
        <w:spacing w:line="360" w:lineRule="auto"/>
        <w:ind w:firstLine="420" w:firstLineChars="200"/>
        <w:rPr>
          <w:rFonts w:ascii="宋体" w:hAnsi="宋体" w:cs="宋体"/>
          <w:color w:val="auto"/>
          <w:szCs w:val="21"/>
        </w:rPr>
      </w:pPr>
      <w:r>
        <w:rPr>
          <w:rFonts w:hint="eastAsia" w:ascii="宋体" w:hAnsi="宋体" w:cs="宋体"/>
          <w:color w:val="auto"/>
          <w:szCs w:val="21"/>
        </w:rPr>
        <w:t>6.4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28986338">
      <w:pPr>
        <w:spacing w:line="360" w:lineRule="auto"/>
        <w:ind w:firstLine="420" w:firstLineChars="200"/>
        <w:rPr>
          <w:rFonts w:ascii="宋体" w:hAnsi="宋体" w:cs="宋体"/>
          <w:color w:val="auto"/>
          <w:sz w:val="24"/>
        </w:rPr>
      </w:pPr>
      <w:r>
        <w:rPr>
          <w:rFonts w:hint="eastAsia" w:ascii="宋体" w:hAnsi="宋体" w:cs="宋体"/>
          <w:color w:val="auto"/>
          <w:szCs w:val="21"/>
        </w:rPr>
        <w:t>6.5除上述情况外，评审价＝最后报价。</w:t>
      </w:r>
    </w:p>
    <w:p w14:paraId="23965BE8">
      <w:pPr>
        <w:spacing w:line="360" w:lineRule="auto"/>
        <w:ind w:firstLine="480" w:firstLineChars="200"/>
        <w:rPr>
          <w:rFonts w:ascii="宋体" w:hAnsi="宋体" w:cs="宋体"/>
          <w:color w:val="auto"/>
          <w:sz w:val="24"/>
        </w:rPr>
      </w:pPr>
    </w:p>
    <w:p w14:paraId="2CE7E7ED">
      <w:pPr>
        <w:spacing w:line="360" w:lineRule="auto"/>
        <w:jc w:val="center"/>
        <w:rPr>
          <w:rFonts w:ascii="宋体" w:hAnsi="宋体" w:cs="宋体"/>
          <w:b/>
          <w:color w:val="auto"/>
          <w:sz w:val="24"/>
        </w:rPr>
      </w:pPr>
    </w:p>
    <w:p w14:paraId="26162D38">
      <w:pPr>
        <w:spacing w:line="360" w:lineRule="auto"/>
        <w:jc w:val="center"/>
        <w:rPr>
          <w:rFonts w:ascii="宋体" w:hAnsi="宋体" w:cs="宋体"/>
          <w:b/>
          <w:color w:val="auto"/>
          <w:sz w:val="32"/>
          <w:szCs w:val="32"/>
        </w:rPr>
      </w:pPr>
      <w:r>
        <w:rPr>
          <w:rFonts w:hint="eastAsia" w:ascii="宋体" w:hAnsi="宋体" w:cs="宋体"/>
          <w:b/>
          <w:color w:val="auto"/>
          <w:sz w:val="32"/>
          <w:szCs w:val="32"/>
        </w:rPr>
        <w:t>二、评定成交的标准</w:t>
      </w:r>
    </w:p>
    <w:p w14:paraId="30329356">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7.成交候选人推荐原则</w:t>
      </w:r>
    </w:p>
    <w:p w14:paraId="15B4BA06">
      <w:pPr>
        <w:spacing w:line="360" w:lineRule="auto"/>
        <w:ind w:firstLine="420" w:firstLineChars="200"/>
        <w:rPr>
          <w:rFonts w:ascii="宋体" w:hAnsi="宋体" w:cs="宋体"/>
          <w:color w:val="auto"/>
          <w:sz w:val="24"/>
        </w:rPr>
      </w:pPr>
      <w:r>
        <w:rPr>
          <w:rFonts w:hint="eastAsia" w:ascii="宋体" w:hAnsi="宋体" w:cs="宋体"/>
          <w:color w:val="auto"/>
          <w:szCs w:val="21"/>
        </w:rPr>
        <w:t>谈判小组应当从质量和服务均能满足谈判文件实质性响应要求的供应商中，按照评审价由低到高的顺序提出3名以上成交候选人（评审价相同时，按照最后报价由低到高顺序依次推荐；最后报价相同时，由谈判小组按“供应商须知前附表”第26条规定的顺序推荐）,并编写评审报告。</w:t>
      </w:r>
    </w:p>
    <w:p w14:paraId="22D443D0">
      <w:pPr>
        <w:pStyle w:val="2"/>
        <w:spacing w:before="0" w:after="0" w:line="360" w:lineRule="auto"/>
        <w:jc w:val="center"/>
        <w:rPr>
          <w:rFonts w:ascii="宋体" w:hAnsi="宋体" w:cs="宋体"/>
          <w:color w:val="auto"/>
        </w:rPr>
      </w:pPr>
      <w:r>
        <w:rPr>
          <w:rFonts w:hint="eastAsia" w:ascii="宋体" w:hAnsi="宋体" w:cs="宋体"/>
          <w:color w:val="auto"/>
          <w:sz w:val="24"/>
          <w:szCs w:val="24"/>
        </w:rPr>
        <w:br w:type="page"/>
      </w:r>
    </w:p>
    <w:p w14:paraId="5C7E3DFE">
      <w:pPr>
        <w:rPr>
          <w:rFonts w:ascii="宋体" w:hAnsi="宋体" w:cs="宋体"/>
          <w:color w:val="auto"/>
        </w:rPr>
      </w:pPr>
    </w:p>
    <w:p w14:paraId="18D89C5E">
      <w:pPr>
        <w:pStyle w:val="2"/>
        <w:spacing w:before="0" w:after="0"/>
        <w:jc w:val="center"/>
        <w:rPr>
          <w:rFonts w:ascii="宋体" w:hAnsi="宋体" w:cs="宋体"/>
          <w:color w:val="auto"/>
        </w:rPr>
      </w:pPr>
      <w:bookmarkStart w:id="35" w:name="_Toc27214"/>
      <w:r>
        <w:rPr>
          <w:rFonts w:hint="eastAsia" w:ascii="宋体" w:hAnsi="宋体" w:cs="宋体"/>
          <w:color w:val="auto"/>
        </w:rPr>
        <w:t>第五章 响应文件格式</w:t>
      </w:r>
      <w:bookmarkEnd w:id="35"/>
    </w:p>
    <w:p w14:paraId="7C77B020">
      <w:pPr>
        <w:spacing w:line="240" w:lineRule="atLeast"/>
        <w:rPr>
          <w:rFonts w:ascii="宋体" w:hAnsi="宋体" w:cs="宋体"/>
          <w:b/>
          <w:color w:val="auto"/>
          <w:sz w:val="32"/>
          <w:szCs w:val="32"/>
        </w:rPr>
      </w:pPr>
    </w:p>
    <w:p w14:paraId="54B36728">
      <w:pPr>
        <w:spacing w:line="240" w:lineRule="atLeast"/>
        <w:rPr>
          <w:rFonts w:ascii="宋体" w:hAnsi="宋体" w:cs="宋体"/>
          <w:b/>
          <w:color w:val="auto"/>
          <w:sz w:val="32"/>
          <w:szCs w:val="32"/>
        </w:rPr>
      </w:pPr>
    </w:p>
    <w:p w14:paraId="0562620F">
      <w:pPr>
        <w:spacing w:line="360" w:lineRule="auto"/>
        <w:rPr>
          <w:rFonts w:ascii="宋体" w:hAnsi="宋体" w:cs="宋体"/>
          <w:b/>
          <w:color w:val="auto"/>
          <w:sz w:val="32"/>
          <w:szCs w:val="32"/>
        </w:rPr>
      </w:pPr>
      <w:bookmarkStart w:id="36" w:name="_Toc71366060"/>
      <w:bookmarkStart w:id="37" w:name="_Toc71365382"/>
      <w:r>
        <w:rPr>
          <w:rFonts w:hint="eastAsia" w:ascii="宋体" w:hAnsi="宋体" w:cs="宋体"/>
          <w:b/>
          <w:color w:val="auto"/>
          <w:sz w:val="32"/>
          <w:szCs w:val="32"/>
        </w:rPr>
        <w:t>一、资格证明文件格式</w:t>
      </w:r>
      <w:bookmarkEnd w:id="36"/>
      <w:bookmarkEnd w:id="37"/>
    </w:p>
    <w:p w14:paraId="62DBC23C">
      <w:pPr>
        <w:snapToGrid w:val="0"/>
        <w:spacing w:line="360" w:lineRule="auto"/>
        <w:jc w:val="left"/>
        <w:rPr>
          <w:rFonts w:ascii="宋体" w:hAnsi="宋体" w:cs="宋体"/>
          <w:b/>
          <w:color w:val="auto"/>
          <w:sz w:val="24"/>
        </w:rPr>
      </w:pPr>
      <w:r>
        <w:rPr>
          <w:rFonts w:hint="eastAsia" w:ascii="宋体" w:hAnsi="宋体" w:cs="宋体"/>
          <w:b/>
          <w:color w:val="auto"/>
          <w:sz w:val="32"/>
          <w:szCs w:val="32"/>
        </w:rPr>
        <w:t>1.资格证明文件封面格式：</w:t>
      </w:r>
      <w:r>
        <w:rPr>
          <w:rFonts w:hint="eastAsia" w:ascii="宋体" w:hAnsi="宋体" w:cs="宋体"/>
          <w:b/>
          <w:color w:val="auto"/>
          <w:sz w:val="24"/>
        </w:rPr>
        <w:t xml:space="preserve"> </w:t>
      </w:r>
    </w:p>
    <w:p w14:paraId="2A20E590">
      <w:pPr>
        <w:snapToGrid w:val="0"/>
        <w:spacing w:line="360" w:lineRule="auto"/>
        <w:rPr>
          <w:rFonts w:ascii="宋体" w:hAnsi="宋体" w:cs="宋体"/>
          <w:bCs/>
          <w:color w:val="auto"/>
          <w:sz w:val="32"/>
          <w:szCs w:val="20"/>
        </w:rPr>
      </w:pPr>
      <w:r>
        <w:rPr>
          <w:rFonts w:hint="eastAsia" w:ascii="宋体" w:hAnsi="宋体" w:cs="宋体"/>
          <w:color w:val="auto"/>
          <w:sz w:val="24"/>
        </w:rPr>
        <w:t xml:space="preserve">                                                  </w:t>
      </w:r>
    </w:p>
    <w:p w14:paraId="7E0CF100">
      <w:pPr>
        <w:snapToGrid w:val="0"/>
        <w:spacing w:line="360" w:lineRule="auto"/>
        <w:jc w:val="center"/>
        <w:rPr>
          <w:rFonts w:ascii="宋体" w:hAnsi="宋体" w:cs="宋体"/>
          <w:bCs/>
          <w:color w:val="auto"/>
          <w:sz w:val="44"/>
          <w:szCs w:val="44"/>
        </w:rPr>
      </w:pPr>
    </w:p>
    <w:p w14:paraId="203B28FE">
      <w:pPr>
        <w:snapToGrid w:val="0"/>
        <w:spacing w:line="360" w:lineRule="auto"/>
        <w:jc w:val="center"/>
        <w:rPr>
          <w:rFonts w:ascii="宋体" w:hAnsi="宋体" w:cs="宋体"/>
          <w:bCs/>
          <w:color w:val="auto"/>
          <w:sz w:val="84"/>
          <w:szCs w:val="84"/>
        </w:rPr>
      </w:pPr>
      <w:r>
        <w:rPr>
          <w:rFonts w:hint="eastAsia" w:ascii="宋体" w:hAnsi="宋体" w:cs="宋体"/>
          <w:bCs/>
          <w:color w:val="auto"/>
          <w:sz w:val="84"/>
          <w:szCs w:val="84"/>
        </w:rPr>
        <w:t>响  应  文  件</w:t>
      </w:r>
    </w:p>
    <w:p w14:paraId="4563B162">
      <w:pPr>
        <w:snapToGrid w:val="0"/>
        <w:spacing w:line="360" w:lineRule="auto"/>
        <w:rPr>
          <w:rFonts w:ascii="宋体" w:hAnsi="宋体" w:cs="宋体"/>
          <w:color w:val="auto"/>
          <w:sz w:val="24"/>
          <w:szCs w:val="20"/>
        </w:rPr>
      </w:pPr>
    </w:p>
    <w:p w14:paraId="704817F3">
      <w:pPr>
        <w:snapToGrid w:val="0"/>
        <w:spacing w:line="360" w:lineRule="auto"/>
        <w:jc w:val="center"/>
        <w:rPr>
          <w:rFonts w:ascii="宋体" w:hAnsi="宋体" w:cs="宋体"/>
          <w:bCs/>
          <w:color w:val="auto"/>
          <w:sz w:val="32"/>
          <w:szCs w:val="32"/>
        </w:rPr>
      </w:pPr>
      <w:r>
        <w:rPr>
          <w:rFonts w:hint="eastAsia" w:ascii="宋体" w:hAnsi="宋体" w:cs="宋体"/>
          <w:bCs/>
          <w:color w:val="auto"/>
          <w:sz w:val="32"/>
          <w:szCs w:val="32"/>
        </w:rPr>
        <w:t>资  格  证  明  文  件</w:t>
      </w:r>
    </w:p>
    <w:p w14:paraId="025BBC2F">
      <w:pPr>
        <w:snapToGrid w:val="0"/>
        <w:spacing w:line="360" w:lineRule="auto"/>
        <w:rPr>
          <w:rFonts w:ascii="宋体" w:hAnsi="宋体" w:cs="宋体"/>
          <w:bCs/>
          <w:color w:val="auto"/>
          <w:sz w:val="24"/>
          <w:szCs w:val="20"/>
        </w:rPr>
      </w:pPr>
    </w:p>
    <w:p w14:paraId="48171AD7">
      <w:pPr>
        <w:snapToGrid w:val="0"/>
        <w:spacing w:line="360" w:lineRule="auto"/>
        <w:rPr>
          <w:rFonts w:ascii="宋体" w:hAnsi="宋体" w:cs="宋体"/>
          <w:bCs/>
          <w:color w:val="auto"/>
          <w:sz w:val="24"/>
          <w:szCs w:val="20"/>
        </w:rPr>
      </w:pPr>
    </w:p>
    <w:p w14:paraId="7A76CB5E">
      <w:pPr>
        <w:snapToGrid w:val="0"/>
        <w:spacing w:line="360" w:lineRule="auto"/>
        <w:ind w:firstLine="2739" w:firstLineChars="856"/>
        <w:rPr>
          <w:rFonts w:ascii="宋体" w:hAnsi="宋体" w:cs="宋体"/>
          <w:bCs/>
          <w:color w:val="auto"/>
          <w:sz w:val="32"/>
          <w:szCs w:val="32"/>
        </w:rPr>
      </w:pPr>
      <w:r>
        <w:rPr>
          <w:rFonts w:hint="eastAsia" w:ascii="宋体" w:hAnsi="宋体" w:cs="宋体"/>
          <w:bCs/>
          <w:color w:val="auto"/>
          <w:sz w:val="32"/>
          <w:szCs w:val="32"/>
        </w:rPr>
        <w:t>项目名称：</w:t>
      </w:r>
    </w:p>
    <w:p w14:paraId="5B760CA6">
      <w:pPr>
        <w:snapToGrid w:val="0"/>
        <w:spacing w:line="360" w:lineRule="auto"/>
        <w:ind w:firstLine="2739" w:firstLineChars="856"/>
        <w:rPr>
          <w:rFonts w:ascii="宋体" w:hAnsi="宋体" w:cs="宋体"/>
          <w:bCs/>
          <w:color w:val="auto"/>
          <w:sz w:val="32"/>
          <w:szCs w:val="32"/>
        </w:rPr>
      </w:pPr>
      <w:r>
        <w:rPr>
          <w:rFonts w:hint="eastAsia" w:ascii="宋体" w:hAnsi="宋体" w:cs="宋体"/>
          <w:bCs/>
          <w:color w:val="auto"/>
          <w:sz w:val="32"/>
          <w:szCs w:val="32"/>
        </w:rPr>
        <w:t xml:space="preserve">项目编号： </w:t>
      </w:r>
    </w:p>
    <w:p w14:paraId="7074E206">
      <w:pPr>
        <w:snapToGrid w:val="0"/>
        <w:spacing w:line="360" w:lineRule="auto"/>
        <w:ind w:firstLine="2739" w:firstLineChars="856"/>
        <w:rPr>
          <w:rFonts w:ascii="宋体" w:hAnsi="宋体" w:cs="宋体"/>
          <w:bCs/>
          <w:color w:val="auto"/>
          <w:sz w:val="32"/>
          <w:szCs w:val="32"/>
        </w:rPr>
      </w:pPr>
      <w:r>
        <w:rPr>
          <w:rFonts w:hint="eastAsia" w:ascii="宋体" w:hAnsi="宋体" w:cs="宋体"/>
          <w:bCs/>
          <w:color w:val="auto"/>
          <w:sz w:val="32"/>
          <w:szCs w:val="32"/>
        </w:rPr>
        <w:t>所竞分标（如有）：</w:t>
      </w:r>
    </w:p>
    <w:p w14:paraId="16D803C7">
      <w:pPr>
        <w:pStyle w:val="7"/>
        <w:snapToGrid w:val="0"/>
        <w:spacing w:line="360" w:lineRule="auto"/>
        <w:ind w:firstLine="2739" w:firstLineChars="856"/>
        <w:rPr>
          <w:rFonts w:ascii="宋体" w:hAnsi="宋体" w:cs="宋体"/>
          <w:bCs/>
          <w:color w:val="auto"/>
          <w:sz w:val="32"/>
          <w:szCs w:val="32"/>
        </w:rPr>
      </w:pPr>
      <w:r>
        <w:rPr>
          <w:rFonts w:hint="eastAsia" w:ascii="宋体" w:hAnsi="宋体" w:cs="宋体"/>
          <w:bCs/>
          <w:color w:val="auto"/>
          <w:sz w:val="32"/>
          <w:szCs w:val="32"/>
        </w:rPr>
        <w:t>供应商名称：</w:t>
      </w:r>
    </w:p>
    <w:p w14:paraId="72E7DA35">
      <w:pPr>
        <w:pStyle w:val="7"/>
        <w:snapToGrid w:val="0"/>
        <w:spacing w:line="360" w:lineRule="auto"/>
        <w:ind w:firstLine="0"/>
        <w:rPr>
          <w:rFonts w:ascii="宋体" w:hAnsi="宋体" w:cs="宋体"/>
          <w:bCs/>
          <w:color w:val="auto"/>
          <w:sz w:val="32"/>
          <w:szCs w:val="32"/>
        </w:rPr>
      </w:pPr>
    </w:p>
    <w:p w14:paraId="23747D1F">
      <w:pPr>
        <w:pStyle w:val="7"/>
        <w:snapToGrid w:val="0"/>
        <w:spacing w:line="360" w:lineRule="auto"/>
        <w:ind w:firstLine="1280" w:firstLineChars="400"/>
        <w:rPr>
          <w:rFonts w:ascii="宋体" w:hAnsi="宋体" w:cs="宋体"/>
          <w:bCs/>
          <w:color w:val="auto"/>
          <w:sz w:val="32"/>
          <w:szCs w:val="32"/>
        </w:rPr>
      </w:pPr>
    </w:p>
    <w:p w14:paraId="7C262435">
      <w:pPr>
        <w:snapToGrid w:val="0"/>
        <w:spacing w:line="360" w:lineRule="auto"/>
        <w:jc w:val="center"/>
        <w:rPr>
          <w:rFonts w:ascii="宋体" w:hAnsi="宋体" w:cs="宋体"/>
          <w:color w:val="auto"/>
          <w:sz w:val="32"/>
          <w:szCs w:val="32"/>
        </w:rPr>
      </w:pPr>
      <w:r>
        <w:rPr>
          <w:rFonts w:hint="eastAsia" w:ascii="宋体" w:hAnsi="宋体" w:cs="宋体"/>
          <w:color w:val="auto"/>
          <w:sz w:val="32"/>
          <w:szCs w:val="32"/>
        </w:rPr>
        <w:t>年    月    日</w:t>
      </w:r>
    </w:p>
    <w:p w14:paraId="68E0E81E">
      <w:pPr>
        <w:snapToGrid w:val="0"/>
        <w:spacing w:line="360" w:lineRule="auto"/>
        <w:jc w:val="left"/>
        <w:rPr>
          <w:rFonts w:ascii="宋体" w:hAnsi="宋体" w:cs="宋体"/>
          <w:b/>
          <w:bCs/>
          <w:color w:val="auto"/>
          <w:sz w:val="32"/>
          <w:szCs w:val="32"/>
        </w:rPr>
      </w:pPr>
      <w:r>
        <w:rPr>
          <w:rFonts w:hint="eastAsia" w:ascii="宋体" w:hAnsi="宋体" w:cs="宋体"/>
          <w:color w:val="auto"/>
          <w:sz w:val="24"/>
        </w:rPr>
        <w:br w:type="page"/>
      </w:r>
      <w:r>
        <w:rPr>
          <w:rFonts w:hint="eastAsia" w:ascii="宋体" w:hAnsi="宋体" w:cs="宋体"/>
          <w:b/>
          <w:bCs/>
          <w:color w:val="auto"/>
          <w:sz w:val="32"/>
          <w:szCs w:val="32"/>
        </w:rPr>
        <w:t>2.资格证明文件目录</w:t>
      </w:r>
    </w:p>
    <w:p w14:paraId="637575A1">
      <w:pPr>
        <w:snapToGrid w:val="0"/>
        <w:spacing w:line="360" w:lineRule="auto"/>
        <w:ind w:firstLine="645"/>
        <w:rPr>
          <w:rFonts w:ascii="宋体" w:hAnsi="宋体" w:cs="宋体"/>
          <w:color w:val="auto"/>
          <w:sz w:val="32"/>
          <w:szCs w:val="32"/>
        </w:rPr>
      </w:pPr>
      <w:r>
        <w:rPr>
          <w:rFonts w:hint="eastAsia" w:ascii="宋体" w:hAnsi="宋体" w:cs="宋体"/>
          <w:color w:val="auto"/>
          <w:sz w:val="32"/>
          <w:szCs w:val="32"/>
        </w:rPr>
        <w:t>根据谈判文件规定及供应商提供的材料自行编写目录（部分格式后附）。</w:t>
      </w:r>
    </w:p>
    <w:p w14:paraId="251E5CB9">
      <w:pPr>
        <w:snapToGrid w:val="0"/>
        <w:spacing w:line="360" w:lineRule="auto"/>
        <w:rPr>
          <w:rFonts w:ascii="宋体" w:hAnsi="宋体" w:cs="宋体"/>
          <w:color w:val="auto"/>
          <w:sz w:val="24"/>
          <w:szCs w:val="20"/>
        </w:rPr>
      </w:pPr>
      <w:r>
        <w:rPr>
          <w:rFonts w:hint="eastAsia" w:ascii="宋体" w:hAnsi="宋体" w:cs="宋体"/>
          <w:color w:val="auto"/>
          <w:sz w:val="24"/>
          <w:szCs w:val="20"/>
        </w:rPr>
        <w:t xml:space="preserve"> </w:t>
      </w:r>
    </w:p>
    <w:p w14:paraId="4D67A687">
      <w:pPr>
        <w:spacing w:line="360" w:lineRule="auto"/>
        <w:rPr>
          <w:rFonts w:ascii="宋体" w:hAnsi="宋体" w:cs="宋体"/>
          <w:color w:val="auto"/>
          <w:szCs w:val="21"/>
        </w:rPr>
      </w:pPr>
    </w:p>
    <w:p w14:paraId="6D03FC8B">
      <w:pPr>
        <w:spacing w:line="360" w:lineRule="auto"/>
        <w:rPr>
          <w:rFonts w:ascii="宋体" w:hAnsi="宋体" w:cs="宋体"/>
          <w:color w:val="auto"/>
          <w:szCs w:val="21"/>
        </w:rPr>
      </w:pPr>
    </w:p>
    <w:p w14:paraId="5B11BEB8">
      <w:pPr>
        <w:spacing w:line="360" w:lineRule="auto"/>
        <w:rPr>
          <w:rFonts w:ascii="宋体" w:hAnsi="宋体" w:cs="宋体"/>
          <w:color w:val="auto"/>
          <w:szCs w:val="21"/>
        </w:rPr>
      </w:pPr>
    </w:p>
    <w:p w14:paraId="3E604B9B">
      <w:pPr>
        <w:spacing w:line="360" w:lineRule="auto"/>
        <w:rPr>
          <w:rFonts w:ascii="宋体" w:hAnsi="宋体" w:cs="宋体"/>
          <w:color w:val="auto"/>
          <w:szCs w:val="21"/>
        </w:rPr>
      </w:pPr>
    </w:p>
    <w:p w14:paraId="6BCE2751">
      <w:pPr>
        <w:spacing w:line="360" w:lineRule="auto"/>
        <w:rPr>
          <w:rFonts w:ascii="宋体" w:hAnsi="宋体" w:cs="宋体"/>
          <w:color w:val="auto"/>
          <w:szCs w:val="21"/>
        </w:rPr>
      </w:pPr>
    </w:p>
    <w:p w14:paraId="3345FE93">
      <w:pPr>
        <w:spacing w:line="360" w:lineRule="auto"/>
        <w:rPr>
          <w:rFonts w:ascii="宋体" w:hAnsi="宋体" w:cs="宋体"/>
          <w:color w:val="auto"/>
          <w:szCs w:val="21"/>
        </w:rPr>
      </w:pPr>
    </w:p>
    <w:p w14:paraId="32B0C829">
      <w:pPr>
        <w:spacing w:line="360" w:lineRule="auto"/>
        <w:rPr>
          <w:rFonts w:ascii="宋体" w:hAnsi="宋体" w:cs="宋体"/>
          <w:color w:val="auto"/>
          <w:szCs w:val="21"/>
        </w:rPr>
      </w:pPr>
    </w:p>
    <w:p w14:paraId="01C7158C">
      <w:pPr>
        <w:spacing w:line="360" w:lineRule="auto"/>
        <w:rPr>
          <w:rFonts w:ascii="宋体" w:hAnsi="宋体" w:cs="宋体"/>
          <w:color w:val="auto"/>
          <w:szCs w:val="21"/>
        </w:rPr>
      </w:pPr>
    </w:p>
    <w:p w14:paraId="729D2A76">
      <w:pPr>
        <w:spacing w:line="360" w:lineRule="auto"/>
        <w:rPr>
          <w:rFonts w:ascii="宋体" w:hAnsi="宋体" w:cs="宋体"/>
          <w:color w:val="auto"/>
          <w:szCs w:val="21"/>
        </w:rPr>
      </w:pPr>
    </w:p>
    <w:p w14:paraId="46ED8175">
      <w:pPr>
        <w:spacing w:line="360" w:lineRule="auto"/>
        <w:rPr>
          <w:rFonts w:ascii="宋体" w:hAnsi="宋体" w:cs="宋体"/>
          <w:color w:val="auto"/>
          <w:szCs w:val="21"/>
        </w:rPr>
      </w:pPr>
    </w:p>
    <w:p w14:paraId="55F5B440">
      <w:pPr>
        <w:spacing w:line="360" w:lineRule="auto"/>
        <w:rPr>
          <w:rFonts w:ascii="宋体" w:hAnsi="宋体" w:cs="宋体"/>
          <w:color w:val="auto"/>
          <w:szCs w:val="21"/>
        </w:rPr>
      </w:pPr>
    </w:p>
    <w:p w14:paraId="01733629">
      <w:pPr>
        <w:spacing w:line="360" w:lineRule="auto"/>
        <w:rPr>
          <w:rFonts w:ascii="宋体" w:hAnsi="宋体" w:cs="宋体"/>
          <w:color w:val="auto"/>
          <w:szCs w:val="21"/>
        </w:rPr>
      </w:pPr>
    </w:p>
    <w:p w14:paraId="16071735">
      <w:pPr>
        <w:spacing w:line="360" w:lineRule="auto"/>
        <w:rPr>
          <w:rFonts w:ascii="宋体" w:hAnsi="宋体" w:cs="宋体"/>
          <w:color w:val="auto"/>
          <w:szCs w:val="21"/>
        </w:rPr>
      </w:pPr>
    </w:p>
    <w:p w14:paraId="49E22935">
      <w:pPr>
        <w:spacing w:line="360" w:lineRule="auto"/>
        <w:rPr>
          <w:rFonts w:ascii="宋体" w:hAnsi="宋体" w:cs="宋体"/>
          <w:color w:val="auto"/>
          <w:szCs w:val="21"/>
        </w:rPr>
      </w:pPr>
    </w:p>
    <w:p w14:paraId="2A47C833">
      <w:pPr>
        <w:spacing w:line="360" w:lineRule="auto"/>
        <w:rPr>
          <w:rFonts w:ascii="宋体" w:hAnsi="宋体" w:cs="宋体"/>
          <w:color w:val="auto"/>
          <w:szCs w:val="21"/>
        </w:rPr>
      </w:pPr>
    </w:p>
    <w:p w14:paraId="0056A2AE">
      <w:pPr>
        <w:spacing w:line="360" w:lineRule="auto"/>
        <w:jc w:val="left"/>
        <w:rPr>
          <w:rFonts w:ascii="宋体" w:hAnsi="宋体" w:cs="宋体"/>
          <w:color w:val="auto"/>
          <w:szCs w:val="21"/>
        </w:rPr>
      </w:pPr>
    </w:p>
    <w:p w14:paraId="3757F028">
      <w:pPr>
        <w:snapToGrid w:val="0"/>
        <w:spacing w:line="360" w:lineRule="auto"/>
        <w:jc w:val="center"/>
        <w:rPr>
          <w:rFonts w:ascii="宋体" w:hAnsi="宋体" w:cs="宋体"/>
          <w:b/>
          <w:color w:val="auto"/>
          <w:sz w:val="32"/>
          <w:szCs w:val="32"/>
        </w:rPr>
      </w:pPr>
      <w:r>
        <w:rPr>
          <w:rFonts w:hint="eastAsia" w:ascii="宋体" w:hAnsi="宋体" w:cs="宋体"/>
          <w:b/>
          <w:color w:val="auto"/>
          <w:sz w:val="32"/>
          <w:szCs w:val="32"/>
        </w:rPr>
        <w:br w:type="page"/>
      </w:r>
      <w:r>
        <w:rPr>
          <w:rFonts w:hint="eastAsia" w:ascii="宋体" w:hAnsi="宋体" w:cs="宋体"/>
          <w:b/>
          <w:color w:val="auto"/>
          <w:sz w:val="32"/>
          <w:szCs w:val="32"/>
        </w:rPr>
        <w:t>3.供应商直接控股、管理关系信息表</w:t>
      </w:r>
    </w:p>
    <w:p w14:paraId="28761C4E">
      <w:pPr>
        <w:snapToGrid w:val="0"/>
        <w:spacing w:line="360" w:lineRule="auto"/>
        <w:jc w:val="center"/>
        <w:rPr>
          <w:rFonts w:ascii="宋体" w:hAnsi="宋体" w:cs="宋体"/>
          <w:b/>
          <w:color w:val="auto"/>
          <w:sz w:val="32"/>
          <w:szCs w:val="32"/>
        </w:rPr>
      </w:pPr>
    </w:p>
    <w:p w14:paraId="096EB4CA">
      <w:pPr>
        <w:snapToGrid w:val="0"/>
        <w:spacing w:line="360" w:lineRule="auto"/>
        <w:jc w:val="center"/>
        <w:rPr>
          <w:rFonts w:ascii="宋体" w:hAnsi="宋体" w:cs="宋体"/>
          <w:b/>
          <w:color w:val="auto"/>
          <w:sz w:val="32"/>
          <w:szCs w:val="32"/>
        </w:rPr>
      </w:pPr>
      <w:r>
        <w:rPr>
          <w:rFonts w:hint="eastAsia" w:ascii="宋体" w:hAnsi="宋体" w:cs="宋体"/>
          <w:b/>
          <w:color w:val="auto"/>
          <w:sz w:val="32"/>
          <w:szCs w:val="32"/>
        </w:rPr>
        <w:t>供应商直接控股股东信息表</w:t>
      </w:r>
    </w:p>
    <w:p w14:paraId="78F6C185">
      <w:pPr>
        <w:snapToGrid w:val="0"/>
        <w:spacing w:line="360" w:lineRule="auto"/>
        <w:jc w:val="center"/>
        <w:rPr>
          <w:rFonts w:ascii="宋体" w:hAnsi="宋体" w:cs="宋体"/>
          <w:b/>
          <w:color w:val="auto"/>
          <w:sz w:val="32"/>
          <w:szCs w:val="32"/>
        </w:rPr>
      </w:pPr>
    </w:p>
    <w:tbl>
      <w:tblPr>
        <w:tblStyle w:val="27"/>
        <w:tblW w:w="9318" w:type="dxa"/>
        <w:jc w:val="center"/>
        <w:shd w:val="clear" w:color="auto" w:fill="FBFBFB"/>
        <w:tblLayout w:type="fixed"/>
        <w:tblCellMar>
          <w:top w:w="0" w:type="dxa"/>
          <w:left w:w="0" w:type="dxa"/>
          <w:bottom w:w="0" w:type="dxa"/>
          <w:right w:w="0" w:type="dxa"/>
        </w:tblCellMar>
      </w:tblPr>
      <w:tblGrid>
        <w:gridCol w:w="880"/>
        <w:gridCol w:w="2655"/>
        <w:gridCol w:w="1455"/>
        <w:gridCol w:w="3503"/>
        <w:gridCol w:w="825"/>
      </w:tblGrid>
      <w:tr w14:paraId="4BFE3684">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F0167C2">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序号</w:t>
            </w:r>
          </w:p>
        </w:tc>
        <w:tc>
          <w:tcPr>
            <w:tcW w:w="26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605DDBCC">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7487C7DD">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出资比例</w:t>
            </w:r>
          </w:p>
        </w:tc>
        <w:tc>
          <w:tcPr>
            <w:tcW w:w="3503"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3EDF63D0">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身份证号码或者统一社会信用代码</w:t>
            </w:r>
          </w:p>
        </w:tc>
        <w:tc>
          <w:tcPr>
            <w:tcW w:w="82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651FD5CC">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备注</w:t>
            </w:r>
          </w:p>
        </w:tc>
      </w:tr>
      <w:tr w14:paraId="4DF37524">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BF58353">
            <w:pPr>
              <w:widowControl/>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1</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3721329">
            <w:pPr>
              <w:widowControl/>
              <w:spacing w:line="360" w:lineRule="auto"/>
              <w:jc w:val="center"/>
              <w:rPr>
                <w:rFonts w:ascii="宋体" w:hAnsi="宋体" w:cs="宋体"/>
                <w:color w:val="auto"/>
                <w:kern w:val="0"/>
                <w:sz w:val="28"/>
                <w:szCs w:val="28"/>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B5D8EAD">
            <w:pPr>
              <w:widowControl/>
              <w:spacing w:line="360" w:lineRule="auto"/>
              <w:jc w:val="center"/>
              <w:rPr>
                <w:rFonts w:ascii="宋体" w:hAnsi="宋体" w:cs="宋体"/>
                <w:color w:val="auto"/>
                <w:kern w:val="0"/>
                <w:sz w:val="28"/>
                <w:szCs w:val="28"/>
              </w:rPr>
            </w:pPr>
          </w:p>
        </w:tc>
        <w:tc>
          <w:tcPr>
            <w:tcW w:w="3503"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6AFFC8B">
            <w:pPr>
              <w:widowControl/>
              <w:spacing w:line="360" w:lineRule="auto"/>
              <w:jc w:val="center"/>
              <w:rPr>
                <w:rFonts w:ascii="宋体" w:hAnsi="宋体" w:cs="宋体"/>
                <w:color w:val="auto"/>
                <w:kern w:val="0"/>
                <w:sz w:val="28"/>
                <w:szCs w:val="28"/>
              </w:rPr>
            </w:pPr>
          </w:p>
        </w:tc>
        <w:tc>
          <w:tcPr>
            <w:tcW w:w="82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4838E88">
            <w:pPr>
              <w:widowControl/>
              <w:spacing w:line="360" w:lineRule="auto"/>
              <w:jc w:val="center"/>
              <w:rPr>
                <w:rFonts w:ascii="宋体" w:hAnsi="宋体" w:cs="宋体"/>
                <w:color w:val="auto"/>
                <w:kern w:val="0"/>
                <w:sz w:val="28"/>
                <w:szCs w:val="28"/>
              </w:rPr>
            </w:pPr>
          </w:p>
        </w:tc>
      </w:tr>
      <w:tr w14:paraId="35025610">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27B3134">
            <w:pPr>
              <w:widowControl/>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2</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2E65BB2">
            <w:pPr>
              <w:widowControl/>
              <w:spacing w:line="360" w:lineRule="auto"/>
              <w:jc w:val="center"/>
              <w:rPr>
                <w:rFonts w:ascii="宋体" w:hAnsi="宋体" w:cs="宋体"/>
                <w:color w:val="auto"/>
                <w:kern w:val="0"/>
                <w:sz w:val="28"/>
                <w:szCs w:val="28"/>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1B2D2B0">
            <w:pPr>
              <w:widowControl/>
              <w:spacing w:line="360" w:lineRule="auto"/>
              <w:jc w:val="center"/>
              <w:rPr>
                <w:rFonts w:ascii="宋体" w:hAnsi="宋体" w:cs="宋体"/>
                <w:color w:val="auto"/>
                <w:kern w:val="0"/>
                <w:sz w:val="28"/>
                <w:szCs w:val="28"/>
              </w:rPr>
            </w:pPr>
          </w:p>
        </w:tc>
        <w:tc>
          <w:tcPr>
            <w:tcW w:w="3503"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3AFFBE7">
            <w:pPr>
              <w:widowControl/>
              <w:spacing w:line="360" w:lineRule="auto"/>
              <w:jc w:val="center"/>
              <w:rPr>
                <w:rFonts w:ascii="宋体" w:hAnsi="宋体" w:cs="宋体"/>
                <w:color w:val="auto"/>
                <w:kern w:val="0"/>
                <w:sz w:val="28"/>
                <w:szCs w:val="28"/>
              </w:rPr>
            </w:pPr>
          </w:p>
        </w:tc>
        <w:tc>
          <w:tcPr>
            <w:tcW w:w="82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653D5DD">
            <w:pPr>
              <w:widowControl/>
              <w:spacing w:line="360" w:lineRule="auto"/>
              <w:jc w:val="center"/>
              <w:rPr>
                <w:rFonts w:ascii="宋体" w:hAnsi="宋体" w:cs="宋体"/>
                <w:color w:val="auto"/>
                <w:kern w:val="0"/>
                <w:sz w:val="28"/>
                <w:szCs w:val="28"/>
              </w:rPr>
            </w:pPr>
          </w:p>
        </w:tc>
      </w:tr>
      <w:tr w14:paraId="0D3E43BE">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0F7AEF2">
            <w:pPr>
              <w:widowControl/>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3</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76B12E7">
            <w:pPr>
              <w:widowControl/>
              <w:spacing w:line="360" w:lineRule="auto"/>
              <w:jc w:val="center"/>
              <w:rPr>
                <w:rFonts w:ascii="宋体" w:hAnsi="宋体" w:cs="宋体"/>
                <w:color w:val="auto"/>
                <w:kern w:val="0"/>
                <w:sz w:val="28"/>
                <w:szCs w:val="28"/>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16408FA">
            <w:pPr>
              <w:widowControl/>
              <w:spacing w:line="360" w:lineRule="auto"/>
              <w:jc w:val="center"/>
              <w:rPr>
                <w:rFonts w:ascii="宋体" w:hAnsi="宋体" w:cs="宋体"/>
                <w:color w:val="auto"/>
                <w:kern w:val="0"/>
                <w:sz w:val="28"/>
                <w:szCs w:val="28"/>
              </w:rPr>
            </w:pPr>
          </w:p>
        </w:tc>
        <w:tc>
          <w:tcPr>
            <w:tcW w:w="3503"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228183E">
            <w:pPr>
              <w:widowControl/>
              <w:spacing w:line="360" w:lineRule="auto"/>
              <w:jc w:val="center"/>
              <w:rPr>
                <w:rFonts w:ascii="宋体" w:hAnsi="宋体" w:cs="宋体"/>
                <w:color w:val="auto"/>
                <w:kern w:val="0"/>
                <w:sz w:val="28"/>
                <w:szCs w:val="28"/>
              </w:rPr>
            </w:pPr>
          </w:p>
        </w:tc>
        <w:tc>
          <w:tcPr>
            <w:tcW w:w="82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9C0C7D3">
            <w:pPr>
              <w:widowControl/>
              <w:spacing w:line="360" w:lineRule="auto"/>
              <w:jc w:val="center"/>
              <w:rPr>
                <w:rFonts w:ascii="宋体" w:hAnsi="宋体" w:cs="宋体"/>
                <w:color w:val="auto"/>
                <w:kern w:val="0"/>
                <w:sz w:val="28"/>
                <w:szCs w:val="28"/>
              </w:rPr>
            </w:pPr>
          </w:p>
        </w:tc>
      </w:tr>
      <w:tr w14:paraId="5A099B99">
        <w:tblPrEx>
          <w:shd w:val="clear" w:color="auto" w:fill="FBFBFB"/>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D1F7D2B">
            <w:pPr>
              <w:widowControl/>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51E00AB">
            <w:pPr>
              <w:widowControl/>
              <w:spacing w:line="360" w:lineRule="auto"/>
              <w:jc w:val="center"/>
              <w:rPr>
                <w:rFonts w:ascii="宋体" w:hAnsi="宋体" w:cs="宋体"/>
                <w:color w:val="auto"/>
                <w:kern w:val="0"/>
                <w:sz w:val="28"/>
                <w:szCs w:val="28"/>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E20FF76">
            <w:pPr>
              <w:widowControl/>
              <w:spacing w:line="360" w:lineRule="auto"/>
              <w:jc w:val="center"/>
              <w:rPr>
                <w:rFonts w:ascii="宋体" w:hAnsi="宋体" w:cs="宋体"/>
                <w:color w:val="auto"/>
                <w:kern w:val="0"/>
                <w:sz w:val="28"/>
                <w:szCs w:val="28"/>
              </w:rPr>
            </w:pPr>
          </w:p>
        </w:tc>
        <w:tc>
          <w:tcPr>
            <w:tcW w:w="3503"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5D823C1">
            <w:pPr>
              <w:widowControl/>
              <w:spacing w:line="360" w:lineRule="auto"/>
              <w:jc w:val="center"/>
              <w:rPr>
                <w:rFonts w:ascii="宋体" w:hAnsi="宋体" w:cs="宋体"/>
                <w:color w:val="auto"/>
                <w:kern w:val="0"/>
                <w:sz w:val="28"/>
                <w:szCs w:val="28"/>
              </w:rPr>
            </w:pPr>
          </w:p>
        </w:tc>
        <w:tc>
          <w:tcPr>
            <w:tcW w:w="82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5CA03DC">
            <w:pPr>
              <w:widowControl/>
              <w:spacing w:line="360" w:lineRule="auto"/>
              <w:jc w:val="center"/>
              <w:rPr>
                <w:rFonts w:ascii="宋体" w:hAnsi="宋体" w:cs="宋体"/>
                <w:color w:val="auto"/>
                <w:kern w:val="0"/>
                <w:sz w:val="28"/>
                <w:szCs w:val="28"/>
              </w:rPr>
            </w:pPr>
          </w:p>
        </w:tc>
      </w:tr>
    </w:tbl>
    <w:p w14:paraId="79B64393">
      <w:pPr>
        <w:spacing w:line="360" w:lineRule="auto"/>
        <w:contextualSpacing/>
        <w:jc w:val="left"/>
        <w:rPr>
          <w:rFonts w:ascii="楷体" w:hAnsi="楷体" w:eastAsia="楷体" w:cs="宋体"/>
          <w:b/>
          <w:color w:val="auto"/>
          <w:sz w:val="24"/>
        </w:rPr>
      </w:pPr>
      <w:r>
        <w:rPr>
          <w:rFonts w:hint="eastAsia" w:ascii="楷体" w:hAnsi="楷体" w:eastAsia="楷体" w:cs="宋体"/>
          <w:b/>
          <w:color w:val="auto"/>
          <w:sz w:val="24"/>
        </w:rPr>
        <w:t>注：</w:t>
      </w:r>
    </w:p>
    <w:p w14:paraId="3581E1B4">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8408B93">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2.本表所指的控股关系仅限于直接控股关系，不包括间接的控股关系。公司实际控制人与公司之间的关系不属于本表所指的直接控股关系。</w:t>
      </w:r>
    </w:p>
    <w:p w14:paraId="5DED8EFA">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3.供应商不存在直接控股股东的，则填“无”。</w:t>
      </w:r>
    </w:p>
    <w:p w14:paraId="56E4723D">
      <w:pPr>
        <w:spacing w:line="360" w:lineRule="auto"/>
        <w:ind w:firstLine="420" w:firstLineChars="200"/>
        <w:contextualSpacing/>
        <w:jc w:val="left"/>
        <w:rPr>
          <w:rFonts w:ascii="宋体" w:hAnsi="宋体" w:cs="宋体"/>
          <w:color w:val="auto"/>
          <w:szCs w:val="21"/>
        </w:rPr>
      </w:pPr>
    </w:p>
    <w:p w14:paraId="6DD47444">
      <w:pPr>
        <w:spacing w:line="360" w:lineRule="auto"/>
        <w:ind w:firstLine="560" w:firstLineChars="200"/>
        <w:contextualSpacing/>
        <w:jc w:val="left"/>
        <w:rPr>
          <w:rFonts w:ascii="宋体" w:hAnsi="宋体" w:cs="宋体"/>
          <w:color w:val="auto"/>
          <w:sz w:val="28"/>
          <w:szCs w:val="28"/>
        </w:rPr>
      </w:pPr>
    </w:p>
    <w:p w14:paraId="372BD8C7">
      <w:pPr>
        <w:spacing w:line="360" w:lineRule="auto"/>
        <w:contextualSpacing/>
        <w:jc w:val="center"/>
        <w:rPr>
          <w:rFonts w:ascii="宋体" w:hAnsi="宋体" w:cs="宋体"/>
          <w:color w:val="auto"/>
          <w:sz w:val="24"/>
          <w:u w:val="single"/>
        </w:rPr>
      </w:pPr>
      <w:r>
        <w:rPr>
          <w:rFonts w:hint="eastAsia" w:ascii="宋体" w:hAnsi="宋体" w:cs="宋体"/>
          <w:color w:val="auto"/>
          <w:sz w:val="24"/>
        </w:rPr>
        <w:t xml:space="preserve">        法定代表人或者委托代理人签字：</w:t>
      </w:r>
      <w:r>
        <w:rPr>
          <w:rFonts w:hint="eastAsia" w:ascii="宋体" w:hAnsi="宋体" w:cs="宋体"/>
          <w:color w:val="auto"/>
          <w:sz w:val="24"/>
          <w:u w:val="single"/>
        </w:rPr>
        <w:t xml:space="preserve">                    </w:t>
      </w:r>
    </w:p>
    <w:p w14:paraId="6ACC2474">
      <w:pPr>
        <w:spacing w:line="360" w:lineRule="auto"/>
        <w:ind w:firstLine="3120" w:firstLineChars="1300"/>
        <w:contextualSpacing/>
        <w:rPr>
          <w:rFonts w:ascii="宋体" w:hAnsi="宋体" w:cs="宋体"/>
          <w:color w:val="auto"/>
          <w:sz w:val="24"/>
          <w:u w:val="single"/>
        </w:rPr>
      </w:pPr>
      <w:r>
        <w:rPr>
          <w:rFonts w:hint="eastAsia" w:ascii="宋体" w:hAnsi="宋体" w:cs="宋体"/>
          <w:color w:val="auto"/>
          <w:sz w:val="24"/>
        </w:rPr>
        <w:t xml:space="preserve">供应商（公章 ）： </w:t>
      </w:r>
      <w:r>
        <w:rPr>
          <w:rFonts w:hint="eastAsia" w:ascii="宋体" w:hAnsi="宋体" w:cs="宋体"/>
          <w:color w:val="auto"/>
          <w:sz w:val="24"/>
          <w:u w:val="single"/>
        </w:rPr>
        <w:t xml:space="preserve">                              </w:t>
      </w:r>
    </w:p>
    <w:p w14:paraId="5A701EF1">
      <w:pPr>
        <w:spacing w:line="360" w:lineRule="auto"/>
        <w:ind w:firstLine="3120" w:firstLineChars="1300"/>
        <w:contextualSpacing/>
        <w:rPr>
          <w:rFonts w:ascii="宋体" w:hAnsi="宋体" w:cs="宋体"/>
          <w:b/>
          <w:color w:val="auto"/>
          <w:sz w:val="28"/>
          <w:szCs w:val="28"/>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r>
        <w:rPr>
          <w:rFonts w:hint="eastAsia" w:ascii="宋体" w:hAnsi="宋体" w:cs="宋体"/>
          <w:b/>
          <w:color w:val="auto"/>
          <w:sz w:val="28"/>
          <w:szCs w:val="28"/>
        </w:rPr>
        <w:br w:type="page"/>
      </w:r>
    </w:p>
    <w:p w14:paraId="2A3BE519">
      <w:pPr>
        <w:snapToGrid w:val="0"/>
        <w:spacing w:line="360" w:lineRule="auto"/>
        <w:jc w:val="center"/>
        <w:rPr>
          <w:rFonts w:ascii="宋体" w:hAnsi="宋体" w:cs="宋体"/>
          <w:b/>
          <w:color w:val="auto"/>
          <w:sz w:val="32"/>
          <w:szCs w:val="32"/>
        </w:rPr>
      </w:pPr>
      <w:r>
        <w:rPr>
          <w:rFonts w:hint="eastAsia" w:ascii="宋体" w:hAnsi="宋体" w:cs="宋体"/>
          <w:b/>
          <w:color w:val="auto"/>
          <w:sz w:val="32"/>
          <w:szCs w:val="32"/>
        </w:rPr>
        <w:t>供应商直接管理关系信息表</w:t>
      </w:r>
    </w:p>
    <w:p w14:paraId="23E7C4D3">
      <w:pPr>
        <w:snapToGrid w:val="0"/>
        <w:spacing w:line="360" w:lineRule="auto"/>
        <w:jc w:val="center"/>
        <w:rPr>
          <w:rFonts w:ascii="宋体" w:hAnsi="宋体" w:cs="宋体"/>
          <w:b/>
          <w:color w:val="auto"/>
          <w:sz w:val="32"/>
          <w:szCs w:val="32"/>
        </w:rPr>
      </w:pPr>
    </w:p>
    <w:tbl>
      <w:tblPr>
        <w:tblStyle w:val="27"/>
        <w:tblW w:w="8942" w:type="dxa"/>
        <w:jc w:val="center"/>
        <w:shd w:val="clear" w:color="auto" w:fill="FBFBFB"/>
        <w:tblLayout w:type="fixed"/>
        <w:tblCellMar>
          <w:top w:w="0" w:type="dxa"/>
          <w:left w:w="0" w:type="dxa"/>
          <w:bottom w:w="0" w:type="dxa"/>
          <w:right w:w="0" w:type="dxa"/>
        </w:tblCellMar>
      </w:tblPr>
      <w:tblGrid>
        <w:gridCol w:w="808"/>
        <w:gridCol w:w="3600"/>
        <w:gridCol w:w="3555"/>
        <w:gridCol w:w="979"/>
      </w:tblGrid>
      <w:tr w14:paraId="50C96616">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5F85CE93">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序号</w:t>
            </w:r>
          </w:p>
        </w:tc>
        <w:tc>
          <w:tcPr>
            <w:tcW w:w="3600"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651C3198">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7A007FD7">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统一社会信用代码</w:t>
            </w:r>
          </w:p>
        </w:tc>
        <w:tc>
          <w:tcPr>
            <w:tcW w:w="97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9401278">
            <w:pPr>
              <w:widowControl/>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备注</w:t>
            </w:r>
          </w:p>
        </w:tc>
      </w:tr>
      <w:tr w14:paraId="43BE917B">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8F39A07">
            <w:pPr>
              <w:widowControl/>
              <w:wordWrap w:val="0"/>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1</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258EA32">
            <w:pPr>
              <w:widowControl/>
              <w:wordWrap w:val="0"/>
              <w:spacing w:line="360" w:lineRule="auto"/>
              <w:jc w:val="center"/>
              <w:rPr>
                <w:rFonts w:ascii="宋体" w:hAnsi="宋体" w:cs="宋体"/>
                <w:color w:val="auto"/>
                <w:kern w:val="0"/>
                <w:sz w:val="28"/>
                <w:szCs w:val="28"/>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56B6A3C">
            <w:pPr>
              <w:widowControl/>
              <w:wordWrap w:val="0"/>
              <w:spacing w:line="360" w:lineRule="auto"/>
              <w:jc w:val="center"/>
              <w:rPr>
                <w:rFonts w:ascii="宋体" w:hAnsi="宋体" w:cs="宋体"/>
                <w:color w:val="auto"/>
                <w:kern w:val="0"/>
                <w:sz w:val="28"/>
                <w:szCs w:val="28"/>
              </w:rPr>
            </w:pPr>
          </w:p>
        </w:tc>
        <w:tc>
          <w:tcPr>
            <w:tcW w:w="9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970D667">
            <w:pPr>
              <w:widowControl/>
              <w:wordWrap w:val="0"/>
              <w:spacing w:line="360" w:lineRule="auto"/>
              <w:jc w:val="center"/>
              <w:rPr>
                <w:rFonts w:ascii="宋体" w:hAnsi="宋体" w:cs="宋体"/>
                <w:color w:val="auto"/>
                <w:kern w:val="0"/>
                <w:sz w:val="28"/>
                <w:szCs w:val="28"/>
              </w:rPr>
            </w:pPr>
          </w:p>
        </w:tc>
      </w:tr>
      <w:tr w14:paraId="5368ACD3">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EFA7814">
            <w:pPr>
              <w:widowControl/>
              <w:wordWrap w:val="0"/>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2</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51247DC">
            <w:pPr>
              <w:widowControl/>
              <w:wordWrap w:val="0"/>
              <w:spacing w:line="360" w:lineRule="auto"/>
              <w:jc w:val="center"/>
              <w:rPr>
                <w:rFonts w:ascii="宋体" w:hAnsi="宋体" w:cs="宋体"/>
                <w:color w:val="auto"/>
                <w:kern w:val="0"/>
                <w:sz w:val="28"/>
                <w:szCs w:val="28"/>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1C1DCC5">
            <w:pPr>
              <w:widowControl/>
              <w:wordWrap w:val="0"/>
              <w:spacing w:line="360" w:lineRule="auto"/>
              <w:jc w:val="center"/>
              <w:rPr>
                <w:rFonts w:ascii="宋体" w:hAnsi="宋体" w:cs="宋体"/>
                <w:color w:val="auto"/>
                <w:kern w:val="0"/>
                <w:sz w:val="28"/>
                <w:szCs w:val="28"/>
              </w:rPr>
            </w:pPr>
          </w:p>
        </w:tc>
        <w:tc>
          <w:tcPr>
            <w:tcW w:w="9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7F81075">
            <w:pPr>
              <w:widowControl/>
              <w:wordWrap w:val="0"/>
              <w:spacing w:line="360" w:lineRule="auto"/>
              <w:jc w:val="center"/>
              <w:rPr>
                <w:rFonts w:ascii="宋体" w:hAnsi="宋体" w:cs="宋体"/>
                <w:color w:val="auto"/>
                <w:kern w:val="0"/>
                <w:sz w:val="28"/>
                <w:szCs w:val="28"/>
              </w:rPr>
            </w:pPr>
          </w:p>
        </w:tc>
      </w:tr>
      <w:tr w14:paraId="2B8F75CD">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5A201D1">
            <w:pPr>
              <w:widowControl/>
              <w:wordWrap w:val="0"/>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3</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C0DE704">
            <w:pPr>
              <w:widowControl/>
              <w:wordWrap w:val="0"/>
              <w:spacing w:line="360" w:lineRule="auto"/>
              <w:jc w:val="center"/>
              <w:rPr>
                <w:rFonts w:ascii="宋体" w:hAnsi="宋体" w:cs="宋体"/>
                <w:color w:val="auto"/>
                <w:kern w:val="0"/>
                <w:sz w:val="28"/>
                <w:szCs w:val="28"/>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122113A">
            <w:pPr>
              <w:widowControl/>
              <w:wordWrap w:val="0"/>
              <w:spacing w:line="360" w:lineRule="auto"/>
              <w:jc w:val="center"/>
              <w:rPr>
                <w:rFonts w:ascii="宋体" w:hAnsi="宋体" w:cs="宋体"/>
                <w:color w:val="auto"/>
                <w:kern w:val="0"/>
                <w:sz w:val="28"/>
                <w:szCs w:val="28"/>
              </w:rPr>
            </w:pPr>
          </w:p>
        </w:tc>
        <w:tc>
          <w:tcPr>
            <w:tcW w:w="9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D7C1C98">
            <w:pPr>
              <w:widowControl/>
              <w:wordWrap w:val="0"/>
              <w:spacing w:line="360" w:lineRule="auto"/>
              <w:jc w:val="center"/>
              <w:rPr>
                <w:rFonts w:ascii="宋体" w:hAnsi="宋体" w:cs="宋体"/>
                <w:color w:val="auto"/>
                <w:kern w:val="0"/>
                <w:sz w:val="28"/>
                <w:szCs w:val="28"/>
              </w:rPr>
            </w:pPr>
          </w:p>
        </w:tc>
      </w:tr>
      <w:tr w14:paraId="60393A62">
        <w:tblPrEx>
          <w:shd w:val="clear" w:color="auto" w:fill="FBFBFB"/>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9D1A39F">
            <w:pPr>
              <w:widowControl/>
              <w:wordWrap w:val="0"/>
              <w:spacing w:line="360" w:lineRule="auto"/>
              <w:jc w:val="center"/>
              <w:rPr>
                <w:rFonts w:ascii="宋体" w:hAnsi="宋体" w:cs="宋体"/>
                <w:color w:val="auto"/>
                <w:kern w:val="0"/>
                <w:sz w:val="28"/>
                <w:szCs w:val="28"/>
              </w:rPr>
            </w:pPr>
            <w:r>
              <w:rPr>
                <w:rFonts w:hint="eastAsia" w:ascii="宋体" w:hAnsi="宋体" w:cs="宋体"/>
                <w:color w:val="auto"/>
                <w:kern w:val="0"/>
                <w:sz w:val="28"/>
                <w:szCs w:val="28"/>
              </w:rPr>
              <w:t>……</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DDE6558">
            <w:pPr>
              <w:widowControl/>
              <w:wordWrap w:val="0"/>
              <w:spacing w:line="360" w:lineRule="auto"/>
              <w:jc w:val="center"/>
              <w:rPr>
                <w:rFonts w:ascii="宋体" w:hAnsi="宋体" w:cs="宋体"/>
                <w:color w:val="auto"/>
                <w:kern w:val="0"/>
                <w:sz w:val="28"/>
                <w:szCs w:val="28"/>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8E5952A">
            <w:pPr>
              <w:widowControl/>
              <w:wordWrap w:val="0"/>
              <w:spacing w:line="360" w:lineRule="auto"/>
              <w:jc w:val="center"/>
              <w:rPr>
                <w:rFonts w:ascii="宋体" w:hAnsi="宋体" w:cs="宋体"/>
                <w:color w:val="auto"/>
                <w:kern w:val="0"/>
                <w:sz w:val="28"/>
                <w:szCs w:val="28"/>
              </w:rPr>
            </w:pPr>
          </w:p>
        </w:tc>
        <w:tc>
          <w:tcPr>
            <w:tcW w:w="97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D4D7509">
            <w:pPr>
              <w:widowControl/>
              <w:wordWrap w:val="0"/>
              <w:spacing w:line="360" w:lineRule="auto"/>
              <w:jc w:val="center"/>
              <w:rPr>
                <w:rFonts w:ascii="宋体" w:hAnsi="宋体" w:cs="宋体"/>
                <w:color w:val="auto"/>
                <w:kern w:val="0"/>
                <w:sz w:val="28"/>
                <w:szCs w:val="28"/>
              </w:rPr>
            </w:pPr>
          </w:p>
        </w:tc>
      </w:tr>
    </w:tbl>
    <w:p w14:paraId="56B2D42E">
      <w:pPr>
        <w:spacing w:line="360" w:lineRule="auto"/>
        <w:contextualSpacing/>
        <w:jc w:val="left"/>
        <w:rPr>
          <w:rFonts w:ascii="楷体" w:hAnsi="楷体" w:eastAsia="楷体" w:cs="宋体"/>
          <w:b/>
          <w:color w:val="auto"/>
          <w:sz w:val="24"/>
        </w:rPr>
      </w:pPr>
      <w:r>
        <w:rPr>
          <w:rFonts w:hint="eastAsia" w:ascii="楷体" w:hAnsi="楷体" w:eastAsia="楷体" w:cs="宋体"/>
          <w:b/>
          <w:color w:val="auto"/>
          <w:sz w:val="24"/>
        </w:rPr>
        <w:t>注：</w:t>
      </w:r>
    </w:p>
    <w:p w14:paraId="552CBB43">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1.管理关系：是指不具有出资持股关系的其他单位之间存在的管理与被管理关系，如一些上下级关系的事业单位和团体组织。</w:t>
      </w:r>
    </w:p>
    <w:p w14:paraId="41AA7913">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2.</w:t>
      </w:r>
      <w:r>
        <w:rPr>
          <w:rFonts w:hint="eastAsia" w:ascii="楷体" w:hAnsi="楷体" w:eastAsia="楷体" w:cs="宋体"/>
          <w:color w:val="auto"/>
          <w:spacing w:val="-6"/>
          <w:sz w:val="24"/>
        </w:rPr>
        <w:t>本表所指的管理关系仅限于直接管理关系，不包括间接的管理关系。</w:t>
      </w:r>
    </w:p>
    <w:p w14:paraId="27623175">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3.供应商不存在直接管理关系的，则填“无”。</w:t>
      </w:r>
    </w:p>
    <w:p w14:paraId="60A1752A">
      <w:pPr>
        <w:spacing w:line="360" w:lineRule="auto"/>
        <w:contextualSpacing/>
        <w:jc w:val="left"/>
        <w:rPr>
          <w:rFonts w:ascii="宋体" w:hAnsi="宋体" w:cs="宋体"/>
          <w:color w:val="auto"/>
          <w:sz w:val="28"/>
          <w:szCs w:val="28"/>
        </w:rPr>
      </w:pPr>
    </w:p>
    <w:p w14:paraId="0BF67E5E">
      <w:pPr>
        <w:spacing w:line="360" w:lineRule="auto"/>
        <w:contextualSpacing/>
        <w:jc w:val="left"/>
        <w:rPr>
          <w:rFonts w:ascii="宋体" w:hAnsi="宋体" w:cs="宋体"/>
          <w:color w:val="auto"/>
          <w:sz w:val="28"/>
          <w:szCs w:val="28"/>
        </w:rPr>
      </w:pPr>
    </w:p>
    <w:p w14:paraId="166AF49C">
      <w:pPr>
        <w:spacing w:line="360" w:lineRule="auto"/>
        <w:contextualSpacing/>
        <w:jc w:val="left"/>
        <w:rPr>
          <w:rFonts w:ascii="宋体" w:hAnsi="宋体" w:cs="宋体"/>
          <w:color w:val="auto"/>
          <w:sz w:val="28"/>
          <w:szCs w:val="28"/>
        </w:rPr>
      </w:pPr>
    </w:p>
    <w:p w14:paraId="55007BEC">
      <w:pPr>
        <w:spacing w:line="360" w:lineRule="auto"/>
        <w:contextualSpacing/>
        <w:jc w:val="left"/>
        <w:rPr>
          <w:rFonts w:ascii="宋体" w:hAnsi="宋体" w:cs="宋体"/>
          <w:color w:val="auto"/>
          <w:sz w:val="28"/>
          <w:szCs w:val="28"/>
        </w:rPr>
      </w:pPr>
    </w:p>
    <w:p w14:paraId="540B8305">
      <w:pPr>
        <w:spacing w:line="360" w:lineRule="auto"/>
        <w:contextualSpacing/>
        <w:jc w:val="left"/>
        <w:rPr>
          <w:rFonts w:ascii="宋体" w:hAnsi="宋体" w:cs="宋体"/>
          <w:color w:val="auto"/>
          <w:sz w:val="28"/>
          <w:szCs w:val="28"/>
        </w:rPr>
      </w:pPr>
    </w:p>
    <w:p w14:paraId="7D8A13E2">
      <w:pPr>
        <w:spacing w:line="360" w:lineRule="auto"/>
        <w:contextualSpacing/>
        <w:jc w:val="left"/>
        <w:rPr>
          <w:rFonts w:ascii="宋体" w:hAnsi="宋体" w:cs="宋体"/>
          <w:color w:val="auto"/>
          <w:sz w:val="28"/>
          <w:szCs w:val="28"/>
        </w:rPr>
      </w:pPr>
    </w:p>
    <w:p w14:paraId="377CBC4A">
      <w:pPr>
        <w:spacing w:line="360" w:lineRule="auto"/>
        <w:contextualSpacing/>
        <w:jc w:val="center"/>
        <w:rPr>
          <w:rFonts w:ascii="宋体" w:hAnsi="宋体" w:cs="宋体"/>
          <w:color w:val="auto"/>
          <w:sz w:val="24"/>
          <w:u w:val="single"/>
        </w:rPr>
      </w:pPr>
      <w:r>
        <w:rPr>
          <w:rFonts w:hint="eastAsia" w:ascii="宋体" w:hAnsi="宋体" w:cs="宋体"/>
          <w:color w:val="auto"/>
          <w:sz w:val="24"/>
        </w:rPr>
        <w:t xml:space="preserve">              法定代表人或者委托代理人签字：</w:t>
      </w:r>
      <w:r>
        <w:rPr>
          <w:rFonts w:hint="eastAsia" w:ascii="宋体" w:hAnsi="宋体" w:cs="宋体"/>
          <w:color w:val="auto"/>
          <w:sz w:val="24"/>
          <w:u w:val="single"/>
        </w:rPr>
        <w:t xml:space="preserve">                   </w:t>
      </w:r>
    </w:p>
    <w:p w14:paraId="4D5C0807">
      <w:pPr>
        <w:spacing w:line="360" w:lineRule="auto"/>
        <w:ind w:firstLine="3600" w:firstLineChars="1500"/>
        <w:contextualSpacing/>
        <w:rPr>
          <w:rFonts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3C3ADBFC">
      <w:pPr>
        <w:spacing w:line="360" w:lineRule="auto"/>
        <w:ind w:firstLine="240" w:firstLineChars="100"/>
        <w:contextualSpacing/>
        <w:jc w:val="center"/>
        <w:rPr>
          <w:rFonts w:ascii="宋体" w:hAnsi="宋体" w:cs="宋体"/>
          <w:color w:val="auto"/>
          <w:sz w:val="28"/>
          <w:szCs w:val="28"/>
        </w:rPr>
      </w:pPr>
      <w:r>
        <w:rPr>
          <w:rFonts w:hint="eastAsia" w:ascii="宋体" w:hAnsi="宋体" w:cs="宋体"/>
          <w:color w:val="auto"/>
          <w:sz w:val="24"/>
        </w:rPr>
        <w:t xml:space="preserve">        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71EE1B17">
      <w:pPr>
        <w:spacing w:line="360" w:lineRule="auto"/>
        <w:jc w:val="center"/>
        <w:rPr>
          <w:rFonts w:ascii="宋体" w:hAnsi="宋体" w:cs="宋体"/>
          <w:b/>
          <w:color w:val="auto"/>
          <w:sz w:val="32"/>
          <w:szCs w:val="32"/>
        </w:rPr>
      </w:pPr>
      <w:r>
        <w:rPr>
          <w:rFonts w:hint="eastAsia" w:ascii="宋体" w:hAnsi="宋体" w:cs="宋体"/>
          <w:b/>
          <w:color w:val="auto"/>
          <w:sz w:val="32"/>
          <w:szCs w:val="32"/>
        </w:rPr>
        <w:br w:type="page"/>
      </w:r>
      <w:r>
        <w:rPr>
          <w:rFonts w:hint="eastAsia" w:ascii="宋体" w:hAnsi="宋体" w:cs="宋体"/>
          <w:b/>
          <w:color w:val="auto"/>
          <w:sz w:val="32"/>
          <w:szCs w:val="32"/>
        </w:rPr>
        <w:t>参与竞争性谈判声明</w:t>
      </w:r>
    </w:p>
    <w:p w14:paraId="0AD3ADA4">
      <w:pPr>
        <w:spacing w:line="360" w:lineRule="auto"/>
        <w:jc w:val="center"/>
        <w:rPr>
          <w:rFonts w:ascii="宋体" w:hAnsi="宋体" w:cs="宋体"/>
          <w:color w:val="auto"/>
          <w:sz w:val="24"/>
          <w:szCs w:val="20"/>
        </w:rPr>
      </w:pPr>
    </w:p>
    <w:p w14:paraId="47225461">
      <w:pPr>
        <w:spacing w:line="360" w:lineRule="auto"/>
        <w:contextualSpacing/>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（采购人名称）</w:t>
      </w:r>
      <w:r>
        <w:rPr>
          <w:rFonts w:hint="eastAsia" w:ascii="宋体" w:hAnsi="宋体" w:cs="宋体"/>
          <w:color w:val="auto"/>
          <w:sz w:val="24"/>
        </w:rPr>
        <w:t>：</w:t>
      </w:r>
    </w:p>
    <w:p w14:paraId="2AD1F326">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我方</w:t>
      </w:r>
      <w:r>
        <w:rPr>
          <w:rFonts w:hint="eastAsia" w:ascii="宋体" w:hAnsi="宋体" w:cs="宋体"/>
          <w:color w:val="auto"/>
          <w:sz w:val="24"/>
          <w:u w:val="single"/>
        </w:rPr>
        <w:t>（供应商名称）</w:t>
      </w:r>
      <w:r>
        <w:rPr>
          <w:rFonts w:hint="eastAsia" w:ascii="宋体" w:hAnsi="宋体" w:cs="宋体"/>
          <w:color w:val="auto"/>
          <w:sz w:val="24"/>
        </w:rPr>
        <w:t>系中华人民共和国合法供应商，经营地址</w:t>
      </w:r>
      <w:r>
        <w:rPr>
          <w:rFonts w:hint="eastAsia" w:ascii="宋体" w:hAnsi="宋体" w:cs="宋体"/>
          <w:color w:val="auto"/>
          <w:sz w:val="24"/>
          <w:u w:val="single"/>
        </w:rPr>
        <w:t xml:space="preserve">                              </w:t>
      </w:r>
      <w:r>
        <w:rPr>
          <w:rFonts w:hint="eastAsia" w:ascii="宋体" w:hAnsi="宋体" w:cs="宋体"/>
          <w:color w:val="auto"/>
          <w:sz w:val="24"/>
        </w:rPr>
        <w:t>。</w:t>
      </w:r>
    </w:p>
    <w:p w14:paraId="126581B8">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我方愿意参加贵方组织的</w:t>
      </w:r>
      <w:r>
        <w:rPr>
          <w:rFonts w:hint="eastAsia" w:ascii="宋体" w:hAnsi="宋体" w:cs="宋体"/>
          <w:color w:val="auto"/>
          <w:sz w:val="24"/>
          <w:u w:val="single"/>
        </w:rPr>
        <w:t>（项目名称）</w:t>
      </w:r>
      <w:r>
        <w:rPr>
          <w:rFonts w:hint="eastAsia" w:ascii="宋体" w:hAnsi="宋体" w:cs="宋体"/>
          <w:color w:val="auto"/>
          <w:sz w:val="24"/>
        </w:rPr>
        <w:t>项目的</w:t>
      </w:r>
      <w:r>
        <w:rPr>
          <w:rFonts w:hint="eastAsia" w:ascii="宋体" w:hAnsi="宋体" w:cs="宋体"/>
          <w:color w:val="auto"/>
          <w:sz w:val="24"/>
          <w:lang w:bidi="ar"/>
        </w:rPr>
        <w:t>竞争性谈判</w:t>
      </w:r>
      <w:r>
        <w:rPr>
          <w:rFonts w:hint="eastAsia" w:ascii="宋体" w:hAnsi="宋体" w:cs="宋体"/>
          <w:color w:val="auto"/>
          <w:sz w:val="24"/>
        </w:rPr>
        <w:t>，为便于贵方公正、择优地确定成交供应商及其参与</w:t>
      </w:r>
      <w:r>
        <w:rPr>
          <w:rFonts w:hint="eastAsia" w:ascii="宋体" w:hAnsi="宋体" w:cs="宋体"/>
          <w:color w:val="auto"/>
          <w:sz w:val="24"/>
          <w:lang w:bidi="ar"/>
        </w:rPr>
        <w:t>竞争性谈判的</w:t>
      </w:r>
      <w:r>
        <w:rPr>
          <w:rFonts w:hint="eastAsia" w:ascii="宋体" w:hAnsi="宋体" w:cs="宋体"/>
          <w:color w:val="auto"/>
          <w:sz w:val="24"/>
        </w:rPr>
        <w:t>产品和服务，我方就本次参与</w:t>
      </w:r>
      <w:r>
        <w:rPr>
          <w:rFonts w:hint="eastAsia" w:ascii="宋体" w:hAnsi="宋体" w:cs="宋体"/>
          <w:color w:val="auto"/>
          <w:sz w:val="24"/>
          <w:lang w:bidi="ar"/>
        </w:rPr>
        <w:t>竞争性谈判</w:t>
      </w:r>
      <w:r>
        <w:rPr>
          <w:rFonts w:hint="eastAsia" w:ascii="宋体" w:hAnsi="宋体" w:cs="宋体"/>
          <w:color w:val="auto"/>
          <w:sz w:val="24"/>
        </w:rPr>
        <w:t>有关事项郑重声明如下：</w:t>
      </w:r>
    </w:p>
    <w:p w14:paraId="795FCEEE">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1.我方向贵方提交的所有响应文件、资料都是准确的和真实的。</w:t>
      </w:r>
    </w:p>
    <w:p w14:paraId="78730460">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2.我方不是为本次采购项目提供整体设计、规范编制或者项目管理、监理、检测等服务的供应商。</w:t>
      </w:r>
    </w:p>
    <w:p w14:paraId="26F76E7A">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3.在此，我方宣布同意如下：</w:t>
      </w:r>
    </w:p>
    <w:p w14:paraId="03D73B8B">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（1）将按谈判文件的约定履行合同责任和义务；</w:t>
      </w:r>
    </w:p>
    <w:p w14:paraId="3E50B036">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（2）已详细审查全部谈判文件，包括补遗文件（如有）；</w:t>
      </w:r>
    </w:p>
    <w:p w14:paraId="6349B1B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（3）同意提供按照贵方可能要求的与谈判有关的一切数据或者资料；</w:t>
      </w:r>
    </w:p>
    <w:p w14:paraId="472139F5">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（4）响应谈判文件规定的</w:t>
      </w:r>
      <w:r>
        <w:rPr>
          <w:rFonts w:hint="eastAsia" w:ascii="宋体" w:hAnsi="宋体" w:cs="宋体"/>
          <w:color w:val="auto"/>
          <w:sz w:val="24"/>
          <w:lang w:bidi="ar"/>
        </w:rPr>
        <w:t>竞争性谈判</w:t>
      </w:r>
      <w:r>
        <w:rPr>
          <w:rFonts w:hint="eastAsia" w:ascii="宋体" w:hAnsi="宋体" w:cs="宋体"/>
          <w:color w:val="auto"/>
          <w:sz w:val="24"/>
        </w:rPr>
        <w:t>有效期。</w:t>
      </w:r>
    </w:p>
    <w:p w14:paraId="2B14C245">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4.我方承诺符合《中华人民共和国政府采购法》第二十二条规定：</w:t>
      </w:r>
    </w:p>
    <w:p w14:paraId="1D789D1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（1）具有独立承担民事责任的能力；</w:t>
      </w:r>
    </w:p>
    <w:p w14:paraId="74E3F3F8">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（2）具有良好的商业信誉和健全的财务会计制度；</w:t>
      </w:r>
    </w:p>
    <w:p w14:paraId="76FAFF98">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（3）具有履行合同所必需的设备和专业技术能力；</w:t>
      </w:r>
    </w:p>
    <w:p w14:paraId="7BD6D82B">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（4）有依法缴纳税收和社会保障资金的良好记录；</w:t>
      </w:r>
    </w:p>
    <w:p w14:paraId="780E1EF5">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（5）参加政府采购活动前三年内，在经营活动中没有重大违法记录；</w:t>
      </w:r>
    </w:p>
    <w:p w14:paraId="0F2B0BEE">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（6）法律、行政法规规定的其他条件。</w:t>
      </w:r>
    </w:p>
    <w:p w14:paraId="507BE16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74E8790E">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741EE9CF">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□我方本次响应文件</w:t>
      </w:r>
      <w:r>
        <w:rPr>
          <w:rFonts w:hint="eastAsia" w:ascii="宋体" w:hAnsi="宋体" w:cs="宋体"/>
          <w:color w:val="auto"/>
          <w:kern w:val="0"/>
          <w:sz w:val="24"/>
        </w:rPr>
        <w:t>内容中</w:t>
      </w:r>
      <w:r>
        <w:rPr>
          <w:rFonts w:hint="eastAsia" w:ascii="宋体" w:hAnsi="宋体" w:cs="宋体"/>
          <w:color w:val="auto"/>
          <w:sz w:val="24"/>
        </w:rPr>
        <w:t>未</w:t>
      </w:r>
      <w:r>
        <w:rPr>
          <w:rFonts w:hint="eastAsia" w:ascii="宋体" w:hAnsi="宋体" w:cs="宋体"/>
          <w:color w:val="auto"/>
          <w:kern w:val="0"/>
          <w:sz w:val="24"/>
        </w:rPr>
        <w:t>涉及商业秘密；</w:t>
      </w:r>
    </w:p>
    <w:p w14:paraId="505D9FD3">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□我方本次响应文件</w:t>
      </w:r>
      <w:r>
        <w:rPr>
          <w:rFonts w:hint="eastAsia" w:ascii="宋体" w:hAnsi="宋体" w:cs="宋体"/>
          <w:color w:val="auto"/>
          <w:kern w:val="0"/>
          <w:sz w:val="24"/>
        </w:rPr>
        <w:t>涉及商业秘密的内容有：</w:t>
      </w:r>
      <w:r>
        <w:rPr>
          <w:rFonts w:hint="eastAsia" w:ascii="宋体" w:hAnsi="宋体" w:cs="宋体"/>
          <w:color w:val="auto"/>
          <w:kern w:val="0"/>
          <w:sz w:val="24"/>
          <w:u w:val="single"/>
        </w:rPr>
        <w:t xml:space="preserve">                         </w:t>
      </w:r>
      <w:r>
        <w:rPr>
          <w:rFonts w:hint="eastAsia" w:ascii="宋体" w:hAnsi="宋体" w:cs="宋体"/>
          <w:color w:val="auto"/>
          <w:kern w:val="0"/>
          <w:sz w:val="24"/>
        </w:rPr>
        <w:t>；</w:t>
      </w:r>
    </w:p>
    <w:p w14:paraId="6888E1CC">
      <w:pPr>
        <w:pStyle w:val="15"/>
        <w:spacing w:line="360" w:lineRule="auto"/>
        <w:ind w:firstLine="480" w:firstLineChars="200"/>
        <w:contextualSpacing/>
        <w:rPr>
          <w:rFonts w:hAnsi="宋体" w:cs="宋体"/>
          <w:color w:val="auto"/>
          <w:sz w:val="24"/>
          <w:szCs w:val="24"/>
          <w:u w:val="single"/>
        </w:rPr>
      </w:pPr>
      <w:r>
        <w:rPr>
          <w:rFonts w:hint="eastAsia" w:hAnsi="宋体" w:cs="宋体"/>
          <w:color w:val="auto"/>
          <w:sz w:val="24"/>
          <w:szCs w:val="24"/>
        </w:rPr>
        <w:t>7.与本谈判有关的一切正式往来信函请寄：</w:t>
      </w:r>
      <w:r>
        <w:rPr>
          <w:rFonts w:hint="eastAsia" w:hAnsi="宋体" w:cs="宋体"/>
          <w:color w:val="auto"/>
          <w:sz w:val="24"/>
          <w:szCs w:val="24"/>
          <w:u w:val="single"/>
        </w:rPr>
        <w:t xml:space="preserve">                  </w:t>
      </w:r>
      <w:r>
        <w:rPr>
          <w:rFonts w:hint="eastAsia" w:hAnsi="宋体" w:cs="宋体"/>
          <w:color w:val="auto"/>
          <w:sz w:val="24"/>
          <w:szCs w:val="24"/>
        </w:rPr>
        <w:t>邮政编码：</w:t>
      </w:r>
      <w:r>
        <w:rPr>
          <w:rFonts w:hint="eastAsia" w:hAnsi="宋体" w:cs="宋体"/>
          <w:color w:val="auto"/>
          <w:sz w:val="24"/>
          <w:szCs w:val="24"/>
          <w:u w:val="single"/>
        </w:rPr>
        <w:t xml:space="preserve">    </w:t>
      </w:r>
    </w:p>
    <w:p w14:paraId="3181E59C">
      <w:pPr>
        <w:pStyle w:val="15"/>
        <w:spacing w:line="360" w:lineRule="auto"/>
        <w:ind w:firstLine="480" w:firstLineChars="200"/>
        <w:contextualSpacing/>
        <w:rPr>
          <w:rFonts w:hAnsi="宋体" w:cs="宋体"/>
          <w:color w:val="auto"/>
          <w:sz w:val="24"/>
          <w:szCs w:val="24"/>
        </w:rPr>
      </w:pPr>
      <w:r>
        <w:rPr>
          <w:rFonts w:hint="eastAsia" w:hAnsi="宋体" w:cs="宋体"/>
          <w:color w:val="auto"/>
          <w:sz w:val="24"/>
          <w:szCs w:val="24"/>
        </w:rPr>
        <w:t>电话/传真：</w:t>
      </w:r>
      <w:r>
        <w:rPr>
          <w:rFonts w:hint="eastAsia" w:hAnsi="宋体" w:cs="宋体"/>
          <w:color w:val="auto"/>
          <w:sz w:val="24"/>
          <w:szCs w:val="24"/>
          <w:u w:val="single"/>
        </w:rPr>
        <w:t xml:space="preserve">                        </w:t>
      </w:r>
      <w:r>
        <w:rPr>
          <w:rFonts w:hint="eastAsia" w:hAnsi="宋体" w:cs="宋体"/>
          <w:color w:val="auto"/>
          <w:sz w:val="24"/>
          <w:szCs w:val="24"/>
        </w:rPr>
        <w:t xml:space="preserve"> 电子函件：</w:t>
      </w:r>
      <w:r>
        <w:rPr>
          <w:rFonts w:hint="eastAsia" w:hAnsi="宋体" w:cs="宋体"/>
          <w:color w:val="auto"/>
          <w:sz w:val="24"/>
          <w:szCs w:val="24"/>
          <w:u w:val="single"/>
        </w:rPr>
        <w:t xml:space="preserve">             </w:t>
      </w:r>
      <w:r>
        <w:rPr>
          <w:rFonts w:hint="eastAsia" w:hAnsi="宋体" w:cs="宋体"/>
          <w:color w:val="auto"/>
          <w:sz w:val="24"/>
          <w:szCs w:val="24"/>
        </w:rPr>
        <w:t xml:space="preserve">    </w:t>
      </w:r>
    </w:p>
    <w:p w14:paraId="5DB7A9A9">
      <w:pPr>
        <w:pStyle w:val="13"/>
        <w:tabs>
          <w:tab w:val="left" w:pos="939"/>
        </w:tabs>
        <w:spacing w:line="360" w:lineRule="auto"/>
        <w:ind w:left="0" w:leftChars="0" w:firstLine="360" w:firstLineChars="150"/>
        <w:rPr>
          <w:rFonts w:ascii="宋体" w:hAnsi="宋体" w:cs="宋体"/>
          <w:color w:val="auto"/>
          <w:sz w:val="24"/>
          <w:u w:val="single"/>
        </w:rPr>
      </w:pPr>
      <w:r>
        <w:rPr>
          <w:rFonts w:hint="eastAsia" w:ascii="宋体" w:hAnsi="宋体" w:cs="宋体"/>
          <w:color w:val="auto"/>
          <w:sz w:val="24"/>
        </w:rPr>
        <w:t>开户银行：</w:t>
      </w:r>
      <w:r>
        <w:rPr>
          <w:rFonts w:hint="eastAsia" w:ascii="宋体" w:hAnsi="宋体" w:cs="宋体"/>
          <w:color w:val="auto"/>
          <w:sz w:val="24"/>
          <w:u w:val="single"/>
        </w:rPr>
        <w:t xml:space="preserve">                         </w:t>
      </w:r>
      <w:r>
        <w:rPr>
          <w:rFonts w:hint="eastAsia" w:ascii="宋体" w:hAnsi="宋体" w:cs="宋体"/>
          <w:color w:val="auto"/>
          <w:sz w:val="24"/>
        </w:rPr>
        <w:t xml:space="preserve">  账号/行号：</w:t>
      </w:r>
      <w:r>
        <w:rPr>
          <w:rFonts w:hint="eastAsia" w:ascii="宋体" w:hAnsi="宋体" w:cs="宋体"/>
          <w:color w:val="auto"/>
          <w:sz w:val="24"/>
          <w:u w:val="single"/>
        </w:rPr>
        <w:t xml:space="preserve">           </w:t>
      </w:r>
    </w:p>
    <w:p w14:paraId="16D8892F">
      <w:pPr>
        <w:pStyle w:val="13"/>
        <w:tabs>
          <w:tab w:val="left" w:pos="939"/>
        </w:tabs>
        <w:spacing w:line="360" w:lineRule="auto"/>
        <w:ind w:left="0" w:leftChars="0" w:firstLine="360" w:firstLineChars="150"/>
        <w:rPr>
          <w:rFonts w:ascii="宋体" w:hAnsi="宋体" w:cs="宋体"/>
          <w:color w:val="auto"/>
          <w:sz w:val="24"/>
        </w:rPr>
      </w:pPr>
      <w:r>
        <w:rPr>
          <w:rFonts w:ascii="宋体" w:hAnsi="宋体" w:cs="宋体"/>
          <w:color w:val="auto"/>
          <w:sz w:val="24"/>
        </w:rPr>
        <w:t>8</w:t>
      </w:r>
      <w:r>
        <w:rPr>
          <w:rFonts w:hint="eastAsia" w:ascii="宋体" w:hAnsi="宋体" w:cs="宋体"/>
          <w:color w:val="auto"/>
          <w:sz w:val="24"/>
        </w:rPr>
        <w:t>.</w:t>
      </w:r>
      <w:r>
        <w:rPr>
          <w:rFonts w:ascii="宋体" w:hAnsi="宋体" w:cs="宋体"/>
          <w:color w:val="auto"/>
          <w:sz w:val="24"/>
        </w:rPr>
        <w:t>我方若</w:t>
      </w:r>
      <w:r>
        <w:rPr>
          <w:rFonts w:hint="eastAsia" w:ascii="宋体" w:hAnsi="宋体" w:cs="宋体"/>
          <w:color w:val="auto"/>
          <w:sz w:val="24"/>
        </w:rPr>
        <w:t>参与</w:t>
      </w:r>
      <w:r>
        <w:rPr>
          <w:rFonts w:hint="eastAsia" w:ascii="宋体" w:hAnsi="宋体" w:cs="宋体"/>
          <w:color w:val="auto"/>
          <w:sz w:val="24"/>
          <w:lang w:bidi="ar"/>
        </w:rPr>
        <w:t>竞争性谈判</w:t>
      </w:r>
      <w:r>
        <w:rPr>
          <w:rFonts w:hint="eastAsia" w:ascii="宋体" w:hAnsi="宋体" w:cs="宋体"/>
          <w:color w:val="auto"/>
          <w:sz w:val="24"/>
        </w:rPr>
        <w:t>成功</w:t>
      </w:r>
      <w:r>
        <w:rPr>
          <w:rFonts w:ascii="宋体" w:hAnsi="宋体" w:cs="宋体"/>
          <w:color w:val="auto"/>
          <w:sz w:val="24"/>
        </w:rPr>
        <w:t>，将采取</w:t>
      </w:r>
      <w:r>
        <w:rPr>
          <w:rFonts w:ascii="宋体" w:hAnsi="宋体" w:cs="宋体"/>
          <w:color w:val="auto"/>
          <w:sz w:val="24"/>
          <w:u w:val="single"/>
        </w:rPr>
        <w:t>      </w:t>
      </w:r>
      <w:r>
        <w:rPr>
          <w:rFonts w:ascii="宋体" w:hAnsi="宋体" w:cs="宋体"/>
          <w:color w:val="auto"/>
          <w:sz w:val="24"/>
        </w:rPr>
        <w:t>（</w:t>
      </w:r>
      <w:r>
        <w:rPr>
          <w:rFonts w:hint="eastAsia" w:ascii="宋体" w:hAnsi="宋体" w:cs="宋体"/>
          <w:color w:val="auto"/>
          <w:sz w:val="24"/>
        </w:rPr>
        <w:t>汽车、火车、飞机等</w:t>
      </w:r>
      <w:r>
        <w:rPr>
          <w:rFonts w:ascii="宋体" w:hAnsi="宋体" w:cs="宋体"/>
          <w:color w:val="auto"/>
          <w:sz w:val="24"/>
        </w:rPr>
        <w:t>）方式运输货物。</w:t>
      </w:r>
    </w:p>
    <w:p w14:paraId="4B1AF9E3">
      <w:pPr>
        <w:pStyle w:val="13"/>
        <w:tabs>
          <w:tab w:val="left" w:pos="939"/>
        </w:tabs>
        <w:spacing w:line="360" w:lineRule="auto"/>
        <w:ind w:left="0" w:leftChars="0" w:firstLine="360" w:firstLineChars="150"/>
        <w:rPr>
          <w:rFonts w:ascii="宋体" w:hAnsi="宋体" w:cs="宋体"/>
          <w:color w:val="auto"/>
          <w:sz w:val="24"/>
        </w:rPr>
      </w:pPr>
      <w:r>
        <w:rPr>
          <w:rFonts w:hint="eastAsia" w:ascii="宋体" w:hAnsi="宋体" w:cs="宋体"/>
          <w:color w:val="auto"/>
          <w:sz w:val="24"/>
        </w:rPr>
        <w:t>9</w:t>
      </w:r>
      <w:r>
        <w:rPr>
          <w:rFonts w:ascii="宋体" w:hAnsi="宋体" w:cs="宋体"/>
          <w:color w:val="auto"/>
          <w:sz w:val="24"/>
        </w:rPr>
        <w:t>.</w:t>
      </w:r>
      <w:r>
        <w:rPr>
          <w:rFonts w:hint="eastAsia" w:ascii="宋体" w:hAnsi="宋体" w:cs="宋体"/>
          <w:color w:val="auto"/>
          <w:sz w:val="24"/>
        </w:rPr>
        <w:t>我方若参与</w:t>
      </w:r>
      <w:r>
        <w:rPr>
          <w:rFonts w:hint="eastAsia" w:ascii="宋体" w:hAnsi="宋体" w:cs="宋体"/>
          <w:color w:val="auto"/>
          <w:sz w:val="24"/>
          <w:lang w:bidi="ar"/>
        </w:rPr>
        <w:t>竞争性谈判</w:t>
      </w:r>
      <w:r>
        <w:rPr>
          <w:rFonts w:hint="eastAsia" w:ascii="宋体" w:hAnsi="宋体" w:cs="宋体"/>
          <w:color w:val="auto"/>
          <w:sz w:val="24"/>
        </w:rPr>
        <w:t>成功，除非发生不可抗力，承诺与采购人及时签订《合同书》。如果放弃，自愿按照本文件之《供应商须知正文》第2</w:t>
      </w:r>
      <w:r>
        <w:rPr>
          <w:rFonts w:ascii="宋体" w:hAnsi="宋体" w:cs="宋体"/>
          <w:color w:val="auto"/>
          <w:sz w:val="24"/>
        </w:rPr>
        <w:t>7.5</w:t>
      </w:r>
      <w:r>
        <w:rPr>
          <w:rFonts w:hint="eastAsia" w:ascii="宋体" w:hAnsi="宋体" w:cs="宋体"/>
          <w:color w:val="auto"/>
          <w:sz w:val="24"/>
        </w:rPr>
        <w:t>条的要求承担法律责任和失信惩戒。</w:t>
      </w:r>
    </w:p>
    <w:p w14:paraId="157896C1">
      <w:pPr>
        <w:pStyle w:val="13"/>
        <w:tabs>
          <w:tab w:val="left" w:pos="939"/>
        </w:tabs>
        <w:spacing w:line="360" w:lineRule="auto"/>
        <w:ind w:left="0" w:leftChars="0" w:firstLine="360" w:firstLineChars="150"/>
        <w:rPr>
          <w:rFonts w:ascii="宋体" w:hAnsi="宋体" w:cs="宋体"/>
          <w:color w:val="auto"/>
          <w:sz w:val="24"/>
        </w:rPr>
      </w:pPr>
      <w:r>
        <w:rPr>
          <w:rFonts w:ascii="宋体" w:hAnsi="宋体" w:cs="宋体"/>
          <w:color w:val="auto"/>
          <w:sz w:val="24"/>
        </w:rPr>
        <w:t>10</w:t>
      </w:r>
      <w:r>
        <w:rPr>
          <w:rFonts w:hint="eastAsia" w:ascii="宋体" w:hAnsi="宋体" w:cs="宋体"/>
          <w:color w:val="auto"/>
          <w:sz w:val="24"/>
        </w:rPr>
        <w:t>.以上事项如有虚假或者隐瞒，我方愿意承担一切后果，并不再寻求任何旨在减轻或者免除法律责任的辩解。</w:t>
      </w:r>
    </w:p>
    <w:p w14:paraId="4EB92DD4">
      <w:pPr>
        <w:pStyle w:val="13"/>
        <w:tabs>
          <w:tab w:val="left" w:pos="939"/>
        </w:tabs>
        <w:spacing w:line="360" w:lineRule="auto"/>
        <w:ind w:left="0" w:leftChars="0" w:firstLine="360" w:firstLineChars="150"/>
        <w:rPr>
          <w:rFonts w:ascii="宋体" w:hAnsi="宋体" w:cs="宋体"/>
          <w:color w:val="auto"/>
          <w:szCs w:val="21"/>
        </w:rPr>
      </w:pPr>
      <w:r>
        <w:rPr>
          <w:rFonts w:hint="eastAsia" w:ascii="宋体" w:hAnsi="宋体" w:cs="宋体"/>
          <w:color w:val="auto"/>
          <w:sz w:val="24"/>
        </w:rPr>
        <w:t>特此承诺。</w:t>
      </w:r>
    </w:p>
    <w:p w14:paraId="77751183">
      <w:pPr>
        <w:spacing w:line="360" w:lineRule="auto"/>
        <w:contextualSpacing/>
        <w:jc w:val="left"/>
        <w:rPr>
          <w:rFonts w:ascii="楷体" w:hAnsi="楷体" w:eastAsia="楷体" w:cs="宋体"/>
          <w:b/>
          <w:color w:val="auto"/>
          <w:sz w:val="24"/>
        </w:rPr>
      </w:pPr>
      <w:r>
        <w:rPr>
          <w:rFonts w:hint="eastAsia" w:ascii="宋体" w:hAnsi="宋体" w:cs="宋体"/>
          <w:b/>
          <w:color w:val="auto"/>
          <w:sz w:val="24"/>
        </w:rPr>
        <w:t xml:space="preserve">   </w:t>
      </w:r>
      <w:r>
        <w:rPr>
          <w:rFonts w:hint="eastAsia" w:ascii="楷体" w:hAnsi="楷体" w:eastAsia="楷体" w:cs="宋体"/>
          <w:b/>
          <w:color w:val="auto"/>
          <w:sz w:val="24"/>
        </w:rPr>
        <w:t xml:space="preserve"> 注：如为联合体参与</w:t>
      </w:r>
      <w:r>
        <w:rPr>
          <w:rFonts w:hint="eastAsia" w:ascii="楷体" w:hAnsi="楷体" w:eastAsia="楷体" w:cs="宋体"/>
          <w:b/>
          <w:color w:val="auto"/>
          <w:sz w:val="24"/>
          <w:lang w:bidi="ar"/>
        </w:rPr>
        <w:t>竞争性谈判</w:t>
      </w:r>
      <w:r>
        <w:rPr>
          <w:rFonts w:hint="eastAsia" w:ascii="楷体" w:hAnsi="楷体" w:eastAsia="楷体" w:cs="宋体"/>
          <w:b/>
          <w:color w:val="auto"/>
          <w:sz w:val="24"/>
        </w:rPr>
        <w:t>，盖章处须加盖联合体各方公章并由联合体各方法定代表人分别签署，否则响应文件按无效响应处理。</w:t>
      </w:r>
    </w:p>
    <w:p w14:paraId="1744B244">
      <w:pPr>
        <w:spacing w:line="360" w:lineRule="auto"/>
        <w:contextualSpacing/>
        <w:jc w:val="left"/>
        <w:rPr>
          <w:rFonts w:ascii="宋体" w:hAnsi="宋体" w:cs="宋体"/>
          <w:color w:val="auto"/>
          <w:szCs w:val="21"/>
        </w:rPr>
      </w:pPr>
    </w:p>
    <w:p w14:paraId="21488A50">
      <w:pPr>
        <w:spacing w:line="360" w:lineRule="auto"/>
        <w:ind w:firstLine="4320" w:firstLineChars="1800"/>
        <w:contextualSpacing/>
        <w:rPr>
          <w:rFonts w:ascii="宋体" w:hAnsi="宋体" w:cs="宋体"/>
          <w:color w:val="auto"/>
          <w:sz w:val="24"/>
        </w:rPr>
      </w:pPr>
      <w:r>
        <w:rPr>
          <w:rFonts w:hint="eastAsia" w:ascii="宋体" w:hAnsi="宋体" w:cs="宋体"/>
          <w:color w:val="auto"/>
          <w:sz w:val="24"/>
        </w:rPr>
        <w:t>法定代表人（签字）：</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06E9AA9F">
      <w:pPr>
        <w:spacing w:line="360" w:lineRule="auto"/>
        <w:ind w:firstLine="4320" w:firstLineChars="1800"/>
        <w:contextualSpacing/>
        <w:rPr>
          <w:rFonts w:ascii="宋体" w:hAnsi="宋体" w:cs="宋体"/>
          <w:color w:val="auto"/>
          <w:sz w:val="24"/>
          <w:u w:val="single"/>
        </w:rPr>
      </w:pPr>
      <w:r>
        <w:rPr>
          <w:rFonts w:hint="eastAsia" w:ascii="宋体" w:hAnsi="宋体" w:cs="宋体"/>
          <w:color w:val="auto"/>
          <w:sz w:val="24"/>
        </w:rPr>
        <w:t>供应商（公章）：</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4BE11DDE">
      <w:pPr>
        <w:spacing w:line="360" w:lineRule="auto"/>
        <w:ind w:firstLine="240" w:firstLineChars="100"/>
        <w:contextualSpacing/>
        <w:jc w:val="center"/>
        <w:rPr>
          <w:rFonts w:ascii="宋体" w:hAnsi="宋体" w:cs="宋体"/>
          <w:b/>
          <w:color w:val="auto"/>
          <w:sz w:val="32"/>
          <w:szCs w:val="32"/>
        </w:rPr>
      </w:pPr>
      <w:r>
        <w:rPr>
          <w:rFonts w:hint="eastAsia" w:ascii="宋体" w:hAnsi="宋体" w:cs="宋体"/>
          <w:color w:val="auto"/>
          <w:sz w:val="24"/>
        </w:rPr>
        <w:t xml:space="preserve">                      日期： </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r>
        <w:rPr>
          <w:rFonts w:hint="eastAsia" w:ascii="宋体" w:hAnsi="宋体" w:cs="宋体"/>
          <w:color w:val="auto"/>
          <w:sz w:val="32"/>
          <w:szCs w:val="32"/>
        </w:rPr>
        <w:br w:type="page"/>
      </w:r>
      <w:r>
        <w:rPr>
          <w:rFonts w:hint="eastAsia" w:ascii="宋体" w:hAnsi="宋体" w:cs="宋体"/>
          <w:b/>
          <w:color w:val="auto"/>
          <w:sz w:val="32"/>
          <w:szCs w:val="32"/>
        </w:rPr>
        <w:t>联合体参与竞争性谈判协议书</w:t>
      </w:r>
    </w:p>
    <w:p w14:paraId="02F7D93F">
      <w:pPr>
        <w:pStyle w:val="7"/>
        <w:overflowPunct w:val="0"/>
        <w:spacing w:line="360" w:lineRule="auto"/>
        <w:ind w:firstLine="0"/>
        <w:contextualSpacing/>
        <w:rPr>
          <w:rFonts w:ascii="宋体" w:hAnsi="宋体" w:cs="宋体"/>
          <w:color w:val="auto"/>
          <w:sz w:val="24"/>
          <w:szCs w:val="24"/>
        </w:rPr>
      </w:pPr>
    </w:p>
    <w:p w14:paraId="25272E9C">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（所有成员单位名称）自愿组成</w:t>
      </w:r>
      <w:r>
        <w:rPr>
          <w:rFonts w:hint="eastAsia" w:ascii="宋体" w:hAnsi="宋体" w:cs="宋体"/>
          <w:color w:val="auto"/>
          <w:sz w:val="24"/>
          <w:szCs w:val="24"/>
          <w:u w:val="single"/>
        </w:rPr>
        <w:t xml:space="preserve">      </w:t>
      </w:r>
      <w:r>
        <w:rPr>
          <w:rFonts w:hint="eastAsia" w:ascii="宋体" w:hAnsi="宋体" w:cs="宋体"/>
          <w:color w:val="auto"/>
          <w:sz w:val="24"/>
          <w:szCs w:val="24"/>
        </w:rPr>
        <w:t>（联合体名称）联合体，共同参加</w:t>
      </w:r>
      <w:r>
        <w:rPr>
          <w:rFonts w:hint="eastAsia" w:ascii="宋体" w:hAnsi="宋体" w:cs="宋体"/>
          <w:color w:val="auto"/>
          <w:sz w:val="24"/>
          <w:szCs w:val="24"/>
          <w:u w:val="single"/>
        </w:rPr>
        <w:t xml:space="preserve">      </w:t>
      </w:r>
      <w:r>
        <w:rPr>
          <w:rFonts w:hint="eastAsia" w:ascii="宋体" w:hAnsi="宋体" w:cs="宋体"/>
          <w:color w:val="auto"/>
          <w:sz w:val="24"/>
          <w:szCs w:val="24"/>
        </w:rPr>
        <w:t>（项目名称）采购项目</w:t>
      </w:r>
      <w:r>
        <w:rPr>
          <w:rFonts w:hint="eastAsia" w:ascii="宋体" w:hAnsi="宋体" w:cs="宋体"/>
          <w:color w:val="auto"/>
          <w:sz w:val="24"/>
          <w:lang w:bidi="ar"/>
        </w:rPr>
        <w:t>竞争性谈判</w:t>
      </w:r>
      <w:r>
        <w:rPr>
          <w:rFonts w:hint="eastAsia" w:ascii="宋体" w:hAnsi="宋体" w:cs="宋体"/>
          <w:color w:val="auto"/>
          <w:sz w:val="24"/>
          <w:szCs w:val="24"/>
        </w:rPr>
        <w:t>。现就联合体参与</w:t>
      </w:r>
      <w:r>
        <w:rPr>
          <w:rFonts w:hint="eastAsia" w:ascii="宋体" w:hAnsi="宋体" w:cs="宋体"/>
          <w:color w:val="auto"/>
          <w:sz w:val="24"/>
          <w:lang w:bidi="ar"/>
        </w:rPr>
        <w:t>竞争性谈判</w:t>
      </w:r>
      <w:r>
        <w:rPr>
          <w:rFonts w:hint="eastAsia" w:ascii="宋体" w:hAnsi="宋体" w:cs="宋体"/>
          <w:color w:val="auto"/>
          <w:sz w:val="24"/>
          <w:szCs w:val="24"/>
        </w:rPr>
        <w:t>事宜订立如下协议。</w:t>
      </w:r>
    </w:p>
    <w:p w14:paraId="1A8766BA">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（某成员单位名称）为</w:t>
      </w:r>
      <w:r>
        <w:rPr>
          <w:rFonts w:hint="eastAsia" w:ascii="宋体" w:hAnsi="宋体" w:cs="宋体"/>
          <w:color w:val="auto"/>
          <w:sz w:val="24"/>
          <w:szCs w:val="24"/>
          <w:u w:val="single"/>
        </w:rPr>
        <w:t xml:space="preserve">     </w:t>
      </w:r>
      <w:r>
        <w:rPr>
          <w:rFonts w:hint="eastAsia" w:ascii="宋体" w:hAnsi="宋体" w:cs="宋体"/>
          <w:color w:val="auto"/>
          <w:sz w:val="24"/>
          <w:szCs w:val="24"/>
        </w:rPr>
        <w:t>（联合体名称）牵头人。</w:t>
      </w:r>
    </w:p>
    <w:p w14:paraId="0F4BC6B0">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2.联合体各成员授权牵头人代表联合体参加</w:t>
      </w:r>
      <w:r>
        <w:rPr>
          <w:rFonts w:hint="eastAsia" w:ascii="宋体" w:hAnsi="宋体" w:cs="宋体"/>
          <w:color w:val="auto"/>
          <w:sz w:val="24"/>
          <w:lang w:bidi="ar"/>
        </w:rPr>
        <w:t>竞争性谈判</w:t>
      </w:r>
      <w:r>
        <w:rPr>
          <w:rFonts w:hint="eastAsia" w:ascii="宋体" w:hAnsi="宋体" w:cs="宋体"/>
          <w:color w:val="auto"/>
          <w:sz w:val="24"/>
          <w:szCs w:val="24"/>
        </w:rPr>
        <w:t>活动，签署文件及对文件的盖章，提交和接收相关的资料、信息及指示，进行合同谈判活动，负责合同实施阶段的组织和协调工作，以及处理与本</w:t>
      </w:r>
      <w:r>
        <w:rPr>
          <w:rFonts w:hint="eastAsia" w:ascii="宋体" w:hAnsi="宋体" w:cs="宋体"/>
          <w:color w:val="auto"/>
          <w:sz w:val="24"/>
          <w:lang w:bidi="ar"/>
        </w:rPr>
        <w:t>竞争性谈判</w:t>
      </w:r>
      <w:r>
        <w:rPr>
          <w:rFonts w:hint="eastAsia" w:ascii="宋体" w:hAnsi="宋体" w:cs="宋体"/>
          <w:color w:val="auto"/>
          <w:sz w:val="24"/>
          <w:szCs w:val="24"/>
        </w:rPr>
        <w:t>项目有关的一切事宜。</w:t>
      </w:r>
    </w:p>
    <w:p w14:paraId="290ED7EF">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3.联合体牵头人在本项目中签署和盖章的一切文件和处理的一切事宜，联合体各成员均予以承认。联合体各成员将严格按照谈判文件、响应文件和合同的要求全面履行义务，并向采购人承担连带责任。</w:t>
      </w:r>
    </w:p>
    <w:p w14:paraId="694612DB">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4.联合体各成员单位内部的职责分工如下：</w:t>
      </w:r>
      <w:r>
        <w:rPr>
          <w:rFonts w:hint="eastAsia" w:ascii="宋体" w:hAnsi="宋体" w:cs="宋体"/>
          <w:color w:val="auto"/>
          <w:sz w:val="24"/>
          <w:szCs w:val="24"/>
          <w:u w:val="single"/>
        </w:rPr>
        <w:t xml:space="preserve">       </w:t>
      </w:r>
      <w:r>
        <w:rPr>
          <w:rFonts w:hint="eastAsia" w:ascii="宋体" w:hAnsi="宋体" w:cs="宋体"/>
          <w:color w:val="auto"/>
          <w:sz w:val="24"/>
          <w:szCs w:val="24"/>
        </w:rPr>
        <w:t>。</w:t>
      </w:r>
    </w:p>
    <w:p w14:paraId="4C0B0A86">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5.本</w:t>
      </w:r>
      <w:r>
        <w:rPr>
          <w:rFonts w:hint="eastAsia" w:ascii="宋体" w:hAnsi="宋体" w:cs="宋体"/>
          <w:color w:val="auto"/>
          <w:spacing w:val="-6"/>
          <w:sz w:val="24"/>
          <w:szCs w:val="24"/>
        </w:rPr>
        <w:t>协议书自所有成员单位法定代表人或者其委托代理人签字或者盖单位章之日起生效，合同履行完毕后自动失效。</w:t>
      </w:r>
    </w:p>
    <w:p w14:paraId="490E8587">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6.本协议书一式</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rPr>
        <w:t>份，联合体成员和采购人各执壹份。</w:t>
      </w:r>
    </w:p>
    <w:p w14:paraId="25FAD618">
      <w:pPr>
        <w:pStyle w:val="7"/>
        <w:overflowPunct w:val="0"/>
        <w:spacing w:line="360" w:lineRule="auto"/>
        <w:ind w:firstLine="480" w:firstLineChars="200"/>
        <w:contextualSpacing/>
        <w:rPr>
          <w:rFonts w:ascii="宋体" w:hAnsi="宋体" w:cs="宋体"/>
          <w:color w:val="auto"/>
          <w:sz w:val="24"/>
          <w:szCs w:val="24"/>
        </w:rPr>
      </w:pPr>
      <w:r>
        <w:rPr>
          <w:rFonts w:hint="eastAsia" w:ascii="宋体" w:hAnsi="宋体" w:cs="宋体"/>
          <w:color w:val="auto"/>
          <w:sz w:val="24"/>
          <w:szCs w:val="24"/>
        </w:rPr>
        <w:t>注：本协议书由法定代表人签字的，应附法定代表人身份证明；由委托代理人签字的，应附联合体协议签订授权委托书（格式自拟）。</w:t>
      </w:r>
    </w:p>
    <w:p w14:paraId="0FE71555">
      <w:pPr>
        <w:pStyle w:val="7"/>
        <w:overflowPunct w:val="0"/>
        <w:spacing w:line="360" w:lineRule="auto"/>
        <w:ind w:firstLineChars="175"/>
        <w:contextualSpacing/>
        <w:rPr>
          <w:rFonts w:ascii="宋体" w:hAnsi="宋体" w:cs="宋体"/>
          <w:color w:val="auto"/>
          <w:sz w:val="24"/>
          <w:szCs w:val="24"/>
        </w:rPr>
      </w:pPr>
    </w:p>
    <w:p w14:paraId="3E92ADDD">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联合体牵头人名称（公章）：</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p>
    <w:p w14:paraId="41004311">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法定代表人或者其委托代理人（签字）：</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p>
    <w:p w14:paraId="1FC4B1DD">
      <w:pPr>
        <w:pStyle w:val="7"/>
        <w:overflowPunct w:val="0"/>
        <w:spacing w:line="360" w:lineRule="auto"/>
        <w:ind w:firstLine="0"/>
        <w:contextualSpacing/>
        <w:rPr>
          <w:rFonts w:ascii="宋体" w:hAnsi="宋体" w:cs="宋体"/>
          <w:color w:val="auto"/>
          <w:sz w:val="24"/>
          <w:szCs w:val="24"/>
        </w:rPr>
      </w:pPr>
    </w:p>
    <w:p w14:paraId="4144F9B8">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联合体成员名称（公章）：</w:t>
      </w:r>
      <w:r>
        <w:rPr>
          <w:rFonts w:ascii="宋体" w:hAnsi="宋体" w:cs="宋体"/>
          <w:color w:val="auto"/>
          <w:sz w:val="24"/>
          <w:szCs w:val="24"/>
          <w:u w:val="single"/>
        </w:rPr>
        <w:t xml:space="preserve">               </w:t>
      </w:r>
    </w:p>
    <w:p w14:paraId="2EF78127">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法定代表人或者其委托代理人（签字）：</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p>
    <w:p w14:paraId="7CFC03C3">
      <w:pPr>
        <w:pStyle w:val="7"/>
        <w:overflowPunct w:val="0"/>
        <w:spacing w:line="360" w:lineRule="auto"/>
        <w:ind w:firstLine="0"/>
        <w:contextualSpacing/>
        <w:rPr>
          <w:rFonts w:ascii="宋体" w:hAnsi="宋体" w:cs="宋体"/>
          <w:color w:val="auto"/>
          <w:sz w:val="24"/>
          <w:szCs w:val="24"/>
        </w:rPr>
      </w:pPr>
    </w:p>
    <w:p w14:paraId="1BA9360A">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联合体成员名称（公章）：</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p>
    <w:p w14:paraId="24F80288">
      <w:pPr>
        <w:pStyle w:val="7"/>
        <w:overflowPunct w:val="0"/>
        <w:spacing w:line="360" w:lineRule="auto"/>
        <w:ind w:firstLine="0"/>
        <w:contextualSpacing/>
        <w:rPr>
          <w:rFonts w:ascii="宋体" w:hAnsi="宋体" w:cs="宋体"/>
          <w:color w:val="auto"/>
          <w:sz w:val="24"/>
          <w:szCs w:val="24"/>
          <w:u w:val="single"/>
        </w:rPr>
      </w:pPr>
      <w:r>
        <w:rPr>
          <w:rFonts w:hint="eastAsia" w:ascii="宋体" w:hAnsi="宋体" w:cs="宋体"/>
          <w:color w:val="auto"/>
          <w:sz w:val="24"/>
          <w:szCs w:val="24"/>
        </w:rPr>
        <w:t>法定代表人或者其委托代理人（签字）：</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p>
    <w:p w14:paraId="211D531D">
      <w:pPr>
        <w:pStyle w:val="7"/>
        <w:overflowPunct w:val="0"/>
        <w:spacing w:line="360" w:lineRule="auto"/>
        <w:ind w:firstLine="0"/>
        <w:contextualSpacing/>
        <w:rPr>
          <w:rFonts w:ascii="宋体" w:hAnsi="宋体" w:cs="宋体"/>
          <w:color w:val="auto"/>
          <w:sz w:val="24"/>
          <w:szCs w:val="24"/>
        </w:rPr>
      </w:pPr>
      <w:r>
        <w:rPr>
          <w:rFonts w:hint="eastAsia" w:ascii="宋体" w:hAnsi="宋体" w:cs="宋体"/>
          <w:color w:val="auto"/>
          <w:sz w:val="24"/>
          <w:szCs w:val="24"/>
        </w:rPr>
        <w:t>……</w:t>
      </w:r>
    </w:p>
    <w:p w14:paraId="0448D1FB">
      <w:pPr>
        <w:spacing w:line="360" w:lineRule="auto"/>
        <w:contextualSpacing/>
        <w:jc w:val="right"/>
        <w:rPr>
          <w:rFonts w:ascii="宋体" w:hAnsi="宋体" w:cs="宋体"/>
          <w:color w:val="auto"/>
          <w:sz w:val="24"/>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r>
        <w:rPr>
          <w:rFonts w:hint="eastAsia" w:ascii="宋体" w:hAnsi="宋体" w:cs="宋体"/>
          <w:color w:val="auto"/>
          <w:sz w:val="32"/>
          <w:szCs w:val="32"/>
        </w:rPr>
        <w:t xml:space="preserve"> </w:t>
      </w:r>
    </w:p>
    <w:p w14:paraId="29683D68">
      <w:pPr>
        <w:spacing w:line="360" w:lineRule="auto"/>
        <w:contextualSpacing/>
        <w:jc w:val="left"/>
        <w:rPr>
          <w:rFonts w:ascii="宋体" w:hAnsi="宋体" w:cs="宋体"/>
          <w:b/>
          <w:color w:val="auto"/>
          <w:sz w:val="32"/>
          <w:szCs w:val="32"/>
        </w:rPr>
      </w:pPr>
      <w:r>
        <w:rPr>
          <w:rFonts w:hint="eastAsia" w:ascii="宋体" w:hAnsi="宋体" w:cs="宋体"/>
          <w:color w:val="auto"/>
          <w:szCs w:val="21"/>
        </w:rPr>
        <w:br w:type="page"/>
      </w:r>
      <w:r>
        <w:rPr>
          <w:rFonts w:hint="eastAsia" w:ascii="宋体" w:hAnsi="宋体" w:cs="宋体"/>
          <w:b/>
          <w:bCs/>
          <w:color w:val="auto"/>
          <w:sz w:val="32"/>
          <w:szCs w:val="32"/>
        </w:rPr>
        <w:t>二、</w:t>
      </w:r>
      <w:r>
        <w:rPr>
          <w:rFonts w:hint="eastAsia" w:ascii="宋体" w:hAnsi="宋体" w:cs="宋体"/>
          <w:b/>
          <w:color w:val="auto"/>
          <w:sz w:val="32"/>
          <w:szCs w:val="32"/>
        </w:rPr>
        <w:t xml:space="preserve">报价商务技术文件格式 </w:t>
      </w:r>
    </w:p>
    <w:p w14:paraId="4F3E8F09">
      <w:pPr>
        <w:snapToGrid w:val="0"/>
        <w:spacing w:line="360" w:lineRule="auto"/>
        <w:jc w:val="left"/>
        <w:rPr>
          <w:rFonts w:ascii="宋体" w:hAnsi="宋体" w:cs="宋体"/>
          <w:b/>
          <w:color w:val="auto"/>
          <w:sz w:val="32"/>
          <w:szCs w:val="32"/>
        </w:rPr>
      </w:pPr>
      <w:r>
        <w:rPr>
          <w:rFonts w:hint="eastAsia" w:ascii="宋体" w:hAnsi="宋体" w:cs="宋体"/>
          <w:b/>
          <w:color w:val="auto"/>
          <w:sz w:val="32"/>
          <w:szCs w:val="32"/>
        </w:rPr>
        <w:t>1.报价商务技术文件封面格式</w:t>
      </w:r>
    </w:p>
    <w:p w14:paraId="6F707A11">
      <w:pPr>
        <w:snapToGrid w:val="0"/>
        <w:spacing w:line="360" w:lineRule="auto"/>
        <w:rPr>
          <w:rFonts w:ascii="宋体" w:hAnsi="宋体" w:cs="宋体"/>
          <w:color w:val="auto"/>
          <w:sz w:val="24"/>
        </w:rPr>
      </w:pPr>
      <w:r>
        <w:rPr>
          <w:rFonts w:hint="eastAsia" w:ascii="宋体" w:hAnsi="宋体" w:cs="宋体"/>
          <w:color w:val="auto"/>
          <w:sz w:val="24"/>
        </w:rPr>
        <w:t xml:space="preserve">                                                   </w:t>
      </w:r>
    </w:p>
    <w:p w14:paraId="6D5DB9D9">
      <w:pPr>
        <w:snapToGrid w:val="0"/>
        <w:spacing w:line="360" w:lineRule="auto"/>
        <w:rPr>
          <w:rFonts w:ascii="宋体" w:hAnsi="宋体" w:cs="宋体"/>
          <w:color w:val="auto"/>
          <w:sz w:val="24"/>
        </w:rPr>
      </w:pPr>
    </w:p>
    <w:p w14:paraId="0466416A">
      <w:pPr>
        <w:snapToGrid w:val="0"/>
        <w:spacing w:line="360" w:lineRule="auto"/>
        <w:rPr>
          <w:rFonts w:ascii="宋体" w:hAnsi="宋体" w:cs="宋体"/>
          <w:color w:val="auto"/>
          <w:sz w:val="24"/>
          <w:szCs w:val="20"/>
        </w:rPr>
      </w:pPr>
    </w:p>
    <w:p w14:paraId="29B66F25">
      <w:pPr>
        <w:snapToGrid w:val="0"/>
        <w:spacing w:line="360" w:lineRule="auto"/>
        <w:jc w:val="center"/>
        <w:rPr>
          <w:rFonts w:ascii="宋体" w:hAnsi="宋体" w:cs="宋体"/>
          <w:bCs/>
          <w:color w:val="auto"/>
          <w:sz w:val="84"/>
          <w:szCs w:val="84"/>
        </w:rPr>
      </w:pPr>
      <w:r>
        <w:rPr>
          <w:rFonts w:hint="eastAsia" w:ascii="宋体" w:hAnsi="宋体" w:cs="宋体"/>
          <w:b/>
          <w:color w:val="auto"/>
          <w:sz w:val="84"/>
          <w:szCs w:val="84"/>
        </w:rPr>
        <w:t>响  应  文  件</w:t>
      </w:r>
    </w:p>
    <w:p w14:paraId="4C160AE4">
      <w:pPr>
        <w:snapToGrid w:val="0"/>
        <w:spacing w:line="360" w:lineRule="auto"/>
        <w:rPr>
          <w:rFonts w:ascii="宋体" w:hAnsi="宋体" w:cs="宋体"/>
          <w:color w:val="auto"/>
          <w:sz w:val="24"/>
          <w:szCs w:val="20"/>
        </w:rPr>
      </w:pPr>
    </w:p>
    <w:p w14:paraId="44077448">
      <w:pPr>
        <w:snapToGrid w:val="0"/>
        <w:spacing w:line="360" w:lineRule="auto"/>
        <w:jc w:val="center"/>
        <w:rPr>
          <w:rFonts w:ascii="宋体" w:hAnsi="宋体" w:cs="宋体"/>
          <w:bCs/>
          <w:color w:val="auto"/>
          <w:sz w:val="32"/>
          <w:szCs w:val="32"/>
        </w:rPr>
      </w:pPr>
      <w:r>
        <w:rPr>
          <w:rFonts w:hint="eastAsia" w:ascii="宋体" w:hAnsi="宋体" w:cs="宋体"/>
          <w:bCs/>
          <w:color w:val="auto"/>
          <w:sz w:val="32"/>
          <w:szCs w:val="32"/>
        </w:rPr>
        <w:t>报价商务技术文件</w:t>
      </w:r>
    </w:p>
    <w:p w14:paraId="2C6AD5DC">
      <w:pPr>
        <w:snapToGrid w:val="0"/>
        <w:spacing w:line="360" w:lineRule="auto"/>
        <w:rPr>
          <w:rFonts w:ascii="宋体" w:hAnsi="宋体" w:cs="宋体"/>
          <w:bCs/>
          <w:color w:val="auto"/>
          <w:sz w:val="28"/>
          <w:szCs w:val="28"/>
        </w:rPr>
      </w:pPr>
    </w:p>
    <w:p w14:paraId="7B85BD0A">
      <w:pPr>
        <w:snapToGrid w:val="0"/>
        <w:spacing w:line="360" w:lineRule="auto"/>
        <w:rPr>
          <w:rFonts w:ascii="宋体" w:hAnsi="宋体" w:cs="宋体"/>
          <w:bCs/>
          <w:color w:val="auto"/>
          <w:sz w:val="28"/>
          <w:szCs w:val="28"/>
        </w:rPr>
      </w:pPr>
    </w:p>
    <w:p w14:paraId="328A6AFA">
      <w:pPr>
        <w:snapToGrid w:val="0"/>
        <w:spacing w:line="360" w:lineRule="auto"/>
        <w:ind w:firstLine="1680" w:firstLineChars="600"/>
        <w:rPr>
          <w:rFonts w:ascii="宋体" w:hAnsi="宋体" w:cs="宋体"/>
          <w:bCs/>
          <w:color w:val="auto"/>
          <w:sz w:val="28"/>
          <w:szCs w:val="28"/>
        </w:rPr>
      </w:pPr>
      <w:r>
        <w:rPr>
          <w:rFonts w:hint="eastAsia" w:ascii="宋体" w:hAnsi="宋体" w:cs="宋体"/>
          <w:bCs/>
          <w:color w:val="auto"/>
          <w:sz w:val="28"/>
          <w:szCs w:val="28"/>
        </w:rPr>
        <w:t>项目名称：</w:t>
      </w:r>
    </w:p>
    <w:p w14:paraId="5166204D">
      <w:pPr>
        <w:snapToGrid w:val="0"/>
        <w:spacing w:line="360" w:lineRule="auto"/>
        <w:ind w:firstLine="1680" w:firstLineChars="600"/>
        <w:rPr>
          <w:rFonts w:ascii="宋体" w:hAnsi="宋体" w:cs="宋体"/>
          <w:bCs/>
          <w:color w:val="auto"/>
          <w:sz w:val="28"/>
          <w:szCs w:val="28"/>
        </w:rPr>
      </w:pPr>
      <w:r>
        <w:rPr>
          <w:rFonts w:hint="eastAsia" w:ascii="宋体" w:hAnsi="宋体" w:cs="宋体"/>
          <w:bCs/>
          <w:color w:val="auto"/>
          <w:sz w:val="28"/>
          <w:szCs w:val="28"/>
        </w:rPr>
        <w:t xml:space="preserve">项目编号： </w:t>
      </w:r>
    </w:p>
    <w:p w14:paraId="4F35347A">
      <w:pPr>
        <w:snapToGrid w:val="0"/>
        <w:spacing w:line="360" w:lineRule="auto"/>
        <w:ind w:firstLine="1680" w:firstLineChars="600"/>
        <w:rPr>
          <w:rFonts w:ascii="宋体" w:hAnsi="宋体" w:cs="宋体"/>
          <w:bCs/>
          <w:color w:val="auto"/>
          <w:sz w:val="28"/>
          <w:szCs w:val="28"/>
        </w:rPr>
      </w:pPr>
      <w:r>
        <w:rPr>
          <w:rFonts w:hint="eastAsia" w:ascii="宋体" w:hAnsi="宋体" w:cs="宋体"/>
          <w:bCs/>
          <w:color w:val="auto"/>
          <w:sz w:val="28"/>
          <w:szCs w:val="28"/>
        </w:rPr>
        <w:t>所竞分标（如有）：</w:t>
      </w:r>
    </w:p>
    <w:p w14:paraId="1946E5D7">
      <w:pPr>
        <w:pStyle w:val="7"/>
        <w:snapToGrid w:val="0"/>
        <w:spacing w:line="360" w:lineRule="auto"/>
        <w:ind w:firstLine="1680" w:firstLineChars="600"/>
        <w:rPr>
          <w:rFonts w:ascii="宋体" w:hAnsi="宋体" w:cs="宋体"/>
          <w:bCs/>
          <w:color w:val="auto"/>
          <w:sz w:val="28"/>
          <w:szCs w:val="28"/>
        </w:rPr>
      </w:pPr>
      <w:r>
        <w:rPr>
          <w:rFonts w:hint="eastAsia" w:ascii="宋体" w:hAnsi="宋体" w:cs="宋体"/>
          <w:bCs/>
          <w:color w:val="auto"/>
          <w:sz w:val="28"/>
          <w:szCs w:val="28"/>
        </w:rPr>
        <w:t>供应商名称：</w:t>
      </w:r>
    </w:p>
    <w:p w14:paraId="2895F07A">
      <w:pPr>
        <w:pStyle w:val="7"/>
        <w:snapToGrid w:val="0"/>
        <w:spacing w:line="360" w:lineRule="auto"/>
        <w:ind w:firstLine="1680" w:firstLineChars="600"/>
        <w:rPr>
          <w:rFonts w:ascii="宋体" w:hAnsi="宋体" w:cs="宋体"/>
          <w:bCs/>
          <w:color w:val="auto"/>
          <w:sz w:val="28"/>
          <w:szCs w:val="28"/>
        </w:rPr>
      </w:pPr>
    </w:p>
    <w:p w14:paraId="031E0DC0">
      <w:pPr>
        <w:snapToGrid w:val="0"/>
        <w:spacing w:line="360" w:lineRule="auto"/>
        <w:jc w:val="center"/>
        <w:rPr>
          <w:rFonts w:ascii="宋体" w:hAnsi="宋体" w:cs="宋体"/>
          <w:color w:val="auto"/>
          <w:sz w:val="28"/>
          <w:szCs w:val="28"/>
        </w:rPr>
      </w:pPr>
      <w:r>
        <w:rPr>
          <w:rFonts w:hint="eastAsia" w:ascii="宋体" w:hAnsi="宋体" w:cs="宋体"/>
          <w:color w:val="auto"/>
          <w:sz w:val="28"/>
          <w:szCs w:val="28"/>
        </w:rPr>
        <w:t>年    月    日</w:t>
      </w:r>
    </w:p>
    <w:p w14:paraId="02627936">
      <w:pPr>
        <w:snapToGrid w:val="0"/>
        <w:spacing w:line="360" w:lineRule="auto"/>
        <w:jc w:val="left"/>
        <w:rPr>
          <w:rFonts w:ascii="宋体" w:hAnsi="宋体" w:cs="宋体"/>
          <w:b/>
          <w:bCs/>
          <w:color w:val="auto"/>
          <w:sz w:val="24"/>
        </w:rPr>
      </w:pPr>
      <w:r>
        <w:rPr>
          <w:rFonts w:hint="eastAsia" w:ascii="宋体" w:hAnsi="宋体" w:cs="宋体"/>
          <w:color w:val="auto"/>
          <w:sz w:val="28"/>
          <w:szCs w:val="28"/>
        </w:rPr>
        <w:br w:type="page"/>
      </w:r>
      <w:r>
        <w:rPr>
          <w:rFonts w:hint="eastAsia" w:ascii="宋体" w:hAnsi="宋体" w:cs="宋体"/>
          <w:b/>
          <w:bCs/>
          <w:color w:val="auto"/>
          <w:sz w:val="32"/>
          <w:szCs w:val="32"/>
        </w:rPr>
        <w:t>2.报价商务技术文件目录</w:t>
      </w:r>
    </w:p>
    <w:p w14:paraId="074F9375">
      <w:pPr>
        <w:snapToGrid w:val="0"/>
        <w:spacing w:line="360" w:lineRule="auto"/>
        <w:ind w:firstLine="480" w:firstLineChars="200"/>
        <w:rPr>
          <w:rFonts w:ascii="宋体" w:hAnsi="宋体" w:cs="宋体"/>
          <w:color w:val="auto"/>
          <w:sz w:val="24"/>
        </w:rPr>
      </w:pPr>
      <w:r>
        <w:rPr>
          <w:rFonts w:hint="eastAsia" w:ascii="宋体" w:hAnsi="宋体" w:cs="宋体"/>
          <w:color w:val="auto"/>
          <w:sz w:val="24"/>
        </w:rPr>
        <w:t>根据谈判文件规定及供应商提供的材料自行编写目录（部分格式后附）。</w:t>
      </w:r>
    </w:p>
    <w:p w14:paraId="23067B04">
      <w:pPr>
        <w:spacing w:line="360" w:lineRule="auto"/>
        <w:rPr>
          <w:rFonts w:ascii="宋体" w:hAnsi="宋体" w:cs="宋体"/>
          <w:color w:val="auto"/>
          <w:sz w:val="32"/>
          <w:szCs w:val="32"/>
        </w:rPr>
      </w:pPr>
    </w:p>
    <w:p w14:paraId="3002E3C6">
      <w:pPr>
        <w:spacing w:line="360" w:lineRule="auto"/>
        <w:jc w:val="center"/>
        <w:rPr>
          <w:rFonts w:ascii="宋体" w:hAnsi="宋体" w:cs="宋体"/>
          <w:b/>
          <w:color w:val="auto"/>
          <w:sz w:val="32"/>
          <w:szCs w:val="32"/>
        </w:rPr>
      </w:pPr>
      <w:r>
        <w:rPr>
          <w:rFonts w:hint="eastAsia" w:ascii="宋体" w:hAnsi="宋体" w:cs="宋体"/>
          <w:color w:val="auto"/>
          <w:sz w:val="44"/>
          <w:szCs w:val="44"/>
        </w:rPr>
        <w:br w:type="page"/>
      </w:r>
      <w:r>
        <w:rPr>
          <w:rFonts w:hint="eastAsia" w:ascii="宋体" w:hAnsi="宋体" w:cs="宋体"/>
          <w:b/>
          <w:color w:val="auto"/>
          <w:sz w:val="44"/>
          <w:szCs w:val="44"/>
        </w:rPr>
        <w:t>无串通参与竞争性谈判行为的承诺函</w:t>
      </w:r>
    </w:p>
    <w:p w14:paraId="54114DE0">
      <w:pPr>
        <w:spacing w:line="360" w:lineRule="auto"/>
        <w:ind w:firstLine="640" w:firstLineChars="200"/>
        <w:contextualSpacing/>
        <w:rPr>
          <w:rFonts w:ascii="宋体" w:hAnsi="宋体" w:cs="宋体"/>
          <w:color w:val="auto"/>
          <w:sz w:val="32"/>
          <w:szCs w:val="32"/>
        </w:rPr>
      </w:pPr>
    </w:p>
    <w:p w14:paraId="5D6E1BF0">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一、我方承诺无下列相互串通参与</w:t>
      </w:r>
      <w:r>
        <w:rPr>
          <w:rFonts w:hint="eastAsia" w:ascii="宋体" w:hAnsi="宋体" w:cs="宋体"/>
          <w:b/>
          <w:color w:val="auto"/>
          <w:sz w:val="24"/>
          <w:lang w:bidi="ar"/>
        </w:rPr>
        <w:t>竞争性谈判</w:t>
      </w:r>
      <w:r>
        <w:rPr>
          <w:rFonts w:hint="eastAsia" w:ascii="宋体" w:hAnsi="宋体" w:cs="宋体"/>
          <w:b/>
          <w:bCs/>
          <w:color w:val="auto"/>
          <w:sz w:val="24"/>
        </w:rPr>
        <w:t>的情形：</w:t>
      </w:r>
    </w:p>
    <w:p w14:paraId="16C05EF0">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1.不同供应商的响应文件由同一单位或者个人编制；或者上传提交响应文件硬件设备CPU编号、硬盘编号、网卡地址一致的情况；</w:t>
      </w:r>
    </w:p>
    <w:p w14:paraId="7AEFD2F2">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2.不同供应商委托同一单位或者个人办理参与</w:t>
      </w:r>
      <w:r>
        <w:rPr>
          <w:rFonts w:hint="eastAsia" w:ascii="宋体" w:hAnsi="宋体" w:cs="宋体"/>
          <w:color w:val="auto"/>
          <w:sz w:val="24"/>
          <w:lang w:bidi="ar"/>
        </w:rPr>
        <w:t>竞争性谈判</w:t>
      </w:r>
      <w:r>
        <w:rPr>
          <w:rFonts w:hint="eastAsia" w:ascii="宋体" w:hAnsi="宋体" w:cs="宋体"/>
          <w:color w:val="auto"/>
          <w:sz w:val="24"/>
        </w:rPr>
        <w:t>事宜；</w:t>
      </w:r>
    </w:p>
    <w:p w14:paraId="4D84BA0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3.不同的供应商的响应文件载明的项目管理员为同一个人；</w:t>
      </w:r>
    </w:p>
    <w:p w14:paraId="11785A66">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4.不</w:t>
      </w:r>
      <w:r>
        <w:rPr>
          <w:rFonts w:hint="eastAsia" w:ascii="宋体" w:hAnsi="宋体" w:cs="宋体"/>
          <w:color w:val="auto"/>
          <w:spacing w:val="-6"/>
          <w:sz w:val="24"/>
        </w:rPr>
        <w:t>同供应商的响应文件异常一致或者参与</w:t>
      </w:r>
      <w:r>
        <w:rPr>
          <w:rFonts w:hint="eastAsia" w:ascii="宋体" w:hAnsi="宋体" w:cs="宋体"/>
          <w:color w:val="auto"/>
          <w:sz w:val="24"/>
          <w:lang w:bidi="ar"/>
        </w:rPr>
        <w:t>竞争性谈判的</w:t>
      </w:r>
      <w:r>
        <w:rPr>
          <w:rFonts w:hint="eastAsia" w:ascii="宋体" w:hAnsi="宋体" w:cs="宋体"/>
          <w:color w:val="auto"/>
          <w:spacing w:val="-6"/>
          <w:sz w:val="24"/>
        </w:rPr>
        <w:t>报价呈规律性差异；</w:t>
      </w:r>
    </w:p>
    <w:p w14:paraId="47AE3218">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5.不同供应商的响应文件相互混装；</w:t>
      </w:r>
    </w:p>
    <w:p w14:paraId="633A89F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6.不同供应商的谈判保证金从同一单位或者个人账户转出。</w:t>
      </w:r>
    </w:p>
    <w:p w14:paraId="1CE9BC67">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二、我方承诺无下列恶意串通的情形：</w:t>
      </w:r>
    </w:p>
    <w:p w14:paraId="345C03C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1.供应商直接或者间接从采购人或者采购代理机构处获得其他供应商的相关信息并修改其响应文件；</w:t>
      </w:r>
    </w:p>
    <w:p w14:paraId="2313DB7A">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2.供应商按照采购人或者采购代理机构的授意撤换、修改响应文件；</w:t>
      </w:r>
    </w:p>
    <w:p w14:paraId="70537E6A">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3.供</w:t>
      </w:r>
      <w:r>
        <w:rPr>
          <w:rFonts w:hint="eastAsia" w:ascii="宋体" w:hAnsi="宋体" w:cs="宋体"/>
          <w:color w:val="auto"/>
          <w:spacing w:val="-6"/>
          <w:sz w:val="24"/>
        </w:rPr>
        <w:t>应商之间协商报价、技术方案等响应文件的实质性内容；</w:t>
      </w:r>
    </w:p>
    <w:p w14:paraId="040B08B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4.属于同一集团、协会、商会等组织成员的供应商按照该组织要求协同参加政府采购活动；</w:t>
      </w:r>
    </w:p>
    <w:p w14:paraId="3C2DBC62">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5.供应商之间事先约定一致抬高或者压低</w:t>
      </w:r>
      <w:r>
        <w:rPr>
          <w:rFonts w:hint="eastAsia" w:ascii="宋体" w:hAnsi="宋体" w:cs="宋体"/>
          <w:color w:val="auto"/>
          <w:sz w:val="24"/>
          <w:lang w:bidi="ar"/>
        </w:rPr>
        <w:t>竞争性谈判</w:t>
      </w:r>
      <w:r>
        <w:rPr>
          <w:rFonts w:hint="eastAsia" w:ascii="宋体" w:hAnsi="宋体" w:cs="宋体"/>
          <w:color w:val="auto"/>
          <w:sz w:val="24"/>
        </w:rPr>
        <w:t>报价,或者在竞争性谈判项目中事先约定轮流以高价位或者低价位成交,或者事先约定由某一特定供应商成交,然后再参加</w:t>
      </w:r>
      <w:r>
        <w:rPr>
          <w:rFonts w:hint="eastAsia" w:ascii="宋体" w:hAnsi="宋体" w:cs="宋体"/>
          <w:color w:val="auto"/>
          <w:sz w:val="24"/>
          <w:lang w:bidi="ar"/>
        </w:rPr>
        <w:t>竞争性谈判</w:t>
      </w:r>
      <w:r>
        <w:rPr>
          <w:rFonts w:hint="eastAsia" w:ascii="宋体" w:hAnsi="宋体" w:cs="宋体"/>
          <w:color w:val="auto"/>
          <w:sz w:val="24"/>
        </w:rPr>
        <w:t>；</w:t>
      </w:r>
    </w:p>
    <w:p w14:paraId="4C79C804">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6.供应商之间商定部分供应商放弃参加政府采购活动或者放弃成交；</w:t>
      </w:r>
    </w:p>
    <w:p w14:paraId="17E6A53C">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7.供应商与采购人或者采购代理机构之间、供应商相互之间，为</w:t>
      </w:r>
      <w:r>
        <w:rPr>
          <w:rFonts w:hint="eastAsia" w:ascii="宋体" w:hAnsi="宋体" w:cs="宋体"/>
          <w:color w:val="auto"/>
          <w:spacing w:val="-6"/>
          <w:sz w:val="24"/>
        </w:rPr>
        <w:t>谋求特定供应商成交或者排斥其他供应商的其他串通行为。</w:t>
      </w:r>
    </w:p>
    <w:p w14:paraId="5AB61E57">
      <w:pPr>
        <w:spacing w:line="360" w:lineRule="auto"/>
        <w:ind w:firstLine="480" w:firstLineChars="200"/>
        <w:contextualSpacing/>
        <w:rPr>
          <w:rFonts w:ascii="宋体" w:hAnsi="宋体" w:cs="宋体"/>
          <w:color w:val="auto"/>
          <w:sz w:val="24"/>
        </w:rPr>
      </w:pPr>
    </w:p>
    <w:p w14:paraId="6D00D416">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以上情形一经核查属实，我方愿意承担一切后果，并不再寻求任何旨在减轻或者免除法律责任的辩解。</w:t>
      </w:r>
    </w:p>
    <w:p w14:paraId="207A9F85">
      <w:pPr>
        <w:spacing w:line="360" w:lineRule="auto"/>
        <w:ind w:firstLine="3600" w:firstLineChars="1500"/>
        <w:contextualSpacing/>
        <w:rPr>
          <w:rFonts w:ascii="宋体" w:hAnsi="宋体" w:cs="宋体"/>
          <w:color w:val="auto"/>
          <w:sz w:val="24"/>
          <w:u w:val="single"/>
        </w:rPr>
      </w:pPr>
      <w:r>
        <w:rPr>
          <w:rFonts w:hint="eastAsia" w:ascii="宋体" w:hAnsi="宋体" w:cs="宋体"/>
          <w:color w:val="auto"/>
          <w:sz w:val="24"/>
        </w:rPr>
        <w:t>供应商（公章 ）：</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43FEEF89">
      <w:pPr>
        <w:spacing w:line="360" w:lineRule="auto"/>
        <w:ind w:firstLine="480" w:firstLineChars="200"/>
        <w:contextualSpacing/>
        <w:jc w:val="center"/>
        <w:rPr>
          <w:rFonts w:ascii="宋体" w:hAnsi="宋体" w:cs="宋体"/>
          <w:color w:val="auto"/>
          <w:sz w:val="24"/>
        </w:rPr>
      </w:pPr>
      <w:r>
        <w:rPr>
          <w:rFonts w:hint="eastAsia" w:ascii="宋体" w:hAnsi="宋体" w:cs="宋体"/>
          <w:color w:val="auto"/>
          <w:sz w:val="24"/>
        </w:rPr>
        <w:t xml:space="preserve">                              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3BFC1DDB">
      <w:pPr>
        <w:tabs>
          <w:tab w:val="left" w:pos="3479"/>
        </w:tabs>
        <w:spacing w:line="360" w:lineRule="auto"/>
        <w:jc w:val="center"/>
        <w:rPr>
          <w:rFonts w:ascii="宋体" w:hAnsi="宋体" w:cs="宋体"/>
          <w:b/>
          <w:bCs/>
          <w:color w:val="auto"/>
          <w:sz w:val="32"/>
          <w:szCs w:val="32"/>
        </w:rPr>
      </w:pPr>
      <w:r>
        <w:rPr>
          <w:rFonts w:hint="eastAsia" w:ascii="宋体" w:hAnsi="宋体" w:cs="宋体"/>
          <w:b/>
          <w:bCs/>
          <w:color w:val="auto"/>
          <w:sz w:val="44"/>
          <w:szCs w:val="44"/>
        </w:rPr>
        <w:t>竞争性谈判报价表</w:t>
      </w:r>
    </w:p>
    <w:p w14:paraId="46688EBE">
      <w:pPr>
        <w:spacing w:line="360" w:lineRule="auto"/>
        <w:jc w:val="center"/>
        <w:rPr>
          <w:rFonts w:ascii="宋体" w:hAnsi="宋体" w:cs="宋体"/>
          <w:bCs/>
          <w:color w:val="auto"/>
          <w:sz w:val="24"/>
        </w:rPr>
      </w:pPr>
    </w:p>
    <w:p w14:paraId="1BD1F469">
      <w:pPr>
        <w:snapToGrid w:val="0"/>
        <w:spacing w:line="360" w:lineRule="auto"/>
        <w:rPr>
          <w:rFonts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 xml:space="preserve"> 分标（如有）：</w:t>
      </w:r>
      <w:r>
        <w:rPr>
          <w:rFonts w:hint="eastAsia" w:ascii="宋体" w:hAnsi="宋体" w:cs="宋体"/>
          <w:color w:val="auto"/>
          <w:sz w:val="24"/>
          <w:u w:val="single"/>
        </w:rPr>
        <w:t xml:space="preserve">            </w:t>
      </w:r>
    </w:p>
    <w:p w14:paraId="2515C87C">
      <w:pPr>
        <w:snapToGrid w:val="0"/>
        <w:spacing w:line="360" w:lineRule="auto"/>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5E14DE87">
      <w:pPr>
        <w:snapToGrid w:val="0"/>
        <w:spacing w:line="360" w:lineRule="auto"/>
        <w:ind w:firstLine="5520" w:firstLineChars="2300"/>
        <w:rPr>
          <w:rFonts w:ascii="宋体" w:hAnsi="宋体" w:cs="宋体"/>
          <w:color w:val="auto"/>
          <w:sz w:val="24"/>
        </w:rPr>
      </w:pPr>
      <w:r>
        <w:rPr>
          <w:rFonts w:hint="eastAsia" w:ascii="宋体" w:hAnsi="宋体" w:cs="宋体"/>
          <w:color w:val="auto"/>
          <w:sz w:val="24"/>
        </w:rPr>
        <w:t>货币单位：人民币元</w:t>
      </w:r>
    </w:p>
    <w:tbl>
      <w:tblPr>
        <w:tblStyle w:val="27"/>
        <w:tblW w:w="10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34"/>
        <w:gridCol w:w="1134"/>
        <w:gridCol w:w="1276"/>
        <w:gridCol w:w="1134"/>
        <w:gridCol w:w="992"/>
        <w:gridCol w:w="709"/>
        <w:gridCol w:w="830"/>
        <w:gridCol w:w="1722"/>
        <w:gridCol w:w="1276"/>
      </w:tblGrid>
      <w:tr w14:paraId="1950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709" w:type="dxa"/>
            <w:vAlign w:val="center"/>
          </w:tcPr>
          <w:p w14:paraId="0E0273F8">
            <w:pPr>
              <w:snapToGrid w:val="0"/>
              <w:spacing w:line="460" w:lineRule="exact"/>
              <w:jc w:val="center"/>
              <w:rPr>
                <w:rFonts w:ascii="宋体" w:hAnsi="宋体" w:cs="宋体"/>
                <w:color w:val="auto"/>
                <w:sz w:val="24"/>
              </w:rPr>
            </w:pPr>
            <w:r>
              <w:rPr>
                <w:rFonts w:hint="eastAsia" w:ascii="宋体" w:hAnsi="宋体" w:cs="宋体"/>
                <w:color w:val="auto"/>
                <w:sz w:val="24"/>
              </w:rPr>
              <w:t>序号</w:t>
            </w:r>
          </w:p>
        </w:tc>
        <w:tc>
          <w:tcPr>
            <w:tcW w:w="1034" w:type="dxa"/>
            <w:vAlign w:val="center"/>
          </w:tcPr>
          <w:p w14:paraId="030EF38B">
            <w:pPr>
              <w:snapToGrid w:val="0"/>
              <w:spacing w:line="460" w:lineRule="exact"/>
              <w:jc w:val="center"/>
              <w:rPr>
                <w:rFonts w:ascii="宋体" w:hAnsi="宋体" w:cs="宋体"/>
                <w:color w:val="auto"/>
                <w:sz w:val="24"/>
              </w:rPr>
            </w:pPr>
            <w:r>
              <w:rPr>
                <w:rFonts w:hint="eastAsia" w:ascii="宋体" w:hAnsi="宋体" w:cs="宋体"/>
                <w:color w:val="auto"/>
                <w:sz w:val="24"/>
              </w:rPr>
              <w:t>货物名称</w:t>
            </w:r>
          </w:p>
        </w:tc>
        <w:tc>
          <w:tcPr>
            <w:tcW w:w="1134" w:type="dxa"/>
            <w:vAlign w:val="center"/>
          </w:tcPr>
          <w:p w14:paraId="444ECA95">
            <w:pPr>
              <w:snapToGrid w:val="0"/>
              <w:spacing w:line="460" w:lineRule="exact"/>
              <w:jc w:val="center"/>
              <w:rPr>
                <w:rFonts w:ascii="宋体" w:hAnsi="宋体" w:cs="宋体"/>
                <w:color w:val="auto"/>
                <w:sz w:val="24"/>
              </w:rPr>
            </w:pPr>
            <w:r>
              <w:rPr>
                <w:rFonts w:hint="eastAsia" w:ascii="宋体" w:hAnsi="宋体" w:cs="宋体"/>
                <w:color w:val="auto"/>
                <w:sz w:val="24"/>
              </w:rPr>
              <w:t>品牌</w:t>
            </w:r>
          </w:p>
        </w:tc>
        <w:tc>
          <w:tcPr>
            <w:tcW w:w="1276" w:type="dxa"/>
            <w:vAlign w:val="center"/>
          </w:tcPr>
          <w:p w14:paraId="74E18247">
            <w:pPr>
              <w:snapToGrid w:val="0"/>
              <w:spacing w:line="460" w:lineRule="exact"/>
              <w:jc w:val="center"/>
              <w:rPr>
                <w:rFonts w:ascii="宋体" w:hAnsi="宋体" w:cs="宋体"/>
                <w:color w:val="auto"/>
                <w:sz w:val="24"/>
              </w:rPr>
            </w:pPr>
            <w:r>
              <w:rPr>
                <w:rFonts w:hint="eastAsia" w:ascii="宋体" w:hAnsi="宋体" w:cs="宋体"/>
                <w:color w:val="auto"/>
                <w:sz w:val="24"/>
              </w:rPr>
              <w:t>型号（与铭牌一致）</w:t>
            </w:r>
          </w:p>
        </w:tc>
        <w:tc>
          <w:tcPr>
            <w:tcW w:w="1134" w:type="dxa"/>
            <w:vAlign w:val="center"/>
          </w:tcPr>
          <w:p w14:paraId="18332254">
            <w:pPr>
              <w:snapToGrid w:val="0"/>
              <w:jc w:val="center"/>
              <w:rPr>
                <w:rFonts w:ascii="宋体" w:hAnsi="宋体" w:cs="宋体"/>
                <w:color w:val="auto"/>
                <w:sz w:val="24"/>
              </w:rPr>
            </w:pPr>
            <w:r>
              <w:rPr>
                <w:rFonts w:hint="eastAsia" w:ascii="宋体" w:hAnsi="宋体" w:cs="宋体"/>
                <w:color w:val="auto"/>
                <w:sz w:val="24"/>
              </w:rPr>
              <w:t>生产厂家</w:t>
            </w:r>
          </w:p>
        </w:tc>
        <w:tc>
          <w:tcPr>
            <w:tcW w:w="992" w:type="dxa"/>
            <w:vAlign w:val="center"/>
          </w:tcPr>
          <w:p w14:paraId="3F6693D1">
            <w:pPr>
              <w:snapToGrid w:val="0"/>
              <w:jc w:val="center"/>
              <w:rPr>
                <w:rFonts w:ascii="宋体" w:hAnsi="宋体" w:cs="宋体"/>
                <w:color w:val="auto"/>
                <w:sz w:val="24"/>
              </w:rPr>
            </w:pPr>
            <w:r>
              <w:rPr>
                <w:rFonts w:hint="eastAsia" w:ascii="宋体" w:hAnsi="宋体" w:cs="宋体"/>
                <w:color w:val="auto"/>
                <w:sz w:val="24"/>
              </w:rPr>
              <w:t>产地</w:t>
            </w:r>
          </w:p>
        </w:tc>
        <w:tc>
          <w:tcPr>
            <w:tcW w:w="709" w:type="dxa"/>
            <w:vAlign w:val="center"/>
          </w:tcPr>
          <w:p w14:paraId="2E82ABB6">
            <w:pPr>
              <w:snapToGrid w:val="0"/>
              <w:jc w:val="center"/>
              <w:rPr>
                <w:rFonts w:ascii="宋体" w:hAnsi="宋体" w:cs="宋体"/>
                <w:color w:val="auto"/>
                <w:sz w:val="24"/>
              </w:rPr>
            </w:pPr>
            <w:r>
              <w:rPr>
                <w:rFonts w:hint="eastAsia" w:ascii="宋体" w:hAnsi="宋体" w:cs="宋体"/>
                <w:color w:val="auto"/>
                <w:sz w:val="24"/>
              </w:rPr>
              <w:t>数  量①</w:t>
            </w:r>
          </w:p>
        </w:tc>
        <w:tc>
          <w:tcPr>
            <w:tcW w:w="830" w:type="dxa"/>
            <w:vAlign w:val="center"/>
          </w:tcPr>
          <w:p w14:paraId="7E4F565D">
            <w:pPr>
              <w:snapToGrid w:val="0"/>
              <w:jc w:val="center"/>
              <w:rPr>
                <w:rFonts w:ascii="宋体" w:hAnsi="宋体" w:cs="宋体"/>
                <w:color w:val="auto"/>
                <w:sz w:val="24"/>
              </w:rPr>
            </w:pPr>
            <w:r>
              <w:rPr>
                <w:rFonts w:hint="eastAsia" w:ascii="宋体" w:hAnsi="宋体" w:cs="宋体"/>
                <w:color w:val="auto"/>
                <w:sz w:val="24"/>
              </w:rPr>
              <w:t>单位</w:t>
            </w:r>
          </w:p>
        </w:tc>
        <w:tc>
          <w:tcPr>
            <w:tcW w:w="1722" w:type="dxa"/>
            <w:vAlign w:val="center"/>
          </w:tcPr>
          <w:p w14:paraId="34F59CB9">
            <w:pPr>
              <w:snapToGrid w:val="0"/>
              <w:jc w:val="center"/>
              <w:rPr>
                <w:rFonts w:ascii="宋体" w:hAnsi="宋体" w:cs="宋体"/>
                <w:color w:val="auto"/>
                <w:sz w:val="24"/>
              </w:rPr>
            </w:pPr>
            <w:r>
              <w:rPr>
                <w:rFonts w:hint="eastAsia" w:ascii="宋体" w:hAnsi="宋体" w:cs="宋体"/>
                <w:color w:val="auto"/>
                <w:sz w:val="24"/>
              </w:rPr>
              <w:t>单  价</w:t>
            </w:r>
          </w:p>
          <w:p w14:paraId="7B05302B">
            <w:pPr>
              <w:snapToGrid w:val="0"/>
              <w:jc w:val="center"/>
              <w:rPr>
                <w:rFonts w:ascii="宋体" w:hAnsi="宋体" w:cs="宋体"/>
                <w:color w:val="auto"/>
                <w:sz w:val="24"/>
              </w:rPr>
            </w:pPr>
            <w:r>
              <w:rPr>
                <w:rFonts w:hint="eastAsia" w:ascii="宋体" w:hAnsi="宋体" w:cs="宋体"/>
                <w:color w:val="auto"/>
                <w:sz w:val="24"/>
              </w:rPr>
              <w:t>②</w:t>
            </w:r>
          </w:p>
        </w:tc>
        <w:tc>
          <w:tcPr>
            <w:tcW w:w="1276" w:type="dxa"/>
            <w:vAlign w:val="center"/>
          </w:tcPr>
          <w:p w14:paraId="42565976">
            <w:pPr>
              <w:snapToGrid w:val="0"/>
              <w:spacing w:before="50" w:after="50" w:line="360" w:lineRule="auto"/>
              <w:jc w:val="center"/>
              <w:rPr>
                <w:rFonts w:ascii="宋体" w:hAnsi="宋体" w:cs="宋体"/>
                <w:color w:val="auto"/>
                <w:sz w:val="24"/>
              </w:rPr>
            </w:pPr>
            <w:r>
              <w:rPr>
                <w:rFonts w:hint="eastAsia" w:ascii="宋体" w:hAnsi="宋体" w:cs="宋体"/>
                <w:color w:val="auto"/>
                <w:sz w:val="24"/>
                <w:lang w:bidi="ar"/>
              </w:rPr>
              <w:t>竞争性谈判</w:t>
            </w:r>
            <w:r>
              <w:rPr>
                <w:rFonts w:hint="eastAsia" w:ascii="宋体" w:hAnsi="宋体" w:cs="宋体"/>
                <w:color w:val="auto"/>
                <w:sz w:val="24"/>
              </w:rPr>
              <w:t>报价</w:t>
            </w:r>
          </w:p>
          <w:p w14:paraId="54C5B515">
            <w:pPr>
              <w:snapToGrid w:val="0"/>
              <w:jc w:val="center"/>
              <w:rPr>
                <w:rFonts w:ascii="宋体" w:hAnsi="宋体" w:cs="宋体"/>
                <w:color w:val="auto"/>
                <w:sz w:val="24"/>
              </w:rPr>
            </w:pPr>
            <w:r>
              <w:rPr>
                <w:rFonts w:hint="eastAsia" w:ascii="宋体" w:hAnsi="宋体" w:cs="宋体"/>
                <w:color w:val="auto"/>
                <w:sz w:val="24"/>
              </w:rPr>
              <w:t>③=①×②</w:t>
            </w:r>
          </w:p>
        </w:tc>
      </w:tr>
      <w:tr w14:paraId="432F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09" w:type="dxa"/>
            <w:vAlign w:val="center"/>
          </w:tcPr>
          <w:p w14:paraId="2F094337">
            <w:pPr>
              <w:snapToGrid w:val="0"/>
              <w:spacing w:line="460" w:lineRule="exact"/>
              <w:jc w:val="center"/>
              <w:rPr>
                <w:rFonts w:ascii="宋体" w:hAnsi="宋体" w:cs="宋体"/>
                <w:color w:val="auto"/>
                <w:sz w:val="24"/>
              </w:rPr>
            </w:pPr>
            <w:r>
              <w:rPr>
                <w:rFonts w:hint="eastAsia" w:ascii="宋体" w:hAnsi="宋体" w:cs="宋体"/>
                <w:color w:val="auto"/>
                <w:sz w:val="24"/>
              </w:rPr>
              <w:t>1</w:t>
            </w:r>
          </w:p>
        </w:tc>
        <w:tc>
          <w:tcPr>
            <w:tcW w:w="1034" w:type="dxa"/>
            <w:vAlign w:val="center"/>
          </w:tcPr>
          <w:p w14:paraId="26D60118">
            <w:pPr>
              <w:snapToGrid w:val="0"/>
              <w:spacing w:line="460" w:lineRule="exact"/>
              <w:jc w:val="center"/>
              <w:rPr>
                <w:rFonts w:ascii="宋体" w:hAnsi="宋体" w:cs="宋体"/>
                <w:color w:val="auto"/>
                <w:sz w:val="24"/>
              </w:rPr>
            </w:pPr>
          </w:p>
        </w:tc>
        <w:tc>
          <w:tcPr>
            <w:tcW w:w="1134" w:type="dxa"/>
            <w:vAlign w:val="center"/>
          </w:tcPr>
          <w:p w14:paraId="54867BEC">
            <w:pPr>
              <w:snapToGrid w:val="0"/>
              <w:spacing w:line="460" w:lineRule="exact"/>
              <w:jc w:val="center"/>
              <w:rPr>
                <w:rFonts w:ascii="宋体" w:hAnsi="宋体" w:cs="宋体"/>
                <w:color w:val="auto"/>
                <w:sz w:val="24"/>
              </w:rPr>
            </w:pPr>
          </w:p>
        </w:tc>
        <w:tc>
          <w:tcPr>
            <w:tcW w:w="1276" w:type="dxa"/>
            <w:vAlign w:val="center"/>
          </w:tcPr>
          <w:p w14:paraId="74289611">
            <w:pPr>
              <w:snapToGrid w:val="0"/>
              <w:spacing w:line="460" w:lineRule="exact"/>
              <w:jc w:val="center"/>
              <w:rPr>
                <w:rFonts w:ascii="宋体" w:hAnsi="宋体" w:cs="宋体"/>
                <w:color w:val="auto"/>
                <w:sz w:val="24"/>
              </w:rPr>
            </w:pPr>
          </w:p>
        </w:tc>
        <w:tc>
          <w:tcPr>
            <w:tcW w:w="1134" w:type="dxa"/>
          </w:tcPr>
          <w:p w14:paraId="50A63120">
            <w:pPr>
              <w:snapToGrid w:val="0"/>
              <w:spacing w:line="460" w:lineRule="exact"/>
              <w:jc w:val="center"/>
              <w:rPr>
                <w:rFonts w:ascii="宋体" w:hAnsi="宋体" w:cs="宋体"/>
                <w:color w:val="auto"/>
                <w:sz w:val="24"/>
              </w:rPr>
            </w:pPr>
          </w:p>
        </w:tc>
        <w:tc>
          <w:tcPr>
            <w:tcW w:w="992" w:type="dxa"/>
            <w:vAlign w:val="center"/>
          </w:tcPr>
          <w:p w14:paraId="5C8294C2">
            <w:pPr>
              <w:snapToGrid w:val="0"/>
              <w:spacing w:line="460" w:lineRule="exact"/>
              <w:jc w:val="center"/>
              <w:rPr>
                <w:rFonts w:ascii="宋体" w:hAnsi="宋体" w:cs="宋体"/>
                <w:color w:val="auto"/>
                <w:sz w:val="24"/>
              </w:rPr>
            </w:pPr>
          </w:p>
        </w:tc>
        <w:tc>
          <w:tcPr>
            <w:tcW w:w="709" w:type="dxa"/>
            <w:vAlign w:val="center"/>
          </w:tcPr>
          <w:p w14:paraId="5BE48C99">
            <w:pPr>
              <w:pStyle w:val="78"/>
              <w:snapToGrid w:val="0"/>
              <w:spacing w:line="460" w:lineRule="exact"/>
              <w:ind w:left="360" w:firstLine="0" w:firstLineChars="0"/>
              <w:rPr>
                <w:rFonts w:ascii="宋体" w:hAnsi="宋体" w:cs="宋体"/>
                <w:color w:val="auto"/>
                <w:sz w:val="24"/>
              </w:rPr>
            </w:pPr>
          </w:p>
        </w:tc>
        <w:tc>
          <w:tcPr>
            <w:tcW w:w="830" w:type="dxa"/>
          </w:tcPr>
          <w:p w14:paraId="3F6750CE">
            <w:pPr>
              <w:snapToGrid w:val="0"/>
              <w:spacing w:line="460" w:lineRule="exact"/>
              <w:jc w:val="center"/>
              <w:rPr>
                <w:rFonts w:ascii="宋体" w:hAnsi="宋体" w:cs="宋体"/>
                <w:color w:val="auto"/>
                <w:sz w:val="24"/>
              </w:rPr>
            </w:pPr>
          </w:p>
        </w:tc>
        <w:tc>
          <w:tcPr>
            <w:tcW w:w="1722" w:type="dxa"/>
            <w:vAlign w:val="center"/>
          </w:tcPr>
          <w:p w14:paraId="10492721">
            <w:pPr>
              <w:pStyle w:val="78"/>
              <w:snapToGrid w:val="0"/>
              <w:spacing w:line="460" w:lineRule="exact"/>
              <w:ind w:left="360" w:firstLine="0" w:firstLineChars="0"/>
              <w:rPr>
                <w:rFonts w:ascii="宋体" w:hAnsi="宋体" w:cs="宋体"/>
                <w:color w:val="auto"/>
                <w:sz w:val="24"/>
              </w:rPr>
            </w:pPr>
          </w:p>
        </w:tc>
        <w:tc>
          <w:tcPr>
            <w:tcW w:w="1276" w:type="dxa"/>
          </w:tcPr>
          <w:p w14:paraId="5E0E5C37">
            <w:pPr>
              <w:snapToGrid w:val="0"/>
              <w:spacing w:line="460" w:lineRule="exact"/>
              <w:jc w:val="center"/>
              <w:rPr>
                <w:rFonts w:ascii="宋体" w:hAnsi="宋体" w:cs="宋体"/>
                <w:color w:val="auto"/>
                <w:sz w:val="24"/>
              </w:rPr>
            </w:pPr>
          </w:p>
        </w:tc>
      </w:tr>
      <w:tr w14:paraId="663D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0816" w:type="dxa"/>
            <w:gridSpan w:val="10"/>
          </w:tcPr>
          <w:p w14:paraId="515135A1">
            <w:pPr>
              <w:snapToGrid w:val="0"/>
              <w:spacing w:line="460" w:lineRule="exact"/>
              <w:jc w:val="left"/>
              <w:rPr>
                <w:color w:val="auto"/>
              </w:rPr>
            </w:pPr>
            <w:r>
              <w:rPr>
                <w:rFonts w:hint="eastAsia" w:ascii="宋体" w:hAnsi="宋体" w:cs="宋体"/>
                <w:color w:val="auto"/>
                <w:sz w:val="24"/>
              </w:rPr>
              <w:t>合计金额（人民币大写</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b/>
                <w:bCs/>
                <w:color w:val="auto"/>
                <w:sz w:val="24"/>
                <w:u w:val="single"/>
              </w:rPr>
              <w:t xml:space="preserve"> </w:t>
            </w:r>
            <w:r>
              <w:rPr>
                <w:rFonts w:ascii="宋体" w:hAnsi="宋体" w:cs="宋体"/>
                <w:b/>
                <w:bCs/>
                <w:color w:val="auto"/>
                <w:sz w:val="24"/>
                <w:u w:val="single"/>
              </w:rPr>
              <w:t xml:space="preserve">              </w:t>
            </w:r>
            <w:r>
              <w:rPr>
                <w:rFonts w:hint="eastAsia" w:ascii="宋体" w:hAnsi="宋体" w:cs="宋体"/>
                <w:bCs/>
                <w:color w:val="auto"/>
                <w:sz w:val="24"/>
                <w:u w:val="single"/>
              </w:rPr>
              <w:t>元整</w:t>
            </w:r>
            <w:r>
              <w:rPr>
                <w:rFonts w:hint="eastAsia" w:ascii="宋体" w:hAnsi="宋体" w:cs="宋体"/>
                <w:bCs/>
                <w:color w:val="auto"/>
                <w:sz w:val="24"/>
              </w:rPr>
              <w:t>（小写）</w:t>
            </w:r>
            <w:r>
              <w:rPr>
                <w:rFonts w:hint="eastAsia" w:ascii="宋体" w:hAnsi="宋体" w:cs="宋体"/>
                <w:bCs/>
                <w:color w:val="auto"/>
                <w:sz w:val="24"/>
                <w:u w:val="single"/>
              </w:rPr>
              <w:t xml:space="preserve">¥ </w:t>
            </w:r>
            <w:r>
              <w:rPr>
                <w:rFonts w:ascii="宋体" w:hAnsi="宋体" w:cs="宋体"/>
                <w:bCs/>
                <w:color w:val="auto"/>
                <w:sz w:val="24"/>
                <w:u w:val="single"/>
              </w:rPr>
              <w:t xml:space="preserve">         </w:t>
            </w:r>
          </w:p>
        </w:tc>
      </w:tr>
      <w:tr w14:paraId="038F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10816" w:type="dxa"/>
            <w:gridSpan w:val="10"/>
          </w:tcPr>
          <w:p w14:paraId="03B2A452">
            <w:pPr>
              <w:snapToGrid w:val="0"/>
              <w:spacing w:line="460" w:lineRule="exact"/>
              <w:jc w:val="left"/>
              <w:rPr>
                <w:rFonts w:ascii="宋体" w:hAnsi="宋体" w:cs="宋体"/>
                <w:color w:val="auto"/>
                <w:sz w:val="24"/>
              </w:rPr>
            </w:pPr>
            <w:r>
              <w:rPr>
                <w:rFonts w:hint="eastAsia" w:ascii="宋体" w:hAnsi="宋体" w:cs="宋体"/>
                <w:color w:val="auto"/>
                <w:sz w:val="24"/>
              </w:rPr>
              <w:t>交货时间：合同签订后</w:t>
            </w:r>
            <w:r>
              <w:rPr>
                <w:rFonts w:hint="eastAsia" w:ascii="宋体" w:hAnsi="宋体" w:cs="宋体"/>
                <w:color w:val="auto"/>
                <w:sz w:val="24"/>
                <w:u w:val="single"/>
              </w:rPr>
              <w:t xml:space="preserve">    </w:t>
            </w:r>
            <w:r>
              <w:rPr>
                <w:rFonts w:hint="eastAsia" w:ascii="宋体" w:hAnsi="宋体" w:cs="宋体"/>
                <w:color w:val="auto"/>
                <w:sz w:val="24"/>
              </w:rPr>
              <w:t>日内全部完成设备的供货并安装调试完毕。。</w:t>
            </w:r>
          </w:p>
        </w:tc>
      </w:tr>
    </w:tbl>
    <w:p w14:paraId="631F2D37">
      <w:pPr>
        <w:pStyle w:val="40"/>
        <w:rPr>
          <w:color w:val="auto"/>
        </w:rPr>
      </w:pPr>
    </w:p>
    <w:p w14:paraId="115ED70A">
      <w:pPr>
        <w:spacing w:line="300" w:lineRule="exact"/>
        <w:contextualSpacing/>
        <w:jc w:val="left"/>
        <w:rPr>
          <w:rFonts w:ascii="楷体" w:hAnsi="楷体" w:eastAsia="楷体" w:cs="宋体"/>
          <w:b/>
          <w:color w:val="auto"/>
          <w:sz w:val="24"/>
        </w:rPr>
      </w:pPr>
      <w:r>
        <w:rPr>
          <w:rFonts w:hint="eastAsia" w:ascii="楷体" w:hAnsi="楷体" w:eastAsia="楷体" w:cs="宋体"/>
          <w:b/>
          <w:color w:val="auto"/>
          <w:sz w:val="24"/>
        </w:rPr>
        <w:t>注</w:t>
      </w:r>
      <w:r>
        <w:rPr>
          <w:rFonts w:ascii="楷体" w:hAnsi="楷体" w:eastAsia="楷体" w:cs="宋体"/>
          <w:b/>
          <w:color w:val="auto"/>
          <w:sz w:val="24"/>
        </w:rPr>
        <w:t xml:space="preserve">: </w:t>
      </w:r>
    </w:p>
    <w:p w14:paraId="37CC7B6F">
      <w:pPr>
        <w:spacing w:line="300" w:lineRule="exact"/>
        <w:ind w:firstLine="480" w:firstLineChars="200"/>
        <w:contextualSpacing/>
        <w:jc w:val="left"/>
        <w:rPr>
          <w:rFonts w:ascii="楷体" w:hAnsi="楷体" w:eastAsia="楷体" w:cs="宋体"/>
          <w:b/>
          <w:color w:val="auto"/>
          <w:sz w:val="24"/>
        </w:rPr>
      </w:pPr>
      <w:r>
        <w:rPr>
          <w:rFonts w:ascii="楷体" w:hAnsi="楷体" w:eastAsia="楷体" w:cs="宋体"/>
          <w:color w:val="auto"/>
          <w:sz w:val="24"/>
        </w:rPr>
        <w:t>1.</w:t>
      </w:r>
      <w:r>
        <w:rPr>
          <w:rFonts w:hint="eastAsia" w:ascii="楷体" w:hAnsi="楷体" w:eastAsia="楷体" w:cs="宋体"/>
          <w:color w:val="auto"/>
          <w:sz w:val="24"/>
        </w:rPr>
        <w:t>竞争性谈判报价表中“货物名称、数量、单位、品牌、型号、生产厂家、产地”必须如实填写完整，定制产品在型号栏中填写“定制”。</w:t>
      </w:r>
      <w:r>
        <w:rPr>
          <w:rFonts w:hint="eastAsia" w:ascii="楷体" w:hAnsi="楷体" w:eastAsia="楷体" w:cs="宋体"/>
          <w:b/>
          <w:color w:val="auto"/>
          <w:sz w:val="24"/>
        </w:rPr>
        <w:t>填写有缺漏</w:t>
      </w:r>
      <w:r>
        <w:rPr>
          <w:rFonts w:hint="eastAsia" w:ascii="楷体" w:hAnsi="楷体" w:eastAsia="楷体" w:cs="宋体"/>
          <w:b/>
          <w:bCs/>
          <w:color w:val="auto"/>
          <w:sz w:val="24"/>
        </w:rPr>
        <w:t>的，</w:t>
      </w:r>
      <w:r>
        <w:rPr>
          <w:rFonts w:hint="eastAsia" w:ascii="楷体" w:hAnsi="楷体" w:eastAsia="楷体" w:cs="宋体"/>
          <w:b/>
          <w:color w:val="auto"/>
          <w:sz w:val="24"/>
        </w:rPr>
        <w:t>其响应文件按无效响应处理。</w:t>
      </w:r>
    </w:p>
    <w:p w14:paraId="56A92387">
      <w:pPr>
        <w:snapToGrid w:val="0"/>
        <w:spacing w:before="50" w:after="50" w:line="300" w:lineRule="exact"/>
        <w:ind w:firstLine="482" w:firstLineChars="200"/>
        <w:jc w:val="left"/>
        <w:rPr>
          <w:rFonts w:ascii="楷体" w:hAnsi="楷体" w:eastAsia="楷体"/>
          <w:color w:val="auto"/>
        </w:rPr>
      </w:pPr>
      <w:r>
        <w:rPr>
          <w:rFonts w:ascii="楷体" w:hAnsi="楷体" w:eastAsia="楷体" w:cs="宋体"/>
          <w:b/>
          <w:color w:val="auto"/>
          <w:sz w:val="24"/>
        </w:rPr>
        <w:t>2.所填写的型号与货物铭牌一致。</w:t>
      </w:r>
    </w:p>
    <w:p w14:paraId="597B0BA1">
      <w:pPr>
        <w:spacing w:line="300" w:lineRule="exact"/>
        <w:ind w:firstLine="480" w:firstLineChars="200"/>
        <w:contextualSpacing/>
        <w:jc w:val="left"/>
        <w:rPr>
          <w:rFonts w:ascii="楷体" w:hAnsi="楷体" w:eastAsia="楷体" w:cs="宋体"/>
          <w:color w:val="auto"/>
          <w:sz w:val="24"/>
        </w:rPr>
      </w:pPr>
      <w:r>
        <w:rPr>
          <w:rFonts w:ascii="楷体" w:hAnsi="楷体" w:eastAsia="楷体" w:cs="宋体"/>
          <w:color w:val="auto"/>
          <w:sz w:val="24"/>
        </w:rPr>
        <w:t>3.供应商的报价表必须加盖供应商公章并由法定代表人或者委托代理人签字，</w:t>
      </w:r>
      <w:r>
        <w:rPr>
          <w:rFonts w:hint="eastAsia" w:ascii="楷体" w:hAnsi="楷体" w:eastAsia="楷体" w:cs="宋体"/>
          <w:b/>
          <w:color w:val="auto"/>
          <w:sz w:val="24"/>
        </w:rPr>
        <w:t>否则其响应文件按无效响应处理</w:t>
      </w:r>
      <w:r>
        <w:rPr>
          <w:rFonts w:hint="eastAsia" w:ascii="楷体" w:hAnsi="楷体" w:eastAsia="楷体" w:cs="宋体"/>
          <w:color w:val="auto"/>
          <w:sz w:val="24"/>
        </w:rPr>
        <w:t>。</w:t>
      </w:r>
    </w:p>
    <w:p w14:paraId="4AC8EF70">
      <w:pPr>
        <w:spacing w:line="300" w:lineRule="exact"/>
        <w:ind w:firstLine="480" w:firstLineChars="200"/>
        <w:contextualSpacing/>
        <w:jc w:val="left"/>
        <w:rPr>
          <w:rFonts w:ascii="楷体" w:hAnsi="楷体" w:eastAsia="楷体" w:cs="宋体"/>
          <w:b/>
          <w:color w:val="auto"/>
          <w:sz w:val="24"/>
        </w:rPr>
      </w:pPr>
      <w:r>
        <w:rPr>
          <w:rFonts w:ascii="楷体" w:hAnsi="楷体" w:eastAsia="楷体" w:cs="宋体"/>
          <w:bCs/>
          <w:color w:val="auto"/>
          <w:sz w:val="24"/>
        </w:rPr>
        <w:t>4.</w:t>
      </w:r>
      <w:r>
        <w:rPr>
          <w:rFonts w:hint="eastAsia" w:ascii="楷体" w:hAnsi="楷体" w:eastAsia="楷体" w:cs="宋体"/>
          <w:color w:val="auto"/>
          <w:sz w:val="24"/>
        </w:rPr>
        <w:t>报价一经涂改，应在涂改处加盖供应商公章或者由法定代表人或者授权委托人签字或者盖章</w:t>
      </w:r>
      <w:r>
        <w:rPr>
          <w:rFonts w:hint="eastAsia" w:ascii="楷体" w:hAnsi="楷体" w:eastAsia="楷体" w:cs="宋体"/>
          <w:b/>
          <w:color w:val="auto"/>
          <w:sz w:val="24"/>
        </w:rPr>
        <w:t>，否则其响应文件按无效响应处理。</w:t>
      </w:r>
    </w:p>
    <w:p w14:paraId="7D5CB68C">
      <w:pPr>
        <w:spacing w:line="300" w:lineRule="exact"/>
        <w:ind w:firstLine="480" w:firstLineChars="200"/>
        <w:contextualSpacing/>
        <w:jc w:val="left"/>
        <w:rPr>
          <w:rFonts w:ascii="楷体" w:hAnsi="楷体" w:eastAsia="楷体" w:cs="宋体"/>
          <w:color w:val="auto"/>
          <w:sz w:val="24"/>
        </w:rPr>
      </w:pPr>
      <w:r>
        <w:rPr>
          <w:rFonts w:ascii="楷体" w:hAnsi="楷体" w:eastAsia="楷体" w:cs="宋体"/>
          <w:color w:val="auto"/>
          <w:sz w:val="24"/>
        </w:rPr>
        <w:t>5.谈判文件中列明采购专用耗材的，应按谈判文件规定的耗材量或者按耗材的常规</w:t>
      </w:r>
      <w:r>
        <w:rPr>
          <w:rFonts w:hint="eastAsia" w:ascii="楷体" w:hAnsi="楷体" w:eastAsia="楷体" w:cs="宋体"/>
          <w:color w:val="auto"/>
          <w:sz w:val="24"/>
        </w:rPr>
        <w:t>使用量提供报价。</w:t>
      </w:r>
    </w:p>
    <w:p w14:paraId="3BBD1072">
      <w:pPr>
        <w:spacing w:line="300" w:lineRule="exact"/>
        <w:ind w:firstLine="480" w:firstLineChars="200"/>
        <w:contextualSpacing/>
        <w:jc w:val="left"/>
        <w:rPr>
          <w:rFonts w:ascii="楷体" w:hAnsi="楷体" w:eastAsia="楷体" w:cs="宋体"/>
          <w:color w:val="auto"/>
          <w:sz w:val="24"/>
        </w:rPr>
      </w:pPr>
      <w:r>
        <w:rPr>
          <w:rFonts w:ascii="楷体" w:hAnsi="楷体" w:eastAsia="楷体" w:cs="宋体"/>
          <w:color w:val="auto"/>
          <w:sz w:val="24"/>
        </w:rPr>
        <w:t>6.如为联合体</w:t>
      </w:r>
      <w:r>
        <w:rPr>
          <w:rFonts w:hint="eastAsia" w:ascii="楷体" w:hAnsi="楷体" w:eastAsia="楷体" w:cs="宋体"/>
          <w:color w:val="auto"/>
          <w:sz w:val="24"/>
        </w:rPr>
        <w:t>参与竞争性谈判</w:t>
      </w:r>
      <w:r>
        <w:rPr>
          <w:rFonts w:ascii="楷体" w:hAnsi="楷体" w:eastAsia="楷体" w:cs="宋体"/>
          <w:color w:val="auto"/>
          <w:sz w:val="24"/>
        </w:rPr>
        <w:t>,“供应商名称”处必须列明联合体各方名称，标注联合体牵头人名称，</w:t>
      </w:r>
      <w:r>
        <w:rPr>
          <w:rFonts w:hint="eastAsia" w:ascii="楷体" w:hAnsi="楷体" w:eastAsia="楷体" w:cs="宋体"/>
          <w:b/>
          <w:color w:val="auto"/>
          <w:sz w:val="24"/>
        </w:rPr>
        <w:t>否则其响应文件按无效响应处理。（采购人可根据项目情况自行修改是否需要联合体各方签字盖章）</w:t>
      </w:r>
    </w:p>
    <w:p w14:paraId="5BD1DCB2">
      <w:pPr>
        <w:spacing w:line="300" w:lineRule="exact"/>
        <w:ind w:firstLine="480" w:firstLineChars="200"/>
        <w:contextualSpacing/>
        <w:jc w:val="left"/>
        <w:rPr>
          <w:rFonts w:ascii="楷体" w:hAnsi="楷体" w:eastAsia="楷体" w:cs="宋体"/>
          <w:color w:val="auto"/>
          <w:sz w:val="24"/>
        </w:rPr>
      </w:pPr>
      <w:r>
        <w:rPr>
          <w:rFonts w:ascii="楷体" w:hAnsi="楷体" w:eastAsia="楷体" w:cs="宋体"/>
          <w:color w:val="auto"/>
          <w:sz w:val="24"/>
        </w:rPr>
        <w:t>7.如为联合体</w:t>
      </w:r>
      <w:r>
        <w:rPr>
          <w:rFonts w:hint="eastAsia" w:ascii="楷体" w:hAnsi="楷体" w:eastAsia="楷体" w:cs="宋体"/>
          <w:color w:val="auto"/>
          <w:sz w:val="24"/>
        </w:rPr>
        <w:t>参与竞争性谈判</w:t>
      </w:r>
      <w:r>
        <w:rPr>
          <w:rFonts w:ascii="楷体" w:hAnsi="楷体" w:eastAsia="楷体" w:cs="宋体"/>
          <w:color w:val="auto"/>
          <w:sz w:val="24"/>
        </w:rPr>
        <w:t>,盖章处须加盖联合体各方公章，</w:t>
      </w:r>
      <w:r>
        <w:rPr>
          <w:rFonts w:hint="eastAsia" w:ascii="楷体" w:hAnsi="楷体" w:eastAsia="楷体" w:cs="宋体"/>
          <w:b/>
          <w:color w:val="auto"/>
          <w:sz w:val="24"/>
        </w:rPr>
        <w:t>否则其响应文件按无效响应处理。</w:t>
      </w:r>
    </w:p>
    <w:p w14:paraId="00DD043A">
      <w:pPr>
        <w:spacing w:line="300" w:lineRule="exact"/>
        <w:ind w:firstLine="480" w:firstLineChars="200"/>
        <w:contextualSpacing/>
        <w:rPr>
          <w:rFonts w:ascii="楷体" w:hAnsi="楷体" w:eastAsia="楷体" w:cs="宋体"/>
          <w:b/>
          <w:color w:val="auto"/>
          <w:sz w:val="24"/>
        </w:rPr>
      </w:pPr>
      <w:r>
        <w:rPr>
          <w:rFonts w:ascii="楷体" w:hAnsi="楷体" w:eastAsia="楷体" w:cs="宋体"/>
          <w:color w:val="auto"/>
          <w:sz w:val="24"/>
        </w:rPr>
        <w:t>8.</w:t>
      </w:r>
      <w:r>
        <w:rPr>
          <w:rFonts w:hint="eastAsia" w:ascii="楷体" w:hAnsi="楷体" w:eastAsia="楷体" w:cs="宋体"/>
          <w:color w:val="auto"/>
          <w:spacing w:val="-6"/>
          <w:sz w:val="24"/>
        </w:rPr>
        <w:t>如有多分标，分别列明各分标的报价表，</w:t>
      </w:r>
      <w:r>
        <w:rPr>
          <w:rFonts w:hint="eastAsia" w:ascii="楷体" w:hAnsi="楷体" w:eastAsia="楷体" w:cs="宋体"/>
          <w:b/>
          <w:color w:val="auto"/>
          <w:spacing w:val="-6"/>
          <w:sz w:val="24"/>
        </w:rPr>
        <w:t>否则其响应文件按无效响应处理。</w:t>
      </w:r>
      <w:r>
        <w:rPr>
          <w:rFonts w:hint="eastAsia" w:ascii="楷体" w:hAnsi="楷体" w:eastAsia="楷体" w:cs="宋体"/>
          <w:b/>
          <w:color w:val="auto"/>
          <w:sz w:val="24"/>
        </w:rPr>
        <w:t>（采购人可根据项目情况自行修改是否需要联合体各方签字盖章）</w:t>
      </w:r>
    </w:p>
    <w:p w14:paraId="1CCCDF39">
      <w:pPr>
        <w:pStyle w:val="40"/>
        <w:rPr>
          <w:color w:val="auto"/>
        </w:rPr>
      </w:pPr>
    </w:p>
    <w:p w14:paraId="583B2745">
      <w:pPr>
        <w:spacing w:line="360" w:lineRule="auto"/>
        <w:ind w:firstLine="2640" w:firstLineChars="1100"/>
        <w:contextualSpacing/>
        <w:rPr>
          <w:rFonts w:ascii="宋体" w:hAnsi="宋体" w:cs="宋体"/>
          <w:color w:val="auto"/>
          <w:sz w:val="24"/>
        </w:rPr>
      </w:pPr>
      <w:r>
        <w:rPr>
          <w:rFonts w:hint="eastAsia" w:ascii="宋体" w:hAnsi="宋体" w:cs="宋体"/>
          <w:color w:val="auto"/>
          <w:sz w:val="24"/>
        </w:rPr>
        <w:t>法定代表人或者委托代理人（签字）：</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01C7527C">
      <w:pPr>
        <w:spacing w:line="360" w:lineRule="auto"/>
        <w:ind w:firstLine="2640" w:firstLineChars="1100"/>
        <w:contextualSpacing/>
        <w:rPr>
          <w:rFonts w:ascii="宋体" w:hAnsi="宋体" w:cs="宋体"/>
          <w:color w:val="auto"/>
          <w:sz w:val="24"/>
        </w:rPr>
      </w:pPr>
      <w:r>
        <w:rPr>
          <w:rFonts w:hint="eastAsia" w:ascii="宋体" w:hAnsi="宋体" w:cs="宋体"/>
          <w:color w:val="auto"/>
          <w:sz w:val="24"/>
        </w:rPr>
        <w:t>供应商（公章）：</w:t>
      </w:r>
      <w:r>
        <w:rPr>
          <w:rFonts w:ascii="宋体" w:hAnsi="宋体" w:cs="宋体"/>
          <w:color w:val="auto"/>
          <w:sz w:val="24"/>
          <w:u w:val="single"/>
        </w:rPr>
        <w:t xml:space="preserve">                          </w:t>
      </w:r>
      <w:r>
        <w:rPr>
          <w:rFonts w:hint="eastAsia" w:ascii="宋体" w:hAnsi="宋体" w:cs="宋体"/>
          <w:color w:val="auto"/>
          <w:sz w:val="24"/>
        </w:rPr>
        <w:t xml:space="preserve"> </w:t>
      </w:r>
    </w:p>
    <w:p w14:paraId="4B6058DD">
      <w:pPr>
        <w:spacing w:line="360" w:lineRule="auto"/>
        <w:ind w:firstLine="2640" w:firstLineChars="1100"/>
        <w:contextualSpacing/>
        <w:rPr>
          <w:rFonts w:ascii="宋体" w:hAnsi="宋体" w:cs="宋体"/>
          <w:b/>
          <w:color w:val="auto"/>
          <w:sz w:val="24"/>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5E623850">
      <w:pPr>
        <w:spacing w:line="360" w:lineRule="auto"/>
        <w:jc w:val="center"/>
        <w:rPr>
          <w:rFonts w:ascii="宋体" w:hAnsi="宋体" w:cs="宋体"/>
          <w:b/>
          <w:color w:val="auto"/>
          <w:sz w:val="32"/>
          <w:szCs w:val="32"/>
        </w:rPr>
      </w:pPr>
      <w:r>
        <w:rPr>
          <w:rFonts w:hint="eastAsia" w:ascii="宋体" w:hAnsi="宋体" w:cs="宋体"/>
          <w:b/>
          <w:color w:val="auto"/>
          <w:sz w:val="32"/>
          <w:szCs w:val="32"/>
        </w:rPr>
        <w:br w:type="page"/>
      </w:r>
      <w:r>
        <w:rPr>
          <w:rFonts w:hint="eastAsia" w:ascii="宋体" w:hAnsi="宋体" w:cs="宋体"/>
          <w:b/>
          <w:bCs/>
          <w:color w:val="auto"/>
          <w:sz w:val="44"/>
          <w:szCs w:val="44"/>
        </w:rPr>
        <w:t>法定代表人身份证明</w:t>
      </w:r>
    </w:p>
    <w:p w14:paraId="3217834C">
      <w:pPr>
        <w:spacing w:line="360" w:lineRule="auto"/>
        <w:contextualSpacing/>
        <w:rPr>
          <w:rFonts w:ascii="宋体" w:hAnsi="宋体" w:cs="宋体"/>
          <w:color w:val="auto"/>
          <w:sz w:val="32"/>
          <w:szCs w:val="32"/>
        </w:rPr>
      </w:pPr>
    </w:p>
    <w:p w14:paraId="1AE6D942">
      <w:pPr>
        <w:spacing w:line="360" w:lineRule="auto"/>
        <w:contextualSpacing/>
        <w:rPr>
          <w:rFonts w:ascii="宋体" w:hAnsi="宋体" w:cs="宋体"/>
          <w:color w:val="auto"/>
          <w:sz w:val="24"/>
        </w:rPr>
      </w:pPr>
      <w:r>
        <w:rPr>
          <w:rFonts w:hint="eastAsia" w:ascii="宋体" w:hAnsi="宋体" w:cs="宋体"/>
          <w:color w:val="auto"/>
          <w:sz w:val="24"/>
        </w:rPr>
        <w:t>供应商名称：</w:t>
      </w:r>
      <w:r>
        <w:rPr>
          <w:rFonts w:hint="eastAsia" w:ascii="宋体" w:hAnsi="宋体" w:cs="宋体"/>
          <w:color w:val="auto"/>
          <w:sz w:val="24"/>
          <w:u w:val="single"/>
        </w:rPr>
        <w:t xml:space="preserve">                                                        </w:t>
      </w:r>
    </w:p>
    <w:p w14:paraId="6DC2D366">
      <w:pPr>
        <w:spacing w:line="360" w:lineRule="auto"/>
        <w:contextualSpacing/>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p>
    <w:p w14:paraId="59BD41B8">
      <w:pPr>
        <w:spacing w:line="360" w:lineRule="auto"/>
        <w:contextualSpacing/>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rPr>
        <w:t xml:space="preserve">                        </w:t>
      </w:r>
      <w:r>
        <w:rPr>
          <w:rFonts w:hint="eastAsia" w:ascii="宋体" w:hAnsi="宋体" w:cs="宋体"/>
          <w:color w:val="auto"/>
          <w:sz w:val="24"/>
        </w:rPr>
        <w:t>性      别：</w:t>
      </w:r>
      <w:r>
        <w:rPr>
          <w:rFonts w:hint="eastAsia" w:ascii="宋体" w:hAnsi="宋体" w:cs="宋体"/>
          <w:color w:val="auto"/>
          <w:sz w:val="24"/>
          <w:u w:val="single"/>
        </w:rPr>
        <w:t xml:space="preserve">                      </w:t>
      </w:r>
    </w:p>
    <w:p w14:paraId="38DEED4F">
      <w:pPr>
        <w:spacing w:line="360" w:lineRule="auto"/>
        <w:contextualSpacing/>
        <w:rPr>
          <w:rFonts w:ascii="宋体" w:hAnsi="宋体" w:cs="宋体"/>
          <w:color w:val="auto"/>
          <w:sz w:val="24"/>
          <w:u w:val="single"/>
        </w:rPr>
      </w:pPr>
      <w:r>
        <w:rPr>
          <w:rFonts w:hint="eastAsia" w:ascii="宋体" w:hAnsi="宋体" w:cs="宋体"/>
          <w:color w:val="auto"/>
          <w:sz w:val="24"/>
        </w:rPr>
        <w:t>年    龄：</w:t>
      </w:r>
      <w:r>
        <w:rPr>
          <w:rFonts w:hint="eastAsia" w:ascii="宋体" w:hAnsi="宋体" w:cs="宋体"/>
          <w:color w:val="auto"/>
          <w:sz w:val="24"/>
          <w:u w:val="single"/>
        </w:rPr>
        <w:t xml:space="preserve">                        </w:t>
      </w:r>
      <w:r>
        <w:rPr>
          <w:rFonts w:hint="eastAsia" w:ascii="宋体" w:hAnsi="宋体" w:cs="宋体"/>
          <w:color w:val="auto"/>
          <w:sz w:val="24"/>
        </w:rPr>
        <w:t>职      务：</w:t>
      </w:r>
      <w:r>
        <w:rPr>
          <w:rFonts w:hint="eastAsia" w:ascii="宋体" w:hAnsi="宋体" w:cs="宋体"/>
          <w:color w:val="auto"/>
          <w:sz w:val="24"/>
          <w:u w:val="single"/>
        </w:rPr>
        <w:t xml:space="preserve">                      </w:t>
      </w:r>
    </w:p>
    <w:p w14:paraId="54E69FD8">
      <w:pPr>
        <w:spacing w:line="360" w:lineRule="auto"/>
        <w:contextualSpacing/>
        <w:rPr>
          <w:rFonts w:ascii="宋体" w:hAnsi="宋体" w:cs="宋体"/>
          <w:color w:val="auto"/>
          <w:sz w:val="24"/>
        </w:rPr>
      </w:pPr>
      <w:r>
        <w:rPr>
          <w:rFonts w:hint="eastAsia" w:ascii="宋体" w:hAnsi="宋体" w:cs="宋体"/>
          <w:color w:val="auto"/>
          <w:sz w:val="24"/>
        </w:rPr>
        <w:t>身份证号码：</w:t>
      </w:r>
      <w:r>
        <w:rPr>
          <w:rFonts w:hint="eastAsia" w:ascii="宋体" w:hAnsi="宋体" w:cs="宋体"/>
          <w:color w:val="auto"/>
          <w:sz w:val="24"/>
          <w:u w:val="single"/>
        </w:rPr>
        <w:t xml:space="preserve">                                                        </w:t>
      </w:r>
    </w:p>
    <w:p w14:paraId="6594A856">
      <w:pPr>
        <w:spacing w:line="360" w:lineRule="auto"/>
        <w:contextualSpacing/>
        <w:rPr>
          <w:rFonts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（供应商名称）   </w:t>
      </w:r>
      <w:r>
        <w:rPr>
          <w:rFonts w:hint="eastAsia" w:ascii="宋体" w:hAnsi="宋体" w:cs="宋体"/>
          <w:color w:val="auto"/>
          <w:sz w:val="24"/>
        </w:rPr>
        <w:t>的法定代表人。</w:t>
      </w:r>
    </w:p>
    <w:p w14:paraId="5FAAC850">
      <w:pPr>
        <w:spacing w:line="360" w:lineRule="auto"/>
        <w:contextualSpacing/>
        <w:rPr>
          <w:rFonts w:ascii="宋体" w:hAnsi="宋体" w:cs="宋体"/>
          <w:color w:val="auto"/>
          <w:sz w:val="24"/>
        </w:rPr>
      </w:pPr>
      <w:r>
        <w:rPr>
          <w:rFonts w:hint="eastAsia" w:ascii="宋体" w:hAnsi="宋体" w:cs="宋体"/>
          <w:color w:val="auto"/>
          <w:sz w:val="24"/>
        </w:rPr>
        <w:t>特此证明。</w:t>
      </w:r>
    </w:p>
    <w:p w14:paraId="5147B7E0">
      <w:pPr>
        <w:spacing w:line="360" w:lineRule="auto"/>
        <w:contextualSpacing/>
        <w:rPr>
          <w:rFonts w:ascii="宋体" w:hAnsi="宋体" w:cs="宋体"/>
          <w:color w:val="auto"/>
          <w:sz w:val="24"/>
        </w:rPr>
      </w:pPr>
    </w:p>
    <w:p w14:paraId="35AB9889">
      <w:pPr>
        <w:spacing w:line="360" w:lineRule="auto"/>
        <w:contextualSpacing/>
        <w:rPr>
          <w:rFonts w:ascii="宋体" w:hAnsi="宋体" w:cs="宋体"/>
          <w:color w:val="auto"/>
          <w:sz w:val="24"/>
        </w:rPr>
      </w:pPr>
    </w:p>
    <w:p w14:paraId="03E391D1">
      <w:pPr>
        <w:spacing w:line="360" w:lineRule="auto"/>
        <w:contextualSpacing/>
        <w:rPr>
          <w:rFonts w:ascii="宋体" w:hAnsi="宋体" w:cs="宋体"/>
          <w:color w:val="auto"/>
          <w:sz w:val="24"/>
        </w:rPr>
      </w:pPr>
    </w:p>
    <w:p w14:paraId="22BF5A03">
      <w:pPr>
        <w:spacing w:line="360" w:lineRule="auto"/>
        <w:contextualSpacing/>
        <w:rPr>
          <w:rFonts w:ascii="宋体" w:hAnsi="宋体" w:cs="宋体"/>
          <w:color w:val="auto"/>
          <w:sz w:val="24"/>
        </w:rPr>
      </w:pPr>
      <w:r>
        <w:rPr>
          <w:rFonts w:hint="eastAsia" w:ascii="宋体" w:hAnsi="宋体" w:cs="宋体"/>
          <w:color w:val="auto"/>
          <w:sz w:val="24"/>
        </w:rPr>
        <w:t>附件：法定代表人有效身份证正反面复印件</w:t>
      </w:r>
    </w:p>
    <w:p w14:paraId="21948D0D">
      <w:pPr>
        <w:spacing w:line="360" w:lineRule="auto"/>
        <w:contextualSpacing/>
        <w:rPr>
          <w:rFonts w:ascii="宋体" w:hAnsi="宋体" w:cs="宋体"/>
          <w:color w:val="auto"/>
          <w:sz w:val="24"/>
        </w:rPr>
      </w:pPr>
    </w:p>
    <w:p w14:paraId="5CC5F9B2">
      <w:pPr>
        <w:spacing w:line="360" w:lineRule="auto"/>
        <w:ind w:right="960" w:firstLine="5040" w:firstLineChars="2100"/>
        <w:contextualSpacing/>
        <w:rPr>
          <w:rFonts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p>
    <w:p w14:paraId="166C2946">
      <w:pPr>
        <w:spacing w:line="360" w:lineRule="auto"/>
        <w:ind w:firstLine="5040" w:firstLineChars="2100"/>
        <w:contextualSpacing/>
        <w:rPr>
          <w:rFonts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0A4A8301">
      <w:pPr>
        <w:spacing w:line="360" w:lineRule="auto"/>
        <w:contextualSpacing/>
        <w:jc w:val="center"/>
        <w:rPr>
          <w:rFonts w:ascii="宋体" w:hAnsi="宋体" w:cs="宋体"/>
          <w:b/>
          <w:color w:val="auto"/>
          <w:sz w:val="24"/>
        </w:rPr>
      </w:pPr>
    </w:p>
    <w:p w14:paraId="680E28B9">
      <w:pPr>
        <w:spacing w:line="360" w:lineRule="auto"/>
        <w:contextualSpacing/>
        <w:jc w:val="left"/>
        <w:rPr>
          <w:rFonts w:ascii="楷体" w:hAnsi="楷体" w:eastAsia="楷体" w:cs="宋体"/>
          <w:b/>
          <w:color w:val="auto"/>
          <w:sz w:val="24"/>
        </w:rPr>
      </w:pPr>
      <w:r>
        <w:rPr>
          <w:rFonts w:hint="eastAsia" w:ascii="楷体" w:hAnsi="楷体" w:eastAsia="楷体" w:cs="宋体"/>
          <w:b/>
          <w:color w:val="auto"/>
          <w:sz w:val="24"/>
        </w:rPr>
        <w:t>注：</w:t>
      </w:r>
    </w:p>
    <w:p w14:paraId="0187A5DC">
      <w:pPr>
        <w:spacing w:line="360" w:lineRule="auto"/>
        <w:ind w:firstLine="480" w:firstLineChars="200"/>
        <w:contextualSpacing/>
        <w:jc w:val="left"/>
        <w:rPr>
          <w:rFonts w:ascii="楷体" w:hAnsi="楷体" w:eastAsia="楷体" w:cs="宋体"/>
          <w:color w:val="auto"/>
          <w:sz w:val="24"/>
        </w:rPr>
      </w:pPr>
      <w:r>
        <w:rPr>
          <w:rFonts w:hint="eastAsia" w:ascii="楷体" w:hAnsi="楷体" w:eastAsia="楷体" w:cs="宋体"/>
          <w:color w:val="auto"/>
          <w:sz w:val="24"/>
        </w:rPr>
        <w:t>自然人参与</w:t>
      </w:r>
      <w:r>
        <w:rPr>
          <w:rFonts w:hint="eastAsia" w:ascii="楷体" w:hAnsi="楷体" w:eastAsia="楷体" w:cs="宋体"/>
          <w:color w:val="auto"/>
          <w:sz w:val="24"/>
          <w:lang w:bidi="ar"/>
        </w:rPr>
        <w:t>竞争性谈判</w:t>
      </w:r>
      <w:r>
        <w:rPr>
          <w:rFonts w:hint="eastAsia" w:ascii="楷体" w:hAnsi="楷体" w:eastAsia="楷体" w:cs="宋体"/>
          <w:color w:val="auto"/>
          <w:sz w:val="24"/>
        </w:rPr>
        <w:t>的无需提供，联合体参与</w:t>
      </w:r>
      <w:r>
        <w:rPr>
          <w:rFonts w:hint="eastAsia" w:ascii="楷体" w:hAnsi="楷体" w:eastAsia="楷体" w:cs="宋体"/>
          <w:color w:val="auto"/>
          <w:sz w:val="24"/>
          <w:lang w:bidi="ar"/>
        </w:rPr>
        <w:t>竞争性谈判</w:t>
      </w:r>
      <w:r>
        <w:rPr>
          <w:rFonts w:hint="eastAsia" w:ascii="楷体" w:hAnsi="楷体" w:eastAsia="楷体" w:cs="宋体"/>
          <w:color w:val="auto"/>
          <w:sz w:val="24"/>
        </w:rPr>
        <w:t>的只需牵头人出具。</w:t>
      </w:r>
    </w:p>
    <w:p w14:paraId="4EE42795">
      <w:pPr>
        <w:adjustRightInd w:val="0"/>
        <w:snapToGrid w:val="0"/>
        <w:spacing w:line="360" w:lineRule="auto"/>
        <w:jc w:val="left"/>
        <w:rPr>
          <w:rFonts w:ascii="楷体" w:hAnsi="楷体" w:eastAsia="楷体" w:cs="宋体"/>
          <w:b/>
          <w:color w:val="auto"/>
          <w:szCs w:val="21"/>
        </w:rPr>
      </w:pPr>
    </w:p>
    <w:p w14:paraId="56030E4B">
      <w:pPr>
        <w:spacing w:line="360" w:lineRule="auto"/>
        <w:jc w:val="center"/>
        <w:rPr>
          <w:rFonts w:ascii="宋体" w:hAnsi="宋体" w:cs="宋体"/>
          <w:b/>
          <w:color w:val="auto"/>
          <w:sz w:val="44"/>
          <w:szCs w:val="44"/>
        </w:rPr>
      </w:pPr>
      <w:r>
        <w:rPr>
          <w:rFonts w:hint="eastAsia" w:ascii="宋体" w:hAnsi="宋体" w:cs="宋体"/>
          <w:color w:val="auto"/>
          <w:sz w:val="44"/>
          <w:szCs w:val="44"/>
        </w:rPr>
        <w:br w:type="page"/>
      </w:r>
      <w:r>
        <w:rPr>
          <w:rFonts w:hint="eastAsia" w:ascii="宋体" w:hAnsi="宋体" w:cs="宋体"/>
          <w:b/>
          <w:color w:val="auto"/>
          <w:sz w:val="44"/>
          <w:szCs w:val="44"/>
        </w:rPr>
        <w:t>授权委托书</w:t>
      </w:r>
    </w:p>
    <w:p w14:paraId="7AE3A7B5">
      <w:pPr>
        <w:spacing w:line="360" w:lineRule="auto"/>
        <w:jc w:val="center"/>
        <w:rPr>
          <w:rFonts w:ascii="宋体" w:hAnsi="宋体" w:cs="宋体"/>
          <w:color w:val="auto"/>
          <w:sz w:val="28"/>
          <w:szCs w:val="28"/>
        </w:rPr>
      </w:pPr>
      <w:r>
        <w:rPr>
          <w:rFonts w:hint="eastAsia" w:ascii="宋体" w:hAnsi="宋体" w:cs="宋体"/>
          <w:color w:val="auto"/>
          <w:sz w:val="28"/>
          <w:szCs w:val="28"/>
        </w:rPr>
        <w:t>（非联合体参与竞争性谈判格式）</w:t>
      </w:r>
    </w:p>
    <w:p w14:paraId="1CA65430">
      <w:pPr>
        <w:spacing w:line="360" w:lineRule="auto"/>
        <w:jc w:val="center"/>
        <w:rPr>
          <w:rFonts w:ascii="宋体" w:hAnsi="宋体" w:cs="宋体"/>
          <w:color w:val="auto"/>
          <w:sz w:val="28"/>
          <w:szCs w:val="28"/>
        </w:rPr>
      </w:pPr>
      <w:r>
        <w:rPr>
          <w:rFonts w:hint="eastAsia" w:ascii="宋体" w:hAnsi="宋体" w:cs="宋体"/>
          <w:color w:val="auto"/>
          <w:sz w:val="28"/>
          <w:szCs w:val="28"/>
        </w:rPr>
        <w:t>（如有委托时）</w:t>
      </w:r>
    </w:p>
    <w:p w14:paraId="5D65AA3E">
      <w:pPr>
        <w:spacing w:line="360" w:lineRule="auto"/>
        <w:contextualSpacing/>
        <w:rPr>
          <w:rFonts w:ascii="宋体" w:hAnsi="宋体" w:cs="宋体"/>
          <w:color w:val="auto"/>
          <w:sz w:val="32"/>
          <w:szCs w:val="32"/>
        </w:rPr>
      </w:pPr>
    </w:p>
    <w:p w14:paraId="51576489">
      <w:pPr>
        <w:spacing w:line="360" w:lineRule="auto"/>
        <w:contextualSpacing/>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（采购人名称）</w:t>
      </w:r>
      <w:r>
        <w:rPr>
          <w:rFonts w:hint="eastAsia" w:ascii="宋体" w:hAnsi="宋体" w:cs="宋体"/>
          <w:color w:val="auto"/>
          <w:sz w:val="24"/>
        </w:rPr>
        <w:t>：</w:t>
      </w:r>
    </w:p>
    <w:p w14:paraId="4B73668E">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w:t>
      </w:r>
      <w:r>
        <w:rPr>
          <w:rFonts w:hint="eastAsia" w:ascii="宋体" w:hAnsi="宋体" w:cs="宋体"/>
          <w:color w:val="auto"/>
          <w:sz w:val="24"/>
          <w:u w:val="single"/>
        </w:rPr>
        <w:t xml:space="preserve">  （姓名）  </w:t>
      </w:r>
      <w:r>
        <w:rPr>
          <w:rFonts w:hint="eastAsia" w:ascii="宋体" w:hAnsi="宋体" w:cs="宋体"/>
          <w:color w:val="auto"/>
          <w:sz w:val="24"/>
        </w:rPr>
        <w:t>系</w:t>
      </w:r>
      <w:r>
        <w:rPr>
          <w:rFonts w:hint="eastAsia" w:ascii="宋体" w:hAnsi="宋体" w:cs="宋体"/>
          <w:color w:val="auto"/>
          <w:sz w:val="24"/>
          <w:u w:val="single"/>
        </w:rPr>
        <w:t xml:space="preserve">  （供应商名称）  </w:t>
      </w:r>
      <w:r>
        <w:rPr>
          <w:rFonts w:hint="eastAsia" w:ascii="宋体" w:hAnsi="宋体" w:cs="宋体"/>
          <w:color w:val="auto"/>
          <w:sz w:val="24"/>
        </w:rPr>
        <w:t>的（</w:t>
      </w:r>
      <w:r>
        <w:rPr>
          <w:rFonts w:hint="eastAsia" w:ascii="宋体" w:hAnsi="宋体" w:cs="宋体"/>
          <w:color w:val="auto"/>
          <w:sz w:val="24"/>
          <w:u w:val="single"/>
        </w:rPr>
        <w:t>□法定代表人/□负责人/□自然人本人</w:t>
      </w:r>
      <w:r>
        <w:rPr>
          <w:rFonts w:hint="eastAsia" w:ascii="宋体" w:hAnsi="宋体" w:cs="宋体"/>
          <w:color w:val="auto"/>
          <w:sz w:val="24"/>
        </w:rPr>
        <w:t>），现授权</w:t>
      </w:r>
      <w:r>
        <w:rPr>
          <w:rFonts w:hint="eastAsia" w:ascii="宋体" w:hAnsi="宋体" w:cs="宋体"/>
          <w:color w:val="auto"/>
          <w:sz w:val="24"/>
          <w:u w:val="single"/>
        </w:rPr>
        <w:t xml:space="preserve"> （姓名） </w:t>
      </w:r>
      <w:r>
        <w:rPr>
          <w:rFonts w:hint="eastAsia" w:ascii="宋体" w:hAnsi="宋体" w:cs="宋体"/>
          <w:color w:val="auto"/>
          <w:sz w:val="24"/>
        </w:rPr>
        <w:t>以我方的名义参加</w:t>
      </w:r>
      <w:r>
        <w:rPr>
          <w:rFonts w:hint="eastAsia" w:ascii="宋体" w:hAnsi="宋体" w:cs="宋体"/>
          <w:color w:val="auto"/>
          <w:sz w:val="24"/>
          <w:u w:val="single"/>
        </w:rPr>
        <w:t xml:space="preserve">              </w:t>
      </w:r>
      <w:r>
        <w:rPr>
          <w:rFonts w:hint="eastAsia" w:ascii="宋体" w:hAnsi="宋体" w:cs="宋体"/>
          <w:color w:val="auto"/>
          <w:sz w:val="24"/>
        </w:rPr>
        <w:t>项目的</w:t>
      </w:r>
      <w:r>
        <w:rPr>
          <w:rFonts w:hint="eastAsia" w:ascii="宋体" w:hAnsi="宋体" w:cs="宋体"/>
          <w:color w:val="auto"/>
          <w:sz w:val="24"/>
          <w:lang w:bidi="ar"/>
        </w:rPr>
        <w:t>竞争性谈判</w:t>
      </w:r>
      <w:r>
        <w:rPr>
          <w:rFonts w:hint="eastAsia" w:ascii="宋体" w:hAnsi="宋体" w:cs="宋体"/>
          <w:color w:val="auto"/>
          <w:sz w:val="24"/>
        </w:rPr>
        <w:t>活动，并代表我方全权办理针对上述项目的所有采购程序和环节的具体事务和签署相关文件。</w:t>
      </w:r>
    </w:p>
    <w:p w14:paraId="551892F6">
      <w:pPr>
        <w:spacing w:line="360" w:lineRule="auto"/>
        <w:contextualSpacing/>
        <w:rPr>
          <w:rFonts w:ascii="宋体" w:hAnsi="宋体" w:cs="宋体"/>
          <w:color w:val="auto"/>
          <w:sz w:val="24"/>
        </w:rPr>
      </w:pPr>
      <w:r>
        <w:rPr>
          <w:rFonts w:hint="eastAsia" w:ascii="宋体" w:hAnsi="宋体" w:cs="宋体"/>
          <w:color w:val="auto"/>
          <w:sz w:val="24"/>
        </w:rPr>
        <w:t xml:space="preserve">    我方对委托代理人的签字事项负全部责任。</w:t>
      </w:r>
    </w:p>
    <w:p w14:paraId="1A5B4077">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本授权书自签署之日起生效，在撤销授权的书面通知以前，本授权书一直有效。委托代理人在授权书有效期内签署的所有文件不因授权的撤销而失效。</w:t>
      </w:r>
    </w:p>
    <w:p w14:paraId="1323CD42">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委托代理人无转委托权，特此委托。</w:t>
      </w:r>
    </w:p>
    <w:p w14:paraId="79BA731C">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附：法定代表人身份证明及委托代理人有效身份证正反面复印件</w:t>
      </w:r>
    </w:p>
    <w:p w14:paraId="172046CD">
      <w:pPr>
        <w:spacing w:line="360" w:lineRule="auto"/>
        <w:contextualSpacing/>
        <w:rPr>
          <w:rFonts w:ascii="宋体" w:hAnsi="宋体" w:cs="宋体"/>
          <w:color w:val="auto"/>
          <w:sz w:val="24"/>
        </w:rPr>
      </w:pPr>
    </w:p>
    <w:p w14:paraId="74BCE045">
      <w:pPr>
        <w:spacing w:line="360" w:lineRule="auto"/>
        <w:contextualSpacing/>
        <w:rPr>
          <w:rFonts w:ascii="宋体" w:hAnsi="宋体" w:cs="宋体"/>
          <w:color w:val="auto"/>
          <w:sz w:val="24"/>
        </w:rPr>
      </w:pPr>
      <w:r>
        <w:rPr>
          <w:rFonts w:hint="eastAsia" w:ascii="宋体" w:hAnsi="宋体" w:cs="宋体"/>
          <w:color w:val="auto"/>
          <w:sz w:val="24"/>
        </w:rPr>
        <w:t>委托代理人（签字）：</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法定代表人（签字）：</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49EFB7C6">
      <w:pPr>
        <w:spacing w:line="360" w:lineRule="auto"/>
        <w:contextualSpacing/>
        <w:rPr>
          <w:rFonts w:ascii="宋体" w:hAnsi="宋体" w:cs="宋体"/>
          <w:color w:val="auto"/>
          <w:sz w:val="24"/>
        </w:rPr>
      </w:pPr>
      <w:r>
        <w:rPr>
          <w:rFonts w:hint="eastAsia" w:ascii="宋体" w:hAnsi="宋体" w:cs="宋体"/>
          <w:color w:val="auto"/>
          <w:sz w:val="24"/>
        </w:rPr>
        <w:t>委托代理人身份证号码：</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5F1EEA7E">
      <w:pPr>
        <w:spacing w:line="360" w:lineRule="auto"/>
        <w:contextualSpacing/>
        <w:rPr>
          <w:rFonts w:ascii="宋体" w:hAnsi="宋体" w:cs="宋体"/>
          <w:color w:val="auto"/>
          <w:sz w:val="24"/>
        </w:rPr>
      </w:pPr>
      <w:r>
        <w:rPr>
          <w:rFonts w:hint="eastAsia" w:ascii="宋体" w:hAnsi="宋体" w:cs="宋体"/>
          <w:color w:val="auto"/>
          <w:sz w:val="24"/>
        </w:rPr>
        <w:t xml:space="preserve">                                </w:t>
      </w:r>
    </w:p>
    <w:p w14:paraId="2E3476D8">
      <w:pPr>
        <w:spacing w:line="360" w:lineRule="auto"/>
        <w:contextualSpacing/>
        <w:rPr>
          <w:rFonts w:ascii="宋体" w:hAnsi="宋体" w:cs="宋体"/>
          <w:color w:val="auto"/>
          <w:sz w:val="24"/>
        </w:rPr>
      </w:pPr>
      <w:r>
        <w:rPr>
          <w:rFonts w:hint="eastAsia" w:ascii="宋体" w:hAnsi="宋体" w:cs="宋体"/>
          <w:color w:val="auto"/>
          <w:sz w:val="24"/>
        </w:rPr>
        <w:t xml:space="preserve">                         供应商（公章）：</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0C432F8C">
      <w:pPr>
        <w:spacing w:line="360" w:lineRule="auto"/>
        <w:contextualSpacing/>
        <w:rPr>
          <w:rFonts w:ascii="宋体" w:hAnsi="宋体" w:cs="宋体"/>
          <w:color w:val="auto"/>
          <w:sz w:val="24"/>
        </w:rPr>
      </w:pPr>
      <w:r>
        <w:rPr>
          <w:rFonts w:hint="eastAsia" w:ascii="宋体" w:hAnsi="宋体" w:cs="宋体"/>
          <w:color w:val="auto"/>
          <w:sz w:val="24"/>
        </w:rPr>
        <w:t xml:space="preserve">                         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612820D1">
      <w:pPr>
        <w:spacing w:line="360" w:lineRule="auto"/>
        <w:contextualSpacing/>
        <w:rPr>
          <w:rFonts w:ascii="宋体" w:hAnsi="宋体" w:cs="宋体"/>
          <w:color w:val="auto"/>
          <w:sz w:val="24"/>
        </w:rPr>
      </w:pPr>
    </w:p>
    <w:p w14:paraId="7B40D91C">
      <w:pPr>
        <w:spacing w:line="360" w:lineRule="auto"/>
        <w:contextualSpacing/>
        <w:rPr>
          <w:rFonts w:ascii="楷体" w:hAnsi="楷体" w:eastAsia="楷体" w:cs="宋体"/>
          <w:b/>
          <w:color w:val="auto"/>
          <w:sz w:val="24"/>
        </w:rPr>
      </w:pPr>
      <w:r>
        <w:rPr>
          <w:rFonts w:hint="eastAsia" w:ascii="楷体" w:hAnsi="楷体" w:eastAsia="楷体" w:cs="宋体"/>
          <w:b/>
          <w:color w:val="auto"/>
          <w:sz w:val="24"/>
        </w:rPr>
        <w:t>注：</w:t>
      </w:r>
    </w:p>
    <w:p w14:paraId="25151E8D">
      <w:pPr>
        <w:spacing w:line="360" w:lineRule="auto"/>
        <w:ind w:firstLine="480" w:firstLineChars="200"/>
        <w:contextualSpacing/>
        <w:rPr>
          <w:rFonts w:ascii="楷体" w:hAnsi="楷体" w:eastAsia="楷体" w:cs="宋体"/>
          <w:color w:val="auto"/>
          <w:sz w:val="24"/>
        </w:rPr>
      </w:pPr>
      <w:r>
        <w:rPr>
          <w:rFonts w:ascii="楷体" w:hAnsi="楷体" w:eastAsia="楷体" w:cs="宋体"/>
          <w:color w:val="auto"/>
          <w:sz w:val="24"/>
        </w:rPr>
        <w:t>1.</w:t>
      </w:r>
      <w:r>
        <w:rPr>
          <w:rFonts w:hint="eastAsia" w:ascii="楷体" w:hAnsi="楷体" w:eastAsia="楷体" w:cs="宋体"/>
          <w:color w:val="auto"/>
          <w:sz w:val="24"/>
        </w:rPr>
        <w:t>法定代表人必须在授权委托书上亲笔签字或者盖章，委托代理人必须在授权委托书上亲笔签字，</w:t>
      </w:r>
      <w:r>
        <w:rPr>
          <w:rFonts w:hint="eastAsia" w:ascii="楷体" w:hAnsi="楷体" w:eastAsia="楷体" w:cs="宋体"/>
          <w:b/>
          <w:color w:val="auto"/>
          <w:sz w:val="24"/>
        </w:rPr>
        <w:t>否则其响应文件按无效响应处理。</w:t>
      </w:r>
    </w:p>
    <w:p w14:paraId="760F39AD">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2.法人、其他组织</w:t>
      </w:r>
      <w:r>
        <w:rPr>
          <w:rFonts w:hint="eastAsia" w:ascii="楷体" w:hAnsi="楷体" w:eastAsia="楷体" w:cs="宋体"/>
          <w:color w:val="auto"/>
          <w:sz w:val="24"/>
        </w:rPr>
        <w:t>参与</w:t>
      </w:r>
      <w:r>
        <w:rPr>
          <w:rFonts w:hint="eastAsia" w:ascii="楷体" w:hAnsi="楷体" w:eastAsia="楷体" w:cs="宋体"/>
          <w:color w:val="auto"/>
          <w:sz w:val="24"/>
          <w:lang w:bidi="ar"/>
        </w:rPr>
        <w:t>竞争性谈判</w:t>
      </w:r>
      <w:r>
        <w:rPr>
          <w:rFonts w:hint="eastAsia" w:ascii="楷体" w:hAnsi="楷体" w:eastAsia="楷体" w:cs="宋体"/>
          <w:color w:val="auto"/>
          <w:sz w:val="24"/>
        </w:rPr>
        <w:t>时“我方”是指“我单位”，自然人参与</w:t>
      </w:r>
      <w:r>
        <w:rPr>
          <w:rFonts w:hint="eastAsia" w:ascii="楷体" w:hAnsi="楷体" w:eastAsia="楷体" w:cs="宋体"/>
          <w:color w:val="auto"/>
          <w:sz w:val="24"/>
          <w:lang w:bidi="ar"/>
        </w:rPr>
        <w:t>竞争性谈判</w:t>
      </w:r>
      <w:r>
        <w:rPr>
          <w:rFonts w:hint="eastAsia" w:ascii="楷体" w:hAnsi="楷体" w:eastAsia="楷体" w:cs="宋体"/>
          <w:color w:val="auto"/>
          <w:sz w:val="24"/>
        </w:rPr>
        <w:t>时“我方”是指“本人”。</w:t>
      </w:r>
    </w:p>
    <w:p w14:paraId="4784B759">
      <w:pPr>
        <w:spacing w:line="360" w:lineRule="auto"/>
        <w:ind w:firstLine="420" w:firstLineChars="200"/>
        <w:contextualSpacing/>
        <w:jc w:val="left"/>
        <w:rPr>
          <w:rFonts w:ascii="宋体" w:hAnsi="宋体" w:cs="宋体"/>
          <w:color w:val="auto"/>
          <w:szCs w:val="21"/>
        </w:rPr>
      </w:pPr>
    </w:p>
    <w:p w14:paraId="3033825F">
      <w:pPr>
        <w:spacing w:line="360" w:lineRule="auto"/>
        <w:contextualSpacing/>
        <w:jc w:val="center"/>
        <w:rPr>
          <w:rFonts w:ascii="宋体" w:hAnsi="宋体" w:cs="宋体"/>
          <w:b/>
          <w:color w:val="auto"/>
          <w:sz w:val="44"/>
          <w:szCs w:val="44"/>
        </w:rPr>
      </w:pPr>
      <w:r>
        <w:rPr>
          <w:rFonts w:hint="eastAsia" w:ascii="宋体" w:hAnsi="宋体" w:cs="宋体"/>
          <w:color w:val="auto"/>
          <w:szCs w:val="21"/>
        </w:rPr>
        <w:br w:type="page"/>
      </w:r>
      <w:r>
        <w:rPr>
          <w:rFonts w:hint="eastAsia" w:ascii="宋体" w:hAnsi="宋体" w:cs="宋体"/>
          <w:b/>
          <w:color w:val="auto"/>
          <w:sz w:val="44"/>
          <w:szCs w:val="44"/>
        </w:rPr>
        <w:t>授权委托书</w:t>
      </w:r>
    </w:p>
    <w:p w14:paraId="75CDAD18">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（联合体参与竞争性谈判格式）</w:t>
      </w:r>
    </w:p>
    <w:p w14:paraId="767A7C01">
      <w:pPr>
        <w:spacing w:line="360" w:lineRule="auto"/>
        <w:contextualSpacing/>
        <w:jc w:val="center"/>
        <w:rPr>
          <w:rFonts w:ascii="宋体" w:hAnsi="宋体" w:cs="宋体"/>
          <w:color w:val="auto"/>
          <w:sz w:val="28"/>
          <w:szCs w:val="28"/>
        </w:rPr>
      </w:pPr>
      <w:r>
        <w:rPr>
          <w:rFonts w:hint="eastAsia" w:ascii="宋体" w:hAnsi="宋体" w:cs="宋体"/>
          <w:color w:val="auto"/>
          <w:sz w:val="28"/>
          <w:szCs w:val="28"/>
        </w:rPr>
        <w:t>（如有委托时）</w:t>
      </w:r>
    </w:p>
    <w:p w14:paraId="19C85101">
      <w:pPr>
        <w:spacing w:line="360" w:lineRule="auto"/>
        <w:contextualSpacing/>
        <w:rPr>
          <w:rFonts w:ascii="宋体" w:hAnsi="宋体" w:cs="宋体"/>
          <w:color w:val="auto"/>
          <w:sz w:val="32"/>
          <w:szCs w:val="32"/>
        </w:rPr>
      </w:pPr>
    </w:p>
    <w:p w14:paraId="0C6D5C30">
      <w:pPr>
        <w:spacing w:line="360" w:lineRule="auto"/>
        <w:ind w:firstLine="480" w:firstLineChars="200"/>
        <w:contextualSpacing/>
        <w:jc w:val="left"/>
        <w:rPr>
          <w:rFonts w:ascii="宋体" w:hAnsi="宋体" w:cs="宋体"/>
          <w:color w:val="auto"/>
          <w:sz w:val="24"/>
        </w:rPr>
      </w:pPr>
      <w:r>
        <w:rPr>
          <w:rFonts w:hint="eastAsia" w:ascii="宋体" w:hAnsi="宋体" w:cs="宋体"/>
          <w:color w:val="auto"/>
          <w:sz w:val="24"/>
        </w:rPr>
        <w:t>本授权委托书声明：根据</w:t>
      </w:r>
      <w:r>
        <w:rPr>
          <w:rFonts w:hint="eastAsia" w:ascii="宋体" w:hAnsi="宋体" w:cs="宋体"/>
          <w:color w:val="auto"/>
          <w:sz w:val="24"/>
          <w:u w:val="single"/>
        </w:rPr>
        <w:t xml:space="preserve">                </w:t>
      </w:r>
      <w:r>
        <w:rPr>
          <w:rFonts w:hint="eastAsia" w:ascii="宋体" w:hAnsi="宋体" w:cs="宋体"/>
          <w:color w:val="auto"/>
          <w:sz w:val="24"/>
        </w:rPr>
        <w:t>（牵头人名称）与</w:t>
      </w:r>
      <w:r>
        <w:rPr>
          <w:rFonts w:hint="eastAsia" w:ascii="宋体" w:hAnsi="宋体" w:cs="宋体"/>
          <w:color w:val="auto"/>
          <w:sz w:val="24"/>
          <w:u w:val="single"/>
        </w:rPr>
        <w:t xml:space="preserve">              </w:t>
      </w:r>
      <w:r>
        <w:rPr>
          <w:rFonts w:hint="eastAsia" w:ascii="宋体" w:hAnsi="宋体" w:cs="宋体"/>
          <w:color w:val="auto"/>
          <w:sz w:val="24"/>
        </w:rPr>
        <w:t>（联合体其他成员名称）签订的《联合体参与竞争性谈判协议书》的内容，</w:t>
      </w:r>
      <w:r>
        <w:rPr>
          <w:rFonts w:hint="eastAsia" w:ascii="宋体" w:hAnsi="宋体" w:cs="宋体"/>
          <w:color w:val="auto"/>
          <w:sz w:val="24"/>
          <w:u w:val="single"/>
        </w:rPr>
        <w:t xml:space="preserve">                       </w:t>
      </w:r>
      <w:r>
        <w:rPr>
          <w:rFonts w:hint="eastAsia" w:ascii="宋体" w:hAnsi="宋体" w:cs="宋体"/>
          <w:color w:val="auto"/>
          <w:sz w:val="24"/>
        </w:rPr>
        <w:t>（牵头人名称）的法定代表人</w:t>
      </w:r>
      <w:r>
        <w:rPr>
          <w:rFonts w:hint="eastAsia" w:ascii="宋体" w:hAnsi="宋体" w:cs="宋体"/>
          <w:color w:val="auto"/>
          <w:sz w:val="24"/>
          <w:u w:val="single"/>
        </w:rPr>
        <w:t xml:space="preserve">      </w:t>
      </w:r>
      <w:r>
        <w:rPr>
          <w:rFonts w:hint="eastAsia" w:ascii="宋体" w:hAnsi="宋体" w:cs="宋体"/>
          <w:color w:val="auto"/>
          <w:sz w:val="24"/>
        </w:rPr>
        <w:t>（姓名）现授权</w:t>
      </w:r>
      <w:r>
        <w:rPr>
          <w:rFonts w:hint="eastAsia" w:ascii="宋体" w:hAnsi="宋体" w:cs="宋体"/>
          <w:color w:val="auto"/>
          <w:sz w:val="24"/>
          <w:u w:val="single"/>
        </w:rPr>
        <w:t xml:space="preserve">      </w:t>
      </w:r>
      <w:r>
        <w:rPr>
          <w:rFonts w:hint="eastAsia" w:ascii="宋体" w:hAnsi="宋体" w:cs="宋体"/>
          <w:color w:val="auto"/>
          <w:sz w:val="24"/>
        </w:rPr>
        <w:t>（姓名）为联合委托代理人，并代表我方全权办理针对上述项目的所有采购程序和环节的具体事务和签署相关文件。</w:t>
      </w:r>
    </w:p>
    <w:p w14:paraId="1BF0A3B3">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我方对委托代理人的签字事项负全部责任。</w:t>
      </w:r>
    </w:p>
    <w:p w14:paraId="61D4FCE2">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本授权书自签署之日起生效，在撤销授权的书面通知以前，本授权书一直有效。委托代理人在授权书有效期内签署的所有文件不因授权的撤销而失效。</w:t>
      </w:r>
    </w:p>
    <w:p w14:paraId="0E206A8A">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委托代理人无转委托权，特此委托。</w:t>
      </w:r>
    </w:p>
    <w:p w14:paraId="53E0D82E">
      <w:pPr>
        <w:spacing w:line="360" w:lineRule="auto"/>
        <w:contextualSpacing/>
        <w:rPr>
          <w:rFonts w:ascii="宋体" w:hAnsi="宋体" w:cs="宋体"/>
          <w:color w:val="auto"/>
          <w:sz w:val="24"/>
        </w:rPr>
      </w:pPr>
      <w:r>
        <w:rPr>
          <w:rFonts w:hint="eastAsia" w:ascii="宋体" w:hAnsi="宋体" w:cs="宋体"/>
          <w:color w:val="auto"/>
          <w:sz w:val="24"/>
        </w:rPr>
        <w:t xml:space="preserve">    附：法定代表人身份证明及委托代理人有效身份证正反面复印件</w:t>
      </w:r>
    </w:p>
    <w:p w14:paraId="7793B9FF">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牵头人法定代表人（签字）：</w:t>
      </w:r>
    </w:p>
    <w:p w14:paraId="47AB54C7">
      <w:pPr>
        <w:spacing w:line="360" w:lineRule="auto"/>
        <w:ind w:firstLine="3120" w:firstLineChars="1300"/>
        <w:contextualSpacing/>
        <w:rPr>
          <w:rFonts w:ascii="宋体" w:hAnsi="宋体" w:cs="宋体"/>
          <w:color w:val="auto"/>
          <w:sz w:val="24"/>
          <w:u w:val="single"/>
        </w:rPr>
      </w:pPr>
      <w:r>
        <w:rPr>
          <w:rFonts w:hint="eastAsia" w:ascii="宋体" w:hAnsi="宋体" w:cs="宋体"/>
          <w:color w:val="auto"/>
          <w:sz w:val="24"/>
        </w:rPr>
        <w:t>牵头人（公章）：</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2CDB023F">
      <w:pPr>
        <w:spacing w:line="360" w:lineRule="auto"/>
        <w:ind w:firstLine="3840" w:firstLineChars="1600"/>
        <w:contextualSpacing/>
        <w:rPr>
          <w:rFonts w:ascii="宋体" w:hAnsi="宋体" w:cs="宋体"/>
          <w:color w:val="auto"/>
          <w:sz w:val="24"/>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74763D03">
      <w:pPr>
        <w:spacing w:line="360" w:lineRule="auto"/>
        <w:contextualSpacing/>
        <w:rPr>
          <w:rFonts w:ascii="宋体" w:hAnsi="宋体" w:cs="宋体"/>
          <w:color w:val="auto"/>
          <w:sz w:val="24"/>
        </w:rPr>
      </w:pPr>
    </w:p>
    <w:p w14:paraId="29FB3F13">
      <w:pPr>
        <w:spacing w:line="360" w:lineRule="auto"/>
        <w:ind w:firstLine="3120" w:firstLineChars="1300"/>
        <w:contextualSpacing/>
        <w:rPr>
          <w:rFonts w:ascii="宋体" w:hAnsi="宋体" w:cs="宋体"/>
          <w:color w:val="auto"/>
          <w:sz w:val="24"/>
          <w:u w:val="single"/>
        </w:rPr>
      </w:pPr>
      <w:r>
        <w:rPr>
          <w:rFonts w:hint="eastAsia" w:ascii="宋体" w:hAnsi="宋体" w:cs="宋体"/>
          <w:color w:val="auto"/>
          <w:sz w:val="24"/>
        </w:rPr>
        <w:t>被授权人（签字）：</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76D6BAEF">
      <w:pPr>
        <w:spacing w:line="360" w:lineRule="auto"/>
        <w:ind w:firstLine="3840" w:firstLineChars="1600"/>
        <w:contextualSpacing/>
        <w:rPr>
          <w:rFonts w:ascii="宋体" w:hAnsi="宋体" w:cs="宋体"/>
          <w:color w:val="auto"/>
          <w:sz w:val="24"/>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1EB99561">
      <w:pPr>
        <w:spacing w:line="360" w:lineRule="auto"/>
        <w:contextualSpacing/>
        <w:rPr>
          <w:rFonts w:ascii="宋体" w:hAnsi="宋体" w:cs="宋体"/>
          <w:color w:val="auto"/>
          <w:sz w:val="24"/>
        </w:rPr>
      </w:pPr>
    </w:p>
    <w:p w14:paraId="28B89293">
      <w:pPr>
        <w:spacing w:line="360" w:lineRule="auto"/>
        <w:contextualSpacing/>
        <w:rPr>
          <w:rFonts w:ascii="楷体" w:hAnsi="楷体" w:eastAsia="楷体" w:cs="宋体"/>
          <w:b/>
          <w:color w:val="auto"/>
          <w:sz w:val="24"/>
        </w:rPr>
      </w:pPr>
      <w:r>
        <w:rPr>
          <w:rFonts w:hint="eastAsia" w:ascii="楷体" w:hAnsi="楷体" w:eastAsia="楷体" w:cs="宋体"/>
          <w:b/>
          <w:color w:val="auto"/>
          <w:sz w:val="24"/>
        </w:rPr>
        <w:t>注：</w:t>
      </w:r>
    </w:p>
    <w:p w14:paraId="70CCA46A">
      <w:pPr>
        <w:spacing w:line="360" w:lineRule="auto"/>
        <w:ind w:firstLine="480" w:firstLineChars="200"/>
        <w:contextualSpacing/>
        <w:rPr>
          <w:rFonts w:ascii="楷体" w:hAnsi="楷体" w:eastAsia="楷体" w:cs="宋体"/>
          <w:color w:val="auto"/>
          <w:sz w:val="24"/>
        </w:rPr>
      </w:pPr>
      <w:r>
        <w:rPr>
          <w:rFonts w:ascii="楷体" w:hAnsi="楷体" w:eastAsia="楷体" w:cs="宋体"/>
          <w:color w:val="auto"/>
          <w:sz w:val="24"/>
        </w:rPr>
        <w:t>1.</w:t>
      </w:r>
      <w:r>
        <w:rPr>
          <w:rFonts w:hint="eastAsia" w:ascii="楷体" w:hAnsi="楷体" w:eastAsia="楷体" w:cs="宋体"/>
          <w:color w:val="auto"/>
          <w:sz w:val="24"/>
        </w:rPr>
        <w:t>法定代表人必须在授权委托书上亲笔签字或者盖章，委托代理人必须在授权委托书上亲笔签字，</w:t>
      </w:r>
      <w:r>
        <w:rPr>
          <w:rFonts w:hint="eastAsia" w:ascii="楷体" w:hAnsi="楷体" w:eastAsia="楷体" w:cs="宋体"/>
          <w:b/>
          <w:bCs/>
          <w:color w:val="auto"/>
          <w:sz w:val="24"/>
        </w:rPr>
        <w:t>否</w:t>
      </w:r>
      <w:r>
        <w:rPr>
          <w:rFonts w:hint="eastAsia" w:ascii="楷体" w:hAnsi="楷体" w:eastAsia="楷体" w:cs="宋体"/>
          <w:b/>
          <w:color w:val="auto"/>
          <w:sz w:val="24"/>
        </w:rPr>
        <w:t>则其响应文件按无效响应处理。</w:t>
      </w:r>
    </w:p>
    <w:p w14:paraId="06961E78">
      <w:pPr>
        <w:spacing w:line="360" w:lineRule="auto"/>
        <w:ind w:firstLine="480" w:firstLineChars="200"/>
        <w:contextualSpacing/>
        <w:jc w:val="left"/>
        <w:rPr>
          <w:rFonts w:ascii="楷体" w:hAnsi="楷体" w:eastAsia="楷体" w:cs="宋体"/>
          <w:color w:val="auto"/>
          <w:sz w:val="24"/>
        </w:rPr>
      </w:pPr>
      <w:r>
        <w:rPr>
          <w:rFonts w:ascii="楷体" w:hAnsi="楷体" w:eastAsia="楷体" w:cs="宋体"/>
          <w:color w:val="auto"/>
          <w:sz w:val="24"/>
        </w:rPr>
        <w:t>2.本授权委托书应由联合体牵头人的法定代表人按上述规定签署。</w:t>
      </w:r>
    </w:p>
    <w:p w14:paraId="7ACC6926">
      <w:pPr>
        <w:spacing w:line="360" w:lineRule="auto"/>
        <w:ind w:firstLine="480" w:firstLineChars="200"/>
        <w:contextualSpacing/>
        <w:jc w:val="left"/>
        <w:rPr>
          <w:rFonts w:ascii="楷体" w:hAnsi="楷体" w:eastAsia="楷体" w:cs="宋体"/>
          <w:color w:val="auto"/>
          <w:szCs w:val="21"/>
        </w:rPr>
      </w:pPr>
      <w:r>
        <w:rPr>
          <w:rFonts w:ascii="楷体" w:hAnsi="楷体" w:eastAsia="楷体" w:cs="宋体"/>
          <w:color w:val="auto"/>
          <w:sz w:val="24"/>
        </w:rPr>
        <w:t>3.法人、其他组织</w:t>
      </w:r>
      <w:r>
        <w:rPr>
          <w:rFonts w:hint="eastAsia" w:ascii="楷体" w:hAnsi="楷体" w:eastAsia="楷体" w:cs="宋体"/>
          <w:color w:val="auto"/>
          <w:sz w:val="24"/>
        </w:rPr>
        <w:t>参与竞争性谈判时“我方”是指“我单位”，自然人参与竞争性谈判时“我方”是指“本人”。</w:t>
      </w:r>
    </w:p>
    <w:p w14:paraId="3E2BC761">
      <w:pPr>
        <w:spacing w:line="360" w:lineRule="auto"/>
        <w:jc w:val="center"/>
        <w:rPr>
          <w:rFonts w:ascii="宋体" w:hAnsi="宋体" w:cs="宋体"/>
          <w:b/>
          <w:bCs/>
          <w:color w:val="auto"/>
          <w:sz w:val="44"/>
          <w:szCs w:val="44"/>
        </w:rPr>
      </w:pPr>
      <w:r>
        <w:rPr>
          <w:rFonts w:hint="eastAsia" w:ascii="宋体" w:hAnsi="宋体" w:cs="宋体"/>
          <w:color w:val="auto"/>
          <w:sz w:val="32"/>
          <w:szCs w:val="32"/>
        </w:rPr>
        <w:br w:type="page"/>
      </w:r>
      <w:r>
        <w:rPr>
          <w:rFonts w:hint="eastAsia" w:ascii="宋体" w:hAnsi="宋体" w:cs="宋体"/>
          <w:b/>
          <w:bCs/>
          <w:color w:val="auto"/>
          <w:sz w:val="44"/>
          <w:szCs w:val="44"/>
        </w:rPr>
        <w:t>商务要求偏离表格式</w:t>
      </w:r>
    </w:p>
    <w:p w14:paraId="387A1327">
      <w:pPr>
        <w:spacing w:line="360" w:lineRule="auto"/>
        <w:jc w:val="center"/>
        <w:rPr>
          <w:rFonts w:ascii="宋体" w:hAnsi="宋体" w:cs="宋体"/>
          <w:b/>
          <w:color w:val="auto"/>
          <w:sz w:val="28"/>
          <w:szCs w:val="28"/>
        </w:rPr>
      </w:pPr>
      <w:r>
        <w:rPr>
          <w:rFonts w:hint="eastAsia" w:ascii="宋体" w:hAnsi="宋体" w:cs="宋体"/>
          <w:bCs/>
          <w:color w:val="auto"/>
          <w:sz w:val="28"/>
          <w:szCs w:val="28"/>
        </w:rPr>
        <w:t>（注：按采购需求具体条款修改）</w:t>
      </w:r>
    </w:p>
    <w:p w14:paraId="6B60D0B7">
      <w:pPr>
        <w:snapToGrid w:val="0"/>
        <w:spacing w:line="360" w:lineRule="auto"/>
        <w:jc w:val="left"/>
        <w:rPr>
          <w:rFonts w:ascii="宋体" w:hAnsi="宋体" w:cs="宋体"/>
          <w:color w:val="auto"/>
          <w:sz w:val="24"/>
        </w:rPr>
      </w:pPr>
    </w:p>
    <w:p w14:paraId="63DEEEE4">
      <w:pPr>
        <w:spacing w:line="360" w:lineRule="auto"/>
        <w:rPr>
          <w:rFonts w:ascii="宋体" w:hAnsi="宋体" w:cs="宋体"/>
          <w:color w:val="auto"/>
          <w:sz w:val="24"/>
          <w:u w:val="single"/>
        </w:rPr>
      </w:pPr>
      <w:r>
        <w:rPr>
          <w:rFonts w:hint="eastAsia" w:ascii="宋体" w:hAnsi="宋体" w:cs="宋体"/>
          <w:color w:val="auto"/>
          <w:sz w:val="24"/>
        </w:rPr>
        <w:t>采购项目编号：</w:t>
      </w:r>
      <w:r>
        <w:rPr>
          <w:rFonts w:hint="eastAsia" w:ascii="宋体" w:hAnsi="宋体" w:cs="宋体"/>
          <w:color w:val="auto"/>
          <w:sz w:val="24"/>
          <w:u w:val="single"/>
        </w:rPr>
        <w:t xml:space="preserve">                 </w:t>
      </w:r>
    </w:p>
    <w:p w14:paraId="211277DD">
      <w:pPr>
        <w:spacing w:line="360" w:lineRule="auto"/>
        <w:rPr>
          <w:rFonts w:ascii="宋体" w:hAnsi="宋体" w:cs="宋体"/>
          <w:color w:val="auto"/>
          <w:sz w:val="24"/>
        </w:rPr>
      </w:pPr>
      <w:r>
        <w:rPr>
          <w:rFonts w:hint="eastAsia" w:ascii="宋体" w:hAnsi="宋体" w:cs="宋体"/>
          <w:color w:val="auto"/>
          <w:sz w:val="24"/>
        </w:rPr>
        <w:t>采购项目名称：</w:t>
      </w:r>
      <w:r>
        <w:rPr>
          <w:rFonts w:hint="eastAsia" w:ascii="宋体" w:hAnsi="宋体" w:cs="宋体"/>
          <w:color w:val="auto"/>
          <w:sz w:val="24"/>
          <w:u w:val="single"/>
        </w:rPr>
        <w:t xml:space="preserve">                 </w:t>
      </w:r>
    </w:p>
    <w:p w14:paraId="6B0FA52D">
      <w:pPr>
        <w:spacing w:line="360" w:lineRule="auto"/>
        <w:rPr>
          <w:rFonts w:ascii="宋体" w:hAnsi="宋体" w:cs="宋体"/>
          <w:color w:val="auto"/>
          <w:sz w:val="24"/>
          <w:u w:val="single"/>
        </w:rPr>
      </w:pPr>
      <w:r>
        <w:rPr>
          <w:rFonts w:hint="eastAsia" w:ascii="宋体" w:hAnsi="宋体" w:cs="宋体"/>
          <w:color w:val="auto"/>
          <w:sz w:val="24"/>
        </w:rPr>
        <w:t>分标号：</w:t>
      </w:r>
      <w:r>
        <w:rPr>
          <w:rFonts w:hint="eastAsia" w:ascii="宋体" w:hAnsi="宋体" w:cs="宋体"/>
          <w:color w:val="auto"/>
          <w:sz w:val="24"/>
          <w:u w:val="single"/>
        </w:rPr>
        <w:t xml:space="preserve">                       </w:t>
      </w:r>
    </w:p>
    <w:tbl>
      <w:tblPr>
        <w:tblStyle w:val="27"/>
        <w:tblpPr w:leftFromText="180" w:rightFromText="180" w:vertAnchor="text" w:horzAnchor="margin" w:tblpY="311"/>
        <w:tblOverlap w:val="never"/>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78"/>
        <w:gridCol w:w="2668"/>
        <w:gridCol w:w="2633"/>
        <w:gridCol w:w="1829"/>
      </w:tblGrid>
      <w:tr w14:paraId="3CECC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2178" w:type="dxa"/>
            <w:tcBorders>
              <w:top w:val="single" w:color="auto" w:sz="4" w:space="0"/>
              <w:left w:val="single" w:color="auto" w:sz="4" w:space="0"/>
              <w:bottom w:val="single" w:color="auto" w:sz="4" w:space="0"/>
              <w:right w:val="single" w:color="auto" w:sz="4" w:space="0"/>
            </w:tcBorders>
            <w:vAlign w:val="center"/>
          </w:tcPr>
          <w:p w14:paraId="6D6B42B8">
            <w:pPr>
              <w:snapToGrid w:val="0"/>
              <w:spacing w:line="500" w:lineRule="exact"/>
              <w:jc w:val="center"/>
              <w:rPr>
                <w:rFonts w:ascii="宋体" w:hAnsi="宋体" w:cs="宋体"/>
                <w:color w:val="auto"/>
                <w:sz w:val="24"/>
              </w:rPr>
            </w:pPr>
            <w:r>
              <w:rPr>
                <w:rFonts w:hint="eastAsia" w:ascii="宋体" w:hAnsi="宋体" w:cs="宋体"/>
                <w:color w:val="auto"/>
                <w:sz w:val="24"/>
              </w:rPr>
              <w:t>项目</w:t>
            </w:r>
          </w:p>
        </w:tc>
        <w:tc>
          <w:tcPr>
            <w:tcW w:w="2668" w:type="dxa"/>
            <w:tcBorders>
              <w:top w:val="single" w:color="auto" w:sz="4" w:space="0"/>
              <w:left w:val="single" w:color="auto" w:sz="4" w:space="0"/>
              <w:bottom w:val="single" w:color="auto" w:sz="4" w:space="0"/>
              <w:right w:val="single" w:color="auto" w:sz="4" w:space="0"/>
            </w:tcBorders>
            <w:vAlign w:val="center"/>
          </w:tcPr>
          <w:p w14:paraId="4CFACAFF">
            <w:pPr>
              <w:snapToGrid w:val="0"/>
              <w:spacing w:line="500" w:lineRule="exact"/>
              <w:jc w:val="center"/>
              <w:rPr>
                <w:rFonts w:ascii="宋体" w:hAnsi="宋体" w:cs="宋体"/>
                <w:color w:val="auto"/>
                <w:sz w:val="24"/>
              </w:rPr>
            </w:pPr>
            <w:r>
              <w:rPr>
                <w:rFonts w:hint="eastAsia" w:ascii="宋体" w:hAnsi="宋体" w:cs="宋体"/>
                <w:color w:val="auto"/>
                <w:sz w:val="24"/>
              </w:rPr>
              <w:t>谈判文件商务要求</w:t>
            </w:r>
          </w:p>
        </w:tc>
        <w:tc>
          <w:tcPr>
            <w:tcW w:w="2633" w:type="dxa"/>
            <w:tcBorders>
              <w:top w:val="single" w:color="auto" w:sz="4" w:space="0"/>
              <w:left w:val="single" w:color="auto" w:sz="4" w:space="0"/>
              <w:bottom w:val="single" w:color="auto" w:sz="4" w:space="0"/>
              <w:right w:val="single" w:color="auto" w:sz="4" w:space="0"/>
            </w:tcBorders>
            <w:vAlign w:val="center"/>
          </w:tcPr>
          <w:p w14:paraId="259CA925">
            <w:pPr>
              <w:snapToGrid w:val="0"/>
              <w:spacing w:line="500" w:lineRule="exact"/>
              <w:jc w:val="center"/>
              <w:rPr>
                <w:rFonts w:ascii="宋体" w:hAnsi="宋体" w:cs="宋体"/>
                <w:color w:val="auto"/>
                <w:sz w:val="24"/>
              </w:rPr>
            </w:pPr>
            <w:r>
              <w:rPr>
                <w:rFonts w:hint="eastAsia" w:ascii="宋体" w:hAnsi="宋体" w:cs="宋体"/>
                <w:color w:val="auto"/>
                <w:sz w:val="24"/>
              </w:rPr>
              <w:t>供应商的响应</w:t>
            </w:r>
          </w:p>
        </w:tc>
        <w:tc>
          <w:tcPr>
            <w:tcW w:w="1829" w:type="dxa"/>
            <w:tcBorders>
              <w:top w:val="single" w:color="auto" w:sz="4" w:space="0"/>
              <w:left w:val="single" w:color="auto" w:sz="4" w:space="0"/>
              <w:bottom w:val="single" w:color="auto" w:sz="4" w:space="0"/>
              <w:right w:val="single" w:color="auto" w:sz="4" w:space="0"/>
            </w:tcBorders>
            <w:vAlign w:val="center"/>
          </w:tcPr>
          <w:p w14:paraId="3D0C0055">
            <w:pPr>
              <w:snapToGrid w:val="0"/>
              <w:spacing w:line="500" w:lineRule="exact"/>
              <w:jc w:val="center"/>
              <w:rPr>
                <w:rFonts w:ascii="宋体" w:hAnsi="宋体" w:cs="宋体"/>
                <w:color w:val="auto"/>
                <w:sz w:val="24"/>
              </w:rPr>
            </w:pPr>
            <w:r>
              <w:rPr>
                <w:rFonts w:hint="eastAsia" w:ascii="宋体" w:hAnsi="宋体" w:cs="宋体"/>
                <w:color w:val="auto"/>
                <w:sz w:val="24"/>
              </w:rPr>
              <w:t>偏离说明</w:t>
            </w:r>
          </w:p>
        </w:tc>
      </w:tr>
      <w:tr w14:paraId="5F2F5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178" w:type="dxa"/>
            <w:tcBorders>
              <w:top w:val="single" w:color="auto" w:sz="4" w:space="0"/>
              <w:left w:val="single" w:color="auto" w:sz="4" w:space="0"/>
              <w:bottom w:val="single" w:color="auto" w:sz="4" w:space="0"/>
              <w:right w:val="single" w:color="auto" w:sz="4" w:space="0"/>
            </w:tcBorders>
            <w:vAlign w:val="center"/>
          </w:tcPr>
          <w:p w14:paraId="74B7940C">
            <w:pPr>
              <w:spacing w:line="500" w:lineRule="exact"/>
              <w:jc w:val="center"/>
              <w:rPr>
                <w:rFonts w:ascii="宋体" w:hAnsi="宋体" w:cs="宋体"/>
                <w:color w:val="auto"/>
                <w:sz w:val="24"/>
              </w:rPr>
            </w:pPr>
          </w:p>
        </w:tc>
        <w:tc>
          <w:tcPr>
            <w:tcW w:w="2668" w:type="dxa"/>
            <w:tcBorders>
              <w:top w:val="single" w:color="auto" w:sz="4" w:space="0"/>
              <w:left w:val="single" w:color="auto" w:sz="4" w:space="0"/>
              <w:bottom w:val="single" w:color="auto" w:sz="4" w:space="0"/>
              <w:right w:val="single" w:color="auto" w:sz="4" w:space="0"/>
            </w:tcBorders>
            <w:vAlign w:val="center"/>
          </w:tcPr>
          <w:p w14:paraId="5FA4B740">
            <w:pPr>
              <w:spacing w:line="500" w:lineRule="exact"/>
              <w:jc w:val="center"/>
              <w:rPr>
                <w:rFonts w:ascii="宋体" w:hAnsi="宋体" w:cs="宋体"/>
                <w:color w:val="auto"/>
                <w:sz w:val="24"/>
              </w:rPr>
            </w:pPr>
          </w:p>
        </w:tc>
        <w:tc>
          <w:tcPr>
            <w:tcW w:w="2633" w:type="dxa"/>
            <w:tcBorders>
              <w:top w:val="single" w:color="auto" w:sz="4" w:space="0"/>
              <w:left w:val="single" w:color="auto" w:sz="4" w:space="0"/>
              <w:bottom w:val="single" w:color="auto" w:sz="4" w:space="0"/>
              <w:right w:val="single" w:color="auto" w:sz="4" w:space="0"/>
            </w:tcBorders>
            <w:vAlign w:val="center"/>
          </w:tcPr>
          <w:p w14:paraId="6677A593">
            <w:pPr>
              <w:snapToGrid w:val="0"/>
              <w:spacing w:line="500" w:lineRule="exact"/>
              <w:jc w:val="center"/>
              <w:rPr>
                <w:rFonts w:ascii="宋体" w:hAnsi="宋体" w:cs="宋体"/>
                <w:color w:val="auto"/>
                <w:sz w:val="24"/>
              </w:rPr>
            </w:pPr>
          </w:p>
        </w:tc>
        <w:tc>
          <w:tcPr>
            <w:tcW w:w="1829" w:type="dxa"/>
            <w:tcBorders>
              <w:top w:val="single" w:color="auto" w:sz="4" w:space="0"/>
              <w:left w:val="single" w:color="auto" w:sz="4" w:space="0"/>
              <w:bottom w:val="single" w:color="auto" w:sz="4" w:space="0"/>
              <w:right w:val="single" w:color="auto" w:sz="4" w:space="0"/>
            </w:tcBorders>
            <w:vAlign w:val="center"/>
          </w:tcPr>
          <w:p w14:paraId="576AC3FF">
            <w:pPr>
              <w:snapToGrid w:val="0"/>
              <w:spacing w:line="500" w:lineRule="exact"/>
              <w:jc w:val="center"/>
              <w:rPr>
                <w:rFonts w:ascii="宋体" w:hAnsi="宋体" w:cs="宋体"/>
                <w:color w:val="auto"/>
                <w:sz w:val="24"/>
              </w:rPr>
            </w:pPr>
          </w:p>
        </w:tc>
      </w:tr>
      <w:tr w14:paraId="55C94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2178" w:type="dxa"/>
            <w:tcBorders>
              <w:top w:val="single" w:color="auto" w:sz="4" w:space="0"/>
              <w:left w:val="single" w:color="auto" w:sz="4" w:space="0"/>
              <w:bottom w:val="single" w:color="auto" w:sz="4" w:space="0"/>
              <w:right w:val="single" w:color="auto" w:sz="4" w:space="0"/>
            </w:tcBorders>
            <w:vAlign w:val="center"/>
          </w:tcPr>
          <w:p w14:paraId="234C2C28">
            <w:pPr>
              <w:spacing w:line="500" w:lineRule="exact"/>
              <w:jc w:val="center"/>
              <w:rPr>
                <w:rFonts w:ascii="宋体" w:hAnsi="宋体" w:cs="宋体"/>
                <w:color w:val="auto"/>
                <w:sz w:val="24"/>
              </w:rPr>
            </w:pPr>
          </w:p>
        </w:tc>
        <w:tc>
          <w:tcPr>
            <w:tcW w:w="2668" w:type="dxa"/>
            <w:tcBorders>
              <w:top w:val="single" w:color="auto" w:sz="4" w:space="0"/>
              <w:left w:val="single" w:color="auto" w:sz="4" w:space="0"/>
              <w:bottom w:val="single" w:color="auto" w:sz="4" w:space="0"/>
              <w:right w:val="single" w:color="auto" w:sz="4" w:space="0"/>
            </w:tcBorders>
            <w:vAlign w:val="center"/>
          </w:tcPr>
          <w:p w14:paraId="1C9AA411">
            <w:pPr>
              <w:spacing w:line="500" w:lineRule="exact"/>
              <w:jc w:val="center"/>
              <w:rPr>
                <w:rFonts w:ascii="宋体" w:hAnsi="宋体" w:cs="宋体"/>
                <w:color w:val="auto"/>
                <w:sz w:val="24"/>
              </w:rPr>
            </w:pPr>
          </w:p>
        </w:tc>
        <w:tc>
          <w:tcPr>
            <w:tcW w:w="2633" w:type="dxa"/>
            <w:tcBorders>
              <w:top w:val="single" w:color="auto" w:sz="4" w:space="0"/>
              <w:left w:val="single" w:color="auto" w:sz="4" w:space="0"/>
              <w:bottom w:val="single" w:color="auto" w:sz="4" w:space="0"/>
              <w:right w:val="single" w:color="auto" w:sz="4" w:space="0"/>
            </w:tcBorders>
            <w:vAlign w:val="center"/>
          </w:tcPr>
          <w:p w14:paraId="0A048286">
            <w:pPr>
              <w:snapToGrid w:val="0"/>
              <w:spacing w:line="500" w:lineRule="exact"/>
              <w:jc w:val="center"/>
              <w:rPr>
                <w:rFonts w:ascii="宋体" w:hAnsi="宋体" w:cs="宋体"/>
                <w:color w:val="auto"/>
                <w:sz w:val="24"/>
              </w:rPr>
            </w:pPr>
          </w:p>
        </w:tc>
        <w:tc>
          <w:tcPr>
            <w:tcW w:w="1829" w:type="dxa"/>
            <w:tcBorders>
              <w:top w:val="single" w:color="auto" w:sz="4" w:space="0"/>
              <w:left w:val="single" w:color="auto" w:sz="4" w:space="0"/>
              <w:bottom w:val="single" w:color="auto" w:sz="4" w:space="0"/>
              <w:right w:val="single" w:color="auto" w:sz="4" w:space="0"/>
            </w:tcBorders>
            <w:vAlign w:val="center"/>
          </w:tcPr>
          <w:p w14:paraId="41982D06">
            <w:pPr>
              <w:snapToGrid w:val="0"/>
              <w:spacing w:line="500" w:lineRule="exact"/>
              <w:jc w:val="center"/>
              <w:rPr>
                <w:rFonts w:ascii="宋体" w:hAnsi="宋体" w:cs="宋体"/>
                <w:color w:val="auto"/>
                <w:sz w:val="24"/>
              </w:rPr>
            </w:pPr>
          </w:p>
        </w:tc>
      </w:tr>
      <w:tr w14:paraId="666A7C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178" w:type="dxa"/>
            <w:tcBorders>
              <w:top w:val="single" w:color="auto" w:sz="4" w:space="0"/>
              <w:left w:val="single" w:color="auto" w:sz="4" w:space="0"/>
              <w:bottom w:val="single" w:color="auto" w:sz="4" w:space="0"/>
              <w:right w:val="single" w:color="auto" w:sz="4" w:space="0"/>
            </w:tcBorders>
            <w:vAlign w:val="center"/>
          </w:tcPr>
          <w:p w14:paraId="5C5C42E0">
            <w:pPr>
              <w:snapToGrid w:val="0"/>
              <w:spacing w:line="500" w:lineRule="exact"/>
              <w:jc w:val="center"/>
              <w:rPr>
                <w:rFonts w:ascii="宋体" w:hAnsi="宋体" w:cs="宋体"/>
                <w:color w:val="auto"/>
                <w:sz w:val="24"/>
              </w:rPr>
            </w:pPr>
            <w:r>
              <w:rPr>
                <w:rFonts w:hint="eastAsia" w:ascii="宋体" w:hAnsi="宋体" w:cs="宋体"/>
                <w:color w:val="auto"/>
                <w:sz w:val="24"/>
              </w:rPr>
              <w:t>…</w:t>
            </w:r>
          </w:p>
        </w:tc>
        <w:tc>
          <w:tcPr>
            <w:tcW w:w="2668" w:type="dxa"/>
            <w:tcBorders>
              <w:top w:val="single" w:color="auto" w:sz="4" w:space="0"/>
              <w:left w:val="single" w:color="auto" w:sz="4" w:space="0"/>
              <w:bottom w:val="single" w:color="auto" w:sz="4" w:space="0"/>
              <w:right w:val="single" w:color="auto" w:sz="4" w:space="0"/>
            </w:tcBorders>
            <w:vAlign w:val="center"/>
          </w:tcPr>
          <w:p w14:paraId="65919869">
            <w:pPr>
              <w:snapToGrid w:val="0"/>
              <w:spacing w:line="500" w:lineRule="exact"/>
              <w:jc w:val="center"/>
              <w:rPr>
                <w:rFonts w:ascii="宋体" w:hAnsi="宋体" w:cs="宋体"/>
                <w:color w:val="auto"/>
                <w:sz w:val="24"/>
              </w:rPr>
            </w:pPr>
          </w:p>
        </w:tc>
        <w:tc>
          <w:tcPr>
            <w:tcW w:w="2633" w:type="dxa"/>
            <w:tcBorders>
              <w:top w:val="single" w:color="auto" w:sz="4" w:space="0"/>
              <w:left w:val="single" w:color="auto" w:sz="4" w:space="0"/>
              <w:bottom w:val="single" w:color="auto" w:sz="4" w:space="0"/>
              <w:right w:val="single" w:color="auto" w:sz="4" w:space="0"/>
            </w:tcBorders>
            <w:vAlign w:val="center"/>
          </w:tcPr>
          <w:p w14:paraId="58E7E360">
            <w:pPr>
              <w:snapToGrid w:val="0"/>
              <w:spacing w:line="500" w:lineRule="exact"/>
              <w:jc w:val="center"/>
              <w:rPr>
                <w:rFonts w:ascii="宋体" w:hAnsi="宋体" w:cs="宋体"/>
                <w:color w:val="auto"/>
                <w:sz w:val="24"/>
              </w:rPr>
            </w:pPr>
          </w:p>
        </w:tc>
        <w:tc>
          <w:tcPr>
            <w:tcW w:w="1829" w:type="dxa"/>
            <w:tcBorders>
              <w:top w:val="single" w:color="auto" w:sz="4" w:space="0"/>
              <w:left w:val="single" w:color="auto" w:sz="4" w:space="0"/>
              <w:bottom w:val="single" w:color="auto" w:sz="4" w:space="0"/>
              <w:right w:val="single" w:color="auto" w:sz="4" w:space="0"/>
            </w:tcBorders>
            <w:vAlign w:val="center"/>
          </w:tcPr>
          <w:p w14:paraId="1F261F04">
            <w:pPr>
              <w:snapToGrid w:val="0"/>
              <w:spacing w:line="500" w:lineRule="exact"/>
              <w:jc w:val="center"/>
              <w:rPr>
                <w:rFonts w:ascii="宋体" w:hAnsi="宋体" w:cs="宋体"/>
                <w:color w:val="auto"/>
                <w:sz w:val="24"/>
              </w:rPr>
            </w:pPr>
          </w:p>
        </w:tc>
      </w:tr>
    </w:tbl>
    <w:p w14:paraId="055FC552">
      <w:pPr>
        <w:pStyle w:val="10"/>
        <w:spacing w:after="0" w:line="360" w:lineRule="auto"/>
        <w:contextualSpacing/>
        <w:rPr>
          <w:rFonts w:ascii="楷体" w:hAnsi="楷体" w:eastAsia="楷体" w:cs="宋体"/>
          <w:b/>
          <w:color w:val="auto"/>
          <w:kern w:val="0"/>
          <w:sz w:val="24"/>
          <w:szCs w:val="24"/>
        </w:rPr>
      </w:pPr>
      <w:r>
        <w:rPr>
          <w:rFonts w:hint="eastAsia" w:ascii="楷体" w:hAnsi="楷体" w:eastAsia="楷体" w:cs="宋体"/>
          <w:b/>
          <w:color w:val="auto"/>
          <w:kern w:val="0"/>
          <w:sz w:val="24"/>
          <w:szCs w:val="24"/>
        </w:rPr>
        <w:t>注：</w:t>
      </w:r>
    </w:p>
    <w:p w14:paraId="7878C5BB">
      <w:pPr>
        <w:pStyle w:val="10"/>
        <w:spacing w:after="0" w:line="360" w:lineRule="auto"/>
        <w:ind w:firstLine="480" w:firstLineChars="200"/>
        <w:contextualSpacing/>
        <w:rPr>
          <w:rFonts w:ascii="楷体" w:hAnsi="楷体" w:eastAsia="楷体" w:cs="宋体"/>
          <w:color w:val="auto"/>
          <w:kern w:val="0"/>
          <w:sz w:val="24"/>
          <w:szCs w:val="24"/>
        </w:rPr>
      </w:pPr>
      <w:r>
        <w:rPr>
          <w:rFonts w:ascii="楷体" w:hAnsi="楷体" w:eastAsia="楷体" w:cs="宋体"/>
          <w:color w:val="auto"/>
          <w:kern w:val="0"/>
          <w:sz w:val="24"/>
          <w:szCs w:val="24"/>
        </w:rPr>
        <w:t xml:space="preserve">1.说明：应对照谈判文件“第三章 </w:t>
      </w:r>
      <w:r>
        <w:rPr>
          <w:rFonts w:hint="eastAsia" w:ascii="楷体" w:hAnsi="楷体" w:eastAsia="楷体" w:cs="宋体"/>
          <w:color w:val="auto"/>
          <w:kern w:val="0"/>
          <w:sz w:val="24"/>
          <w:szCs w:val="24"/>
        </w:rPr>
        <w:t>采购需求”中的商务要求逐条明确响应，并作出偏离说明。</w:t>
      </w:r>
    </w:p>
    <w:p w14:paraId="2F2850D8">
      <w:pPr>
        <w:pStyle w:val="10"/>
        <w:spacing w:after="0" w:line="360" w:lineRule="auto"/>
        <w:ind w:firstLine="480" w:firstLineChars="200"/>
        <w:contextualSpacing/>
        <w:rPr>
          <w:rFonts w:ascii="楷体" w:hAnsi="楷体" w:eastAsia="楷体" w:cs="宋体"/>
          <w:color w:val="auto"/>
          <w:kern w:val="0"/>
          <w:sz w:val="24"/>
          <w:szCs w:val="24"/>
        </w:rPr>
      </w:pPr>
      <w:r>
        <w:rPr>
          <w:rFonts w:ascii="楷体" w:hAnsi="楷体" w:eastAsia="楷体" w:cs="宋体"/>
          <w:color w:val="auto"/>
          <w:kern w:val="0"/>
          <w:sz w:val="24"/>
          <w:szCs w:val="24"/>
        </w:rPr>
        <w:t>2.供应商应根据自身的承诺，对照谈判文件要求在“偏离说明”中注明“正偏离”、“负偏离”或者“无偏离”。既不属于“正偏离”也不属于“负偏离”即为“无偏离”。</w:t>
      </w:r>
    </w:p>
    <w:p w14:paraId="56A60B70">
      <w:pPr>
        <w:spacing w:line="360" w:lineRule="auto"/>
        <w:contextualSpacing/>
        <w:jc w:val="left"/>
        <w:rPr>
          <w:rFonts w:ascii="宋体" w:hAnsi="宋体" w:cs="宋体"/>
          <w:color w:val="auto"/>
          <w:sz w:val="24"/>
          <w:u w:val="single"/>
        </w:rPr>
      </w:pPr>
    </w:p>
    <w:p w14:paraId="37E6A591">
      <w:pPr>
        <w:spacing w:line="360" w:lineRule="auto"/>
        <w:contextualSpacing/>
        <w:jc w:val="left"/>
        <w:rPr>
          <w:rFonts w:ascii="宋体" w:hAnsi="宋体" w:cs="宋体"/>
          <w:color w:val="auto"/>
          <w:sz w:val="24"/>
          <w:u w:val="single"/>
        </w:rPr>
      </w:pPr>
    </w:p>
    <w:p w14:paraId="50716F06">
      <w:pPr>
        <w:spacing w:line="360" w:lineRule="auto"/>
        <w:contextualSpacing/>
        <w:rPr>
          <w:rFonts w:ascii="宋体" w:hAnsi="宋体" w:cs="宋体"/>
          <w:color w:val="auto"/>
          <w:sz w:val="24"/>
        </w:rPr>
      </w:pPr>
    </w:p>
    <w:p w14:paraId="09B66F3C">
      <w:pPr>
        <w:spacing w:line="360" w:lineRule="auto"/>
        <w:contextualSpacing/>
        <w:jc w:val="center"/>
        <w:rPr>
          <w:rFonts w:ascii="宋体" w:hAnsi="宋体" w:cs="宋体"/>
          <w:color w:val="auto"/>
          <w:sz w:val="24"/>
          <w:u w:val="single"/>
        </w:rPr>
      </w:pPr>
      <w:r>
        <w:rPr>
          <w:rFonts w:hint="eastAsia" w:ascii="宋体" w:hAnsi="宋体" w:cs="宋体"/>
          <w:color w:val="auto"/>
          <w:sz w:val="24"/>
        </w:rPr>
        <w:t>法定代表人或者委托代理人（签字）：</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42769BAA">
      <w:pPr>
        <w:spacing w:line="360" w:lineRule="auto"/>
        <w:ind w:firstLine="3240" w:firstLineChars="1350"/>
        <w:contextualSpacing/>
        <w:rPr>
          <w:rFonts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675EC9EF">
      <w:pPr>
        <w:spacing w:line="360" w:lineRule="auto"/>
        <w:ind w:firstLine="3240" w:firstLineChars="1350"/>
        <w:contextualSpacing/>
        <w:rPr>
          <w:rFonts w:ascii="宋体" w:hAnsi="宋体" w:cs="宋体"/>
          <w:color w:val="auto"/>
          <w:sz w:val="24"/>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06279550">
      <w:pPr>
        <w:adjustRightInd w:val="0"/>
        <w:snapToGrid w:val="0"/>
        <w:spacing w:line="360" w:lineRule="auto"/>
        <w:ind w:firstLine="7040" w:firstLineChars="1600"/>
        <w:jc w:val="center"/>
        <w:rPr>
          <w:rFonts w:ascii="宋体" w:hAnsi="宋体" w:cs="宋体"/>
          <w:bCs/>
          <w:color w:val="auto"/>
          <w:sz w:val="44"/>
          <w:szCs w:val="44"/>
        </w:rPr>
      </w:pPr>
    </w:p>
    <w:p w14:paraId="410DD80A">
      <w:pPr>
        <w:adjustRightInd w:val="0"/>
        <w:snapToGrid w:val="0"/>
        <w:spacing w:line="360" w:lineRule="auto"/>
        <w:jc w:val="center"/>
        <w:rPr>
          <w:rFonts w:ascii="宋体" w:hAnsi="宋体" w:cs="宋体"/>
          <w:b/>
          <w:color w:val="auto"/>
          <w:sz w:val="32"/>
          <w:szCs w:val="32"/>
        </w:rPr>
      </w:pPr>
      <w:r>
        <w:rPr>
          <w:rFonts w:hint="eastAsia" w:ascii="宋体" w:hAnsi="宋体" w:cs="宋体"/>
          <w:bCs/>
          <w:color w:val="auto"/>
          <w:sz w:val="44"/>
          <w:szCs w:val="44"/>
        </w:rPr>
        <w:br w:type="page"/>
      </w:r>
      <w:r>
        <w:rPr>
          <w:rFonts w:hint="eastAsia" w:ascii="宋体" w:hAnsi="宋体" w:cs="宋体"/>
          <w:b/>
          <w:bCs/>
          <w:color w:val="auto"/>
          <w:sz w:val="44"/>
          <w:szCs w:val="44"/>
        </w:rPr>
        <w:t>货物配置清单</w:t>
      </w:r>
    </w:p>
    <w:p w14:paraId="3A17912F">
      <w:pPr>
        <w:spacing w:line="360" w:lineRule="auto"/>
        <w:rPr>
          <w:rFonts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3CAB8B82">
      <w:pPr>
        <w:spacing w:line="360" w:lineRule="auto"/>
        <w:rPr>
          <w:rFonts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5BA484A5">
      <w:pPr>
        <w:spacing w:line="360" w:lineRule="auto"/>
        <w:rPr>
          <w:rFonts w:ascii="宋体" w:hAnsi="宋体" w:cs="宋体"/>
          <w:color w:val="auto"/>
          <w:sz w:val="24"/>
          <w:u w:val="single"/>
        </w:rPr>
      </w:pPr>
      <w:r>
        <w:rPr>
          <w:rFonts w:hint="eastAsia" w:ascii="宋体" w:hAnsi="宋体" w:cs="宋体"/>
          <w:color w:val="auto"/>
          <w:sz w:val="24"/>
        </w:rPr>
        <w:t>所竞分标（如有）：</w:t>
      </w:r>
      <w:r>
        <w:rPr>
          <w:rFonts w:hint="eastAsia" w:ascii="宋体" w:hAnsi="宋体" w:cs="宋体"/>
          <w:color w:val="auto"/>
          <w:sz w:val="24"/>
          <w:u w:val="single"/>
        </w:rPr>
        <w:t xml:space="preserve">                 </w:t>
      </w:r>
    </w:p>
    <w:tbl>
      <w:tblPr>
        <w:tblStyle w:val="27"/>
        <w:tblW w:w="108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7"/>
        <w:gridCol w:w="1293"/>
        <w:gridCol w:w="929"/>
        <w:gridCol w:w="1854"/>
        <w:gridCol w:w="1293"/>
        <w:gridCol w:w="765"/>
        <w:gridCol w:w="797"/>
        <w:gridCol w:w="971"/>
        <w:gridCol w:w="2147"/>
      </w:tblGrid>
      <w:tr w14:paraId="24ACE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64736B23">
            <w:pPr>
              <w:snapToGrid w:val="0"/>
              <w:spacing w:before="50" w:after="50"/>
              <w:jc w:val="center"/>
              <w:rPr>
                <w:rFonts w:ascii="宋体" w:hAnsi="宋体" w:cs="宋体"/>
                <w:color w:val="auto"/>
                <w:sz w:val="24"/>
              </w:rPr>
            </w:pPr>
            <w:r>
              <w:rPr>
                <w:rFonts w:hint="eastAsia" w:ascii="宋体" w:hAnsi="宋体" w:cs="宋体"/>
                <w:color w:val="auto"/>
                <w:sz w:val="24"/>
              </w:rPr>
              <w:t>序号</w:t>
            </w:r>
          </w:p>
        </w:tc>
        <w:tc>
          <w:tcPr>
            <w:tcW w:w="1293" w:type="dxa"/>
            <w:tcBorders>
              <w:top w:val="single" w:color="auto" w:sz="4" w:space="0"/>
              <w:left w:val="single" w:color="auto" w:sz="4" w:space="0"/>
              <w:bottom w:val="single" w:color="auto" w:sz="4" w:space="0"/>
              <w:right w:val="single" w:color="auto" w:sz="4" w:space="0"/>
            </w:tcBorders>
            <w:vAlign w:val="center"/>
          </w:tcPr>
          <w:p w14:paraId="21060AC6">
            <w:pPr>
              <w:snapToGrid w:val="0"/>
              <w:spacing w:before="50" w:after="50"/>
              <w:jc w:val="center"/>
              <w:rPr>
                <w:rFonts w:ascii="宋体" w:hAnsi="宋体" w:cs="宋体"/>
                <w:color w:val="auto"/>
                <w:sz w:val="24"/>
              </w:rPr>
            </w:pPr>
            <w:r>
              <w:rPr>
                <w:rFonts w:hint="eastAsia" w:ascii="宋体" w:hAnsi="宋体" w:cs="宋体"/>
                <w:color w:val="auto"/>
                <w:sz w:val="24"/>
              </w:rPr>
              <w:t>货物名称</w:t>
            </w:r>
          </w:p>
        </w:tc>
        <w:tc>
          <w:tcPr>
            <w:tcW w:w="929" w:type="dxa"/>
            <w:tcBorders>
              <w:top w:val="single" w:color="auto" w:sz="4" w:space="0"/>
              <w:left w:val="single" w:color="auto" w:sz="4" w:space="0"/>
              <w:bottom w:val="single" w:color="auto" w:sz="4" w:space="0"/>
              <w:right w:val="single" w:color="auto" w:sz="4" w:space="0"/>
            </w:tcBorders>
            <w:vAlign w:val="center"/>
          </w:tcPr>
          <w:p w14:paraId="06BAE53C">
            <w:pPr>
              <w:snapToGrid w:val="0"/>
              <w:spacing w:before="50" w:after="50"/>
              <w:jc w:val="center"/>
              <w:rPr>
                <w:rFonts w:ascii="宋体" w:hAnsi="宋体" w:cs="宋体"/>
                <w:color w:val="auto"/>
                <w:sz w:val="24"/>
              </w:rPr>
            </w:pPr>
            <w:r>
              <w:rPr>
                <w:rFonts w:hint="eastAsia" w:ascii="宋体" w:hAnsi="宋体" w:cs="宋体"/>
                <w:color w:val="auto"/>
                <w:sz w:val="24"/>
              </w:rPr>
              <w:t>品牌</w:t>
            </w:r>
          </w:p>
        </w:tc>
        <w:tc>
          <w:tcPr>
            <w:tcW w:w="1854" w:type="dxa"/>
            <w:tcBorders>
              <w:top w:val="single" w:color="auto" w:sz="4" w:space="0"/>
              <w:left w:val="single" w:color="auto" w:sz="4" w:space="0"/>
              <w:bottom w:val="single" w:color="auto" w:sz="4" w:space="0"/>
              <w:right w:val="single" w:color="auto" w:sz="4" w:space="0"/>
            </w:tcBorders>
            <w:vAlign w:val="center"/>
          </w:tcPr>
          <w:p w14:paraId="73FF5FDB">
            <w:pPr>
              <w:snapToGrid w:val="0"/>
              <w:spacing w:before="50" w:after="50"/>
              <w:jc w:val="center"/>
              <w:rPr>
                <w:rFonts w:ascii="宋体" w:hAnsi="宋体" w:cs="宋体"/>
                <w:color w:val="auto"/>
                <w:sz w:val="24"/>
              </w:rPr>
            </w:pPr>
            <w:r>
              <w:rPr>
                <w:rFonts w:hint="eastAsia" w:ascii="宋体" w:hAnsi="宋体" w:cs="宋体"/>
                <w:color w:val="auto"/>
                <w:sz w:val="24"/>
              </w:rPr>
              <w:t>型号</w:t>
            </w:r>
          </w:p>
        </w:tc>
        <w:tc>
          <w:tcPr>
            <w:tcW w:w="1293" w:type="dxa"/>
            <w:tcBorders>
              <w:top w:val="single" w:color="auto" w:sz="4" w:space="0"/>
              <w:left w:val="single" w:color="auto" w:sz="4" w:space="0"/>
              <w:bottom w:val="single" w:color="auto" w:sz="4" w:space="0"/>
              <w:right w:val="single" w:color="auto" w:sz="4" w:space="0"/>
            </w:tcBorders>
            <w:vAlign w:val="center"/>
          </w:tcPr>
          <w:p w14:paraId="5582AD0A">
            <w:pPr>
              <w:snapToGrid w:val="0"/>
              <w:spacing w:before="50" w:after="50"/>
              <w:jc w:val="center"/>
              <w:rPr>
                <w:rFonts w:ascii="宋体" w:hAnsi="宋体" w:cs="宋体"/>
                <w:color w:val="auto"/>
                <w:sz w:val="24"/>
              </w:rPr>
            </w:pPr>
            <w:r>
              <w:rPr>
                <w:rFonts w:hint="eastAsia" w:ascii="宋体" w:hAnsi="宋体" w:cs="宋体"/>
                <w:color w:val="auto"/>
                <w:sz w:val="24"/>
              </w:rPr>
              <w:t>生产厂家</w:t>
            </w:r>
          </w:p>
        </w:tc>
        <w:tc>
          <w:tcPr>
            <w:tcW w:w="765" w:type="dxa"/>
            <w:tcBorders>
              <w:top w:val="single" w:color="auto" w:sz="4" w:space="0"/>
              <w:left w:val="single" w:color="auto" w:sz="4" w:space="0"/>
              <w:bottom w:val="single" w:color="auto" w:sz="4" w:space="0"/>
              <w:right w:val="single" w:color="auto" w:sz="4" w:space="0"/>
            </w:tcBorders>
            <w:vAlign w:val="center"/>
          </w:tcPr>
          <w:p w14:paraId="446ACE52">
            <w:pPr>
              <w:snapToGrid w:val="0"/>
              <w:spacing w:before="50" w:after="50"/>
              <w:jc w:val="center"/>
              <w:rPr>
                <w:rFonts w:ascii="宋体" w:hAnsi="宋体" w:cs="宋体"/>
                <w:color w:val="auto"/>
                <w:sz w:val="24"/>
              </w:rPr>
            </w:pPr>
            <w:r>
              <w:rPr>
                <w:rFonts w:hint="eastAsia" w:ascii="宋体" w:hAnsi="宋体" w:cs="宋体"/>
                <w:color w:val="auto"/>
                <w:sz w:val="24"/>
              </w:rPr>
              <w:t>产地</w:t>
            </w:r>
          </w:p>
        </w:tc>
        <w:tc>
          <w:tcPr>
            <w:tcW w:w="797" w:type="dxa"/>
            <w:tcBorders>
              <w:top w:val="single" w:color="auto" w:sz="4" w:space="0"/>
              <w:left w:val="single" w:color="auto" w:sz="4" w:space="0"/>
              <w:bottom w:val="single" w:color="auto" w:sz="4" w:space="0"/>
              <w:right w:val="single" w:color="auto" w:sz="4" w:space="0"/>
            </w:tcBorders>
            <w:vAlign w:val="center"/>
          </w:tcPr>
          <w:p w14:paraId="3890BC24">
            <w:pPr>
              <w:snapToGrid w:val="0"/>
              <w:spacing w:before="50" w:after="50"/>
              <w:jc w:val="center"/>
              <w:rPr>
                <w:rFonts w:ascii="宋体" w:hAnsi="宋体" w:cs="宋体"/>
                <w:color w:val="auto"/>
                <w:sz w:val="24"/>
              </w:rPr>
            </w:pPr>
            <w:r>
              <w:rPr>
                <w:rFonts w:hint="eastAsia" w:ascii="宋体" w:hAnsi="宋体" w:cs="宋体"/>
                <w:color w:val="auto"/>
                <w:sz w:val="24"/>
              </w:rPr>
              <w:t>数量</w:t>
            </w:r>
          </w:p>
        </w:tc>
        <w:tc>
          <w:tcPr>
            <w:tcW w:w="971" w:type="dxa"/>
            <w:tcBorders>
              <w:top w:val="single" w:color="auto" w:sz="4" w:space="0"/>
              <w:left w:val="single" w:color="auto" w:sz="4" w:space="0"/>
              <w:bottom w:val="single" w:color="auto" w:sz="4" w:space="0"/>
              <w:right w:val="single" w:color="auto" w:sz="4" w:space="0"/>
            </w:tcBorders>
            <w:vAlign w:val="center"/>
          </w:tcPr>
          <w:p w14:paraId="1DCED92F">
            <w:pPr>
              <w:snapToGrid w:val="0"/>
              <w:spacing w:before="50" w:after="50"/>
              <w:jc w:val="center"/>
              <w:rPr>
                <w:rFonts w:ascii="宋体" w:hAnsi="宋体" w:cs="宋体"/>
                <w:color w:val="auto"/>
                <w:sz w:val="24"/>
              </w:rPr>
            </w:pPr>
            <w:r>
              <w:rPr>
                <w:rFonts w:hint="eastAsia" w:ascii="宋体" w:hAnsi="宋体" w:cs="宋体"/>
                <w:color w:val="auto"/>
                <w:sz w:val="24"/>
              </w:rPr>
              <w:t>单位</w:t>
            </w:r>
          </w:p>
        </w:tc>
        <w:tc>
          <w:tcPr>
            <w:tcW w:w="2147" w:type="dxa"/>
            <w:tcBorders>
              <w:top w:val="single" w:color="auto" w:sz="4" w:space="0"/>
              <w:left w:val="single" w:color="auto" w:sz="4" w:space="0"/>
              <w:bottom w:val="single" w:color="auto" w:sz="4" w:space="0"/>
              <w:right w:val="single" w:color="auto" w:sz="4" w:space="0"/>
            </w:tcBorders>
            <w:vAlign w:val="center"/>
          </w:tcPr>
          <w:p w14:paraId="7D0B5993">
            <w:pPr>
              <w:snapToGrid w:val="0"/>
              <w:spacing w:before="50" w:after="50"/>
              <w:jc w:val="center"/>
              <w:rPr>
                <w:rFonts w:ascii="宋体" w:hAnsi="宋体" w:cs="宋体"/>
                <w:color w:val="auto"/>
                <w:sz w:val="24"/>
              </w:rPr>
            </w:pPr>
            <w:r>
              <w:rPr>
                <w:rFonts w:hint="eastAsia" w:ascii="宋体" w:hAnsi="宋体" w:cs="宋体"/>
                <w:color w:val="auto"/>
                <w:sz w:val="24"/>
              </w:rPr>
              <w:t>参数性能、指标及配置</w:t>
            </w:r>
          </w:p>
        </w:tc>
      </w:tr>
      <w:tr w14:paraId="4129B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191CDB8">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04C60A78">
            <w:pPr>
              <w:snapToGrid w:val="0"/>
              <w:spacing w:before="50" w:after="50"/>
              <w:jc w:val="center"/>
              <w:rPr>
                <w:rFonts w:ascii="宋体" w:hAnsi="宋体" w:cs="宋体"/>
                <w:color w:val="auto"/>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5F8885A6">
            <w:pPr>
              <w:snapToGrid w:val="0"/>
              <w:spacing w:before="50" w:after="50"/>
              <w:jc w:val="center"/>
              <w:rPr>
                <w:rFonts w:ascii="宋体" w:hAnsi="宋体" w:cs="宋体"/>
                <w:color w:val="auto"/>
                <w:sz w:val="24"/>
              </w:rPr>
            </w:pPr>
          </w:p>
        </w:tc>
        <w:tc>
          <w:tcPr>
            <w:tcW w:w="1854" w:type="dxa"/>
            <w:tcBorders>
              <w:top w:val="single" w:color="auto" w:sz="4" w:space="0"/>
              <w:left w:val="single" w:color="auto" w:sz="4" w:space="0"/>
              <w:bottom w:val="single" w:color="auto" w:sz="4" w:space="0"/>
              <w:right w:val="single" w:color="auto" w:sz="4" w:space="0"/>
            </w:tcBorders>
          </w:tcPr>
          <w:p w14:paraId="3463A589">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61E057C4">
            <w:pPr>
              <w:snapToGrid w:val="0"/>
              <w:spacing w:before="50" w:after="50"/>
              <w:jc w:val="center"/>
              <w:rPr>
                <w:rFonts w:ascii="宋体" w:hAnsi="宋体" w:cs="宋体"/>
                <w:color w:val="auto"/>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419FD1CF">
            <w:pPr>
              <w:snapToGrid w:val="0"/>
              <w:spacing w:before="50" w:after="50"/>
              <w:jc w:val="center"/>
              <w:rPr>
                <w:rFonts w:ascii="宋体" w:hAnsi="宋体" w:cs="宋体"/>
                <w:color w:val="auto"/>
                <w:sz w:val="24"/>
              </w:rPr>
            </w:pPr>
          </w:p>
        </w:tc>
        <w:tc>
          <w:tcPr>
            <w:tcW w:w="797" w:type="dxa"/>
            <w:tcBorders>
              <w:top w:val="single" w:color="auto" w:sz="4" w:space="0"/>
              <w:left w:val="single" w:color="auto" w:sz="4" w:space="0"/>
              <w:bottom w:val="single" w:color="auto" w:sz="4" w:space="0"/>
              <w:right w:val="single" w:color="auto" w:sz="4" w:space="0"/>
            </w:tcBorders>
          </w:tcPr>
          <w:p w14:paraId="4E5AAC7A">
            <w:pPr>
              <w:snapToGrid w:val="0"/>
              <w:spacing w:before="50" w:after="50"/>
              <w:jc w:val="center"/>
              <w:rPr>
                <w:rFonts w:ascii="宋体" w:hAnsi="宋体" w:cs="宋体"/>
                <w:color w:val="auto"/>
                <w:sz w:val="24"/>
              </w:rPr>
            </w:pPr>
          </w:p>
        </w:tc>
        <w:tc>
          <w:tcPr>
            <w:tcW w:w="971" w:type="dxa"/>
            <w:tcBorders>
              <w:top w:val="single" w:color="auto" w:sz="4" w:space="0"/>
              <w:left w:val="single" w:color="auto" w:sz="4" w:space="0"/>
              <w:bottom w:val="single" w:color="auto" w:sz="4" w:space="0"/>
              <w:right w:val="single" w:color="auto" w:sz="4" w:space="0"/>
            </w:tcBorders>
          </w:tcPr>
          <w:p w14:paraId="1AFC9AF9">
            <w:pPr>
              <w:snapToGrid w:val="0"/>
              <w:spacing w:before="50" w:after="50"/>
              <w:jc w:val="center"/>
              <w:rPr>
                <w:rFonts w:ascii="宋体" w:hAnsi="宋体" w:cs="宋体"/>
                <w:color w:val="auto"/>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0105B690">
            <w:pPr>
              <w:snapToGrid w:val="0"/>
              <w:spacing w:before="50" w:after="50"/>
              <w:jc w:val="center"/>
              <w:rPr>
                <w:rFonts w:ascii="宋体" w:hAnsi="宋体" w:cs="宋体"/>
                <w:color w:val="auto"/>
                <w:sz w:val="24"/>
              </w:rPr>
            </w:pPr>
          </w:p>
        </w:tc>
      </w:tr>
      <w:tr w14:paraId="7CD26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AD3C01C">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59FCDA93">
            <w:pPr>
              <w:snapToGrid w:val="0"/>
              <w:spacing w:before="50" w:after="50"/>
              <w:jc w:val="center"/>
              <w:rPr>
                <w:rFonts w:ascii="宋体" w:hAnsi="宋体" w:cs="宋体"/>
                <w:color w:val="auto"/>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1F0AADB6">
            <w:pPr>
              <w:snapToGrid w:val="0"/>
              <w:spacing w:before="50" w:after="50"/>
              <w:jc w:val="center"/>
              <w:rPr>
                <w:rFonts w:ascii="宋体" w:hAnsi="宋体" w:cs="宋体"/>
                <w:color w:val="auto"/>
                <w:sz w:val="24"/>
              </w:rPr>
            </w:pPr>
          </w:p>
        </w:tc>
        <w:tc>
          <w:tcPr>
            <w:tcW w:w="1854" w:type="dxa"/>
            <w:tcBorders>
              <w:top w:val="single" w:color="auto" w:sz="4" w:space="0"/>
              <w:left w:val="single" w:color="auto" w:sz="4" w:space="0"/>
              <w:bottom w:val="single" w:color="auto" w:sz="4" w:space="0"/>
              <w:right w:val="single" w:color="auto" w:sz="4" w:space="0"/>
            </w:tcBorders>
          </w:tcPr>
          <w:p w14:paraId="0EC95D37">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2F4CBF82">
            <w:pPr>
              <w:snapToGrid w:val="0"/>
              <w:spacing w:before="50" w:after="50"/>
              <w:jc w:val="center"/>
              <w:rPr>
                <w:rFonts w:ascii="宋体" w:hAnsi="宋体" w:cs="宋体"/>
                <w:color w:val="auto"/>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51BF26F1">
            <w:pPr>
              <w:snapToGrid w:val="0"/>
              <w:spacing w:before="50" w:after="50"/>
              <w:jc w:val="center"/>
              <w:rPr>
                <w:rFonts w:ascii="宋体" w:hAnsi="宋体" w:cs="宋体"/>
                <w:color w:val="auto"/>
                <w:sz w:val="24"/>
              </w:rPr>
            </w:pPr>
          </w:p>
        </w:tc>
        <w:tc>
          <w:tcPr>
            <w:tcW w:w="797" w:type="dxa"/>
            <w:tcBorders>
              <w:top w:val="single" w:color="auto" w:sz="4" w:space="0"/>
              <w:left w:val="single" w:color="auto" w:sz="4" w:space="0"/>
              <w:bottom w:val="single" w:color="auto" w:sz="4" w:space="0"/>
              <w:right w:val="single" w:color="auto" w:sz="4" w:space="0"/>
            </w:tcBorders>
          </w:tcPr>
          <w:p w14:paraId="3B85A435">
            <w:pPr>
              <w:snapToGrid w:val="0"/>
              <w:spacing w:before="50" w:after="50"/>
              <w:jc w:val="center"/>
              <w:rPr>
                <w:rFonts w:ascii="宋体" w:hAnsi="宋体" w:cs="宋体"/>
                <w:color w:val="auto"/>
                <w:sz w:val="24"/>
              </w:rPr>
            </w:pPr>
          </w:p>
        </w:tc>
        <w:tc>
          <w:tcPr>
            <w:tcW w:w="971" w:type="dxa"/>
            <w:tcBorders>
              <w:top w:val="single" w:color="auto" w:sz="4" w:space="0"/>
              <w:left w:val="single" w:color="auto" w:sz="4" w:space="0"/>
              <w:bottom w:val="single" w:color="auto" w:sz="4" w:space="0"/>
              <w:right w:val="single" w:color="auto" w:sz="4" w:space="0"/>
            </w:tcBorders>
          </w:tcPr>
          <w:p w14:paraId="53E94A8B">
            <w:pPr>
              <w:snapToGrid w:val="0"/>
              <w:spacing w:before="50" w:after="50"/>
              <w:jc w:val="center"/>
              <w:rPr>
                <w:rFonts w:ascii="宋体" w:hAnsi="宋体" w:cs="宋体"/>
                <w:color w:val="auto"/>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7B2B737A">
            <w:pPr>
              <w:snapToGrid w:val="0"/>
              <w:spacing w:before="50" w:after="50"/>
              <w:jc w:val="center"/>
              <w:rPr>
                <w:rFonts w:ascii="宋体" w:hAnsi="宋体" w:cs="宋体"/>
                <w:color w:val="auto"/>
                <w:sz w:val="24"/>
              </w:rPr>
            </w:pPr>
          </w:p>
        </w:tc>
      </w:tr>
      <w:tr w14:paraId="3E69E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C260A3A">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4A08035F">
            <w:pPr>
              <w:snapToGrid w:val="0"/>
              <w:spacing w:before="50" w:after="50"/>
              <w:jc w:val="center"/>
              <w:rPr>
                <w:rFonts w:ascii="宋体" w:hAnsi="宋体" w:cs="宋体"/>
                <w:color w:val="auto"/>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4B6D62EC">
            <w:pPr>
              <w:snapToGrid w:val="0"/>
              <w:spacing w:before="50" w:after="50"/>
              <w:jc w:val="center"/>
              <w:rPr>
                <w:rFonts w:ascii="宋体" w:hAnsi="宋体" w:cs="宋体"/>
                <w:color w:val="auto"/>
                <w:sz w:val="24"/>
              </w:rPr>
            </w:pPr>
          </w:p>
        </w:tc>
        <w:tc>
          <w:tcPr>
            <w:tcW w:w="1854" w:type="dxa"/>
            <w:tcBorders>
              <w:top w:val="single" w:color="auto" w:sz="4" w:space="0"/>
              <w:left w:val="single" w:color="auto" w:sz="4" w:space="0"/>
              <w:bottom w:val="single" w:color="auto" w:sz="4" w:space="0"/>
              <w:right w:val="single" w:color="auto" w:sz="4" w:space="0"/>
            </w:tcBorders>
          </w:tcPr>
          <w:p w14:paraId="00DF9B98">
            <w:pPr>
              <w:snapToGrid w:val="0"/>
              <w:spacing w:before="50" w:after="50"/>
              <w:jc w:val="center"/>
              <w:rPr>
                <w:rFonts w:ascii="宋体" w:hAnsi="宋体" w:cs="宋体"/>
                <w:color w:val="auto"/>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1A32484F">
            <w:pPr>
              <w:snapToGrid w:val="0"/>
              <w:spacing w:before="50" w:after="50"/>
              <w:jc w:val="center"/>
              <w:rPr>
                <w:rFonts w:ascii="宋体" w:hAnsi="宋体" w:cs="宋体"/>
                <w:color w:val="auto"/>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208303D2">
            <w:pPr>
              <w:snapToGrid w:val="0"/>
              <w:spacing w:before="50" w:after="50"/>
              <w:jc w:val="center"/>
              <w:rPr>
                <w:rFonts w:ascii="宋体" w:hAnsi="宋体" w:cs="宋体"/>
                <w:color w:val="auto"/>
                <w:sz w:val="24"/>
              </w:rPr>
            </w:pPr>
          </w:p>
        </w:tc>
        <w:tc>
          <w:tcPr>
            <w:tcW w:w="797" w:type="dxa"/>
            <w:tcBorders>
              <w:top w:val="single" w:color="auto" w:sz="4" w:space="0"/>
              <w:left w:val="single" w:color="auto" w:sz="4" w:space="0"/>
              <w:bottom w:val="single" w:color="auto" w:sz="4" w:space="0"/>
              <w:right w:val="single" w:color="auto" w:sz="4" w:space="0"/>
            </w:tcBorders>
          </w:tcPr>
          <w:p w14:paraId="6BDAB295">
            <w:pPr>
              <w:snapToGrid w:val="0"/>
              <w:spacing w:before="50" w:after="50"/>
              <w:jc w:val="center"/>
              <w:rPr>
                <w:rFonts w:ascii="宋体" w:hAnsi="宋体" w:cs="宋体"/>
                <w:color w:val="auto"/>
                <w:sz w:val="24"/>
              </w:rPr>
            </w:pPr>
          </w:p>
        </w:tc>
        <w:tc>
          <w:tcPr>
            <w:tcW w:w="971" w:type="dxa"/>
            <w:tcBorders>
              <w:top w:val="single" w:color="auto" w:sz="4" w:space="0"/>
              <w:left w:val="single" w:color="auto" w:sz="4" w:space="0"/>
              <w:bottom w:val="single" w:color="auto" w:sz="4" w:space="0"/>
              <w:right w:val="single" w:color="auto" w:sz="4" w:space="0"/>
            </w:tcBorders>
          </w:tcPr>
          <w:p w14:paraId="6BCF8328">
            <w:pPr>
              <w:snapToGrid w:val="0"/>
              <w:spacing w:before="50" w:after="50"/>
              <w:jc w:val="center"/>
              <w:rPr>
                <w:rFonts w:ascii="宋体" w:hAnsi="宋体" w:cs="宋体"/>
                <w:color w:val="auto"/>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4CB7FC4E">
            <w:pPr>
              <w:snapToGrid w:val="0"/>
              <w:spacing w:before="50" w:after="50"/>
              <w:jc w:val="center"/>
              <w:rPr>
                <w:rFonts w:ascii="宋体" w:hAnsi="宋体" w:cs="宋体"/>
                <w:color w:val="auto"/>
                <w:sz w:val="24"/>
              </w:rPr>
            </w:pPr>
          </w:p>
        </w:tc>
      </w:tr>
    </w:tbl>
    <w:p w14:paraId="7B22859F">
      <w:pPr>
        <w:spacing w:line="360" w:lineRule="auto"/>
        <w:contextualSpacing/>
        <w:rPr>
          <w:rFonts w:ascii="楷体" w:hAnsi="楷体" w:eastAsia="楷体" w:cs="宋体"/>
          <w:b/>
          <w:color w:val="auto"/>
          <w:sz w:val="24"/>
        </w:rPr>
      </w:pPr>
      <w:r>
        <w:rPr>
          <w:rFonts w:hint="eastAsia" w:ascii="楷体" w:hAnsi="楷体" w:eastAsia="楷体" w:cs="宋体"/>
          <w:b/>
          <w:color w:val="auto"/>
          <w:sz w:val="24"/>
        </w:rPr>
        <w:t>备注：</w:t>
      </w:r>
    </w:p>
    <w:p w14:paraId="5EC5C32C">
      <w:pPr>
        <w:tabs>
          <w:tab w:val="left" w:pos="1065"/>
        </w:tabs>
        <w:adjustRightInd w:val="0"/>
        <w:spacing w:line="360" w:lineRule="auto"/>
        <w:ind w:firstLine="482" w:firstLineChars="200"/>
        <w:contextualSpacing/>
        <w:rPr>
          <w:rFonts w:ascii="楷体" w:hAnsi="楷体" w:eastAsia="楷体" w:cs="宋体"/>
          <w:color w:val="auto"/>
          <w:sz w:val="24"/>
        </w:rPr>
      </w:pPr>
      <w:r>
        <w:rPr>
          <w:rFonts w:hint="eastAsia" w:ascii="楷体" w:hAnsi="楷体" w:eastAsia="楷体" w:cs="宋体"/>
          <w:b/>
          <w:bCs/>
          <w:color w:val="auto"/>
          <w:sz w:val="24"/>
        </w:rPr>
        <w:t>以上货物配置清单中“货物名称、数量、单位、品牌、型号、生产厂家、产地、参数性能、指标及配置”必须如实填写完整，定制产品在型号栏中填写“定制”。填写有缺漏的，响应文件按无效响应处理</w:t>
      </w:r>
      <w:r>
        <w:rPr>
          <w:rFonts w:hint="eastAsia" w:ascii="楷体" w:hAnsi="楷体" w:eastAsia="楷体" w:cs="宋体"/>
          <w:b/>
          <w:color w:val="auto"/>
          <w:sz w:val="24"/>
        </w:rPr>
        <w:t>。</w:t>
      </w:r>
      <w:r>
        <w:rPr>
          <w:rFonts w:hint="eastAsia" w:ascii="楷体" w:hAnsi="楷体" w:eastAsia="楷体" w:cs="宋体"/>
          <w:color w:val="auto"/>
          <w:sz w:val="24"/>
        </w:rPr>
        <w:t>货物名称、数量、单位、品牌等必须与“</w:t>
      </w:r>
      <w:r>
        <w:rPr>
          <w:rFonts w:hint="eastAsia" w:ascii="楷体" w:hAnsi="楷体" w:eastAsia="楷体" w:cs="宋体"/>
          <w:color w:val="auto"/>
          <w:sz w:val="24"/>
          <w:lang w:bidi="ar"/>
        </w:rPr>
        <w:t>竞争性谈判</w:t>
      </w:r>
      <w:r>
        <w:rPr>
          <w:rFonts w:hint="eastAsia" w:ascii="楷体" w:hAnsi="楷体" w:eastAsia="楷体" w:cs="宋体"/>
          <w:color w:val="auto"/>
          <w:sz w:val="24"/>
        </w:rPr>
        <w:t>报价表”一致，</w:t>
      </w:r>
      <w:r>
        <w:rPr>
          <w:rFonts w:hint="eastAsia" w:ascii="楷体" w:hAnsi="楷体" w:eastAsia="楷体" w:cs="宋体"/>
          <w:bCs/>
          <w:color w:val="auto"/>
          <w:sz w:val="24"/>
        </w:rPr>
        <w:t>否则响应文件按无效响应处理</w:t>
      </w:r>
      <w:r>
        <w:rPr>
          <w:rFonts w:hint="eastAsia" w:ascii="楷体" w:hAnsi="楷体" w:eastAsia="楷体" w:cs="宋体"/>
          <w:b/>
          <w:color w:val="auto"/>
          <w:sz w:val="24"/>
        </w:rPr>
        <w:t>。</w:t>
      </w:r>
      <w:r>
        <w:rPr>
          <w:rFonts w:ascii="楷体" w:hAnsi="楷体" w:eastAsia="楷体" w:cs="宋体"/>
          <w:color w:val="auto"/>
          <w:sz w:val="24"/>
        </w:rPr>
        <w:tab/>
      </w:r>
    </w:p>
    <w:p w14:paraId="2FA311CE">
      <w:pPr>
        <w:adjustRightInd w:val="0"/>
        <w:spacing w:line="360" w:lineRule="auto"/>
        <w:contextualSpacing/>
        <w:jc w:val="left"/>
        <w:rPr>
          <w:rFonts w:ascii="宋体" w:hAnsi="宋体" w:cs="宋体"/>
          <w:color w:val="auto"/>
          <w:sz w:val="24"/>
        </w:rPr>
      </w:pPr>
    </w:p>
    <w:p w14:paraId="3773689C">
      <w:pPr>
        <w:adjustRightInd w:val="0"/>
        <w:spacing w:line="360" w:lineRule="auto"/>
        <w:contextualSpacing/>
        <w:jc w:val="left"/>
        <w:rPr>
          <w:rFonts w:ascii="宋体" w:hAnsi="宋体" w:cs="宋体"/>
          <w:color w:val="auto"/>
          <w:sz w:val="24"/>
        </w:rPr>
      </w:pPr>
    </w:p>
    <w:p w14:paraId="3CABBC2E">
      <w:pPr>
        <w:adjustRightInd w:val="0"/>
        <w:spacing w:line="360" w:lineRule="auto"/>
        <w:contextualSpacing/>
        <w:jc w:val="left"/>
        <w:rPr>
          <w:rFonts w:ascii="宋体" w:hAnsi="宋体" w:cs="宋体"/>
          <w:color w:val="auto"/>
          <w:sz w:val="24"/>
        </w:rPr>
      </w:pPr>
    </w:p>
    <w:p w14:paraId="7855DD3D">
      <w:pPr>
        <w:spacing w:line="360" w:lineRule="auto"/>
        <w:contextualSpacing/>
        <w:jc w:val="center"/>
        <w:rPr>
          <w:rFonts w:ascii="宋体" w:hAnsi="宋体" w:cs="宋体"/>
          <w:color w:val="auto"/>
          <w:sz w:val="24"/>
          <w:u w:val="single"/>
        </w:rPr>
      </w:pPr>
      <w:r>
        <w:rPr>
          <w:rFonts w:hint="eastAsia" w:ascii="宋体" w:hAnsi="宋体" w:cs="宋体"/>
          <w:color w:val="auto"/>
          <w:sz w:val="24"/>
        </w:rPr>
        <w:t xml:space="preserve"> </w:t>
      </w:r>
      <w:r>
        <w:rPr>
          <w:rFonts w:ascii="宋体" w:hAnsi="宋体" w:cs="宋体"/>
          <w:color w:val="auto"/>
          <w:sz w:val="24"/>
        </w:rPr>
        <w:t xml:space="preserve">            </w:t>
      </w:r>
      <w:r>
        <w:rPr>
          <w:rFonts w:hint="eastAsia" w:ascii="宋体" w:hAnsi="宋体" w:cs="宋体"/>
          <w:color w:val="auto"/>
          <w:sz w:val="24"/>
        </w:rPr>
        <w:t>法定代表人或者委托代理人（签字）：</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70C80628">
      <w:pPr>
        <w:spacing w:line="360" w:lineRule="auto"/>
        <w:ind w:firstLine="3240" w:firstLineChars="1350"/>
        <w:contextualSpacing/>
        <w:rPr>
          <w:rFonts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1B44664E">
      <w:pPr>
        <w:spacing w:line="360" w:lineRule="auto"/>
        <w:ind w:firstLine="3240" w:firstLineChars="1350"/>
        <w:contextualSpacing/>
        <w:rPr>
          <w:rFonts w:ascii="宋体" w:hAnsi="宋体" w:cs="宋体"/>
          <w:color w:val="auto"/>
          <w:szCs w:val="21"/>
          <w:u w:val="single"/>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0AC49E33">
      <w:pPr>
        <w:adjustRightInd w:val="0"/>
        <w:snapToGrid w:val="0"/>
        <w:spacing w:line="360" w:lineRule="auto"/>
        <w:rPr>
          <w:rFonts w:ascii="宋体" w:hAnsi="宋体" w:cs="宋体"/>
          <w:color w:val="auto"/>
          <w:szCs w:val="21"/>
          <w:u w:val="single"/>
        </w:rPr>
      </w:pPr>
    </w:p>
    <w:p w14:paraId="2E79842D">
      <w:pPr>
        <w:adjustRightInd w:val="0"/>
        <w:snapToGrid w:val="0"/>
        <w:spacing w:line="360" w:lineRule="auto"/>
        <w:rPr>
          <w:rFonts w:ascii="宋体" w:hAnsi="宋体" w:cs="宋体"/>
          <w:color w:val="auto"/>
          <w:szCs w:val="21"/>
          <w:u w:val="single"/>
        </w:rPr>
      </w:pPr>
    </w:p>
    <w:p w14:paraId="38800E14">
      <w:pPr>
        <w:adjustRightInd w:val="0"/>
        <w:snapToGrid w:val="0"/>
        <w:spacing w:line="360" w:lineRule="auto"/>
        <w:rPr>
          <w:rFonts w:ascii="宋体" w:hAnsi="宋体" w:cs="宋体"/>
          <w:color w:val="auto"/>
          <w:szCs w:val="21"/>
          <w:u w:val="single"/>
        </w:rPr>
      </w:pPr>
    </w:p>
    <w:p w14:paraId="28C53157">
      <w:pPr>
        <w:adjustRightInd w:val="0"/>
        <w:snapToGrid w:val="0"/>
        <w:spacing w:line="360" w:lineRule="auto"/>
        <w:rPr>
          <w:rFonts w:ascii="宋体" w:hAnsi="宋体" w:cs="宋体"/>
          <w:color w:val="auto"/>
          <w:szCs w:val="21"/>
          <w:u w:val="single"/>
        </w:rPr>
      </w:pPr>
    </w:p>
    <w:p w14:paraId="0BF0CE5B">
      <w:pPr>
        <w:adjustRightInd w:val="0"/>
        <w:snapToGrid w:val="0"/>
        <w:spacing w:line="360" w:lineRule="auto"/>
        <w:rPr>
          <w:rFonts w:ascii="宋体" w:hAnsi="宋体" w:cs="宋体"/>
          <w:color w:val="auto"/>
          <w:szCs w:val="21"/>
          <w:u w:val="single"/>
        </w:rPr>
      </w:pPr>
    </w:p>
    <w:p w14:paraId="7EEE65C3">
      <w:pPr>
        <w:adjustRightInd w:val="0"/>
        <w:snapToGrid w:val="0"/>
        <w:spacing w:line="360" w:lineRule="auto"/>
        <w:jc w:val="center"/>
        <w:rPr>
          <w:rFonts w:ascii="宋体" w:hAnsi="宋体" w:cs="宋体"/>
          <w:b/>
          <w:bCs/>
          <w:color w:val="auto"/>
          <w:sz w:val="44"/>
          <w:szCs w:val="44"/>
        </w:rPr>
      </w:pPr>
      <w:r>
        <w:rPr>
          <w:rFonts w:hint="eastAsia" w:ascii="宋体" w:hAnsi="宋体" w:cs="宋体"/>
          <w:bCs/>
          <w:color w:val="auto"/>
          <w:sz w:val="44"/>
          <w:szCs w:val="44"/>
        </w:rPr>
        <w:br w:type="page"/>
      </w:r>
      <w:r>
        <w:rPr>
          <w:rFonts w:hint="eastAsia" w:ascii="宋体" w:hAnsi="宋体" w:cs="宋体"/>
          <w:b/>
          <w:bCs/>
          <w:color w:val="auto"/>
          <w:sz w:val="44"/>
          <w:szCs w:val="44"/>
        </w:rPr>
        <w:t>技术要求偏离表</w:t>
      </w:r>
    </w:p>
    <w:p w14:paraId="665BDB44">
      <w:pPr>
        <w:spacing w:line="360" w:lineRule="auto"/>
        <w:rPr>
          <w:rFonts w:ascii="宋体" w:hAnsi="宋体" w:cs="宋体"/>
          <w:color w:val="auto"/>
          <w:sz w:val="32"/>
          <w:szCs w:val="32"/>
        </w:rPr>
      </w:pPr>
      <w:r>
        <w:rPr>
          <w:rFonts w:hint="eastAsia" w:ascii="宋体" w:hAnsi="宋体" w:cs="宋体"/>
          <w:color w:val="auto"/>
          <w:sz w:val="24"/>
        </w:rPr>
        <w:t>采购项目名称：</w:t>
      </w:r>
      <w:r>
        <w:rPr>
          <w:rFonts w:hint="eastAsia" w:ascii="宋体" w:hAnsi="宋体" w:cs="宋体"/>
          <w:color w:val="auto"/>
          <w:sz w:val="24"/>
          <w:u w:val="single"/>
        </w:rPr>
        <w:t xml:space="preserve">                 </w:t>
      </w:r>
    </w:p>
    <w:p w14:paraId="42D56CEB">
      <w:pPr>
        <w:spacing w:line="360" w:lineRule="auto"/>
        <w:rPr>
          <w:rFonts w:ascii="宋体" w:hAnsi="宋体" w:cs="宋体"/>
          <w:color w:val="auto"/>
          <w:sz w:val="24"/>
        </w:rPr>
      </w:pPr>
      <w:r>
        <w:rPr>
          <w:rFonts w:hint="eastAsia" w:ascii="宋体" w:hAnsi="宋体" w:cs="宋体"/>
          <w:color w:val="auto"/>
          <w:sz w:val="24"/>
        </w:rPr>
        <w:t>采购项目编号：</w:t>
      </w:r>
      <w:r>
        <w:rPr>
          <w:rFonts w:hint="eastAsia" w:ascii="宋体" w:hAnsi="宋体" w:cs="宋体"/>
          <w:color w:val="auto"/>
          <w:sz w:val="24"/>
          <w:u w:val="single"/>
        </w:rPr>
        <w:t xml:space="preserve">                 </w:t>
      </w:r>
    </w:p>
    <w:p w14:paraId="02AAE768">
      <w:pPr>
        <w:spacing w:line="360" w:lineRule="auto"/>
        <w:rPr>
          <w:rFonts w:ascii="宋体" w:hAnsi="宋体" w:cs="宋体"/>
          <w:color w:val="auto"/>
          <w:sz w:val="24"/>
          <w:u w:val="single"/>
        </w:rPr>
      </w:pPr>
      <w:r>
        <w:rPr>
          <w:rFonts w:hint="eastAsia" w:ascii="宋体" w:hAnsi="宋体" w:cs="宋体"/>
          <w:color w:val="auto"/>
          <w:sz w:val="24"/>
        </w:rPr>
        <w:t>分标号：</w:t>
      </w:r>
      <w:r>
        <w:rPr>
          <w:rFonts w:hint="eastAsia" w:ascii="宋体" w:hAnsi="宋体" w:cs="宋体"/>
          <w:color w:val="auto"/>
          <w:sz w:val="24"/>
          <w:u w:val="single"/>
        </w:rPr>
        <w:t xml:space="preserve">                       </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33"/>
        <w:gridCol w:w="933"/>
        <w:gridCol w:w="3104"/>
        <w:gridCol w:w="2793"/>
        <w:gridCol w:w="1524"/>
      </w:tblGrid>
      <w:tr w14:paraId="1D7CB6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2" w:type="pct"/>
            <w:vAlign w:val="center"/>
          </w:tcPr>
          <w:p w14:paraId="4F0D9BF9">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序号</w:t>
            </w:r>
          </w:p>
        </w:tc>
        <w:tc>
          <w:tcPr>
            <w:tcW w:w="502" w:type="pct"/>
            <w:tcBorders>
              <w:right w:val="single" w:color="auto" w:sz="4" w:space="0"/>
            </w:tcBorders>
            <w:vAlign w:val="center"/>
          </w:tcPr>
          <w:p w14:paraId="3F59AF63">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货物名称</w:t>
            </w:r>
          </w:p>
        </w:tc>
        <w:tc>
          <w:tcPr>
            <w:tcW w:w="1670" w:type="pct"/>
            <w:tcBorders>
              <w:left w:val="single" w:color="auto" w:sz="4" w:space="0"/>
            </w:tcBorders>
            <w:vAlign w:val="center"/>
          </w:tcPr>
          <w:p w14:paraId="580483CF">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技术要求</w:t>
            </w:r>
          </w:p>
        </w:tc>
        <w:tc>
          <w:tcPr>
            <w:tcW w:w="1503" w:type="pct"/>
            <w:vAlign w:val="center"/>
          </w:tcPr>
          <w:p w14:paraId="12ACA29F">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竞争性谈判响应</w:t>
            </w:r>
          </w:p>
        </w:tc>
        <w:tc>
          <w:tcPr>
            <w:tcW w:w="820" w:type="pct"/>
            <w:vAlign w:val="center"/>
          </w:tcPr>
          <w:p w14:paraId="63E2D2E3">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偏离说明</w:t>
            </w:r>
          </w:p>
        </w:tc>
      </w:tr>
      <w:tr w14:paraId="4CBAC9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2" w:type="pct"/>
            <w:vAlign w:val="center"/>
          </w:tcPr>
          <w:p w14:paraId="6BFD6899">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1</w:t>
            </w:r>
          </w:p>
        </w:tc>
        <w:tc>
          <w:tcPr>
            <w:tcW w:w="502" w:type="pct"/>
            <w:tcBorders>
              <w:right w:val="single" w:color="auto" w:sz="4" w:space="0"/>
            </w:tcBorders>
            <w:vAlign w:val="center"/>
          </w:tcPr>
          <w:p w14:paraId="130CF6BC">
            <w:pPr>
              <w:pStyle w:val="12"/>
              <w:spacing w:line="500" w:lineRule="exact"/>
              <w:ind w:firstLine="0" w:firstLineChars="0"/>
              <w:jc w:val="center"/>
              <w:rPr>
                <w:rFonts w:ascii="宋体" w:hAnsi="宋体" w:eastAsia="宋体" w:cs="宋体"/>
                <w:color w:val="auto"/>
                <w:kern w:val="2"/>
                <w:sz w:val="24"/>
                <w:szCs w:val="24"/>
              </w:rPr>
            </w:pPr>
          </w:p>
        </w:tc>
        <w:tc>
          <w:tcPr>
            <w:tcW w:w="1670" w:type="pct"/>
            <w:tcBorders>
              <w:left w:val="single" w:color="auto" w:sz="4" w:space="0"/>
            </w:tcBorders>
            <w:vAlign w:val="center"/>
          </w:tcPr>
          <w:p w14:paraId="1A712992">
            <w:pPr>
              <w:pStyle w:val="12"/>
              <w:spacing w:line="500" w:lineRule="exact"/>
              <w:ind w:firstLine="0" w:firstLineChars="0"/>
              <w:jc w:val="center"/>
              <w:rPr>
                <w:rFonts w:ascii="宋体" w:hAnsi="宋体" w:eastAsia="宋体" w:cs="宋体"/>
                <w:color w:val="auto"/>
                <w:kern w:val="2"/>
                <w:sz w:val="24"/>
                <w:szCs w:val="24"/>
              </w:rPr>
            </w:pPr>
          </w:p>
        </w:tc>
        <w:tc>
          <w:tcPr>
            <w:tcW w:w="1503" w:type="pct"/>
            <w:vAlign w:val="center"/>
          </w:tcPr>
          <w:p w14:paraId="75142FAC">
            <w:pPr>
              <w:pStyle w:val="12"/>
              <w:spacing w:line="500" w:lineRule="exact"/>
              <w:ind w:firstLine="0" w:firstLineChars="0"/>
              <w:jc w:val="center"/>
              <w:rPr>
                <w:rFonts w:ascii="宋体" w:hAnsi="宋体" w:eastAsia="宋体" w:cs="宋体"/>
                <w:color w:val="auto"/>
                <w:kern w:val="2"/>
                <w:sz w:val="24"/>
                <w:szCs w:val="24"/>
              </w:rPr>
            </w:pPr>
          </w:p>
        </w:tc>
        <w:tc>
          <w:tcPr>
            <w:tcW w:w="820" w:type="pct"/>
            <w:vAlign w:val="center"/>
          </w:tcPr>
          <w:p w14:paraId="4EA8E97A">
            <w:pPr>
              <w:pStyle w:val="12"/>
              <w:spacing w:line="500" w:lineRule="exact"/>
              <w:ind w:firstLine="0" w:firstLineChars="0"/>
              <w:jc w:val="center"/>
              <w:rPr>
                <w:rFonts w:ascii="宋体" w:hAnsi="宋体" w:eastAsia="宋体" w:cs="宋体"/>
                <w:color w:val="auto"/>
                <w:kern w:val="2"/>
                <w:sz w:val="24"/>
                <w:szCs w:val="24"/>
              </w:rPr>
            </w:pPr>
          </w:p>
        </w:tc>
      </w:tr>
      <w:tr w14:paraId="3590F3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2" w:type="pct"/>
            <w:vAlign w:val="center"/>
          </w:tcPr>
          <w:p w14:paraId="02A6AF33">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2</w:t>
            </w:r>
          </w:p>
        </w:tc>
        <w:tc>
          <w:tcPr>
            <w:tcW w:w="502" w:type="pct"/>
            <w:tcBorders>
              <w:right w:val="single" w:color="auto" w:sz="4" w:space="0"/>
            </w:tcBorders>
            <w:vAlign w:val="center"/>
          </w:tcPr>
          <w:p w14:paraId="78EE4DC9">
            <w:pPr>
              <w:pStyle w:val="12"/>
              <w:spacing w:line="500" w:lineRule="exact"/>
              <w:ind w:firstLine="0" w:firstLineChars="0"/>
              <w:jc w:val="center"/>
              <w:rPr>
                <w:rFonts w:ascii="宋体" w:hAnsi="宋体" w:eastAsia="宋体" w:cs="宋体"/>
                <w:color w:val="auto"/>
                <w:kern w:val="2"/>
                <w:sz w:val="24"/>
                <w:szCs w:val="24"/>
              </w:rPr>
            </w:pPr>
          </w:p>
        </w:tc>
        <w:tc>
          <w:tcPr>
            <w:tcW w:w="1670" w:type="pct"/>
            <w:tcBorders>
              <w:left w:val="single" w:color="auto" w:sz="4" w:space="0"/>
            </w:tcBorders>
            <w:vAlign w:val="center"/>
          </w:tcPr>
          <w:p w14:paraId="606E0CEF">
            <w:pPr>
              <w:pStyle w:val="12"/>
              <w:spacing w:line="500" w:lineRule="exact"/>
              <w:ind w:firstLine="0" w:firstLineChars="0"/>
              <w:jc w:val="center"/>
              <w:rPr>
                <w:rFonts w:ascii="宋体" w:hAnsi="宋体" w:eastAsia="宋体" w:cs="宋体"/>
                <w:color w:val="auto"/>
                <w:kern w:val="2"/>
                <w:sz w:val="24"/>
                <w:szCs w:val="24"/>
              </w:rPr>
            </w:pPr>
          </w:p>
        </w:tc>
        <w:tc>
          <w:tcPr>
            <w:tcW w:w="1503" w:type="pct"/>
            <w:vAlign w:val="center"/>
          </w:tcPr>
          <w:p w14:paraId="5DF5D6EE">
            <w:pPr>
              <w:pStyle w:val="12"/>
              <w:spacing w:line="500" w:lineRule="exact"/>
              <w:ind w:firstLine="0" w:firstLineChars="0"/>
              <w:jc w:val="center"/>
              <w:rPr>
                <w:rFonts w:ascii="宋体" w:hAnsi="宋体" w:eastAsia="宋体" w:cs="宋体"/>
                <w:color w:val="auto"/>
                <w:kern w:val="2"/>
                <w:sz w:val="24"/>
                <w:szCs w:val="24"/>
              </w:rPr>
            </w:pPr>
          </w:p>
        </w:tc>
        <w:tc>
          <w:tcPr>
            <w:tcW w:w="820" w:type="pct"/>
            <w:vAlign w:val="center"/>
          </w:tcPr>
          <w:p w14:paraId="4BEBB57C">
            <w:pPr>
              <w:pStyle w:val="12"/>
              <w:spacing w:line="500" w:lineRule="exact"/>
              <w:ind w:firstLine="0" w:firstLineChars="0"/>
              <w:jc w:val="center"/>
              <w:rPr>
                <w:rFonts w:ascii="宋体" w:hAnsi="宋体" w:eastAsia="宋体" w:cs="宋体"/>
                <w:color w:val="auto"/>
                <w:kern w:val="2"/>
                <w:sz w:val="24"/>
                <w:szCs w:val="24"/>
              </w:rPr>
            </w:pPr>
          </w:p>
        </w:tc>
      </w:tr>
      <w:tr w14:paraId="6D486A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2" w:type="pct"/>
            <w:vAlign w:val="center"/>
          </w:tcPr>
          <w:p w14:paraId="6F09057D">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3</w:t>
            </w:r>
          </w:p>
        </w:tc>
        <w:tc>
          <w:tcPr>
            <w:tcW w:w="502" w:type="pct"/>
            <w:tcBorders>
              <w:right w:val="single" w:color="auto" w:sz="4" w:space="0"/>
            </w:tcBorders>
            <w:vAlign w:val="center"/>
          </w:tcPr>
          <w:p w14:paraId="79441EDD">
            <w:pPr>
              <w:pStyle w:val="12"/>
              <w:spacing w:line="500" w:lineRule="exact"/>
              <w:ind w:firstLine="0" w:firstLineChars="0"/>
              <w:jc w:val="center"/>
              <w:rPr>
                <w:rFonts w:ascii="宋体" w:hAnsi="宋体" w:eastAsia="宋体" w:cs="宋体"/>
                <w:color w:val="auto"/>
                <w:kern w:val="2"/>
                <w:sz w:val="24"/>
                <w:szCs w:val="24"/>
              </w:rPr>
            </w:pPr>
          </w:p>
        </w:tc>
        <w:tc>
          <w:tcPr>
            <w:tcW w:w="1670" w:type="pct"/>
            <w:tcBorders>
              <w:left w:val="single" w:color="auto" w:sz="4" w:space="0"/>
            </w:tcBorders>
            <w:vAlign w:val="center"/>
          </w:tcPr>
          <w:p w14:paraId="1B1A6293">
            <w:pPr>
              <w:pStyle w:val="12"/>
              <w:spacing w:line="500" w:lineRule="exact"/>
              <w:ind w:firstLine="0" w:firstLineChars="0"/>
              <w:jc w:val="center"/>
              <w:rPr>
                <w:rFonts w:ascii="宋体" w:hAnsi="宋体" w:eastAsia="宋体" w:cs="宋体"/>
                <w:color w:val="auto"/>
                <w:kern w:val="2"/>
                <w:sz w:val="24"/>
                <w:szCs w:val="24"/>
              </w:rPr>
            </w:pPr>
          </w:p>
        </w:tc>
        <w:tc>
          <w:tcPr>
            <w:tcW w:w="1503" w:type="pct"/>
            <w:vAlign w:val="center"/>
          </w:tcPr>
          <w:p w14:paraId="7CD5711D">
            <w:pPr>
              <w:pStyle w:val="12"/>
              <w:spacing w:line="500" w:lineRule="exact"/>
              <w:ind w:firstLine="0" w:firstLineChars="0"/>
              <w:jc w:val="center"/>
              <w:rPr>
                <w:rFonts w:ascii="宋体" w:hAnsi="宋体" w:eastAsia="宋体" w:cs="宋体"/>
                <w:color w:val="auto"/>
                <w:kern w:val="2"/>
                <w:sz w:val="24"/>
                <w:szCs w:val="24"/>
              </w:rPr>
            </w:pPr>
          </w:p>
        </w:tc>
        <w:tc>
          <w:tcPr>
            <w:tcW w:w="820" w:type="pct"/>
            <w:vAlign w:val="center"/>
          </w:tcPr>
          <w:p w14:paraId="5FA7C129">
            <w:pPr>
              <w:pStyle w:val="12"/>
              <w:spacing w:line="500" w:lineRule="exact"/>
              <w:ind w:firstLine="0" w:firstLineChars="0"/>
              <w:jc w:val="center"/>
              <w:rPr>
                <w:rFonts w:ascii="宋体" w:hAnsi="宋体" w:eastAsia="宋体" w:cs="宋体"/>
                <w:color w:val="auto"/>
                <w:kern w:val="2"/>
                <w:sz w:val="24"/>
                <w:szCs w:val="24"/>
              </w:rPr>
            </w:pPr>
          </w:p>
        </w:tc>
      </w:tr>
      <w:tr w14:paraId="37E614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02" w:type="pct"/>
            <w:vAlign w:val="center"/>
          </w:tcPr>
          <w:p w14:paraId="3CC73B86">
            <w:pPr>
              <w:pStyle w:val="12"/>
              <w:spacing w:line="500" w:lineRule="exact"/>
              <w:ind w:firstLine="0" w:firstLineChars="0"/>
              <w:jc w:val="center"/>
              <w:rPr>
                <w:rFonts w:ascii="宋体" w:hAnsi="宋体" w:eastAsia="宋体" w:cs="宋体"/>
                <w:color w:val="auto"/>
                <w:kern w:val="2"/>
                <w:sz w:val="24"/>
                <w:szCs w:val="24"/>
              </w:rPr>
            </w:pPr>
            <w:r>
              <w:rPr>
                <w:rFonts w:hint="eastAsia" w:ascii="宋体" w:hAnsi="宋体" w:eastAsia="宋体" w:cs="宋体"/>
                <w:color w:val="auto"/>
                <w:kern w:val="2"/>
                <w:sz w:val="24"/>
                <w:szCs w:val="24"/>
              </w:rPr>
              <w:t>…</w:t>
            </w:r>
          </w:p>
        </w:tc>
        <w:tc>
          <w:tcPr>
            <w:tcW w:w="502" w:type="pct"/>
            <w:tcBorders>
              <w:right w:val="single" w:color="auto" w:sz="4" w:space="0"/>
            </w:tcBorders>
            <w:vAlign w:val="center"/>
          </w:tcPr>
          <w:p w14:paraId="4886D591">
            <w:pPr>
              <w:pStyle w:val="12"/>
              <w:spacing w:line="500" w:lineRule="exact"/>
              <w:ind w:firstLine="0" w:firstLineChars="0"/>
              <w:jc w:val="center"/>
              <w:rPr>
                <w:rFonts w:ascii="宋体" w:hAnsi="宋体" w:eastAsia="宋体" w:cs="宋体"/>
                <w:color w:val="auto"/>
                <w:kern w:val="2"/>
                <w:sz w:val="24"/>
                <w:szCs w:val="24"/>
              </w:rPr>
            </w:pPr>
          </w:p>
        </w:tc>
        <w:tc>
          <w:tcPr>
            <w:tcW w:w="1670" w:type="pct"/>
            <w:tcBorders>
              <w:left w:val="single" w:color="auto" w:sz="4" w:space="0"/>
            </w:tcBorders>
            <w:vAlign w:val="center"/>
          </w:tcPr>
          <w:p w14:paraId="0DFED264">
            <w:pPr>
              <w:pStyle w:val="12"/>
              <w:spacing w:line="500" w:lineRule="exact"/>
              <w:ind w:firstLine="0" w:firstLineChars="0"/>
              <w:jc w:val="center"/>
              <w:rPr>
                <w:rFonts w:ascii="宋体" w:hAnsi="宋体" w:eastAsia="宋体" w:cs="宋体"/>
                <w:color w:val="auto"/>
                <w:kern w:val="2"/>
                <w:sz w:val="24"/>
                <w:szCs w:val="24"/>
              </w:rPr>
            </w:pPr>
          </w:p>
        </w:tc>
        <w:tc>
          <w:tcPr>
            <w:tcW w:w="1503" w:type="pct"/>
            <w:vAlign w:val="center"/>
          </w:tcPr>
          <w:p w14:paraId="4B2F9061">
            <w:pPr>
              <w:pStyle w:val="12"/>
              <w:spacing w:line="500" w:lineRule="exact"/>
              <w:ind w:firstLine="0" w:firstLineChars="0"/>
              <w:jc w:val="center"/>
              <w:rPr>
                <w:rFonts w:ascii="宋体" w:hAnsi="宋体" w:eastAsia="宋体" w:cs="宋体"/>
                <w:color w:val="auto"/>
                <w:kern w:val="2"/>
                <w:sz w:val="24"/>
                <w:szCs w:val="24"/>
              </w:rPr>
            </w:pPr>
          </w:p>
        </w:tc>
        <w:tc>
          <w:tcPr>
            <w:tcW w:w="820" w:type="pct"/>
            <w:tcBorders>
              <w:right w:val="single" w:color="auto" w:sz="4" w:space="0"/>
            </w:tcBorders>
            <w:vAlign w:val="center"/>
          </w:tcPr>
          <w:p w14:paraId="785FD33F">
            <w:pPr>
              <w:pStyle w:val="12"/>
              <w:spacing w:line="500" w:lineRule="exact"/>
              <w:ind w:firstLine="0" w:firstLineChars="0"/>
              <w:jc w:val="center"/>
              <w:rPr>
                <w:rFonts w:ascii="宋体" w:hAnsi="宋体" w:eastAsia="宋体" w:cs="宋体"/>
                <w:color w:val="auto"/>
                <w:kern w:val="2"/>
                <w:sz w:val="24"/>
                <w:szCs w:val="24"/>
              </w:rPr>
            </w:pPr>
          </w:p>
        </w:tc>
      </w:tr>
    </w:tbl>
    <w:p w14:paraId="3C79AE4B">
      <w:pPr>
        <w:pStyle w:val="12"/>
        <w:spacing w:line="360" w:lineRule="auto"/>
        <w:ind w:firstLine="0" w:firstLineChars="0"/>
        <w:contextualSpacing/>
        <w:rPr>
          <w:rFonts w:ascii="楷体" w:hAnsi="楷体" w:eastAsia="楷体" w:cs="宋体"/>
          <w:b/>
          <w:color w:val="auto"/>
          <w:sz w:val="24"/>
          <w:szCs w:val="24"/>
        </w:rPr>
      </w:pPr>
      <w:r>
        <w:rPr>
          <w:rFonts w:hint="eastAsia" w:ascii="楷体" w:hAnsi="楷体" w:eastAsia="楷体" w:cs="宋体"/>
          <w:b/>
          <w:color w:val="auto"/>
          <w:sz w:val="24"/>
          <w:szCs w:val="24"/>
        </w:rPr>
        <w:t>注：</w:t>
      </w:r>
    </w:p>
    <w:p w14:paraId="45D554B7">
      <w:pPr>
        <w:pStyle w:val="12"/>
        <w:spacing w:line="360" w:lineRule="auto"/>
        <w:ind w:firstLine="480" w:firstLineChars="200"/>
        <w:contextualSpacing/>
        <w:rPr>
          <w:rFonts w:ascii="楷体" w:hAnsi="楷体" w:eastAsia="楷体" w:cs="宋体"/>
          <w:color w:val="auto"/>
          <w:sz w:val="24"/>
          <w:szCs w:val="24"/>
        </w:rPr>
      </w:pPr>
      <w:r>
        <w:rPr>
          <w:rFonts w:ascii="楷体" w:hAnsi="楷体" w:eastAsia="楷体" w:cs="宋体"/>
          <w:color w:val="auto"/>
          <w:sz w:val="24"/>
          <w:szCs w:val="24"/>
        </w:rPr>
        <w:t>1.</w:t>
      </w:r>
      <w:r>
        <w:rPr>
          <w:rFonts w:hint="eastAsia" w:ascii="楷体" w:hAnsi="楷体" w:eastAsia="楷体" w:cs="宋体"/>
          <w:color w:val="auto"/>
          <w:sz w:val="24"/>
          <w:szCs w:val="24"/>
        </w:rPr>
        <w:t>说明：应对照谈判文件“第三章</w:t>
      </w:r>
      <w:r>
        <w:rPr>
          <w:rFonts w:ascii="楷体" w:hAnsi="楷体" w:eastAsia="楷体" w:cs="宋体"/>
          <w:color w:val="auto"/>
          <w:sz w:val="24"/>
          <w:szCs w:val="24"/>
        </w:rPr>
        <w:t xml:space="preserve"> </w:t>
      </w:r>
      <w:r>
        <w:rPr>
          <w:rFonts w:hint="eastAsia" w:ascii="楷体" w:hAnsi="楷体" w:eastAsia="楷体" w:cs="宋体"/>
          <w:color w:val="auto"/>
          <w:sz w:val="24"/>
          <w:szCs w:val="24"/>
        </w:rPr>
        <w:t>采购需求”中的技术要求逐条实质性响应，并作出偏离说明。</w:t>
      </w:r>
    </w:p>
    <w:p w14:paraId="4401457B">
      <w:pPr>
        <w:pStyle w:val="12"/>
        <w:spacing w:line="360" w:lineRule="auto"/>
        <w:ind w:firstLine="480" w:firstLineChars="200"/>
        <w:contextualSpacing/>
        <w:rPr>
          <w:rFonts w:ascii="楷体" w:hAnsi="楷体" w:eastAsia="楷体" w:cs="宋体"/>
          <w:color w:val="auto"/>
          <w:sz w:val="24"/>
          <w:szCs w:val="24"/>
        </w:rPr>
      </w:pPr>
      <w:r>
        <w:rPr>
          <w:rFonts w:ascii="楷体" w:hAnsi="楷体" w:eastAsia="楷体" w:cs="宋体"/>
          <w:color w:val="auto"/>
          <w:sz w:val="24"/>
          <w:szCs w:val="24"/>
        </w:rPr>
        <w:t>2.供应商应根据</w:t>
      </w:r>
      <w:r>
        <w:rPr>
          <w:rFonts w:hint="eastAsia" w:ascii="楷体" w:hAnsi="楷体" w:eastAsia="楷体" w:cs="宋体"/>
          <w:color w:val="auto"/>
          <w:sz w:val="24"/>
          <w:szCs w:val="24"/>
        </w:rPr>
        <w:t>其参与</w:t>
      </w:r>
      <w:r>
        <w:rPr>
          <w:rFonts w:hint="eastAsia" w:ascii="楷体" w:hAnsi="楷体" w:eastAsia="楷体" w:cs="宋体"/>
          <w:color w:val="auto"/>
          <w:sz w:val="24"/>
          <w:lang w:bidi="ar"/>
        </w:rPr>
        <w:t>竞争性谈判</w:t>
      </w:r>
      <w:r>
        <w:rPr>
          <w:rFonts w:hint="eastAsia" w:ascii="楷体" w:hAnsi="楷体" w:eastAsia="楷体" w:cs="宋体"/>
          <w:color w:val="auto"/>
          <w:sz w:val="24"/>
          <w:szCs w:val="24"/>
        </w:rPr>
        <w:t>设备的性能指标，对照谈判文件要求，在“偏离说明”中注明“正偏离”、“负偏离”或者“无偏离”。既不属于“正偏离”也不属于“负偏离”即为“无偏离”。</w:t>
      </w:r>
    </w:p>
    <w:p w14:paraId="7725F575">
      <w:pPr>
        <w:pStyle w:val="12"/>
        <w:spacing w:line="360" w:lineRule="auto"/>
        <w:ind w:firstLine="480" w:firstLineChars="200"/>
        <w:contextualSpacing/>
        <w:rPr>
          <w:rFonts w:ascii="楷体" w:hAnsi="楷体" w:eastAsia="楷体" w:cs="宋体"/>
          <w:color w:val="auto"/>
          <w:sz w:val="24"/>
          <w:szCs w:val="24"/>
        </w:rPr>
      </w:pPr>
      <w:r>
        <w:rPr>
          <w:rFonts w:ascii="楷体" w:hAnsi="楷体" w:eastAsia="楷体" w:cs="宋体"/>
          <w:color w:val="auto"/>
          <w:sz w:val="24"/>
          <w:szCs w:val="24"/>
        </w:rPr>
        <w:t>3.供应商认为其</w:t>
      </w:r>
      <w:r>
        <w:rPr>
          <w:rFonts w:hint="eastAsia" w:ascii="楷体" w:hAnsi="楷体" w:eastAsia="楷体" w:cs="宋体"/>
          <w:color w:val="auto"/>
          <w:sz w:val="24"/>
          <w:lang w:bidi="ar"/>
        </w:rPr>
        <w:t>竞争性谈判</w:t>
      </w:r>
      <w:r>
        <w:rPr>
          <w:rFonts w:hint="eastAsia" w:ascii="楷体" w:hAnsi="楷体" w:eastAsia="楷体" w:cs="宋体"/>
          <w:color w:val="auto"/>
          <w:sz w:val="24"/>
          <w:szCs w:val="24"/>
        </w:rPr>
        <w:t>响应有正偏离的，请在技术偏离表中列明，且在响应文件中提供参与</w:t>
      </w:r>
      <w:r>
        <w:rPr>
          <w:rFonts w:hint="eastAsia" w:ascii="楷体" w:hAnsi="楷体" w:eastAsia="楷体" w:cs="宋体"/>
          <w:color w:val="auto"/>
          <w:sz w:val="24"/>
          <w:lang w:bidi="ar"/>
        </w:rPr>
        <w:t>竞争性谈判</w:t>
      </w:r>
      <w:r>
        <w:rPr>
          <w:rFonts w:hint="eastAsia" w:ascii="楷体" w:hAnsi="楷体" w:eastAsia="楷体" w:cs="宋体"/>
          <w:color w:val="auto"/>
          <w:sz w:val="24"/>
          <w:szCs w:val="24"/>
        </w:rPr>
        <w:t>产品的彩页或国家认可有资质的第三方检测机构出具的检测报告复印件或产品生产厂家出具的技术参数说明证明作为佐证，以上佐证材料均需加盖生产厂家或代理商（附生产厂家授权资料）公章。</w:t>
      </w:r>
    </w:p>
    <w:p w14:paraId="5276263B">
      <w:pPr>
        <w:pStyle w:val="12"/>
        <w:spacing w:line="360" w:lineRule="auto"/>
        <w:ind w:firstLine="480" w:firstLineChars="200"/>
        <w:contextualSpacing/>
        <w:rPr>
          <w:rFonts w:ascii="楷体" w:hAnsi="楷体" w:eastAsia="楷体" w:cs="宋体"/>
          <w:color w:val="auto"/>
          <w:sz w:val="24"/>
          <w:szCs w:val="24"/>
        </w:rPr>
      </w:pPr>
      <w:r>
        <w:rPr>
          <w:rFonts w:ascii="楷体" w:hAnsi="楷体" w:eastAsia="楷体" w:cs="宋体"/>
          <w:color w:val="auto"/>
          <w:sz w:val="24"/>
          <w:szCs w:val="24"/>
        </w:rPr>
        <w:t>4.</w:t>
      </w:r>
      <w:r>
        <w:rPr>
          <w:rFonts w:hint="eastAsia" w:ascii="楷体" w:hAnsi="楷体" w:eastAsia="楷体" w:cs="宋体"/>
          <w:color w:val="auto"/>
          <w:sz w:val="24"/>
          <w:szCs w:val="24"/>
        </w:rPr>
        <w:t>如技术偏离表中的</w:t>
      </w:r>
      <w:r>
        <w:rPr>
          <w:rFonts w:hint="eastAsia" w:ascii="楷体" w:hAnsi="楷体" w:eastAsia="楷体" w:cs="宋体"/>
          <w:color w:val="auto"/>
          <w:sz w:val="24"/>
          <w:lang w:bidi="ar"/>
        </w:rPr>
        <w:t>竞争性谈判</w:t>
      </w:r>
      <w:r>
        <w:rPr>
          <w:rFonts w:hint="eastAsia" w:ascii="楷体" w:hAnsi="楷体" w:eastAsia="楷体" w:cs="宋体"/>
          <w:color w:val="auto"/>
          <w:sz w:val="24"/>
          <w:szCs w:val="24"/>
        </w:rPr>
        <w:t>响应与佐证材料不一致的，以佐证材料为准。</w:t>
      </w:r>
    </w:p>
    <w:p w14:paraId="439F3926">
      <w:pPr>
        <w:pStyle w:val="12"/>
        <w:spacing w:line="360" w:lineRule="auto"/>
        <w:ind w:firstLine="0" w:firstLineChars="0"/>
        <w:contextualSpacing/>
        <w:rPr>
          <w:rFonts w:ascii="宋体" w:hAnsi="宋体" w:eastAsia="宋体" w:cs="宋体"/>
          <w:color w:val="auto"/>
          <w:sz w:val="24"/>
          <w:szCs w:val="24"/>
        </w:rPr>
      </w:pPr>
    </w:p>
    <w:p w14:paraId="4CC11F99">
      <w:pPr>
        <w:spacing w:line="360" w:lineRule="auto"/>
        <w:contextualSpacing/>
        <w:rPr>
          <w:rFonts w:ascii="宋体" w:hAnsi="宋体" w:cs="宋体"/>
          <w:color w:val="auto"/>
          <w:sz w:val="24"/>
        </w:rPr>
      </w:pPr>
    </w:p>
    <w:p w14:paraId="55C927CC">
      <w:pPr>
        <w:spacing w:line="360" w:lineRule="auto"/>
        <w:contextualSpacing/>
        <w:jc w:val="center"/>
        <w:rPr>
          <w:rFonts w:ascii="宋体" w:hAnsi="宋体" w:cs="宋体"/>
          <w:color w:val="auto"/>
          <w:sz w:val="24"/>
          <w:u w:val="single"/>
        </w:rPr>
      </w:pPr>
      <w:r>
        <w:rPr>
          <w:rFonts w:hint="eastAsia" w:ascii="宋体" w:hAnsi="宋体" w:cs="宋体"/>
          <w:color w:val="auto"/>
          <w:sz w:val="24"/>
        </w:rPr>
        <w:t xml:space="preserve"> </w:t>
      </w:r>
      <w:r>
        <w:rPr>
          <w:rFonts w:ascii="宋体" w:hAnsi="宋体" w:cs="宋体"/>
          <w:color w:val="auto"/>
          <w:sz w:val="24"/>
        </w:rPr>
        <w:t xml:space="preserve">     </w:t>
      </w:r>
      <w:r>
        <w:rPr>
          <w:rFonts w:hint="eastAsia" w:ascii="宋体" w:hAnsi="宋体" w:cs="宋体"/>
          <w:color w:val="auto"/>
          <w:sz w:val="24"/>
        </w:rPr>
        <w:t>法定代表人或者委托代理人（签字）：</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76EF69AB">
      <w:pPr>
        <w:spacing w:line="360" w:lineRule="auto"/>
        <w:ind w:firstLine="2880" w:firstLineChars="1200"/>
        <w:contextualSpacing/>
        <w:rPr>
          <w:rFonts w:ascii="宋体" w:hAnsi="宋体" w:cs="宋体"/>
          <w:color w:val="auto"/>
          <w:sz w:val="24"/>
        </w:rPr>
      </w:pPr>
      <w:r>
        <w:rPr>
          <w:rFonts w:hint="eastAsia" w:ascii="宋体" w:hAnsi="宋体" w:cs="宋体"/>
          <w:color w:val="auto"/>
          <w:sz w:val="24"/>
        </w:rPr>
        <w:t>供应商（公章）：</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      </w:t>
      </w:r>
    </w:p>
    <w:p w14:paraId="70344416">
      <w:pPr>
        <w:spacing w:line="360" w:lineRule="auto"/>
        <w:ind w:firstLine="2880" w:firstLineChars="1200"/>
        <w:contextualSpacing/>
        <w:rPr>
          <w:rFonts w:ascii="宋体" w:hAnsi="宋体" w:cs="宋体"/>
          <w:color w:val="auto"/>
          <w:sz w:val="32"/>
          <w:szCs w:val="32"/>
        </w:rPr>
      </w:pPr>
      <w:r>
        <w:rPr>
          <w:rFonts w:hint="eastAsia" w:ascii="宋体" w:hAnsi="宋体" w:cs="宋体"/>
          <w:color w:val="auto"/>
          <w:sz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79E5D32B">
      <w:pPr>
        <w:spacing w:line="360" w:lineRule="auto"/>
        <w:rPr>
          <w:rFonts w:ascii="宋体" w:hAnsi="宋体" w:cs="宋体"/>
          <w:color w:val="auto"/>
          <w:szCs w:val="21"/>
        </w:rPr>
      </w:pPr>
      <w:r>
        <w:rPr>
          <w:rFonts w:hint="eastAsia" w:ascii="宋体" w:hAnsi="宋体" w:cs="宋体"/>
          <w:b/>
          <w:bCs/>
          <w:color w:val="auto"/>
          <w:sz w:val="24"/>
        </w:rPr>
        <w:br w:type="page"/>
      </w:r>
      <w:r>
        <w:rPr>
          <w:rFonts w:hint="eastAsia" w:ascii="宋体" w:hAnsi="宋体" w:cs="宋体"/>
          <w:b/>
          <w:bCs/>
          <w:color w:val="auto"/>
          <w:sz w:val="24"/>
        </w:rPr>
        <w:t>其他文书、文件格式</w:t>
      </w:r>
    </w:p>
    <w:p w14:paraId="195935F2">
      <w:pPr>
        <w:adjustRightInd w:val="0"/>
        <w:snapToGrid w:val="0"/>
        <w:spacing w:line="360" w:lineRule="auto"/>
        <w:jc w:val="center"/>
        <w:rPr>
          <w:rFonts w:ascii="宋体" w:hAnsi="宋体" w:cs="宋体"/>
          <w:b/>
          <w:bCs/>
          <w:color w:val="auto"/>
          <w:sz w:val="44"/>
          <w:szCs w:val="44"/>
        </w:rPr>
      </w:pPr>
      <w:bookmarkStart w:id="38" w:name="_Toc71365383"/>
      <w:bookmarkStart w:id="39" w:name="_Toc71366061"/>
      <w:r>
        <w:rPr>
          <w:rFonts w:hint="eastAsia" w:ascii="宋体" w:hAnsi="宋体" w:cs="宋体"/>
          <w:b/>
          <w:bCs/>
          <w:color w:val="auto"/>
          <w:sz w:val="44"/>
          <w:szCs w:val="44"/>
        </w:rPr>
        <w:t>中小企业声明函（货物）</w:t>
      </w:r>
      <w:bookmarkEnd w:id="38"/>
      <w:bookmarkEnd w:id="39"/>
    </w:p>
    <w:p w14:paraId="64ADAEF3">
      <w:pPr>
        <w:spacing w:line="360" w:lineRule="auto"/>
        <w:rPr>
          <w:rFonts w:ascii="宋体" w:hAnsi="宋体" w:cs="宋体"/>
          <w:color w:val="auto"/>
        </w:rPr>
      </w:pPr>
    </w:p>
    <w:p w14:paraId="250F1625">
      <w:pPr>
        <w:pStyle w:val="11"/>
        <w:spacing w:after="0" w:line="360" w:lineRule="auto"/>
        <w:ind w:firstLine="640"/>
        <w:contextualSpacing/>
        <w:rPr>
          <w:rFonts w:ascii="宋体" w:hAnsi="宋体" w:cs="宋体"/>
          <w:color w:val="auto"/>
          <w:sz w:val="24"/>
        </w:rPr>
      </w:pPr>
      <w:r>
        <w:rPr>
          <w:rFonts w:hint="eastAsia" w:ascii="宋体" w:hAnsi="宋体" w:cs="宋体"/>
          <w:color w:val="auto"/>
          <w:sz w:val="24"/>
        </w:rPr>
        <w:t>本公司（联合体）郑重声明，根据《政府采购促进中小企业发展管理办法》（财库﹝2020﹞46号）的规定，本公司（联合体）参加</w:t>
      </w:r>
      <w:r>
        <w:rPr>
          <w:rFonts w:hint="eastAsia" w:ascii="宋体" w:hAnsi="宋体" w:cs="宋体"/>
          <w:color w:val="auto"/>
          <w:sz w:val="24"/>
          <w:u w:val="single"/>
        </w:rPr>
        <w:t>（单位名称）</w:t>
      </w:r>
      <w:r>
        <w:rPr>
          <w:rFonts w:hint="eastAsia" w:ascii="宋体" w:hAnsi="宋体" w:cs="宋体"/>
          <w:color w:val="auto"/>
          <w:sz w:val="24"/>
        </w:rPr>
        <w:t>的</w:t>
      </w:r>
      <w:r>
        <w:rPr>
          <w:rFonts w:hint="eastAsia" w:ascii="宋体" w:hAnsi="宋体" w:cs="宋体"/>
          <w:color w:val="auto"/>
          <w:sz w:val="24"/>
          <w:u w:val="single"/>
        </w:rPr>
        <w:t>（项目名称）</w:t>
      </w:r>
      <w:r>
        <w:rPr>
          <w:rFonts w:hint="eastAsia" w:ascii="宋体" w:hAnsi="宋体" w:cs="宋体"/>
          <w:color w:val="auto"/>
          <w:sz w:val="24"/>
        </w:rPr>
        <w:t>采购活动，提供的货物全部由符合政策要求的中小企业制造。相关企业（含联合体中的中小企业、签订分包意向协议的中小企业）的具体情况如下：</w:t>
      </w:r>
    </w:p>
    <w:p w14:paraId="140C867F">
      <w:pPr>
        <w:tabs>
          <w:tab w:val="left" w:pos="1384"/>
          <w:tab w:val="left" w:pos="4562"/>
          <w:tab w:val="left" w:pos="6803"/>
        </w:tabs>
        <w:spacing w:line="360" w:lineRule="auto"/>
        <w:ind w:firstLine="655"/>
        <w:contextualSpacing/>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（采购文件中明确的所属行业）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2B17F490">
      <w:pPr>
        <w:tabs>
          <w:tab w:val="left" w:pos="1065"/>
          <w:tab w:val="left" w:pos="6477"/>
        </w:tabs>
        <w:spacing w:line="360" w:lineRule="auto"/>
        <w:ind w:firstLine="655"/>
        <w:contextualSpacing/>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（采购文件中明确的所属行业）</w:t>
      </w:r>
      <w:r>
        <w:rPr>
          <w:rFonts w:hint="eastAsia" w:ascii="宋体" w:hAnsi="宋体" w:cs="宋体"/>
          <w:color w:val="auto"/>
          <w:sz w:val="24"/>
        </w:rPr>
        <w:t>行业；制造商为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万元，属于</w:t>
      </w:r>
      <w:r>
        <w:rPr>
          <w:rFonts w:hint="eastAsia" w:ascii="宋体" w:hAnsi="宋体" w:cs="宋体"/>
          <w:color w:val="auto"/>
          <w:sz w:val="24"/>
          <w:u w:val="single"/>
        </w:rPr>
        <w:t>（中型企业、小型企业、微型企业）</w:t>
      </w:r>
      <w:r>
        <w:rPr>
          <w:rFonts w:hint="eastAsia" w:ascii="宋体" w:hAnsi="宋体" w:cs="宋体"/>
          <w:color w:val="auto"/>
          <w:sz w:val="24"/>
        </w:rPr>
        <w:t>；</w:t>
      </w:r>
    </w:p>
    <w:p w14:paraId="7996282B">
      <w:pPr>
        <w:pStyle w:val="11"/>
        <w:spacing w:after="0" w:line="360" w:lineRule="auto"/>
        <w:contextualSpacing/>
        <w:rPr>
          <w:rFonts w:ascii="宋体" w:hAnsi="宋体" w:cs="宋体"/>
          <w:color w:val="auto"/>
          <w:sz w:val="24"/>
        </w:rPr>
      </w:pPr>
      <w:r>
        <w:rPr>
          <w:rFonts w:hint="eastAsia" w:ascii="宋体" w:hAnsi="宋体" w:cs="宋体"/>
          <w:color w:val="auto"/>
          <w:sz w:val="24"/>
        </w:rPr>
        <w:t xml:space="preserve">…… </w:t>
      </w:r>
    </w:p>
    <w:p w14:paraId="17CD5E90">
      <w:pPr>
        <w:pStyle w:val="11"/>
        <w:spacing w:after="0" w:line="360" w:lineRule="auto"/>
        <w:ind w:firstLine="453" w:firstLineChars="189"/>
        <w:contextualSpacing/>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39CBA225">
      <w:pPr>
        <w:pStyle w:val="11"/>
        <w:spacing w:after="0" w:line="360" w:lineRule="auto"/>
        <w:ind w:firstLine="567"/>
        <w:contextualSpacing/>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2D8B6C89">
      <w:pPr>
        <w:pStyle w:val="11"/>
        <w:spacing w:after="0" w:line="360" w:lineRule="auto"/>
        <w:contextualSpacing/>
        <w:rPr>
          <w:rFonts w:ascii="宋体" w:hAnsi="宋体" w:cs="宋体"/>
          <w:color w:val="auto"/>
          <w:sz w:val="24"/>
        </w:rPr>
      </w:pPr>
    </w:p>
    <w:p w14:paraId="393E0B01">
      <w:pPr>
        <w:pStyle w:val="11"/>
        <w:spacing w:after="0" w:line="360" w:lineRule="auto"/>
        <w:ind w:firstLine="3360" w:firstLineChars="1400"/>
        <w:contextualSpacing/>
        <w:rPr>
          <w:rFonts w:ascii="宋体" w:hAnsi="宋体" w:cs="宋体"/>
          <w:color w:val="auto"/>
          <w:sz w:val="24"/>
          <w:u w:val="single"/>
        </w:rPr>
      </w:pPr>
      <w:r>
        <w:rPr>
          <w:rFonts w:hint="eastAsia" w:ascii="宋体" w:hAnsi="宋体" w:cs="宋体"/>
          <w:color w:val="auto"/>
          <w:sz w:val="24"/>
        </w:rPr>
        <w:t xml:space="preserve">企业名称（公章）： </w:t>
      </w:r>
      <w:r>
        <w:rPr>
          <w:rFonts w:ascii="宋体" w:hAnsi="宋体" w:cs="宋体"/>
          <w:color w:val="auto"/>
          <w:sz w:val="24"/>
          <w:u w:val="single"/>
        </w:rPr>
        <w:t xml:space="preserve">                   </w:t>
      </w:r>
    </w:p>
    <w:p w14:paraId="71A239D9">
      <w:pPr>
        <w:pStyle w:val="11"/>
        <w:spacing w:after="0" w:line="360" w:lineRule="auto"/>
        <w:ind w:firstLine="3360" w:firstLineChars="1400"/>
        <w:contextualSpacing/>
        <w:rPr>
          <w:rFonts w:ascii="宋体" w:hAnsi="宋体" w:cs="宋体"/>
          <w:color w:val="auto"/>
          <w:sz w:val="24"/>
        </w:rPr>
      </w:pPr>
      <w:r>
        <w:rPr>
          <w:rFonts w:hint="eastAsia" w:ascii="宋体" w:hAnsi="宋体" w:cs="宋体"/>
          <w:color w:val="auto"/>
          <w:sz w:val="24"/>
        </w:rPr>
        <w:t>日 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53EABDA3">
      <w:pPr>
        <w:pStyle w:val="11"/>
        <w:spacing w:after="0" w:line="360" w:lineRule="auto"/>
        <w:contextualSpacing/>
        <w:rPr>
          <w:rFonts w:ascii="宋体" w:hAnsi="宋体" w:cs="宋体"/>
          <w:color w:val="auto"/>
        </w:rPr>
      </w:pPr>
    </w:p>
    <w:p w14:paraId="160BFE1A">
      <w:pPr>
        <w:spacing w:line="360" w:lineRule="auto"/>
        <w:contextualSpacing/>
        <w:jc w:val="left"/>
        <w:rPr>
          <w:rFonts w:ascii="楷体" w:hAnsi="楷体" w:eastAsia="楷体" w:cs="宋体"/>
          <w:b/>
          <w:color w:val="auto"/>
          <w:sz w:val="24"/>
        </w:rPr>
      </w:pPr>
      <w:r>
        <w:rPr>
          <w:rFonts w:hint="eastAsia" w:ascii="楷体" w:hAnsi="楷体" w:eastAsia="楷体" w:cs="宋体"/>
          <w:b/>
          <w:color w:val="auto"/>
          <w:sz w:val="24"/>
        </w:rPr>
        <w:t>注：</w:t>
      </w:r>
    </w:p>
    <w:p w14:paraId="72D24171">
      <w:pPr>
        <w:spacing w:line="360" w:lineRule="auto"/>
        <w:ind w:firstLine="480" w:firstLineChars="200"/>
        <w:contextualSpacing/>
        <w:jc w:val="left"/>
        <w:rPr>
          <w:rFonts w:ascii="楷体" w:hAnsi="楷体" w:eastAsia="楷体" w:cs="宋体"/>
          <w:color w:val="auto"/>
          <w:sz w:val="24"/>
        </w:rPr>
      </w:pPr>
      <w:r>
        <w:rPr>
          <w:rFonts w:hint="eastAsia" w:ascii="楷体" w:hAnsi="楷体" w:eastAsia="楷体" w:cs="宋体"/>
          <w:color w:val="auto"/>
          <w:sz w:val="24"/>
        </w:rPr>
        <w:t>享受《政府采购促进中小企业发展管理办法》（财库〔</w:t>
      </w:r>
      <w:r>
        <w:rPr>
          <w:rFonts w:ascii="楷体" w:hAnsi="楷体" w:eastAsia="楷体" w:cs="宋体"/>
          <w:color w:val="auto"/>
          <w:sz w:val="24"/>
        </w:rPr>
        <w:t>2020〕46号）规定的中小企业扶持政策的，采购人、采购代理机构应当随成交结果公开成交供应商的《中小企业声明函》。从业人员、营业收入、资产总额填报上一年度数据，无上一年度数据的新成立企业可不填报。</w:t>
      </w:r>
    </w:p>
    <w:p w14:paraId="0D9B6D44">
      <w:pPr>
        <w:spacing w:line="360" w:lineRule="auto"/>
        <w:contextualSpacing/>
        <w:jc w:val="center"/>
        <w:rPr>
          <w:rFonts w:ascii="宋体" w:hAnsi="宋体" w:cs="宋体"/>
          <w:color w:val="auto"/>
          <w:sz w:val="24"/>
        </w:rPr>
      </w:pPr>
    </w:p>
    <w:p w14:paraId="1BE72B84">
      <w:pPr>
        <w:spacing w:line="360" w:lineRule="auto"/>
        <w:contextualSpacing/>
        <w:jc w:val="center"/>
        <w:rPr>
          <w:rFonts w:ascii="宋体" w:hAnsi="宋体" w:cs="宋体"/>
          <w:color w:val="auto"/>
          <w:sz w:val="24"/>
        </w:rPr>
      </w:pPr>
    </w:p>
    <w:p w14:paraId="0396FB30">
      <w:pPr>
        <w:spacing w:line="360" w:lineRule="auto"/>
        <w:ind w:firstLine="800" w:firstLineChars="250"/>
        <w:jc w:val="center"/>
        <w:rPr>
          <w:rFonts w:ascii="宋体" w:hAnsi="宋体" w:cs="宋体"/>
          <w:b/>
          <w:color w:val="auto"/>
          <w:sz w:val="32"/>
          <w:szCs w:val="32"/>
        </w:rPr>
      </w:pPr>
      <w:r>
        <w:rPr>
          <w:rFonts w:hint="eastAsia" w:hAnsi="宋体" w:cs="宋体"/>
          <w:color w:val="auto"/>
          <w:sz w:val="32"/>
          <w:szCs w:val="32"/>
        </w:rPr>
        <w:br w:type="page"/>
      </w:r>
      <w:r>
        <w:rPr>
          <w:rFonts w:hint="eastAsia" w:ascii="宋体" w:hAnsi="宋体" w:cs="宋体"/>
          <w:b/>
          <w:color w:val="auto"/>
          <w:sz w:val="44"/>
          <w:szCs w:val="44"/>
        </w:rPr>
        <w:t>残疾人福利性单位声明函</w:t>
      </w:r>
    </w:p>
    <w:p w14:paraId="742DC55D">
      <w:pPr>
        <w:spacing w:line="360" w:lineRule="auto"/>
        <w:rPr>
          <w:rFonts w:ascii="宋体" w:hAnsi="宋体" w:cs="宋体"/>
          <w:color w:val="auto"/>
          <w:sz w:val="32"/>
          <w:szCs w:val="32"/>
        </w:rPr>
      </w:pPr>
    </w:p>
    <w:p w14:paraId="1D188C34">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rPr>
        <w:t xml:space="preserve">       </w:t>
      </w:r>
      <w:r>
        <w:rPr>
          <w:rFonts w:hint="eastAsia" w:ascii="宋体" w:hAnsi="宋体" w:cs="宋体"/>
          <w:color w:val="auto"/>
          <w:sz w:val="24"/>
        </w:rPr>
        <w:t>单位的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项目采购活动提供本单位制造的货物（由本单位承担工程/提供服务），或者提供其他残疾人福利性单位制造的货物（不包括使用非残疾人福利性单位注册商标的货物）。</w:t>
      </w:r>
    </w:p>
    <w:p w14:paraId="3B19CF53">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060DBE10">
      <w:pPr>
        <w:spacing w:line="360" w:lineRule="auto"/>
        <w:contextualSpacing/>
        <w:rPr>
          <w:rFonts w:ascii="宋体" w:hAnsi="宋体" w:cs="宋体"/>
          <w:color w:val="auto"/>
          <w:sz w:val="24"/>
        </w:rPr>
      </w:pPr>
    </w:p>
    <w:p w14:paraId="0C6EE30D">
      <w:pPr>
        <w:spacing w:line="360" w:lineRule="auto"/>
        <w:contextualSpacing/>
        <w:rPr>
          <w:rFonts w:ascii="宋体" w:hAnsi="宋体" w:cs="宋体"/>
          <w:color w:val="auto"/>
          <w:sz w:val="24"/>
        </w:rPr>
      </w:pPr>
    </w:p>
    <w:p w14:paraId="7F469F18">
      <w:pPr>
        <w:spacing w:line="360" w:lineRule="auto"/>
        <w:contextualSpacing/>
        <w:rPr>
          <w:rFonts w:ascii="宋体" w:hAnsi="宋体" w:cs="宋体"/>
          <w:color w:val="auto"/>
          <w:sz w:val="24"/>
        </w:rPr>
      </w:pPr>
    </w:p>
    <w:p w14:paraId="171CD4DD">
      <w:pPr>
        <w:spacing w:line="360" w:lineRule="auto"/>
        <w:ind w:firstLine="3600" w:firstLineChars="1500"/>
        <w:contextualSpacing/>
        <w:rPr>
          <w:rFonts w:ascii="宋体" w:hAnsi="宋体" w:cs="宋体"/>
          <w:color w:val="auto"/>
          <w:sz w:val="24"/>
          <w:u w:val="single"/>
        </w:rPr>
      </w:pPr>
      <w:r>
        <w:rPr>
          <w:rFonts w:hint="eastAsia" w:ascii="宋体" w:hAnsi="宋体" w:cs="宋体"/>
          <w:color w:val="auto"/>
          <w:sz w:val="24"/>
        </w:rPr>
        <w:t>单位名称（公章）：</w:t>
      </w:r>
      <w:r>
        <w:rPr>
          <w:rFonts w:hint="eastAsia" w:ascii="宋体" w:hAnsi="宋体" w:cs="宋体"/>
          <w:color w:val="auto"/>
          <w:sz w:val="24"/>
          <w:u w:val="single"/>
        </w:rPr>
        <w:t xml:space="preserve"> </w:t>
      </w:r>
      <w:r>
        <w:rPr>
          <w:rFonts w:ascii="宋体" w:hAnsi="宋体" w:cs="宋体"/>
          <w:color w:val="auto"/>
          <w:sz w:val="24"/>
          <w:u w:val="single"/>
        </w:rPr>
        <w:t xml:space="preserve">                   </w:t>
      </w:r>
    </w:p>
    <w:p w14:paraId="50890EEC">
      <w:pPr>
        <w:spacing w:line="360" w:lineRule="auto"/>
        <w:ind w:firstLine="3600" w:firstLineChars="1500"/>
        <w:contextualSpacing/>
        <w:rPr>
          <w:rFonts w:ascii="宋体" w:hAnsi="宋体" w:cs="宋体"/>
          <w:color w:val="auto"/>
          <w:sz w:val="24"/>
        </w:rPr>
      </w:pPr>
      <w:r>
        <w:rPr>
          <w:rFonts w:hint="eastAsia" w:ascii="宋体" w:hAnsi="宋体" w:cs="宋体"/>
          <w:color w:val="auto"/>
          <w:sz w:val="24"/>
        </w:rPr>
        <w:t>日  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561B73F5">
      <w:pPr>
        <w:spacing w:line="360" w:lineRule="auto"/>
        <w:contextualSpacing/>
        <w:rPr>
          <w:rFonts w:ascii="宋体" w:hAnsi="宋体" w:cs="宋体"/>
          <w:color w:val="auto"/>
          <w:sz w:val="24"/>
        </w:rPr>
      </w:pPr>
    </w:p>
    <w:p w14:paraId="354DDA5A">
      <w:pPr>
        <w:spacing w:line="360" w:lineRule="auto"/>
        <w:contextualSpacing/>
        <w:rPr>
          <w:rFonts w:ascii="宋体" w:hAnsi="宋体" w:cs="宋体"/>
          <w:color w:val="auto"/>
          <w:sz w:val="24"/>
        </w:rPr>
      </w:pPr>
    </w:p>
    <w:p w14:paraId="711D93D3">
      <w:pPr>
        <w:spacing w:line="360" w:lineRule="auto"/>
        <w:contextualSpacing/>
        <w:rPr>
          <w:rFonts w:ascii="宋体" w:hAnsi="宋体" w:cs="宋体"/>
          <w:color w:val="auto"/>
          <w:sz w:val="24"/>
        </w:rPr>
      </w:pPr>
    </w:p>
    <w:p w14:paraId="30563C20">
      <w:pPr>
        <w:spacing w:line="360" w:lineRule="auto"/>
        <w:contextualSpacing/>
        <w:rPr>
          <w:rFonts w:ascii="楷体" w:hAnsi="楷体" w:eastAsia="楷体" w:cs="宋体"/>
          <w:b/>
          <w:color w:val="auto"/>
          <w:sz w:val="24"/>
        </w:rPr>
      </w:pPr>
      <w:r>
        <w:rPr>
          <w:rFonts w:hint="eastAsia" w:ascii="楷体" w:hAnsi="楷体" w:eastAsia="楷体" w:cs="宋体"/>
          <w:b/>
          <w:color w:val="auto"/>
          <w:sz w:val="24"/>
        </w:rPr>
        <w:t>注：</w:t>
      </w:r>
    </w:p>
    <w:p w14:paraId="66F3EE2C">
      <w:pPr>
        <w:spacing w:line="360" w:lineRule="auto"/>
        <w:ind w:firstLine="480" w:firstLineChars="200"/>
        <w:contextualSpacing/>
        <w:rPr>
          <w:rFonts w:ascii="楷体" w:hAnsi="楷体" w:eastAsia="楷体" w:cs="宋体"/>
          <w:color w:val="auto"/>
          <w:sz w:val="24"/>
        </w:rPr>
      </w:pPr>
      <w:r>
        <w:rPr>
          <w:rFonts w:hint="eastAsia" w:ascii="楷体" w:hAnsi="楷体" w:eastAsia="楷体" w:cs="宋体"/>
          <w:color w:val="auto"/>
          <w:sz w:val="24"/>
        </w:rPr>
        <w:t>请根据自己的真实情况出具《残疾人福利性单位声明函》。依法享受中小企业优惠政策的，采购人或者采购代理机构在公告中标结果时，同时公告其《残疾人福利性单位声明函》，接受社会监督。</w:t>
      </w:r>
    </w:p>
    <w:p w14:paraId="6B358AEF">
      <w:pPr>
        <w:rPr>
          <w:rFonts w:ascii="宋体" w:hAnsi="宋体" w:cs="宋体"/>
          <w:color w:val="auto"/>
          <w:sz w:val="24"/>
        </w:rPr>
      </w:pPr>
      <w:r>
        <w:rPr>
          <w:rFonts w:hint="eastAsia" w:ascii="宋体" w:hAnsi="宋体" w:cs="宋体"/>
          <w:color w:val="auto"/>
          <w:sz w:val="24"/>
        </w:rPr>
        <w:br w:type="page"/>
      </w:r>
    </w:p>
    <w:p w14:paraId="58D262B9">
      <w:pP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如供应商提供的产品属于本国产品，按以下格式提供关于符合本国产品标准的声明函</w:t>
      </w:r>
    </w:p>
    <w:p w14:paraId="177DDC8D">
      <w:pPr>
        <w:rPr>
          <w:rFonts w:asciiTheme="minorEastAsia" w:hAnsiTheme="minorEastAsia" w:eastAsiaTheme="minorEastAsia" w:cstheme="minorEastAsia"/>
          <w:color w:val="auto"/>
        </w:rPr>
      </w:pPr>
    </w:p>
    <w:p w14:paraId="11217E95">
      <w:pPr>
        <w:spacing w:line="360" w:lineRule="auto"/>
        <w:jc w:val="center"/>
        <w:rPr>
          <w:rFonts w:asciiTheme="minorEastAsia" w:hAnsiTheme="minorEastAsia" w:eastAsiaTheme="minorEastAsia" w:cstheme="minorEastAsia"/>
          <w:b/>
          <w:color w:val="auto"/>
          <w:sz w:val="44"/>
          <w:szCs w:val="44"/>
        </w:rPr>
      </w:pPr>
      <w:r>
        <w:rPr>
          <w:rFonts w:hint="eastAsia" w:asciiTheme="minorEastAsia" w:hAnsiTheme="minorEastAsia" w:eastAsiaTheme="minorEastAsia" w:cstheme="minorEastAsia"/>
          <w:b/>
          <w:color w:val="auto"/>
          <w:sz w:val="44"/>
          <w:szCs w:val="44"/>
        </w:rPr>
        <w:t>关于符合本国产品标准的声明函</w:t>
      </w:r>
    </w:p>
    <w:p w14:paraId="11AB0146">
      <w:pPr>
        <w:rPr>
          <w:rFonts w:asciiTheme="minorEastAsia" w:hAnsiTheme="minorEastAsia" w:eastAsiaTheme="minorEastAsia" w:cstheme="minorEastAsia"/>
          <w:color w:val="auto"/>
        </w:rPr>
      </w:pPr>
    </w:p>
    <w:p w14:paraId="61F0146D">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本公司（单位）郑重声明，根据《国务院办公厅关于在政府采购中实施本国产品标准及相关政策的通知》（国办发〔2025〕34号）的规定，本公司（单位）提供的以下产品属于本国产品。具体情况如下：</w:t>
      </w:r>
    </w:p>
    <w:p w14:paraId="094DC4D2">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r>
        <w:rPr>
          <w:rFonts w:hint="eastAsia" w:asciiTheme="minorEastAsia" w:hAnsiTheme="minorEastAsia" w:eastAsiaTheme="minorEastAsia" w:cstheme="minorEastAsia"/>
          <w:color w:val="auto"/>
          <w:sz w:val="24"/>
          <w:u w:val="single"/>
        </w:rPr>
        <w:t>（产品名称1）1</w:t>
      </w:r>
      <w:r>
        <w:rPr>
          <w:rFonts w:hint="eastAsia" w:asciiTheme="minorEastAsia" w:hAnsiTheme="minorEastAsia" w:eastAsiaTheme="minorEastAsia" w:cstheme="minorEastAsia"/>
          <w:color w:val="auto"/>
          <w:sz w:val="24"/>
        </w:rPr>
        <w:t>，生产厂为</w:t>
      </w:r>
      <w:r>
        <w:rPr>
          <w:rFonts w:hint="eastAsia" w:asciiTheme="minorEastAsia" w:hAnsiTheme="minorEastAsia" w:eastAsiaTheme="minorEastAsia" w:cstheme="minorEastAsia"/>
          <w:color w:val="auto"/>
          <w:sz w:val="24"/>
          <w:u w:val="single"/>
        </w:rPr>
        <w:t>（厂名）2</w:t>
      </w:r>
      <w:r>
        <w:rPr>
          <w:rFonts w:hint="eastAsia" w:asciiTheme="minorEastAsia" w:hAnsiTheme="minorEastAsia" w:eastAsiaTheme="minorEastAsia" w:cstheme="minorEastAsia"/>
          <w:color w:val="auto"/>
          <w:sz w:val="24"/>
        </w:rPr>
        <w:t>，厂址为</w:t>
      </w:r>
      <w:r>
        <w:rPr>
          <w:rFonts w:hint="eastAsia" w:asciiTheme="minorEastAsia" w:hAnsiTheme="minorEastAsia" w:eastAsiaTheme="minorEastAsia" w:cstheme="minorEastAsia"/>
          <w:color w:val="auto"/>
          <w:sz w:val="24"/>
          <w:u w:val="single"/>
        </w:rPr>
        <w:t>（生产厂址）</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u w:val="single"/>
        </w:rPr>
        <w:t>（产品名称1）</w:t>
      </w:r>
      <w:r>
        <w:rPr>
          <w:rFonts w:hint="eastAsia" w:asciiTheme="minorEastAsia" w:hAnsiTheme="minorEastAsia" w:eastAsiaTheme="minorEastAsia" w:cstheme="minorEastAsia"/>
          <w:color w:val="auto"/>
          <w:sz w:val="24"/>
        </w:rPr>
        <w:t>的中国境内生产的组件成本占比≥</w:t>
      </w:r>
      <w:r>
        <w:rPr>
          <w:rFonts w:hint="eastAsia" w:asciiTheme="minorEastAsia" w:hAnsiTheme="minorEastAsia" w:eastAsiaTheme="minorEastAsia" w:cstheme="minorEastAsia"/>
          <w:color w:val="auto"/>
          <w:sz w:val="24"/>
          <w:u w:val="single"/>
        </w:rPr>
        <w:t>（规定比例）3</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u w:val="single"/>
        </w:rPr>
        <w:t>（产品名称1）</w:t>
      </w:r>
      <w:r>
        <w:rPr>
          <w:rFonts w:hint="eastAsia" w:asciiTheme="minorEastAsia" w:hAnsiTheme="minorEastAsia" w:eastAsiaTheme="minorEastAsia" w:cstheme="minorEastAsia"/>
          <w:color w:val="auto"/>
          <w:sz w:val="24"/>
        </w:rPr>
        <w:t>的</w:t>
      </w:r>
      <w:r>
        <w:rPr>
          <w:rFonts w:hint="eastAsia" w:asciiTheme="minorEastAsia" w:hAnsiTheme="minorEastAsia" w:eastAsiaTheme="minorEastAsia" w:cstheme="minorEastAsia"/>
          <w:color w:val="auto"/>
          <w:sz w:val="24"/>
          <w:u w:val="single"/>
        </w:rPr>
        <w:t>（关键组件）4</w:t>
      </w:r>
      <w:r>
        <w:rPr>
          <w:rFonts w:hint="eastAsia" w:asciiTheme="minorEastAsia" w:hAnsiTheme="minorEastAsia" w:eastAsiaTheme="minorEastAsia" w:cstheme="minorEastAsia"/>
          <w:color w:val="auto"/>
          <w:sz w:val="24"/>
        </w:rPr>
        <w:t>在中国境内生产。（产品名称1）的（关键工序）5在中国境内完成。</w:t>
      </w:r>
    </w:p>
    <w:p w14:paraId="715A681B">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w:t>
      </w:r>
      <w:r>
        <w:rPr>
          <w:rFonts w:hint="eastAsia" w:asciiTheme="minorEastAsia" w:hAnsiTheme="minorEastAsia" w:eastAsiaTheme="minorEastAsia" w:cstheme="minorEastAsia"/>
          <w:color w:val="auto"/>
          <w:sz w:val="24"/>
          <w:u w:val="single"/>
        </w:rPr>
        <w:t>（产品名称2）</w:t>
      </w:r>
      <w:r>
        <w:rPr>
          <w:rFonts w:hint="eastAsia" w:asciiTheme="minorEastAsia" w:hAnsiTheme="minorEastAsia" w:eastAsiaTheme="minorEastAsia" w:cstheme="minorEastAsia"/>
          <w:color w:val="auto"/>
          <w:sz w:val="24"/>
        </w:rPr>
        <w:t>，生产厂为</w:t>
      </w:r>
      <w:r>
        <w:rPr>
          <w:rFonts w:hint="eastAsia" w:asciiTheme="minorEastAsia" w:hAnsiTheme="minorEastAsia" w:eastAsiaTheme="minorEastAsia" w:cstheme="minorEastAsia"/>
          <w:color w:val="auto"/>
          <w:sz w:val="24"/>
          <w:u w:val="single"/>
        </w:rPr>
        <w:t>（厂名）</w:t>
      </w:r>
      <w:r>
        <w:rPr>
          <w:rFonts w:hint="eastAsia" w:asciiTheme="minorEastAsia" w:hAnsiTheme="minorEastAsia" w:eastAsiaTheme="minorEastAsia" w:cstheme="minorEastAsia"/>
          <w:color w:val="auto"/>
          <w:sz w:val="24"/>
        </w:rPr>
        <w:t>，厂址为</w:t>
      </w:r>
      <w:r>
        <w:rPr>
          <w:rFonts w:hint="eastAsia" w:asciiTheme="minorEastAsia" w:hAnsiTheme="minorEastAsia" w:eastAsiaTheme="minorEastAsia" w:cstheme="minorEastAsia"/>
          <w:color w:val="auto"/>
          <w:sz w:val="24"/>
          <w:u w:val="single"/>
        </w:rPr>
        <w:t>（生产厂址）</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u w:val="single"/>
        </w:rPr>
        <w:t>（产品名称2）</w:t>
      </w:r>
      <w:r>
        <w:rPr>
          <w:rFonts w:hint="eastAsia" w:asciiTheme="minorEastAsia" w:hAnsiTheme="minorEastAsia" w:eastAsiaTheme="minorEastAsia" w:cstheme="minorEastAsia"/>
          <w:color w:val="auto"/>
          <w:sz w:val="24"/>
        </w:rPr>
        <w:t>的中国境内生产的组件成本占比≥</w:t>
      </w:r>
      <w:r>
        <w:rPr>
          <w:rFonts w:hint="eastAsia" w:asciiTheme="minorEastAsia" w:hAnsiTheme="minorEastAsia" w:eastAsiaTheme="minorEastAsia" w:cstheme="minorEastAsia"/>
          <w:color w:val="auto"/>
          <w:sz w:val="24"/>
          <w:u w:val="single"/>
        </w:rPr>
        <w:t>（规定比例）</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u w:val="single"/>
        </w:rPr>
        <w:t>（产品名称2）</w:t>
      </w:r>
      <w:r>
        <w:rPr>
          <w:rFonts w:hint="eastAsia" w:asciiTheme="minorEastAsia" w:hAnsiTheme="minorEastAsia" w:eastAsiaTheme="minorEastAsia" w:cstheme="minorEastAsia"/>
          <w:color w:val="auto"/>
          <w:sz w:val="24"/>
        </w:rPr>
        <w:t>的</w:t>
      </w:r>
      <w:r>
        <w:rPr>
          <w:rFonts w:hint="eastAsia" w:asciiTheme="minorEastAsia" w:hAnsiTheme="minorEastAsia" w:eastAsiaTheme="minorEastAsia" w:cstheme="minorEastAsia"/>
          <w:color w:val="auto"/>
          <w:sz w:val="24"/>
          <w:u w:val="single"/>
        </w:rPr>
        <w:t>（关键组件）</w:t>
      </w:r>
      <w:r>
        <w:rPr>
          <w:rFonts w:hint="eastAsia" w:asciiTheme="minorEastAsia" w:hAnsiTheme="minorEastAsia" w:eastAsiaTheme="minorEastAsia" w:cstheme="minorEastAsia"/>
          <w:color w:val="auto"/>
          <w:sz w:val="24"/>
        </w:rPr>
        <w:t>在中国境内生产。</w:t>
      </w:r>
      <w:r>
        <w:rPr>
          <w:rFonts w:hint="eastAsia" w:asciiTheme="minorEastAsia" w:hAnsiTheme="minorEastAsia" w:eastAsiaTheme="minorEastAsia" w:cstheme="minorEastAsia"/>
          <w:color w:val="auto"/>
          <w:sz w:val="24"/>
          <w:u w:val="single"/>
        </w:rPr>
        <w:t>（产品名称2）</w:t>
      </w:r>
      <w:r>
        <w:rPr>
          <w:rFonts w:hint="eastAsia" w:asciiTheme="minorEastAsia" w:hAnsiTheme="minorEastAsia" w:eastAsiaTheme="minorEastAsia" w:cstheme="minorEastAsia"/>
          <w:color w:val="auto"/>
          <w:sz w:val="24"/>
        </w:rPr>
        <w:t>的</w:t>
      </w:r>
      <w:r>
        <w:rPr>
          <w:rFonts w:hint="eastAsia" w:asciiTheme="minorEastAsia" w:hAnsiTheme="minorEastAsia" w:eastAsiaTheme="minorEastAsia" w:cstheme="minorEastAsia"/>
          <w:color w:val="auto"/>
          <w:sz w:val="24"/>
          <w:u w:val="single"/>
        </w:rPr>
        <w:t>（关键工序）</w:t>
      </w:r>
      <w:r>
        <w:rPr>
          <w:rFonts w:hint="eastAsia" w:asciiTheme="minorEastAsia" w:hAnsiTheme="minorEastAsia" w:eastAsiaTheme="minorEastAsia" w:cstheme="minorEastAsia"/>
          <w:color w:val="auto"/>
          <w:sz w:val="24"/>
        </w:rPr>
        <w:t>在中国境内完成。</w:t>
      </w:r>
    </w:p>
    <w:p w14:paraId="144F2A7A">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p>
    <w:p w14:paraId="0077BCCE">
      <w:pPr>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本公司（单位）对上述声明内容的真实性负责。如有虚假，愿承担相应法律责任。</w:t>
      </w:r>
    </w:p>
    <w:p w14:paraId="31CD7B58">
      <w:pPr>
        <w:spacing w:line="360" w:lineRule="auto"/>
        <w:rPr>
          <w:rFonts w:asciiTheme="minorEastAsia" w:hAnsiTheme="minorEastAsia" w:eastAsiaTheme="minorEastAsia" w:cstheme="minorEastAsia"/>
          <w:color w:val="auto"/>
          <w:sz w:val="24"/>
        </w:rPr>
      </w:pPr>
    </w:p>
    <w:p w14:paraId="5FA7E626">
      <w:pPr>
        <w:spacing w:line="360" w:lineRule="auto"/>
        <w:ind w:firstLine="4080" w:firstLineChars="17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单位名称（公章）：                   </w:t>
      </w:r>
    </w:p>
    <w:p w14:paraId="3456D7E9">
      <w:pPr>
        <w:spacing w:line="360" w:lineRule="auto"/>
        <w:ind w:firstLine="4080" w:firstLineChars="17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  期：     年    月    日</w:t>
      </w:r>
    </w:p>
    <w:p w14:paraId="455CF4FE">
      <w:pPr>
        <w:spacing w:line="360" w:lineRule="auto"/>
        <w:rPr>
          <w:rFonts w:asciiTheme="minorEastAsia" w:hAnsiTheme="minorEastAsia" w:eastAsiaTheme="minorEastAsia" w:cstheme="minorEastAsia"/>
          <w:color w:val="auto"/>
          <w:sz w:val="24"/>
        </w:rPr>
      </w:pPr>
    </w:p>
    <w:p w14:paraId="13358587">
      <w:pPr>
        <w:spacing w:line="360" w:lineRule="auto"/>
        <w:contextualSpacing/>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 w:val="24"/>
        </w:rPr>
        <w:t>注：</w:t>
      </w:r>
    </w:p>
    <w:p w14:paraId="2E11D62B">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1.产品如有型号，请在“产品名称”栏一并填写。</w:t>
      </w:r>
    </w:p>
    <w:p w14:paraId="4D5CD1B6">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2.生产厂名与厂址应与生产厂营业执照载明的相关信息保持一致。</w:t>
      </w:r>
    </w:p>
    <w:p w14:paraId="5646EFE7">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3.该产品的中国境内生产的组件成本占比相关要求实施前，“规定比例”栏可不填，下同。</w:t>
      </w:r>
    </w:p>
    <w:p w14:paraId="3BDABD87">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4.该产品的关键组件要求实施前，“关键组件”栏可不填，下同。</w:t>
      </w:r>
    </w:p>
    <w:p w14:paraId="712EE262">
      <w:pPr>
        <w:spacing w:line="360" w:lineRule="auto"/>
        <w:rPr>
          <w:rFonts w:asciiTheme="minorEastAsia" w:hAnsiTheme="minorEastAsia" w:eastAsiaTheme="minorEastAsia" w:cstheme="minorEastAsia"/>
          <w:color w:val="auto"/>
          <w:szCs w:val="21"/>
        </w:rPr>
        <w:sectPr>
          <w:pgSz w:w="11905" w:h="16838"/>
          <w:pgMar w:top="1417" w:right="1417" w:bottom="1417" w:left="1417" w:header="850" w:footer="992" w:gutter="0"/>
          <w:cols w:space="720" w:num="1"/>
          <w:titlePg/>
          <w:docGrid w:type="lines" w:linePitch="318" w:charSpace="0"/>
        </w:sectPr>
      </w:pPr>
      <w:r>
        <w:rPr>
          <w:rFonts w:hint="eastAsia" w:asciiTheme="minorEastAsia" w:hAnsiTheme="minorEastAsia" w:eastAsiaTheme="minorEastAsia" w:cstheme="minorEastAsia"/>
          <w:color w:val="auto"/>
          <w:szCs w:val="21"/>
        </w:rPr>
        <w:t>5.该产品的关键工序要求实施前，“关键工序”栏可不填，下同</w:t>
      </w:r>
    </w:p>
    <w:p w14:paraId="4000276D">
      <w:pPr>
        <w:spacing w:line="360" w:lineRule="auto"/>
        <w:jc w:val="center"/>
        <w:rPr>
          <w:rFonts w:ascii="宋体" w:hAnsi="宋体" w:cs="宋体"/>
          <w:b/>
          <w:bCs/>
          <w:color w:val="auto"/>
          <w:sz w:val="32"/>
          <w:szCs w:val="32"/>
        </w:rPr>
      </w:pPr>
      <w:r>
        <w:rPr>
          <w:rFonts w:hint="eastAsia" w:ascii="宋体" w:hAnsi="宋体" w:cs="宋体"/>
          <w:b/>
          <w:color w:val="auto"/>
          <w:sz w:val="44"/>
          <w:szCs w:val="44"/>
        </w:rPr>
        <w:t>质疑函</w:t>
      </w:r>
      <w:r>
        <w:rPr>
          <w:rFonts w:hint="eastAsia" w:ascii="宋体" w:hAnsi="宋体" w:cs="宋体"/>
          <w:color w:val="auto"/>
          <w:sz w:val="28"/>
          <w:szCs w:val="28"/>
        </w:rPr>
        <w:t>（格式）</w:t>
      </w:r>
    </w:p>
    <w:p w14:paraId="6CB1D73E">
      <w:pPr>
        <w:spacing w:line="360" w:lineRule="auto"/>
        <w:jc w:val="center"/>
        <w:rPr>
          <w:rFonts w:ascii="宋体" w:hAnsi="宋体" w:cs="宋体"/>
          <w:b/>
          <w:bCs/>
          <w:color w:val="auto"/>
          <w:sz w:val="32"/>
          <w:szCs w:val="32"/>
        </w:rPr>
      </w:pPr>
    </w:p>
    <w:p w14:paraId="12C5E767">
      <w:pPr>
        <w:pStyle w:val="15"/>
        <w:spacing w:line="360" w:lineRule="auto"/>
        <w:ind w:firstLine="482" w:firstLineChars="200"/>
        <w:contextualSpacing/>
        <w:rPr>
          <w:rFonts w:hAnsi="宋体" w:cs="宋体"/>
          <w:b/>
          <w:bCs/>
          <w:color w:val="auto"/>
          <w:sz w:val="24"/>
          <w:szCs w:val="24"/>
        </w:rPr>
      </w:pPr>
      <w:r>
        <w:rPr>
          <w:rFonts w:hint="eastAsia" w:hAnsi="宋体" w:cs="宋体"/>
          <w:b/>
          <w:bCs/>
          <w:color w:val="auto"/>
          <w:sz w:val="24"/>
          <w:szCs w:val="24"/>
        </w:rPr>
        <w:t>一、质疑供应商基本信息：</w:t>
      </w:r>
    </w:p>
    <w:p w14:paraId="2DA53FE7">
      <w:pPr>
        <w:pStyle w:val="15"/>
        <w:spacing w:line="360" w:lineRule="auto"/>
        <w:ind w:firstLine="480" w:firstLineChars="200"/>
        <w:contextualSpacing/>
        <w:rPr>
          <w:rFonts w:hAnsi="宋体" w:cs="宋体"/>
          <w:bCs/>
          <w:color w:val="auto"/>
          <w:sz w:val="24"/>
          <w:szCs w:val="24"/>
          <w:u w:val="single"/>
        </w:rPr>
      </w:pPr>
      <w:r>
        <w:rPr>
          <w:rFonts w:hint="eastAsia" w:hAnsi="宋体" w:cs="宋体"/>
          <w:bCs/>
          <w:color w:val="auto"/>
          <w:sz w:val="24"/>
          <w:szCs w:val="24"/>
        </w:rPr>
        <w:t>质疑供应商：</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67EC3BFB">
      <w:pPr>
        <w:pStyle w:val="15"/>
        <w:spacing w:line="360" w:lineRule="auto"/>
        <w:ind w:firstLine="480" w:firstLineChars="200"/>
        <w:contextualSpacing/>
        <w:rPr>
          <w:rFonts w:hAnsi="宋体" w:cs="宋体"/>
          <w:bCs/>
          <w:color w:val="auto"/>
          <w:sz w:val="24"/>
          <w:szCs w:val="24"/>
        </w:rPr>
      </w:pPr>
      <w:r>
        <w:rPr>
          <w:rFonts w:hint="eastAsia" w:hAnsi="宋体" w:cs="宋体"/>
          <w:bCs/>
          <w:color w:val="auto"/>
          <w:sz w:val="24"/>
          <w:szCs w:val="24"/>
        </w:rPr>
        <w:t>地址：</w:t>
      </w:r>
      <w:r>
        <w:rPr>
          <w:rFonts w:hint="eastAsia" w:hAnsi="宋体" w:cs="宋体"/>
          <w:bCs/>
          <w:color w:val="auto"/>
          <w:sz w:val="24"/>
          <w:szCs w:val="24"/>
          <w:u w:val="single"/>
        </w:rPr>
        <w:t xml:space="preserve">                                          </w:t>
      </w:r>
      <w:r>
        <w:rPr>
          <w:rFonts w:hint="eastAsia" w:hAnsi="宋体" w:cs="宋体"/>
          <w:bCs/>
          <w:color w:val="auto"/>
          <w:sz w:val="24"/>
          <w:szCs w:val="24"/>
        </w:rPr>
        <w:t>邮编：</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0F492F2A">
      <w:pPr>
        <w:pStyle w:val="15"/>
        <w:spacing w:line="360" w:lineRule="auto"/>
        <w:ind w:firstLine="480" w:firstLineChars="200"/>
        <w:contextualSpacing/>
        <w:rPr>
          <w:rFonts w:hAnsi="宋体" w:cs="宋体"/>
          <w:bCs/>
          <w:color w:val="auto"/>
          <w:sz w:val="24"/>
          <w:szCs w:val="24"/>
        </w:rPr>
      </w:pPr>
      <w:r>
        <w:rPr>
          <w:rFonts w:hint="eastAsia" w:hAnsi="宋体" w:cs="宋体"/>
          <w:bCs/>
          <w:color w:val="auto"/>
          <w:sz w:val="24"/>
          <w:szCs w:val="24"/>
        </w:rPr>
        <w:t>联系人：</w:t>
      </w:r>
      <w:r>
        <w:rPr>
          <w:rFonts w:hint="eastAsia" w:hAnsi="宋体" w:cs="宋体"/>
          <w:bCs/>
          <w:color w:val="auto"/>
          <w:sz w:val="24"/>
          <w:szCs w:val="24"/>
          <w:u w:val="single"/>
        </w:rPr>
        <w:t xml:space="preserve">                     </w:t>
      </w:r>
      <w:r>
        <w:rPr>
          <w:rFonts w:hint="eastAsia" w:hAnsi="宋体" w:cs="宋体"/>
          <w:bCs/>
          <w:color w:val="auto"/>
          <w:sz w:val="24"/>
          <w:szCs w:val="24"/>
        </w:rPr>
        <w:t>联系电话：</w:t>
      </w:r>
      <w:r>
        <w:rPr>
          <w:rFonts w:hint="eastAsia" w:hAnsi="宋体" w:cs="宋体"/>
          <w:bCs/>
          <w:color w:val="auto"/>
          <w:sz w:val="24"/>
          <w:szCs w:val="24"/>
          <w:u w:val="single"/>
        </w:rPr>
        <w:t xml:space="preserve">                 </w:t>
      </w:r>
    </w:p>
    <w:p w14:paraId="32D4A61C">
      <w:pPr>
        <w:pStyle w:val="15"/>
        <w:spacing w:line="360" w:lineRule="auto"/>
        <w:ind w:firstLine="480" w:firstLineChars="200"/>
        <w:contextualSpacing/>
        <w:rPr>
          <w:rFonts w:hAnsi="宋体" w:cs="宋体"/>
          <w:bCs/>
          <w:color w:val="auto"/>
          <w:sz w:val="24"/>
          <w:szCs w:val="24"/>
        </w:rPr>
      </w:pPr>
      <w:r>
        <w:rPr>
          <w:rFonts w:hint="eastAsia" w:hAnsi="宋体" w:cs="宋体"/>
          <w:bCs/>
          <w:color w:val="auto"/>
          <w:sz w:val="24"/>
          <w:szCs w:val="24"/>
        </w:rPr>
        <w:t>授权代表：</w:t>
      </w:r>
      <w:r>
        <w:rPr>
          <w:rFonts w:hint="eastAsia" w:hAnsi="宋体" w:cs="宋体"/>
          <w:bCs/>
          <w:color w:val="auto"/>
          <w:sz w:val="24"/>
          <w:szCs w:val="24"/>
          <w:u w:val="single"/>
        </w:rPr>
        <w:t xml:space="preserve">                      </w:t>
      </w:r>
    </w:p>
    <w:p w14:paraId="6C62199A">
      <w:pPr>
        <w:pStyle w:val="15"/>
        <w:spacing w:line="360" w:lineRule="auto"/>
        <w:ind w:firstLine="480" w:firstLineChars="200"/>
        <w:contextualSpacing/>
        <w:rPr>
          <w:rFonts w:hAnsi="宋体" w:cs="宋体"/>
          <w:bCs/>
          <w:color w:val="auto"/>
          <w:sz w:val="24"/>
          <w:szCs w:val="24"/>
          <w:u w:val="single"/>
        </w:rPr>
      </w:pPr>
      <w:r>
        <w:rPr>
          <w:rFonts w:hint="eastAsia" w:hAnsi="宋体" w:cs="宋体"/>
          <w:bCs/>
          <w:color w:val="auto"/>
          <w:sz w:val="24"/>
          <w:szCs w:val="24"/>
        </w:rPr>
        <w:t>联系电话：</w:t>
      </w:r>
      <w:r>
        <w:rPr>
          <w:rFonts w:hint="eastAsia" w:hAnsi="宋体" w:cs="宋体"/>
          <w:bCs/>
          <w:color w:val="auto"/>
          <w:sz w:val="24"/>
          <w:szCs w:val="24"/>
          <w:u w:val="single"/>
        </w:rPr>
        <w:t xml:space="preserve">                      </w:t>
      </w:r>
    </w:p>
    <w:p w14:paraId="18D7E03E">
      <w:pPr>
        <w:pStyle w:val="15"/>
        <w:spacing w:line="360" w:lineRule="auto"/>
        <w:ind w:firstLine="480" w:firstLineChars="200"/>
        <w:contextualSpacing/>
        <w:rPr>
          <w:rFonts w:hAnsi="宋体" w:cs="宋体"/>
          <w:bCs/>
          <w:color w:val="auto"/>
          <w:sz w:val="24"/>
          <w:szCs w:val="24"/>
        </w:rPr>
      </w:pPr>
      <w:r>
        <w:rPr>
          <w:rFonts w:hint="eastAsia" w:hAnsi="宋体" w:cs="宋体"/>
          <w:bCs/>
          <w:color w:val="auto"/>
          <w:sz w:val="24"/>
          <w:szCs w:val="24"/>
        </w:rPr>
        <w:t>地址：</w:t>
      </w:r>
      <w:r>
        <w:rPr>
          <w:rFonts w:hint="eastAsia" w:hAnsi="宋体" w:cs="宋体"/>
          <w:bCs/>
          <w:color w:val="auto"/>
          <w:sz w:val="24"/>
          <w:szCs w:val="24"/>
          <w:u w:val="single"/>
        </w:rPr>
        <w:t xml:space="preserve">                 </w:t>
      </w:r>
      <w:r>
        <w:rPr>
          <w:rFonts w:hint="eastAsia" w:hAnsi="宋体" w:cs="宋体"/>
          <w:bCs/>
          <w:color w:val="auto"/>
          <w:sz w:val="24"/>
          <w:szCs w:val="24"/>
        </w:rPr>
        <w:t>邮编：</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42124571">
      <w:pPr>
        <w:pStyle w:val="15"/>
        <w:spacing w:line="360" w:lineRule="auto"/>
        <w:ind w:firstLine="482" w:firstLineChars="200"/>
        <w:contextualSpacing/>
        <w:rPr>
          <w:rFonts w:hAnsi="宋体" w:cs="宋体"/>
          <w:b/>
          <w:bCs/>
          <w:color w:val="auto"/>
          <w:sz w:val="24"/>
          <w:szCs w:val="24"/>
        </w:rPr>
      </w:pPr>
      <w:r>
        <w:rPr>
          <w:rFonts w:hint="eastAsia" w:hAnsi="宋体" w:cs="宋体"/>
          <w:b/>
          <w:bCs/>
          <w:color w:val="auto"/>
          <w:sz w:val="24"/>
          <w:szCs w:val="24"/>
        </w:rPr>
        <w:t>二、质疑项目基本情况：</w:t>
      </w:r>
    </w:p>
    <w:p w14:paraId="15A925E2">
      <w:pPr>
        <w:pStyle w:val="15"/>
        <w:spacing w:line="360" w:lineRule="auto"/>
        <w:ind w:firstLine="472" w:firstLineChars="197"/>
        <w:contextualSpacing/>
        <w:rPr>
          <w:rFonts w:hAnsi="宋体" w:cs="宋体"/>
          <w:color w:val="auto"/>
          <w:sz w:val="24"/>
          <w:szCs w:val="24"/>
        </w:rPr>
      </w:pPr>
      <w:r>
        <w:rPr>
          <w:rFonts w:hint="eastAsia" w:hAnsi="宋体" w:cs="宋体"/>
          <w:bCs/>
          <w:color w:val="auto"/>
          <w:sz w:val="24"/>
          <w:szCs w:val="24"/>
        </w:rPr>
        <w:t>质疑</w:t>
      </w:r>
      <w:r>
        <w:rPr>
          <w:rFonts w:hint="eastAsia" w:hAnsi="宋体" w:cs="宋体"/>
          <w:color w:val="auto"/>
          <w:sz w:val="24"/>
          <w:szCs w:val="24"/>
        </w:rPr>
        <w:t>项目的名称：</w:t>
      </w:r>
      <w:r>
        <w:rPr>
          <w:rFonts w:hint="eastAsia" w:hAnsi="宋体" w:cs="宋体"/>
          <w:bCs/>
          <w:color w:val="auto"/>
          <w:sz w:val="24"/>
          <w:szCs w:val="24"/>
          <w:u w:val="single"/>
        </w:rPr>
        <w:t xml:space="preserve">                                     </w:t>
      </w:r>
    </w:p>
    <w:p w14:paraId="0BDC142F">
      <w:pPr>
        <w:pStyle w:val="15"/>
        <w:spacing w:line="360" w:lineRule="auto"/>
        <w:ind w:firstLine="472" w:firstLineChars="197"/>
        <w:contextualSpacing/>
        <w:rPr>
          <w:rFonts w:hAnsi="宋体" w:cs="宋体"/>
          <w:color w:val="auto"/>
          <w:sz w:val="24"/>
          <w:szCs w:val="24"/>
        </w:rPr>
      </w:pPr>
      <w:r>
        <w:rPr>
          <w:rFonts w:hint="eastAsia" w:hAnsi="宋体" w:cs="宋体"/>
          <w:bCs/>
          <w:color w:val="auto"/>
          <w:sz w:val="24"/>
          <w:szCs w:val="24"/>
        </w:rPr>
        <w:t>质疑</w:t>
      </w:r>
      <w:r>
        <w:rPr>
          <w:rFonts w:hint="eastAsia" w:hAnsi="宋体" w:cs="宋体"/>
          <w:color w:val="auto"/>
          <w:sz w:val="24"/>
          <w:szCs w:val="24"/>
        </w:rPr>
        <w:t>项目的编号：</w:t>
      </w:r>
      <w:r>
        <w:rPr>
          <w:rFonts w:hint="eastAsia" w:hAnsi="宋体" w:cs="宋体"/>
          <w:bCs/>
          <w:color w:val="auto"/>
          <w:sz w:val="24"/>
          <w:szCs w:val="24"/>
          <w:u w:val="single"/>
        </w:rPr>
        <w:t xml:space="preserve">                                     </w:t>
      </w:r>
    </w:p>
    <w:p w14:paraId="01DF433A">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采购人名称：</w:t>
      </w:r>
      <w:r>
        <w:rPr>
          <w:rFonts w:hint="eastAsia" w:hAnsi="宋体" w:cs="宋体"/>
          <w:bCs/>
          <w:color w:val="auto"/>
          <w:sz w:val="24"/>
          <w:szCs w:val="24"/>
          <w:u w:val="single"/>
        </w:rPr>
        <w:t xml:space="preserve">                                         </w:t>
      </w:r>
    </w:p>
    <w:p w14:paraId="505E1311">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质疑事项：</w:t>
      </w:r>
    </w:p>
    <w:p w14:paraId="699C9DDF">
      <w:pPr>
        <w:pStyle w:val="15"/>
        <w:spacing w:line="360" w:lineRule="auto"/>
        <w:ind w:firstLine="352" w:firstLineChars="147"/>
        <w:contextualSpacing/>
        <w:rPr>
          <w:rFonts w:hAnsi="宋体" w:cs="宋体"/>
          <w:color w:val="auto"/>
          <w:sz w:val="24"/>
          <w:szCs w:val="24"/>
        </w:rPr>
      </w:pPr>
      <w:r>
        <w:rPr>
          <w:rFonts w:hint="eastAsia" w:hAnsi="宋体" w:cs="宋体"/>
          <w:color w:val="auto"/>
          <w:sz w:val="24"/>
          <w:szCs w:val="24"/>
        </w:rPr>
        <w:t>□采购文件   采购文件获取日期：</w:t>
      </w:r>
      <w:r>
        <w:rPr>
          <w:rFonts w:hint="eastAsia" w:hAnsi="宋体" w:cs="宋体"/>
          <w:bCs/>
          <w:color w:val="auto"/>
          <w:sz w:val="24"/>
          <w:szCs w:val="24"/>
          <w:u w:val="single"/>
        </w:rPr>
        <w:t xml:space="preserve">                                   </w:t>
      </w:r>
    </w:p>
    <w:p w14:paraId="28421396">
      <w:pPr>
        <w:pStyle w:val="15"/>
        <w:spacing w:line="360" w:lineRule="auto"/>
        <w:ind w:firstLine="352" w:firstLineChars="147"/>
        <w:contextualSpacing/>
        <w:rPr>
          <w:rFonts w:hAnsi="宋体" w:cs="宋体"/>
          <w:color w:val="auto"/>
          <w:sz w:val="24"/>
          <w:szCs w:val="24"/>
        </w:rPr>
      </w:pPr>
      <w:r>
        <w:rPr>
          <w:rFonts w:hint="eastAsia" w:hAnsi="宋体" w:cs="宋体"/>
          <w:color w:val="auto"/>
          <w:sz w:val="24"/>
          <w:szCs w:val="24"/>
        </w:rPr>
        <w:t xml:space="preserve">□采购过程   </w:t>
      </w:r>
    </w:p>
    <w:p w14:paraId="6B6D9A9A">
      <w:pPr>
        <w:pStyle w:val="15"/>
        <w:spacing w:line="360" w:lineRule="auto"/>
        <w:ind w:firstLine="352" w:firstLineChars="147"/>
        <w:contextualSpacing/>
        <w:rPr>
          <w:rFonts w:hAnsi="宋体" w:cs="宋体"/>
          <w:bCs/>
          <w:color w:val="auto"/>
          <w:sz w:val="24"/>
          <w:szCs w:val="24"/>
          <w:u w:val="single"/>
        </w:rPr>
      </w:pPr>
      <w:r>
        <w:rPr>
          <w:rFonts w:hint="eastAsia" w:hAnsi="宋体" w:cs="宋体"/>
          <w:color w:val="auto"/>
          <w:sz w:val="24"/>
          <w:szCs w:val="24"/>
        </w:rPr>
        <w:t xml:space="preserve">□成交结果   </w:t>
      </w:r>
    </w:p>
    <w:p w14:paraId="47D91B26">
      <w:pPr>
        <w:pStyle w:val="15"/>
        <w:spacing w:line="360" w:lineRule="auto"/>
        <w:ind w:firstLine="472" w:firstLineChars="196"/>
        <w:contextualSpacing/>
        <w:rPr>
          <w:rFonts w:hAnsi="宋体" w:cs="宋体"/>
          <w:b/>
          <w:color w:val="auto"/>
          <w:sz w:val="24"/>
          <w:szCs w:val="24"/>
        </w:rPr>
      </w:pPr>
      <w:r>
        <w:rPr>
          <w:rFonts w:hint="eastAsia" w:hAnsi="宋体" w:cs="宋体"/>
          <w:b/>
          <w:color w:val="auto"/>
          <w:sz w:val="24"/>
          <w:szCs w:val="24"/>
        </w:rPr>
        <w:t>三、质疑事项具体内容</w:t>
      </w:r>
    </w:p>
    <w:p w14:paraId="19FE94F8">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质疑事项1：</w:t>
      </w:r>
      <w:r>
        <w:rPr>
          <w:rFonts w:hint="eastAsia" w:hAnsi="宋体" w:cs="宋体"/>
          <w:bCs/>
          <w:color w:val="auto"/>
          <w:sz w:val="24"/>
          <w:szCs w:val="24"/>
          <w:u w:val="single"/>
        </w:rPr>
        <w:t xml:space="preserve">                                                                    </w:t>
      </w:r>
    </w:p>
    <w:p w14:paraId="1FF18B0B">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事实依据：</w:t>
      </w:r>
      <w:r>
        <w:rPr>
          <w:rFonts w:hint="eastAsia" w:hAnsi="宋体" w:cs="宋体"/>
          <w:bCs/>
          <w:color w:val="auto"/>
          <w:sz w:val="24"/>
          <w:szCs w:val="24"/>
          <w:u w:val="single"/>
        </w:rPr>
        <w:t xml:space="preserve">                                                                      </w:t>
      </w:r>
    </w:p>
    <w:p w14:paraId="0DF43928">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法律依据：</w:t>
      </w:r>
      <w:r>
        <w:rPr>
          <w:rFonts w:hint="eastAsia" w:hAnsi="宋体" w:cs="宋体"/>
          <w:color w:val="auto"/>
          <w:sz w:val="24"/>
          <w:szCs w:val="24"/>
          <w:u w:val="single"/>
        </w:rPr>
        <w:t xml:space="preserve">                                                        </w:t>
      </w:r>
      <w:r>
        <w:rPr>
          <w:rFonts w:hint="eastAsia" w:hAnsi="宋体" w:cs="宋体"/>
          <w:bCs/>
          <w:color w:val="auto"/>
          <w:sz w:val="24"/>
          <w:szCs w:val="24"/>
          <w:u w:val="single"/>
        </w:rPr>
        <w:t xml:space="preserve">               </w:t>
      </w:r>
    </w:p>
    <w:p w14:paraId="643895B5">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质疑事项2</w:t>
      </w:r>
    </w:p>
    <w:p w14:paraId="296903D8">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w:t>
      </w:r>
    </w:p>
    <w:p w14:paraId="55BC84D9">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四、与质疑事项相关的质疑请求：</w:t>
      </w:r>
    </w:p>
    <w:p w14:paraId="4A6ACB8E">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请求：</w:t>
      </w:r>
      <w:r>
        <w:rPr>
          <w:rFonts w:hint="eastAsia" w:hAnsi="宋体" w:cs="宋体"/>
          <w:bCs/>
          <w:color w:val="auto"/>
          <w:sz w:val="24"/>
          <w:szCs w:val="24"/>
          <w:u w:val="single"/>
        </w:rPr>
        <w:t xml:space="preserve">                                                                </w:t>
      </w:r>
    </w:p>
    <w:p w14:paraId="1DD6879B">
      <w:pPr>
        <w:pStyle w:val="15"/>
        <w:spacing w:line="360" w:lineRule="auto"/>
        <w:ind w:firstLine="352" w:firstLineChars="147"/>
        <w:contextualSpacing/>
        <w:rPr>
          <w:rFonts w:hAnsi="宋体" w:cs="宋体"/>
          <w:color w:val="auto"/>
          <w:sz w:val="24"/>
          <w:szCs w:val="24"/>
        </w:rPr>
      </w:pPr>
    </w:p>
    <w:p w14:paraId="46A2DB17">
      <w:pPr>
        <w:pStyle w:val="15"/>
        <w:spacing w:line="360" w:lineRule="auto"/>
        <w:ind w:firstLine="472" w:firstLineChars="197"/>
        <w:contextualSpacing/>
        <w:rPr>
          <w:rFonts w:hAnsi="宋体" w:cs="宋体"/>
          <w:color w:val="auto"/>
          <w:sz w:val="24"/>
          <w:szCs w:val="24"/>
          <w:u w:val="single"/>
        </w:rPr>
      </w:pPr>
      <w:r>
        <w:rPr>
          <w:rFonts w:hint="eastAsia" w:hAnsi="宋体" w:cs="宋体"/>
          <w:color w:val="auto"/>
          <w:sz w:val="24"/>
          <w:szCs w:val="24"/>
        </w:rPr>
        <w:t>签字（签章）：</w:t>
      </w:r>
      <w:r>
        <w:rPr>
          <w:rFonts w:hint="eastAsia" w:hAnsi="宋体" w:cs="宋体"/>
          <w:color w:val="auto"/>
          <w:sz w:val="24"/>
          <w:szCs w:val="24"/>
          <w:u w:val="single"/>
        </w:rPr>
        <w:t xml:space="preserve"> </w:t>
      </w:r>
      <w:r>
        <w:rPr>
          <w:rFonts w:hAnsi="宋体" w:cs="宋体"/>
          <w:color w:val="auto"/>
          <w:sz w:val="24"/>
          <w:szCs w:val="24"/>
          <w:u w:val="single"/>
        </w:rPr>
        <w:t xml:space="preserve">              </w:t>
      </w:r>
      <w:r>
        <w:rPr>
          <w:rFonts w:hint="eastAsia" w:hAnsi="宋体" w:cs="宋体"/>
          <w:color w:val="auto"/>
          <w:sz w:val="24"/>
          <w:szCs w:val="24"/>
        </w:rPr>
        <w:t xml:space="preserve">                     公章：</w:t>
      </w:r>
      <w:r>
        <w:rPr>
          <w:rFonts w:hint="eastAsia" w:hAnsi="宋体" w:cs="宋体"/>
          <w:color w:val="auto"/>
          <w:sz w:val="24"/>
          <w:szCs w:val="24"/>
          <w:u w:val="single"/>
        </w:rPr>
        <w:t xml:space="preserve"> </w:t>
      </w:r>
      <w:r>
        <w:rPr>
          <w:rFonts w:hAnsi="宋体" w:cs="宋体"/>
          <w:color w:val="auto"/>
          <w:sz w:val="24"/>
          <w:szCs w:val="24"/>
          <w:u w:val="single"/>
        </w:rPr>
        <w:t xml:space="preserve">                 </w:t>
      </w:r>
    </w:p>
    <w:p w14:paraId="0A5CF352">
      <w:pPr>
        <w:pStyle w:val="15"/>
        <w:spacing w:line="360" w:lineRule="auto"/>
        <w:ind w:firstLine="472" w:firstLineChars="197"/>
        <w:contextualSpacing/>
        <w:rPr>
          <w:rFonts w:hAnsi="宋体" w:cs="宋体"/>
          <w:color w:val="auto"/>
          <w:sz w:val="24"/>
          <w:szCs w:val="24"/>
        </w:rPr>
      </w:pPr>
      <w:r>
        <w:rPr>
          <w:rFonts w:hint="eastAsia" w:hAnsi="宋体" w:cs="宋体"/>
          <w:color w:val="auto"/>
          <w:sz w:val="24"/>
          <w:szCs w:val="24"/>
        </w:rPr>
        <w:t>日期：</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p>
    <w:p w14:paraId="63CD6CAD">
      <w:pPr>
        <w:pStyle w:val="15"/>
        <w:spacing w:line="360" w:lineRule="auto"/>
        <w:contextualSpacing/>
        <w:rPr>
          <w:rFonts w:hAnsi="宋体" w:cs="宋体"/>
          <w:b/>
          <w:color w:val="auto"/>
          <w:sz w:val="24"/>
          <w:szCs w:val="24"/>
        </w:rPr>
      </w:pPr>
    </w:p>
    <w:p w14:paraId="0E821DDD">
      <w:pPr>
        <w:pStyle w:val="15"/>
        <w:spacing w:line="360" w:lineRule="auto"/>
        <w:contextualSpacing/>
        <w:rPr>
          <w:rFonts w:ascii="楷体" w:hAnsi="楷体" w:eastAsia="楷体" w:cs="宋体"/>
          <w:b/>
          <w:color w:val="auto"/>
          <w:sz w:val="24"/>
          <w:szCs w:val="24"/>
        </w:rPr>
      </w:pPr>
      <w:r>
        <w:rPr>
          <w:rFonts w:hint="eastAsia" w:ascii="楷体" w:hAnsi="楷体" w:eastAsia="楷体" w:cs="宋体"/>
          <w:b/>
          <w:color w:val="auto"/>
          <w:sz w:val="24"/>
          <w:szCs w:val="24"/>
        </w:rPr>
        <w:t>说明：</w:t>
      </w:r>
    </w:p>
    <w:p w14:paraId="6D4255CF">
      <w:pPr>
        <w:pStyle w:val="15"/>
        <w:spacing w:line="360" w:lineRule="auto"/>
        <w:ind w:firstLine="354" w:firstLineChars="147"/>
        <w:contextualSpacing/>
        <w:rPr>
          <w:rFonts w:ascii="楷体" w:hAnsi="楷体" w:eastAsia="楷体" w:cs="宋体"/>
          <w:b/>
          <w:bCs/>
          <w:color w:val="auto"/>
          <w:sz w:val="24"/>
          <w:szCs w:val="24"/>
        </w:rPr>
      </w:pPr>
      <w:r>
        <w:rPr>
          <w:rFonts w:ascii="楷体" w:hAnsi="楷体" w:eastAsia="楷体" w:cs="宋体"/>
          <w:b/>
          <w:color w:val="auto"/>
          <w:sz w:val="24"/>
          <w:szCs w:val="24"/>
        </w:rPr>
        <w:t>1.供应商提出质疑时，应提交质疑函和必要的证明材料</w:t>
      </w:r>
      <w:r>
        <w:rPr>
          <w:rFonts w:hint="eastAsia" w:ascii="楷体" w:hAnsi="楷体" w:eastAsia="楷体" w:cs="宋体"/>
          <w:b/>
          <w:bCs/>
          <w:color w:val="auto"/>
          <w:sz w:val="24"/>
          <w:szCs w:val="24"/>
        </w:rPr>
        <w:t>。</w:t>
      </w:r>
    </w:p>
    <w:p w14:paraId="4EE238F8">
      <w:pPr>
        <w:pStyle w:val="15"/>
        <w:spacing w:line="360" w:lineRule="auto"/>
        <w:ind w:firstLine="354" w:firstLineChars="147"/>
        <w:contextualSpacing/>
        <w:rPr>
          <w:rFonts w:ascii="楷体" w:hAnsi="楷体" w:eastAsia="楷体" w:cs="宋体"/>
          <w:b/>
          <w:color w:val="auto"/>
          <w:sz w:val="24"/>
          <w:szCs w:val="24"/>
        </w:rPr>
      </w:pPr>
      <w:r>
        <w:rPr>
          <w:rFonts w:ascii="楷体" w:hAnsi="楷体" w:eastAsia="楷体" w:cs="宋体"/>
          <w:b/>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680DE02">
      <w:pPr>
        <w:pStyle w:val="15"/>
        <w:spacing w:line="360" w:lineRule="auto"/>
        <w:ind w:firstLine="354" w:firstLineChars="147"/>
        <w:contextualSpacing/>
        <w:rPr>
          <w:rFonts w:ascii="楷体" w:hAnsi="楷体" w:eastAsia="楷体" w:cs="宋体"/>
          <w:b/>
          <w:color w:val="auto"/>
          <w:sz w:val="24"/>
          <w:szCs w:val="24"/>
        </w:rPr>
      </w:pPr>
      <w:r>
        <w:rPr>
          <w:rFonts w:ascii="楷体" w:hAnsi="楷体" w:eastAsia="楷体" w:cs="宋体"/>
          <w:b/>
          <w:color w:val="auto"/>
          <w:sz w:val="24"/>
          <w:szCs w:val="24"/>
        </w:rPr>
        <w:t>3.质疑函的质疑事项应具体、明确，并有必要的事实依据和法律依据。</w:t>
      </w:r>
    </w:p>
    <w:p w14:paraId="3D1F7124">
      <w:pPr>
        <w:pStyle w:val="15"/>
        <w:spacing w:line="360" w:lineRule="auto"/>
        <w:ind w:firstLine="354" w:firstLineChars="147"/>
        <w:contextualSpacing/>
        <w:rPr>
          <w:rFonts w:ascii="楷体" w:hAnsi="楷体" w:eastAsia="楷体" w:cs="宋体"/>
          <w:b/>
          <w:color w:val="auto"/>
          <w:sz w:val="24"/>
          <w:szCs w:val="24"/>
        </w:rPr>
      </w:pPr>
      <w:r>
        <w:rPr>
          <w:rFonts w:ascii="楷体" w:hAnsi="楷体" w:eastAsia="楷体" w:cs="宋体"/>
          <w:b/>
          <w:color w:val="auto"/>
          <w:sz w:val="24"/>
          <w:szCs w:val="24"/>
        </w:rPr>
        <w:t>4.质疑函的质疑请求应与质疑事项相关。</w:t>
      </w:r>
    </w:p>
    <w:p w14:paraId="5B9E47FB">
      <w:pPr>
        <w:pStyle w:val="15"/>
        <w:spacing w:line="360" w:lineRule="auto"/>
        <w:ind w:firstLine="354" w:firstLineChars="147"/>
        <w:contextualSpacing/>
        <w:rPr>
          <w:rFonts w:ascii="楷体" w:hAnsi="楷体" w:eastAsia="楷体" w:cs="宋体"/>
          <w:b/>
          <w:color w:val="auto"/>
        </w:rPr>
      </w:pPr>
      <w:r>
        <w:rPr>
          <w:rFonts w:ascii="楷体" w:hAnsi="楷体" w:eastAsia="楷体" w:cs="宋体"/>
          <w:b/>
          <w:color w:val="auto"/>
          <w:sz w:val="24"/>
          <w:szCs w:val="24"/>
        </w:rPr>
        <w:t>5.质疑供应商为法人或者其他组织的，质疑函应由法定代表人、主要负责人，或者其授权代表签字或者盖章，并加盖公章。</w:t>
      </w:r>
    </w:p>
    <w:p w14:paraId="101D7036">
      <w:pPr>
        <w:pStyle w:val="15"/>
        <w:snapToGrid w:val="0"/>
        <w:spacing w:line="360" w:lineRule="auto"/>
        <w:rPr>
          <w:rFonts w:hAnsi="宋体" w:cs="宋体"/>
          <w:b/>
          <w:color w:val="auto"/>
          <w:sz w:val="24"/>
          <w:szCs w:val="24"/>
        </w:rPr>
      </w:pPr>
    </w:p>
    <w:p w14:paraId="57A79B12">
      <w:pPr>
        <w:spacing w:line="360" w:lineRule="auto"/>
        <w:rPr>
          <w:rFonts w:ascii="宋体" w:hAnsi="宋体" w:cs="宋体"/>
          <w:color w:val="auto"/>
        </w:rPr>
      </w:pPr>
      <w:r>
        <w:rPr>
          <w:rFonts w:hint="eastAsia" w:ascii="宋体" w:hAnsi="宋体" w:cs="宋体"/>
          <w:color w:val="auto"/>
        </w:rPr>
        <w:br w:type="page"/>
      </w:r>
    </w:p>
    <w:p w14:paraId="7605B410">
      <w:pPr>
        <w:spacing w:line="360" w:lineRule="auto"/>
        <w:jc w:val="center"/>
        <w:rPr>
          <w:rFonts w:ascii="宋体" w:hAnsi="宋体" w:cs="宋体"/>
          <w:color w:val="auto"/>
          <w:sz w:val="44"/>
          <w:szCs w:val="44"/>
        </w:rPr>
      </w:pPr>
      <w:r>
        <w:rPr>
          <w:rFonts w:hint="eastAsia" w:ascii="宋体" w:hAnsi="宋体" w:cs="宋体"/>
          <w:b/>
          <w:color w:val="auto"/>
          <w:sz w:val="44"/>
          <w:szCs w:val="44"/>
        </w:rPr>
        <w:t>投诉书</w:t>
      </w:r>
      <w:r>
        <w:rPr>
          <w:rFonts w:hint="eastAsia" w:ascii="宋体" w:hAnsi="宋体" w:cs="宋体"/>
          <w:color w:val="auto"/>
          <w:sz w:val="28"/>
          <w:szCs w:val="28"/>
        </w:rPr>
        <w:t>（格式）</w:t>
      </w:r>
    </w:p>
    <w:p w14:paraId="51EF477D">
      <w:pPr>
        <w:pStyle w:val="15"/>
        <w:snapToGrid w:val="0"/>
        <w:spacing w:line="360" w:lineRule="auto"/>
        <w:ind w:firstLine="482" w:firstLineChars="200"/>
        <w:rPr>
          <w:rFonts w:hAnsi="宋体" w:cs="宋体"/>
          <w:b/>
          <w:bCs/>
          <w:color w:val="auto"/>
          <w:sz w:val="24"/>
          <w:szCs w:val="24"/>
        </w:rPr>
      </w:pPr>
      <w:r>
        <w:rPr>
          <w:rFonts w:hint="eastAsia" w:hAnsi="宋体" w:cs="宋体"/>
          <w:b/>
          <w:bCs/>
          <w:color w:val="auto"/>
          <w:sz w:val="24"/>
          <w:szCs w:val="24"/>
        </w:rPr>
        <w:t>一、投诉相关主体基本情况：</w:t>
      </w:r>
    </w:p>
    <w:p w14:paraId="211217F2">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供应商：</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1FF5DCC3">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地址：</w:t>
      </w:r>
      <w:r>
        <w:rPr>
          <w:rFonts w:hint="eastAsia" w:hAnsi="宋体" w:cs="宋体"/>
          <w:bCs/>
          <w:color w:val="auto"/>
          <w:sz w:val="24"/>
          <w:szCs w:val="24"/>
          <w:u w:val="single"/>
        </w:rPr>
        <w:t xml:space="preserve">                                          </w:t>
      </w:r>
      <w:r>
        <w:rPr>
          <w:rFonts w:hint="eastAsia" w:hAnsi="宋体" w:cs="宋体"/>
          <w:bCs/>
          <w:color w:val="auto"/>
          <w:sz w:val="24"/>
          <w:szCs w:val="24"/>
        </w:rPr>
        <w:t>邮编：</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11BC02F5">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法定代表人/主要负责人：</w:t>
      </w:r>
      <w:r>
        <w:rPr>
          <w:rFonts w:hint="eastAsia" w:hAnsi="宋体" w:cs="宋体"/>
          <w:bCs/>
          <w:color w:val="auto"/>
          <w:sz w:val="24"/>
          <w:szCs w:val="24"/>
          <w:u w:val="single"/>
        </w:rPr>
        <w:t xml:space="preserve">                                                         </w:t>
      </w:r>
    </w:p>
    <w:p w14:paraId="240CC888">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联系电话：</w:t>
      </w:r>
      <w:r>
        <w:rPr>
          <w:rFonts w:hint="eastAsia" w:hAnsi="宋体" w:cs="宋体"/>
          <w:bCs/>
          <w:color w:val="auto"/>
          <w:sz w:val="24"/>
          <w:szCs w:val="24"/>
          <w:u w:val="single"/>
        </w:rPr>
        <w:t xml:space="preserve">                                         </w:t>
      </w:r>
    </w:p>
    <w:p w14:paraId="77E06907">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授权代表：</w:t>
      </w:r>
      <w:r>
        <w:rPr>
          <w:rFonts w:hint="eastAsia" w:hAnsi="宋体" w:cs="宋体"/>
          <w:bCs/>
          <w:color w:val="auto"/>
          <w:sz w:val="24"/>
          <w:szCs w:val="24"/>
          <w:u w:val="single"/>
        </w:rPr>
        <w:t xml:space="preserve">                                         </w:t>
      </w:r>
      <w:r>
        <w:rPr>
          <w:rFonts w:hint="eastAsia" w:hAnsi="宋体" w:cs="宋体"/>
          <w:bCs/>
          <w:color w:val="auto"/>
          <w:sz w:val="24"/>
          <w:szCs w:val="24"/>
        </w:rPr>
        <w:t>联系电话：</w:t>
      </w:r>
      <w:r>
        <w:rPr>
          <w:rFonts w:hint="eastAsia" w:hAnsi="宋体" w:cs="宋体"/>
          <w:bCs/>
          <w:color w:val="auto"/>
          <w:sz w:val="24"/>
          <w:szCs w:val="24"/>
          <w:u w:val="single"/>
        </w:rPr>
        <w:t xml:space="preserve">                   </w:t>
      </w:r>
    </w:p>
    <w:p w14:paraId="0A74B7BB">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地址：</w:t>
      </w:r>
      <w:r>
        <w:rPr>
          <w:rFonts w:hint="eastAsia" w:hAnsi="宋体" w:cs="宋体"/>
          <w:bCs/>
          <w:color w:val="auto"/>
          <w:sz w:val="24"/>
          <w:szCs w:val="24"/>
          <w:u w:val="single"/>
        </w:rPr>
        <w:t xml:space="preserve">                                                            </w:t>
      </w:r>
    </w:p>
    <w:p w14:paraId="7592B82D">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邮编：</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64A73807">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被投诉人1：</w:t>
      </w:r>
    </w:p>
    <w:p w14:paraId="2DD6A3FD">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地址：</w:t>
      </w:r>
      <w:r>
        <w:rPr>
          <w:rFonts w:hint="eastAsia" w:hAnsi="宋体" w:cs="宋体"/>
          <w:bCs/>
          <w:color w:val="auto"/>
          <w:sz w:val="24"/>
          <w:szCs w:val="24"/>
          <w:u w:val="single"/>
        </w:rPr>
        <w:t xml:space="preserve">                                                            </w:t>
      </w:r>
    </w:p>
    <w:p w14:paraId="46B71CF9">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邮编：</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117C3DA2">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联系人：</w:t>
      </w:r>
      <w:r>
        <w:rPr>
          <w:rFonts w:hint="eastAsia" w:hAnsi="宋体" w:cs="宋体"/>
          <w:bCs/>
          <w:color w:val="auto"/>
          <w:sz w:val="24"/>
          <w:szCs w:val="24"/>
          <w:u w:val="single"/>
        </w:rPr>
        <w:t xml:space="preserve">                                                </w:t>
      </w:r>
      <w:r>
        <w:rPr>
          <w:rFonts w:hint="eastAsia" w:hAnsi="宋体" w:cs="宋体"/>
          <w:bCs/>
          <w:color w:val="auto"/>
          <w:sz w:val="24"/>
          <w:szCs w:val="24"/>
        </w:rPr>
        <w:t>联系电话：</w:t>
      </w:r>
      <w:r>
        <w:rPr>
          <w:rFonts w:hint="eastAsia" w:hAnsi="宋体" w:cs="宋体"/>
          <w:bCs/>
          <w:color w:val="auto"/>
          <w:sz w:val="24"/>
          <w:szCs w:val="24"/>
          <w:u w:val="single"/>
        </w:rPr>
        <w:t xml:space="preserve">                </w:t>
      </w:r>
    </w:p>
    <w:p w14:paraId="22C2FD84">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被投诉人2：</w:t>
      </w:r>
    </w:p>
    <w:p w14:paraId="265698CF">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w:t>
      </w:r>
    </w:p>
    <w:p w14:paraId="61A6075E">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相关供应商：</w:t>
      </w:r>
      <w:r>
        <w:rPr>
          <w:rFonts w:hint="eastAsia" w:hAnsi="宋体" w:cs="宋体"/>
          <w:bCs/>
          <w:color w:val="auto"/>
          <w:sz w:val="24"/>
          <w:szCs w:val="24"/>
          <w:u w:val="single"/>
        </w:rPr>
        <w:t xml:space="preserve">                                                                       </w:t>
      </w:r>
    </w:p>
    <w:p w14:paraId="05F17B03">
      <w:pPr>
        <w:pStyle w:val="15"/>
        <w:snapToGrid w:val="0"/>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地址：</w:t>
      </w:r>
      <w:r>
        <w:rPr>
          <w:rFonts w:hint="eastAsia" w:hAnsi="宋体" w:cs="宋体"/>
          <w:bCs/>
          <w:color w:val="auto"/>
          <w:sz w:val="24"/>
          <w:szCs w:val="24"/>
          <w:u w:val="single"/>
        </w:rPr>
        <w:t xml:space="preserve">                                              </w:t>
      </w:r>
      <w:r>
        <w:rPr>
          <w:rFonts w:hint="eastAsia" w:hAnsi="宋体" w:cs="宋体"/>
          <w:bCs/>
          <w:color w:val="auto"/>
          <w:sz w:val="24"/>
          <w:szCs w:val="24"/>
        </w:rPr>
        <w:t>邮编：</w:t>
      </w:r>
      <w:r>
        <w:rPr>
          <w:rFonts w:hint="eastAsia" w:hAnsi="宋体" w:cs="宋体"/>
          <w:bCs/>
          <w:color w:val="auto"/>
          <w:sz w:val="24"/>
          <w:szCs w:val="24"/>
          <w:u w:val="single"/>
        </w:rPr>
        <w:t xml:space="preserve">                         </w:t>
      </w:r>
    </w:p>
    <w:p w14:paraId="0C0976AC">
      <w:pPr>
        <w:pStyle w:val="15"/>
        <w:snapToGrid w:val="0"/>
        <w:spacing w:line="360" w:lineRule="auto"/>
        <w:ind w:firstLine="480" w:firstLineChars="200"/>
        <w:rPr>
          <w:rFonts w:hAnsi="宋体" w:cs="宋体"/>
          <w:bCs/>
          <w:color w:val="auto"/>
          <w:sz w:val="24"/>
          <w:szCs w:val="24"/>
        </w:rPr>
      </w:pPr>
      <w:r>
        <w:rPr>
          <w:rFonts w:hint="eastAsia" w:hAnsi="宋体" w:cs="宋体"/>
          <w:bCs/>
          <w:color w:val="auto"/>
          <w:sz w:val="24"/>
          <w:szCs w:val="24"/>
        </w:rPr>
        <w:t>联系人：</w:t>
      </w:r>
      <w:r>
        <w:rPr>
          <w:rFonts w:hint="eastAsia" w:hAnsi="宋体" w:cs="宋体"/>
          <w:bCs/>
          <w:color w:val="auto"/>
          <w:sz w:val="24"/>
          <w:szCs w:val="24"/>
          <w:u w:val="single"/>
        </w:rPr>
        <w:t xml:space="preserve">                                            </w:t>
      </w:r>
      <w:r>
        <w:rPr>
          <w:rFonts w:hint="eastAsia" w:hAnsi="宋体" w:cs="宋体"/>
          <w:bCs/>
          <w:color w:val="auto"/>
          <w:sz w:val="24"/>
          <w:szCs w:val="24"/>
        </w:rPr>
        <w:t>联系电话：</w:t>
      </w:r>
      <w:r>
        <w:rPr>
          <w:rFonts w:hint="eastAsia" w:hAnsi="宋体" w:cs="宋体"/>
          <w:bCs/>
          <w:color w:val="auto"/>
          <w:sz w:val="24"/>
          <w:szCs w:val="24"/>
          <w:u w:val="single"/>
        </w:rPr>
        <w:t xml:space="preserve">                     </w:t>
      </w:r>
      <w:r>
        <w:rPr>
          <w:rFonts w:hint="eastAsia" w:hAnsi="宋体" w:cs="宋体"/>
          <w:bCs/>
          <w:color w:val="auto"/>
          <w:sz w:val="24"/>
          <w:szCs w:val="24"/>
        </w:rPr>
        <w:t xml:space="preserve">                </w:t>
      </w:r>
    </w:p>
    <w:p w14:paraId="58B7AB30">
      <w:pPr>
        <w:pStyle w:val="15"/>
        <w:snapToGrid w:val="0"/>
        <w:spacing w:line="360" w:lineRule="auto"/>
        <w:ind w:firstLine="482" w:firstLineChars="200"/>
        <w:rPr>
          <w:rFonts w:hAnsi="宋体" w:cs="宋体"/>
          <w:b/>
          <w:bCs/>
          <w:color w:val="auto"/>
          <w:sz w:val="24"/>
          <w:szCs w:val="24"/>
        </w:rPr>
      </w:pPr>
      <w:r>
        <w:rPr>
          <w:rFonts w:hint="eastAsia" w:hAnsi="宋体" w:cs="宋体"/>
          <w:b/>
          <w:bCs/>
          <w:color w:val="auto"/>
          <w:sz w:val="24"/>
          <w:szCs w:val="24"/>
        </w:rPr>
        <w:t>二、投诉项目基本情况：</w:t>
      </w:r>
    </w:p>
    <w:p w14:paraId="59F0787D">
      <w:pPr>
        <w:pStyle w:val="15"/>
        <w:spacing w:line="360" w:lineRule="auto"/>
        <w:ind w:firstLine="472" w:firstLineChars="197"/>
        <w:rPr>
          <w:rFonts w:hAnsi="宋体" w:cs="宋体"/>
          <w:color w:val="auto"/>
          <w:sz w:val="24"/>
          <w:szCs w:val="24"/>
        </w:rPr>
      </w:pPr>
      <w:r>
        <w:rPr>
          <w:rFonts w:hint="eastAsia" w:hAnsi="宋体" w:cs="宋体"/>
          <w:bCs/>
          <w:color w:val="auto"/>
          <w:sz w:val="24"/>
          <w:szCs w:val="24"/>
        </w:rPr>
        <w:t>采购</w:t>
      </w:r>
      <w:r>
        <w:rPr>
          <w:rFonts w:hint="eastAsia" w:hAnsi="宋体" w:cs="宋体"/>
          <w:color w:val="auto"/>
          <w:sz w:val="24"/>
          <w:szCs w:val="24"/>
        </w:rPr>
        <w:t>项目的名称：</w:t>
      </w:r>
      <w:r>
        <w:rPr>
          <w:rFonts w:hint="eastAsia" w:hAnsi="宋体" w:cs="宋体"/>
          <w:bCs/>
          <w:color w:val="auto"/>
          <w:sz w:val="24"/>
          <w:szCs w:val="24"/>
          <w:u w:val="single"/>
        </w:rPr>
        <w:t xml:space="preserve">                                                                   </w:t>
      </w:r>
    </w:p>
    <w:p w14:paraId="6377CDCD">
      <w:pPr>
        <w:pStyle w:val="15"/>
        <w:spacing w:line="360" w:lineRule="auto"/>
        <w:ind w:firstLine="472" w:firstLineChars="197"/>
        <w:rPr>
          <w:rFonts w:hAnsi="宋体" w:cs="宋体"/>
          <w:color w:val="auto"/>
          <w:sz w:val="24"/>
          <w:szCs w:val="24"/>
        </w:rPr>
      </w:pPr>
      <w:r>
        <w:rPr>
          <w:rFonts w:hint="eastAsia" w:hAnsi="宋体" w:cs="宋体"/>
          <w:bCs/>
          <w:color w:val="auto"/>
          <w:sz w:val="24"/>
          <w:szCs w:val="24"/>
        </w:rPr>
        <w:t>采购</w:t>
      </w:r>
      <w:r>
        <w:rPr>
          <w:rFonts w:hint="eastAsia" w:hAnsi="宋体" w:cs="宋体"/>
          <w:color w:val="auto"/>
          <w:sz w:val="24"/>
          <w:szCs w:val="24"/>
        </w:rPr>
        <w:t>项目的编号：</w:t>
      </w:r>
      <w:r>
        <w:rPr>
          <w:rFonts w:hint="eastAsia" w:hAnsi="宋体" w:cs="宋体"/>
          <w:bCs/>
          <w:color w:val="auto"/>
          <w:sz w:val="24"/>
          <w:szCs w:val="24"/>
          <w:u w:val="single"/>
        </w:rPr>
        <w:t xml:space="preserve">                                          </w:t>
      </w:r>
    </w:p>
    <w:p w14:paraId="4004AE15">
      <w:pPr>
        <w:pStyle w:val="15"/>
        <w:spacing w:line="360" w:lineRule="auto"/>
        <w:ind w:firstLine="472" w:firstLineChars="197"/>
        <w:rPr>
          <w:rFonts w:hAnsi="宋体" w:cs="宋体"/>
          <w:bCs/>
          <w:color w:val="auto"/>
          <w:sz w:val="24"/>
          <w:szCs w:val="24"/>
          <w:u w:val="single"/>
        </w:rPr>
      </w:pPr>
      <w:r>
        <w:rPr>
          <w:rFonts w:hint="eastAsia" w:hAnsi="宋体" w:cs="宋体"/>
          <w:color w:val="auto"/>
          <w:sz w:val="24"/>
          <w:szCs w:val="24"/>
        </w:rPr>
        <w:t>采购人名称：</w:t>
      </w:r>
      <w:r>
        <w:rPr>
          <w:rFonts w:hint="eastAsia" w:hAnsi="宋体" w:cs="宋体"/>
          <w:bCs/>
          <w:color w:val="auto"/>
          <w:sz w:val="24"/>
          <w:szCs w:val="24"/>
          <w:u w:val="single"/>
        </w:rPr>
        <w:t xml:space="preserve">                                                                        </w:t>
      </w:r>
    </w:p>
    <w:p w14:paraId="1A400550">
      <w:pPr>
        <w:pStyle w:val="15"/>
        <w:spacing w:line="360" w:lineRule="auto"/>
        <w:ind w:firstLine="472" w:firstLineChars="197"/>
        <w:rPr>
          <w:rFonts w:hAnsi="宋体" w:cs="宋体"/>
          <w:bCs/>
          <w:color w:val="auto"/>
          <w:sz w:val="24"/>
          <w:szCs w:val="24"/>
          <w:u w:val="single"/>
        </w:rPr>
      </w:pPr>
      <w:r>
        <w:rPr>
          <w:rFonts w:hint="eastAsia" w:hAnsi="宋体" w:cs="宋体"/>
          <w:color w:val="auto"/>
          <w:sz w:val="24"/>
          <w:szCs w:val="24"/>
        </w:rPr>
        <w:t>代理机构名称：</w:t>
      </w:r>
      <w:r>
        <w:rPr>
          <w:rFonts w:hint="eastAsia" w:hAnsi="宋体" w:cs="宋体"/>
          <w:bCs/>
          <w:color w:val="auto"/>
          <w:sz w:val="24"/>
          <w:szCs w:val="24"/>
          <w:u w:val="single"/>
        </w:rPr>
        <w:t xml:space="preserve">                                                                      </w:t>
      </w:r>
    </w:p>
    <w:p w14:paraId="02383C05">
      <w:pPr>
        <w:pStyle w:val="15"/>
        <w:spacing w:line="360" w:lineRule="auto"/>
        <w:ind w:firstLine="472" w:firstLineChars="197"/>
        <w:rPr>
          <w:rFonts w:hAnsi="宋体" w:cs="宋体"/>
          <w:bCs/>
          <w:color w:val="auto"/>
          <w:sz w:val="24"/>
          <w:szCs w:val="24"/>
          <w:u w:val="single"/>
        </w:rPr>
      </w:pPr>
      <w:r>
        <w:rPr>
          <w:rFonts w:hint="eastAsia" w:hAnsi="宋体" w:cs="宋体"/>
          <w:bCs/>
          <w:color w:val="auto"/>
          <w:sz w:val="24"/>
          <w:szCs w:val="24"/>
        </w:rPr>
        <w:t>采购文件公告：</w:t>
      </w:r>
      <w:r>
        <w:rPr>
          <w:rFonts w:hint="eastAsia" w:hAnsi="宋体" w:cs="宋体"/>
          <w:bCs/>
          <w:color w:val="auto"/>
          <w:sz w:val="24"/>
          <w:szCs w:val="24"/>
          <w:u w:val="single"/>
        </w:rPr>
        <w:t>是/否</w:t>
      </w:r>
      <w:r>
        <w:rPr>
          <w:rFonts w:hint="eastAsia" w:hAnsi="宋体" w:cs="宋体"/>
          <w:bCs/>
          <w:color w:val="auto"/>
          <w:sz w:val="24"/>
          <w:szCs w:val="24"/>
        </w:rPr>
        <w:t>公告期限：</w:t>
      </w:r>
      <w:r>
        <w:rPr>
          <w:rFonts w:hint="eastAsia" w:hAnsi="宋体" w:cs="宋体"/>
          <w:bCs/>
          <w:color w:val="auto"/>
          <w:sz w:val="24"/>
          <w:szCs w:val="24"/>
          <w:u w:val="single"/>
        </w:rPr>
        <w:t xml:space="preserve">                                                       </w:t>
      </w:r>
    </w:p>
    <w:p w14:paraId="721D4018">
      <w:pPr>
        <w:pStyle w:val="15"/>
        <w:spacing w:line="360" w:lineRule="auto"/>
        <w:ind w:firstLine="472" w:firstLineChars="197"/>
        <w:rPr>
          <w:rFonts w:hAnsi="宋体" w:cs="宋体"/>
          <w:b/>
          <w:color w:val="auto"/>
          <w:sz w:val="24"/>
          <w:szCs w:val="24"/>
        </w:rPr>
      </w:pPr>
      <w:r>
        <w:rPr>
          <w:rFonts w:hint="eastAsia" w:hAnsi="宋体" w:cs="宋体"/>
          <w:bCs/>
          <w:color w:val="auto"/>
          <w:sz w:val="24"/>
          <w:szCs w:val="24"/>
        </w:rPr>
        <w:t>采购结果公告：</w:t>
      </w:r>
      <w:r>
        <w:rPr>
          <w:rFonts w:hint="eastAsia" w:hAnsi="宋体" w:cs="宋体"/>
          <w:bCs/>
          <w:color w:val="auto"/>
          <w:sz w:val="24"/>
          <w:szCs w:val="24"/>
          <w:u w:val="single"/>
        </w:rPr>
        <w:t>是/否</w:t>
      </w:r>
      <w:r>
        <w:rPr>
          <w:rFonts w:hint="eastAsia" w:hAnsi="宋体" w:cs="宋体"/>
          <w:bCs/>
          <w:color w:val="auto"/>
          <w:sz w:val="24"/>
          <w:szCs w:val="24"/>
        </w:rPr>
        <w:t>公告期限：</w:t>
      </w:r>
      <w:r>
        <w:rPr>
          <w:rFonts w:hint="eastAsia" w:hAnsi="宋体" w:cs="宋体"/>
          <w:bCs/>
          <w:color w:val="auto"/>
          <w:sz w:val="24"/>
          <w:szCs w:val="24"/>
          <w:u w:val="single"/>
        </w:rPr>
        <w:t xml:space="preserve">                                                       </w:t>
      </w:r>
    </w:p>
    <w:p w14:paraId="3DD3CFF5">
      <w:pPr>
        <w:pStyle w:val="15"/>
        <w:spacing w:line="360" w:lineRule="auto"/>
        <w:ind w:firstLine="472" w:firstLineChars="196"/>
        <w:rPr>
          <w:rFonts w:hAnsi="宋体" w:cs="宋体"/>
          <w:b/>
          <w:color w:val="auto"/>
          <w:sz w:val="24"/>
          <w:szCs w:val="24"/>
        </w:rPr>
      </w:pPr>
      <w:r>
        <w:rPr>
          <w:rFonts w:hint="eastAsia" w:hAnsi="宋体" w:cs="宋体"/>
          <w:b/>
          <w:color w:val="auto"/>
          <w:sz w:val="24"/>
          <w:szCs w:val="24"/>
        </w:rPr>
        <w:t>三、质疑基本情况</w:t>
      </w:r>
    </w:p>
    <w:p w14:paraId="7C22C221">
      <w:pPr>
        <w:pStyle w:val="15"/>
        <w:spacing w:line="360" w:lineRule="auto"/>
        <w:ind w:left="479" w:leftChars="228" w:firstLine="60" w:firstLineChars="25"/>
        <w:rPr>
          <w:rFonts w:hAnsi="宋体" w:cs="宋体"/>
          <w:color w:val="auto"/>
          <w:sz w:val="24"/>
          <w:szCs w:val="24"/>
        </w:rPr>
      </w:pPr>
      <w:r>
        <w:rPr>
          <w:rFonts w:hint="eastAsia" w:hAnsi="宋体" w:cs="宋体"/>
          <w:color w:val="auto"/>
          <w:sz w:val="24"/>
          <w:szCs w:val="24"/>
        </w:rPr>
        <w:t>投诉人于</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日，向</w:t>
      </w:r>
      <w:r>
        <w:rPr>
          <w:rFonts w:hint="eastAsia" w:hAnsi="宋体" w:cs="宋体"/>
          <w:color w:val="auto"/>
          <w:sz w:val="24"/>
          <w:szCs w:val="24"/>
          <w:u w:val="single"/>
        </w:rPr>
        <w:t xml:space="preserve">                                </w:t>
      </w:r>
      <w:r>
        <w:rPr>
          <w:rFonts w:hint="eastAsia" w:hAnsi="宋体" w:cs="宋体"/>
          <w:color w:val="auto"/>
          <w:sz w:val="24"/>
          <w:szCs w:val="24"/>
        </w:rPr>
        <w:t>提出质疑，质疑事项为：</w:t>
      </w:r>
    </w:p>
    <w:p w14:paraId="45832AC2">
      <w:pPr>
        <w:pStyle w:val="15"/>
        <w:spacing w:line="360" w:lineRule="auto"/>
        <w:ind w:firstLine="540" w:firstLineChars="225"/>
        <w:rPr>
          <w:rFonts w:hAnsi="宋体" w:cs="宋体"/>
          <w:bCs/>
          <w:color w:val="auto"/>
          <w:sz w:val="24"/>
          <w:szCs w:val="24"/>
          <w:u w:val="single"/>
        </w:rPr>
      </w:pPr>
      <w:r>
        <w:rPr>
          <w:rFonts w:hint="eastAsia" w:hAnsi="宋体" w:cs="宋体"/>
          <w:color w:val="auto"/>
          <w:sz w:val="24"/>
          <w:szCs w:val="24"/>
        </w:rPr>
        <w:t xml:space="preserve">    </w:t>
      </w:r>
      <w:r>
        <w:rPr>
          <w:rFonts w:hint="eastAsia" w:hAnsi="宋体" w:cs="宋体"/>
          <w:bCs/>
          <w:color w:val="auto"/>
          <w:sz w:val="24"/>
          <w:szCs w:val="24"/>
          <w:u w:val="single"/>
        </w:rPr>
        <w:t xml:space="preserve">                                                                                      </w:t>
      </w:r>
    </w:p>
    <w:p w14:paraId="63D17897">
      <w:pPr>
        <w:pStyle w:val="15"/>
        <w:spacing w:line="360" w:lineRule="auto"/>
        <w:ind w:firstLine="540" w:firstLineChars="225"/>
        <w:rPr>
          <w:rFonts w:hAnsi="宋体" w:cs="宋体"/>
          <w:bCs/>
          <w:color w:val="auto"/>
          <w:sz w:val="24"/>
          <w:szCs w:val="24"/>
          <w:u w:val="single"/>
        </w:rPr>
      </w:pPr>
      <w:r>
        <w:rPr>
          <w:rFonts w:hint="eastAsia" w:hAnsi="宋体" w:cs="宋体"/>
          <w:bCs/>
          <w:color w:val="auto"/>
          <w:sz w:val="24"/>
          <w:szCs w:val="24"/>
        </w:rPr>
        <w:t xml:space="preserve">    </w:t>
      </w:r>
      <w:r>
        <w:rPr>
          <w:rFonts w:hint="eastAsia" w:hAnsi="宋体" w:cs="宋体"/>
          <w:bCs/>
          <w:color w:val="auto"/>
          <w:sz w:val="24"/>
          <w:szCs w:val="24"/>
          <w:u w:val="single"/>
        </w:rPr>
        <w:t xml:space="preserve">                                                                                      </w:t>
      </w:r>
    </w:p>
    <w:p w14:paraId="2A5CEC18">
      <w:pPr>
        <w:pStyle w:val="15"/>
        <w:spacing w:line="360" w:lineRule="auto"/>
        <w:ind w:firstLine="540" w:firstLineChars="225"/>
        <w:rPr>
          <w:rFonts w:hAnsi="宋体" w:cs="宋体"/>
          <w:color w:val="auto"/>
          <w:sz w:val="24"/>
          <w:szCs w:val="24"/>
        </w:rPr>
      </w:pPr>
      <w:r>
        <w:rPr>
          <w:rFonts w:hint="eastAsia" w:hAnsi="宋体" w:cs="宋体"/>
          <w:bCs/>
          <w:color w:val="auto"/>
          <w:sz w:val="24"/>
          <w:szCs w:val="24"/>
          <w:u w:val="single"/>
        </w:rPr>
        <w:t>采购人/代理机构</w:t>
      </w:r>
      <w:r>
        <w:rPr>
          <w:rFonts w:hint="eastAsia" w:hAnsi="宋体" w:cs="宋体"/>
          <w:bCs/>
          <w:color w:val="auto"/>
          <w:sz w:val="24"/>
          <w:szCs w:val="24"/>
        </w:rPr>
        <w:t>于</w:t>
      </w:r>
      <w:r>
        <w:rPr>
          <w:rFonts w:hint="eastAsia" w:hAnsi="宋体" w:cs="宋体"/>
          <w:color w:val="auto"/>
          <w:sz w:val="24"/>
          <w:szCs w:val="24"/>
          <w:u w:val="single"/>
        </w:rPr>
        <w:t xml:space="preserve">      </w:t>
      </w:r>
      <w:r>
        <w:rPr>
          <w:rFonts w:hint="eastAsia" w:hAnsi="宋体" w:cs="宋体"/>
          <w:color w:val="auto"/>
          <w:sz w:val="24"/>
          <w:szCs w:val="24"/>
        </w:rPr>
        <w:t>年</w:t>
      </w:r>
      <w:r>
        <w:rPr>
          <w:rFonts w:hint="eastAsia" w:hAnsi="宋体" w:cs="宋体"/>
          <w:color w:val="auto"/>
          <w:sz w:val="24"/>
          <w:szCs w:val="24"/>
          <w:u w:val="single"/>
        </w:rPr>
        <w:t xml:space="preserve">   </w:t>
      </w:r>
      <w:r>
        <w:rPr>
          <w:rFonts w:hint="eastAsia" w:hAnsi="宋体" w:cs="宋体"/>
          <w:color w:val="auto"/>
          <w:sz w:val="24"/>
          <w:szCs w:val="24"/>
        </w:rPr>
        <w:t>月</w:t>
      </w:r>
      <w:r>
        <w:rPr>
          <w:rFonts w:hint="eastAsia" w:hAnsi="宋体" w:cs="宋体"/>
          <w:color w:val="auto"/>
          <w:sz w:val="24"/>
          <w:szCs w:val="24"/>
          <w:u w:val="single"/>
        </w:rPr>
        <w:t xml:space="preserve">   </w:t>
      </w:r>
      <w:r>
        <w:rPr>
          <w:rFonts w:hint="eastAsia" w:hAnsi="宋体" w:cs="宋体"/>
          <w:color w:val="auto"/>
          <w:sz w:val="24"/>
          <w:szCs w:val="24"/>
        </w:rPr>
        <w:t>日，</w:t>
      </w:r>
      <w:r>
        <w:rPr>
          <w:rFonts w:hint="eastAsia" w:hAnsi="宋体" w:cs="宋体"/>
          <w:bCs/>
          <w:color w:val="auto"/>
          <w:sz w:val="24"/>
          <w:szCs w:val="24"/>
        </w:rPr>
        <w:t xml:space="preserve">就质疑事项作出了答复/没有在法定期限内作出答复。                                                                                             </w:t>
      </w:r>
    </w:p>
    <w:p w14:paraId="53C9DFEF">
      <w:pPr>
        <w:pStyle w:val="15"/>
        <w:spacing w:line="360" w:lineRule="auto"/>
        <w:ind w:firstLine="472" w:firstLineChars="196"/>
        <w:rPr>
          <w:rFonts w:hAnsi="宋体" w:cs="宋体"/>
          <w:b/>
          <w:color w:val="auto"/>
          <w:sz w:val="24"/>
          <w:szCs w:val="24"/>
        </w:rPr>
      </w:pPr>
      <w:r>
        <w:rPr>
          <w:rFonts w:hint="eastAsia" w:hAnsi="宋体" w:cs="宋体"/>
          <w:b/>
          <w:color w:val="auto"/>
          <w:sz w:val="24"/>
          <w:szCs w:val="24"/>
        </w:rPr>
        <w:t>四、投诉事项具体内容</w:t>
      </w:r>
    </w:p>
    <w:p w14:paraId="471B8FAF">
      <w:pPr>
        <w:pStyle w:val="15"/>
        <w:spacing w:line="360" w:lineRule="auto"/>
        <w:ind w:firstLine="472" w:firstLineChars="197"/>
        <w:rPr>
          <w:rFonts w:hAnsi="宋体" w:cs="宋体"/>
          <w:bCs/>
          <w:color w:val="auto"/>
          <w:sz w:val="24"/>
          <w:szCs w:val="24"/>
          <w:u w:val="single"/>
        </w:rPr>
      </w:pPr>
      <w:r>
        <w:rPr>
          <w:rFonts w:hint="eastAsia" w:hAnsi="宋体" w:cs="宋体"/>
          <w:color w:val="auto"/>
          <w:sz w:val="24"/>
          <w:szCs w:val="24"/>
        </w:rPr>
        <w:t>投诉事项1：</w:t>
      </w:r>
      <w:r>
        <w:rPr>
          <w:rFonts w:hint="eastAsia" w:hAnsi="宋体" w:cs="宋体"/>
          <w:bCs/>
          <w:color w:val="auto"/>
          <w:sz w:val="24"/>
          <w:szCs w:val="24"/>
          <w:u w:val="single"/>
        </w:rPr>
        <w:t xml:space="preserve">                                                                           </w:t>
      </w:r>
    </w:p>
    <w:p w14:paraId="0BAA1402">
      <w:pPr>
        <w:pStyle w:val="15"/>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事实依据：</w:t>
      </w:r>
      <w:r>
        <w:rPr>
          <w:rFonts w:hint="eastAsia" w:hAnsi="宋体" w:cs="宋体"/>
          <w:color w:val="auto"/>
          <w:sz w:val="24"/>
          <w:szCs w:val="24"/>
        </w:rPr>
        <w:t xml:space="preserve"> </w:t>
      </w:r>
      <w:r>
        <w:rPr>
          <w:rFonts w:hint="eastAsia" w:hAnsi="宋体" w:cs="宋体"/>
          <w:bCs/>
          <w:color w:val="auto"/>
          <w:sz w:val="24"/>
          <w:szCs w:val="24"/>
          <w:u w:val="single"/>
        </w:rPr>
        <w:t xml:space="preserve">                                                                                      </w:t>
      </w:r>
    </w:p>
    <w:p w14:paraId="616533B3">
      <w:pPr>
        <w:pStyle w:val="15"/>
        <w:spacing w:line="360" w:lineRule="auto"/>
        <w:ind w:firstLine="472" w:firstLineChars="197"/>
        <w:rPr>
          <w:rFonts w:hAnsi="宋体" w:cs="宋体"/>
          <w:color w:val="auto"/>
          <w:sz w:val="24"/>
          <w:szCs w:val="24"/>
        </w:rPr>
      </w:pPr>
      <w:r>
        <w:rPr>
          <w:rFonts w:hint="eastAsia" w:hAnsi="宋体" w:cs="宋体"/>
          <w:bCs/>
          <w:color w:val="auto"/>
          <w:sz w:val="24"/>
          <w:szCs w:val="24"/>
          <w:u w:val="single"/>
        </w:rPr>
        <w:t xml:space="preserve">                                                                                        </w:t>
      </w:r>
    </w:p>
    <w:p w14:paraId="2B7470AD">
      <w:pPr>
        <w:pStyle w:val="15"/>
        <w:spacing w:line="360" w:lineRule="auto"/>
        <w:ind w:firstLine="480" w:firstLineChars="200"/>
        <w:rPr>
          <w:rFonts w:hAnsi="宋体" w:cs="宋体"/>
          <w:bCs/>
          <w:color w:val="auto"/>
          <w:sz w:val="24"/>
          <w:szCs w:val="24"/>
          <w:u w:val="single"/>
        </w:rPr>
      </w:pPr>
      <w:r>
        <w:rPr>
          <w:rFonts w:hint="eastAsia" w:hAnsi="宋体" w:cs="宋体"/>
          <w:bCs/>
          <w:color w:val="auto"/>
          <w:sz w:val="24"/>
          <w:szCs w:val="24"/>
        </w:rPr>
        <w:t>法律依据：</w:t>
      </w:r>
      <w:r>
        <w:rPr>
          <w:rFonts w:hint="eastAsia" w:hAnsi="宋体" w:cs="宋体"/>
          <w:color w:val="auto"/>
          <w:sz w:val="24"/>
          <w:szCs w:val="24"/>
        </w:rPr>
        <w:t xml:space="preserve"> </w:t>
      </w:r>
      <w:r>
        <w:rPr>
          <w:rFonts w:hint="eastAsia" w:hAnsi="宋体" w:cs="宋体"/>
          <w:bCs/>
          <w:color w:val="auto"/>
          <w:sz w:val="24"/>
          <w:szCs w:val="24"/>
          <w:u w:val="single"/>
        </w:rPr>
        <w:t xml:space="preserve">                                                                                      </w:t>
      </w:r>
    </w:p>
    <w:p w14:paraId="3345FAFE">
      <w:pPr>
        <w:pStyle w:val="15"/>
        <w:spacing w:line="360" w:lineRule="auto"/>
        <w:ind w:firstLine="352" w:firstLineChars="147"/>
        <w:rPr>
          <w:rFonts w:hAnsi="宋体" w:cs="宋体"/>
          <w:bCs/>
          <w:color w:val="auto"/>
          <w:sz w:val="24"/>
          <w:szCs w:val="24"/>
          <w:u w:val="single"/>
        </w:rPr>
      </w:pPr>
      <w:r>
        <w:rPr>
          <w:rFonts w:hint="eastAsia" w:hAnsi="宋体" w:cs="宋体"/>
          <w:bCs/>
          <w:color w:val="auto"/>
          <w:sz w:val="24"/>
          <w:szCs w:val="24"/>
        </w:rPr>
        <w:t xml:space="preserve"> </w:t>
      </w:r>
      <w:r>
        <w:rPr>
          <w:rFonts w:hint="eastAsia" w:hAnsi="宋体" w:cs="宋体"/>
          <w:bCs/>
          <w:color w:val="auto"/>
          <w:sz w:val="24"/>
          <w:szCs w:val="24"/>
          <w:u w:val="single"/>
        </w:rPr>
        <w:t xml:space="preserve">                                                                                        </w:t>
      </w:r>
    </w:p>
    <w:p w14:paraId="3536B209">
      <w:pPr>
        <w:pStyle w:val="15"/>
        <w:spacing w:line="360" w:lineRule="auto"/>
        <w:ind w:firstLine="472" w:firstLineChars="197"/>
        <w:rPr>
          <w:rFonts w:hAnsi="宋体" w:cs="宋体"/>
          <w:bCs/>
          <w:color w:val="auto"/>
          <w:sz w:val="24"/>
          <w:szCs w:val="24"/>
        </w:rPr>
      </w:pPr>
      <w:r>
        <w:rPr>
          <w:rFonts w:hint="eastAsia" w:hAnsi="宋体" w:cs="宋体"/>
          <w:color w:val="auto"/>
          <w:sz w:val="24"/>
          <w:szCs w:val="24"/>
        </w:rPr>
        <w:t xml:space="preserve">投诉事项2  </w:t>
      </w:r>
      <w:r>
        <w:rPr>
          <w:rFonts w:hint="eastAsia" w:hAnsi="宋体" w:cs="宋体"/>
          <w:bCs/>
          <w:color w:val="auto"/>
          <w:sz w:val="24"/>
          <w:szCs w:val="24"/>
        </w:rPr>
        <w:t xml:space="preserve">   </w:t>
      </w:r>
    </w:p>
    <w:p w14:paraId="744A3AB4">
      <w:pPr>
        <w:pStyle w:val="15"/>
        <w:spacing w:line="360" w:lineRule="auto"/>
        <w:ind w:firstLine="472" w:firstLineChars="197"/>
        <w:rPr>
          <w:rFonts w:hAnsi="宋体" w:cs="宋体"/>
          <w:bCs/>
          <w:color w:val="auto"/>
          <w:sz w:val="24"/>
          <w:szCs w:val="24"/>
        </w:rPr>
      </w:pPr>
      <w:r>
        <w:rPr>
          <w:rFonts w:hint="eastAsia" w:hAnsi="宋体" w:cs="宋体"/>
          <w:bCs/>
          <w:color w:val="auto"/>
          <w:sz w:val="24"/>
          <w:szCs w:val="24"/>
        </w:rPr>
        <w:t>……</w:t>
      </w:r>
    </w:p>
    <w:p w14:paraId="7D4EE858">
      <w:pPr>
        <w:pStyle w:val="15"/>
        <w:spacing w:line="360" w:lineRule="auto"/>
        <w:ind w:firstLine="472" w:firstLineChars="196"/>
        <w:rPr>
          <w:rFonts w:hAnsi="宋体" w:cs="宋体"/>
          <w:b/>
          <w:color w:val="auto"/>
          <w:sz w:val="24"/>
          <w:szCs w:val="24"/>
        </w:rPr>
      </w:pPr>
      <w:r>
        <w:rPr>
          <w:rFonts w:hint="eastAsia" w:hAnsi="宋体" w:cs="宋体"/>
          <w:b/>
          <w:color w:val="auto"/>
          <w:sz w:val="24"/>
          <w:szCs w:val="24"/>
        </w:rPr>
        <w:t>五、与投诉事项相关的投诉请求：</w:t>
      </w:r>
    </w:p>
    <w:p w14:paraId="5A8E0AB2">
      <w:pPr>
        <w:pStyle w:val="15"/>
        <w:spacing w:line="360" w:lineRule="auto"/>
        <w:ind w:firstLine="472" w:firstLineChars="197"/>
        <w:rPr>
          <w:rFonts w:hAnsi="宋体" w:cs="宋体"/>
          <w:color w:val="auto"/>
          <w:sz w:val="24"/>
          <w:szCs w:val="24"/>
        </w:rPr>
      </w:pPr>
      <w:r>
        <w:rPr>
          <w:rFonts w:hint="eastAsia" w:hAnsi="宋体" w:cs="宋体"/>
          <w:color w:val="auto"/>
          <w:sz w:val="24"/>
          <w:szCs w:val="24"/>
        </w:rPr>
        <w:t>请求：</w:t>
      </w:r>
      <w:r>
        <w:rPr>
          <w:rFonts w:hint="eastAsia" w:hAnsi="宋体" w:cs="宋体"/>
          <w:bCs/>
          <w:color w:val="auto"/>
          <w:sz w:val="24"/>
          <w:szCs w:val="24"/>
          <w:u w:val="single"/>
        </w:rPr>
        <w:t xml:space="preserve">                                                                                 </w:t>
      </w:r>
    </w:p>
    <w:p w14:paraId="129A5503">
      <w:pPr>
        <w:pStyle w:val="15"/>
        <w:spacing w:line="360" w:lineRule="auto"/>
        <w:ind w:firstLine="352" w:firstLineChars="147"/>
        <w:rPr>
          <w:rFonts w:hAnsi="宋体" w:cs="宋体"/>
          <w:color w:val="auto"/>
          <w:sz w:val="24"/>
          <w:szCs w:val="24"/>
        </w:rPr>
      </w:pPr>
    </w:p>
    <w:p w14:paraId="45EB9056">
      <w:pPr>
        <w:pStyle w:val="15"/>
        <w:spacing w:line="360" w:lineRule="auto"/>
        <w:ind w:firstLine="472" w:firstLineChars="197"/>
        <w:rPr>
          <w:rFonts w:hAnsi="宋体" w:cs="宋体"/>
          <w:color w:val="auto"/>
          <w:sz w:val="24"/>
          <w:szCs w:val="24"/>
          <w:u w:val="single"/>
        </w:rPr>
      </w:pPr>
      <w:r>
        <w:rPr>
          <w:rFonts w:hint="eastAsia" w:hAnsi="宋体" w:cs="宋体"/>
          <w:color w:val="auto"/>
          <w:sz w:val="24"/>
          <w:szCs w:val="24"/>
        </w:rPr>
        <w:t>签字（签章）：</w:t>
      </w:r>
      <w:r>
        <w:rPr>
          <w:rFonts w:hint="eastAsia" w:hAnsi="宋体" w:cs="宋体"/>
          <w:color w:val="auto"/>
          <w:sz w:val="24"/>
          <w:szCs w:val="24"/>
          <w:u w:val="single"/>
        </w:rPr>
        <w:t xml:space="preserve"> </w:t>
      </w:r>
      <w:r>
        <w:rPr>
          <w:rFonts w:hAnsi="宋体" w:cs="宋体"/>
          <w:color w:val="auto"/>
          <w:sz w:val="24"/>
          <w:szCs w:val="24"/>
          <w:u w:val="single"/>
        </w:rPr>
        <w:t xml:space="preserve">            </w:t>
      </w:r>
      <w:r>
        <w:rPr>
          <w:rFonts w:hint="eastAsia" w:hAnsi="宋体" w:cs="宋体"/>
          <w:color w:val="auto"/>
          <w:sz w:val="24"/>
          <w:szCs w:val="24"/>
        </w:rPr>
        <w:t xml:space="preserve">                          公章：</w:t>
      </w:r>
      <w:r>
        <w:rPr>
          <w:rFonts w:hAnsi="宋体" w:cs="宋体"/>
          <w:color w:val="auto"/>
          <w:sz w:val="24"/>
          <w:szCs w:val="24"/>
          <w:u w:val="single"/>
        </w:rPr>
        <w:t xml:space="preserve">            </w:t>
      </w:r>
    </w:p>
    <w:p w14:paraId="558702EC">
      <w:pPr>
        <w:pStyle w:val="15"/>
        <w:spacing w:line="360" w:lineRule="auto"/>
        <w:ind w:firstLine="352" w:firstLineChars="147"/>
        <w:rPr>
          <w:rFonts w:hAnsi="宋体" w:cs="宋体"/>
          <w:color w:val="auto"/>
          <w:sz w:val="24"/>
          <w:szCs w:val="24"/>
        </w:rPr>
      </w:pPr>
    </w:p>
    <w:p w14:paraId="55EAF30C">
      <w:pPr>
        <w:pStyle w:val="15"/>
        <w:spacing w:line="360" w:lineRule="auto"/>
        <w:ind w:firstLine="472" w:firstLineChars="197"/>
        <w:rPr>
          <w:rFonts w:hAnsi="宋体" w:cs="宋体"/>
          <w:color w:val="auto"/>
          <w:sz w:val="24"/>
          <w:szCs w:val="24"/>
        </w:rPr>
      </w:pPr>
      <w:r>
        <w:rPr>
          <w:rFonts w:hint="eastAsia" w:hAnsi="宋体" w:cs="宋体"/>
          <w:color w:val="auto"/>
          <w:sz w:val="24"/>
          <w:szCs w:val="24"/>
        </w:rPr>
        <w:t>日期：</w:t>
      </w:r>
      <w:r>
        <w:rPr>
          <w:rFonts w:hint="eastAsia" w:hAnsi="宋体" w:cs="宋体"/>
          <w:bCs/>
          <w:color w:val="auto"/>
          <w:sz w:val="24"/>
          <w:szCs w:val="24"/>
        </w:rPr>
        <w:t xml:space="preserve">    </w:t>
      </w:r>
      <w:r>
        <w:rPr>
          <w:rFonts w:hint="eastAsia" w:cs="宋体" w:asciiTheme="minorEastAsia" w:hAnsiTheme="minorEastAsia" w:eastAsiaTheme="minorEastAsia"/>
          <w:color w:val="auto"/>
          <w:spacing w:val="20"/>
          <w:sz w:val="24"/>
          <w:u w:val="single"/>
        </w:rPr>
        <w:t xml:space="preserve"> </w:t>
      </w:r>
      <w:r>
        <w:rPr>
          <w:rFonts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年</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月</w:t>
      </w:r>
      <w:r>
        <w:rPr>
          <w:rFonts w:hint="eastAsia" w:cs="宋体" w:asciiTheme="minorEastAsia" w:hAnsiTheme="minorEastAsia" w:eastAsiaTheme="minorEastAsia"/>
          <w:color w:val="auto"/>
          <w:spacing w:val="20"/>
          <w:sz w:val="24"/>
          <w:u w:val="single"/>
        </w:rPr>
        <w:t xml:space="preserve">  </w:t>
      </w:r>
      <w:r>
        <w:rPr>
          <w:rFonts w:hint="eastAsia" w:cs="宋体" w:asciiTheme="minorEastAsia" w:hAnsiTheme="minorEastAsia" w:eastAsiaTheme="minorEastAsia"/>
          <w:color w:val="auto"/>
          <w:spacing w:val="20"/>
          <w:sz w:val="24"/>
        </w:rPr>
        <w:t>日</w:t>
      </w:r>
      <w:r>
        <w:rPr>
          <w:rFonts w:hint="eastAsia" w:cs="宋体" w:asciiTheme="minorEastAsia" w:hAnsiTheme="minorEastAsia" w:eastAsiaTheme="minorEastAsia"/>
          <w:bCs/>
          <w:color w:val="auto"/>
          <w:sz w:val="24"/>
          <w:szCs w:val="24"/>
        </w:rPr>
        <w:t xml:space="preserve"> </w:t>
      </w:r>
      <w:r>
        <w:rPr>
          <w:rFonts w:hint="eastAsia" w:hAnsi="宋体" w:cs="宋体"/>
          <w:bCs/>
          <w:color w:val="auto"/>
          <w:sz w:val="24"/>
          <w:szCs w:val="24"/>
        </w:rPr>
        <w:t xml:space="preserve">                                                        </w:t>
      </w:r>
    </w:p>
    <w:p w14:paraId="118EF3A3">
      <w:pPr>
        <w:pStyle w:val="15"/>
        <w:snapToGrid w:val="0"/>
        <w:spacing w:line="360" w:lineRule="auto"/>
        <w:rPr>
          <w:rFonts w:hAnsi="宋体" w:cs="宋体"/>
          <w:b/>
          <w:color w:val="auto"/>
          <w:sz w:val="24"/>
          <w:szCs w:val="24"/>
        </w:rPr>
      </w:pPr>
    </w:p>
    <w:p w14:paraId="1952D55E">
      <w:pPr>
        <w:pStyle w:val="15"/>
        <w:snapToGrid w:val="0"/>
        <w:spacing w:line="360" w:lineRule="auto"/>
        <w:rPr>
          <w:rFonts w:ascii="楷体" w:hAnsi="楷体" w:eastAsia="楷体" w:cs="宋体"/>
          <w:b/>
          <w:color w:val="auto"/>
          <w:sz w:val="24"/>
          <w:szCs w:val="24"/>
        </w:rPr>
      </w:pPr>
      <w:r>
        <w:rPr>
          <w:rFonts w:hint="eastAsia" w:ascii="楷体" w:hAnsi="楷体" w:eastAsia="楷体" w:cs="宋体"/>
          <w:b/>
          <w:color w:val="auto"/>
          <w:sz w:val="24"/>
          <w:szCs w:val="24"/>
        </w:rPr>
        <w:t>说明：</w:t>
      </w:r>
    </w:p>
    <w:p w14:paraId="79610D07">
      <w:pPr>
        <w:pStyle w:val="15"/>
        <w:spacing w:line="360" w:lineRule="auto"/>
        <w:ind w:firstLine="354" w:firstLineChars="147"/>
        <w:rPr>
          <w:rFonts w:ascii="楷体" w:hAnsi="楷体" w:eastAsia="楷体" w:cs="宋体"/>
          <w:b/>
          <w:bCs/>
          <w:color w:val="auto"/>
          <w:sz w:val="24"/>
          <w:szCs w:val="24"/>
        </w:rPr>
      </w:pPr>
      <w:r>
        <w:rPr>
          <w:rFonts w:ascii="楷体" w:hAnsi="楷体" w:eastAsia="楷体" w:cs="宋体"/>
          <w:b/>
          <w:color w:val="auto"/>
          <w:sz w:val="24"/>
          <w:szCs w:val="24"/>
        </w:rPr>
        <w:t>1.投诉人提起投诉时，应当提交投诉书和必要的证明材料，并按照被投诉人和与投诉事项有关的供应商数量提供投诉书副本</w:t>
      </w:r>
      <w:r>
        <w:rPr>
          <w:rFonts w:hint="eastAsia" w:ascii="楷体" w:hAnsi="楷体" w:eastAsia="楷体" w:cs="宋体"/>
          <w:b/>
          <w:bCs/>
          <w:color w:val="auto"/>
          <w:sz w:val="24"/>
          <w:szCs w:val="24"/>
        </w:rPr>
        <w:t>。</w:t>
      </w:r>
    </w:p>
    <w:p w14:paraId="7633FC75">
      <w:pPr>
        <w:pStyle w:val="15"/>
        <w:spacing w:line="360" w:lineRule="auto"/>
        <w:ind w:firstLine="354" w:firstLineChars="147"/>
        <w:rPr>
          <w:rFonts w:ascii="楷体" w:hAnsi="楷体" w:eastAsia="楷体" w:cs="宋体"/>
          <w:b/>
          <w:color w:val="auto"/>
          <w:sz w:val="24"/>
          <w:szCs w:val="24"/>
        </w:rPr>
      </w:pPr>
      <w:r>
        <w:rPr>
          <w:rFonts w:ascii="楷体" w:hAnsi="楷体" w:eastAsia="楷体" w:cs="宋体"/>
          <w:b/>
          <w:color w:val="auto"/>
          <w:sz w:val="24"/>
          <w:szCs w:val="24"/>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3DD0F4D6">
      <w:pPr>
        <w:pStyle w:val="15"/>
        <w:spacing w:line="360" w:lineRule="auto"/>
        <w:ind w:firstLine="354" w:firstLineChars="147"/>
        <w:rPr>
          <w:rFonts w:ascii="楷体" w:hAnsi="楷体" w:eastAsia="楷体" w:cs="宋体"/>
          <w:b/>
          <w:color w:val="auto"/>
          <w:sz w:val="24"/>
          <w:szCs w:val="24"/>
        </w:rPr>
      </w:pPr>
      <w:r>
        <w:rPr>
          <w:rFonts w:ascii="楷体" w:hAnsi="楷体" w:eastAsia="楷体" w:cs="宋体"/>
          <w:b/>
          <w:color w:val="auto"/>
          <w:sz w:val="24"/>
          <w:szCs w:val="24"/>
        </w:rPr>
        <w:t>3.投诉书应简要列明质疑事项，质疑函、质疑答复等作为附件材料提供。</w:t>
      </w:r>
    </w:p>
    <w:p w14:paraId="22726C06">
      <w:pPr>
        <w:pStyle w:val="15"/>
        <w:spacing w:line="360" w:lineRule="auto"/>
        <w:ind w:firstLine="354" w:firstLineChars="147"/>
        <w:rPr>
          <w:rFonts w:ascii="楷体" w:hAnsi="楷体" w:eastAsia="楷体" w:cs="宋体"/>
          <w:b/>
          <w:color w:val="auto"/>
          <w:sz w:val="24"/>
          <w:szCs w:val="24"/>
        </w:rPr>
      </w:pPr>
      <w:r>
        <w:rPr>
          <w:rFonts w:ascii="楷体" w:hAnsi="楷体" w:eastAsia="楷体" w:cs="宋体"/>
          <w:b/>
          <w:color w:val="auto"/>
          <w:sz w:val="24"/>
          <w:szCs w:val="24"/>
        </w:rPr>
        <w:t>4.投诉书的投诉事项应具体、明确，并有必要的事实依据和法律依据。</w:t>
      </w:r>
    </w:p>
    <w:p w14:paraId="6485F136">
      <w:pPr>
        <w:pStyle w:val="15"/>
        <w:spacing w:line="360" w:lineRule="auto"/>
        <w:ind w:firstLine="354" w:firstLineChars="147"/>
        <w:rPr>
          <w:rFonts w:ascii="楷体" w:hAnsi="楷体" w:eastAsia="楷体" w:cs="宋体"/>
          <w:b/>
          <w:color w:val="auto"/>
          <w:sz w:val="24"/>
          <w:szCs w:val="24"/>
        </w:rPr>
      </w:pPr>
      <w:r>
        <w:rPr>
          <w:rFonts w:ascii="楷体" w:hAnsi="楷体" w:eastAsia="楷体" w:cs="宋体"/>
          <w:b/>
          <w:color w:val="auto"/>
          <w:sz w:val="24"/>
          <w:szCs w:val="24"/>
        </w:rPr>
        <w:t>5.投诉书的投诉请求应与投诉事项相关。</w:t>
      </w:r>
    </w:p>
    <w:p w14:paraId="47146ECA">
      <w:pPr>
        <w:pStyle w:val="15"/>
        <w:spacing w:line="360" w:lineRule="auto"/>
        <w:ind w:firstLine="354" w:firstLineChars="147"/>
        <w:rPr>
          <w:rFonts w:ascii="楷体" w:hAnsi="楷体" w:eastAsia="楷体" w:cs="宋体"/>
          <w:b/>
          <w:color w:val="auto"/>
          <w:sz w:val="24"/>
          <w:szCs w:val="24"/>
        </w:rPr>
      </w:pPr>
      <w:r>
        <w:rPr>
          <w:rFonts w:ascii="楷体" w:hAnsi="楷体" w:eastAsia="楷体" w:cs="宋体"/>
          <w:b/>
          <w:color w:val="auto"/>
          <w:sz w:val="24"/>
          <w:szCs w:val="24"/>
        </w:rPr>
        <w:t>6.投诉人为法人或者其他组织的，投诉书应由法定代表人、主要负责人，或者其授权代表签字或者盖章，并加盖公章。</w:t>
      </w:r>
    </w:p>
    <w:p w14:paraId="7108C0B1">
      <w:pPr>
        <w:pStyle w:val="2"/>
        <w:spacing w:before="0" w:after="0" w:line="360" w:lineRule="auto"/>
        <w:jc w:val="center"/>
        <w:rPr>
          <w:rFonts w:ascii="宋体" w:hAnsi="宋体" w:cs="宋体"/>
          <w:color w:val="auto"/>
        </w:rPr>
      </w:pPr>
      <w:bookmarkStart w:id="40" w:name="_Toc27857"/>
      <w:r>
        <w:rPr>
          <w:rFonts w:hint="eastAsia" w:ascii="宋体" w:hAnsi="宋体" w:cs="宋体"/>
          <w:color w:val="auto"/>
        </w:rPr>
        <w:t xml:space="preserve">第六章 </w:t>
      </w:r>
      <w:bookmarkStart w:id="41" w:name="合同文本分标1和3"/>
      <w:r>
        <w:rPr>
          <w:rFonts w:hint="eastAsia" w:ascii="宋体" w:hAnsi="宋体" w:cs="宋体"/>
          <w:color w:val="auto"/>
        </w:rPr>
        <w:t>合同文本</w:t>
      </w:r>
      <w:bookmarkEnd w:id="40"/>
      <w:bookmarkEnd w:id="41"/>
    </w:p>
    <w:p w14:paraId="18F56106">
      <w:pPr>
        <w:adjustRightInd w:val="0"/>
        <w:snapToGrid w:val="0"/>
        <w:spacing w:line="360" w:lineRule="auto"/>
        <w:ind w:firstLine="420" w:firstLineChars="200"/>
        <w:rPr>
          <w:rFonts w:ascii="宋体" w:hAnsi="宋体" w:cs="宋体"/>
          <w:color w:val="auto"/>
          <w:szCs w:val="21"/>
        </w:rPr>
      </w:pPr>
    </w:p>
    <w:p w14:paraId="509529DF">
      <w:pPr>
        <w:spacing w:line="360" w:lineRule="auto"/>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一般货物类</w:t>
      </w:r>
    </w:p>
    <w:p w14:paraId="057433BF">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p>
    <w:p w14:paraId="55F1D0CC">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合同编号：GXZC2026-J1-000***</w:t>
      </w:r>
      <w:r>
        <w:rPr>
          <w:rFonts w:ascii="宋体" w:hAnsi="宋体" w:cs="宋体"/>
          <w:color w:val="auto"/>
          <w:sz w:val="21"/>
          <w:szCs w:val="21"/>
          <w:highlight w:val="none"/>
        </w:rPr>
        <w:t>-</w:t>
      </w:r>
      <w:r>
        <w:rPr>
          <w:rFonts w:hint="eastAsia" w:ascii="宋体" w:hAnsi="宋体" w:cs="宋体"/>
          <w:color w:val="auto"/>
          <w:sz w:val="21"/>
          <w:szCs w:val="21"/>
          <w:highlight w:val="none"/>
        </w:rPr>
        <w:t>****</w:t>
      </w:r>
    </w:p>
    <w:p w14:paraId="38E3F49B">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采购人（甲方）：</w:t>
      </w:r>
      <w:r>
        <w:rPr>
          <w:rFonts w:hint="eastAsia" w:ascii="宋体" w:hAnsi="宋体" w:cs="宋体"/>
          <w:color w:val="auto"/>
          <w:sz w:val="21"/>
          <w:szCs w:val="21"/>
          <w:highlight w:val="none"/>
          <w:lang w:eastAsia="zh-CN"/>
        </w:rPr>
        <w:t>广西幼儿师范高等专科学校</w:t>
      </w:r>
      <w:r>
        <w:rPr>
          <w:rFonts w:hint="eastAsia" w:ascii="宋体" w:hAnsi="宋体" w:cs="宋体"/>
          <w:color w:val="auto"/>
          <w:sz w:val="21"/>
          <w:szCs w:val="21"/>
          <w:highlight w:val="none"/>
        </w:rPr>
        <w:t xml:space="preserve">                      </w:t>
      </w:r>
    </w:p>
    <w:p w14:paraId="1C2BB7A0">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供应商（乙方）：   </w:t>
      </w:r>
    </w:p>
    <w:p w14:paraId="54303C62">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项目编号：</w:t>
      </w:r>
      <w:r>
        <w:rPr>
          <w:rFonts w:ascii="宋体" w:hAnsi="宋体" w:cs="宋体"/>
          <w:color w:val="auto"/>
          <w:sz w:val="21"/>
          <w:szCs w:val="21"/>
          <w:highlight w:val="none"/>
          <w:u w:val="single"/>
        </w:rPr>
        <w:t>GXZC20</w:t>
      </w:r>
      <w:r>
        <w:rPr>
          <w:rFonts w:hint="eastAsia" w:ascii="宋体" w:hAnsi="宋体" w:cs="宋体"/>
          <w:color w:val="auto"/>
          <w:sz w:val="21"/>
          <w:szCs w:val="21"/>
          <w:highlight w:val="none"/>
          <w:u w:val="single"/>
        </w:rPr>
        <w:t>26</w:t>
      </w:r>
      <w:r>
        <w:rPr>
          <w:rFonts w:ascii="宋体" w:hAnsi="宋体" w:cs="宋体"/>
          <w:color w:val="auto"/>
          <w:sz w:val="21"/>
          <w:szCs w:val="21"/>
          <w:highlight w:val="none"/>
          <w:u w:val="single"/>
        </w:rPr>
        <w:t>-J1-000***-****</w:t>
      </w:r>
    </w:p>
    <w:p w14:paraId="59894B79">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签订地点：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032152ED">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本合同为中小企业预留合同：（是</w:t>
      </w:r>
      <w:r>
        <w:rPr>
          <w:rFonts w:hint="eastAsia" w:ascii="黑体" w:hAnsi="黑体" w:eastAsia="黑体" w:cs="宋体"/>
          <w:b/>
          <w:color w:val="auto"/>
          <w:sz w:val="21"/>
          <w:szCs w:val="21"/>
          <w:highlight w:val="none"/>
        </w:rPr>
        <w:t>□</w:t>
      </w:r>
      <w:r>
        <w:rPr>
          <w:rFonts w:hint="eastAsia" w:ascii="宋体" w:hAnsi="宋体" w:cs="宋体"/>
          <w:color w:val="auto"/>
          <w:sz w:val="21"/>
          <w:szCs w:val="21"/>
          <w:highlight w:val="none"/>
        </w:rPr>
        <w:t>/否</w:t>
      </w:r>
      <w:r>
        <w:rPr>
          <w:rFonts w:hint="eastAsia" w:ascii="黑体" w:hAnsi="黑体" w:eastAsia="黑体" w:cs="宋体"/>
          <w:b/>
          <w:color w:val="auto"/>
          <w:sz w:val="21"/>
          <w:szCs w:val="21"/>
          <w:highlight w:val="none"/>
        </w:rPr>
        <w:t>□</w:t>
      </w:r>
      <w:r>
        <w:rPr>
          <w:rFonts w:hint="eastAsia" w:ascii="宋体" w:hAnsi="宋体" w:cs="宋体"/>
          <w:color w:val="auto"/>
          <w:sz w:val="21"/>
          <w:szCs w:val="21"/>
          <w:highlight w:val="none"/>
        </w:rPr>
        <w:t>）</w:t>
      </w:r>
    </w:p>
    <w:p w14:paraId="30770C24">
      <w:pPr>
        <w:pStyle w:val="40"/>
        <w:rPr>
          <w:color w:val="auto"/>
          <w:sz w:val="21"/>
          <w:szCs w:val="21"/>
          <w:highlight w:val="none"/>
        </w:rPr>
      </w:pPr>
    </w:p>
    <w:p w14:paraId="621983D7">
      <w:pPr>
        <w:snapToGrid w:val="0"/>
        <w:spacing w:line="360" w:lineRule="auto"/>
        <w:ind w:firstLine="420" w:firstLineChars="200"/>
        <w:rPr>
          <w:rFonts w:hint="eastAsia" w:ascii="宋体" w:hAnsi="宋体" w:cs="宋体"/>
          <w:color w:val="auto"/>
          <w:sz w:val="21"/>
          <w:szCs w:val="21"/>
          <w:highlight w:val="none"/>
        </w:rPr>
      </w:pPr>
      <w:bookmarkStart w:id="42" w:name="_Hlk55381736"/>
    </w:p>
    <w:p w14:paraId="07E3B9E2">
      <w:pPr>
        <w:snapToGrid w:val="0"/>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根据《中华人民共和国政府采购法》《中华人民共和国民法典》等法律、法规规定，按照竞争性谈判采购文件规定条款和成交供应商承诺，甲乙双方签订本合同。</w:t>
      </w:r>
    </w:p>
    <w:p w14:paraId="465EC05C">
      <w:pPr>
        <w:snapToGrid w:val="0"/>
        <w:spacing w:line="360" w:lineRule="auto"/>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rPr>
        <w:t>第一条　合同标的</w:t>
      </w:r>
    </w:p>
    <w:p w14:paraId="3C06582C">
      <w:pPr>
        <w:snapToGrid w:val="0"/>
        <w:spacing w:line="360" w:lineRule="auto"/>
        <w:ind w:firstLine="420" w:firstLineChars="200"/>
        <w:rPr>
          <w:rFonts w:hint="eastAsia" w:ascii="宋体" w:hAnsi="宋体" w:cs="宋体"/>
          <w:b/>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供货一览表</w:t>
      </w:r>
    </w:p>
    <w:tbl>
      <w:tblPr>
        <w:tblStyle w:val="27"/>
        <w:tblW w:w="10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34"/>
        <w:gridCol w:w="1134"/>
        <w:gridCol w:w="1276"/>
        <w:gridCol w:w="1134"/>
        <w:gridCol w:w="992"/>
        <w:gridCol w:w="709"/>
        <w:gridCol w:w="830"/>
        <w:gridCol w:w="1722"/>
        <w:gridCol w:w="1276"/>
      </w:tblGrid>
      <w:tr w14:paraId="4669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709" w:type="dxa"/>
            <w:vAlign w:val="center"/>
          </w:tcPr>
          <w:p w14:paraId="5A716627">
            <w:pPr>
              <w:snapToGrid w:val="0"/>
              <w:spacing w:line="4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1034" w:type="dxa"/>
            <w:vAlign w:val="center"/>
          </w:tcPr>
          <w:p w14:paraId="4B68BBA9">
            <w:pPr>
              <w:snapToGrid w:val="0"/>
              <w:spacing w:line="4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标的名称</w:t>
            </w:r>
          </w:p>
        </w:tc>
        <w:tc>
          <w:tcPr>
            <w:tcW w:w="1134" w:type="dxa"/>
            <w:vAlign w:val="center"/>
          </w:tcPr>
          <w:p w14:paraId="0BF425E7">
            <w:pPr>
              <w:snapToGrid w:val="0"/>
              <w:spacing w:line="4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商标品牌</w:t>
            </w:r>
          </w:p>
        </w:tc>
        <w:tc>
          <w:tcPr>
            <w:tcW w:w="1276" w:type="dxa"/>
            <w:vAlign w:val="center"/>
          </w:tcPr>
          <w:p w14:paraId="305ECAC9">
            <w:pPr>
              <w:snapToGrid w:val="0"/>
              <w:spacing w:line="4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规格型号</w:t>
            </w:r>
          </w:p>
        </w:tc>
        <w:tc>
          <w:tcPr>
            <w:tcW w:w="1134" w:type="dxa"/>
            <w:vAlign w:val="center"/>
          </w:tcPr>
          <w:p w14:paraId="3F965FE1">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生产厂家</w:t>
            </w:r>
          </w:p>
        </w:tc>
        <w:tc>
          <w:tcPr>
            <w:tcW w:w="992" w:type="dxa"/>
            <w:vAlign w:val="center"/>
          </w:tcPr>
          <w:p w14:paraId="06E912EF">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产地</w:t>
            </w:r>
          </w:p>
        </w:tc>
        <w:tc>
          <w:tcPr>
            <w:tcW w:w="709" w:type="dxa"/>
            <w:vAlign w:val="center"/>
          </w:tcPr>
          <w:p w14:paraId="36880649">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数  量</w:t>
            </w:r>
          </w:p>
        </w:tc>
        <w:tc>
          <w:tcPr>
            <w:tcW w:w="830" w:type="dxa"/>
            <w:vAlign w:val="center"/>
          </w:tcPr>
          <w:p w14:paraId="1B65DF7C">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单位</w:t>
            </w:r>
          </w:p>
        </w:tc>
        <w:tc>
          <w:tcPr>
            <w:tcW w:w="1722" w:type="dxa"/>
            <w:vAlign w:val="center"/>
          </w:tcPr>
          <w:p w14:paraId="2E3B5E08">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单  价</w:t>
            </w:r>
          </w:p>
          <w:p w14:paraId="36932569">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（元/人民币）</w:t>
            </w:r>
          </w:p>
        </w:tc>
        <w:tc>
          <w:tcPr>
            <w:tcW w:w="1276" w:type="dxa"/>
            <w:vAlign w:val="center"/>
          </w:tcPr>
          <w:p w14:paraId="460EF214">
            <w:pPr>
              <w:snapToGrid w:val="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单项合计（元/人民币）</w:t>
            </w:r>
          </w:p>
        </w:tc>
      </w:tr>
      <w:tr w14:paraId="254B2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709" w:type="dxa"/>
            <w:vAlign w:val="center"/>
          </w:tcPr>
          <w:p w14:paraId="630FAD3D">
            <w:pPr>
              <w:snapToGrid w:val="0"/>
              <w:spacing w:line="46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1034" w:type="dxa"/>
            <w:vAlign w:val="center"/>
          </w:tcPr>
          <w:p w14:paraId="6B75D5F3">
            <w:pPr>
              <w:snapToGrid w:val="0"/>
              <w:spacing w:line="460" w:lineRule="exact"/>
              <w:jc w:val="center"/>
              <w:rPr>
                <w:rFonts w:hint="eastAsia" w:ascii="宋体" w:hAnsi="宋体" w:cs="宋体"/>
                <w:color w:val="auto"/>
                <w:sz w:val="21"/>
                <w:szCs w:val="21"/>
                <w:highlight w:val="none"/>
              </w:rPr>
            </w:pPr>
          </w:p>
        </w:tc>
        <w:tc>
          <w:tcPr>
            <w:tcW w:w="1134" w:type="dxa"/>
            <w:vAlign w:val="center"/>
          </w:tcPr>
          <w:p w14:paraId="229DAE7C">
            <w:pPr>
              <w:snapToGrid w:val="0"/>
              <w:spacing w:line="460" w:lineRule="exact"/>
              <w:jc w:val="center"/>
              <w:rPr>
                <w:rFonts w:hint="eastAsia" w:ascii="宋体" w:hAnsi="宋体" w:cs="宋体"/>
                <w:color w:val="auto"/>
                <w:sz w:val="21"/>
                <w:szCs w:val="21"/>
                <w:highlight w:val="none"/>
              </w:rPr>
            </w:pPr>
          </w:p>
        </w:tc>
        <w:tc>
          <w:tcPr>
            <w:tcW w:w="1276" w:type="dxa"/>
            <w:vAlign w:val="center"/>
          </w:tcPr>
          <w:p w14:paraId="163B9168">
            <w:pPr>
              <w:snapToGrid w:val="0"/>
              <w:spacing w:line="460" w:lineRule="exact"/>
              <w:jc w:val="center"/>
              <w:rPr>
                <w:rFonts w:hint="eastAsia" w:ascii="宋体" w:hAnsi="宋体" w:cs="宋体"/>
                <w:color w:val="auto"/>
                <w:sz w:val="21"/>
                <w:szCs w:val="21"/>
                <w:highlight w:val="none"/>
              </w:rPr>
            </w:pPr>
          </w:p>
        </w:tc>
        <w:tc>
          <w:tcPr>
            <w:tcW w:w="1134" w:type="dxa"/>
          </w:tcPr>
          <w:p w14:paraId="06460BC4">
            <w:pPr>
              <w:snapToGrid w:val="0"/>
              <w:spacing w:line="460" w:lineRule="exact"/>
              <w:jc w:val="center"/>
              <w:rPr>
                <w:rFonts w:hint="eastAsia" w:ascii="宋体" w:hAnsi="宋体" w:cs="宋体"/>
                <w:color w:val="auto"/>
                <w:sz w:val="21"/>
                <w:szCs w:val="21"/>
                <w:highlight w:val="none"/>
              </w:rPr>
            </w:pPr>
          </w:p>
        </w:tc>
        <w:tc>
          <w:tcPr>
            <w:tcW w:w="992" w:type="dxa"/>
            <w:vAlign w:val="center"/>
          </w:tcPr>
          <w:p w14:paraId="483E0E88">
            <w:pPr>
              <w:snapToGrid w:val="0"/>
              <w:spacing w:line="460" w:lineRule="exact"/>
              <w:jc w:val="center"/>
              <w:rPr>
                <w:rFonts w:hint="eastAsia" w:ascii="宋体" w:hAnsi="宋体" w:cs="宋体"/>
                <w:color w:val="auto"/>
                <w:sz w:val="21"/>
                <w:szCs w:val="21"/>
                <w:highlight w:val="none"/>
              </w:rPr>
            </w:pPr>
          </w:p>
        </w:tc>
        <w:tc>
          <w:tcPr>
            <w:tcW w:w="709" w:type="dxa"/>
            <w:vAlign w:val="center"/>
          </w:tcPr>
          <w:p w14:paraId="0FC05751">
            <w:pPr>
              <w:snapToGrid w:val="0"/>
              <w:spacing w:line="460" w:lineRule="exact"/>
              <w:jc w:val="center"/>
              <w:rPr>
                <w:rFonts w:hint="eastAsia" w:ascii="宋体" w:hAnsi="宋体" w:cs="宋体"/>
                <w:color w:val="auto"/>
                <w:sz w:val="21"/>
                <w:szCs w:val="21"/>
                <w:highlight w:val="none"/>
              </w:rPr>
            </w:pPr>
          </w:p>
        </w:tc>
        <w:tc>
          <w:tcPr>
            <w:tcW w:w="830" w:type="dxa"/>
          </w:tcPr>
          <w:p w14:paraId="60E28515">
            <w:pPr>
              <w:snapToGrid w:val="0"/>
              <w:spacing w:line="460" w:lineRule="exact"/>
              <w:jc w:val="center"/>
              <w:rPr>
                <w:rFonts w:hint="eastAsia" w:ascii="宋体" w:hAnsi="宋体" w:cs="宋体"/>
                <w:color w:val="auto"/>
                <w:sz w:val="21"/>
                <w:szCs w:val="21"/>
                <w:highlight w:val="none"/>
              </w:rPr>
            </w:pPr>
          </w:p>
        </w:tc>
        <w:tc>
          <w:tcPr>
            <w:tcW w:w="1722" w:type="dxa"/>
            <w:vAlign w:val="center"/>
          </w:tcPr>
          <w:p w14:paraId="6D185B7B">
            <w:pPr>
              <w:snapToGrid w:val="0"/>
              <w:spacing w:line="460" w:lineRule="exact"/>
              <w:jc w:val="center"/>
              <w:rPr>
                <w:rFonts w:hint="eastAsia" w:ascii="宋体" w:hAnsi="宋体" w:cs="宋体"/>
                <w:color w:val="auto"/>
                <w:sz w:val="21"/>
                <w:szCs w:val="21"/>
                <w:highlight w:val="none"/>
              </w:rPr>
            </w:pPr>
          </w:p>
        </w:tc>
        <w:tc>
          <w:tcPr>
            <w:tcW w:w="1276" w:type="dxa"/>
          </w:tcPr>
          <w:p w14:paraId="5A7A6A41">
            <w:pPr>
              <w:snapToGrid w:val="0"/>
              <w:spacing w:line="460" w:lineRule="exact"/>
              <w:jc w:val="center"/>
              <w:rPr>
                <w:rFonts w:hint="eastAsia" w:ascii="宋体" w:hAnsi="宋体" w:cs="宋体"/>
                <w:color w:val="auto"/>
                <w:sz w:val="21"/>
                <w:szCs w:val="21"/>
                <w:highlight w:val="none"/>
              </w:rPr>
            </w:pPr>
          </w:p>
        </w:tc>
      </w:tr>
      <w:tr w14:paraId="2AA6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709" w:type="dxa"/>
            <w:vAlign w:val="center"/>
          </w:tcPr>
          <w:p w14:paraId="4E417B9F">
            <w:pPr>
              <w:snapToGrid w:val="0"/>
              <w:spacing w:line="460" w:lineRule="exact"/>
              <w:jc w:val="center"/>
              <w:rPr>
                <w:rFonts w:hint="eastAsia" w:ascii="宋体" w:hAnsi="宋体" w:cs="宋体"/>
                <w:color w:val="auto"/>
                <w:sz w:val="21"/>
                <w:szCs w:val="21"/>
                <w:highlight w:val="none"/>
              </w:rPr>
            </w:pPr>
          </w:p>
        </w:tc>
        <w:tc>
          <w:tcPr>
            <w:tcW w:w="1034" w:type="dxa"/>
            <w:vAlign w:val="center"/>
          </w:tcPr>
          <w:p w14:paraId="41305DCD">
            <w:pPr>
              <w:snapToGrid w:val="0"/>
              <w:spacing w:line="460" w:lineRule="exact"/>
              <w:jc w:val="center"/>
              <w:rPr>
                <w:rFonts w:hint="eastAsia" w:ascii="宋体" w:hAnsi="宋体" w:cs="宋体"/>
                <w:color w:val="auto"/>
                <w:sz w:val="21"/>
                <w:szCs w:val="21"/>
                <w:highlight w:val="none"/>
              </w:rPr>
            </w:pPr>
          </w:p>
        </w:tc>
        <w:tc>
          <w:tcPr>
            <w:tcW w:w="1134" w:type="dxa"/>
            <w:vAlign w:val="center"/>
          </w:tcPr>
          <w:p w14:paraId="778B4F8B">
            <w:pPr>
              <w:snapToGrid w:val="0"/>
              <w:spacing w:line="460" w:lineRule="exact"/>
              <w:jc w:val="center"/>
              <w:rPr>
                <w:rFonts w:hint="eastAsia" w:ascii="宋体" w:hAnsi="宋体" w:cs="宋体"/>
                <w:color w:val="auto"/>
                <w:sz w:val="21"/>
                <w:szCs w:val="21"/>
                <w:highlight w:val="none"/>
              </w:rPr>
            </w:pPr>
          </w:p>
        </w:tc>
        <w:tc>
          <w:tcPr>
            <w:tcW w:w="1276" w:type="dxa"/>
            <w:vAlign w:val="center"/>
          </w:tcPr>
          <w:p w14:paraId="3677920A">
            <w:pPr>
              <w:snapToGrid w:val="0"/>
              <w:spacing w:line="460" w:lineRule="exact"/>
              <w:jc w:val="center"/>
              <w:rPr>
                <w:rFonts w:hint="eastAsia" w:ascii="宋体" w:hAnsi="宋体" w:cs="宋体"/>
                <w:color w:val="auto"/>
                <w:sz w:val="21"/>
                <w:szCs w:val="21"/>
                <w:highlight w:val="none"/>
              </w:rPr>
            </w:pPr>
          </w:p>
        </w:tc>
        <w:tc>
          <w:tcPr>
            <w:tcW w:w="1134" w:type="dxa"/>
          </w:tcPr>
          <w:p w14:paraId="242A5DEE">
            <w:pPr>
              <w:snapToGrid w:val="0"/>
              <w:spacing w:line="460" w:lineRule="exact"/>
              <w:jc w:val="center"/>
              <w:rPr>
                <w:rFonts w:hint="eastAsia" w:ascii="宋体" w:hAnsi="宋体" w:cs="宋体"/>
                <w:color w:val="auto"/>
                <w:sz w:val="21"/>
                <w:szCs w:val="21"/>
                <w:highlight w:val="none"/>
              </w:rPr>
            </w:pPr>
          </w:p>
        </w:tc>
        <w:tc>
          <w:tcPr>
            <w:tcW w:w="992" w:type="dxa"/>
            <w:vAlign w:val="center"/>
          </w:tcPr>
          <w:p w14:paraId="08623434">
            <w:pPr>
              <w:snapToGrid w:val="0"/>
              <w:spacing w:line="460" w:lineRule="exact"/>
              <w:jc w:val="center"/>
              <w:rPr>
                <w:rFonts w:hint="eastAsia" w:ascii="宋体" w:hAnsi="宋体" w:cs="宋体"/>
                <w:color w:val="auto"/>
                <w:sz w:val="21"/>
                <w:szCs w:val="21"/>
                <w:highlight w:val="none"/>
              </w:rPr>
            </w:pPr>
          </w:p>
        </w:tc>
        <w:tc>
          <w:tcPr>
            <w:tcW w:w="709" w:type="dxa"/>
            <w:vAlign w:val="center"/>
          </w:tcPr>
          <w:p w14:paraId="3A795FF8">
            <w:pPr>
              <w:snapToGrid w:val="0"/>
              <w:spacing w:line="460" w:lineRule="exact"/>
              <w:jc w:val="center"/>
              <w:rPr>
                <w:rFonts w:hint="eastAsia" w:ascii="宋体" w:hAnsi="宋体" w:cs="宋体"/>
                <w:color w:val="auto"/>
                <w:sz w:val="21"/>
                <w:szCs w:val="21"/>
                <w:highlight w:val="none"/>
              </w:rPr>
            </w:pPr>
          </w:p>
        </w:tc>
        <w:tc>
          <w:tcPr>
            <w:tcW w:w="830" w:type="dxa"/>
          </w:tcPr>
          <w:p w14:paraId="5D6385F5">
            <w:pPr>
              <w:snapToGrid w:val="0"/>
              <w:spacing w:line="460" w:lineRule="exact"/>
              <w:jc w:val="center"/>
              <w:rPr>
                <w:rFonts w:hint="eastAsia" w:ascii="宋体" w:hAnsi="宋体" w:cs="宋体"/>
                <w:color w:val="auto"/>
                <w:sz w:val="21"/>
                <w:szCs w:val="21"/>
                <w:highlight w:val="none"/>
              </w:rPr>
            </w:pPr>
          </w:p>
        </w:tc>
        <w:tc>
          <w:tcPr>
            <w:tcW w:w="1722" w:type="dxa"/>
            <w:vAlign w:val="center"/>
          </w:tcPr>
          <w:p w14:paraId="4E16F22D">
            <w:pPr>
              <w:snapToGrid w:val="0"/>
              <w:spacing w:line="460" w:lineRule="exact"/>
              <w:jc w:val="center"/>
              <w:rPr>
                <w:rFonts w:hint="eastAsia" w:ascii="宋体" w:hAnsi="宋体" w:cs="宋体"/>
                <w:color w:val="auto"/>
                <w:sz w:val="21"/>
                <w:szCs w:val="21"/>
                <w:highlight w:val="none"/>
              </w:rPr>
            </w:pPr>
          </w:p>
        </w:tc>
        <w:tc>
          <w:tcPr>
            <w:tcW w:w="1276" w:type="dxa"/>
          </w:tcPr>
          <w:p w14:paraId="615590F2">
            <w:pPr>
              <w:snapToGrid w:val="0"/>
              <w:spacing w:line="460" w:lineRule="exact"/>
              <w:jc w:val="center"/>
              <w:rPr>
                <w:rFonts w:hint="eastAsia" w:ascii="宋体" w:hAnsi="宋体" w:cs="宋体"/>
                <w:color w:val="auto"/>
                <w:sz w:val="21"/>
                <w:szCs w:val="21"/>
                <w:highlight w:val="none"/>
              </w:rPr>
            </w:pPr>
          </w:p>
        </w:tc>
      </w:tr>
      <w:tr w14:paraId="21D7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0816" w:type="dxa"/>
            <w:gridSpan w:val="10"/>
          </w:tcPr>
          <w:p w14:paraId="5114B105">
            <w:pPr>
              <w:snapToGrid w:val="0"/>
              <w:spacing w:line="46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合计金额（人民币大写</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（小写）</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p>
        </w:tc>
      </w:tr>
    </w:tbl>
    <w:p w14:paraId="764AA393">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合同合计金额包括货物价款、配套软件、标准附件、随配附件、备品备件、辅助材料、专用工具、包装、运抵指定交货地点、运输、装卸、完工清场清洁、货到就位、安装、调试、检验、技术培训、技术资料、售后服务、保险、投标费用、预验收及履约验收及售后服务、人工费、一切税费等全部费用，甲方不再支付合同合计金额以外的其他费用。</w:t>
      </w:r>
    </w:p>
    <w:p w14:paraId="28723803">
      <w:pPr>
        <w:snapToGrid w:val="0"/>
        <w:spacing w:line="460" w:lineRule="exact"/>
        <w:ind w:firstLine="422" w:firstLineChars="200"/>
        <w:rPr>
          <w:rFonts w:hint="eastAsia" w:ascii="宋体" w:hAnsi="宋体" w:cs="宋体"/>
          <w:color w:val="auto"/>
          <w:sz w:val="21"/>
          <w:szCs w:val="21"/>
          <w:highlight w:val="none"/>
        </w:rPr>
      </w:pPr>
      <w:r>
        <w:rPr>
          <w:rFonts w:hint="eastAsia" w:ascii="宋体" w:hAnsi="宋体" w:cs="宋体"/>
          <w:b/>
          <w:color w:val="auto"/>
          <w:sz w:val="21"/>
          <w:szCs w:val="21"/>
          <w:highlight w:val="none"/>
        </w:rPr>
        <w:t>第二条　质量要求</w:t>
      </w:r>
    </w:p>
    <w:p w14:paraId="40DB9D70">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1.乙方所提供的产品名称、商标品牌、生产厂家、规格型号、技术参数等质量必须与采购文件规定及响应文件承诺相一致。乙方提供的节能和环保产品必须是列入政府采购品目清单的产品。</w:t>
      </w:r>
    </w:p>
    <w:p w14:paraId="44339D11">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2.乙方所提供的货物必须是全新、未使用的原装产品，且在正常安装、使用和保养条件下，其使用寿命期内各项指标均达到采购文件规定或者响应文件承诺的质量要求。</w:t>
      </w:r>
    </w:p>
    <w:p w14:paraId="75A44AB2">
      <w:pPr>
        <w:snapToGrid w:val="0"/>
        <w:spacing w:line="460" w:lineRule="exact"/>
        <w:ind w:firstLine="422" w:firstLineChars="200"/>
        <w:rPr>
          <w:rFonts w:hint="eastAsia" w:ascii="宋体" w:hAnsi="宋体" w:cs="宋体"/>
          <w:color w:val="auto"/>
          <w:sz w:val="21"/>
          <w:szCs w:val="21"/>
          <w:highlight w:val="none"/>
        </w:rPr>
      </w:pPr>
      <w:r>
        <w:rPr>
          <w:rFonts w:hint="eastAsia" w:ascii="宋体" w:hAnsi="宋体" w:cs="宋体"/>
          <w:b/>
          <w:color w:val="auto"/>
          <w:sz w:val="21"/>
          <w:szCs w:val="21"/>
          <w:highlight w:val="none"/>
        </w:rPr>
        <w:t>第三条　权利保证</w:t>
      </w:r>
    </w:p>
    <w:p w14:paraId="3AD28B0C">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1.乙方应保证所提供货物在使用时不会侵犯任何第三方的专利权、商标权、工业设计权或者其他权利。</w:t>
      </w:r>
    </w:p>
    <w:p w14:paraId="3A2D12EB">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2.乙方应按采购文件规定或者响应文件承诺的时间向甲方提供使用货物的有关技术资料。</w:t>
      </w:r>
    </w:p>
    <w:p w14:paraId="6E3B86C1">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没有甲方事先书面同意，乙方不得将由甲方提供的有关合同或者任何合同条文、规格、计划、图纸、样品或者资料提供给与履行本合同无关的任何其他人。即使向履行本合同有关的人员提供，也应注意保密并限于履行合同的必需范围。</w:t>
      </w:r>
    </w:p>
    <w:p w14:paraId="7CAD7B97">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4.乙方保证将要交付的货物的所有权完全属于乙方且无任何抵押、质押、查封等产权瑕疵。</w:t>
      </w:r>
    </w:p>
    <w:p w14:paraId="266B5C33">
      <w:pPr>
        <w:snapToGrid w:val="0"/>
        <w:spacing w:line="460" w:lineRule="exact"/>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rPr>
        <w:t>第四条　包装、运输和签收</w:t>
      </w:r>
    </w:p>
    <w:p w14:paraId="7FBCCC3E">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1.乙方提供的货物均应包装完整，每一包装单元内应附详细的装箱单和质量合格证。</w:t>
      </w:r>
    </w:p>
    <w:p w14:paraId="08F45DD0">
      <w:pPr>
        <w:pStyle w:val="15"/>
        <w:snapToGrid w:val="0"/>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2.货物的运输：</w:t>
      </w:r>
      <w:r>
        <w:rPr>
          <w:rFonts w:hAnsi="宋体" w:cs="宋体"/>
          <w:color w:val="auto"/>
          <w:sz w:val="21"/>
          <w:szCs w:val="21"/>
          <w:highlight w:val="none"/>
          <w:u w:val="single"/>
        </w:rPr>
        <w:t xml:space="preserve"> </w:t>
      </w:r>
      <w:r>
        <w:rPr>
          <w:rFonts w:hint="eastAsia" w:hAnsi="宋体" w:cs="宋体"/>
          <w:color w:val="auto"/>
          <w:sz w:val="21"/>
          <w:szCs w:val="21"/>
          <w:highlight w:val="none"/>
          <w:u w:val="single"/>
        </w:rPr>
        <w:t xml:space="preserve">        </w:t>
      </w:r>
      <w:r>
        <w:rPr>
          <w:rFonts w:hAnsi="宋体" w:cs="宋体"/>
          <w:color w:val="auto"/>
          <w:sz w:val="21"/>
          <w:szCs w:val="21"/>
          <w:highlight w:val="none"/>
          <w:u w:val="single"/>
        </w:rPr>
        <w:t>。</w:t>
      </w:r>
    </w:p>
    <w:p w14:paraId="21BFAEA2">
      <w:pPr>
        <w:pStyle w:val="15"/>
        <w:snapToGrid w:val="0"/>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 乙方负责货物运输，货物运输合理损耗及计算方法：</w:t>
      </w:r>
      <w:r>
        <w:rPr>
          <w:rFonts w:hint="eastAsia" w:hAnsi="宋体" w:cs="宋体"/>
          <w:color w:val="auto"/>
          <w:sz w:val="21"/>
          <w:szCs w:val="21"/>
          <w:highlight w:val="none"/>
          <w:u w:val="single"/>
        </w:rPr>
        <w:t>甲方不接受损耗。</w:t>
      </w:r>
    </w:p>
    <w:p w14:paraId="519B4DEC">
      <w:pPr>
        <w:pStyle w:val="15"/>
        <w:snapToGrid w:val="0"/>
        <w:spacing w:line="440" w:lineRule="exact"/>
        <w:ind w:firstLine="420" w:firstLineChars="200"/>
        <w:rPr>
          <w:rFonts w:hint="eastAsia" w:hAnsi="宋体" w:cs="宋体"/>
          <w:color w:val="auto"/>
          <w:sz w:val="21"/>
          <w:szCs w:val="21"/>
          <w:highlight w:val="none"/>
        </w:rPr>
      </w:pPr>
      <w:r>
        <w:rPr>
          <w:rFonts w:hAnsi="宋体" w:cs="宋体"/>
          <w:color w:val="auto"/>
          <w:sz w:val="21"/>
          <w:szCs w:val="21"/>
          <w:highlight w:val="none"/>
        </w:rPr>
        <w:t>4.</w:t>
      </w:r>
      <w:r>
        <w:rPr>
          <w:rFonts w:hint="eastAsia" w:hAnsi="宋体" w:cs="宋体"/>
          <w:color w:val="auto"/>
          <w:sz w:val="21"/>
          <w:szCs w:val="21"/>
          <w:highlight w:val="none"/>
        </w:rPr>
        <w:t>乙方应在货物发运前对其进行满足运输距离、防潮、防震、防锈和防破损装卸等要求包装，以保证货物安全运达甲方指定地点。</w:t>
      </w:r>
    </w:p>
    <w:p w14:paraId="4E09451A">
      <w:pPr>
        <w:pStyle w:val="15"/>
        <w:snapToGrid w:val="0"/>
        <w:spacing w:line="440" w:lineRule="exact"/>
        <w:ind w:firstLine="420" w:firstLineChars="200"/>
        <w:rPr>
          <w:rFonts w:hint="eastAsia" w:hAnsi="宋体" w:cs="宋体"/>
          <w:color w:val="auto"/>
          <w:sz w:val="21"/>
          <w:szCs w:val="21"/>
          <w:highlight w:val="none"/>
        </w:rPr>
      </w:pPr>
      <w:r>
        <w:rPr>
          <w:rFonts w:hAnsi="宋体" w:cs="宋体"/>
          <w:color w:val="auto"/>
          <w:sz w:val="21"/>
          <w:szCs w:val="21"/>
          <w:highlight w:val="none"/>
        </w:rPr>
        <w:t>5.</w:t>
      </w:r>
      <w:r>
        <w:rPr>
          <w:rFonts w:hint="eastAsia" w:hAnsi="宋体" w:cs="宋体"/>
          <w:color w:val="auto"/>
          <w:sz w:val="21"/>
          <w:szCs w:val="21"/>
          <w:highlight w:val="none"/>
        </w:rPr>
        <w:t xml:space="preserve"> 使用说明书、质量检验证明书、随配附件和工具以及清单一并附于货物内。</w:t>
      </w:r>
    </w:p>
    <w:p w14:paraId="54ACE5A3">
      <w:pPr>
        <w:pStyle w:val="15"/>
        <w:snapToGrid w:val="0"/>
        <w:spacing w:line="440" w:lineRule="exact"/>
        <w:ind w:firstLine="420" w:firstLineChars="200"/>
        <w:rPr>
          <w:rFonts w:hint="eastAsia" w:hAnsi="宋体" w:cs="宋体"/>
          <w:color w:val="auto"/>
          <w:sz w:val="21"/>
          <w:szCs w:val="21"/>
          <w:highlight w:val="none"/>
        </w:rPr>
      </w:pPr>
      <w:r>
        <w:rPr>
          <w:rFonts w:hAnsi="宋体" w:cs="宋体"/>
          <w:color w:val="auto"/>
          <w:sz w:val="21"/>
          <w:szCs w:val="21"/>
          <w:highlight w:val="none"/>
        </w:rPr>
        <w:t>6</w:t>
      </w:r>
      <w:r>
        <w:rPr>
          <w:rFonts w:hint="eastAsia" w:hAnsi="宋体" w:cs="宋体"/>
          <w:color w:val="auto"/>
          <w:sz w:val="21"/>
          <w:szCs w:val="21"/>
          <w:highlight w:val="none"/>
        </w:rPr>
        <w:t>.乙方在货物发运手续办理完毕后2</w:t>
      </w:r>
      <w:r>
        <w:rPr>
          <w:rFonts w:hAnsi="宋体" w:cs="宋体"/>
          <w:color w:val="auto"/>
          <w:sz w:val="21"/>
          <w:szCs w:val="21"/>
          <w:highlight w:val="none"/>
        </w:rPr>
        <w:t>4</w:t>
      </w:r>
      <w:r>
        <w:rPr>
          <w:rFonts w:hint="eastAsia" w:hAnsi="宋体" w:cs="宋体"/>
          <w:color w:val="auto"/>
          <w:sz w:val="21"/>
          <w:szCs w:val="21"/>
          <w:highlight w:val="none"/>
        </w:rPr>
        <w:t>小时内或者货到甲方4</w:t>
      </w:r>
      <w:r>
        <w:rPr>
          <w:rFonts w:hAnsi="宋体" w:cs="宋体"/>
          <w:color w:val="auto"/>
          <w:sz w:val="21"/>
          <w:szCs w:val="21"/>
          <w:highlight w:val="none"/>
        </w:rPr>
        <w:t>8</w:t>
      </w:r>
      <w:r>
        <w:rPr>
          <w:rFonts w:hint="eastAsia" w:hAnsi="宋体" w:cs="宋体"/>
          <w:color w:val="auto"/>
          <w:sz w:val="21"/>
          <w:szCs w:val="21"/>
          <w:highlight w:val="none"/>
        </w:rPr>
        <w:t>小时前通知甲方，以准备接货。</w:t>
      </w:r>
    </w:p>
    <w:p w14:paraId="07F28D56">
      <w:pPr>
        <w:pStyle w:val="15"/>
        <w:snapToGrid w:val="0"/>
        <w:spacing w:line="440" w:lineRule="exact"/>
        <w:ind w:firstLine="420" w:firstLineChars="200"/>
        <w:rPr>
          <w:rFonts w:hint="eastAsia" w:hAnsi="宋体" w:cs="宋体"/>
          <w:color w:val="auto"/>
          <w:sz w:val="21"/>
          <w:szCs w:val="21"/>
          <w:highlight w:val="none"/>
        </w:rPr>
      </w:pPr>
      <w:r>
        <w:rPr>
          <w:rFonts w:hAnsi="宋体" w:cs="宋体"/>
          <w:color w:val="auto"/>
          <w:sz w:val="21"/>
          <w:szCs w:val="21"/>
          <w:highlight w:val="none"/>
        </w:rPr>
        <w:t>7</w:t>
      </w:r>
      <w:r>
        <w:rPr>
          <w:rFonts w:hint="eastAsia" w:hAnsi="宋体" w:cs="宋体"/>
          <w:color w:val="auto"/>
          <w:sz w:val="21"/>
          <w:szCs w:val="21"/>
          <w:highlight w:val="none"/>
        </w:rPr>
        <w:t>.货物在规定的交付期限内由乙方送达甲方指定的地点，乙方同时需通知甲方货物已送达，甲方清点货物后签收，货物签收不作为最终验收合格的依据。</w:t>
      </w:r>
    </w:p>
    <w:p w14:paraId="7F24DE07">
      <w:pPr>
        <w:snapToGrid w:val="0"/>
        <w:spacing w:line="460" w:lineRule="exact"/>
        <w:ind w:firstLine="422" w:firstLineChars="200"/>
        <w:rPr>
          <w:rFonts w:hint="eastAsia" w:hAnsi="宋体" w:cs="宋体"/>
          <w:b/>
          <w:color w:val="auto"/>
          <w:sz w:val="21"/>
          <w:szCs w:val="21"/>
          <w:highlight w:val="none"/>
        </w:rPr>
      </w:pPr>
      <w:r>
        <w:rPr>
          <w:rFonts w:hint="eastAsia" w:ascii="宋体" w:hAnsi="宋体" w:cs="宋体"/>
          <w:b/>
          <w:color w:val="auto"/>
          <w:sz w:val="21"/>
          <w:szCs w:val="21"/>
          <w:highlight w:val="none"/>
        </w:rPr>
        <w:t>第五条　</w:t>
      </w:r>
      <w:r>
        <w:rPr>
          <w:rFonts w:hint="eastAsia" w:hAnsi="宋体" w:cs="宋体"/>
          <w:b/>
          <w:color w:val="auto"/>
          <w:sz w:val="21"/>
          <w:szCs w:val="21"/>
          <w:highlight w:val="none"/>
        </w:rPr>
        <w:t>安装和培训</w:t>
      </w:r>
    </w:p>
    <w:p w14:paraId="44669ED0">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1.甲方应提供必要安装条件（如场地、电源、水源等）。</w:t>
      </w:r>
    </w:p>
    <w:p w14:paraId="2FE77D89">
      <w:pPr>
        <w:snapToGrid w:val="0"/>
        <w:spacing w:line="460" w:lineRule="exact"/>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2.乙方响应文件承诺负责甲方有关人员的培训：</w:t>
      </w:r>
      <w:r>
        <w:rPr>
          <w:rFonts w:hint="eastAsia" w:ascii="宋体" w:hAnsi="宋体" w:cs="宋体"/>
          <w:color w:val="auto"/>
          <w:sz w:val="21"/>
          <w:szCs w:val="21"/>
          <w:highlight w:val="none"/>
          <w:u w:val="single"/>
        </w:rPr>
        <w:t>根据甲方要求开展。</w:t>
      </w:r>
    </w:p>
    <w:p w14:paraId="5EC7C0CB">
      <w:pPr>
        <w:snapToGrid w:val="0"/>
        <w:spacing w:line="460" w:lineRule="exact"/>
        <w:ind w:firstLine="420" w:firstLineChars="200"/>
        <w:rPr>
          <w:color w:val="auto"/>
          <w:sz w:val="21"/>
          <w:szCs w:val="21"/>
          <w:highlight w:val="none"/>
        </w:rPr>
      </w:pPr>
      <w:r>
        <w:rPr>
          <w:rFonts w:hint="eastAsia" w:ascii="宋体" w:hAnsi="宋体" w:cs="宋体"/>
          <w:color w:val="auto"/>
          <w:sz w:val="21"/>
          <w:szCs w:val="21"/>
          <w:highlight w:val="none"/>
        </w:rPr>
        <w:t>3.培训时间、地点：</w:t>
      </w:r>
      <w:r>
        <w:rPr>
          <w:rFonts w:hint="eastAsia" w:ascii="宋体" w:hAnsi="宋体" w:cs="宋体"/>
          <w:color w:val="auto"/>
          <w:sz w:val="21"/>
          <w:szCs w:val="21"/>
          <w:highlight w:val="none"/>
          <w:u w:val="single"/>
        </w:rPr>
        <w:t>甲方指定。</w:t>
      </w:r>
    </w:p>
    <w:p w14:paraId="7A44B564">
      <w:pPr>
        <w:keepNext w:val="0"/>
        <w:keepLines w:val="0"/>
        <w:pageBreakBefore w:val="0"/>
        <w:widowControl w:val="0"/>
        <w:kinsoku/>
        <w:wordWrap/>
        <w:overflowPunct/>
        <w:topLinePunct w:val="0"/>
        <w:autoSpaceDE/>
        <w:autoSpaceDN/>
        <w:bidi w:val="0"/>
        <w:adjustRightInd/>
        <w:snapToGrid w:val="0"/>
        <w:spacing w:line="460" w:lineRule="atLeast"/>
        <w:ind w:firstLine="422"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第</w:t>
      </w:r>
      <w:r>
        <w:rPr>
          <w:rFonts w:hint="eastAsia" w:asciiTheme="minorEastAsia" w:hAnsiTheme="minorEastAsia" w:eastAsiaTheme="minorEastAsia" w:cstheme="minorEastAsia"/>
          <w:b/>
          <w:color w:val="auto"/>
          <w:szCs w:val="21"/>
          <w:highlight w:val="none"/>
          <w:lang w:val="en-US" w:eastAsia="zh-CN"/>
        </w:rPr>
        <w:t>六</w:t>
      </w:r>
      <w:r>
        <w:rPr>
          <w:rFonts w:hint="eastAsia" w:asciiTheme="minorEastAsia" w:hAnsiTheme="minorEastAsia" w:eastAsiaTheme="minorEastAsia" w:cstheme="minorEastAsia"/>
          <w:b/>
          <w:color w:val="auto"/>
          <w:szCs w:val="21"/>
          <w:highlight w:val="none"/>
        </w:rPr>
        <w:t>条  交付和验收</w:t>
      </w:r>
    </w:p>
    <w:p w14:paraId="3515C9AB">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1.交付及使用时间：</w:t>
      </w:r>
      <w:r>
        <w:rPr>
          <w:rFonts w:hint="eastAsia" w:asciiTheme="minorEastAsia" w:hAnsiTheme="minorEastAsia" w:eastAsiaTheme="minorEastAsia" w:cstheme="minorEastAsia"/>
          <w:color w:val="auto"/>
          <w:szCs w:val="21"/>
          <w:highlight w:val="none"/>
          <w:u w:val="single"/>
        </w:rPr>
        <w:t>按乙方响应文件中所承诺的时间</w:t>
      </w:r>
      <w:r>
        <w:rPr>
          <w:rFonts w:hint="eastAsia" w:asciiTheme="minorEastAsia" w:hAnsiTheme="minorEastAsia" w:eastAsiaTheme="minorEastAsia" w:cstheme="minorEastAsia"/>
          <w:color w:val="auto"/>
          <w:szCs w:val="21"/>
          <w:highlight w:val="none"/>
        </w:rPr>
        <w:t>；地点：</w:t>
      </w:r>
      <w:r>
        <w:rPr>
          <w:rFonts w:hint="eastAsia" w:asciiTheme="minorEastAsia" w:hAnsiTheme="minorEastAsia" w:eastAsiaTheme="minorEastAsia" w:cstheme="minorEastAsia"/>
          <w:color w:val="auto"/>
          <w:szCs w:val="21"/>
          <w:highlight w:val="none"/>
          <w:u w:val="single"/>
        </w:rPr>
        <w:t xml:space="preserve"> 广西内采购单位指定地点（广西幼儿师范高等专科学校）。</w:t>
      </w:r>
      <w:r>
        <w:rPr>
          <w:rFonts w:hint="eastAsia" w:asciiTheme="minorEastAsia" w:hAnsiTheme="minorEastAsia" w:eastAsiaTheme="minorEastAsia" w:cstheme="minorEastAsia"/>
          <w:color w:val="auto"/>
          <w:highlight w:val="none"/>
        </w:rPr>
        <w:t>竞标产品必须为全新原装、未拆封、未激活的产品，</w:t>
      </w:r>
      <w:r>
        <w:rPr>
          <w:rFonts w:hint="eastAsia" w:asciiTheme="minorEastAsia" w:hAnsiTheme="minorEastAsia" w:eastAsiaTheme="minorEastAsia" w:cstheme="minorEastAsia"/>
          <w:color w:val="auto"/>
          <w:highlight w:val="none"/>
          <w:lang w:val="en-US" w:eastAsia="zh-CN"/>
        </w:rPr>
        <w:t>乙方</w:t>
      </w:r>
      <w:r>
        <w:rPr>
          <w:rFonts w:hint="eastAsia" w:asciiTheme="minorEastAsia" w:hAnsiTheme="minorEastAsia" w:eastAsiaTheme="minorEastAsia" w:cstheme="minorEastAsia"/>
          <w:color w:val="auto"/>
          <w:highlight w:val="none"/>
        </w:rPr>
        <w:t>所提供的产品、资料等要满足中华人民共和国的相应标准。需求清单中要求提供的检测报告、功能截图等证明材料在供货前需提供查验。所涉及软件，如硬件发生故障或者无法使用，</w:t>
      </w:r>
      <w:r>
        <w:rPr>
          <w:rFonts w:hint="eastAsia" w:asciiTheme="minorEastAsia" w:hAnsiTheme="minorEastAsia" w:eastAsiaTheme="minorEastAsia" w:cstheme="minorEastAsia"/>
          <w:color w:val="auto"/>
          <w:highlight w:val="none"/>
          <w:lang w:val="en-US" w:eastAsia="zh-CN"/>
        </w:rPr>
        <w:t>乙方</w:t>
      </w:r>
      <w:r>
        <w:rPr>
          <w:rFonts w:hint="eastAsia" w:asciiTheme="minorEastAsia" w:hAnsiTheme="minorEastAsia" w:eastAsiaTheme="minorEastAsia" w:cstheme="minorEastAsia"/>
          <w:color w:val="auto"/>
          <w:highlight w:val="none"/>
        </w:rPr>
        <w:t>负责把软件迁移至其他硬件，</w:t>
      </w:r>
      <w:r>
        <w:rPr>
          <w:rFonts w:hint="eastAsia" w:asciiTheme="minorEastAsia" w:hAnsiTheme="minorEastAsia" w:eastAsiaTheme="minorEastAsia" w:cstheme="minorEastAsia"/>
          <w:color w:val="auto"/>
          <w:highlight w:val="none"/>
          <w:lang w:val="en-US" w:eastAsia="zh-CN"/>
        </w:rPr>
        <w:t>甲方</w:t>
      </w:r>
      <w:r>
        <w:rPr>
          <w:rFonts w:hint="eastAsia" w:asciiTheme="minorEastAsia" w:hAnsiTheme="minorEastAsia" w:eastAsiaTheme="minorEastAsia" w:cstheme="minorEastAsia"/>
          <w:color w:val="auto"/>
          <w:highlight w:val="none"/>
        </w:rPr>
        <w:t>不再额外支付费用。</w:t>
      </w:r>
    </w:p>
    <w:p w14:paraId="173B943D">
      <w:pPr>
        <w:pStyle w:val="9"/>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2.交付标准：乙方交付前应对货物作出全面检查后，</w:t>
      </w:r>
      <w:r>
        <w:rPr>
          <w:rFonts w:hint="eastAsia" w:asciiTheme="minorEastAsia" w:hAnsiTheme="minorEastAsia" w:eastAsiaTheme="minorEastAsia" w:cstheme="minorEastAsia"/>
          <w:color w:val="auto"/>
          <w:szCs w:val="21"/>
          <w:highlight w:val="none"/>
        </w:rPr>
        <w:t>将符合合同文件要求的货物与相关的装箱清单、采购人手册、保修卡等单证和资料、工具和备品备件等一同交付给甲方。</w:t>
      </w:r>
      <w:r>
        <w:rPr>
          <w:rFonts w:hint="eastAsia" w:asciiTheme="minorEastAsia" w:hAnsiTheme="minorEastAsia" w:eastAsiaTheme="minorEastAsia" w:cstheme="minorEastAsia"/>
          <w:color w:val="auto"/>
          <w:highlight w:val="none"/>
        </w:rPr>
        <w:t>培训完成后方能验收，并签署验收意见书。</w:t>
      </w:r>
    </w:p>
    <w:p w14:paraId="43CD5595">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3.验收要求：</w:t>
      </w:r>
    </w:p>
    <w:p w14:paraId="6C471550">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（1）甲方可以根据采购项目具体情况自行组织验收，或者委托第三方机构或部门开展采购项目履约验收工作，验收过程中所产生的一切费用均由承包人承担，报价时应考虑相关费用。</w:t>
      </w:r>
    </w:p>
    <w:p w14:paraId="4DEE3501">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项目验收如委托第三方机构组织实施的，由验收小组对照采购文件的技术参数要求核对检验，如不符合采购文件的技术参数要求的，按合同约定执行，乙方承担所有责任和费用。甲方保留进一步追究责任的权利。</w:t>
      </w:r>
    </w:p>
    <w:p w14:paraId="565F602D">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①验收活动开始前，乙方应对货物作出全面检查和对验收文件进行整理，并列出清单，作为甲方收货验收和使用的技术条件依据。</w:t>
      </w:r>
      <w:r>
        <w:rPr>
          <w:rFonts w:hint="eastAsia" w:asciiTheme="minorEastAsia" w:hAnsiTheme="minorEastAsia" w:eastAsiaTheme="minorEastAsia" w:cstheme="minorEastAsia"/>
          <w:color w:val="auto"/>
          <w:highlight w:val="none"/>
          <w:lang w:eastAsia="zh-CN"/>
        </w:rPr>
        <w:t>同时需对甲方人员进行培训，培训完成后由甲方签署培训记录表，作为验收依据。</w:t>
      </w:r>
    </w:p>
    <w:p w14:paraId="35F801FB">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②因验收不合格的，需要再次组织验收的，由此产生相关成本费用由乙方承担。</w:t>
      </w:r>
    </w:p>
    <w:p w14:paraId="23294DDD">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（3）验收时乙方提供验收文档，具体如下：技术方案、实施方案、售后服务方案、培训方案、系统部署文档、测试文档、使用说明书、电子文档等。</w:t>
      </w:r>
    </w:p>
    <w:p w14:paraId="0FA74A7B">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为了保证本次货物的质量，乙方在全部货物交货安装前，甲方有权对供货设备测试预验收，以确认产品的技术指标和性能是否达到采购文件中所规定以及响应文件所承诺的技术功能要求，若测试结果不能满足采购文件参数要求以及响应文件所承诺的技术功能要求，甲方有权单方面终止合同，并追究供应商责任。</w:t>
      </w:r>
    </w:p>
    <w:p w14:paraId="3107F5A4">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甲方有权委托第三方机构组织验收，验收按上述规定执行，乙方应予以配合。对大型或技术复杂的货物，甲方应请国家认可的专业检测机构参与初步验收及最终验收，并由其出具质量检测报告。甲方委托第三方机构组织或专业检测机构参与验收的，验收费用由乙方负责。</w:t>
      </w:r>
    </w:p>
    <w:p w14:paraId="58EC2E28">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）甲方委托第三方组织验收的，其验收时间、验收程序以该项目验收方案确定的验收时间、验收程序为准，验收结果以该项目验收报告结论为准。</w:t>
      </w:r>
    </w:p>
    <w:p w14:paraId="3E1033E0">
      <w:pPr>
        <w:keepNext w:val="0"/>
        <w:keepLines w:val="0"/>
        <w:pageBreakBefore w:val="0"/>
        <w:widowControl w:val="0"/>
        <w:kinsoku/>
        <w:wordWrap/>
        <w:overflowPunct/>
        <w:topLinePunct w:val="0"/>
        <w:autoSpaceDE/>
        <w:autoSpaceDN/>
        <w:bidi w:val="0"/>
        <w:adjustRightInd/>
        <w:snapToGrid w:val="0"/>
        <w:spacing w:line="460" w:lineRule="atLeast"/>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甲方对乙方的产品有异议的，在乙方到货并安装、调试完，收到乙方可以开展验收工作的书面通知后七个工作日内向乙方提出，乙方应自收到甲方异议后五个工作日内及时予以解决，否则甲方有权不出具服务验收合格单。乙方在期限内不予书面答复或未予以实质解决的，视为认可甲方异议及处置意见。</w:t>
      </w:r>
    </w:p>
    <w:p w14:paraId="14FD3BCD">
      <w:pPr>
        <w:pStyle w:val="11"/>
        <w:keepNext w:val="0"/>
        <w:keepLines w:val="0"/>
        <w:pageBreakBefore w:val="0"/>
        <w:widowControl w:val="0"/>
        <w:kinsoku/>
        <w:wordWrap/>
        <w:overflowPunct/>
        <w:topLinePunct w:val="0"/>
        <w:autoSpaceDE/>
        <w:autoSpaceDN/>
        <w:bidi w:val="0"/>
        <w:adjustRightInd/>
        <w:spacing w:line="460" w:lineRule="atLeas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51EBE703">
      <w:pPr>
        <w:keepNext w:val="0"/>
        <w:keepLines w:val="0"/>
        <w:pageBreakBefore w:val="0"/>
        <w:widowControl w:val="0"/>
        <w:kinsoku/>
        <w:wordWrap/>
        <w:overflowPunct/>
        <w:topLinePunct w:val="0"/>
        <w:autoSpaceDE/>
        <w:autoSpaceDN/>
        <w:bidi w:val="0"/>
        <w:adjustRightInd/>
        <w:snapToGrid w:val="0"/>
        <w:spacing w:line="460" w:lineRule="atLeast"/>
        <w:ind w:left="-61" w:firstLine="514"/>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rPr>
        <w:t>第七条　付款方式</w:t>
      </w:r>
    </w:p>
    <w:p w14:paraId="620A3920">
      <w:pPr>
        <w:snapToGrid w:val="0"/>
        <w:spacing w:line="360" w:lineRule="auto"/>
        <w:ind w:left="-61" w:firstLine="514"/>
        <w:rPr>
          <w:color w:val="auto"/>
          <w:sz w:val="21"/>
          <w:szCs w:val="21"/>
          <w:highlight w:val="none"/>
        </w:rPr>
      </w:pPr>
      <w:r>
        <w:rPr>
          <w:rFonts w:hint="eastAsia" w:ascii="宋体" w:hAnsi="宋体" w:cs="宋体"/>
          <w:bCs/>
          <w:color w:val="auto"/>
          <w:sz w:val="21"/>
          <w:szCs w:val="21"/>
          <w:highlight w:val="none"/>
        </w:rPr>
        <w:t>付款方式：</w:t>
      </w:r>
      <w:r>
        <w:rPr>
          <w:rFonts w:hint="eastAsia" w:ascii="宋体" w:hAnsi="宋体" w:cs="宋体"/>
          <w:bCs/>
          <w:color w:val="auto"/>
          <w:sz w:val="21"/>
          <w:szCs w:val="21"/>
          <w:highlight w:val="none"/>
          <w:u w:val="single"/>
        </w:rPr>
        <w:t xml:space="preserve">                                        </w:t>
      </w:r>
    </w:p>
    <w:p w14:paraId="3D3E7510">
      <w:pPr>
        <w:snapToGrid w:val="0"/>
        <w:spacing w:line="460" w:lineRule="exact"/>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rPr>
        <w:t>第八条　履约保证金</w:t>
      </w:r>
    </w:p>
    <w:p w14:paraId="201DCAFE">
      <w:pPr>
        <w:snapToGrid w:val="0"/>
        <w:spacing w:line="460" w:lineRule="exact"/>
        <w:ind w:firstLine="514"/>
        <w:rPr>
          <w:rFonts w:hint="eastAsia" w:ascii="宋体" w:hAnsi="宋体" w:cs="宋体"/>
          <w:bCs/>
          <w:color w:val="auto"/>
          <w:sz w:val="21"/>
          <w:szCs w:val="21"/>
          <w:highlight w:val="none"/>
        </w:rPr>
      </w:pPr>
      <w:r>
        <w:rPr>
          <w:rFonts w:ascii="宋体" w:hAnsi="宋体" w:cs="宋体"/>
          <w:bCs/>
          <w:color w:val="auto"/>
          <w:sz w:val="21"/>
          <w:szCs w:val="21"/>
          <w:highlight w:val="none"/>
        </w:rPr>
        <w:t>1.</w:t>
      </w:r>
      <w:r>
        <w:rPr>
          <w:rFonts w:hint="eastAsia" w:ascii="宋体" w:hAnsi="宋体" w:cs="宋体"/>
          <w:bCs/>
          <w:color w:val="auto"/>
          <w:sz w:val="21"/>
          <w:szCs w:val="21"/>
          <w:highlight w:val="none"/>
        </w:rPr>
        <w:t>乙方</w:t>
      </w:r>
      <w:r>
        <w:rPr>
          <w:rFonts w:ascii="宋体" w:hAnsi="宋体" w:cs="宋体"/>
          <w:bCs/>
          <w:color w:val="auto"/>
          <w:sz w:val="21"/>
          <w:szCs w:val="21"/>
          <w:highlight w:val="none"/>
        </w:rPr>
        <w:t>于合同签订前按成交金额的</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5</w:t>
      </w:r>
      <w:r>
        <w:rPr>
          <w:rFonts w:ascii="宋体" w:hAnsi="宋体" w:cs="宋体"/>
          <w:bCs/>
          <w:color w:val="auto"/>
          <w:sz w:val="21"/>
          <w:szCs w:val="21"/>
          <w:highlight w:val="none"/>
          <w:u w:val="single"/>
        </w:rPr>
        <w:t xml:space="preserve"> </w:t>
      </w:r>
      <w:r>
        <w:rPr>
          <w:rFonts w:ascii="宋体" w:hAnsi="宋体" w:cs="宋体"/>
          <w:bCs/>
          <w:color w:val="auto"/>
          <w:sz w:val="21"/>
          <w:szCs w:val="21"/>
          <w:highlight w:val="none"/>
        </w:rPr>
        <w:t>%</w:t>
      </w:r>
      <w:r>
        <w:rPr>
          <w:rFonts w:hint="eastAsia" w:ascii="宋体" w:hAnsi="宋体" w:cs="宋体"/>
          <w:bCs/>
          <w:color w:val="auto"/>
          <w:sz w:val="21"/>
          <w:szCs w:val="21"/>
          <w:highlight w:val="none"/>
          <w:lang w:eastAsia="zh-CN"/>
        </w:rPr>
        <w:t>（中小企业按合同金额的2%）</w:t>
      </w:r>
      <w:r>
        <w:rPr>
          <w:rFonts w:ascii="宋体" w:hAnsi="宋体" w:cs="宋体"/>
          <w:bCs/>
          <w:color w:val="auto"/>
          <w:sz w:val="21"/>
          <w:szCs w:val="21"/>
          <w:highlight w:val="none"/>
        </w:rPr>
        <w:t>向</w:t>
      </w:r>
      <w:r>
        <w:rPr>
          <w:rFonts w:hint="eastAsia" w:ascii="宋体" w:hAnsi="宋体" w:cs="宋体"/>
          <w:bCs/>
          <w:color w:val="auto"/>
          <w:sz w:val="21"/>
          <w:szCs w:val="21"/>
          <w:highlight w:val="none"/>
        </w:rPr>
        <w:t>甲方</w:t>
      </w:r>
      <w:r>
        <w:rPr>
          <w:rFonts w:ascii="宋体" w:hAnsi="宋体" w:cs="宋体"/>
          <w:bCs/>
          <w:color w:val="auto"/>
          <w:sz w:val="21"/>
          <w:szCs w:val="21"/>
          <w:highlight w:val="none"/>
        </w:rPr>
        <w:t xml:space="preserve">指定账户提交履约保证金。 </w:t>
      </w:r>
    </w:p>
    <w:p w14:paraId="3201467E">
      <w:pPr>
        <w:snapToGrid w:val="0"/>
        <w:spacing w:line="460" w:lineRule="exact"/>
        <w:ind w:firstLine="514"/>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2.递交方式：银行转账、支票、汇票、本票或者金融、担保机构出具的保函等非现金方式。 </w:t>
      </w:r>
    </w:p>
    <w:p w14:paraId="75FA2FE7">
      <w:pPr>
        <w:snapToGrid w:val="0"/>
        <w:spacing w:line="460" w:lineRule="exact"/>
        <w:ind w:firstLine="514"/>
        <w:rPr>
          <w:rFonts w:hint="eastAsia" w:ascii="宋体" w:hAnsi="宋体" w:cs="宋体"/>
          <w:bCs/>
          <w:color w:val="auto"/>
          <w:sz w:val="21"/>
          <w:szCs w:val="21"/>
          <w:highlight w:val="none"/>
        </w:rPr>
      </w:pPr>
      <w:r>
        <w:rPr>
          <w:rFonts w:ascii="宋体" w:hAnsi="宋体" w:cs="宋体"/>
          <w:bCs/>
          <w:color w:val="auto"/>
          <w:sz w:val="21"/>
          <w:szCs w:val="21"/>
          <w:highlight w:val="none"/>
        </w:rPr>
        <w:t>3.</w:t>
      </w:r>
      <w:r>
        <w:rPr>
          <w:rFonts w:hint="eastAsia" w:ascii="宋体" w:hAnsi="宋体" w:cs="宋体"/>
          <w:bCs/>
          <w:color w:val="auto"/>
          <w:sz w:val="21"/>
          <w:szCs w:val="21"/>
          <w:highlight w:val="none"/>
        </w:rPr>
        <w:t>乙方</w:t>
      </w:r>
      <w:r>
        <w:rPr>
          <w:rFonts w:ascii="宋体" w:hAnsi="宋体" w:cs="宋体"/>
          <w:bCs/>
          <w:color w:val="auto"/>
          <w:sz w:val="21"/>
          <w:szCs w:val="21"/>
          <w:highlight w:val="none"/>
        </w:rPr>
        <w:t>若不能完全履行合同，履约保证金不返还；</w:t>
      </w:r>
      <w:r>
        <w:rPr>
          <w:rFonts w:hint="eastAsia" w:ascii="宋体" w:hAnsi="宋体" w:cs="宋体"/>
          <w:color w:val="auto"/>
          <w:sz w:val="21"/>
          <w:szCs w:val="21"/>
          <w:highlight w:val="none"/>
          <w:lang w:eastAsia="zh-CN"/>
        </w:rPr>
        <w:t>合同验收满 (1年)项目无质量问题，成交供应商向采购人提供验收单及履约保证金退付申请，采购人在15个工作日内无息退还履约保证金</w:t>
      </w:r>
      <w:r>
        <w:rPr>
          <w:rFonts w:cs="宋体"/>
          <w:color w:val="auto"/>
          <w:kern w:val="0"/>
          <w:szCs w:val="21"/>
        </w:rPr>
        <w:t>。</w:t>
      </w:r>
      <w:r>
        <w:rPr>
          <w:rFonts w:ascii="宋体" w:hAnsi="宋体" w:cs="宋体"/>
          <w:bCs/>
          <w:color w:val="auto"/>
          <w:sz w:val="21"/>
          <w:szCs w:val="21"/>
          <w:highlight w:val="none"/>
        </w:rPr>
        <w:t>涉及违约的违约金和损失赔偿从履约保证金中扣减。</w:t>
      </w:r>
    </w:p>
    <w:p w14:paraId="1A0CB2D9">
      <w:pPr>
        <w:snapToGrid w:val="0"/>
        <w:spacing w:line="460" w:lineRule="exact"/>
        <w:ind w:firstLine="514"/>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履约保证金指定账户： </w:t>
      </w:r>
    </w:p>
    <w:p w14:paraId="453F963D">
      <w:pPr>
        <w:snapToGrid w:val="0"/>
        <w:spacing w:line="460" w:lineRule="exact"/>
        <w:ind w:firstLine="514"/>
        <w:rPr>
          <w:rFonts w:hint="eastAsia" w:ascii="宋体" w:hAnsi="宋体" w:cs="宋体"/>
          <w:bCs/>
          <w:color w:val="auto"/>
          <w:sz w:val="21"/>
          <w:szCs w:val="21"/>
          <w:highlight w:val="none"/>
        </w:rPr>
      </w:pPr>
      <w:r>
        <w:rPr>
          <w:rFonts w:hint="eastAsia" w:ascii="宋体" w:hAnsi="宋体" w:cs="宋体"/>
          <w:bCs/>
          <w:color w:val="auto"/>
          <w:sz w:val="21"/>
          <w:szCs w:val="21"/>
          <w:highlight w:val="none"/>
        </w:rPr>
        <w:t>开户名称：广西幼儿师范高等专科学校</w:t>
      </w:r>
    </w:p>
    <w:p w14:paraId="379B4495">
      <w:pPr>
        <w:snapToGrid w:val="0"/>
        <w:spacing w:line="460" w:lineRule="exact"/>
        <w:ind w:firstLine="514"/>
        <w:rPr>
          <w:rFonts w:hint="eastAsia" w:ascii="宋体" w:hAnsi="宋体" w:cs="宋体"/>
          <w:bCs/>
          <w:color w:val="auto"/>
          <w:sz w:val="21"/>
          <w:szCs w:val="21"/>
          <w:highlight w:val="none"/>
        </w:rPr>
      </w:pPr>
      <w:r>
        <w:rPr>
          <w:rFonts w:hint="eastAsia" w:ascii="宋体" w:hAnsi="宋体" w:cs="宋体"/>
          <w:bCs/>
          <w:color w:val="auto"/>
          <w:sz w:val="21"/>
          <w:szCs w:val="21"/>
          <w:highlight w:val="none"/>
        </w:rPr>
        <w:t>开户银行：招商银行南宁民族大道支行</w:t>
      </w:r>
    </w:p>
    <w:p w14:paraId="6202A53C">
      <w:pPr>
        <w:snapToGrid w:val="0"/>
        <w:spacing w:line="460" w:lineRule="exact"/>
        <w:ind w:firstLine="514"/>
        <w:rPr>
          <w:rFonts w:hint="eastAsia" w:ascii="宋体" w:hAnsi="宋体" w:cs="宋体"/>
          <w:bCs/>
          <w:color w:val="auto"/>
          <w:sz w:val="21"/>
          <w:szCs w:val="21"/>
          <w:highlight w:val="none"/>
        </w:rPr>
      </w:pPr>
      <w:r>
        <w:rPr>
          <w:rFonts w:hint="eastAsia" w:ascii="宋体" w:hAnsi="宋体" w:cs="宋体"/>
          <w:bCs/>
          <w:color w:val="auto"/>
          <w:sz w:val="21"/>
          <w:szCs w:val="21"/>
          <w:highlight w:val="none"/>
        </w:rPr>
        <w:t>银行账号：771902121410201</w:t>
      </w:r>
    </w:p>
    <w:p w14:paraId="3A661BA4">
      <w:pPr>
        <w:snapToGrid w:val="0"/>
        <w:spacing w:line="460" w:lineRule="exact"/>
        <w:ind w:firstLine="514"/>
        <w:rPr>
          <w:rFonts w:hint="eastAsia" w:ascii="宋体" w:hAnsi="宋体" w:cs="宋体"/>
          <w:b/>
          <w:color w:val="auto"/>
          <w:sz w:val="21"/>
          <w:szCs w:val="21"/>
          <w:highlight w:val="none"/>
        </w:rPr>
      </w:pPr>
      <w:r>
        <w:rPr>
          <w:rFonts w:hint="eastAsia" w:ascii="宋体" w:hAnsi="宋体" w:cs="宋体"/>
          <w:b/>
          <w:color w:val="auto"/>
          <w:sz w:val="21"/>
          <w:szCs w:val="21"/>
          <w:highlight w:val="none"/>
        </w:rPr>
        <w:t>第九条  税费</w:t>
      </w:r>
    </w:p>
    <w:p w14:paraId="7A3F3811">
      <w:pPr>
        <w:snapToGrid w:val="0"/>
        <w:spacing w:line="460" w:lineRule="exact"/>
        <w:ind w:firstLine="514"/>
        <w:rPr>
          <w:rFonts w:hint="eastAsia" w:ascii="宋体" w:hAnsi="宋体" w:cs="宋体"/>
          <w:color w:val="auto"/>
          <w:sz w:val="21"/>
          <w:szCs w:val="21"/>
          <w:highlight w:val="none"/>
        </w:rPr>
      </w:pPr>
      <w:r>
        <w:rPr>
          <w:rFonts w:hint="eastAsia" w:ascii="宋体" w:hAnsi="宋体" w:cs="宋体"/>
          <w:color w:val="auto"/>
          <w:sz w:val="21"/>
          <w:szCs w:val="21"/>
          <w:highlight w:val="none"/>
        </w:rPr>
        <w:t>本合同执行中相关的一切税费均由乙方负担，合同另有约定的除外。合同执行期间税费发生变化的，由乙方承担。</w:t>
      </w:r>
    </w:p>
    <w:p w14:paraId="6656EE0B">
      <w:pPr>
        <w:snapToGrid w:val="0"/>
        <w:spacing w:line="460" w:lineRule="exact"/>
        <w:ind w:firstLine="514"/>
        <w:rPr>
          <w:rFonts w:hint="eastAsia" w:ascii="宋体" w:hAnsi="宋体" w:cs="宋体"/>
          <w:color w:val="auto"/>
          <w:sz w:val="21"/>
          <w:szCs w:val="21"/>
          <w:highlight w:val="none"/>
        </w:rPr>
      </w:pPr>
      <w:r>
        <w:rPr>
          <w:rFonts w:hint="eastAsia" w:ascii="宋体" w:hAnsi="宋体" w:cs="宋体"/>
          <w:b/>
          <w:color w:val="auto"/>
          <w:sz w:val="21"/>
          <w:szCs w:val="21"/>
          <w:highlight w:val="none"/>
        </w:rPr>
        <w:t>第十条  质量保证、售后服务</w:t>
      </w:r>
    </w:p>
    <w:p w14:paraId="2FF6FE3A">
      <w:pPr>
        <w:snapToGrid w:val="0"/>
        <w:spacing w:line="460" w:lineRule="exact"/>
        <w:ind w:firstLine="420" w:firstLineChars="200"/>
        <w:rPr>
          <w:rFonts w:hint="eastAsia" w:ascii="宋体" w:hAnsi="宋体" w:cs="宋体"/>
          <w:bCs/>
          <w:color w:val="auto"/>
          <w:kern w:val="0"/>
          <w:sz w:val="21"/>
          <w:szCs w:val="21"/>
          <w:highlight w:val="none"/>
        </w:rPr>
      </w:pPr>
      <w:r>
        <w:rPr>
          <w:rFonts w:hint="eastAsia" w:hAnsi="宋体" w:cs="宋体"/>
          <w:color w:val="auto"/>
          <w:sz w:val="21"/>
          <w:szCs w:val="21"/>
          <w:highlight w:val="none"/>
        </w:rPr>
        <w:t>1</w:t>
      </w:r>
      <w:r>
        <w:rPr>
          <w:rFonts w:hint="eastAsia" w:ascii="宋体" w:hAnsi="宋体" w:cs="宋体"/>
          <w:bCs/>
          <w:color w:val="auto"/>
          <w:kern w:val="0"/>
          <w:sz w:val="21"/>
          <w:szCs w:val="21"/>
          <w:highlight w:val="none"/>
        </w:rPr>
        <w:t>.乙方应按照国家有关法律法规和“三包”规定以及采购文件要求、响应文件承诺和本合同所附的《售后服务承诺》，为甲方提供售后服务。</w:t>
      </w:r>
    </w:p>
    <w:p w14:paraId="3183D5EE">
      <w:pPr>
        <w:snapToGrid w:val="0"/>
        <w:spacing w:line="460" w:lineRule="exact"/>
        <w:ind w:firstLine="420" w:firstLineChars="200"/>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2.乙方应按采购文件规定的设备和软件性能、技术要求、质量标准向甲方提供未经使用的全新产品。对达不到要求者，根据实际情况，经双方协商，可按以下办法处理：</w:t>
      </w:r>
    </w:p>
    <w:p w14:paraId="29B2E3A7">
      <w:pPr>
        <w:snapToGrid w:val="0"/>
        <w:spacing w:line="460" w:lineRule="exact"/>
        <w:ind w:firstLine="420" w:firstLineChars="200"/>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（1）更换：由乙方承担所发生的全部费用。</w:t>
      </w:r>
    </w:p>
    <w:p w14:paraId="4ED44F7D">
      <w:pPr>
        <w:snapToGrid w:val="0"/>
        <w:spacing w:line="460" w:lineRule="exact"/>
        <w:ind w:firstLine="420" w:firstLineChars="200"/>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（2）贬值处理：由甲乙双方合议定价。</w:t>
      </w:r>
    </w:p>
    <w:p w14:paraId="41FA55BD">
      <w:pPr>
        <w:snapToGrid w:val="0"/>
        <w:spacing w:line="460" w:lineRule="exact"/>
        <w:ind w:firstLine="420" w:firstLineChars="200"/>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（3）退货处理：乙方应退还甲方支付的合同款，同时应承担该货物的直接费用（运输、保险、检验、货款利息及银行手续费等）。</w:t>
      </w:r>
    </w:p>
    <w:p w14:paraId="3BB7F9A5">
      <w:pPr>
        <w:snapToGrid w:val="0"/>
        <w:spacing w:line="460" w:lineRule="exact"/>
        <w:ind w:firstLine="420" w:firstLineChars="200"/>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如果双方不能就上述第（1）、（2）项达成协议，则甲方有权单方选择第（3）项方式。</w:t>
      </w:r>
    </w:p>
    <w:p w14:paraId="1BF0FB72">
      <w:pPr>
        <w:snapToGrid w:val="0"/>
        <w:spacing w:line="460" w:lineRule="exact"/>
        <w:ind w:firstLine="420" w:firstLineChars="200"/>
        <w:rPr>
          <w:rFonts w:hint="eastAsia" w:ascii="宋体" w:hAnsi="宋体" w:cs="宋体"/>
          <w:bCs/>
          <w:color w:val="auto"/>
          <w:kern w:val="0"/>
          <w:sz w:val="21"/>
          <w:szCs w:val="21"/>
          <w:highlight w:val="none"/>
        </w:rPr>
      </w:pPr>
      <w:r>
        <w:rPr>
          <w:rFonts w:ascii="宋体" w:hAnsi="宋体" w:cs="宋体"/>
          <w:bCs/>
          <w:color w:val="auto"/>
          <w:kern w:val="0"/>
          <w:sz w:val="21"/>
          <w:szCs w:val="21"/>
          <w:highlight w:val="none"/>
        </w:rPr>
        <w:t>3</w:t>
      </w:r>
      <w:r>
        <w:rPr>
          <w:rFonts w:hint="eastAsia" w:ascii="宋体" w:hAnsi="宋体" w:cs="宋体"/>
          <w:bCs/>
          <w:color w:val="auto"/>
          <w:kern w:val="0"/>
          <w:sz w:val="21"/>
          <w:szCs w:val="21"/>
          <w:highlight w:val="none"/>
        </w:rPr>
        <w:t>.乙方提供的服务承诺和售后服务及质量保证期责任等其他具体约定事项（见合同附件）。</w:t>
      </w:r>
    </w:p>
    <w:p w14:paraId="06EB095A">
      <w:pPr>
        <w:snapToGrid w:val="0"/>
        <w:spacing w:line="460" w:lineRule="exact"/>
        <w:ind w:firstLine="420" w:firstLineChars="200"/>
        <w:rPr>
          <w:rFonts w:hint="eastAsia" w:ascii="宋体" w:hAnsi="宋体" w:cs="宋体"/>
          <w:bCs/>
          <w:color w:val="auto"/>
          <w:kern w:val="0"/>
          <w:sz w:val="21"/>
          <w:szCs w:val="21"/>
          <w:highlight w:val="none"/>
        </w:rPr>
      </w:pPr>
      <w:r>
        <w:rPr>
          <w:rFonts w:hAnsi="宋体" w:cs="宋体"/>
          <w:color w:val="auto"/>
          <w:sz w:val="21"/>
          <w:szCs w:val="21"/>
          <w:highlight w:val="none"/>
        </w:rPr>
        <w:t>4</w:t>
      </w:r>
      <w:r>
        <w:rPr>
          <w:rFonts w:hint="eastAsia" w:ascii="宋体" w:hAnsi="宋体" w:cs="宋体"/>
          <w:bCs/>
          <w:color w:val="auto"/>
          <w:kern w:val="0"/>
          <w:sz w:val="21"/>
          <w:szCs w:val="21"/>
          <w:highlight w:val="none"/>
        </w:rPr>
        <w:t>.乙方除承担运输、安装、调试、验收与培训等义务外，还将为甲方提供技术支持，包括质量保证期外的技术指导。</w:t>
      </w:r>
    </w:p>
    <w:p w14:paraId="01D2795F">
      <w:pPr>
        <w:snapToGrid w:val="0"/>
        <w:spacing w:line="460" w:lineRule="exact"/>
        <w:ind w:firstLine="420" w:firstLineChars="200"/>
        <w:rPr>
          <w:rFonts w:hint="eastAsia" w:ascii="宋体" w:hAnsi="宋体" w:cs="宋体"/>
          <w:bCs/>
          <w:color w:val="auto"/>
          <w:kern w:val="0"/>
          <w:sz w:val="21"/>
          <w:szCs w:val="21"/>
          <w:highlight w:val="none"/>
        </w:rPr>
      </w:pPr>
      <w:r>
        <w:rPr>
          <w:rFonts w:hAnsi="宋体" w:cs="宋体"/>
          <w:color w:val="auto"/>
          <w:sz w:val="21"/>
          <w:szCs w:val="21"/>
          <w:highlight w:val="none"/>
        </w:rPr>
        <w:t>5</w:t>
      </w:r>
      <w:r>
        <w:rPr>
          <w:rFonts w:hint="eastAsia" w:ascii="宋体" w:hAnsi="宋体" w:cs="宋体"/>
          <w:bCs/>
          <w:color w:val="auto"/>
          <w:kern w:val="0"/>
          <w:sz w:val="21"/>
          <w:szCs w:val="21"/>
          <w:highlight w:val="none"/>
        </w:rPr>
        <w:t>.在质保期内，乙方应对货物出现的质量及安全问题负责处理解决并承担一切费用。</w:t>
      </w:r>
    </w:p>
    <w:p w14:paraId="0286E36B">
      <w:pPr>
        <w:snapToGrid w:val="0"/>
        <w:spacing w:line="460" w:lineRule="exact"/>
        <w:ind w:firstLine="420" w:firstLineChars="200"/>
        <w:rPr>
          <w:rFonts w:hint="eastAsia" w:ascii="宋体" w:hAnsi="宋体" w:cs="宋体"/>
          <w:bCs/>
          <w:color w:val="auto"/>
          <w:kern w:val="0"/>
          <w:sz w:val="21"/>
          <w:szCs w:val="21"/>
          <w:highlight w:val="none"/>
        </w:rPr>
      </w:pPr>
      <w:r>
        <w:rPr>
          <w:rFonts w:hAnsi="宋体" w:cs="宋体"/>
          <w:color w:val="auto"/>
          <w:sz w:val="21"/>
          <w:szCs w:val="21"/>
          <w:highlight w:val="none"/>
        </w:rPr>
        <w:t>6</w:t>
      </w:r>
      <w:r>
        <w:rPr>
          <w:rFonts w:hint="eastAsia" w:ascii="宋体" w:hAnsi="宋体" w:cs="宋体"/>
          <w:bCs/>
          <w:color w:val="auto"/>
          <w:kern w:val="0"/>
          <w:sz w:val="21"/>
          <w:szCs w:val="21"/>
          <w:highlight w:val="none"/>
        </w:rPr>
        <w:t>.超过质量保证期的机器设备，终身维修，维修时只收部件成本费。</w:t>
      </w:r>
    </w:p>
    <w:p w14:paraId="0BCF324E">
      <w:pPr>
        <w:snapToGrid w:val="0"/>
        <w:spacing w:line="460" w:lineRule="exact"/>
        <w:ind w:firstLine="420" w:firstLineChars="200"/>
        <w:rPr>
          <w:rFonts w:hint="eastAsia" w:ascii="宋体" w:hAnsi="宋体" w:cs="宋体"/>
          <w:color w:val="auto"/>
          <w:sz w:val="21"/>
          <w:szCs w:val="21"/>
          <w:highlight w:val="none"/>
        </w:rPr>
      </w:pPr>
      <w:r>
        <w:rPr>
          <w:rFonts w:hAnsi="宋体" w:cs="宋体"/>
          <w:color w:val="auto"/>
          <w:sz w:val="21"/>
          <w:szCs w:val="21"/>
          <w:highlight w:val="none"/>
        </w:rPr>
        <w:t>7</w:t>
      </w:r>
      <w:r>
        <w:rPr>
          <w:rFonts w:hint="eastAsia" w:ascii="宋体" w:hAnsi="宋体" w:cs="宋体"/>
          <w:bCs/>
          <w:color w:val="auto"/>
          <w:kern w:val="0"/>
          <w:sz w:val="21"/>
          <w:szCs w:val="21"/>
          <w:highlight w:val="none"/>
        </w:rPr>
        <w:t>.货物质量保证期：</w:t>
      </w:r>
      <w:r>
        <w:rPr>
          <w:rFonts w:hint="eastAsia" w:ascii="宋体" w:hAnsi="宋体" w:cs="宋体"/>
          <w:color w:val="auto"/>
          <w:sz w:val="21"/>
          <w:szCs w:val="21"/>
          <w:highlight w:val="none"/>
          <w:u w:val="single"/>
        </w:rPr>
        <w:t>按国家有关产品“三包”规定执行“三包”，质量保证期不少于</w:t>
      </w:r>
      <w:r>
        <w:rPr>
          <w:rFonts w:ascii="宋体" w:hAnsi="宋体" w:cs="宋体"/>
          <w:color w:val="auto"/>
          <w:sz w:val="21"/>
          <w:szCs w:val="21"/>
          <w:highlight w:val="none"/>
          <w:u w:val="single"/>
        </w:rPr>
        <w:t>*</w:t>
      </w:r>
      <w:r>
        <w:rPr>
          <w:rFonts w:hint="eastAsia" w:ascii="宋体" w:hAnsi="宋体" w:cs="宋体"/>
          <w:color w:val="auto"/>
          <w:sz w:val="21"/>
          <w:szCs w:val="21"/>
          <w:highlight w:val="none"/>
          <w:u w:val="single"/>
        </w:rPr>
        <w:t>年（质量保证期自货物验收合格之日起计。分项货物或配置有明确要求的按分项要求；生产厂家承诺的</w:t>
      </w:r>
      <w:r>
        <w:rPr>
          <w:rFonts w:hint="eastAsia" w:ascii="宋体" w:hAnsi="宋体" w:cs="宋体"/>
          <w:bCs/>
          <w:color w:val="auto"/>
          <w:kern w:val="0"/>
          <w:sz w:val="21"/>
          <w:szCs w:val="21"/>
          <w:highlight w:val="none"/>
          <w:u w:val="single"/>
        </w:rPr>
        <w:t>质量保证期</w:t>
      </w:r>
      <w:r>
        <w:rPr>
          <w:rFonts w:hint="eastAsia" w:ascii="宋体" w:hAnsi="宋体" w:cs="宋体"/>
          <w:color w:val="auto"/>
          <w:sz w:val="21"/>
          <w:szCs w:val="21"/>
          <w:highlight w:val="none"/>
          <w:u w:val="single"/>
        </w:rPr>
        <w:t>更长的按生产厂家的承诺；</w:t>
      </w:r>
      <w:r>
        <w:rPr>
          <w:rFonts w:hint="eastAsia" w:ascii="宋体" w:hAnsi="宋体" w:cs="宋体"/>
          <w:bCs/>
          <w:color w:val="auto"/>
          <w:kern w:val="0"/>
          <w:sz w:val="21"/>
          <w:szCs w:val="21"/>
          <w:highlight w:val="none"/>
          <w:u w:val="single"/>
        </w:rPr>
        <w:t>乙方响应文件承诺更优的，以乙方响应文件承诺为准</w:t>
      </w:r>
      <w:r>
        <w:rPr>
          <w:rFonts w:hint="eastAsia" w:ascii="宋体" w:hAnsi="宋体" w:cs="宋体"/>
          <w:color w:val="auto"/>
          <w:sz w:val="21"/>
          <w:szCs w:val="21"/>
          <w:highlight w:val="none"/>
          <w:u w:val="single"/>
        </w:rPr>
        <w:t>）</w:t>
      </w:r>
      <w:r>
        <w:rPr>
          <w:rFonts w:hint="eastAsia" w:ascii="宋体" w:hAnsi="宋体" w:cs="宋体"/>
          <w:bCs/>
          <w:color w:val="auto"/>
          <w:kern w:val="0"/>
          <w:sz w:val="21"/>
          <w:szCs w:val="21"/>
          <w:highlight w:val="none"/>
          <w:u w:val="single"/>
        </w:rPr>
        <w:t>。</w:t>
      </w:r>
    </w:p>
    <w:p w14:paraId="26C987D1">
      <w:pPr>
        <w:snapToGrid w:val="0"/>
        <w:spacing w:line="460" w:lineRule="exact"/>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rPr>
        <w:t>第十一条　违约责任</w:t>
      </w:r>
    </w:p>
    <w:p w14:paraId="08E8B8BC">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rPr>
        <w:t>1</w:t>
      </w:r>
      <w:r>
        <w:rPr>
          <w:color w:val="auto"/>
          <w:szCs w:val="21"/>
        </w:rPr>
        <w:t>.</w:t>
      </w:r>
      <w:r>
        <w:rPr>
          <w:rFonts w:hint="eastAsia"/>
          <w:color w:val="auto"/>
        </w:rPr>
        <w:t xml:space="preserve"> </w:t>
      </w:r>
      <w:r>
        <w:rPr>
          <w:rFonts w:hint="eastAsia"/>
          <w:color w:val="auto"/>
          <w:szCs w:val="21"/>
        </w:rPr>
        <w:t>验收时，甲方将对乙方提供的货物对照响应文件技术响应表的内容进行逐项核查验收，乙方响应文件技术响应表或证明材料中满足或优于的技术参数，在验收时实际不满足技术参数要求的，视为乙方违约，甲方不予验收，没收乙方所缴纳的履约保证金；乙方须退回甲方所支付的所有合同款，且乙方须向甲方支付合同总额30%的违约金，并赔偿因此造成甲方的一切损失。</w:t>
      </w:r>
    </w:p>
    <w:p w14:paraId="48EB9EE0">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2</w:t>
      </w:r>
      <w:r>
        <w:rPr>
          <w:color w:val="auto"/>
          <w:szCs w:val="21"/>
        </w:rPr>
        <w:t>.乙方逾期交货的，</w:t>
      </w:r>
      <w:r>
        <w:rPr>
          <w:rFonts w:hint="eastAsia"/>
          <w:color w:val="auto"/>
          <w:szCs w:val="21"/>
        </w:rPr>
        <w:t>应</w:t>
      </w:r>
      <w:r>
        <w:rPr>
          <w:color w:val="auto"/>
          <w:szCs w:val="21"/>
        </w:rPr>
        <w:t>向</w:t>
      </w:r>
      <w:r>
        <w:rPr>
          <w:rFonts w:hint="eastAsia"/>
          <w:color w:val="auto"/>
          <w:szCs w:val="21"/>
        </w:rPr>
        <w:t>甲</w:t>
      </w:r>
      <w:r>
        <w:rPr>
          <w:color w:val="auto"/>
          <w:szCs w:val="21"/>
        </w:rPr>
        <w:t>方</w:t>
      </w:r>
      <w:r>
        <w:rPr>
          <w:rFonts w:hint="eastAsia"/>
          <w:color w:val="auto"/>
          <w:szCs w:val="21"/>
        </w:rPr>
        <w:t>支付</w:t>
      </w:r>
      <w:r>
        <w:rPr>
          <w:color w:val="auto"/>
          <w:szCs w:val="21"/>
        </w:rPr>
        <w:t>违约</w:t>
      </w:r>
      <w:r>
        <w:rPr>
          <w:rFonts w:hint="eastAsia"/>
          <w:color w:val="auto"/>
          <w:szCs w:val="21"/>
        </w:rPr>
        <w:t>金，标准为合同总价</w:t>
      </w:r>
      <w:r>
        <w:rPr>
          <w:rFonts w:hint="eastAsia"/>
          <w:color w:val="auto"/>
          <w:szCs w:val="21"/>
          <w:u w:val="single"/>
          <w:lang w:eastAsia="zh-Hans"/>
        </w:rPr>
        <w:t>万分之五</w:t>
      </w:r>
      <w:r>
        <w:rPr>
          <w:color w:val="auto"/>
          <w:szCs w:val="21"/>
          <w:u w:val="single"/>
        </w:rPr>
        <w:t>/</w:t>
      </w:r>
      <w:r>
        <w:rPr>
          <w:rFonts w:hint="eastAsia"/>
          <w:color w:val="auto"/>
          <w:szCs w:val="21"/>
          <w:u w:val="single"/>
        </w:rPr>
        <w:t>日</w:t>
      </w:r>
      <w:r>
        <w:rPr>
          <w:color w:val="auto"/>
          <w:szCs w:val="21"/>
        </w:rPr>
        <w:t>，但违约金累计不得超过</w:t>
      </w:r>
      <w:r>
        <w:rPr>
          <w:rFonts w:hint="eastAsia"/>
          <w:color w:val="auto"/>
          <w:szCs w:val="21"/>
          <w:lang w:eastAsia="zh-Hans"/>
        </w:rPr>
        <w:t>合同总价</w:t>
      </w:r>
      <w:r>
        <w:rPr>
          <w:color w:val="auto"/>
          <w:szCs w:val="21"/>
          <w:u w:val="single"/>
        </w:rPr>
        <w:t>20%，</w:t>
      </w:r>
      <w:r>
        <w:rPr>
          <w:color w:val="auto"/>
          <w:szCs w:val="21"/>
        </w:rPr>
        <w:t>甲方延期付货款的，</w:t>
      </w:r>
      <w:r>
        <w:rPr>
          <w:rFonts w:hint="eastAsia"/>
          <w:color w:val="auto"/>
          <w:szCs w:val="21"/>
        </w:rPr>
        <w:t>应</w:t>
      </w:r>
      <w:r>
        <w:rPr>
          <w:color w:val="auto"/>
          <w:szCs w:val="21"/>
        </w:rPr>
        <w:t>向乙方</w:t>
      </w:r>
      <w:r>
        <w:rPr>
          <w:rFonts w:hint="eastAsia"/>
          <w:color w:val="auto"/>
          <w:szCs w:val="21"/>
        </w:rPr>
        <w:t>支</w:t>
      </w:r>
      <w:r>
        <w:rPr>
          <w:color w:val="auto"/>
          <w:szCs w:val="21"/>
        </w:rPr>
        <w:t>付延期</w:t>
      </w:r>
      <w:r>
        <w:rPr>
          <w:rFonts w:hint="eastAsia"/>
          <w:color w:val="auto"/>
          <w:szCs w:val="21"/>
          <w:lang w:eastAsia="zh-Hans"/>
        </w:rPr>
        <w:t>违约金</w:t>
      </w:r>
      <w:r>
        <w:rPr>
          <w:rFonts w:hint="eastAsia"/>
          <w:color w:val="auto"/>
          <w:szCs w:val="21"/>
        </w:rPr>
        <w:t>，标准为合同总价</w:t>
      </w:r>
      <w:r>
        <w:rPr>
          <w:color w:val="auto"/>
          <w:szCs w:val="21"/>
        </w:rPr>
        <w:t>额</w:t>
      </w:r>
      <w:r>
        <w:rPr>
          <w:rFonts w:hint="eastAsia"/>
          <w:color w:val="auto"/>
          <w:szCs w:val="21"/>
          <w:u w:val="single"/>
          <w:lang w:eastAsia="zh-Hans"/>
        </w:rPr>
        <w:t>万分之五</w:t>
      </w:r>
      <w:r>
        <w:rPr>
          <w:color w:val="auto"/>
          <w:szCs w:val="21"/>
          <w:u w:val="single"/>
        </w:rPr>
        <w:t>/</w:t>
      </w:r>
      <w:r>
        <w:rPr>
          <w:rFonts w:hint="eastAsia"/>
          <w:color w:val="auto"/>
          <w:szCs w:val="21"/>
          <w:u w:val="single"/>
        </w:rPr>
        <w:t>日</w:t>
      </w:r>
      <w:r>
        <w:rPr>
          <w:color w:val="auto"/>
          <w:szCs w:val="21"/>
        </w:rPr>
        <w:t>，但</w:t>
      </w:r>
      <w:r>
        <w:rPr>
          <w:rFonts w:hint="eastAsia"/>
          <w:color w:val="auto"/>
          <w:szCs w:val="21"/>
          <w:lang w:eastAsia="zh-Hans"/>
        </w:rPr>
        <w:t>违约金</w:t>
      </w:r>
      <w:r>
        <w:rPr>
          <w:color w:val="auto"/>
          <w:szCs w:val="21"/>
        </w:rPr>
        <w:t>累计不得超过延期货款额</w:t>
      </w:r>
      <w:r>
        <w:rPr>
          <w:color w:val="auto"/>
          <w:szCs w:val="21"/>
          <w:u w:val="single"/>
        </w:rPr>
        <w:t>20%</w:t>
      </w:r>
      <w:r>
        <w:rPr>
          <w:color w:val="auto"/>
          <w:szCs w:val="21"/>
        </w:rPr>
        <w:t>。</w:t>
      </w:r>
      <w:r>
        <w:rPr>
          <w:rFonts w:hint="eastAsia"/>
          <w:color w:val="auto"/>
          <w:szCs w:val="21"/>
        </w:rPr>
        <w:t>乙方逾期交货超过30日历天的，甲方有权解除本合同，没收乙方所缴纳的履约保证金；乙方须退回甲方所支付的所有合同款，且乙方须向甲方支付合同总额20%的违约金，并赔偿因此造成甲方的一切损失。</w:t>
      </w:r>
    </w:p>
    <w:p w14:paraId="38EEB4D7">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3</w:t>
      </w:r>
      <w:r>
        <w:rPr>
          <w:color w:val="auto"/>
          <w:szCs w:val="21"/>
        </w:rPr>
        <w:t>.</w:t>
      </w:r>
      <w:r>
        <w:rPr>
          <w:rFonts w:hint="eastAsia"/>
          <w:color w:val="auto"/>
        </w:rPr>
        <w:t xml:space="preserve"> </w:t>
      </w:r>
      <w:r>
        <w:rPr>
          <w:rFonts w:hint="eastAsia"/>
          <w:color w:val="auto"/>
          <w:szCs w:val="21"/>
        </w:rPr>
        <w:t>除不可抗力外，乙方未能履行本合同约定的义务，经催告后在合理期限内仍未履行的，或者有其他违约行为致使不能实现合同目的的，或者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甲方有权解除本合同，没收乙方所缴纳的履约保证金，乙方须退回甲方所支付的所有合同款，且乙方须向甲方支付合同总额20%的违约金，并赔偿因此造成甲方的一切损失。</w:t>
      </w:r>
    </w:p>
    <w:p w14:paraId="205731F8">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4</w:t>
      </w:r>
      <w:r>
        <w:rPr>
          <w:color w:val="auto"/>
          <w:szCs w:val="21"/>
        </w:rPr>
        <w:t>.乙方提供的货物在质量保证期内，因设计、工艺或材料的缺陷和其它质量原因造成的问题，由乙方负责，费用从</w:t>
      </w:r>
      <w:r>
        <w:rPr>
          <w:rFonts w:hint="eastAsia"/>
          <w:color w:val="auto"/>
          <w:szCs w:val="21"/>
          <w:lang w:eastAsia="zh-Hans"/>
        </w:rPr>
        <w:t>履约保证金及</w:t>
      </w:r>
      <w:r>
        <w:rPr>
          <w:rFonts w:hint="eastAsia"/>
          <w:color w:val="auto"/>
          <w:szCs w:val="21"/>
        </w:rPr>
        <w:t>剩余支付货款</w:t>
      </w:r>
      <w:r>
        <w:rPr>
          <w:color w:val="auto"/>
          <w:szCs w:val="21"/>
        </w:rPr>
        <w:t>中扣除，</w:t>
      </w:r>
      <w:r>
        <w:rPr>
          <w:rFonts w:hint="eastAsia"/>
          <w:color w:val="auto"/>
          <w:szCs w:val="21"/>
          <w:lang w:eastAsia="zh-Hans"/>
        </w:rPr>
        <w:t>履约保证金及</w:t>
      </w:r>
      <w:r>
        <w:rPr>
          <w:rFonts w:hint="eastAsia"/>
          <w:color w:val="auto"/>
          <w:szCs w:val="21"/>
        </w:rPr>
        <w:t>剩余支付货款</w:t>
      </w:r>
      <w:r>
        <w:rPr>
          <w:color w:val="auto"/>
          <w:szCs w:val="21"/>
        </w:rPr>
        <w:t>不足以支付的，由乙方另行支付。</w:t>
      </w:r>
    </w:p>
    <w:p w14:paraId="3B185F7E">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5</w:t>
      </w:r>
      <w:r>
        <w:rPr>
          <w:color w:val="auto"/>
          <w:szCs w:val="21"/>
        </w:rPr>
        <w:t>.</w:t>
      </w:r>
      <w:r>
        <w:rPr>
          <w:rFonts w:hint="eastAsia"/>
          <w:color w:val="auto"/>
        </w:rPr>
        <w:t xml:space="preserve"> </w:t>
      </w:r>
      <w:r>
        <w:rPr>
          <w:rFonts w:hint="eastAsia"/>
          <w:color w:val="auto"/>
          <w:szCs w:val="21"/>
        </w:rPr>
        <w:t>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的约定，导致甲方无法实现合同目的的，甲方有权解除本合同，没收乙方所缴纳的履约保证金，乙方须退回甲方所支付的所有合同款，且乙方须向甲方支付合同总额20%的违约金，并赔偿因此造成甲方的一切损失。</w:t>
      </w:r>
    </w:p>
    <w:p w14:paraId="0951DB01">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6</w:t>
      </w:r>
      <w:r>
        <w:rPr>
          <w:color w:val="auto"/>
          <w:szCs w:val="21"/>
        </w:rPr>
        <w:t>.其它违约行为按</w:t>
      </w:r>
      <w:r>
        <w:rPr>
          <w:rFonts w:hint="eastAsia"/>
          <w:color w:val="auto"/>
          <w:szCs w:val="21"/>
          <w:lang w:eastAsia="zh-Hans"/>
        </w:rPr>
        <w:t>合同总价</w:t>
      </w:r>
      <w:r>
        <w:rPr>
          <w:color w:val="auto"/>
          <w:szCs w:val="21"/>
        </w:rPr>
        <w:t>5%收取违约金并赔偿经济损失。</w:t>
      </w:r>
    </w:p>
    <w:p w14:paraId="5920E757">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7</w:t>
      </w:r>
      <w:r>
        <w:rPr>
          <w:color w:val="auto"/>
          <w:szCs w:val="21"/>
        </w:rPr>
        <w:t>.</w:t>
      </w:r>
      <w:r>
        <w:rPr>
          <w:rFonts w:hint="eastAsia"/>
          <w:color w:val="auto"/>
          <w:szCs w:val="21"/>
        </w:rPr>
        <w:t>因甲方原因导致变更、中止或者终止政府采购合同的，应当依照合同约定对乙方受到的损失予以赔偿或者补偿。</w:t>
      </w:r>
      <w:r>
        <w:rPr>
          <w:color w:val="auto"/>
          <w:szCs w:val="21"/>
        </w:rPr>
        <w:t>赔偿（补偿）标准：</w:t>
      </w:r>
      <w:r>
        <w:rPr>
          <w:rFonts w:hint="eastAsia"/>
          <w:color w:val="auto"/>
          <w:szCs w:val="21"/>
          <w:u w:val="single"/>
        </w:rPr>
        <w:t xml:space="preserve"> </w:t>
      </w:r>
      <w:r>
        <w:rPr>
          <w:color w:val="auto"/>
          <w:szCs w:val="21"/>
          <w:u w:val="single"/>
        </w:rPr>
        <w:t xml:space="preserve"> </w:t>
      </w:r>
      <w:r>
        <w:rPr>
          <w:rFonts w:hint="eastAsia"/>
          <w:color w:val="auto"/>
          <w:szCs w:val="21"/>
          <w:u w:val="single"/>
        </w:rPr>
        <w:t>按实际损失赔偿</w:t>
      </w:r>
      <w:r>
        <w:rPr>
          <w:color w:val="auto"/>
          <w:szCs w:val="21"/>
          <w:u w:val="single"/>
        </w:rPr>
        <w:t xml:space="preserve">  </w:t>
      </w:r>
      <w:r>
        <w:rPr>
          <w:rFonts w:hint="eastAsia"/>
          <w:color w:val="auto"/>
          <w:szCs w:val="21"/>
        </w:rPr>
        <w:t>。</w:t>
      </w:r>
    </w:p>
    <w:p w14:paraId="75BC4F48">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8</w:t>
      </w:r>
      <w:r>
        <w:rPr>
          <w:color w:val="auto"/>
          <w:szCs w:val="21"/>
        </w:rPr>
        <w:t>.</w:t>
      </w:r>
      <w:r>
        <w:rPr>
          <w:color w:val="auto"/>
        </w:rPr>
        <w:t xml:space="preserve"> </w:t>
      </w:r>
      <w:r>
        <w:rPr>
          <w:rFonts w:hint="eastAsia"/>
          <w:color w:val="auto"/>
          <w:szCs w:val="21"/>
        </w:rPr>
        <w:t>货物质保期内，乙方应严格按照国家的要求以及厂家的承诺实行“三包”，如产品出现故障，接到故障通知后2小时内响应，一般问题在2小时内通过远程方式解决，遇到大的问题24小时内派技术人员到达现场维修，48小时维修完毕。乙方未能及时维修或者解决，每延误一天，乙方须向甲方支付违约金伍仟元（¥</w:t>
      </w:r>
      <w:r>
        <w:rPr>
          <w:color w:val="auto"/>
          <w:szCs w:val="21"/>
        </w:rPr>
        <w:t>5</w:t>
      </w:r>
      <w:r>
        <w:rPr>
          <w:rFonts w:hint="eastAsia"/>
          <w:color w:val="auto"/>
          <w:szCs w:val="21"/>
        </w:rPr>
        <w:t>000.00），直到乙方完全修复为止。如因此对甲方造成损失，乙方须全额赔偿。</w:t>
      </w:r>
    </w:p>
    <w:p w14:paraId="48D17491">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color w:val="auto"/>
          <w:szCs w:val="21"/>
        </w:rPr>
      </w:pPr>
      <w:r>
        <w:rPr>
          <w:rFonts w:hint="eastAsia"/>
          <w:color w:val="auto"/>
          <w:szCs w:val="21"/>
          <w:lang w:val="en-US" w:eastAsia="zh-CN"/>
        </w:rPr>
        <w:t>9</w:t>
      </w:r>
      <w:r>
        <w:rPr>
          <w:rFonts w:hint="eastAsia"/>
          <w:color w:val="auto"/>
          <w:szCs w:val="21"/>
        </w:rPr>
        <w:t>.甲方按照前述约定要求乙方支付违约金的同时，仍有权要求乙方继续履行合同、采取补救措施，并有权按照实际损失情况要求乙方赔偿损失；甲方按照前述约定要求解除本合同的同时，仍有权要求乙方支付违约金和按照甲方实际损失情况要求乙方赔偿损失。</w:t>
      </w:r>
    </w:p>
    <w:p w14:paraId="33735973">
      <w:pPr>
        <w:keepNext w:val="0"/>
        <w:keepLines w:val="0"/>
        <w:pageBreakBefore w:val="0"/>
        <w:widowControl w:val="0"/>
        <w:kinsoku/>
        <w:wordWrap/>
        <w:overflowPunct/>
        <w:topLinePunct w:val="0"/>
        <w:autoSpaceDE/>
        <w:autoSpaceDN/>
        <w:bidi w:val="0"/>
        <w:adjustRightInd/>
        <w:snapToGrid w:val="0"/>
        <w:spacing w:line="460" w:lineRule="exact"/>
        <w:ind w:firstLine="420" w:firstLineChars="200"/>
        <w:textAlignment w:val="auto"/>
        <w:rPr>
          <w:rFonts w:ascii="Arial" w:hAnsi="Arial" w:cs="Arial"/>
          <w:color w:val="auto"/>
          <w:szCs w:val="21"/>
        </w:rPr>
      </w:pPr>
      <w:r>
        <w:rPr>
          <w:rFonts w:hint="eastAsia"/>
          <w:color w:val="auto"/>
          <w:szCs w:val="21"/>
          <w:lang w:val="en-US" w:eastAsia="zh-CN"/>
        </w:rPr>
        <w:t>10</w:t>
      </w:r>
      <w:r>
        <w:rPr>
          <w:color w:val="auto"/>
          <w:szCs w:val="21"/>
        </w:rPr>
        <w:t>.</w:t>
      </w:r>
      <w:r>
        <w:rPr>
          <w:rFonts w:ascii="Calibri" w:hAnsi="Calibri" w:cs="宋体"/>
          <w:color w:val="auto"/>
          <w:szCs w:val="21"/>
        </w:rPr>
        <w:t xml:space="preserve"> </w:t>
      </w:r>
      <w:r>
        <w:rPr>
          <w:rFonts w:hint="eastAsia" w:ascii="Calibri" w:hAnsi="Calibri" w:cs="宋体"/>
          <w:color w:val="auto"/>
          <w:szCs w:val="21"/>
        </w:rPr>
        <w:t>守约方为实现合同权益而支出的诉讼费、律师费、财产保全费、诉讼财产保全责任保险费、鉴定费、评估费、调查费、公告费、差旅费等一切费用均由违约方承担。</w:t>
      </w:r>
    </w:p>
    <w:p w14:paraId="6DADCA52">
      <w:pPr>
        <w:pStyle w:val="15"/>
        <w:snapToGrid w:val="0"/>
        <w:spacing w:line="460" w:lineRule="exact"/>
        <w:ind w:firstLine="413" w:firstLineChars="196"/>
        <w:rPr>
          <w:rFonts w:hint="eastAsia" w:hAnsi="宋体" w:cs="宋体"/>
          <w:b/>
          <w:bCs/>
          <w:color w:val="auto"/>
          <w:sz w:val="21"/>
          <w:szCs w:val="21"/>
          <w:highlight w:val="none"/>
        </w:rPr>
      </w:pPr>
      <w:r>
        <w:rPr>
          <w:rFonts w:hint="eastAsia" w:hAnsi="宋体" w:cs="宋体"/>
          <w:b/>
          <w:bCs/>
          <w:color w:val="auto"/>
          <w:sz w:val="21"/>
          <w:szCs w:val="21"/>
          <w:highlight w:val="none"/>
        </w:rPr>
        <w:t>第十二条  不可抗力事件处理</w:t>
      </w:r>
    </w:p>
    <w:p w14:paraId="3F37A5FF">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rPr>
        <w:t>1.在合同有效期内，任何一方因不可抗力事件导致不能履行合同，则合同履行期可延长，其延长期与不可抗力影响期相同。</w:t>
      </w:r>
    </w:p>
    <w:p w14:paraId="54E80B5E">
      <w:pPr>
        <w:pStyle w:val="15"/>
        <w:snapToGrid w:val="0"/>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2.不可抗力事件发生后，应立即通知对方，并寄送有关权威机构出具的证明。</w:t>
      </w:r>
    </w:p>
    <w:p w14:paraId="6508E5EB">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3.不可抗力事件延续</w:t>
      </w:r>
      <w:r>
        <w:rPr>
          <w:rFonts w:ascii="宋体" w:hAnsi="宋体" w:cs="宋体"/>
          <w:color w:val="auto"/>
          <w:sz w:val="21"/>
          <w:szCs w:val="21"/>
          <w:highlight w:val="none"/>
        </w:rPr>
        <w:t>60</w:t>
      </w:r>
      <w:r>
        <w:rPr>
          <w:rFonts w:hint="eastAsia" w:ascii="宋体" w:hAnsi="宋体" w:cs="宋体"/>
          <w:color w:val="auto"/>
          <w:sz w:val="21"/>
          <w:szCs w:val="21"/>
          <w:highlight w:val="none"/>
        </w:rPr>
        <w:t>天以上，双方应通过友好协商，确定是否继续履行合同。</w:t>
      </w:r>
    </w:p>
    <w:p w14:paraId="2169613C">
      <w:pPr>
        <w:snapToGrid w:val="0"/>
        <w:spacing w:line="460" w:lineRule="exact"/>
        <w:ind w:firstLine="422" w:firstLineChars="200"/>
        <w:rPr>
          <w:rFonts w:hint="eastAsia" w:ascii="宋体" w:hAnsi="宋体" w:cs="宋体"/>
          <w:color w:val="auto"/>
          <w:sz w:val="21"/>
          <w:szCs w:val="21"/>
          <w:highlight w:val="none"/>
        </w:rPr>
      </w:pPr>
      <w:r>
        <w:rPr>
          <w:rFonts w:hint="eastAsia" w:ascii="宋体" w:hAnsi="宋体" w:cs="宋体"/>
          <w:b/>
          <w:color w:val="auto"/>
          <w:sz w:val="21"/>
          <w:szCs w:val="21"/>
          <w:highlight w:val="none"/>
        </w:rPr>
        <w:t>第十三条  合同争议解决</w:t>
      </w:r>
    </w:p>
    <w:p w14:paraId="62C3EDBF">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1.因货物质量问题发生争议的，应邀请国家认可的质量检测机构对货物质量进行鉴定。货物符合标准的，鉴定费由甲方承担；货物不符合标准的，鉴定费由乙方承担。</w:t>
      </w:r>
    </w:p>
    <w:p w14:paraId="1184A603">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2.因履行本合同引起的或者与本合同有关的争议，甲乙双方应首先通过友好协商解决，如果协商不能解决，任何一方可向甲方所在地有管辖权的人民法院提起诉讼。</w:t>
      </w:r>
    </w:p>
    <w:p w14:paraId="28E16A9A">
      <w:pPr>
        <w:snapToGrid w:val="0"/>
        <w:spacing w:line="460" w:lineRule="exact"/>
        <w:ind w:firstLine="514"/>
        <w:rPr>
          <w:rFonts w:hint="eastAsia" w:ascii="宋体" w:hAnsi="宋体" w:cs="宋体"/>
          <w:color w:val="auto"/>
          <w:sz w:val="21"/>
          <w:szCs w:val="21"/>
          <w:highlight w:val="none"/>
        </w:rPr>
      </w:pPr>
      <w:r>
        <w:rPr>
          <w:rFonts w:hint="eastAsia" w:ascii="宋体" w:hAnsi="宋体" w:cs="宋体"/>
          <w:color w:val="auto"/>
          <w:sz w:val="21"/>
          <w:szCs w:val="21"/>
          <w:highlight w:val="none"/>
        </w:rPr>
        <w:t>3.诉讼期间，本合同无争议部分须继续履行。</w:t>
      </w:r>
    </w:p>
    <w:p w14:paraId="6AC3618C">
      <w:pPr>
        <w:pStyle w:val="15"/>
        <w:snapToGrid w:val="0"/>
        <w:spacing w:line="460" w:lineRule="exact"/>
        <w:ind w:firstLine="413" w:firstLineChars="196"/>
        <w:rPr>
          <w:rFonts w:hint="eastAsia" w:hAnsi="宋体" w:cs="宋体"/>
          <w:b/>
          <w:color w:val="auto"/>
          <w:sz w:val="21"/>
          <w:szCs w:val="21"/>
          <w:highlight w:val="none"/>
        </w:rPr>
      </w:pPr>
      <w:r>
        <w:rPr>
          <w:rFonts w:hint="eastAsia" w:hAnsi="宋体" w:cs="宋体"/>
          <w:b/>
          <w:color w:val="auto"/>
          <w:sz w:val="21"/>
          <w:szCs w:val="21"/>
          <w:highlight w:val="none"/>
        </w:rPr>
        <w:t>第十四条  合同生效及其他</w:t>
      </w:r>
    </w:p>
    <w:p w14:paraId="64821C43">
      <w:pPr>
        <w:pStyle w:val="15"/>
        <w:snapToGrid w:val="0"/>
        <w:spacing w:line="460" w:lineRule="exact"/>
        <w:ind w:firstLine="420" w:firstLineChars="200"/>
        <w:rPr>
          <w:rFonts w:hint="eastAsia" w:hAnsi="宋体" w:cs="宋体"/>
          <w:color w:val="auto"/>
          <w:kern w:val="2"/>
          <w:sz w:val="21"/>
          <w:szCs w:val="21"/>
          <w:highlight w:val="none"/>
        </w:rPr>
      </w:pPr>
      <w:r>
        <w:rPr>
          <w:rFonts w:hint="eastAsia" w:hAnsi="宋体" w:cs="宋体"/>
          <w:color w:val="auto"/>
          <w:kern w:val="2"/>
          <w:sz w:val="21"/>
          <w:szCs w:val="21"/>
          <w:highlight w:val="none"/>
        </w:rPr>
        <w:t>1.合同自双方法定代表人或者委托代理人签字并加盖单位公章或合同专用章之日起生效（委托代理人签字的须后附授权委托书，格式自拟）。</w:t>
      </w:r>
    </w:p>
    <w:p w14:paraId="6E831F76">
      <w:pPr>
        <w:pStyle w:val="15"/>
        <w:snapToGrid w:val="0"/>
        <w:spacing w:line="460" w:lineRule="exact"/>
        <w:ind w:firstLine="420" w:firstLineChars="200"/>
        <w:rPr>
          <w:rFonts w:hint="eastAsia" w:hAnsi="宋体" w:cs="宋体"/>
          <w:color w:val="auto"/>
          <w:kern w:val="2"/>
          <w:sz w:val="21"/>
          <w:szCs w:val="21"/>
          <w:highlight w:val="none"/>
        </w:rPr>
      </w:pPr>
      <w:r>
        <w:rPr>
          <w:rFonts w:hint="eastAsia" w:hAnsi="宋体" w:cs="宋体"/>
          <w:color w:val="auto"/>
          <w:kern w:val="2"/>
          <w:sz w:val="21"/>
          <w:szCs w:val="21"/>
          <w:highlight w:val="none"/>
        </w:rPr>
        <w:t>2.本合同未尽事宜，遵照《中华人民共和国民法典》有关条文执行。</w:t>
      </w:r>
    </w:p>
    <w:p w14:paraId="375AEC00">
      <w:pPr>
        <w:pStyle w:val="15"/>
        <w:snapToGrid w:val="0"/>
        <w:spacing w:line="460" w:lineRule="exact"/>
        <w:ind w:firstLine="420" w:firstLineChars="200"/>
        <w:rPr>
          <w:rFonts w:hint="eastAsia" w:hAnsi="宋体" w:cs="宋体"/>
          <w:color w:val="auto"/>
          <w:kern w:val="2"/>
          <w:sz w:val="21"/>
          <w:szCs w:val="21"/>
          <w:highlight w:val="none"/>
        </w:rPr>
      </w:pPr>
      <w:r>
        <w:rPr>
          <w:rFonts w:hint="eastAsia" w:hAnsi="宋体" w:cs="宋体"/>
          <w:color w:val="auto"/>
          <w:kern w:val="2"/>
          <w:sz w:val="21"/>
          <w:szCs w:val="21"/>
          <w:highlight w:val="none"/>
        </w:rPr>
        <w:t>3</w:t>
      </w:r>
      <w:r>
        <w:rPr>
          <w:rFonts w:hAnsi="宋体" w:cs="宋体"/>
          <w:color w:val="auto"/>
          <w:kern w:val="2"/>
          <w:sz w:val="21"/>
          <w:szCs w:val="21"/>
          <w:highlight w:val="none"/>
        </w:rPr>
        <w:t>.</w:t>
      </w:r>
      <w:r>
        <w:rPr>
          <w:rFonts w:hint="eastAsia" w:hAnsi="宋体" w:cs="宋体"/>
          <w:color w:val="auto"/>
          <w:kern w:val="2"/>
          <w:sz w:val="21"/>
          <w:szCs w:val="21"/>
          <w:highlight w:val="none"/>
        </w:rPr>
        <w:t>双方确认本合同落款通讯地址作为文书送达地址，该通讯地址适用于包括双方合同履行过程中的各类通知、补充协议等文件，以及因履行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或拒绝接听快递员投递电话等原因，导致文书未能被实际接收的，邮寄文书被退回之日视为送达之日。</w:t>
      </w:r>
    </w:p>
    <w:p w14:paraId="361C98D6">
      <w:pPr>
        <w:snapToGrid w:val="0"/>
        <w:spacing w:line="460" w:lineRule="exact"/>
        <w:ind w:firstLine="422" w:firstLineChars="200"/>
        <w:rPr>
          <w:rFonts w:hint="eastAsia" w:ascii="宋体" w:hAnsi="宋体" w:cs="宋体"/>
          <w:b/>
          <w:color w:val="auto"/>
          <w:sz w:val="21"/>
          <w:szCs w:val="21"/>
          <w:highlight w:val="none"/>
        </w:rPr>
      </w:pPr>
      <w:r>
        <w:rPr>
          <w:rFonts w:hint="eastAsia" w:ascii="宋体" w:hAnsi="宋体" w:cs="宋体"/>
          <w:b/>
          <w:color w:val="auto"/>
          <w:sz w:val="21"/>
          <w:szCs w:val="21"/>
          <w:highlight w:val="none"/>
        </w:rPr>
        <w:t>第十五条　合同的变更、终止与转让</w:t>
      </w:r>
    </w:p>
    <w:p w14:paraId="0220259C">
      <w:pPr>
        <w:snapToGrid w:val="0"/>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1.除《中华人民共和国政府采购法》第五十条规定的情形外，本合同一经签订，甲乙双方不得擅自变更、中止或者终止。</w:t>
      </w:r>
    </w:p>
    <w:p w14:paraId="264F7950">
      <w:pPr>
        <w:snapToGrid w:val="0"/>
        <w:spacing w:line="460" w:lineRule="exact"/>
        <w:ind w:firstLine="514"/>
        <w:rPr>
          <w:rFonts w:hint="eastAsia" w:ascii="宋体" w:hAnsi="宋体" w:cs="宋体"/>
          <w:color w:val="auto"/>
          <w:sz w:val="21"/>
          <w:szCs w:val="21"/>
          <w:highlight w:val="none"/>
        </w:rPr>
      </w:pPr>
      <w:r>
        <w:rPr>
          <w:rFonts w:hint="eastAsia" w:ascii="宋体" w:hAnsi="宋体" w:cs="宋体"/>
          <w:color w:val="auto"/>
          <w:sz w:val="21"/>
          <w:szCs w:val="21"/>
          <w:highlight w:val="none"/>
        </w:rPr>
        <w:t>2.乙方不得擅自转让其应履行的合同义务。</w:t>
      </w:r>
    </w:p>
    <w:p w14:paraId="51EDA8E9">
      <w:pPr>
        <w:pStyle w:val="15"/>
        <w:snapToGrid w:val="0"/>
        <w:spacing w:line="460" w:lineRule="exact"/>
        <w:ind w:firstLine="413" w:firstLineChars="196"/>
        <w:rPr>
          <w:rFonts w:hint="eastAsia" w:hAnsi="宋体" w:cs="宋体"/>
          <w:color w:val="auto"/>
          <w:sz w:val="21"/>
          <w:szCs w:val="21"/>
          <w:highlight w:val="none"/>
        </w:rPr>
      </w:pPr>
      <w:r>
        <w:rPr>
          <w:rFonts w:hint="eastAsia" w:hAnsi="宋体" w:cs="宋体"/>
          <w:b/>
          <w:color w:val="auto"/>
          <w:sz w:val="21"/>
          <w:szCs w:val="21"/>
          <w:highlight w:val="none"/>
        </w:rPr>
        <w:t>第十六条　</w:t>
      </w:r>
      <w:r>
        <w:rPr>
          <w:rFonts w:hint="eastAsia" w:hAnsi="宋体" w:cs="宋体"/>
          <w:color w:val="auto"/>
          <w:spacing w:val="-2"/>
          <w:sz w:val="21"/>
          <w:szCs w:val="21"/>
          <w:highlight w:val="none"/>
        </w:rPr>
        <w:t>本</w:t>
      </w:r>
      <w:r>
        <w:rPr>
          <w:rFonts w:hint="eastAsia" w:hAnsi="宋体" w:cs="宋体"/>
          <w:color w:val="auto"/>
          <w:sz w:val="21"/>
          <w:szCs w:val="21"/>
          <w:highlight w:val="none"/>
        </w:rPr>
        <w:t>合同书</w:t>
      </w:r>
      <w:r>
        <w:rPr>
          <w:rFonts w:hint="eastAsia" w:hAnsi="宋体" w:cs="宋体"/>
          <w:color w:val="auto"/>
          <w:spacing w:val="-2"/>
          <w:sz w:val="21"/>
          <w:szCs w:val="21"/>
          <w:highlight w:val="none"/>
        </w:rPr>
        <w:t>与</w:t>
      </w:r>
      <w:r>
        <w:rPr>
          <w:rFonts w:hint="eastAsia" w:hAnsi="宋体" w:cs="宋体"/>
          <w:color w:val="auto"/>
          <w:sz w:val="21"/>
          <w:szCs w:val="21"/>
          <w:highlight w:val="none"/>
        </w:rPr>
        <w:t>下</w:t>
      </w:r>
      <w:r>
        <w:rPr>
          <w:rFonts w:hint="eastAsia" w:hAnsi="宋体" w:cs="宋体"/>
          <w:color w:val="auto"/>
          <w:spacing w:val="-2"/>
          <w:sz w:val="21"/>
          <w:szCs w:val="21"/>
          <w:highlight w:val="none"/>
        </w:rPr>
        <w:t>列</w:t>
      </w:r>
      <w:r>
        <w:rPr>
          <w:rFonts w:hint="eastAsia" w:hAnsi="宋体" w:cs="宋体"/>
          <w:color w:val="auto"/>
          <w:sz w:val="21"/>
          <w:szCs w:val="21"/>
          <w:highlight w:val="none"/>
        </w:rPr>
        <w:t>文</w:t>
      </w:r>
      <w:r>
        <w:rPr>
          <w:rFonts w:hint="eastAsia" w:hAnsi="宋体" w:cs="宋体"/>
          <w:color w:val="auto"/>
          <w:spacing w:val="-2"/>
          <w:sz w:val="21"/>
          <w:szCs w:val="21"/>
          <w:highlight w:val="none"/>
        </w:rPr>
        <w:t>件一</w:t>
      </w:r>
      <w:r>
        <w:rPr>
          <w:rFonts w:hint="eastAsia" w:hAnsi="宋体" w:cs="宋体"/>
          <w:color w:val="auto"/>
          <w:sz w:val="21"/>
          <w:szCs w:val="21"/>
          <w:highlight w:val="none"/>
        </w:rPr>
        <w:t>起构</w:t>
      </w:r>
      <w:r>
        <w:rPr>
          <w:rFonts w:hint="eastAsia" w:hAnsi="宋体" w:cs="宋体"/>
          <w:color w:val="auto"/>
          <w:spacing w:val="-2"/>
          <w:sz w:val="21"/>
          <w:szCs w:val="21"/>
          <w:highlight w:val="none"/>
        </w:rPr>
        <w:t>成</w:t>
      </w:r>
      <w:r>
        <w:rPr>
          <w:rFonts w:hint="eastAsia" w:hAnsi="宋体" w:cs="宋体"/>
          <w:color w:val="auto"/>
          <w:sz w:val="21"/>
          <w:szCs w:val="21"/>
          <w:highlight w:val="none"/>
        </w:rPr>
        <w:t>合</w:t>
      </w:r>
      <w:r>
        <w:rPr>
          <w:rFonts w:hint="eastAsia" w:hAnsi="宋体" w:cs="宋体"/>
          <w:color w:val="auto"/>
          <w:spacing w:val="-2"/>
          <w:sz w:val="21"/>
          <w:szCs w:val="21"/>
          <w:highlight w:val="none"/>
        </w:rPr>
        <w:t>同</w:t>
      </w:r>
      <w:r>
        <w:rPr>
          <w:rFonts w:hint="eastAsia" w:hAnsi="宋体" w:cs="宋体"/>
          <w:color w:val="auto"/>
          <w:sz w:val="21"/>
          <w:szCs w:val="21"/>
          <w:highlight w:val="none"/>
        </w:rPr>
        <w:t>文</w:t>
      </w:r>
      <w:r>
        <w:rPr>
          <w:rFonts w:hint="eastAsia" w:hAnsi="宋体" w:cs="宋体"/>
          <w:color w:val="auto"/>
          <w:spacing w:val="-2"/>
          <w:sz w:val="21"/>
          <w:szCs w:val="21"/>
          <w:highlight w:val="none"/>
        </w:rPr>
        <w:t>件</w:t>
      </w:r>
    </w:p>
    <w:p w14:paraId="2575E1FD">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rPr>
        <w:t>1.成交通知书</w:t>
      </w:r>
    </w:p>
    <w:p w14:paraId="366B7D9A">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rPr>
        <w:t>2.采购需求</w:t>
      </w:r>
    </w:p>
    <w:p w14:paraId="25FD0438">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lang w:val="en-US" w:eastAsia="zh-CN"/>
        </w:rPr>
        <w:t>3</w:t>
      </w:r>
      <w:r>
        <w:rPr>
          <w:rFonts w:hint="eastAsia" w:hAnsi="宋体" w:cs="宋体"/>
          <w:color w:val="auto"/>
          <w:sz w:val="21"/>
          <w:szCs w:val="21"/>
          <w:highlight w:val="none"/>
        </w:rPr>
        <w:t>.竞争性谈判报价表及货物配置清单</w:t>
      </w:r>
    </w:p>
    <w:p w14:paraId="769796D5">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lang w:val="en-US" w:eastAsia="zh-CN"/>
        </w:rPr>
        <w:t>4</w:t>
      </w:r>
      <w:r>
        <w:rPr>
          <w:rFonts w:hint="eastAsia" w:hAnsi="宋体" w:cs="宋体"/>
          <w:color w:val="auto"/>
          <w:sz w:val="21"/>
          <w:szCs w:val="21"/>
          <w:highlight w:val="none"/>
        </w:rPr>
        <w:t>.商务要求偏离表和技术要求偏离表</w:t>
      </w:r>
    </w:p>
    <w:p w14:paraId="308255F4">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lang w:val="en-US" w:eastAsia="zh-CN"/>
        </w:rPr>
        <w:t>5</w:t>
      </w:r>
      <w:r>
        <w:rPr>
          <w:rFonts w:hint="eastAsia" w:hAnsi="宋体" w:cs="宋体"/>
          <w:color w:val="auto"/>
          <w:sz w:val="21"/>
          <w:szCs w:val="21"/>
          <w:highlight w:val="none"/>
        </w:rPr>
        <w:t>.售后服务承诺</w:t>
      </w:r>
    </w:p>
    <w:p w14:paraId="13282CC3">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lang w:val="en-US" w:eastAsia="zh-CN"/>
        </w:rPr>
        <w:t>6</w:t>
      </w:r>
      <w:r>
        <w:rPr>
          <w:rFonts w:hint="eastAsia" w:hAnsi="宋体" w:cs="宋体"/>
          <w:color w:val="auto"/>
          <w:sz w:val="21"/>
          <w:szCs w:val="21"/>
          <w:highlight w:val="none"/>
        </w:rPr>
        <w:t>.其他合同文件</w:t>
      </w:r>
    </w:p>
    <w:p w14:paraId="0749F462">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rPr>
        <w:t>上述合同文件互相补充和解释。如果合同文件之间存在矛盾或者不一致之处，以上述文件的排列顺序在先者为准。</w:t>
      </w:r>
    </w:p>
    <w:p w14:paraId="3B310847">
      <w:pPr>
        <w:pStyle w:val="15"/>
        <w:snapToGrid w:val="0"/>
        <w:spacing w:line="460" w:lineRule="exact"/>
        <w:ind w:firstLine="413" w:firstLineChars="196"/>
        <w:rPr>
          <w:rFonts w:hint="eastAsia" w:hAnsi="宋体" w:cs="宋体"/>
          <w:color w:val="auto"/>
          <w:sz w:val="21"/>
          <w:szCs w:val="21"/>
          <w:highlight w:val="none"/>
        </w:rPr>
      </w:pPr>
      <w:r>
        <w:rPr>
          <w:rFonts w:hint="eastAsia" w:hAnsi="宋体" w:cs="宋体"/>
          <w:b/>
          <w:color w:val="auto"/>
          <w:sz w:val="21"/>
          <w:szCs w:val="21"/>
          <w:highlight w:val="none"/>
        </w:rPr>
        <w:t>第十七条　</w:t>
      </w:r>
      <w:r>
        <w:rPr>
          <w:rFonts w:hint="eastAsia" w:hAnsi="宋体" w:cs="宋体"/>
          <w:color w:val="auto"/>
          <w:sz w:val="21"/>
          <w:szCs w:val="21"/>
          <w:highlight w:val="none"/>
        </w:rPr>
        <w:t>本合同一式柒份，具有同等法律效力，甲方伍份，乙方壹份，采购代理机构壹份。</w:t>
      </w:r>
    </w:p>
    <w:p w14:paraId="631759DE">
      <w:pPr>
        <w:pStyle w:val="15"/>
        <w:snapToGrid w:val="0"/>
        <w:spacing w:line="460" w:lineRule="exact"/>
        <w:ind w:firstLine="411" w:firstLineChars="196"/>
        <w:rPr>
          <w:rFonts w:hint="eastAsia" w:hAnsi="宋体" w:cs="宋体"/>
          <w:color w:val="auto"/>
          <w:sz w:val="21"/>
          <w:szCs w:val="21"/>
          <w:highlight w:val="none"/>
        </w:rPr>
      </w:pPr>
      <w:r>
        <w:rPr>
          <w:rFonts w:hint="eastAsia" w:hAnsi="宋体" w:cs="宋体"/>
          <w:color w:val="auto"/>
          <w:sz w:val="21"/>
          <w:szCs w:val="21"/>
          <w:highlight w:val="none"/>
        </w:rPr>
        <w:t>（以下无正文）</w:t>
      </w:r>
    </w:p>
    <w:p w14:paraId="11DF7DD5">
      <w:pPr>
        <w:pStyle w:val="15"/>
        <w:snapToGrid w:val="0"/>
        <w:spacing w:line="460" w:lineRule="exact"/>
        <w:ind w:firstLine="411" w:firstLineChars="196"/>
        <w:rPr>
          <w:rFonts w:hint="eastAsia" w:hAnsi="宋体" w:cs="宋体"/>
          <w:color w:val="auto"/>
          <w:sz w:val="21"/>
          <w:szCs w:val="21"/>
          <w:highlight w:val="none"/>
        </w:rPr>
      </w:pPr>
    </w:p>
    <w:bookmarkEnd w:id="42"/>
    <w:tbl>
      <w:tblPr>
        <w:tblStyle w:val="27"/>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60"/>
      </w:tblGrid>
      <w:tr w14:paraId="6D9B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1" w:hRule="atLeast"/>
          <w:jc w:val="center"/>
        </w:trPr>
        <w:tc>
          <w:tcPr>
            <w:tcW w:w="4359" w:type="dxa"/>
            <w:vAlign w:val="center"/>
          </w:tcPr>
          <w:p w14:paraId="45EB023C">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甲方（章）           </w:t>
            </w:r>
          </w:p>
          <w:p w14:paraId="63C197EE">
            <w:pPr>
              <w:snapToGrid w:val="0"/>
              <w:spacing w:line="46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广西幼儿师范高等专科学校</w:t>
            </w:r>
          </w:p>
          <w:p w14:paraId="14EE6107">
            <w:pPr>
              <w:snapToGrid w:val="0"/>
              <w:spacing w:line="460" w:lineRule="exact"/>
              <w:ind w:firstLine="945" w:firstLineChars="45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年   月   日</w:t>
            </w:r>
          </w:p>
        </w:tc>
        <w:tc>
          <w:tcPr>
            <w:tcW w:w="4360" w:type="dxa"/>
            <w:vAlign w:val="center"/>
          </w:tcPr>
          <w:p w14:paraId="180CFBAC">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乙方（章）              </w:t>
            </w:r>
          </w:p>
          <w:p w14:paraId="451FBCD1">
            <w:pPr>
              <w:snapToGrid w:val="0"/>
              <w:spacing w:line="460" w:lineRule="exact"/>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tc>
      </w:tr>
      <w:tr w14:paraId="526C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4359" w:type="dxa"/>
            <w:vAlign w:val="center"/>
          </w:tcPr>
          <w:p w14:paraId="7FDB710B">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单位地址：</w:t>
            </w:r>
          </w:p>
        </w:tc>
        <w:tc>
          <w:tcPr>
            <w:tcW w:w="4360" w:type="dxa"/>
            <w:vAlign w:val="center"/>
          </w:tcPr>
          <w:p w14:paraId="208CBE4A">
            <w:pPr>
              <w:pStyle w:val="23"/>
              <w:widowControl/>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单位地址：</w:t>
            </w:r>
          </w:p>
        </w:tc>
      </w:tr>
      <w:tr w14:paraId="6F74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4359" w:type="dxa"/>
            <w:vAlign w:val="center"/>
          </w:tcPr>
          <w:p w14:paraId="375EFE9B">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法定代表人（签字）：</w:t>
            </w:r>
          </w:p>
        </w:tc>
        <w:tc>
          <w:tcPr>
            <w:tcW w:w="4360" w:type="dxa"/>
            <w:vAlign w:val="center"/>
          </w:tcPr>
          <w:p w14:paraId="525A5B7F">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法定代表人（签字）：</w:t>
            </w:r>
          </w:p>
        </w:tc>
      </w:tr>
      <w:tr w14:paraId="156F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4359" w:type="dxa"/>
            <w:vAlign w:val="center"/>
          </w:tcPr>
          <w:p w14:paraId="74A0D4BD">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委托代理人（签字）：</w:t>
            </w:r>
          </w:p>
        </w:tc>
        <w:tc>
          <w:tcPr>
            <w:tcW w:w="4360" w:type="dxa"/>
            <w:vAlign w:val="center"/>
          </w:tcPr>
          <w:p w14:paraId="590E5211">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委托代理人（签字）：</w:t>
            </w:r>
          </w:p>
        </w:tc>
      </w:tr>
      <w:tr w14:paraId="7732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66835042">
            <w:pPr>
              <w:snapToGri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电话：</w:t>
            </w:r>
          </w:p>
        </w:tc>
        <w:tc>
          <w:tcPr>
            <w:tcW w:w="4360" w:type="dxa"/>
            <w:vAlign w:val="center"/>
          </w:tcPr>
          <w:p w14:paraId="56AAF2D4">
            <w:pPr>
              <w:widowControl/>
              <w:spacing w:line="460" w:lineRule="exact"/>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电话：</w:t>
            </w:r>
            <w:r>
              <w:rPr>
                <w:rFonts w:hint="eastAsia" w:ascii="宋体" w:hAnsi="宋体" w:cs="宋体"/>
                <w:color w:val="auto"/>
                <w:kern w:val="0"/>
                <w:sz w:val="21"/>
                <w:szCs w:val="21"/>
                <w:highlight w:val="none"/>
                <w:lang w:bidi="ar"/>
              </w:rPr>
              <w:t xml:space="preserve"> </w:t>
            </w:r>
          </w:p>
        </w:tc>
      </w:tr>
      <w:tr w14:paraId="1F97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6BB2C8F5">
            <w:pPr>
              <w:snapToGrid w:val="0"/>
              <w:spacing w:line="46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电子邮箱：</w:t>
            </w:r>
          </w:p>
        </w:tc>
        <w:tc>
          <w:tcPr>
            <w:tcW w:w="4360" w:type="dxa"/>
            <w:vAlign w:val="center"/>
          </w:tcPr>
          <w:p w14:paraId="44D44CEC">
            <w:pPr>
              <w:snapToGrid w:val="0"/>
              <w:spacing w:line="46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电子邮箱：</w:t>
            </w:r>
          </w:p>
        </w:tc>
      </w:tr>
      <w:tr w14:paraId="6F23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4359" w:type="dxa"/>
            <w:vAlign w:val="center"/>
          </w:tcPr>
          <w:p w14:paraId="214E610A">
            <w:pPr>
              <w:snapToGrid w:val="0"/>
              <w:spacing w:line="46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开户银行：</w:t>
            </w:r>
          </w:p>
        </w:tc>
        <w:tc>
          <w:tcPr>
            <w:tcW w:w="4360" w:type="dxa"/>
            <w:vAlign w:val="center"/>
          </w:tcPr>
          <w:p w14:paraId="56ED780D">
            <w:pPr>
              <w:widowControl/>
              <w:spacing w:line="460" w:lineRule="exact"/>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开户银行：</w:t>
            </w:r>
          </w:p>
        </w:tc>
      </w:tr>
      <w:tr w14:paraId="1064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3C121745">
            <w:pPr>
              <w:pStyle w:val="23"/>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账号：</w:t>
            </w:r>
          </w:p>
        </w:tc>
        <w:tc>
          <w:tcPr>
            <w:tcW w:w="4360" w:type="dxa"/>
            <w:vAlign w:val="center"/>
          </w:tcPr>
          <w:p w14:paraId="1D1381B8">
            <w:pPr>
              <w:widowControl/>
              <w:spacing w:line="46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账号：</w:t>
            </w:r>
          </w:p>
        </w:tc>
      </w:tr>
      <w:tr w14:paraId="6621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4359" w:type="dxa"/>
            <w:vAlign w:val="center"/>
          </w:tcPr>
          <w:p w14:paraId="6D276CE6">
            <w:pPr>
              <w:pStyle w:val="23"/>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邮政编码：</w:t>
            </w:r>
          </w:p>
        </w:tc>
        <w:tc>
          <w:tcPr>
            <w:tcW w:w="4360" w:type="dxa"/>
            <w:vAlign w:val="center"/>
          </w:tcPr>
          <w:p w14:paraId="1C899B8F">
            <w:pPr>
              <w:widowControl/>
              <w:spacing w:line="460" w:lineRule="exact"/>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邮政编码：</w:t>
            </w:r>
          </w:p>
        </w:tc>
      </w:tr>
    </w:tbl>
    <w:p w14:paraId="677661A7">
      <w:pPr>
        <w:spacing w:line="240" w:lineRule="auto"/>
        <w:rPr>
          <w:rFonts w:hint="eastAsia" w:ascii="宋体" w:hAnsi="宋体" w:cs="宋体"/>
          <w:b/>
          <w:bCs/>
          <w:color w:val="auto"/>
          <w:kern w:val="0"/>
          <w:sz w:val="24"/>
        </w:rPr>
      </w:pPr>
      <w:r>
        <w:rPr>
          <w:rFonts w:hint="eastAsia" w:ascii="宋体" w:hAnsi="宋体" w:cs="宋体"/>
          <w:b/>
          <w:bCs/>
          <w:color w:val="auto"/>
          <w:kern w:val="0"/>
          <w:sz w:val="24"/>
        </w:rPr>
        <w:br w:type="page"/>
      </w:r>
    </w:p>
    <w:p w14:paraId="13242950">
      <w:pPr>
        <w:jc w:val="center"/>
        <w:rPr>
          <w:rFonts w:ascii="宋体" w:hAnsi="宋体" w:cs="宋体"/>
          <w:color w:val="auto"/>
          <w:sz w:val="32"/>
          <w:szCs w:val="32"/>
        </w:rPr>
      </w:pPr>
      <w:r>
        <w:rPr>
          <w:rFonts w:hint="eastAsia" w:ascii="宋体" w:hAnsi="宋体" w:cs="宋体"/>
          <w:b/>
          <w:bCs/>
          <w:color w:val="auto"/>
          <w:kern w:val="0"/>
          <w:sz w:val="32"/>
          <w:szCs w:val="32"/>
        </w:rPr>
        <w:t>广西幼儿师范高等专科学校采购项目履约保证金退付意见书</w:t>
      </w:r>
    </w:p>
    <w:p w14:paraId="042787EF">
      <w:pPr>
        <w:snapToGrid w:val="0"/>
        <w:spacing w:line="400" w:lineRule="exact"/>
        <w:jc w:val="center"/>
        <w:rPr>
          <w:rFonts w:ascii="宋体" w:hAnsi="宋体" w:cs="宋体"/>
          <w:b/>
          <w:color w:val="auto"/>
          <w:sz w:val="24"/>
        </w:rPr>
      </w:pPr>
    </w:p>
    <w:tbl>
      <w:tblPr>
        <w:tblStyle w:val="27"/>
        <w:tblW w:w="89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7174"/>
      </w:tblGrid>
      <w:tr w14:paraId="4082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730" w:type="dxa"/>
            <w:vMerge w:val="restart"/>
            <w:vAlign w:val="center"/>
          </w:tcPr>
          <w:p w14:paraId="2D676399">
            <w:pPr>
              <w:jc w:val="center"/>
              <w:rPr>
                <w:rFonts w:ascii="宋体" w:hAnsi="宋体"/>
                <w:color w:val="auto"/>
                <w:sz w:val="24"/>
              </w:rPr>
            </w:pPr>
            <w:r>
              <w:rPr>
                <w:rFonts w:hint="eastAsia" w:ascii="宋体" w:hAnsi="宋体"/>
                <w:color w:val="auto"/>
                <w:sz w:val="24"/>
              </w:rPr>
              <w:t>供应商申请</w:t>
            </w:r>
          </w:p>
        </w:tc>
        <w:tc>
          <w:tcPr>
            <w:tcW w:w="7174" w:type="dxa"/>
            <w:vAlign w:val="center"/>
          </w:tcPr>
          <w:p w14:paraId="71BAEF13">
            <w:pPr>
              <w:rPr>
                <w:rFonts w:ascii="宋体" w:hAnsi="宋体"/>
                <w:color w:val="auto"/>
                <w:sz w:val="24"/>
              </w:rPr>
            </w:pPr>
            <w:r>
              <w:rPr>
                <w:rFonts w:hint="eastAsia" w:ascii="宋体" w:hAnsi="宋体"/>
                <w:color w:val="auto"/>
                <w:sz w:val="24"/>
              </w:rPr>
              <w:t>项目名称：</w:t>
            </w:r>
          </w:p>
        </w:tc>
      </w:tr>
      <w:tr w14:paraId="49B4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730" w:type="dxa"/>
            <w:vMerge w:val="continue"/>
          </w:tcPr>
          <w:p w14:paraId="6ECB7536">
            <w:pPr>
              <w:rPr>
                <w:rFonts w:ascii="宋体" w:hAnsi="宋体"/>
                <w:color w:val="auto"/>
                <w:sz w:val="24"/>
              </w:rPr>
            </w:pPr>
          </w:p>
        </w:tc>
        <w:tc>
          <w:tcPr>
            <w:tcW w:w="7174" w:type="dxa"/>
            <w:vAlign w:val="center"/>
          </w:tcPr>
          <w:p w14:paraId="63C94489">
            <w:pPr>
              <w:rPr>
                <w:rFonts w:ascii="宋体" w:hAnsi="宋体"/>
                <w:color w:val="auto"/>
                <w:sz w:val="24"/>
              </w:rPr>
            </w:pPr>
            <w:r>
              <w:rPr>
                <w:rFonts w:hint="eastAsia" w:ascii="宋体" w:hAnsi="宋体"/>
                <w:color w:val="auto"/>
                <w:sz w:val="24"/>
              </w:rPr>
              <w:t>合同编号：</w:t>
            </w:r>
          </w:p>
        </w:tc>
      </w:tr>
      <w:tr w14:paraId="2381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5" w:hRule="atLeast"/>
        </w:trPr>
        <w:tc>
          <w:tcPr>
            <w:tcW w:w="1730" w:type="dxa"/>
            <w:vMerge w:val="continue"/>
          </w:tcPr>
          <w:p w14:paraId="2CC749F2">
            <w:pPr>
              <w:rPr>
                <w:rFonts w:ascii="宋体" w:hAnsi="宋体"/>
                <w:color w:val="auto"/>
                <w:sz w:val="24"/>
              </w:rPr>
            </w:pPr>
          </w:p>
        </w:tc>
        <w:tc>
          <w:tcPr>
            <w:tcW w:w="7174" w:type="dxa"/>
          </w:tcPr>
          <w:p w14:paraId="589B060F">
            <w:pPr>
              <w:rPr>
                <w:rFonts w:ascii="宋体" w:hAnsi="宋体"/>
                <w:color w:val="auto"/>
                <w:sz w:val="24"/>
              </w:rPr>
            </w:pPr>
          </w:p>
          <w:p w14:paraId="0F7D3BAA">
            <w:pPr>
              <w:ind w:firstLine="600" w:firstLineChars="250"/>
              <w:rPr>
                <w:rFonts w:ascii="宋体" w:hAnsi="宋体"/>
                <w:color w:val="auto"/>
                <w:sz w:val="24"/>
              </w:rPr>
            </w:pPr>
            <w:r>
              <w:rPr>
                <w:rFonts w:hint="eastAsia" w:ascii="宋体" w:hAnsi="宋体"/>
                <w:color w:val="auto"/>
                <w:sz w:val="24"/>
              </w:rPr>
              <w:t>该项目已于   年    月   日按合同要求履约完成。根据合同规定，可将履约保证金（大写）人民币</w:t>
            </w:r>
            <w:r>
              <w:rPr>
                <w:rFonts w:hint="eastAsia" w:ascii="宋体" w:hAnsi="宋体"/>
                <w:color w:val="auto"/>
                <w:sz w:val="24"/>
                <w:u w:val="single"/>
              </w:rPr>
              <w:t xml:space="preserve">                  </w:t>
            </w:r>
            <w:r>
              <w:rPr>
                <w:rFonts w:hint="eastAsia" w:ascii="宋体" w:hAnsi="宋体"/>
                <w:color w:val="auto"/>
                <w:sz w:val="24"/>
              </w:rPr>
              <w:t>（小写）￥</w:t>
            </w:r>
            <w:r>
              <w:rPr>
                <w:rFonts w:hint="eastAsia" w:ascii="宋体" w:hAnsi="宋体"/>
                <w:color w:val="auto"/>
                <w:sz w:val="24"/>
                <w:u w:val="single"/>
              </w:rPr>
              <w:t xml:space="preserve">            </w:t>
            </w:r>
            <w:r>
              <w:rPr>
                <w:rFonts w:ascii="宋体" w:hAnsi="宋体"/>
                <w:color w:val="auto"/>
                <w:sz w:val="24"/>
                <w:u w:val="single"/>
              </w:rPr>
              <w:t>.00</w:t>
            </w:r>
            <w:r>
              <w:rPr>
                <w:rFonts w:hint="eastAsia" w:ascii="宋体" w:hAnsi="宋体"/>
                <w:color w:val="auto"/>
                <w:sz w:val="24"/>
              </w:rPr>
              <w:t>退付到达以下账户：</w:t>
            </w:r>
          </w:p>
          <w:p w14:paraId="47307C45">
            <w:pPr>
              <w:rPr>
                <w:rFonts w:ascii="宋体" w:hAnsi="宋体"/>
                <w:color w:val="auto"/>
                <w:sz w:val="24"/>
              </w:rPr>
            </w:pPr>
          </w:p>
          <w:p w14:paraId="18D05E28">
            <w:pPr>
              <w:spacing w:line="420" w:lineRule="exact"/>
              <w:rPr>
                <w:rFonts w:ascii="宋体" w:hAnsi="宋体"/>
                <w:color w:val="auto"/>
                <w:sz w:val="24"/>
              </w:rPr>
            </w:pPr>
            <w:r>
              <w:rPr>
                <w:rFonts w:hint="eastAsia" w:ascii="宋体" w:hAnsi="宋体"/>
                <w:color w:val="auto"/>
                <w:sz w:val="24"/>
              </w:rPr>
              <w:t>单位名称：</w:t>
            </w:r>
          </w:p>
          <w:p w14:paraId="2F0768C7">
            <w:pPr>
              <w:spacing w:line="420" w:lineRule="exact"/>
              <w:rPr>
                <w:rFonts w:ascii="宋体" w:hAnsi="宋体"/>
                <w:color w:val="auto"/>
                <w:sz w:val="24"/>
              </w:rPr>
            </w:pPr>
            <w:r>
              <w:rPr>
                <w:rFonts w:hint="eastAsia" w:ascii="宋体" w:hAnsi="宋体"/>
                <w:color w:val="auto"/>
                <w:sz w:val="24"/>
              </w:rPr>
              <w:t>开户银行：</w:t>
            </w:r>
          </w:p>
          <w:p w14:paraId="2BD659C9">
            <w:pPr>
              <w:spacing w:line="420" w:lineRule="exact"/>
              <w:rPr>
                <w:rFonts w:ascii="宋体" w:hAnsi="宋体"/>
                <w:color w:val="auto"/>
                <w:sz w:val="24"/>
              </w:rPr>
            </w:pPr>
            <w:r>
              <w:rPr>
                <w:rFonts w:hint="eastAsia" w:ascii="宋体" w:hAnsi="宋体"/>
                <w:color w:val="auto"/>
                <w:sz w:val="24"/>
              </w:rPr>
              <w:t>银行账号：</w:t>
            </w:r>
          </w:p>
          <w:p w14:paraId="0B5D3DDA">
            <w:pPr>
              <w:rPr>
                <w:rFonts w:ascii="宋体" w:hAnsi="宋体"/>
                <w:color w:val="auto"/>
                <w:sz w:val="24"/>
              </w:rPr>
            </w:pPr>
          </w:p>
          <w:p w14:paraId="31C39756">
            <w:pPr>
              <w:spacing w:line="420" w:lineRule="exact"/>
              <w:rPr>
                <w:rFonts w:ascii="宋体" w:hAnsi="宋体"/>
                <w:color w:val="auto"/>
                <w:sz w:val="24"/>
              </w:rPr>
            </w:pPr>
            <w:r>
              <w:rPr>
                <w:rFonts w:hint="eastAsia" w:ascii="宋体" w:hAnsi="宋体"/>
                <w:color w:val="auto"/>
                <w:sz w:val="24"/>
              </w:rPr>
              <w:t>联系人：</w:t>
            </w:r>
          </w:p>
          <w:p w14:paraId="0EE50EEE">
            <w:pPr>
              <w:spacing w:line="420" w:lineRule="exact"/>
              <w:rPr>
                <w:rFonts w:ascii="宋体" w:hAnsi="宋体"/>
                <w:color w:val="auto"/>
                <w:sz w:val="24"/>
              </w:rPr>
            </w:pPr>
            <w:r>
              <w:rPr>
                <w:rFonts w:hint="eastAsia" w:ascii="宋体" w:hAnsi="宋体"/>
                <w:color w:val="auto"/>
                <w:sz w:val="24"/>
              </w:rPr>
              <w:t>联系电话：</w:t>
            </w:r>
          </w:p>
          <w:p w14:paraId="3384843A">
            <w:pPr>
              <w:rPr>
                <w:rFonts w:ascii="宋体" w:hAnsi="宋体"/>
                <w:color w:val="auto"/>
                <w:sz w:val="24"/>
              </w:rPr>
            </w:pPr>
          </w:p>
          <w:p w14:paraId="4061C6D3">
            <w:pPr>
              <w:spacing w:line="420" w:lineRule="exact"/>
              <w:rPr>
                <w:rFonts w:ascii="宋体" w:hAnsi="宋体"/>
                <w:color w:val="auto"/>
                <w:sz w:val="24"/>
                <w:u w:val="single"/>
              </w:rPr>
            </w:pPr>
            <w:r>
              <w:rPr>
                <w:rFonts w:hint="eastAsia" w:ascii="宋体" w:hAnsi="宋体"/>
                <w:color w:val="auto"/>
                <w:sz w:val="24"/>
              </w:rPr>
              <w:t xml:space="preserve">                                 供应商（签章）：</w:t>
            </w:r>
          </w:p>
          <w:p w14:paraId="06955F7B">
            <w:pPr>
              <w:spacing w:line="420" w:lineRule="exact"/>
              <w:rPr>
                <w:rFonts w:ascii="宋体" w:hAnsi="宋体"/>
                <w:color w:val="auto"/>
                <w:sz w:val="24"/>
              </w:rPr>
            </w:pP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6174810F">
            <w:pPr>
              <w:rPr>
                <w:rFonts w:ascii="宋体" w:hAnsi="宋体"/>
                <w:color w:val="auto"/>
                <w:sz w:val="24"/>
              </w:rPr>
            </w:pPr>
          </w:p>
        </w:tc>
      </w:tr>
      <w:tr w14:paraId="5EB5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trPr>
        <w:tc>
          <w:tcPr>
            <w:tcW w:w="1730" w:type="dxa"/>
            <w:vAlign w:val="center"/>
          </w:tcPr>
          <w:p w14:paraId="6DA10D34">
            <w:pPr>
              <w:jc w:val="center"/>
              <w:rPr>
                <w:rFonts w:ascii="宋体" w:hAnsi="宋体"/>
                <w:color w:val="auto"/>
                <w:sz w:val="24"/>
              </w:rPr>
            </w:pPr>
            <w:r>
              <w:rPr>
                <w:rFonts w:hint="eastAsia" w:ascii="宋体" w:hAnsi="宋体"/>
                <w:color w:val="auto"/>
                <w:sz w:val="24"/>
              </w:rPr>
              <w:t>使用单位</w:t>
            </w:r>
          </w:p>
          <w:p w14:paraId="0EA9B0AE">
            <w:pPr>
              <w:jc w:val="center"/>
              <w:rPr>
                <w:rFonts w:ascii="宋体" w:hAnsi="宋体"/>
                <w:color w:val="auto"/>
                <w:sz w:val="24"/>
              </w:rPr>
            </w:pPr>
            <w:r>
              <w:rPr>
                <w:rFonts w:hint="eastAsia" w:ascii="宋体" w:hAnsi="宋体"/>
                <w:color w:val="auto"/>
                <w:sz w:val="24"/>
              </w:rPr>
              <w:t>意见</w:t>
            </w:r>
          </w:p>
        </w:tc>
        <w:tc>
          <w:tcPr>
            <w:tcW w:w="7174" w:type="dxa"/>
          </w:tcPr>
          <w:p w14:paraId="2E5BFD2A">
            <w:pPr>
              <w:rPr>
                <w:rFonts w:ascii="宋体" w:hAnsi="宋体"/>
                <w:color w:val="auto"/>
                <w:sz w:val="24"/>
              </w:rPr>
            </w:pPr>
            <w:r>
              <w:rPr>
                <w:rFonts w:hint="eastAsia" w:ascii="宋体" w:hAnsi="宋体"/>
                <w:color w:val="auto"/>
                <w:sz w:val="24"/>
              </w:rPr>
              <w:t>（退付意见：是否同意退付履约保证金）</w:t>
            </w:r>
          </w:p>
          <w:p w14:paraId="053BFF3E">
            <w:pPr>
              <w:spacing w:line="420" w:lineRule="exact"/>
              <w:rPr>
                <w:rFonts w:ascii="宋体" w:hAnsi="宋体"/>
                <w:color w:val="auto"/>
                <w:sz w:val="24"/>
              </w:rPr>
            </w:pPr>
          </w:p>
          <w:p w14:paraId="72606F37">
            <w:pPr>
              <w:spacing w:line="420" w:lineRule="exact"/>
              <w:rPr>
                <w:rFonts w:ascii="宋体" w:hAnsi="宋体"/>
                <w:color w:val="auto"/>
                <w:sz w:val="24"/>
              </w:rPr>
            </w:pPr>
            <w:r>
              <w:rPr>
                <w:rFonts w:hint="eastAsia" w:ascii="宋体" w:hAnsi="宋体"/>
                <w:color w:val="auto"/>
                <w:sz w:val="24"/>
              </w:rPr>
              <w:t>项目负责人意见：</w:t>
            </w:r>
          </w:p>
          <w:p w14:paraId="3DAC2D60">
            <w:pPr>
              <w:spacing w:line="420" w:lineRule="exact"/>
              <w:rPr>
                <w:rFonts w:ascii="宋体" w:hAnsi="宋体"/>
                <w:color w:val="auto"/>
                <w:sz w:val="24"/>
              </w:rPr>
            </w:pPr>
          </w:p>
          <w:p w14:paraId="225447E1">
            <w:pPr>
              <w:spacing w:line="420" w:lineRule="exact"/>
              <w:rPr>
                <w:rFonts w:ascii="宋体" w:hAnsi="宋体"/>
                <w:color w:val="auto"/>
                <w:sz w:val="24"/>
              </w:rPr>
            </w:pPr>
            <w:r>
              <w:rPr>
                <w:rFonts w:hint="eastAsia" w:ascii="宋体" w:hAnsi="宋体"/>
                <w:color w:val="auto"/>
                <w:sz w:val="24"/>
              </w:rPr>
              <w:t>联系人：</w:t>
            </w:r>
          </w:p>
          <w:p w14:paraId="4393547F">
            <w:pPr>
              <w:spacing w:line="420" w:lineRule="exact"/>
              <w:rPr>
                <w:rFonts w:ascii="宋体" w:hAnsi="宋体"/>
                <w:color w:val="auto"/>
                <w:sz w:val="24"/>
              </w:rPr>
            </w:pPr>
            <w:r>
              <w:rPr>
                <w:rFonts w:hint="eastAsia" w:ascii="宋体" w:hAnsi="宋体"/>
                <w:color w:val="auto"/>
                <w:sz w:val="24"/>
              </w:rPr>
              <w:t>联系电话：</w:t>
            </w:r>
          </w:p>
          <w:p w14:paraId="79B89A58">
            <w:pPr>
              <w:rPr>
                <w:rFonts w:ascii="宋体" w:hAnsi="宋体"/>
                <w:color w:val="auto"/>
                <w:sz w:val="24"/>
              </w:rPr>
            </w:pPr>
          </w:p>
          <w:p w14:paraId="75B15ED7">
            <w:pPr>
              <w:rPr>
                <w:rFonts w:ascii="宋体" w:hAnsi="宋体"/>
                <w:color w:val="auto"/>
                <w:sz w:val="24"/>
                <w:u w:val="single"/>
              </w:rPr>
            </w:pPr>
            <w:r>
              <w:rPr>
                <w:rFonts w:hint="eastAsia" w:ascii="宋体" w:hAnsi="宋体"/>
                <w:color w:val="auto"/>
                <w:sz w:val="24"/>
              </w:rPr>
              <w:t xml:space="preserve">                                   单位（签章）：</w:t>
            </w:r>
          </w:p>
          <w:p w14:paraId="4F906994">
            <w:pPr>
              <w:spacing w:line="420" w:lineRule="exact"/>
              <w:rPr>
                <w:rFonts w:ascii="宋体" w:hAnsi="宋体"/>
                <w:color w:val="auto"/>
                <w:sz w:val="24"/>
              </w:rPr>
            </w:pP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tc>
      </w:tr>
      <w:tr w14:paraId="0C5A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1730" w:type="dxa"/>
            <w:vAlign w:val="center"/>
          </w:tcPr>
          <w:p w14:paraId="6EC85DBA">
            <w:pPr>
              <w:jc w:val="center"/>
              <w:rPr>
                <w:rFonts w:ascii="宋体" w:hAnsi="宋体"/>
                <w:color w:val="auto"/>
                <w:sz w:val="24"/>
              </w:rPr>
            </w:pPr>
            <w:r>
              <w:rPr>
                <w:rFonts w:hint="eastAsia" w:ascii="宋体" w:hAnsi="宋体"/>
                <w:color w:val="auto"/>
                <w:sz w:val="24"/>
              </w:rPr>
              <w:t>国有资产与实验室管理处（招标与采购管理中心）意见</w:t>
            </w:r>
          </w:p>
        </w:tc>
        <w:tc>
          <w:tcPr>
            <w:tcW w:w="7174" w:type="dxa"/>
          </w:tcPr>
          <w:p w14:paraId="1DAF9B85">
            <w:pPr>
              <w:rPr>
                <w:rFonts w:ascii="宋体" w:hAnsi="宋体"/>
                <w:color w:val="auto"/>
                <w:sz w:val="24"/>
              </w:rPr>
            </w:pPr>
          </w:p>
          <w:p w14:paraId="12C6198C">
            <w:pPr>
              <w:rPr>
                <w:rFonts w:ascii="宋体" w:hAnsi="宋体"/>
                <w:color w:val="auto"/>
                <w:sz w:val="24"/>
              </w:rPr>
            </w:pPr>
          </w:p>
          <w:p w14:paraId="6EC8D0DF">
            <w:pPr>
              <w:rPr>
                <w:rFonts w:ascii="宋体" w:hAnsi="宋体"/>
                <w:color w:val="auto"/>
                <w:sz w:val="24"/>
              </w:rPr>
            </w:pPr>
          </w:p>
          <w:p w14:paraId="3F28B0E9">
            <w:pPr>
              <w:rPr>
                <w:rFonts w:ascii="宋体" w:hAnsi="宋体"/>
                <w:color w:val="auto"/>
                <w:sz w:val="24"/>
              </w:rPr>
            </w:pPr>
            <w:r>
              <w:rPr>
                <w:rFonts w:hint="eastAsia" w:ascii="宋体" w:hAnsi="宋体"/>
                <w:color w:val="auto"/>
                <w:sz w:val="24"/>
              </w:rPr>
              <w:t xml:space="preserve">                  </w:t>
            </w:r>
          </w:p>
          <w:p w14:paraId="6B5BD9F4">
            <w:pPr>
              <w:rPr>
                <w:rFonts w:ascii="宋体" w:hAnsi="宋体"/>
                <w:color w:val="auto"/>
                <w:sz w:val="24"/>
              </w:rPr>
            </w:pPr>
          </w:p>
          <w:p w14:paraId="7820A00F">
            <w:pPr>
              <w:ind w:firstLine="4080" w:firstLineChars="1700"/>
              <w:rPr>
                <w:rFonts w:ascii="宋体" w:hAnsi="宋体"/>
                <w:color w:val="auto"/>
                <w:sz w:val="24"/>
              </w:rPr>
            </w:pPr>
            <w:r>
              <w:rPr>
                <w:rFonts w:hint="eastAsia" w:ascii="宋体" w:hAnsi="宋体"/>
                <w:color w:val="auto"/>
                <w:sz w:val="24"/>
              </w:rPr>
              <w:t>单位（签章）：</w:t>
            </w:r>
          </w:p>
          <w:p w14:paraId="4A846776">
            <w:pPr>
              <w:rPr>
                <w:rFonts w:ascii="宋体" w:hAnsi="宋体"/>
                <w:color w:val="auto"/>
                <w:sz w:val="24"/>
              </w:rPr>
            </w:pP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tc>
      </w:tr>
    </w:tbl>
    <w:p w14:paraId="736AE470">
      <w:pPr>
        <w:snapToGrid w:val="0"/>
        <w:spacing w:line="360" w:lineRule="auto"/>
        <w:rPr>
          <w:rFonts w:ascii="宋体" w:hAnsi="宋体" w:cs="宋体"/>
          <w:color w:val="auto"/>
          <w:sz w:val="24"/>
        </w:rPr>
      </w:pPr>
    </w:p>
    <w:sectPr>
      <w:footerReference r:id="rId6" w:type="first"/>
      <w:pgSz w:w="11905" w:h="16838"/>
      <w:pgMar w:top="1417" w:right="1417" w:bottom="1417" w:left="1417" w:header="850" w:footer="992" w:gutter="0"/>
      <w:cols w:space="720" w:num="1"/>
      <w:titlePg/>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D09CA9A-68E5-4E5F-A5C1-24EBA7ADF2F1}"/>
  </w:font>
  <w:font w:name="Arial">
    <w:panose1 w:val="020B0604020202020204"/>
    <w:charset w:val="01"/>
    <w:family w:val="swiss"/>
    <w:pitch w:val="default"/>
    <w:sig w:usb0="E0002EFF" w:usb1="C000785B" w:usb2="00000009" w:usb3="00000000" w:csb0="400001FF" w:csb1="FFFF0000"/>
    <w:embedRegular r:id="rId2" w:fontKey="{E36D6779-6AAA-45D2-8283-4AE693D6341C}"/>
  </w:font>
  <w:font w:name="黑体">
    <w:panose1 w:val="02010609060101010101"/>
    <w:charset w:val="86"/>
    <w:family w:val="auto"/>
    <w:pitch w:val="default"/>
    <w:sig w:usb0="800002BF" w:usb1="38CF7CFA" w:usb2="00000016" w:usb3="00000000" w:csb0="00040001" w:csb1="00000000"/>
    <w:embedRegular r:id="rId3" w:fontKey="{59584A8F-F1A0-4A0B-820B-00C4FC91D8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0911B3E-1BE5-4FE8-AB5B-61C01FCD733A}"/>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5" w:fontKey="{DD069902-43C5-4D12-968B-C48246C58F02}"/>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方正书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embedRegular r:id="rId6" w:fontKey="{D0617002-C4D4-48BB-BA2A-27DE3E7B5D3A}"/>
  </w:font>
  <w:font w:name="Calibri Light">
    <w:panose1 w:val="020F03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embedRegular r:id="rId7" w:fontKey="{6EF5D951-9A1E-402D-8CAE-14A9C2018426}"/>
  </w:font>
  <w:font w:name="楷体">
    <w:panose1 w:val="02010609060101010101"/>
    <w:charset w:val="86"/>
    <w:family w:val="modern"/>
    <w:pitch w:val="default"/>
    <w:sig w:usb0="800002BF" w:usb1="38CF7CFA" w:usb2="00000016" w:usb3="00000000" w:csb0="00040001" w:csb1="00000000"/>
    <w:embedRegular r:id="rId8" w:fontKey="{A3F7D15D-4660-4785-87A0-4D7AE5AD9468}"/>
  </w:font>
  <w:font w:name="Segoe UI Symbol">
    <w:panose1 w:val="020B0502040204020203"/>
    <w:charset w:val="00"/>
    <w:family w:val="swiss"/>
    <w:pitch w:val="default"/>
    <w:sig w:usb0="800001E3" w:usb1="1200FFEF" w:usb2="00040000" w:usb3="04000000" w:csb0="00000001" w:csb1="40000000"/>
    <w:embedRegular r:id="rId9" w:fontKey="{C404523E-A295-46F2-9F79-9C6F817F3D2E}"/>
  </w:font>
  <w:font w:name="WPSEMBED1">
    <w:panose1 w:val="02010609030101010101"/>
    <w:charset w:val="86"/>
    <w:family w:val="auto"/>
    <w:pitch w:val="default"/>
    <w:sig w:usb0="00000001" w:usb1="080E0000" w:usb2="00000000" w:usb3="00000000" w:csb0="00040000" w:csb1="00000000"/>
  </w:font>
  <w:font w:name="WPSEMBED2">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62DB0">
    <w:pPr>
      <w:pStyle w:val="18"/>
      <w:jc w:val="center"/>
    </w:pPr>
    <w:r>
      <w:fldChar w:fldCharType="begin"/>
    </w:r>
    <w:r>
      <w:instrText xml:space="preserve"> PAGE   \* MERGEFORMAT </w:instrText>
    </w:r>
    <w:r>
      <w:fldChar w:fldCharType="separate"/>
    </w:r>
    <w:r>
      <w:rPr>
        <w:lang w:val="zh-CN"/>
      </w:rPr>
      <w:t>1</w:t>
    </w:r>
    <w:r>
      <w:fldChar w:fldCharType="end"/>
    </w:r>
  </w:p>
  <w:p w14:paraId="6C630D1F">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0AE0B">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E52B18">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1E52B18">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98B54">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A68905">
                          <w:pPr>
                            <w:pStyle w:val="18"/>
                          </w:pPr>
                          <w:r>
                            <w:rPr>
                              <w:rFonts w:hint="eastAsia"/>
                            </w:rPr>
                            <w:fldChar w:fldCharType="begin"/>
                          </w:r>
                          <w:r>
                            <w:rPr>
                              <w:rFonts w:hint="eastAsia"/>
                            </w:rPr>
                            <w:instrText xml:space="preserve"> PAGE  \* MERGEFORMAT </w:instrText>
                          </w:r>
                          <w:r>
                            <w:rPr>
                              <w:rFonts w:hint="eastAsia"/>
                            </w:rPr>
                            <w:fldChar w:fldCharType="separate"/>
                          </w:r>
                          <w:r>
                            <w:t>124</w:t>
                          </w:r>
                          <w:r>
                            <w:rPr>
                              <w:rFonts w:hint="eastAsia"/>
                            </w:rPr>
                            <w:fldChar w:fldCharType="end"/>
                          </w:r>
                        </w:p>
                      </w:txbxContent>
                    </wps:txbx>
                    <wps:bodyPr wrap="none" lIns="0" tIns="0" rIns="0" bIns="0">
                      <a:spAutoFit/>
                    </wps:bodyPr>
                  </wps:wsp>
                </a:graphicData>
              </a:graphic>
            </wp:anchor>
          </w:drawing>
        </mc:Choice>
        <mc:Fallback>
          <w:pict>
            <v:shape id="文本框 51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M7uMX7FAQAAkAMAAA4AAAAAAAAAAQAgAAAAHgEAAGRycy9lMm9Eb2MueG1s&#10;UEsFBgAAAAAGAAYAWQEAAFUFAAAAAA==&#10;">
              <v:fill on="f" focussize="0,0"/>
              <v:stroke on="f"/>
              <v:imagedata o:title=""/>
              <o:lock v:ext="edit" aspectratio="f"/>
              <v:textbox inset="0mm,0mm,0mm,0mm" style="mso-fit-shape-to-text:t;">
                <w:txbxContent>
                  <w:p w14:paraId="02A68905">
                    <w:pPr>
                      <w:pStyle w:val="18"/>
                    </w:pPr>
                    <w:r>
                      <w:rPr>
                        <w:rFonts w:hint="eastAsia"/>
                      </w:rPr>
                      <w:fldChar w:fldCharType="begin"/>
                    </w:r>
                    <w:r>
                      <w:rPr>
                        <w:rFonts w:hint="eastAsia"/>
                      </w:rPr>
                      <w:instrText xml:space="preserve"> PAGE  \* MERGEFORMAT </w:instrText>
                    </w:r>
                    <w:r>
                      <w:rPr>
                        <w:rFonts w:hint="eastAsia"/>
                      </w:rPr>
                      <w:fldChar w:fldCharType="separate"/>
                    </w:r>
                    <w:r>
                      <w:t>124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1E07F">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BF1AE8"/>
    <w:multiLevelType w:val="multilevel"/>
    <w:tmpl w:val="61BF1AE8"/>
    <w:lvl w:ilvl="0" w:tentative="0">
      <w:start w:val="1"/>
      <w:numFmt w:val="japaneseCounting"/>
      <w:lvlText w:val="第%1章"/>
      <w:lvlJc w:val="left"/>
      <w:pPr>
        <w:ind w:left="1545" w:hanging="154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lZWE4NGM4OTliODc5MjQyODg4MzM0MTNlMjk3ODUifQ=="/>
  </w:docVars>
  <w:rsids>
    <w:rsidRoot w:val="00F34B14"/>
    <w:rsid w:val="00000672"/>
    <w:rsid w:val="00001799"/>
    <w:rsid w:val="000022D9"/>
    <w:rsid w:val="00002D29"/>
    <w:rsid w:val="000040C5"/>
    <w:rsid w:val="000045C6"/>
    <w:rsid w:val="00004A8A"/>
    <w:rsid w:val="0000574C"/>
    <w:rsid w:val="00005B07"/>
    <w:rsid w:val="00005E55"/>
    <w:rsid w:val="00005FDF"/>
    <w:rsid w:val="00006586"/>
    <w:rsid w:val="000065BA"/>
    <w:rsid w:val="0001045D"/>
    <w:rsid w:val="00010D39"/>
    <w:rsid w:val="000112BB"/>
    <w:rsid w:val="0001149B"/>
    <w:rsid w:val="0001172C"/>
    <w:rsid w:val="00012854"/>
    <w:rsid w:val="00012E50"/>
    <w:rsid w:val="00012EA6"/>
    <w:rsid w:val="000139DC"/>
    <w:rsid w:val="00013D8C"/>
    <w:rsid w:val="00013DFE"/>
    <w:rsid w:val="00013F03"/>
    <w:rsid w:val="000141EA"/>
    <w:rsid w:val="00014385"/>
    <w:rsid w:val="00014D2F"/>
    <w:rsid w:val="000159F6"/>
    <w:rsid w:val="00016960"/>
    <w:rsid w:val="00017396"/>
    <w:rsid w:val="000177DB"/>
    <w:rsid w:val="00020227"/>
    <w:rsid w:val="000203E4"/>
    <w:rsid w:val="00020455"/>
    <w:rsid w:val="00020CCE"/>
    <w:rsid w:val="00022731"/>
    <w:rsid w:val="00022792"/>
    <w:rsid w:val="00022A07"/>
    <w:rsid w:val="000242CE"/>
    <w:rsid w:val="00025382"/>
    <w:rsid w:val="00025636"/>
    <w:rsid w:val="00025E36"/>
    <w:rsid w:val="00026627"/>
    <w:rsid w:val="00026886"/>
    <w:rsid w:val="0002793A"/>
    <w:rsid w:val="00030496"/>
    <w:rsid w:val="000329E0"/>
    <w:rsid w:val="000333A0"/>
    <w:rsid w:val="00034060"/>
    <w:rsid w:val="000352E9"/>
    <w:rsid w:val="00036A07"/>
    <w:rsid w:val="00036E33"/>
    <w:rsid w:val="00036FAD"/>
    <w:rsid w:val="00037363"/>
    <w:rsid w:val="00037E2D"/>
    <w:rsid w:val="00040571"/>
    <w:rsid w:val="0004156E"/>
    <w:rsid w:val="00041597"/>
    <w:rsid w:val="00041800"/>
    <w:rsid w:val="0004440C"/>
    <w:rsid w:val="00045880"/>
    <w:rsid w:val="000462CB"/>
    <w:rsid w:val="00046B5E"/>
    <w:rsid w:val="0004783A"/>
    <w:rsid w:val="000509D9"/>
    <w:rsid w:val="0005398D"/>
    <w:rsid w:val="000552A6"/>
    <w:rsid w:val="00055D41"/>
    <w:rsid w:val="000569C7"/>
    <w:rsid w:val="00057CEC"/>
    <w:rsid w:val="00060DCE"/>
    <w:rsid w:val="00061A5A"/>
    <w:rsid w:val="000623B4"/>
    <w:rsid w:val="000634A3"/>
    <w:rsid w:val="000634A7"/>
    <w:rsid w:val="00063E85"/>
    <w:rsid w:val="00063F81"/>
    <w:rsid w:val="00064847"/>
    <w:rsid w:val="0006484B"/>
    <w:rsid w:val="000673E2"/>
    <w:rsid w:val="000703B6"/>
    <w:rsid w:val="000711E4"/>
    <w:rsid w:val="000719F9"/>
    <w:rsid w:val="0007228C"/>
    <w:rsid w:val="000722D1"/>
    <w:rsid w:val="00072AED"/>
    <w:rsid w:val="00073B38"/>
    <w:rsid w:val="00073F47"/>
    <w:rsid w:val="00075B7E"/>
    <w:rsid w:val="00077C70"/>
    <w:rsid w:val="00080B57"/>
    <w:rsid w:val="00081BA3"/>
    <w:rsid w:val="00081D2E"/>
    <w:rsid w:val="00081E30"/>
    <w:rsid w:val="0008267B"/>
    <w:rsid w:val="00082D02"/>
    <w:rsid w:val="000833E9"/>
    <w:rsid w:val="00083B91"/>
    <w:rsid w:val="0008520B"/>
    <w:rsid w:val="000871B8"/>
    <w:rsid w:val="00087DB6"/>
    <w:rsid w:val="000913BE"/>
    <w:rsid w:val="000918F8"/>
    <w:rsid w:val="00092442"/>
    <w:rsid w:val="00094183"/>
    <w:rsid w:val="00095233"/>
    <w:rsid w:val="0009588E"/>
    <w:rsid w:val="000959EE"/>
    <w:rsid w:val="00095B51"/>
    <w:rsid w:val="00097DA0"/>
    <w:rsid w:val="000A0D6B"/>
    <w:rsid w:val="000A1389"/>
    <w:rsid w:val="000A166E"/>
    <w:rsid w:val="000A2B0E"/>
    <w:rsid w:val="000A398F"/>
    <w:rsid w:val="000A509C"/>
    <w:rsid w:val="000A5516"/>
    <w:rsid w:val="000A6007"/>
    <w:rsid w:val="000A65A6"/>
    <w:rsid w:val="000A7275"/>
    <w:rsid w:val="000A7A12"/>
    <w:rsid w:val="000A7CA5"/>
    <w:rsid w:val="000B039A"/>
    <w:rsid w:val="000B1801"/>
    <w:rsid w:val="000B1D0C"/>
    <w:rsid w:val="000B2D03"/>
    <w:rsid w:val="000B3815"/>
    <w:rsid w:val="000B3C7B"/>
    <w:rsid w:val="000B5B24"/>
    <w:rsid w:val="000B666F"/>
    <w:rsid w:val="000B6C95"/>
    <w:rsid w:val="000C06D3"/>
    <w:rsid w:val="000C0C58"/>
    <w:rsid w:val="000C1679"/>
    <w:rsid w:val="000C2F89"/>
    <w:rsid w:val="000C30BB"/>
    <w:rsid w:val="000C366E"/>
    <w:rsid w:val="000C3B94"/>
    <w:rsid w:val="000C4635"/>
    <w:rsid w:val="000C548E"/>
    <w:rsid w:val="000C5698"/>
    <w:rsid w:val="000C5775"/>
    <w:rsid w:val="000C6DE4"/>
    <w:rsid w:val="000C716B"/>
    <w:rsid w:val="000C7C12"/>
    <w:rsid w:val="000D01EB"/>
    <w:rsid w:val="000D056E"/>
    <w:rsid w:val="000D0675"/>
    <w:rsid w:val="000D0A89"/>
    <w:rsid w:val="000D1389"/>
    <w:rsid w:val="000D1798"/>
    <w:rsid w:val="000D1A2A"/>
    <w:rsid w:val="000D1A53"/>
    <w:rsid w:val="000D2626"/>
    <w:rsid w:val="000D2B7D"/>
    <w:rsid w:val="000D4A06"/>
    <w:rsid w:val="000D6DCD"/>
    <w:rsid w:val="000D73DD"/>
    <w:rsid w:val="000D7D9B"/>
    <w:rsid w:val="000E18E2"/>
    <w:rsid w:val="000E28AB"/>
    <w:rsid w:val="000E28C1"/>
    <w:rsid w:val="000E2E3E"/>
    <w:rsid w:val="000E33C5"/>
    <w:rsid w:val="000E3583"/>
    <w:rsid w:val="000E3AF0"/>
    <w:rsid w:val="000E3D53"/>
    <w:rsid w:val="000E4E04"/>
    <w:rsid w:val="000E684C"/>
    <w:rsid w:val="000E6EC9"/>
    <w:rsid w:val="000E70B4"/>
    <w:rsid w:val="000F06FC"/>
    <w:rsid w:val="000F0742"/>
    <w:rsid w:val="000F3281"/>
    <w:rsid w:val="000F3733"/>
    <w:rsid w:val="000F4D88"/>
    <w:rsid w:val="000F4FC9"/>
    <w:rsid w:val="000F64AA"/>
    <w:rsid w:val="000F7AF4"/>
    <w:rsid w:val="000F7C33"/>
    <w:rsid w:val="000F7F0C"/>
    <w:rsid w:val="00100246"/>
    <w:rsid w:val="001004D6"/>
    <w:rsid w:val="00100D90"/>
    <w:rsid w:val="00102309"/>
    <w:rsid w:val="00102ECA"/>
    <w:rsid w:val="00103918"/>
    <w:rsid w:val="00104889"/>
    <w:rsid w:val="00104897"/>
    <w:rsid w:val="00104D7E"/>
    <w:rsid w:val="00104EDE"/>
    <w:rsid w:val="00105AA1"/>
    <w:rsid w:val="00105FAC"/>
    <w:rsid w:val="00106BEE"/>
    <w:rsid w:val="00110339"/>
    <w:rsid w:val="00110C92"/>
    <w:rsid w:val="00113134"/>
    <w:rsid w:val="00113AC0"/>
    <w:rsid w:val="00114851"/>
    <w:rsid w:val="00115E11"/>
    <w:rsid w:val="00115F56"/>
    <w:rsid w:val="00117CBD"/>
    <w:rsid w:val="0012006A"/>
    <w:rsid w:val="00120990"/>
    <w:rsid w:val="001217B5"/>
    <w:rsid w:val="00121979"/>
    <w:rsid w:val="00122064"/>
    <w:rsid w:val="0012378B"/>
    <w:rsid w:val="00123B26"/>
    <w:rsid w:val="00125004"/>
    <w:rsid w:val="001263B8"/>
    <w:rsid w:val="00126763"/>
    <w:rsid w:val="00130217"/>
    <w:rsid w:val="00130783"/>
    <w:rsid w:val="00130990"/>
    <w:rsid w:val="001312CB"/>
    <w:rsid w:val="00132B47"/>
    <w:rsid w:val="00132E64"/>
    <w:rsid w:val="00134816"/>
    <w:rsid w:val="001351CB"/>
    <w:rsid w:val="001359A2"/>
    <w:rsid w:val="00135E37"/>
    <w:rsid w:val="00136020"/>
    <w:rsid w:val="00136445"/>
    <w:rsid w:val="0013746E"/>
    <w:rsid w:val="001374F3"/>
    <w:rsid w:val="00140132"/>
    <w:rsid w:val="00141C9C"/>
    <w:rsid w:val="00142668"/>
    <w:rsid w:val="001434BE"/>
    <w:rsid w:val="00144275"/>
    <w:rsid w:val="0014479F"/>
    <w:rsid w:val="001452B4"/>
    <w:rsid w:val="00146EC6"/>
    <w:rsid w:val="001478D2"/>
    <w:rsid w:val="00151C48"/>
    <w:rsid w:val="00152A87"/>
    <w:rsid w:val="00154486"/>
    <w:rsid w:val="00154663"/>
    <w:rsid w:val="00156D0E"/>
    <w:rsid w:val="00156DD9"/>
    <w:rsid w:val="0016086E"/>
    <w:rsid w:val="00160D0C"/>
    <w:rsid w:val="00161172"/>
    <w:rsid w:val="0016139E"/>
    <w:rsid w:val="00161E65"/>
    <w:rsid w:val="00162597"/>
    <w:rsid w:val="001629AF"/>
    <w:rsid w:val="00162C1D"/>
    <w:rsid w:val="001633A3"/>
    <w:rsid w:val="0016428A"/>
    <w:rsid w:val="001647C9"/>
    <w:rsid w:val="00164837"/>
    <w:rsid w:val="001661A3"/>
    <w:rsid w:val="0016782B"/>
    <w:rsid w:val="00170B05"/>
    <w:rsid w:val="00173256"/>
    <w:rsid w:val="001733E1"/>
    <w:rsid w:val="00173F74"/>
    <w:rsid w:val="00175086"/>
    <w:rsid w:val="00175BA6"/>
    <w:rsid w:val="0017617F"/>
    <w:rsid w:val="00176CA7"/>
    <w:rsid w:val="001778C5"/>
    <w:rsid w:val="00177E56"/>
    <w:rsid w:val="00177F0A"/>
    <w:rsid w:val="00183852"/>
    <w:rsid w:val="00185617"/>
    <w:rsid w:val="00186ADE"/>
    <w:rsid w:val="00187F35"/>
    <w:rsid w:val="0019171E"/>
    <w:rsid w:val="0019220F"/>
    <w:rsid w:val="001928B1"/>
    <w:rsid w:val="00194ED5"/>
    <w:rsid w:val="00195424"/>
    <w:rsid w:val="001955FF"/>
    <w:rsid w:val="0019692F"/>
    <w:rsid w:val="00197EDD"/>
    <w:rsid w:val="00197F70"/>
    <w:rsid w:val="001A02B3"/>
    <w:rsid w:val="001A0322"/>
    <w:rsid w:val="001A04BB"/>
    <w:rsid w:val="001A08D0"/>
    <w:rsid w:val="001A14B1"/>
    <w:rsid w:val="001A1B39"/>
    <w:rsid w:val="001A1E51"/>
    <w:rsid w:val="001A2492"/>
    <w:rsid w:val="001A2E69"/>
    <w:rsid w:val="001A3C34"/>
    <w:rsid w:val="001A3EDE"/>
    <w:rsid w:val="001A4222"/>
    <w:rsid w:val="001A50EA"/>
    <w:rsid w:val="001A5E24"/>
    <w:rsid w:val="001A6D8B"/>
    <w:rsid w:val="001B079E"/>
    <w:rsid w:val="001B0CDA"/>
    <w:rsid w:val="001B0E26"/>
    <w:rsid w:val="001B125A"/>
    <w:rsid w:val="001B1EBA"/>
    <w:rsid w:val="001B2142"/>
    <w:rsid w:val="001B26CF"/>
    <w:rsid w:val="001B2F2B"/>
    <w:rsid w:val="001B327A"/>
    <w:rsid w:val="001B35DE"/>
    <w:rsid w:val="001B3A13"/>
    <w:rsid w:val="001B59FF"/>
    <w:rsid w:val="001B636D"/>
    <w:rsid w:val="001B65D7"/>
    <w:rsid w:val="001B6752"/>
    <w:rsid w:val="001B6768"/>
    <w:rsid w:val="001B6F1F"/>
    <w:rsid w:val="001B7ECC"/>
    <w:rsid w:val="001C25A7"/>
    <w:rsid w:val="001C318C"/>
    <w:rsid w:val="001C38B0"/>
    <w:rsid w:val="001C4287"/>
    <w:rsid w:val="001C4479"/>
    <w:rsid w:val="001C76B7"/>
    <w:rsid w:val="001C76FB"/>
    <w:rsid w:val="001D1165"/>
    <w:rsid w:val="001D2764"/>
    <w:rsid w:val="001D324F"/>
    <w:rsid w:val="001D3697"/>
    <w:rsid w:val="001D51DE"/>
    <w:rsid w:val="001D540E"/>
    <w:rsid w:val="001D58A1"/>
    <w:rsid w:val="001D5A8A"/>
    <w:rsid w:val="001D735E"/>
    <w:rsid w:val="001D73C8"/>
    <w:rsid w:val="001D74D4"/>
    <w:rsid w:val="001D756D"/>
    <w:rsid w:val="001D778C"/>
    <w:rsid w:val="001D7E1F"/>
    <w:rsid w:val="001E0756"/>
    <w:rsid w:val="001E0A8D"/>
    <w:rsid w:val="001E0FFB"/>
    <w:rsid w:val="001E129E"/>
    <w:rsid w:val="001E1F33"/>
    <w:rsid w:val="001E2B9F"/>
    <w:rsid w:val="001E30C0"/>
    <w:rsid w:val="001E3221"/>
    <w:rsid w:val="001E33BA"/>
    <w:rsid w:val="001E49F2"/>
    <w:rsid w:val="001E4A8D"/>
    <w:rsid w:val="001E5A94"/>
    <w:rsid w:val="001E6D88"/>
    <w:rsid w:val="001E7648"/>
    <w:rsid w:val="001F127B"/>
    <w:rsid w:val="001F15A8"/>
    <w:rsid w:val="001F2A2E"/>
    <w:rsid w:val="001F3B72"/>
    <w:rsid w:val="001F3C63"/>
    <w:rsid w:val="001F4460"/>
    <w:rsid w:val="001F5DAF"/>
    <w:rsid w:val="001F637C"/>
    <w:rsid w:val="001F6B6C"/>
    <w:rsid w:val="001F711A"/>
    <w:rsid w:val="001F75B0"/>
    <w:rsid w:val="001F7686"/>
    <w:rsid w:val="0020035F"/>
    <w:rsid w:val="0020072B"/>
    <w:rsid w:val="00200CE5"/>
    <w:rsid w:val="002014DB"/>
    <w:rsid w:val="00201E12"/>
    <w:rsid w:val="00202AEC"/>
    <w:rsid w:val="002031E2"/>
    <w:rsid w:val="002033B5"/>
    <w:rsid w:val="0020382C"/>
    <w:rsid w:val="0020437A"/>
    <w:rsid w:val="00204B5F"/>
    <w:rsid w:val="0020532C"/>
    <w:rsid w:val="00205D23"/>
    <w:rsid w:val="0021064F"/>
    <w:rsid w:val="002114C7"/>
    <w:rsid w:val="00212756"/>
    <w:rsid w:val="00212D97"/>
    <w:rsid w:val="0021302C"/>
    <w:rsid w:val="00213045"/>
    <w:rsid w:val="00213483"/>
    <w:rsid w:val="00213B1C"/>
    <w:rsid w:val="00214202"/>
    <w:rsid w:val="002146F3"/>
    <w:rsid w:val="002148E3"/>
    <w:rsid w:val="00215373"/>
    <w:rsid w:val="0021552D"/>
    <w:rsid w:val="002156AE"/>
    <w:rsid w:val="002177BD"/>
    <w:rsid w:val="00217861"/>
    <w:rsid w:val="0022054D"/>
    <w:rsid w:val="00220949"/>
    <w:rsid w:val="002225FA"/>
    <w:rsid w:val="0022413B"/>
    <w:rsid w:val="00224DE1"/>
    <w:rsid w:val="002255B2"/>
    <w:rsid w:val="00225664"/>
    <w:rsid w:val="00226463"/>
    <w:rsid w:val="002269DC"/>
    <w:rsid w:val="00227C28"/>
    <w:rsid w:val="00227F2D"/>
    <w:rsid w:val="00231851"/>
    <w:rsid w:val="002319FB"/>
    <w:rsid w:val="00231B89"/>
    <w:rsid w:val="00231B8E"/>
    <w:rsid w:val="00233727"/>
    <w:rsid w:val="002355BE"/>
    <w:rsid w:val="00236D82"/>
    <w:rsid w:val="00236DE9"/>
    <w:rsid w:val="00237D5A"/>
    <w:rsid w:val="00241300"/>
    <w:rsid w:val="00241D3C"/>
    <w:rsid w:val="002439AB"/>
    <w:rsid w:val="002442F6"/>
    <w:rsid w:val="002450D5"/>
    <w:rsid w:val="00245587"/>
    <w:rsid w:val="002458A7"/>
    <w:rsid w:val="00245F2B"/>
    <w:rsid w:val="00246F95"/>
    <w:rsid w:val="0024703E"/>
    <w:rsid w:val="00247676"/>
    <w:rsid w:val="00247F3A"/>
    <w:rsid w:val="00250122"/>
    <w:rsid w:val="00250755"/>
    <w:rsid w:val="00250AE3"/>
    <w:rsid w:val="00251C4A"/>
    <w:rsid w:val="0025271C"/>
    <w:rsid w:val="00252A91"/>
    <w:rsid w:val="00252C5C"/>
    <w:rsid w:val="002533CD"/>
    <w:rsid w:val="002544C1"/>
    <w:rsid w:val="00254EAB"/>
    <w:rsid w:val="002557AF"/>
    <w:rsid w:val="00256474"/>
    <w:rsid w:val="002566B1"/>
    <w:rsid w:val="002575E3"/>
    <w:rsid w:val="002603C1"/>
    <w:rsid w:val="002609A1"/>
    <w:rsid w:val="002612B1"/>
    <w:rsid w:val="0026327C"/>
    <w:rsid w:val="00265600"/>
    <w:rsid w:val="00266165"/>
    <w:rsid w:val="002666A1"/>
    <w:rsid w:val="0026782A"/>
    <w:rsid w:val="002708B3"/>
    <w:rsid w:val="0027125E"/>
    <w:rsid w:val="00271767"/>
    <w:rsid w:val="002719C1"/>
    <w:rsid w:val="00272293"/>
    <w:rsid w:val="002723C8"/>
    <w:rsid w:val="00273379"/>
    <w:rsid w:val="00273CBE"/>
    <w:rsid w:val="00277F24"/>
    <w:rsid w:val="00280240"/>
    <w:rsid w:val="002802D7"/>
    <w:rsid w:val="0028232C"/>
    <w:rsid w:val="002827F1"/>
    <w:rsid w:val="00282EC3"/>
    <w:rsid w:val="002835B0"/>
    <w:rsid w:val="0028407E"/>
    <w:rsid w:val="0028410F"/>
    <w:rsid w:val="002854BF"/>
    <w:rsid w:val="00286603"/>
    <w:rsid w:val="00286A98"/>
    <w:rsid w:val="00286FB5"/>
    <w:rsid w:val="00287763"/>
    <w:rsid w:val="00290606"/>
    <w:rsid w:val="00290F9D"/>
    <w:rsid w:val="002918A7"/>
    <w:rsid w:val="00291D6D"/>
    <w:rsid w:val="00291FF1"/>
    <w:rsid w:val="002923F6"/>
    <w:rsid w:val="00293361"/>
    <w:rsid w:val="00293BAA"/>
    <w:rsid w:val="00294AE8"/>
    <w:rsid w:val="00295137"/>
    <w:rsid w:val="00295287"/>
    <w:rsid w:val="002952B1"/>
    <w:rsid w:val="00295D11"/>
    <w:rsid w:val="00295FA0"/>
    <w:rsid w:val="00297626"/>
    <w:rsid w:val="00297A7A"/>
    <w:rsid w:val="002A0620"/>
    <w:rsid w:val="002A0C3A"/>
    <w:rsid w:val="002A1130"/>
    <w:rsid w:val="002A14D3"/>
    <w:rsid w:val="002A1880"/>
    <w:rsid w:val="002A1D47"/>
    <w:rsid w:val="002A23B7"/>
    <w:rsid w:val="002A3A57"/>
    <w:rsid w:val="002A6D22"/>
    <w:rsid w:val="002A6DEF"/>
    <w:rsid w:val="002A7411"/>
    <w:rsid w:val="002A7C24"/>
    <w:rsid w:val="002B013E"/>
    <w:rsid w:val="002B058D"/>
    <w:rsid w:val="002B0C16"/>
    <w:rsid w:val="002B11C9"/>
    <w:rsid w:val="002B169E"/>
    <w:rsid w:val="002B2621"/>
    <w:rsid w:val="002B2AC5"/>
    <w:rsid w:val="002B3528"/>
    <w:rsid w:val="002B3539"/>
    <w:rsid w:val="002B3B2B"/>
    <w:rsid w:val="002B6D17"/>
    <w:rsid w:val="002B6E71"/>
    <w:rsid w:val="002B6FA5"/>
    <w:rsid w:val="002B7169"/>
    <w:rsid w:val="002C0C1C"/>
    <w:rsid w:val="002C0F5A"/>
    <w:rsid w:val="002C184E"/>
    <w:rsid w:val="002C28F5"/>
    <w:rsid w:val="002C54C2"/>
    <w:rsid w:val="002C5D34"/>
    <w:rsid w:val="002C5EA7"/>
    <w:rsid w:val="002C661A"/>
    <w:rsid w:val="002C7C6E"/>
    <w:rsid w:val="002D0AF5"/>
    <w:rsid w:val="002D1C54"/>
    <w:rsid w:val="002D1FAA"/>
    <w:rsid w:val="002D2231"/>
    <w:rsid w:val="002D25FC"/>
    <w:rsid w:val="002D318B"/>
    <w:rsid w:val="002D3380"/>
    <w:rsid w:val="002D44D6"/>
    <w:rsid w:val="002D4925"/>
    <w:rsid w:val="002D4AC6"/>
    <w:rsid w:val="002D5C7B"/>
    <w:rsid w:val="002D6DFC"/>
    <w:rsid w:val="002D7648"/>
    <w:rsid w:val="002D7909"/>
    <w:rsid w:val="002D7AB7"/>
    <w:rsid w:val="002E109C"/>
    <w:rsid w:val="002E115E"/>
    <w:rsid w:val="002E131F"/>
    <w:rsid w:val="002E1439"/>
    <w:rsid w:val="002E193E"/>
    <w:rsid w:val="002E1D76"/>
    <w:rsid w:val="002E243C"/>
    <w:rsid w:val="002E26C4"/>
    <w:rsid w:val="002E30B3"/>
    <w:rsid w:val="002E33E9"/>
    <w:rsid w:val="002E4B37"/>
    <w:rsid w:val="002E4BF9"/>
    <w:rsid w:val="002E6F5B"/>
    <w:rsid w:val="002F16DD"/>
    <w:rsid w:val="002F199D"/>
    <w:rsid w:val="002F23B2"/>
    <w:rsid w:val="002F2558"/>
    <w:rsid w:val="002F4084"/>
    <w:rsid w:val="002F4672"/>
    <w:rsid w:val="002F4A08"/>
    <w:rsid w:val="002F4ADB"/>
    <w:rsid w:val="002F531E"/>
    <w:rsid w:val="002F5ACC"/>
    <w:rsid w:val="002F6C2C"/>
    <w:rsid w:val="002F704B"/>
    <w:rsid w:val="002F72C3"/>
    <w:rsid w:val="002F768C"/>
    <w:rsid w:val="002F7D1E"/>
    <w:rsid w:val="00301839"/>
    <w:rsid w:val="00301A68"/>
    <w:rsid w:val="003026AF"/>
    <w:rsid w:val="00302929"/>
    <w:rsid w:val="00302F0F"/>
    <w:rsid w:val="00303243"/>
    <w:rsid w:val="00303BCC"/>
    <w:rsid w:val="00303F2B"/>
    <w:rsid w:val="00303F8D"/>
    <w:rsid w:val="00304541"/>
    <w:rsid w:val="00304580"/>
    <w:rsid w:val="0030586A"/>
    <w:rsid w:val="003074C5"/>
    <w:rsid w:val="00307A3C"/>
    <w:rsid w:val="00307AF8"/>
    <w:rsid w:val="00307FA4"/>
    <w:rsid w:val="00310CC1"/>
    <w:rsid w:val="00313026"/>
    <w:rsid w:val="00313213"/>
    <w:rsid w:val="00313C14"/>
    <w:rsid w:val="0031421F"/>
    <w:rsid w:val="00314B31"/>
    <w:rsid w:val="00314B36"/>
    <w:rsid w:val="00315158"/>
    <w:rsid w:val="00315346"/>
    <w:rsid w:val="00315A65"/>
    <w:rsid w:val="00316E85"/>
    <w:rsid w:val="00317BA7"/>
    <w:rsid w:val="00320BE2"/>
    <w:rsid w:val="00321886"/>
    <w:rsid w:val="00321902"/>
    <w:rsid w:val="00323694"/>
    <w:rsid w:val="00324D63"/>
    <w:rsid w:val="003255AF"/>
    <w:rsid w:val="003256EB"/>
    <w:rsid w:val="003259DB"/>
    <w:rsid w:val="00325F20"/>
    <w:rsid w:val="00326039"/>
    <w:rsid w:val="003267F2"/>
    <w:rsid w:val="003300EA"/>
    <w:rsid w:val="00331A48"/>
    <w:rsid w:val="003330C9"/>
    <w:rsid w:val="0033364C"/>
    <w:rsid w:val="00334415"/>
    <w:rsid w:val="00335460"/>
    <w:rsid w:val="0033591B"/>
    <w:rsid w:val="0033691E"/>
    <w:rsid w:val="00336CCB"/>
    <w:rsid w:val="0033745F"/>
    <w:rsid w:val="00337631"/>
    <w:rsid w:val="00337F44"/>
    <w:rsid w:val="003401AC"/>
    <w:rsid w:val="003411D1"/>
    <w:rsid w:val="003416BA"/>
    <w:rsid w:val="00341BD6"/>
    <w:rsid w:val="00342A8A"/>
    <w:rsid w:val="00342F99"/>
    <w:rsid w:val="0034339D"/>
    <w:rsid w:val="00344726"/>
    <w:rsid w:val="003454A4"/>
    <w:rsid w:val="00345988"/>
    <w:rsid w:val="00350E6C"/>
    <w:rsid w:val="003518A6"/>
    <w:rsid w:val="00351E7F"/>
    <w:rsid w:val="003526FD"/>
    <w:rsid w:val="00352953"/>
    <w:rsid w:val="00354062"/>
    <w:rsid w:val="003542B0"/>
    <w:rsid w:val="00355C0D"/>
    <w:rsid w:val="0035622C"/>
    <w:rsid w:val="003566A9"/>
    <w:rsid w:val="00356988"/>
    <w:rsid w:val="00356B20"/>
    <w:rsid w:val="00357128"/>
    <w:rsid w:val="0035755E"/>
    <w:rsid w:val="00357A80"/>
    <w:rsid w:val="00361B8B"/>
    <w:rsid w:val="00363F39"/>
    <w:rsid w:val="003643C6"/>
    <w:rsid w:val="003644A3"/>
    <w:rsid w:val="00364AB0"/>
    <w:rsid w:val="00365A6E"/>
    <w:rsid w:val="003664B8"/>
    <w:rsid w:val="003667B0"/>
    <w:rsid w:val="003667DD"/>
    <w:rsid w:val="00366842"/>
    <w:rsid w:val="00366B48"/>
    <w:rsid w:val="00367764"/>
    <w:rsid w:val="00370316"/>
    <w:rsid w:val="00370DC7"/>
    <w:rsid w:val="0037156C"/>
    <w:rsid w:val="00371CBD"/>
    <w:rsid w:val="00373CBE"/>
    <w:rsid w:val="003740CC"/>
    <w:rsid w:val="0037435E"/>
    <w:rsid w:val="00374E79"/>
    <w:rsid w:val="00375388"/>
    <w:rsid w:val="00375B7E"/>
    <w:rsid w:val="00375FB9"/>
    <w:rsid w:val="00376851"/>
    <w:rsid w:val="00376FA2"/>
    <w:rsid w:val="00377A3B"/>
    <w:rsid w:val="00377E3C"/>
    <w:rsid w:val="00380056"/>
    <w:rsid w:val="00380B5C"/>
    <w:rsid w:val="00380BBE"/>
    <w:rsid w:val="00381D70"/>
    <w:rsid w:val="00382128"/>
    <w:rsid w:val="0038235E"/>
    <w:rsid w:val="003829D0"/>
    <w:rsid w:val="00382FBA"/>
    <w:rsid w:val="003835DD"/>
    <w:rsid w:val="0038444F"/>
    <w:rsid w:val="00384E83"/>
    <w:rsid w:val="00385C34"/>
    <w:rsid w:val="00386B36"/>
    <w:rsid w:val="00387051"/>
    <w:rsid w:val="00387ECF"/>
    <w:rsid w:val="0039021B"/>
    <w:rsid w:val="00390429"/>
    <w:rsid w:val="00391298"/>
    <w:rsid w:val="0039327C"/>
    <w:rsid w:val="003933A2"/>
    <w:rsid w:val="0039366C"/>
    <w:rsid w:val="003938F3"/>
    <w:rsid w:val="00393C4B"/>
    <w:rsid w:val="00393DE7"/>
    <w:rsid w:val="00393EC8"/>
    <w:rsid w:val="00395E42"/>
    <w:rsid w:val="00396052"/>
    <w:rsid w:val="00396A2D"/>
    <w:rsid w:val="00396FC3"/>
    <w:rsid w:val="003A1A94"/>
    <w:rsid w:val="003A204E"/>
    <w:rsid w:val="003A2D25"/>
    <w:rsid w:val="003A4DDB"/>
    <w:rsid w:val="003A60E7"/>
    <w:rsid w:val="003B07DF"/>
    <w:rsid w:val="003B0B6A"/>
    <w:rsid w:val="003B0F79"/>
    <w:rsid w:val="003B29CF"/>
    <w:rsid w:val="003B54DF"/>
    <w:rsid w:val="003B6659"/>
    <w:rsid w:val="003B7733"/>
    <w:rsid w:val="003B7BC8"/>
    <w:rsid w:val="003B7D9A"/>
    <w:rsid w:val="003C0166"/>
    <w:rsid w:val="003C21AA"/>
    <w:rsid w:val="003C2B79"/>
    <w:rsid w:val="003C350C"/>
    <w:rsid w:val="003C3903"/>
    <w:rsid w:val="003C3BA0"/>
    <w:rsid w:val="003C4580"/>
    <w:rsid w:val="003C52D8"/>
    <w:rsid w:val="003C5C5E"/>
    <w:rsid w:val="003C6746"/>
    <w:rsid w:val="003C7133"/>
    <w:rsid w:val="003C7555"/>
    <w:rsid w:val="003C7898"/>
    <w:rsid w:val="003D0FF5"/>
    <w:rsid w:val="003D2D1B"/>
    <w:rsid w:val="003D30AB"/>
    <w:rsid w:val="003D3D94"/>
    <w:rsid w:val="003D48C7"/>
    <w:rsid w:val="003D4C08"/>
    <w:rsid w:val="003D51ED"/>
    <w:rsid w:val="003D7CE8"/>
    <w:rsid w:val="003E1032"/>
    <w:rsid w:val="003E1904"/>
    <w:rsid w:val="003E2114"/>
    <w:rsid w:val="003E285E"/>
    <w:rsid w:val="003E3300"/>
    <w:rsid w:val="003E5B89"/>
    <w:rsid w:val="003E6340"/>
    <w:rsid w:val="003E65AC"/>
    <w:rsid w:val="003E6948"/>
    <w:rsid w:val="003E6E24"/>
    <w:rsid w:val="003E72B9"/>
    <w:rsid w:val="003E755C"/>
    <w:rsid w:val="003E7ED4"/>
    <w:rsid w:val="003F0E52"/>
    <w:rsid w:val="003F0EF2"/>
    <w:rsid w:val="003F0F6B"/>
    <w:rsid w:val="003F1F40"/>
    <w:rsid w:val="003F1FE3"/>
    <w:rsid w:val="003F3865"/>
    <w:rsid w:val="003F3A0A"/>
    <w:rsid w:val="003F4632"/>
    <w:rsid w:val="003F47BA"/>
    <w:rsid w:val="003F5DA1"/>
    <w:rsid w:val="003F6617"/>
    <w:rsid w:val="0040063B"/>
    <w:rsid w:val="00401070"/>
    <w:rsid w:val="004013C0"/>
    <w:rsid w:val="00402332"/>
    <w:rsid w:val="004025C2"/>
    <w:rsid w:val="00403E55"/>
    <w:rsid w:val="00404532"/>
    <w:rsid w:val="00404681"/>
    <w:rsid w:val="0040496D"/>
    <w:rsid w:val="00405010"/>
    <w:rsid w:val="0040595A"/>
    <w:rsid w:val="00406923"/>
    <w:rsid w:val="0040713A"/>
    <w:rsid w:val="0040763D"/>
    <w:rsid w:val="004105B0"/>
    <w:rsid w:val="00410DC1"/>
    <w:rsid w:val="00410EC5"/>
    <w:rsid w:val="00411B1F"/>
    <w:rsid w:val="004133A8"/>
    <w:rsid w:val="00413821"/>
    <w:rsid w:val="00413D43"/>
    <w:rsid w:val="004141A3"/>
    <w:rsid w:val="004143E9"/>
    <w:rsid w:val="00414909"/>
    <w:rsid w:val="00415E66"/>
    <w:rsid w:val="00416112"/>
    <w:rsid w:val="00416DF0"/>
    <w:rsid w:val="00417AE0"/>
    <w:rsid w:val="00417BAA"/>
    <w:rsid w:val="00420BA9"/>
    <w:rsid w:val="00420D7A"/>
    <w:rsid w:val="00420D9E"/>
    <w:rsid w:val="004223DE"/>
    <w:rsid w:val="00422718"/>
    <w:rsid w:val="0042293E"/>
    <w:rsid w:val="00422A10"/>
    <w:rsid w:val="00424D17"/>
    <w:rsid w:val="00425DFD"/>
    <w:rsid w:val="004263A3"/>
    <w:rsid w:val="00426903"/>
    <w:rsid w:val="00427713"/>
    <w:rsid w:val="00427CCC"/>
    <w:rsid w:val="00427D54"/>
    <w:rsid w:val="00427DB8"/>
    <w:rsid w:val="0043013A"/>
    <w:rsid w:val="00430421"/>
    <w:rsid w:val="00430B4F"/>
    <w:rsid w:val="004314B1"/>
    <w:rsid w:val="00431AD0"/>
    <w:rsid w:val="00431E65"/>
    <w:rsid w:val="00432589"/>
    <w:rsid w:val="00432A94"/>
    <w:rsid w:val="00433827"/>
    <w:rsid w:val="00434617"/>
    <w:rsid w:val="00435041"/>
    <w:rsid w:val="004360C8"/>
    <w:rsid w:val="0044006B"/>
    <w:rsid w:val="0044033F"/>
    <w:rsid w:val="00440630"/>
    <w:rsid w:val="00441123"/>
    <w:rsid w:val="0044127B"/>
    <w:rsid w:val="00441705"/>
    <w:rsid w:val="00442095"/>
    <w:rsid w:val="00442965"/>
    <w:rsid w:val="00444157"/>
    <w:rsid w:val="0044417C"/>
    <w:rsid w:val="00444DB3"/>
    <w:rsid w:val="004452B9"/>
    <w:rsid w:val="00445A2F"/>
    <w:rsid w:val="00446328"/>
    <w:rsid w:val="00446341"/>
    <w:rsid w:val="0044684E"/>
    <w:rsid w:val="004473DD"/>
    <w:rsid w:val="004479CA"/>
    <w:rsid w:val="004503A4"/>
    <w:rsid w:val="00450555"/>
    <w:rsid w:val="00450DC6"/>
    <w:rsid w:val="004516A5"/>
    <w:rsid w:val="004535AE"/>
    <w:rsid w:val="00453C42"/>
    <w:rsid w:val="0045463A"/>
    <w:rsid w:val="00454AC9"/>
    <w:rsid w:val="004554A3"/>
    <w:rsid w:val="00455A6E"/>
    <w:rsid w:val="004569CD"/>
    <w:rsid w:val="00456F2B"/>
    <w:rsid w:val="004578EB"/>
    <w:rsid w:val="00460303"/>
    <w:rsid w:val="00460697"/>
    <w:rsid w:val="004609AB"/>
    <w:rsid w:val="0046247F"/>
    <w:rsid w:val="00462593"/>
    <w:rsid w:val="00465EEF"/>
    <w:rsid w:val="00466D03"/>
    <w:rsid w:val="0046711B"/>
    <w:rsid w:val="00467312"/>
    <w:rsid w:val="00471156"/>
    <w:rsid w:val="00472429"/>
    <w:rsid w:val="004725E5"/>
    <w:rsid w:val="004726FE"/>
    <w:rsid w:val="00472751"/>
    <w:rsid w:val="00473128"/>
    <w:rsid w:val="0047470A"/>
    <w:rsid w:val="00475078"/>
    <w:rsid w:val="00475226"/>
    <w:rsid w:val="004777F1"/>
    <w:rsid w:val="004779A0"/>
    <w:rsid w:val="004808E3"/>
    <w:rsid w:val="0048097D"/>
    <w:rsid w:val="00481016"/>
    <w:rsid w:val="004814C8"/>
    <w:rsid w:val="004814D3"/>
    <w:rsid w:val="0048204C"/>
    <w:rsid w:val="004821BB"/>
    <w:rsid w:val="00482233"/>
    <w:rsid w:val="004826FE"/>
    <w:rsid w:val="004827D5"/>
    <w:rsid w:val="004830C9"/>
    <w:rsid w:val="00483347"/>
    <w:rsid w:val="00483D06"/>
    <w:rsid w:val="00483E2E"/>
    <w:rsid w:val="00484B69"/>
    <w:rsid w:val="00485406"/>
    <w:rsid w:val="0048590F"/>
    <w:rsid w:val="004867A5"/>
    <w:rsid w:val="00486D60"/>
    <w:rsid w:val="00487C87"/>
    <w:rsid w:val="00492A25"/>
    <w:rsid w:val="0049474A"/>
    <w:rsid w:val="004951C8"/>
    <w:rsid w:val="00496350"/>
    <w:rsid w:val="00496F91"/>
    <w:rsid w:val="00497274"/>
    <w:rsid w:val="0049797C"/>
    <w:rsid w:val="00497C2C"/>
    <w:rsid w:val="00497E9D"/>
    <w:rsid w:val="004A036E"/>
    <w:rsid w:val="004A1405"/>
    <w:rsid w:val="004A1FC6"/>
    <w:rsid w:val="004A3C03"/>
    <w:rsid w:val="004A3DB7"/>
    <w:rsid w:val="004A3FB3"/>
    <w:rsid w:val="004A5088"/>
    <w:rsid w:val="004A5255"/>
    <w:rsid w:val="004A6097"/>
    <w:rsid w:val="004A6CB0"/>
    <w:rsid w:val="004A70FF"/>
    <w:rsid w:val="004B1B84"/>
    <w:rsid w:val="004B29AC"/>
    <w:rsid w:val="004B29E3"/>
    <w:rsid w:val="004B35DF"/>
    <w:rsid w:val="004B3627"/>
    <w:rsid w:val="004B3F3A"/>
    <w:rsid w:val="004B4779"/>
    <w:rsid w:val="004B4922"/>
    <w:rsid w:val="004B57DF"/>
    <w:rsid w:val="004C0238"/>
    <w:rsid w:val="004C03A0"/>
    <w:rsid w:val="004C2138"/>
    <w:rsid w:val="004C227D"/>
    <w:rsid w:val="004C2ED0"/>
    <w:rsid w:val="004C32D4"/>
    <w:rsid w:val="004C3940"/>
    <w:rsid w:val="004C51FD"/>
    <w:rsid w:val="004C65A8"/>
    <w:rsid w:val="004C786C"/>
    <w:rsid w:val="004C7963"/>
    <w:rsid w:val="004D2314"/>
    <w:rsid w:val="004D2F63"/>
    <w:rsid w:val="004D35BA"/>
    <w:rsid w:val="004D45B8"/>
    <w:rsid w:val="004D4701"/>
    <w:rsid w:val="004D47C7"/>
    <w:rsid w:val="004D618D"/>
    <w:rsid w:val="004D6202"/>
    <w:rsid w:val="004D62A9"/>
    <w:rsid w:val="004D6FC3"/>
    <w:rsid w:val="004D7476"/>
    <w:rsid w:val="004E0306"/>
    <w:rsid w:val="004E0572"/>
    <w:rsid w:val="004E0C97"/>
    <w:rsid w:val="004E25A8"/>
    <w:rsid w:val="004E2AA0"/>
    <w:rsid w:val="004E3930"/>
    <w:rsid w:val="004E3ED9"/>
    <w:rsid w:val="004E5362"/>
    <w:rsid w:val="004E5866"/>
    <w:rsid w:val="004E6097"/>
    <w:rsid w:val="004E61EF"/>
    <w:rsid w:val="004E6772"/>
    <w:rsid w:val="004E76A7"/>
    <w:rsid w:val="004E7736"/>
    <w:rsid w:val="004E7B03"/>
    <w:rsid w:val="004F0064"/>
    <w:rsid w:val="004F069F"/>
    <w:rsid w:val="004F06AC"/>
    <w:rsid w:val="004F1AE6"/>
    <w:rsid w:val="004F243F"/>
    <w:rsid w:val="004F3E0C"/>
    <w:rsid w:val="004F6523"/>
    <w:rsid w:val="004F6929"/>
    <w:rsid w:val="004F6A2D"/>
    <w:rsid w:val="004F7160"/>
    <w:rsid w:val="00500258"/>
    <w:rsid w:val="0050175E"/>
    <w:rsid w:val="00501A99"/>
    <w:rsid w:val="00502569"/>
    <w:rsid w:val="00502CF3"/>
    <w:rsid w:val="00503180"/>
    <w:rsid w:val="0050417C"/>
    <w:rsid w:val="00505450"/>
    <w:rsid w:val="005100B7"/>
    <w:rsid w:val="005111C2"/>
    <w:rsid w:val="005113C9"/>
    <w:rsid w:val="0051280C"/>
    <w:rsid w:val="00512842"/>
    <w:rsid w:val="005128BE"/>
    <w:rsid w:val="00512B7B"/>
    <w:rsid w:val="00512E6C"/>
    <w:rsid w:val="0051356F"/>
    <w:rsid w:val="00513E7C"/>
    <w:rsid w:val="005140BB"/>
    <w:rsid w:val="005143C2"/>
    <w:rsid w:val="00514FD9"/>
    <w:rsid w:val="0051518F"/>
    <w:rsid w:val="00515FB2"/>
    <w:rsid w:val="0051608F"/>
    <w:rsid w:val="005165E9"/>
    <w:rsid w:val="005210F7"/>
    <w:rsid w:val="00521753"/>
    <w:rsid w:val="00521A44"/>
    <w:rsid w:val="00521D16"/>
    <w:rsid w:val="005222BE"/>
    <w:rsid w:val="005224EE"/>
    <w:rsid w:val="00523BB1"/>
    <w:rsid w:val="005242CF"/>
    <w:rsid w:val="00524401"/>
    <w:rsid w:val="0052451A"/>
    <w:rsid w:val="00524737"/>
    <w:rsid w:val="005253E7"/>
    <w:rsid w:val="005258DF"/>
    <w:rsid w:val="00526265"/>
    <w:rsid w:val="0052652D"/>
    <w:rsid w:val="0052655D"/>
    <w:rsid w:val="005265E0"/>
    <w:rsid w:val="00526930"/>
    <w:rsid w:val="00526BC3"/>
    <w:rsid w:val="00530F9E"/>
    <w:rsid w:val="00531A72"/>
    <w:rsid w:val="0053274E"/>
    <w:rsid w:val="0053358A"/>
    <w:rsid w:val="00534668"/>
    <w:rsid w:val="00534D38"/>
    <w:rsid w:val="00534DDD"/>
    <w:rsid w:val="00535291"/>
    <w:rsid w:val="00535A94"/>
    <w:rsid w:val="00537874"/>
    <w:rsid w:val="00537909"/>
    <w:rsid w:val="00540204"/>
    <w:rsid w:val="00540578"/>
    <w:rsid w:val="005407D2"/>
    <w:rsid w:val="00540808"/>
    <w:rsid w:val="0054080E"/>
    <w:rsid w:val="005408B4"/>
    <w:rsid w:val="00540EA1"/>
    <w:rsid w:val="005423B1"/>
    <w:rsid w:val="0054358E"/>
    <w:rsid w:val="00543AF4"/>
    <w:rsid w:val="00544191"/>
    <w:rsid w:val="00544F39"/>
    <w:rsid w:val="00547EFB"/>
    <w:rsid w:val="005531DF"/>
    <w:rsid w:val="00553874"/>
    <w:rsid w:val="00553ACC"/>
    <w:rsid w:val="00554AD8"/>
    <w:rsid w:val="00554F78"/>
    <w:rsid w:val="005556A5"/>
    <w:rsid w:val="005561F0"/>
    <w:rsid w:val="00556BF7"/>
    <w:rsid w:val="00560838"/>
    <w:rsid w:val="00560DB5"/>
    <w:rsid w:val="00562149"/>
    <w:rsid w:val="005630D8"/>
    <w:rsid w:val="00563FFD"/>
    <w:rsid w:val="00565855"/>
    <w:rsid w:val="005677CE"/>
    <w:rsid w:val="00567B5D"/>
    <w:rsid w:val="00570445"/>
    <w:rsid w:val="00572E9A"/>
    <w:rsid w:val="00573733"/>
    <w:rsid w:val="005739F5"/>
    <w:rsid w:val="00574064"/>
    <w:rsid w:val="00574554"/>
    <w:rsid w:val="00576089"/>
    <w:rsid w:val="005764B1"/>
    <w:rsid w:val="00576A0D"/>
    <w:rsid w:val="00576A56"/>
    <w:rsid w:val="00576D06"/>
    <w:rsid w:val="005777CA"/>
    <w:rsid w:val="005779E4"/>
    <w:rsid w:val="00580AC5"/>
    <w:rsid w:val="005815E5"/>
    <w:rsid w:val="0058289C"/>
    <w:rsid w:val="00582C35"/>
    <w:rsid w:val="00582DC6"/>
    <w:rsid w:val="005836C7"/>
    <w:rsid w:val="0058408E"/>
    <w:rsid w:val="00585374"/>
    <w:rsid w:val="005876DF"/>
    <w:rsid w:val="0058789A"/>
    <w:rsid w:val="00590B77"/>
    <w:rsid w:val="005913A3"/>
    <w:rsid w:val="00591DCD"/>
    <w:rsid w:val="00594A7B"/>
    <w:rsid w:val="00594AFA"/>
    <w:rsid w:val="0059580E"/>
    <w:rsid w:val="00596A6F"/>
    <w:rsid w:val="005976E1"/>
    <w:rsid w:val="005A0541"/>
    <w:rsid w:val="005A0D64"/>
    <w:rsid w:val="005A1525"/>
    <w:rsid w:val="005A1EC3"/>
    <w:rsid w:val="005A252B"/>
    <w:rsid w:val="005A2A71"/>
    <w:rsid w:val="005A3204"/>
    <w:rsid w:val="005A32B6"/>
    <w:rsid w:val="005A3341"/>
    <w:rsid w:val="005A46EC"/>
    <w:rsid w:val="005A47AA"/>
    <w:rsid w:val="005A4847"/>
    <w:rsid w:val="005A494F"/>
    <w:rsid w:val="005B0160"/>
    <w:rsid w:val="005B0185"/>
    <w:rsid w:val="005B07EC"/>
    <w:rsid w:val="005B09D8"/>
    <w:rsid w:val="005B24F3"/>
    <w:rsid w:val="005B28A1"/>
    <w:rsid w:val="005B2B11"/>
    <w:rsid w:val="005B2E00"/>
    <w:rsid w:val="005B370E"/>
    <w:rsid w:val="005B4DA3"/>
    <w:rsid w:val="005B5B71"/>
    <w:rsid w:val="005B5BEE"/>
    <w:rsid w:val="005B7784"/>
    <w:rsid w:val="005B77D2"/>
    <w:rsid w:val="005C019B"/>
    <w:rsid w:val="005C144E"/>
    <w:rsid w:val="005C1625"/>
    <w:rsid w:val="005C2D0A"/>
    <w:rsid w:val="005C30F5"/>
    <w:rsid w:val="005C357E"/>
    <w:rsid w:val="005C3604"/>
    <w:rsid w:val="005C51A5"/>
    <w:rsid w:val="005C5403"/>
    <w:rsid w:val="005C557A"/>
    <w:rsid w:val="005C5A03"/>
    <w:rsid w:val="005C61DD"/>
    <w:rsid w:val="005C6438"/>
    <w:rsid w:val="005C6B8B"/>
    <w:rsid w:val="005D02E3"/>
    <w:rsid w:val="005D1F34"/>
    <w:rsid w:val="005D2529"/>
    <w:rsid w:val="005D25BF"/>
    <w:rsid w:val="005D2C1F"/>
    <w:rsid w:val="005D34B2"/>
    <w:rsid w:val="005D3B54"/>
    <w:rsid w:val="005D40CD"/>
    <w:rsid w:val="005D6B59"/>
    <w:rsid w:val="005D7037"/>
    <w:rsid w:val="005E03E4"/>
    <w:rsid w:val="005E0454"/>
    <w:rsid w:val="005E171D"/>
    <w:rsid w:val="005E34C2"/>
    <w:rsid w:val="005E35C6"/>
    <w:rsid w:val="005E3711"/>
    <w:rsid w:val="005E3AF9"/>
    <w:rsid w:val="005E5099"/>
    <w:rsid w:val="005E5B01"/>
    <w:rsid w:val="005E7933"/>
    <w:rsid w:val="005E7E0B"/>
    <w:rsid w:val="005F009E"/>
    <w:rsid w:val="005F080C"/>
    <w:rsid w:val="005F0A88"/>
    <w:rsid w:val="005F0DF1"/>
    <w:rsid w:val="005F1516"/>
    <w:rsid w:val="005F229E"/>
    <w:rsid w:val="005F2564"/>
    <w:rsid w:val="005F3822"/>
    <w:rsid w:val="005F3E0B"/>
    <w:rsid w:val="005F4D16"/>
    <w:rsid w:val="005F4E52"/>
    <w:rsid w:val="005F5967"/>
    <w:rsid w:val="005F77C8"/>
    <w:rsid w:val="0060058E"/>
    <w:rsid w:val="00602A3C"/>
    <w:rsid w:val="00602EA4"/>
    <w:rsid w:val="00603EFD"/>
    <w:rsid w:val="006041DF"/>
    <w:rsid w:val="0060475B"/>
    <w:rsid w:val="00604FB6"/>
    <w:rsid w:val="00604FD6"/>
    <w:rsid w:val="00605387"/>
    <w:rsid w:val="00606302"/>
    <w:rsid w:val="006072EF"/>
    <w:rsid w:val="006076FD"/>
    <w:rsid w:val="00607BA3"/>
    <w:rsid w:val="00610CAA"/>
    <w:rsid w:val="0061143F"/>
    <w:rsid w:val="006114D8"/>
    <w:rsid w:val="00611585"/>
    <w:rsid w:val="00612931"/>
    <w:rsid w:val="00613601"/>
    <w:rsid w:val="00613791"/>
    <w:rsid w:val="00613AAB"/>
    <w:rsid w:val="006148C7"/>
    <w:rsid w:val="006150D6"/>
    <w:rsid w:val="006166A3"/>
    <w:rsid w:val="00617EEE"/>
    <w:rsid w:val="006210FE"/>
    <w:rsid w:val="00622811"/>
    <w:rsid w:val="00622878"/>
    <w:rsid w:val="00622894"/>
    <w:rsid w:val="00622BB7"/>
    <w:rsid w:val="00622F3B"/>
    <w:rsid w:val="00623130"/>
    <w:rsid w:val="00623389"/>
    <w:rsid w:val="0062352A"/>
    <w:rsid w:val="00625E45"/>
    <w:rsid w:val="006265C4"/>
    <w:rsid w:val="00626DB1"/>
    <w:rsid w:val="00627383"/>
    <w:rsid w:val="00627733"/>
    <w:rsid w:val="006301BB"/>
    <w:rsid w:val="00632605"/>
    <w:rsid w:val="00633F8D"/>
    <w:rsid w:val="006341EF"/>
    <w:rsid w:val="00634BED"/>
    <w:rsid w:val="00635A4A"/>
    <w:rsid w:val="00635F1C"/>
    <w:rsid w:val="00635FB9"/>
    <w:rsid w:val="00636765"/>
    <w:rsid w:val="00637774"/>
    <w:rsid w:val="0064024C"/>
    <w:rsid w:val="00640291"/>
    <w:rsid w:val="00641FAC"/>
    <w:rsid w:val="0064262E"/>
    <w:rsid w:val="006432A5"/>
    <w:rsid w:val="00643664"/>
    <w:rsid w:val="00643CAA"/>
    <w:rsid w:val="0064448B"/>
    <w:rsid w:val="00647B97"/>
    <w:rsid w:val="00652137"/>
    <w:rsid w:val="00652680"/>
    <w:rsid w:val="00652A09"/>
    <w:rsid w:val="006530A1"/>
    <w:rsid w:val="0065371D"/>
    <w:rsid w:val="00653CDE"/>
    <w:rsid w:val="006540B4"/>
    <w:rsid w:val="0065636A"/>
    <w:rsid w:val="00656C3C"/>
    <w:rsid w:val="00657003"/>
    <w:rsid w:val="00657126"/>
    <w:rsid w:val="006572C1"/>
    <w:rsid w:val="00660238"/>
    <w:rsid w:val="006602EF"/>
    <w:rsid w:val="00661277"/>
    <w:rsid w:val="006616FE"/>
    <w:rsid w:val="00661717"/>
    <w:rsid w:val="006619D1"/>
    <w:rsid w:val="006628AD"/>
    <w:rsid w:val="00663FEA"/>
    <w:rsid w:val="00664253"/>
    <w:rsid w:val="00664803"/>
    <w:rsid w:val="006661A4"/>
    <w:rsid w:val="006670E0"/>
    <w:rsid w:val="00667532"/>
    <w:rsid w:val="006704FD"/>
    <w:rsid w:val="00670F3A"/>
    <w:rsid w:val="006715E6"/>
    <w:rsid w:val="0067294B"/>
    <w:rsid w:val="00673AA4"/>
    <w:rsid w:val="00674066"/>
    <w:rsid w:val="00674187"/>
    <w:rsid w:val="0067508F"/>
    <w:rsid w:val="00675349"/>
    <w:rsid w:val="00675E7E"/>
    <w:rsid w:val="0068051E"/>
    <w:rsid w:val="00680B9D"/>
    <w:rsid w:val="00681F13"/>
    <w:rsid w:val="0068231C"/>
    <w:rsid w:val="00682344"/>
    <w:rsid w:val="00682E78"/>
    <w:rsid w:val="00682F28"/>
    <w:rsid w:val="00684842"/>
    <w:rsid w:val="00685BD6"/>
    <w:rsid w:val="00686433"/>
    <w:rsid w:val="006878A6"/>
    <w:rsid w:val="00690437"/>
    <w:rsid w:val="00690E65"/>
    <w:rsid w:val="0069188E"/>
    <w:rsid w:val="00691974"/>
    <w:rsid w:val="00691A3F"/>
    <w:rsid w:val="00692CE6"/>
    <w:rsid w:val="00692DA8"/>
    <w:rsid w:val="00693B6C"/>
    <w:rsid w:val="006942AE"/>
    <w:rsid w:val="0069483C"/>
    <w:rsid w:val="00695421"/>
    <w:rsid w:val="00695AE4"/>
    <w:rsid w:val="00696D4B"/>
    <w:rsid w:val="006977A8"/>
    <w:rsid w:val="00697BD3"/>
    <w:rsid w:val="00697DFA"/>
    <w:rsid w:val="006A10F3"/>
    <w:rsid w:val="006A16D5"/>
    <w:rsid w:val="006A1772"/>
    <w:rsid w:val="006A1780"/>
    <w:rsid w:val="006A25A5"/>
    <w:rsid w:val="006A2790"/>
    <w:rsid w:val="006A3CEC"/>
    <w:rsid w:val="006A3F75"/>
    <w:rsid w:val="006A4838"/>
    <w:rsid w:val="006A4FB3"/>
    <w:rsid w:val="006A5A3E"/>
    <w:rsid w:val="006A5BAB"/>
    <w:rsid w:val="006A6CA7"/>
    <w:rsid w:val="006A703E"/>
    <w:rsid w:val="006A7BE3"/>
    <w:rsid w:val="006B01D1"/>
    <w:rsid w:val="006B16EA"/>
    <w:rsid w:val="006B1780"/>
    <w:rsid w:val="006B224E"/>
    <w:rsid w:val="006B362D"/>
    <w:rsid w:val="006B376E"/>
    <w:rsid w:val="006B4589"/>
    <w:rsid w:val="006B6805"/>
    <w:rsid w:val="006B6BBE"/>
    <w:rsid w:val="006B6DE0"/>
    <w:rsid w:val="006B7D5F"/>
    <w:rsid w:val="006C0FCC"/>
    <w:rsid w:val="006C2D83"/>
    <w:rsid w:val="006C32F4"/>
    <w:rsid w:val="006C3382"/>
    <w:rsid w:val="006C3C54"/>
    <w:rsid w:val="006C40F4"/>
    <w:rsid w:val="006C427B"/>
    <w:rsid w:val="006C4F9F"/>
    <w:rsid w:val="006C5019"/>
    <w:rsid w:val="006C5778"/>
    <w:rsid w:val="006C61AB"/>
    <w:rsid w:val="006C650D"/>
    <w:rsid w:val="006C686A"/>
    <w:rsid w:val="006C7479"/>
    <w:rsid w:val="006C748D"/>
    <w:rsid w:val="006D0C1D"/>
    <w:rsid w:val="006D0CE1"/>
    <w:rsid w:val="006D2004"/>
    <w:rsid w:val="006D2A8C"/>
    <w:rsid w:val="006D2E9D"/>
    <w:rsid w:val="006D32EB"/>
    <w:rsid w:val="006D4C1E"/>
    <w:rsid w:val="006D4C42"/>
    <w:rsid w:val="006D5809"/>
    <w:rsid w:val="006D630A"/>
    <w:rsid w:val="006D668D"/>
    <w:rsid w:val="006D7363"/>
    <w:rsid w:val="006D74F2"/>
    <w:rsid w:val="006E04C8"/>
    <w:rsid w:val="006E061F"/>
    <w:rsid w:val="006E0712"/>
    <w:rsid w:val="006E0754"/>
    <w:rsid w:val="006E2668"/>
    <w:rsid w:val="006E2D39"/>
    <w:rsid w:val="006E32B0"/>
    <w:rsid w:val="006E36D8"/>
    <w:rsid w:val="006E396A"/>
    <w:rsid w:val="006E3A73"/>
    <w:rsid w:val="006E5825"/>
    <w:rsid w:val="006E5DD8"/>
    <w:rsid w:val="006E5E16"/>
    <w:rsid w:val="006E5EA1"/>
    <w:rsid w:val="006E6A4C"/>
    <w:rsid w:val="006E7ABC"/>
    <w:rsid w:val="006F0760"/>
    <w:rsid w:val="006F0FF1"/>
    <w:rsid w:val="006F11E2"/>
    <w:rsid w:val="006F12F5"/>
    <w:rsid w:val="006F2574"/>
    <w:rsid w:val="006F3231"/>
    <w:rsid w:val="006F3582"/>
    <w:rsid w:val="006F3DE3"/>
    <w:rsid w:val="006F4C05"/>
    <w:rsid w:val="006F511F"/>
    <w:rsid w:val="006F61D8"/>
    <w:rsid w:val="006F62B7"/>
    <w:rsid w:val="006F70BC"/>
    <w:rsid w:val="006F713A"/>
    <w:rsid w:val="006F76BF"/>
    <w:rsid w:val="006F7C48"/>
    <w:rsid w:val="00705161"/>
    <w:rsid w:val="007066A4"/>
    <w:rsid w:val="00706F37"/>
    <w:rsid w:val="00707D09"/>
    <w:rsid w:val="00710760"/>
    <w:rsid w:val="0071209F"/>
    <w:rsid w:val="007125A2"/>
    <w:rsid w:val="00713F79"/>
    <w:rsid w:val="007148A8"/>
    <w:rsid w:val="00715A9B"/>
    <w:rsid w:val="00716125"/>
    <w:rsid w:val="00716C9F"/>
    <w:rsid w:val="007171E0"/>
    <w:rsid w:val="0071740B"/>
    <w:rsid w:val="00717C40"/>
    <w:rsid w:val="0072033C"/>
    <w:rsid w:val="00720B1B"/>
    <w:rsid w:val="00721062"/>
    <w:rsid w:val="00721A4E"/>
    <w:rsid w:val="00721E5D"/>
    <w:rsid w:val="007229D4"/>
    <w:rsid w:val="007230F8"/>
    <w:rsid w:val="007233F4"/>
    <w:rsid w:val="00723646"/>
    <w:rsid w:val="00724044"/>
    <w:rsid w:val="007244E1"/>
    <w:rsid w:val="007248D3"/>
    <w:rsid w:val="00725137"/>
    <w:rsid w:val="00725C63"/>
    <w:rsid w:val="007263ED"/>
    <w:rsid w:val="0072653B"/>
    <w:rsid w:val="00726C9E"/>
    <w:rsid w:val="00727A43"/>
    <w:rsid w:val="00727FF2"/>
    <w:rsid w:val="007323E0"/>
    <w:rsid w:val="007324ED"/>
    <w:rsid w:val="00733791"/>
    <w:rsid w:val="00733857"/>
    <w:rsid w:val="00733DE2"/>
    <w:rsid w:val="00734328"/>
    <w:rsid w:val="007346E7"/>
    <w:rsid w:val="007352EA"/>
    <w:rsid w:val="00736032"/>
    <w:rsid w:val="007364E5"/>
    <w:rsid w:val="0073792F"/>
    <w:rsid w:val="00737C48"/>
    <w:rsid w:val="007409CA"/>
    <w:rsid w:val="00740DA6"/>
    <w:rsid w:val="00741A0E"/>
    <w:rsid w:val="00741D1E"/>
    <w:rsid w:val="00741EE2"/>
    <w:rsid w:val="00742367"/>
    <w:rsid w:val="00742EAA"/>
    <w:rsid w:val="00743818"/>
    <w:rsid w:val="007439E2"/>
    <w:rsid w:val="00743E9C"/>
    <w:rsid w:val="007441FB"/>
    <w:rsid w:val="00744517"/>
    <w:rsid w:val="00744810"/>
    <w:rsid w:val="00747079"/>
    <w:rsid w:val="00747DD4"/>
    <w:rsid w:val="00747DE2"/>
    <w:rsid w:val="007504BF"/>
    <w:rsid w:val="007506CD"/>
    <w:rsid w:val="007525DB"/>
    <w:rsid w:val="0075267F"/>
    <w:rsid w:val="007526EC"/>
    <w:rsid w:val="0075310C"/>
    <w:rsid w:val="00753347"/>
    <w:rsid w:val="00753C48"/>
    <w:rsid w:val="007545C1"/>
    <w:rsid w:val="00754C97"/>
    <w:rsid w:val="00754FE4"/>
    <w:rsid w:val="00755538"/>
    <w:rsid w:val="00755971"/>
    <w:rsid w:val="00756236"/>
    <w:rsid w:val="00756271"/>
    <w:rsid w:val="00756521"/>
    <w:rsid w:val="00756AB7"/>
    <w:rsid w:val="0075745C"/>
    <w:rsid w:val="00760477"/>
    <w:rsid w:val="007615CE"/>
    <w:rsid w:val="00761AF4"/>
    <w:rsid w:val="00762071"/>
    <w:rsid w:val="007623FB"/>
    <w:rsid w:val="0076376A"/>
    <w:rsid w:val="0076500F"/>
    <w:rsid w:val="0076504E"/>
    <w:rsid w:val="00765D24"/>
    <w:rsid w:val="00765E6A"/>
    <w:rsid w:val="007664E0"/>
    <w:rsid w:val="00767EA0"/>
    <w:rsid w:val="0077068F"/>
    <w:rsid w:val="007711EA"/>
    <w:rsid w:val="00771870"/>
    <w:rsid w:val="0077408D"/>
    <w:rsid w:val="007741CF"/>
    <w:rsid w:val="00774270"/>
    <w:rsid w:val="00775679"/>
    <w:rsid w:val="00775803"/>
    <w:rsid w:val="007761F1"/>
    <w:rsid w:val="00777B32"/>
    <w:rsid w:val="0078051E"/>
    <w:rsid w:val="00781FDD"/>
    <w:rsid w:val="00782A9F"/>
    <w:rsid w:val="0078508A"/>
    <w:rsid w:val="00786D5C"/>
    <w:rsid w:val="00786E96"/>
    <w:rsid w:val="00787F93"/>
    <w:rsid w:val="00790684"/>
    <w:rsid w:val="007907CA"/>
    <w:rsid w:val="00791170"/>
    <w:rsid w:val="00791E6D"/>
    <w:rsid w:val="007928DC"/>
    <w:rsid w:val="00792CB3"/>
    <w:rsid w:val="00792E53"/>
    <w:rsid w:val="007933DF"/>
    <w:rsid w:val="0079384D"/>
    <w:rsid w:val="007939CC"/>
    <w:rsid w:val="00796FB8"/>
    <w:rsid w:val="007A11C2"/>
    <w:rsid w:val="007A2367"/>
    <w:rsid w:val="007A41BF"/>
    <w:rsid w:val="007A490A"/>
    <w:rsid w:val="007A581D"/>
    <w:rsid w:val="007A7B95"/>
    <w:rsid w:val="007B0297"/>
    <w:rsid w:val="007B0ABE"/>
    <w:rsid w:val="007B0F53"/>
    <w:rsid w:val="007B1DD8"/>
    <w:rsid w:val="007B21AE"/>
    <w:rsid w:val="007B2570"/>
    <w:rsid w:val="007B2C31"/>
    <w:rsid w:val="007B3113"/>
    <w:rsid w:val="007B3304"/>
    <w:rsid w:val="007B332B"/>
    <w:rsid w:val="007B394D"/>
    <w:rsid w:val="007B53FA"/>
    <w:rsid w:val="007B6423"/>
    <w:rsid w:val="007B7490"/>
    <w:rsid w:val="007B774A"/>
    <w:rsid w:val="007C0525"/>
    <w:rsid w:val="007C0B56"/>
    <w:rsid w:val="007C13F7"/>
    <w:rsid w:val="007C218D"/>
    <w:rsid w:val="007C2D28"/>
    <w:rsid w:val="007C3E22"/>
    <w:rsid w:val="007C67C6"/>
    <w:rsid w:val="007C707A"/>
    <w:rsid w:val="007C7E59"/>
    <w:rsid w:val="007D0A39"/>
    <w:rsid w:val="007D0B91"/>
    <w:rsid w:val="007D1452"/>
    <w:rsid w:val="007D1E29"/>
    <w:rsid w:val="007D460C"/>
    <w:rsid w:val="007D484A"/>
    <w:rsid w:val="007D4AD3"/>
    <w:rsid w:val="007D4C8D"/>
    <w:rsid w:val="007D5D19"/>
    <w:rsid w:val="007D5FDC"/>
    <w:rsid w:val="007D6D68"/>
    <w:rsid w:val="007E01DA"/>
    <w:rsid w:val="007E0ADB"/>
    <w:rsid w:val="007E1603"/>
    <w:rsid w:val="007E2E85"/>
    <w:rsid w:val="007E32DA"/>
    <w:rsid w:val="007E3896"/>
    <w:rsid w:val="007E3FFB"/>
    <w:rsid w:val="007E4998"/>
    <w:rsid w:val="007E4A9C"/>
    <w:rsid w:val="007E4B2B"/>
    <w:rsid w:val="007E6914"/>
    <w:rsid w:val="007E7F78"/>
    <w:rsid w:val="007F0C8B"/>
    <w:rsid w:val="007F1517"/>
    <w:rsid w:val="007F1D44"/>
    <w:rsid w:val="007F23A5"/>
    <w:rsid w:val="007F2C13"/>
    <w:rsid w:val="007F2CEC"/>
    <w:rsid w:val="007F4949"/>
    <w:rsid w:val="007F55DE"/>
    <w:rsid w:val="007F5605"/>
    <w:rsid w:val="007F6147"/>
    <w:rsid w:val="007F78FF"/>
    <w:rsid w:val="00800F6C"/>
    <w:rsid w:val="008025BE"/>
    <w:rsid w:val="0080381C"/>
    <w:rsid w:val="00804C86"/>
    <w:rsid w:val="008051FC"/>
    <w:rsid w:val="008055A9"/>
    <w:rsid w:val="008070EB"/>
    <w:rsid w:val="00807376"/>
    <w:rsid w:val="00810B0E"/>
    <w:rsid w:val="00810B14"/>
    <w:rsid w:val="00810E8E"/>
    <w:rsid w:val="0081142D"/>
    <w:rsid w:val="00812462"/>
    <w:rsid w:val="008126E2"/>
    <w:rsid w:val="008133A5"/>
    <w:rsid w:val="0081481D"/>
    <w:rsid w:val="00814BE8"/>
    <w:rsid w:val="00814F6E"/>
    <w:rsid w:val="0081565F"/>
    <w:rsid w:val="00815B84"/>
    <w:rsid w:val="00821A3D"/>
    <w:rsid w:val="00821B06"/>
    <w:rsid w:val="00822037"/>
    <w:rsid w:val="00822634"/>
    <w:rsid w:val="00823FC6"/>
    <w:rsid w:val="00823FFC"/>
    <w:rsid w:val="00824811"/>
    <w:rsid w:val="00825C74"/>
    <w:rsid w:val="00826AB9"/>
    <w:rsid w:val="00826E0E"/>
    <w:rsid w:val="0082731F"/>
    <w:rsid w:val="00827D11"/>
    <w:rsid w:val="00827E0F"/>
    <w:rsid w:val="00827F6E"/>
    <w:rsid w:val="00831758"/>
    <w:rsid w:val="00831977"/>
    <w:rsid w:val="0083279F"/>
    <w:rsid w:val="00833B7F"/>
    <w:rsid w:val="00834906"/>
    <w:rsid w:val="00835A99"/>
    <w:rsid w:val="00836075"/>
    <w:rsid w:val="00836417"/>
    <w:rsid w:val="008377F7"/>
    <w:rsid w:val="008411F9"/>
    <w:rsid w:val="008413AB"/>
    <w:rsid w:val="00842D10"/>
    <w:rsid w:val="0084322B"/>
    <w:rsid w:val="00843B93"/>
    <w:rsid w:val="00843C08"/>
    <w:rsid w:val="00843F81"/>
    <w:rsid w:val="00844087"/>
    <w:rsid w:val="0084519E"/>
    <w:rsid w:val="00846370"/>
    <w:rsid w:val="00847C2B"/>
    <w:rsid w:val="00851256"/>
    <w:rsid w:val="00851A7C"/>
    <w:rsid w:val="00852438"/>
    <w:rsid w:val="0085270D"/>
    <w:rsid w:val="008532BF"/>
    <w:rsid w:val="00853BF4"/>
    <w:rsid w:val="00854294"/>
    <w:rsid w:val="008555FB"/>
    <w:rsid w:val="0085788B"/>
    <w:rsid w:val="00857941"/>
    <w:rsid w:val="00857A9E"/>
    <w:rsid w:val="00857DE2"/>
    <w:rsid w:val="00863E7D"/>
    <w:rsid w:val="0086407F"/>
    <w:rsid w:val="00864548"/>
    <w:rsid w:val="00864D9C"/>
    <w:rsid w:val="00864E79"/>
    <w:rsid w:val="00866111"/>
    <w:rsid w:val="0086661F"/>
    <w:rsid w:val="00866A0D"/>
    <w:rsid w:val="00866DB5"/>
    <w:rsid w:val="0086784E"/>
    <w:rsid w:val="00867AF1"/>
    <w:rsid w:val="00870EE1"/>
    <w:rsid w:val="008720B3"/>
    <w:rsid w:val="00872118"/>
    <w:rsid w:val="008727CE"/>
    <w:rsid w:val="00872827"/>
    <w:rsid w:val="00872A32"/>
    <w:rsid w:val="00874ECA"/>
    <w:rsid w:val="00875D0E"/>
    <w:rsid w:val="00876EAE"/>
    <w:rsid w:val="00880F95"/>
    <w:rsid w:val="00881F68"/>
    <w:rsid w:val="00882B44"/>
    <w:rsid w:val="00882FE5"/>
    <w:rsid w:val="00886138"/>
    <w:rsid w:val="00886E66"/>
    <w:rsid w:val="008871B0"/>
    <w:rsid w:val="008912F5"/>
    <w:rsid w:val="008915A7"/>
    <w:rsid w:val="008918EB"/>
    <w:rsid w:val="0089217C"/>
    <w:rsid w:val="008928A1"/>
    <w:rsid w:val="00893671"/>
    <w:rsid w:val="00895838"/>
    <w:rsid w:val="00895A72"/>
    <w:rsid w:val="00895CDF"/>
    <w:rsid w:val="008968C7"/>
    <w:rsid w:val="00896AFD"/>
    <w:rsid w:val="00897A55"/>
    <w:rsid w:val="008A0154"/>
    <w:rsid w:val="008A0FC9"/>
    <w:rsid w:val="008A1956"/>
    <w:rsid w:val="008A40D3"/>
    <w:rsid w:val="008A469C"/>
    <w:rsid w:val="008A484A"/>
    <w:rsid w:val="008A5877"/>
    <w:rsid w:val="008A6539"/>
    <w:rsid w:val="008A701C"/>
    <w:rsid w:val="008B05DD"/>
    <w:rsid w:val="008B17E8"/>
    <w:rsid w:val="008B266C"/>
    <w:rsid w:val="008B2D03"/>
    <w:rsid w:val="008B2E7C"/>
    <w:rsid w:val="008B3703"/>
    <w:rsid w:val="008B42AB"/>
    <w:rsid w:val="008B45A7"/>
    <w:rsid w:val="008B4A70"/>
    <w:rsid w:val="008B502F"/>
    <w:rsid w:val="008B5142"/>
    <w:rsid w:val="008B67CB"/>
    <w:rsid w:val="008B6A63"/>
    <w:rsid w:val="008B6AFE"/>
    <w:rsid w:val="008B6B83"/>
    <w:rsid w:val="008B7034"/>
    <w:rsid w:val="008B7227"/>
    <w:rsid w:val="008C03DD"/>
    <w:rsid w:val="008C191C"/>
    <w:rsid w:val="008C1DA4"/>
    <w:rsid w:val="008C2CD5"/>
    <w:rsid w:val="008C2E29"/>
    <w:rsid w:val="008C32B7"/>
    <w:rsid w:val="008C360C"/>
    <w:rsid w:val="008C3618"/>
    <w:rsid w:val="008C3F20"/>
    <w:rsid w:val="008C43AD"/>
    <w:rsid w:val="008C4B6C"/>
    <w:rsid w:val="008C59FB"/>
    <w:rsid w:val="008C619E"/>
    <w:rsid w:val="008C6687"/>
    <w:rsid w:val="008C68F0"/>
    <w:rsid w:val="008C6F92"/>
    <w:rsid w:val="008C731F"/>
    <w:rsid w:val="008C74D9"/>
    <w:rsid w:val="008C79C3"/>
    <w:rsid w:val="008C7A47"/>
    <w:rsid w:val="008D0170"/>
    <w:rsid w:val="008D1052"/>
    <w:rsid w:val="008D124C"/>
    <w:rsid w:val="008D1983"/>
    <w:rsid w:val="008D1BB3"/>
    <w:rsid w:val="008D1C32"/>
    <w:rsid w:val="008D22AE"/>
    <w:rsid w:val="008D234A"/>
    <w:rsid w:val="008D238C"/>
    <w:rsid w:val="008D566C"/>
    <w:rsid w:val="008D58D9"/>
    <w:rsid w:val="008D64F5"/>
    <w:rsid w:val="008D66EA"/>
    <w:rsid w:val="008D6E59"/>
    <w:rsid w:val="008D6F92"/>
    <w:rsid w:val="008D7155"/>
    <w:rsid w:val="008D7DE4"/>
    <w:rsid w:val="008E09B3"/>
    <w:rsid w:val="008E141A"/>
    <w:rsid w:val="008E1A44"/>
    <w:rsid w:val="008E28E6"/>
    <w:rsid w:val="008E2B60"/>
    <w:rsid w:val="008E3232"/>
    <w:rsid w:val="008E3674"/>
    <w:rsid w:val="008E3B6C"/>
    <w:rsid w:val="008E41A8"/>
    <w:rsid w:val="008E688C"/>
    <w:rsid w:val="008E68BB"/>
    <w:rsid w:val="008E6C9B"/>
    <w:rsid w:val="008E77D4"/>
    <w:rsid w:val="008F0981"/>
    <w:rsid w:val="008F0AFD"/>
    <w:rsid w:val="008F1287"/>
    <w:rsid w:val="008F17B2"/>
    <w:rsid w:val="008F28EE"/>
    <w:rsid w:val="008F357B"/>
    <w:rsid w:val="008F44CA"/>
    <w:rsid w:val="008F49B9"/>
    <w:rsid w:val="008F49D3"/>
    <w:rsid w:val="008F5081"/>
    <w:rsid w:val="008F6519"/>
    <w:rsid w:val="008F68DC"/>
    <w:rsid w:val="008F7012"/>
    <w:rsid w:val="008F7B17"/>
    <w:rsid w:val="00900042"/>
    <w:rsid w:val="0090034B"/>
    <w:rsid w:val="00902623"/>
    <w:rsid w:val="00902890"/>
    <w:rsid w:val="00904778"/>
    <w:rsid w:val="00904BE4"/>
    <w:rsid w:val="0090504A"/>
    <w:rsid w:val="00905D7E"/>
    <w:rsid w:val="009063B7"/>
    <w:rsid w:val="00907037"/>
    <w:rsid w:val="0091160A"/>
    <w:rsid w:val="00912838"/>
    <w:rsid w:val="00913258"/>
    <w:rsid w:val="00913883"/>
    <w:rsid w:val="0091564D"/>
    <w:rsid w:val="009156DA"/>
    <w:rsid w:val="00915CF3"/>
    <w:rsid w:val="00916BC5"/>
    <w:rsid w:val="0091726A"/>
    <w:rsid w:val="00920184"/>
    <w:rsid w:val="00920EA4"/>
    <w:rsid w:val="00921792"/>
    <w:rsid w:val="00921BEA"/>
    <w:rsid w:val="00922DB0"/>
    <w:rsid w:val="00923998"/>
    <w:rsid w:val="00923DB4"/>
    <w:rsid w:val="0092430E"/>
    <w:rsid w:val="0092625F"/>
    <w:rsid w:val="009268A9"/>
    <w:rsid w:val="00927B37"/>
    <w:rsid w:val="009301B2"/>
    <w:rsid w:val="0093065F"/>
    <w:rsid w:val="00931215"/>
    <w:rsid w:val="009313DD"/>
    <w:rsid w:val="00931BDE"/>
    <w:rsid w:val="009321B1"/>
    <w:rsid w:val="00932ED7"/>
    <w:rsid w:val="0093357E"/>
    <w:rsid w:val="0093422D"/>
    <w:rsid w:val="00934DD7"/>
    <w:rsid w:val="009369A9"/>
    <w:rsid w:val="00936CF7"/>
    <w:rsid w:val="00937201"/>
    <w:rsid w:val="0093734A"/>
    <w:rsid w:val="00937783"/>
    <w:rsid w:val="009377C3"/>
    <w:rsid w:val="00937D89"/>
    <w:rsid w:val="00940515"/>
    <w:rsid w:val="0094059D"/>
    <w:rsid w:val="009409B4"/>
    <w:rsid w:val="00940FE1"/>
    <w:rsid w:val="00942306"/>
    <w:rsid w:val="009424B8"/>
    <w:rsid w:val="009433A4"/>
    <w:rsid w:val="0094435B"/>
    <w:rsid w:val="00944668"/>
    <w:rsid w:val="00944DC6"/>
    <w:rsid w:val="0094537D"/>
    <w:rsid w:val="0094573F"/>
    <w:rsid w:val="009458B0"/>
    <w:rsid w:val="00945B52"/>
    <w:rsid w:val="00945DC0"/>
    <w:rsid w:val="00945F05"/>
    <w:rsid w:val="00946348"/>
    <w:rsid w:val="009471AD"/>
    <w:rsid w:val="00947233"/>
    <w:rsid w:val="009478A2"/>
    <w:rsid w:val="0095053B"/>
    <w:rsid w:val="0095074A"/>
    <w:rsid w:val="009512AB"/>
    <w:rsid w:val="00951474"/>
    <w:rsid w:val="00952DE9"/>
    <w:rsid w:val="00955643"/>
    <w:rsid w:val="00955FBB"/>
    <w:rsid w:val="0095694B"/>
    <w:rsid w:val="00956BD5"/>
    <w:rsid w:val="009574BB"/>
    <w:rsid w:val="009577B5"/>
    <w:rsid w:val="009608E6"/>
    <w:rsid w:val="009609E4"/>
    <w:rsid w:val="00961779"/>
    <w:rsid w:val="00962D00"/>
    <w:rsid w:val="00962EB1"/>
    <w:rsid w:val="0096612A"/>
    <w:rsid w:val="00966522"/>
    <w:rsid w:val="00967D3F"/>
    <w:rsid w:val="00967E78"/>
    <w:rsid w:val="00970D7E"/>
    <w:rsid w:val="00970F18"/>
    <w:rsid w:val="00971CF1"/>
    <w:rsid w:val="009721E9"/>
    <w:rsid w:val="00972A58"/>
    <w:rsid w:val="00973772"/>
    <w:rsid w:val="0097451E"/>
    <w:rsid w:val="00975598"/>
    <w:rsid w:val="00975D66"/>
    <w:rsid w:val="00975E1E"/>
    <w:rsid w:val="00975E70"/>
    <w:rsid w:val="00977B8F"/>
    <w:rsid w:val="00977CD6"/>
    <w:rsid w:val="00980162"/>
    <w:rsid w:val="00981D18"/>
    <w:rsid w:val="00982481"/>
    <w:rsid w:val="00982D26"/>
    <w:rsid w:val="0098330E"/>
    <w:rsid w:val="00983CB2"/>
    <w:rsid w:val="009849E9"/>
    <w:rsid w:val="00985F96"/>
    <w:rsid w:val="00987812"/>
    <w:rsid w:val="00990225"/>
    <w:rsid w:val="00990DF5"/>
    <w:rsid w:val="00991622"/>
    <w:rsid w:val="0099244B"/>
    <w:rsid w:val="009947B6"/>
    <w:rsid w:val="00995150"/>
    <w:rsid w:val="009957F3"/>
    <w:rsid w:val="00995D67"/>
    <w:rsid w:val="009970BF"/>
    <w:rsid w:val="009A013B"/>
    <w:rsid w:val="009A02F4"/>
    <w:rsid w:val="009A1F12"/>
    <w:rsid w:val="009A2494"/>
    <w:rsid w:val="009A26CA"/>
    <w:rsid w:val="009A36F2"/>
    <w:rsid w:val="009A47CC"/>
    <w:rsid w:val="009A5749"/>
    <w:rsid w:val="009A57D0"/>
    <w:rsid w:val="009A6559"/>
    <w:rsid w:val="009A68FC"/>
    <w:rsid w:val="009A6D4F"/>
    <w:rsid w:val="009A7514"/>
    <w:rsid w:val="009A7E7A"/>
    <w:rsid w:val="009B1584"/>
    <w:rsid w:val="009B2469"/>
    <w:rsid w:val="009B314F"/>
    <w:rsid w:val="009B439C"/>
    <w:rsid w:val="009B4A6C"/>
    <w:rsid w:val="009B5777"/>
    <w:rsid w:val="009B5779"/>
    <w:rsid w:val="009B6753"/>
    <w:rsid w:val="009B6A26"/>
    <w:rsid w:val="009C079D"/>
    <w:rsid w:val="009C0D70"/>
    <w:rsid w:val="009C13D1"/>
    <w:rsid w:val="009C2913"/>
    <w:rsid w:val="009C3008"/>
    <w:rsid w:val="009C365F"/>
    <w:rsid w:val="009C5AFE"/>
    <w:rsid w:val="009C6606"/>
    <w:rsid w:val="009C6CE5"/>
    <w:rsid w:val="009C6D50"/>
    <w:rsid w:val="009C72B6"/>
    <w:rsid w:val="009C7547"/>
    <w:rsid w:val="009D1678"/>
    <w:rsid w:val="009D1693"/>
    <w:rsid w:val="009D1C49"/>
    <w:rsid w:val="009D2721"/>
    <w:rsid w:val="009D2F60"/>
    <w:rsid w:val="009D3299"/>
    <w:rsid w:val="009D338C"/>
    <w:rsid w:val="009D3D0D"/>
    <w:rsid w:val="009D4944"/>
    <w:rsid w:val="009D5BAC"/>
    <w:rsid w:val="009D64BD"/>
    <w:rsid w:val="009D7B2F"/>
    <w:rsid w:val="009D7B6C"/>
    <w:rsid w:val="009D7F83"/>
    <w:rsid w:val="009E0D0A"/>
    <w:rsid w:val="009E0D1A"/>
    <w:rsid w:val="009E153F"/>
    <w:rsid w:val="009E2D6C"/>
    <w:rsid w:val="009E388B"/>
    <w:rsid w:val="009E393E"/>
    <w:rsid w:val="009E444E"/>
    <w:rsid w:val="009E45AF"/>
    <w:rsid w:val="009E4968"/>
    <w:rsid w:val="009E52F1"/>
    <w:rsid w:val="009E663C"/>
    <w:rsid w:val="009E6BB1"/>
    <w:rsid w:val="009F0092"/>
    <w:rsid w:val="009F0CD9"/>
    <w:rsid w:val="009F1A79"/>
    <w:rsid w:val="009F1F57"/>
    <w:rsid w:val="009F2E26"/>
    <w:rsid w:val="009F4FCF"/>
    <w:rsid w:val="009F5DE2"/>
    <w:rsid w:val="009F65F4"/>
    <w:rsid w:val="009F676B"/>
    <w:rsid w:val="009F6A30"/>
    <w:rsid w:val="009F74FE"/>
    <w:rsid w:val="00A004DF"/>
    <w:rsid w:val="00A00D29"/>
    <w:rsid w:val="00A00FD5"/>
    <w:rsid w:val="00A019A8"/>
    <w:rsid w:val="00A01B03"/>
    <w:rsid w:val="00A02C66"/>
    <w:rsid w:val="00A03861"/>
    <w:rsid w:val="00A0464C"/>
    <w:rsid w:val="00A054E0"/>
    <w:rsid w:val="00A0663F"/>
    <w:rsid w:val="00A066CE"/>
    <w:rsid w:val="00A0740B"/>
    <w:rsid w:val="00A07427"/>
    <w:rsid w:val="00A075A9"/>
    <w:rsid w:val="00A077E2"/>
    <w:rsid w:val="00A1080F"/>
    <w:rsid w:val="00A11042"/>
    <w:rsid w:val="00A133D8"/>
    <w:rsid w:val="00A14E97"/>
    <w:rsid w:val="00A17A9D"/>
    <w:rsid w:val="00A20069"/>
    <w:rsid w:val="00A20280"/>
    <w:rsid w:val="00A2163F"/>
    <w:rsid w:val="00A2244D"/>
    <w:rsid w:val="00A2253D"/>
    <w:rsid w:val="00A22AEC"/>
    <w:rsid w:val="00A2418A"/>
    <w:rsid w:val="00A247B8"/>
    <w:rsid w:val="00A24D39"/>
    <w:rsid w:val="00A24D8F"/>
    <w:rsid w:val="00A25B8B"/>
    <w:rsid w:val="00A269C3"/>
    <w:rsid w:val="00A26ECA"/>
    <w:rsid w:val="00A27374"/>
    <w:rsid w:val="00A309F1"/>
    <w:rsid w:val="00A30F68"/>
    <w:rsid w:val="00A317A5"/>
    <w:rsid w:val="00A324C1"/>
    <w:rsid w:val="00A337DB"/>
    <w:rsid w:val="00A3467F"/>
    <w:rsid w:val="00A34D34"/>
    <w:rsid w:val="00A3551A"/>
    <w:rsid w:val="00A373F4"/>
    <w:rsid w:val="00A376E8"/>
    <w:rsid w:val="00A37E69"/>
    <w:rsid w:val="00A37F8E"/>
    <w:rsid w:val="00A40979"/>
    <w:rsid w:val="00A41737"/>
    <w:rsid w:val="00A42B8F"/>
    <w:rsid w:val="00A43254"/>
    <w:rsid w:val="00A43896"/>
    <w:rsid w:val="00A43A26"/>
    <w:rsid w:val="00A447A0"/>
    <w:rsid w:val="00A457B2"/>
    <w:rsid w:val="00A459F5"/>
    <w:rsid w:val="00A45FC0"/>
    <w:rsid w:val="00A46B32"/>
    <w:rsid w:val="00A46EB8"/>
    <w:rsid w:val="00A478D2"/>
    <w:rsid w:val="00A47ECC"/>
    <w:rsid w:val="00A5008C"/>
    <w:rsid w:val="00A50171"/>
    <w:rsid w:val="00A5102E"/>
    <w:rsid w:val="00A51083"/>
    <w:rsid w:val="00A5132E"/>
    <w:rsid w:val="00A51533"/>
    <w:rsid w:val="00A51A4D"/>
    <w:rsid w:val="00A51E68"/>
    <w:rsid w:val="00A52F3B"/>
    <w:rsid w:val="00A531D4"/>
    <w:rsid w:val="00A55ACD"/>
    <w:rsid w:val="00A55CFA"/>
    <w:rsid w:val="00A5613B"/>
    <w:rsid w:val="00A575B8"/>
    <w:rsid w:val="00A647B1"/>
    <w:rsid w:val="00A64DEF"/>
    <w:rsid w:val="00A64F9E"/>
    <w:rsid w:val="00A657E1"/>
    <w:rsid w:val="00A65E4E"/>
    <w:rsid w:val="00A665DF"/>
    <w:rsid w:val="00A67F1B"/>
    <w:rsid w:val="00A67FCC"/>
    <w:rsid w:val="00A709F3"/>
    <w:rsid w:val="00A716DC"/>
    <w:rsid w:val="00A720AF"/>
    <w:rsid w:val="00A7217B"/>
    <w:rsid w:val="00A7293E"/>
    <w:rsid w:val="00A72EE4"/>
    <w:rsid w:val="00A73067"/>
    <w:rsid w:val="00A737C4"/>
    <w:rsid w:val="00A739A6"/>
    <w:rsid w:val="00A73C3B"/>
    <w:rsid w:val="00A75EF9"/>
    <w:rsid w:val="00A7627C"/>
    <w:rsid w:val="00A76BC9"/>
    <w:rsid w:val="00A77566"/>
    <w:rsid w:val="00A77956"/>
    <w:rsid w:val="00A80563"/>
    <w:rsid w:val="00A8311C"/>
    <w:rsid w:val="00A84BC8"/>
    <w:rsid w:val="00A84C5F"/>
    <w:rsid w:val="00A85D91"/>
    <w:rsid w:val="00A86973"/>
    <w:rsid w:val="00A8721F"/>
    <w:rsid w:val="00A8740B"/>
    <w:rsid w:val="00A87519"/>
    <w:rsid w:val="00A905A2"/>
    <w:rsid w:val="00A9246D"/>
    <w:rsid w:val="00A93644"/>
    <w:rsid w:val="00A93BD0"/>
    <w:rsid w:val="00A944A1"/>
    <w:rsid w:val="00A95D69"/>
    <w:rsid w:val="00A97122"/>
    <w:rsid w:val="00A975A4"/>
    <w:rsid w:val="00A977B3"/>
    <w:rsid w:val="00A97DC8"/>
    <w:rsid w:val="00AA1418"/>
    <w:rsid w:val="00AA1C43"/>
    <w:rsid w:val="00AA2001"/>
    <w:rsid w:val="00AA2B5C"/>
    <w:rsid w:val="00AA4E59"/>
    <w:rsid w:val="00AA5328"/>
    <w:rsid w:val="00AA5393"/>
    <w:rsid w:val="00AA63D4"/>
    <w:rsid w:val="00AA6767"/>
    <w:rsid w:val="00AA790B"/>
    <w:rsid w:val="00AB03FD"/>
    <w:rsid w:val="00AB1412"/>
    <w:rsid w:val="00AB38CB"/>
    <w:rsid w:val="00AB3BEC"/>
    <w:rsid w:val="00AB44E4"/>
    <w:rsid w:val="00AB4AEB"/>
    <w:rsid w:val="00AB5352"/>
    <w:rsid w:val="00AB56AE"/>
    <w:rsid w:val="00AB62D5"/>
    <w:rsid w:val="00AB65B5"/>
    <w:rsid w:val="00AB6DCD"/>
    <w:rsid w:val="00AB6EE0"/>
    <w:rsid w:val="00AB7579"/>
    <w:rsid w:val="00AC2DFD"/>
    <w:rsid w:val="00AC352D"/>
    <w:rsid w:val="00AC40B7"/>
    <w:rsid w:val="00AC5122"/>
    <w:rsid w:val="00AC531F"/>
    <w:rsid w:val="00AC6121"/>
    <w:rsid w:val="00AC626D"/>
    <w:rsid w:val="00AC64BF"/>
    <w:rsid w:val="00AC6CB1"/>
    <w:rsid w:val="00AC79DA"/>
    <w:rsid w:val="00AD0091"/>
    <w:rsid w:val="00AD0843"/>
    <w:rsid w:val="00AD23D8"/>
    <w:rsid w:val="00AD23EF"/>
    <w:rsid w:val="00AD2F0F"/>
    <w:rsid w:val="00AD307B"/>
    <w:rsid w:val="00AD31F9"/>
    <w:rsid w:val="00AD41B3"/>
    <w:rsid w:val="00AD456B"/>
    <w:rsid w:val="00AD4B31"/>
    <w:rsid w:val="00AD4C48"/>
    <w:rsid w:val="00AD57AF"/>
    <w:rsid w:val="00AD6267"/>
    <w:rsid w:val="00AD6292"/>
    <w:rsid w:val="00AD7317"/>
    <w:rsid w:val="00AD754C"/>
    <w:rsid w:val="00AE01A8"/>
    <w:rsid w:val="00AE069F"/>
    <w:rsid w:val="00AE0789"/>
    <w:rsid w:val="00AE0CBD"/>
    <w:rsid w:val="00AE123A"/>
    <w:rsid w:val="00AE1A1E"/>
    <w:rsid w:val="00AE2591"/>
    <w:rsid w:val="00AE28A7"/>
    <w:rsid w:val="00AE33A6"/>
    <w:rsid w:val="00AE36D5"/>
    <w:rsid w:val="00AE3715"/>
    <w:rsid w:val="00AE3729"/>
    <w:rsid w:val="00AE55B2"/>
    <w:rsid w:val="00AE5C6A"/>
    <w:rsid w:val="00AE65F7"/>
    <w:rsid w:val="00AE7280"/>
    <w:rsid w:val="00AF033A"/>
    <w:rsid w:val="00AF1699"/>
    <w:rsid w:val="00AF3896"/>
    <w:rsid w:val="00AF3CEE"/>
    <w:rsid w:val="00AF5706"/>
    <w:rsid w:val="00AF6479"/>
    <w:rsid w:val="00AF6C33"/>
    <w:rsid w:val="00B0098A"/>
    <w:rsid w:val="00B00A5F"/>
    <w:rsid w:val="00B0225F"/>
    <w:rsid w:val="00B029B8"/>
    <w:rsid w:val="00B02F60"/>
    <w:rsid w:val="00B032B8"/>
    <w:rsid w:val="00B03ABB"/>
    <w:rsid w:val="00B04B46"/>
    <w:rsid w:val="00B05050"/>
    <w:rsid w:val="00B0534D"/>
    <w:rsid w:val="00B06368"/>
    <w:rsid w:val="00B06FC6"/>
    <w:rsid w:val="00B07163"/>
    <w:rsid w:val="00B07429"/>
    <w:rsid w:val="00B11847"/>
    <w:rsid w:val="00B12DF9"/>
    <w:rsid w:val="00B12FE6"/>
    <w:rsid w:val="00B1303F"/>
    <w:rsid w:val="00B1364A"/>
    <w:rsid w:val="00B13D3C"/>
    <w:rsid w:val="00B1525C"/>
    <w:rsid w:val="00B16715"/>
    <w:rsid w:val="00B17910"/>
    <w:rsid w:val="00B2041B"/>
    <w:rsid w:val="00B20F18"/>
    <w:rsid w:val="00B21516"/>
    <w:rsid w:val="00B22CE0"/>
    <w:rsid w:val="00B23738"/>
    <w:rsid w:val="00B23BEF"/>
    <w:rsid w:val="00B247BB"/>
    <w:rsid w:val="00B25C11"/>
    <w:rsid w:val="00B25EDF"/>
    <w:rsid w:val="00B25EE6"/>
    <w:rsid w:val="00B27BC0"/>
    <w:rsid w:val="00B3115A"/>
    <w:rsid w:val="00B31A5C"/>
    <w:rsid w:val="00B33C19"/>
    <w:rsid w:val="00B33F84"/>
    <w:rsid w:val="00B3433E"/>
    <w:rsid w:val="00B34861"/>
    <w:rsid w:val="00B34B77"/>
    <w:rsid w:val="00B363BD"/>
    <w:rsid w:val="00B36844"/>
    <w:rsid w:val="00B369F7"/>
    <w:rsid w:val="00B36A99"/>
    <w:rsid w:val="00B37537"/>
    <w:rsid w:val="00B41B81"/>
    <w:rsid w:val="00B42980"/>
    <w:rsid w:val="00B434B2"/>
    <w:rsid w:val="00B434C7"/>
    <w:rsid w:val="00B43580"/>
    <w:rsid w:val="00B43D45"/>
    <w:rsid w:val="00B44771"/>
    <w:rsid w:val="00B4650E"/>
    <w:rsid w:val="00B468F2"/>
    <w:rsid w:val="00B46B45"/>
    <w:rsid w:val="00B46D3D"/>
    <w:rsid w:val="00B46F6B"/>
    <w:rsid w:val="00B47286"/>
    <w:rsid w:val="00B47894"/>
    <w:rsid w:val="00B47DDE"/>
    <w:rsid w:val="00B50234"/>
    <w:rsid w:val="00B51BF4"/>
    <w:rsid w:val="00B51F4B"/>
    <w:rsid w:val="00B52C68"/>
    <w:rsid w:val="00B542FE"/>
    <w:rsid w:val="00B551CE"/>
    <w:rsid w:val="00B55A1B"/>
    <w:rsid w:val="00B561DB"/>
    <w:rsid w:val="00B57494"/>
    <w:rsid w:val="00B61DCE"/>
    <w:rsid w:val="00B62188"/>
    <w:rsid w:val="00B62467"/>
    <w:rsid w:val="00B62F79"/>
    <w:rsid w:val="00B62F82"/>
    <w:rsid w:val="00B648FA"/>
    <w:rsid w:val="00B662FF"/>
    <w:rsid w:val="00B708C2"/>
    <w:rsid w:val="00B72C80"/>
    <w:rsid w:val="00B730B4"/>
    <w:rsid w:val="00B74340"/>
    <w:rsid w:val="00B744E0"/>
    <w:rsid w:val="00B7481A"/>
    <w:rsid w:val="00B74F2F"/>
    <w:rsid w:val="00B756FB"/>
    <w:rsid w:val="00B762CA"/>
    <w:rsid w:val="00B769BC"/>
    <w:rsid w:val="00B77349"/>
    <w:rsid w:val="00B7761E"/>
    <w:rsid w:val="00B80A37"/>
    <w:rsid w:val="00B80A3D"/>
    <w:rsid w:val="00B81902"/>
    <w:rsid w:val="00B823E0"/>
    <w:rsid w:val="00B82B78"/>
    <w:rsid w:val="00B84662"/>
    <w:rsid w:val="00B85402"/>
    <w:rsid w:val="00B864A3"/>
    <w:rsid w:val="00B86C2A"/>
    <w:rsid w:val="00B877F1"/>
    <w:rsid w:val="00B902A5"/>
    <w:rsid w:val="00B90420"/>
    <w:rsid w:val="00B913E4"/>
    <w:rsid w:val="00B91DB9"/>
    <w:rsid w:val="00B93487"/>
    <w:rsid w:val="00B93A82"/>
    <w:rsid w:val="00B93EFE"/>
    <w:rsid w:val="00B93F2F"/>
    <w:rsid w:val="00B94956"/>
    <w:rsid w:val="00B94C7F"/>
    <w:rsid w:val="00B956B5"/>
    <w:rsid w:val="00B95C3A"/>
    <w:rsid w:val="00B95FCE"/>
    <w:rsid w:val="00BA0D44"/>
    <w:rsid w:val="00BA0E26"/>
    <w:rsid w:val="00BA31BF"/>
    <w:rsid w:val="00BA3EBF"/>
    <w:rsid w:val="00BA43FC"/>
    <w:rsid w:val="00BA478B"/>
    <w:rsid w:val="00BA5224"/>
    <w:rsid w:val="00BA70B3"/>
    <w:rsid w:val="00BA7B27"/>
    <w:rsid w:val="00BA7E3B"/>
    <w:rsid w:val="00BB079C"/>
    <w:rsid w:val="00BB2B56"/>
    <w:rsid w:val="00BB39C1"/>
    <w:rsid w:val="00BB4901"/>
    <w:rsid w:val="00BB5D16"/>
    <w:rsid w:val="00BB6180"/>
    <w:rsid w:val="00BB69E6"/>
    <w:rsid w:val="00BB7D2A"/>
    <w:rsid w:val="00BC0760"/>
    <w:rsid w:val="00BC1B7A"/>
    <w:rsid w:val="00BC2BC7"/>
    <w:rsid w:val="00BC2C17"/>
    <w:rsid w:val="00BC3ACD"/>
    <w:rsid w:val="00BC3C33"/>
    <w:rsid w:val="00BC66D7"/>
    <w:rsid w:val="00BC6E73"/>
    <w:rsid w:val="00BD0014"/>
    <w:rsid w:val="00BD01D8"/>
    <w:rsid w:val="00BD0CBE"/>
    <w:rsid w:val="00BD2512"/>
    <w:rsid w:val="00BD255F"/>
    <w:rsid w:val="00BD383D"/>
    <w:rsid w:val="00BD4236"/>
    <w:rsid w:val="00BD575B"/>
    <w:rsid w:val="00BD5CCA"/>
    <w:rsid w:val="00BD5CD4"/>
    <w:rsid w:val="00BD6652"/>
    <w:rsid w:val="00BD6EF9"/>
    <w:rsid w:val="00BD77DD"/>
    <w:rsid w:val="00BE0ACB"/>
    <w:rsid w:val="00BE0E74"/>
    <w:rsid w:val="00BE1A90"/>
    <w:rsid w:val="00BE3537"/>
    <w:rsid w:val="00BE360F"/>
    <w:rsid w:val="00BE50FD"/>
    <w:rsid w:val="00BE51CA"/>
    <w:rsid w:val="00BE5E5A"/>
    <w:rsid w:val="00BE6D47"/>
    <w:rsid w:val="00BE7032"/>
    <w:rsid w:val="00BE7330"/>
    <w:rsid w:val="00BF01C5"/>
    <w:rsid w:val="00BF066A"/>
    <w:rsid w:val="00BF361C"/>
    <w:rsid w:val="00BF4342"/>
    <w:rsid w:val="00BF5050"/>
    <w:rsid w:val="00BF5422"/>
    <w:rsid w:val="00BF54CF"/>
    <w:rsid w:val="00BF59B1"/>
    <w:rsid w:val="00BF6A78"/>
    <w:rsid w:val="00BF6E19"/>
    <w:rsid w:val="00BF79B4"/>
    <w:rsid w:val="00C01427"/>
    <w:rsid w:val="00C016A1"/>
    <w:rsid w:val="00C04C49"/>
    <w:rsid w:val="00C0508D"/>
    <w:rsid w:val="00C058AF"/>
    <w:rsid w:val="00C11AAA"/>
    <w:rsid w:val="00C124C1"/>
    <w:rsid w:val="00C128AE"/>
    <w:rsid w:val="00C1300C"/>
    <w:rsid w:val="00C136D6"/>
    <w:rsid w:val="00C13D5B"/>
    <w:rsid w:val="00C16047"/>
    <w:rsid w:val="00C17AE2"/>
    <w:rsid w:val="00C20F27"/>
    <w:rsid w:val="00C214D1"/>
    <w:rsid w:val="00C215CF"/>
    <w:rsid w:val="00C223F8"/>
    <w:rsid w:val="00C2244B"/>
    <w:rsid w:val="00C22B0D"/>
    <w:rsid w:val="00C22F55"/>
    <w:rsid w:val="00C240C1"/>
    <w:rsid w:val="00C250D0"/>
    <w:rsid w:val="00C252AC"/>
    <w:rsid w:val="00C255AB"/>
    <w:rsid w:val="00C264F0"/>
    <w:rsid w:val="00C27214"/>
    <w:rsid w:val="00C27597"/>
    <w:rsid w:val="00C30382"/>
    <w:rsid w:val="00C30D6F"/>
    <w:rsid w:val="00C31063"/>
    <w:rsid w:val="00C31B7E"/>
    <w:rsid w:val="00C32217"/>
    <w:rsid w:val="00C3242A"/>
    <w:rsid w:val="00C32AE2"/>
    <w:rsid w:val="00C33201"/>
    <w:rsid w:val="00C332C4"/>
    <w:rsid w:val="00C33C3C"/>
    <w:rsid w:val="00C35857"/>
    <w:rsid w:val="00C360B3"/>
    <w:rsid w:val="00C3679B"/>
    <w:rsid w:val="00C36E63"/>
    <w:rsid w:val="00C37027"/>
    <w:rsid w:val="00C3778D"/>
    <w:rsid w:val="00C405A3"/>
    <w:rsid w:val="00C40B70"/>
    <w:rsid w:val="00C42752"/>
    <w:rsid w:val="00C42973"/>
    <w:rsid w:val="00C44F9C"/>
    <w:rsid w:val="00C4730E"/>
    <w:rsid w:val="00C47ED3"/>
    <w:rsid w:val="00C5019C"/>
    <w:rsid w:val="00C5034F"/>
    <w:rsid w:val="00C52479"/>
    <w:rsid w:val="00C5291F"/>
    <w:rsid w:val="00C52C59"/>
    <w:rsid w:val="00C5349E"/>
    <w:rsid w:val="00C5354B"/>
    <w:rsid w:val="00C54467"/>
    <w:rsid w:val="00C54D3D"/>
    <w:rsid w:val="00C55116"/>
    <w:rsid w:val="00C55A30"/>
    <w:rsid w:val="00C57C58"/>
    <w:rsid w:val="00C6028F"/>
    <w:rsid w:val="00C6046F"/>
    <w:rsid w:val="00C608F1"/>
    <w:rsid w:val="00C631E1"/>
    <w:rsid w:val="00C637E8"/>
    <w:rsid w:val="00C638D8"/>
    <w:rsid w:val="00C63C84"/>
    <w:rsid w:val="00C63D26"/>
    <w:rsid w:val="00C641EB"/>
    <w:rsid w:val="00C65053"/>
    <w:rsid w:val="00C65BD9"/>
    <w:rsid w:val="00C66061"/>
    <w:rsid w:val="00C66F69"/>
    <w:rsid w:val="00C67223"/>
    <w:rsid w:val="00C67CFF"/>
    <w:rsid w:val="00C707B8"/>
    <w:rsid w:val="00C7084B"/>
    <w:rsid w:val="00C71C15"/>
    <w:rsid w:val="00C71F3D"/>
    <w:rsid w:val="00C72F53"/>
    <w:rsid w:val="00C74035"/>
    <w:rsid w:val="00C76FF4"/>
    <w:rsid w:val="00C77818"/>
    <w:rsid w:val="00C77AE3"/>
    <w:rsid w:val="00C8063F"/>
    <w:rsid w:val="00C81549"/>
    <w:rsid w:val="00C829A1"/>
    <w:rsid w:val="00C83B36"/>
    <w:rsid w:val="00C84F8A"/>
    <w:rsid w:val="00C84FDF"/>
    <w:rsid w:val="00C85209"/>
    <w:rsid w:val="00C8618F"/>
    <w:rsid w:val="00C90372"/>
    <w:rsid w:val="00C9041F"/>
    <w:rsid w:val="00C90AD1"/>
    <w:rsid w:val="00C9138F"/>
    <w:rsid w:val="00C91A45"/>
    <w:rsid w:val="00C91ED2"/>
    <w:rsid w:val="00C91FB4"/>
    <w:rsid w:val="00C9364F"/>
    <w:rsid w:val="00C95745"/>
    <w:rsid w:val="00C962E3"/>
    <w:rsid w:val="00C965BD"/>
    <w:rsid w:val="00C97997"/>
    <w:rsid w:val="00CA08FE"/>
    <w:rsid w:val="00CA0FAC"/>
    <w:rsid w:val="00CA25C0"/>
    <w:rsid w:val="00CA2697"/>
    <w:rsid w:val="00CA3451"/>
    <w:rsid w:val="00CA4948"/>
    <w:rsid w:val="00CA52F9"/>
    <w:rsid w:val="00CA568B"/>
    <w:rsid w:val="00CA74D4"/>
    <w:rsid w:val="00CA7500"/>
    <w:rsid w:val="00CB1239"/>
    <w:rsid w:val="00CB178B"/>
    <w:rsid w:val="00CB19FE"/>
    <w:rsid w:val="00CB23C2"/>
    <w:rsid w:val="00CB304C"/>
    <w:rsid w:val="00CB53E8"/>
    <w:rsid w:val="00CB593E"/>
    <w:rsid w:val="00CB594A"/>
    <w:rsid w:val="00CB5CB2"/>
    <w:rsid w:val="00CB6979"/>
    <w:rsid w:val="00CB74EC"/>
    <w:rsid w:val="00CC0A3D"/>
    <w:rsid w:val="00CC2373"/>
    <w:rsid w:val="00CC3C6A"/>
    <w:rsid w:val="00CC3D24"/>
    <w:rsid w:val="00CC3F91"/>
    <w:rsid w:val="00CC4B0A"/>
    <w:rsid w:val="00CC544A"/>
    <w:rsid w:val="00CC57EA"/>
    <w:rsid w:val="00CC5954"/>
    <w:rsid w:val="00CC6C4E"/>
    <w:rsid w:val="00CD05A2"/>
    <w:rsid w:val="00CD19DA"/>
    <w:rsid w:val="00CD233D"/>
    <w:rsid w:val="00CD29D4"/>
    <w:rsid w:val="00CD38F5"/>
    <w:rsid w:val="00CD3ABE"/>
    <w:rsid w:val="00CD400F"/>
    <w:rsid w:val="00CD437E"/>
    <w:rsid w:val="00CD572E"/>
    <w:rsid w:val="00CD5A89"/>
    <w:rsid w:val="00CD5DAD"/>
    <w:rsid w:val="00CD72C5"/>
    <w:rsid w:val="00CD77A2"/>
    <w:rsid w:val="00CD79A7"/>
    <w:rsid w:val="00CE0789"/>
    <w:rsid w:val="00CE1A03"/>
    <w:rsid w:val="00CE2346"/>
    <w:rsid w:val="00CE3529"/>
    <w:rsid w:val="00CE35C8"/>
    <w:rsid w:val="00CE3962"/>
    <w:rsid w:val="00CE4983"/>
    <w:rsid w:val="00CE5105"/>
    <w:rsid w:val="00CE56BD"/>
    <w:rsid w:val="00CE5EC0"/>
    <w:rsid w:val="00CE6F9F"/>
    <w:rsid w:val="00CE773B"/>
    <w:rsid w:val="00CE781A"/>
    <w:rsid w:val="00CE7B3A"/>
    <w:rsid w:val="00CF10D4"/>
    <w:rsid w:val="00CF1D74"/>
    <w:rsid w:val="00CF2BE2"/>
    <w:rsid w:val="00CF31C0"/>
    <w:rsid w:val="00CF3839"/>
    <w:rsid w:val="00CF55F9"/>
    <w:rsid w:val="00CF56F1"/>
    <w:rsid w:val="00CF59DF"/>
    <w:rsid w:val="00CF71A6"/>
    <w:rsid w:val="00CF7495"/>
    <w:rsid w:val="00CF7671"/>
    <w:rsid w:val="00D01CF9"/>
    <w:rsid w:val="00D0334D"/>
    <w:rsid w:val="00D0374D"/>
    <w:rsid w:val="00D05A76"/>
    <w:rsid w:val="00D075F8"/>
    <w:rsid w:val="00D0790C"/>
    <w:rsid w:val="00D07F1D"/>
    <w:rsid w:val="00D10558"/>
    <w:rsid w:val="00D1203E"/>
    <w:rsid w:val="00D12886"/>
    <w:rsid w:val="00D13D03"/>
    <w:rsid w:val="00D13E70"/>
    <w:rsid w:val="00D140B5"/>
    <w:rsid w:val="00D16136"/>
    <w:rsid w:val="00D16C58"/>
    <w:rsid w:val="00D17019"/>
    <w:rsid w:val="00D170C1"/>
    <w:rsid w:val="00D21168"/>
    <w:rsid w:val="00D235C8"/>
    <w:rsid w:val="00D2438C"/>
    <w:rsid w:val="00D25264"/>
    <w:rsid w:val="00D25DFA"/>
    <w:rsid w:val="00D26C3F"/>
    <w:rsid w:val="00D27185"/>
    <w:rsid w:val="00D278A6"/>
    <w:rsid w:val="00D27C40"/>
    <w:rsid w:val="00D31E78"/>
    <w:rsid w:val="00D32B84"/>
    <w:rsid w:val="00D337AE"/>
    <w:rsid w:val="00D33AB3"/>
    <w:rsid w:val="00D33F24"/>
    <w:rsid w:val="00D346B7"/>
    <w:rsid w:val="00D346B8"/>
    <w:rsid w:val="00D35AC8"/>
    <w:rsid w:val="00D35D34"/>
    <w:rsid w:val="00D36F87"/>
    <w:rsid w:val="00D37E4E"/>
    <w:rsid w:val="00D426F4"/>
    <w:rsid w:val="00D42E6C"/>
    <w:rsid w:val="00D43218"/>
    <w:rsid w:val="00D43B80"/>
    <w:rsid w:val="00D44236"/>
    <w:rsid w:val="00D442B9"/>
    <w:rsid w:val="00D45B1E"/>
    <w:rsid w:val="00D45BA4"/>
    <w:rsid w:val="00D46CA8"/>
    <w:rsid w:val="00D46E77"/>
    <w:rsid w:val="00D471AF"/>
    <w:rsid w:val="00D4724F"/>
    <w:rsid w:val="00D50519"/>
    <w:rsid w:val="00D516A5"/>
    <w:rsid w:val="00D5264C"/>
    <w:rsid w:val="00D5289A"/>
    <w:rsid w:val="00D537FE"/>
    <w:rsid w:val="00D538F0"/>
    <w:rsid w:val="00D54A6A"/>
    <w:rsid w:val="00D54BF8"/>
    <w:rsid w:val="00D54D7C"/>
    <w:rsid w:val="00D55951"/>
    <w:rsid w:val="00D56316"/>
    <w:rsid w:val="00D572BE"/>
    <w:rsid w:val="00D57EB6"/>
    <w:rsid w:val="00D60ED7"/>
    <w:rsid w:val="00D62B20"/>
    <w:rsid w:val="00D63586"/>
    <w:rsid w:val="00D664BF"/>
    <w:rsid w:val="00D66D8B"/>
    <w:rsid w:val="00D72A1C"/>
    <w:rsid w:val="00D73580"/>
    <w:rsid w:val="00D73802"/>
    <w:rsid w:val="00D73868"/>
    <w:rsid w:val="00D73C2C"/>
    <w:rsid w:val="00D73D52"/>
    <w:rsid w:val="00D742A0"/>
    <w:rsid w:val="00D745E7"/>
    <w:rsid w:val="00D74BD9"/>
    <w:rsid w:val="00D75FF0"/>
    <w:rsid w:val="00D77495"/>
    <w:rsid w:val="00D774ED"/>
    <w:rsid w:val="00D7778F"/>
    <w:rsid w:val="00D777F6"/>
    <w:rsid w:val="00D77F88"/>
    <w:rsid w:val="00D8044C"/>
    <w:rsid w:val="00D81EAA"/>
    <w:rsid w:val="00D8259F"/>
    <w:rsid w:val="00D825F2"/>
    <w:rsid w:val="00D828B1"/>
    <w:rsid w:val="00D84461"/>
    <w:rsid w:val="00D84F27"/>
    <w:rsid w:val="00D850D4"/>
    <w:rsid w:val="00D862D1"/>
    <w:rsid w:val="00D873C6"/>
    <w:rsid w:val="00D91027"/>
    <w:rsid w:val="00D937E0"/>
    <w:rsid w:val="00D94C7D"/>
    <w:rsid w:val="00D94CA4"/>
    <w:rsid w:val="00D94FB4"/>
    <w:rsid w:val="00D95E99"/>
    <w:rsid w:val="00DA098C"/>
    <w:rsid w:val="00DA0BF8"/>
    <w:rsid w:val="00DA0FFB"/>
    <w:rsid w:val="00DA1A3A"/>
    <w:rsid w:val="00DA2C65"/>
    <w:rsid w:val="00DA395D"/>
    <w:rsid w:val="00DA3A34"/>
    <w:rsid w:val="00DA44EB"/>
    <w:rsid w:val="00DB16B8"/>
    <w:rsid w:val="00DB1D52"/>
    <w:rsid w:val="00DB1F62"/>
    <w:rsid w:val="00DB2E03"/>
    <w:rsid w:val="00DB3742"/>
    <w:rsid w:val="00DB3F4B"/>
    <w:rsid w:val="00DB61A4"/>
    <w:rsid w:val="00DB67C1"/>
    <w:rsid w:val="00DB70CD"/>
    <w:rsid w:val="00DB70F4"/>
    <w:rsid w:val="00DC1056"/>
    <w:rsid w:val="00DC16DA"/>
    <w:rsid w:val="00DC211E"/>
    <w:rsid w:val="00DC21D8"/>
    <w:rsid w:val="00DC2369"/>
    <w:rsid w:val="00DC282A"/>
    <w:rsid w:val="00DC34DC"/>
    <w:rsid w:val="00DC3CC6"/>
    <w:rsid w:val="00DC514A"/>
    <w:rsid w:val="00DC64EC"/>
    <w:rsid w:val="00DC67B1"/>
    <w:rsid w:val="00DC7833"/>
    <w:rsid w:val="00DC7B22"/>
    <w:rsid w:val="00DD132B"/>
    <w:rsid w:val="00DD1725"/>
    <w:rsid w:val="00DD21B9"/>
    <w:rsid w:val="00DD2427"/>
    <w:rsid w:val="00DD2A18"/>
    <w:rsid w:val="00DD377A"/>
    <w:rsid w:val="00DD3ECA"/>
    <w:rsid w:val="00DD5AB3"/>
    <w:rsid w:val="00DD5B1A"/>
    <w:rsid w:val="00DD61E8"/>
    <w:rsid w:val="00DD62C0"/>
    <w:rsid w:val="00DD6773"/>
    <w:rsid w:val="00DD7859"/>
    <w:rsid w:val="00DE03AC"/>
    <w:rsid w:val="00DE0A1D"/>
    <w:rsid w:val="00DE15B2"/>
    <w:rsid w:val="00DE1826"/>
    <w:rsid w:val="00DE1A9A"/>
    <w:rsid w:val="00DE23B5"/>
    <w:rsid w:val="00DE2494"/>
    <w:rsid w:val="00DE3D2C"/>
    <w:rsid w:val="00DE43D0"/>
    <w:rsid w:val="00DE5E82"/>
    <w:rsid w:val="00DE5FA6"/>
    <w:rsid w:val="00DE6494"/>
    <w:rsid w:val="00DE6AA1"/>
    <w:rsid w:val="00DE6C57"/>
    <w:rsid w:val="00DE74D7"/>
    <w:rsid w:val="00DE7DCC"/>
    <w:rsid w:val="00DE7EF7"/>
    <w:rsid w:val="00DF1185"/>
    <w:rsid w:val="00DF1299"/>
    <w:rsid w:val="00DF164F"/>
    <w:rsid w:val="00DF1A70"/>
    <w:rsid w:val="00DF23A8"/>
    <w:rsid w:val="00DF2F27"/>
    <w:rsid w:val="00DF6CCC"/>
    <w:rsid w:val="00DF6D0C"/>
    <w:rsid w:val="00DF6F64"/>
    <w:rsid w:val="00DF721E"/>
    <w:rsid w:val="00DF7C87"/>
    <w:rsid w:val="00E009B0"/>
    <w:rsid w:val="00E0345F"/>
    <w:rsid w:val="00E03D5C"/>
    <w:rsid w:val="00E043AC"/>
    <w:rsid w:val="00E043E9"/>
    <w:rsid w:val="00E046A9"/>
    <w:rsid w:val="00E04C0F"/>
    <w:rsid w:val="00E0570B"/>
    <w:rsid w:val="00E057B2"/>
    <w:rsid w:val="00E05996"/>
    <w:rsid w:val="00E10B87"/>
    <w:rsid w:val="00E1478B"/>
    <w:rsid w:val="00E14FAC"/>
    <w:rsid w:val="00E15007"/>
    <w:rsid w:val="00E16EC7"/>
    <w:rsid w:val="00E1714F"/>
    <w:rsid w:val="00E2026B"/>
    <w:rsid w:val="00E21576"/>
    <w:rsid w:val="00E219CE"/>
    <w:rsid w:val="00E21CAB"/>
    <w:rsid w:val="00E21E23"/>
    <w:rsid w:val="00E23961"/>
    <w:rsid w:val="00E24071"/>
    <w:rsid w:val="00E24EBC"/>
    <w:rsid w:val="00E2522C"/>
    <w:rsid w:val="00E2599B"/>
    <w:rsid w:val="00E27383"/>
    <w:rsid w:val="00E2793D"/>
    <w:rsid w:val="00E31AFA"/>
    <w:rsid w:val="00E3203D"/>
    <w:rsid w:val="00E324EE"/>
    <w:rsid w:val="00E34296"/>
    <w:rsid w:val="00E359FF"/>
    <w:rsid w:val="00E36AA7"/>
    <w:rsid w:val="00E36E39"/>
    <w:rsid w:val="00E36F0C"/>
    <w:rsid w:val="00E405F1"/>
    <w:rsid w:val="00E43054"/>
    <w:rsid w:val="00E434C4"/>
    <w:rsid w:val="00E44FE4"/>
    <w:rsid w:val="00E453FC"/>
    <w:rsid w:val="00E45D30"/>
    <w:rsid w:val="00E46013"/>
    <w:rsid w:val="00E4654B"/>
    <w:rsid w:val="00E477C3"/>
    <w:rsid w:val="00E50148"/>
    <w:rsid w:val="00E5048D"/>
    <w:rsid w:val="00E504BB"/>
    <w:rsid w:val="00E50AC4"/>
    <w:rsid w:val="00E50E2C"/>
    <w:rsid w:val="00E51077"/>
    <w:rsid w:val="00E5132D"/>
    <w:rsid w:val="00E51741"/>
    <w:rsid w:val="00E51E16"/>
    <w:rsid w:val="00E52051"/>
    <w:rsid w:val="00E52151"/>
    <w:rsid w:val="00E53730"/>
    <w:rsid w:val="00E53C46"/>
    <w:rsid w:val="00E54511"/>
    <w:rsid w:val="00E55DC3"/>
    <w:rsid w:val="00E55E88"/>
    <w:rsid w:val="00E57577"/>
    <w:rsid w:val="00E601DE"/>
    <w:rsid w:val="00E62043"/>
    <w:rsid w:val="00E626B9"/>
    <w:rsid w:val="00E627C9"/>
    <w:rsid w:val="00E630F3"/>
    <w:rsid w:val="00E64E10"/>
    <w:rsid w:val="00E650E0"/>
    <w:rsid w:val="00E65141"/>
    <w:rsid w:val="00E65198"/>
    <w:rsid w:val="00E664FB"/>
    <w:rsid w:val="00E66F0D"/>
    <w:rsid w:val="00E672F9"/>
    <w:rsid w:val="00E67345"/>
    <w:rsid w:val="00E70615"/>
    <w:rsid w:val="00E71A5E"/>
    <w:rsid w:val="00E7207B"/>
    <w:rsid w:val="00E7347A"/>
    <w:rsid w:val="00E75325"/>
    <w:rsid w:val="00E758C0"/>
    <w:rsid w:val="00E759FB"/>
    <w:rsid w:val="00E75A47"/>
    <w:rsid w:val="00E75D8C"/>
    <w:rsid w:val="00E77771"/>
    <w:rsid w:val="00E777F2"/>
    <w:rsid w:val="00E779ED"/>
    <w:rsid w:val="00E802C9"/>
    <w:rsid w:val="00E80EDD"/>
    <w:rsid w:val="00E80F0A"/>
    <w:rsid w:val="00E81A6A"/>
    <w:rsid w:val="00E8291B"/>
    <w:rsid w:val="00E82FBC"/>
    <w:rsid w:val="00E8395F"/>
    <w:rsid w:val="00E8473F"/>
    <w:rsid w:val="00E84DD1"/>
    <w:rsid w:val="00E85E41"/>
    <w:rsid w:val="00E85EA1"/>
    <w:rsid w:val="00E91044"/>
    <w:rsid w:val="00E910D3"/>
    <w:rsid w:val="00E923CF"/>
    <w:rsid w:val="00E9335F"/>
    <w:rsid w:val="00E95111"/>
    <w:rsid w:val="00E9743C"/>
    <w:rsid w:val="00E9760C"/>
    <w:rsid w:val="00EA048D"/>
    <w:rsid w:val="00EA061E"/>
    <w:rsid w:val="00EA08DE"/>
    <w:rsid w:val="00EA14C8"/>
    <w:rsid w:val="00EA19D3"/>
    <w:rsid w:val="00EA2296"/>
    <w:rsid w:val="00EA2C8D"/>
    <w:rsid w:val="00EA6649"/>
    <w:rsid w:val="00EB05D0"/>
    <w:rsid w:val="00EB07C5"/>
    <w:rsid w:val="00EB1D49"/>
    <w:rsid w:val="00EB42DD"/>
    <w:rsid w:val="00EB559F"/>
    <w:rsid w:val="00EB5F3D"/>
    <w:rsid w:val="00EB6900"/>
    <w:rsid w:val="00EB6EC2"/>
    <w:rsid w:val="00EC1CEB"/>
    <w:rsid w:val="00EC21A7"/>
    <w:rsid w:val="00EC268C"/>
    <w:rsid w:val="00EC3747"/>
    <w:rsid w:val="00EC3753"/>
    <w:rsid w:val="00EC3CB8"/>
    <w:rsid w:val="00EC3D46"/>
    <w:rsid w:val="00EC4E71"/>
    <w:rsid w:val="00EC6667"/>
    <w:rsid w:val="00EC783E"/>
    <w:rsid w:val="00ED0365"/>
    <w:rsid w:val="00ED0865"/>
    <w:rsid w:val="00ED094F"/>
    <w:rsid w:val="00ED16B6"/>
    <w:rsid w:val="00ED1C60"/>
    <w:rsid w:val="00ED2EB9"/>
    <w:rsid w:val="00ED4469"/>
    <w:rsid w:val="00ED5F23"/>
    <w:rsid w:val="00ED675F"/>
    <w:rsid w:val="00ED6DC0"/>
    <w:rsid w:val="00ED79CE"/>
    <w:rsid w:val="00ED7A7A"/>
    <w:rsid w:val="00EE038C"/>
    <w:rsid w:val="00EE040B"/>
    <w:rsid w:val="00EE168A"/>
    <w:rsid w:val="00EE47C5"/>
    <w:rsid w:val="00EE490C"/>
    <w:rsid w:val="00EE613B"/>
    <w:rsid w:val="00EE65D6"/>
    <w:rsid w:val="00EE6609"/>
    <w:rsid w:val="00EE7D60"/>
    <w:rsid w:val="00EE7E17"/>
    <w:rsid w:val="00EF2C8E"/>
    <w:rsid w:val="00EF3174"/>
    <w:rsid w:val="00EF3303"/>
    <w:rsid w:val="00EF37AB"/>
    <w:rsid w:val="00EF3A0D"/>
    <w:rsid w:val="00EF3CEB"/>
    <w:rsid w:val="00EF41A8"/>
    <w:rsid w:val="00EF44FB"/>
    <w:rsid w:val="00EF4D3C"/>
    <w:rsid w:val="00EF51CA"/>
    <w:rsid w:val="00EF5554"/>
    <w:rsid w:val="00EF5AD8"/>
    <w:rsid w:val="00EF5D2F"/>
    <w:rsid w:val="00EF63F5"/>
    <w:rsid w:val="00EF6758"/>
    <w:rsid w:val="00EF6B90"/>
    <w:rsid w:val="00EF70AE"/>
    <w:rsid w:val="00EF7113"/>
    <w:rsid w:val="00EF79F7"/>
    <w:rsid w:val="00F00418"/>
    <w:rsid w:val="00F006C0"/>
    <w:rsid w:val="00F009BB"/>
    <w:rsid w:val="00F019AA"/>
    <w:rsid w:val="00F0267E"/>
    <w:rsid w:val="00F02686"/>
    <w:rsid w:val="00F03D99"/>
    <w:rsid w:val="00F0459B"/>
    <w:rsid w:val="00F04E15"/>
    <w:rsid w:val="00F05DF3"/>
    <w:rsid w:val="00F0641B"/>
    <w:rsid w:val="00F069EA"/>
    <w:rsid w:val="00F07B6E"/>
    <w:rsid w:val="00F07DF8"/>
    <w:rsid w:val="00F11461"/>
    <w:rsid w:val="00F11675"/>
    <w:rsid w:val="00F1182D"/>
    <w:rsid w:val="00F12250"/>
    <w:rsid w:val="00F12557"/>
    <w:rsid w:val="00F12D4D"/>
    <w:rsid w:val="00F13A8F"/>
    <w:rsid w:val="00F144F8"/>
    <w:rsid w:val="00F14DF8"/>
    <w:rsid w:val="00F164A3"/>
    <w:rsid w:val="00F17AD9"/>
    <w:rsid w:val="00F17F74"/>
    <w:rsid w:val="00F202C2"/>
    <w:rsid w:val="00F209D5"/>
    <w:rsid w:val="00F20C3A"/>
    <w:rsid w:val="00F22756"/>
    <w:rsid w:val="00F23890"/>
    <w:rsid w:val="00F2447A"/>
    <w:rsid w:val="00F24638"/>
    <w:rsid w:val="00F2504D"/>
    <w:rsid w:val="00F2637F"/>
    <w:rsid w:val="00F263A8"/>
    <w:rsid w:val="00F268F7"/>
    <w:rsid w:val="00F3053D"/>
    <w:rsid w:val="00F30BDB"/>
    <w:rsid w:val="00F30CF8"/>
    <w:rsid w:val="00F31633"/>
    <w:rsid w:val="00F31EDF"/>
    <w:rsid w:val="00F32CDE"/>
    <w:rsid w:val="00F32D4C"/>
    <w:rsid w:val="00F34811"/>
    <w:rsid w:val="00F34B14"/>
    <w:rsid w:val="00F36A6A"/>
    <w:rsid w:val="00F40101"/>
    <w:rsid w:val="00F404F7"/>
    <w:rsid w:val="00F40B17"/>
    <w:rsid w:val="00F40CCA"/>
    <w:rsid w:val="00F41521"/>
    <w:rsid w:val="00F42D97"/>
    <w:rsid w:val="00F43F09"/>
    <w:rsid w:val="00F45A72"/>
    <w:rsid w:val="00F46723"/>
    <w:rsid w:val="00F46EB9"/>
    <w:rsid w:val="00F50016"/>
    <w:rsid w:val="00F50647"/>
    <w:rsid w:val="00F5118A"/>
    <w:rsid w:val="00F5165C"/>
    <w:rsid w:val="00F51A21"/>
    <w:rsid w:val="00F5276E"/>
    <w:rsid w:val="00F529F9"/>
    <w:rsid w:val="00F52E9F"/>
    <w:rsid w:val="00F53304"/>
    <w:rsid w:val="00F53D37"/>
    <w:rsid w:val="00F53D40"/>
    <w:rsid w:val="00F545ED"/>
    <w:rsid w:val="00F5687F"/>
    <w:rsid w:val="00F56FA5"/>
    <w:rsid w:val="00F5727D"/>
    <w:rsid w:val="00F575C7"/>
    <w:rsid w:val="00F60305"/>
    <w:rsid w:val="00F61B12"/>
    <w:rsid w:val="00F620C5"/>
    <w:rsid w:val="00F62398"/>
    <w:rsid w:val="00F626C5"/>
    <w:rsid w:val="00F631E8"/>
    <w:rsid w:val="00F63223"/>
    <w:rsid w:val="00F63264"/>
    <w:rsid w:val="00F6379E"/>
    <w:rsid w:val="00F676EC"/>
    <w:rsid w:val="00F70799"/>
    <w:rsid w:val="00F70906"/>
    <w:rsid w:val="00F70A8B"/>
    <w:rsid w:val="00F724FB"/>
    <w:rsid w:val="00F72578"/>
    <w:rsid w:val="00F72A26"/>
    <w:rsid w:val="00F733C3"/>
    <w:rsid w:val="00F756DD"/>
    <w:rsid w:val="00F75DB3"/>
    <w:rsid w:val="00F77C37"/>
    <w:rsid w:val="00F80047"/>
    <w:rsid w:val="00F8104D"/>
    <w:rsid w:val="00F81587"/>
    <w:rsid w:val="00F82571"/>
    <w:rsid w:val="00F83706"/>
    <w:rsid w:val="00F85258"/>
    <w:rsid w:val="00F85B72"/>
    <w:rsid w:val="00F8766F"/>
    <w:rsid w:val="00F9104C"/>
    <w:rsid w:val="00F91082"/>
    <w:rsid w:val="00F91A9A"/>
    <w:rsid w:val="00F920A7"/>
    <w:rsid w:val="00F93ABB"/>
    <w:rsid w:val="00F94D79"/>
    <w:rsid w:val="00F971DD"/>
    <w:rsid w:val="00F975D3"/>
    <w:rsid w:val="00F97F42"/>
    <w:rsid w:val="00FA118A"/>
    <w:rsid w:val="00FA11CD"/>
    <w:rsid w:val="00FA1B7E"/>
    <w:rsid w:val="00FA31C7"/>
    <w:rsid w:val="00FA472D"/>
    <w:rsid w:val="00FA7254"/>
    <w:rsid w:val="00FB0214"/>
    <w:rsid w:val="00FB080C"/>
    <w:rsid w:val="00FB18F6"/>
    <w:rsid w:val="00FB2A52"/>
    <w:rsid w:val="00FB2F13"/>
    <w:rsid w:val="00FB6232"/>
    <w:rsid w:val="00FB6E19"/>
    <w:rsid w:val="00FB71F6"/>
    <w:rsid w:val="00FC0016"/>
    <w:rsid w:val="00FC11EB"/>
    <w:rsid w:val="00FC1483"/>
    <w:rsid w:val="00FC1C47"/>
    <w:rsid w:val="00FC2EF2"/>
    <w:rsid w:val="00FC39ED"/>
    <w:rsid w:val="00FC4419"/>
    <w:rsid w:val="00FC47E2"/>
    <w:rsid w:val="00FC4AA5"/>
    <w:rsid w:val="00FC5148"/>
    <w:rsid w:val="00FC6590"/>
    <w:rsid w:val="00FC7523"/>
    <w:rsid w:val="00FC75AC"/>
    <w:rsid w:val="00FC75CB"/>
    <w:rsid w:val="00FD01BF"/>
    <w:rsid w:val="00FD0525"/>
    <w:rsid w:val="00FD0D4F"/>
    <w:rsid w:val="00FD297D"/>
    <w:rsid w:val="00FD2D13"/>
    <w:rsid w:val="00FD3D26"/>
    <w:rsid w:val="00FD4789"/>
    <w:rsid w:val="00FD6071"/>
    <w:rsid w:val="00FE0794"/>
    <w:rsid w:val="00FE1041"/>
    <w:rsid w:val="00FE24CB"/>
    <w:rsid w:val="00FE3166"/>
    <w:rsid w:val="00FE3320"/>
    <w:rsid w:val="00FE3473"/>
    <w:rsid w:val="00FE353B"/>
    <w:rsid w:val="00FE4049"/>
    <w:rsid w:val="00FE4794"/>
    <w:rsid w:val="00FE5DF7"/>
    <w:rsid w:val="00FE5F72"/>
    <w:rsid w:val="00FE7B6B"/>
    <w:rsid w:val="00FF0231"/>
    <w:rsid w:val="00FF1C9B"/>
    <w:rsid w:val="00FF1D49"/>
    <w:rsid w:val="00FF2562"/>
    <w:rsid w:val="00FF2CE1"/>
    <w:rsid w:val="00FF3A41"/>
    <w:rsid w:val="00FF3E5B"/>
    <w:rsid w:val="00FF52BE"/>
    <w:rsid w:val="00FF544F"/>
    <w:rsid w:val="00FF57E4"/>
    <w:rsid w:val="00FF77F8"/>
    <w:rsid w:val="00FF78E5"/>
    <w:rsid w:val="01042A92"/>
    <w:rsid w:val="0191257F"/>
    <w:rsid w:val="01D5444A"/>
    <w:rsid w:val="01DF6ED8"/>
    <w:rsid w:val="02253D96"/>
    <w:rsid w:val="02511F9D"/>
    <w:rsid w:val="02A429BD"/>
    <w:rsid w:val="02AB4E64"/>
    <w:rsid w:val="03056ED3"/>
    <w:rsid w:val="0334104D"/>
    <w:rsid w:val="034E5B8A"/>
    <w:rsid w:val="0384413B"/>
    <w:rsid w:val="03A314B8"/>
    <w:rsid w:val="03D82B98"/>
    <w:rsid w:val="03E64494"/>
    <w:rsid w:val="03F83E8B"/>
    <w:rsid w:val="0487278A"/>
    <w:rsid w:val="05B257EC"/>
    <w:rsid w:val="05C95D94"/>
    <w:rsid w:val="05DA68EB"/>
    <w:rsid w:val="05F21159"/>
    <w:rsid w:val="063B086F"/>
    <w:rsid w:val="06492EAF"/>
    <w:rsid w:val="06AE10AC"/>
    <w:rsid w:val="07AB1DBE"/>
    <w:rsid w:val="07B72767"/>
    <w:rsid w:val="08077E72"/>
    <w:rsid w:val="08555E8D"/>
    <w:rsid w:val="09AB1EA0"/>
    <w:rsid w:val="09C01DC2"/>
    <w:rsid w:val="09CC2AAC"/>
    <w:rsid w:val="09D820EE"/>
    <w:rsid w:val="0A395458"/>
    <w:rsid w:val="0A652D3E"/>
    <w:rsid w:val="0AE61EF7"/>
    <w:rsid w:val="0B0A4571"/>
    <w:rsid w:val="0B3A48F0"/>
    <w:rsid w:val="0B5C7525"/>
    <w:rsid w:val="0B8B2701"/>
    <w:rsid w:val="0BA60EEC"/>
    <w:rsid w:val="0BF64F69"/>
    <w:rsid w:val="0C083C74"/>
    <w:rsid w:val="0C4A7332"/>
    <w:rsid w:val="0C5C56D6"/>
    <w:rsid w:val="0C92213C"/>
    <w:rsid w:val="0CBA2804"/>
    <w:rsid w:val="0CEC2E27"/>
    <w:rsid w:val="0D3B1B72"/>
    <w:rsid w:val="0D4F221D"/>
    <w:rsid w:val="0D84032B"/>
    <w:rsid w:val="0D890203"/>
    <w:rsid w:val="0DCE68D5"/>
    <w:rsid w:val="0E121122"/>
    <w:rsid w:val="0E287443"/>
    <w:rsid w:val="0E8E4763"/>
    <w:rsid w:val="0E947C27"/>
    <w:rsid w:val="0EE035FE"/>
    <w:rsid w:val="0F011985"/>
    <w:rsid w:val="0F2C0708"/>
    <w:rsid w:val="0F4F4353"/>
    <w:rsid w:val="0F923AB4"/>
    <w:rsid w:val="0FDC6CEF"/>
    <w:rsid w:val="10503CCC"/>
    <w:rsid w:val="10A27F31"/>
    <w:rsid w:val="10CA487C"/>
    <w:rsid w:val="11833402"/>
    <w:rsid w:val="11927058"/>
    <w:rsid w:val="11AB78C4"/>
    <w:rsid w:val="12133FB0"/>
    <w:rsid w:val="12176643"/>
    <w:rsid w:val="12510966"/>
    <w:rsid w:val="12A055F5"/>
    <w:rsid w:val="12A5223C"/>
    <w:rsid w:val="12A604D9"/>
    <w:rsid w:val="12F64F3A"/>
    <w:rsid w:val="130D4243"/>
    <w:rsid w:val="131A6A04"/>
    <w:rsid w:val="13686C97"/>
    <w:rsid w:val="1387148A"/>
    <w:rsid w:val="13AF4F03"/>
    <w:rsid w:val="13C20EF5"/>
    <w:rsid w:val="1437543F"/>
    <w:rsid w:val="14587C2B"/>
    <w:rsid w:val="145E6EE8"/>
    <w:rsid w:val="14665D24"/>
    <w:rsid w:val="14736E66"/>
    <w:rsid w:val="148937C0"/>
    <w:rsid w:val="149B6AC2"/>
    <w:rsid w:val="14DE649B"/>
    <w:rsid w:val="14EA2BC0"/>
    <w:rsid w:val="15264037"/>
    <w:rsid w:val="15293653"/>
    <w:rsid w:val="1534169A"/>
    <w:rsid w:val="154310AF"/>
    <w:rsid w:val="15A5283C"/>
    <w:rsid w:val="15C03E03"/>
    <w:rsid w:val="162102B8"/>
    <w:rsid w:val="162478EF"/>
    <w:rsid w:val="162A25EB"/>
    <w:rsid w:val="164C69BC"/>
    <w:rsid w:val="16964761"/>
    <w:rsid w:val="16CA259A"/>
    <w:rsid w:val="16FD2A55"/>
    <w:rsid w:val="17366761"/>
    <w:rsid w:val="17457C26"/>
    <w:rsid w:val="177C01F0"/>
    <w:rsid w:val="178622EA"/>
    <w:rsid w:val="17CE6630"/>
    <w:rsid w:val="17D1440F"/>
    <w:rsid w:val="18B51028"/>
    <w:rsid w:val="1923698A"/>
    <w:rsid w:val="19304EC9"/>
    <w:rsid w:val="19793F15"/>
    <w:rsid w:val="19820BA0"/>
    <w:rsid w:val="1A247589"/>
    <w:rsid w:val="1AFA16D5"/>
    <w:rsid w:val="1B122762"/>
    <w:rsid w:val="1B4F19F8"/>
    <w:rsid w:val="1BBF1D82"/>
    <w:rsid w:val="1BD92184"/>
    <w:rsid w:val="1C3B3892"/>
    <w:rsid w:val="1C5170A2"/>
    <w:rsid w:val="1C664119"/>
    <w:rsid w:val="1CB02232"/>
    <w:rsid w:val="1CF47F2D"/>
    <w:rsid w:val="1D1509FE"/>
    <w:rsid w:val="1D23361F"/>
    <w:rsid w:val="1D4061A8"/>
    <w:rsid w:val="1D7F547B"/>
    <w:rsid w:val="1D84707B"/>
    <w:rsid w:val="1D895CD6"/>
    <w:rsid w:val="1DBE62F4"/>
    <w:rsid w:val="1E22487D"/>
    <w:rsid w:val="1E4A2E9F"/>
    <w:rsid w:val="1E8C7359"/>
    <w:rsid w:val="1E967206"/>
    <w:rsid w:val="1E9B4F4B"/>
    <w:rsid w:val="1EEE23EF"/>
    <w:rsid w:val="1F063325"/>
    <w:rsid w:val="1FA2402F"/>
    <w:rsid w:val="1FBC5DF5"/>
    <w:rsid w:val="1FC55574"/>
    <w:rsid w:val="1FF678B2"/>
    <w:rsid w:val="203D099C"/>
    <w:rsid w:val="207672EF"/>
    <w:rsid w:val="20781442"/>
    <w:rsid w:val="20CC0210"/>
    <w:rsid w:val="21195988"/>
    <w:rsid w:val="21A46224"/>
    <w:rsid w:val="21B83F86"/>
    <w:rsid w:val="21E55E66"/>
    <w:rsid w:val="221178A8"/>
    <w:rsid w:val="221213CF"/>
    <w:rsid w:val="22327A92"/>
    <w:rsid w:val="22501E48"/>
    <w:rsid w:val="22965435"/>
    <w:rsid w:val="229A1F36"/>
    <w:rsid w:val="22BD6F35"/>
    <w:rsid w:val="22E97FD0"/>
    <w:rsid w:val="2315021E"/>
    <w:rsid w:val="231D53A2"/>
    <w:rsid w:val="23B7504C"/>
    <w:rsid w:val="23C84A38"/>
    <w:rsid w:val="23E75F24"/>
    <w:rsid w:val="24571307"/>
    <w:rsid w:val="24BA2984"/>
    <w:rsid w:val="25126E09"/>
    <w:rsid w:val="25246333"/>
    <w:rsid w:val="25496D80"/>
    <w:rsid w:val="254D590B"/>
    <w:rsid w:val="25C14636"/>
    <w:rsid w:val="25D30D3F"/>
    <w:rsid w:val="26446DE3"/>
    <w:rsid w:val="264D165B"/>
    <w:rsid w:val="265F3538"/>
    <w:rsid w:val="26835926"/>
    <w:rsid w:val="26935518"/>
    <w:rsid w:val="26CD1617"/>
    <w:rsid w:val="26D7699F"/>
    <w:rsid w:val="27234AD7"/>
    <w:rsid w:val="274A5E17"/>
    <w:rsid w:val="274B40AC"/>
    <w:rsid w:val="279A2132"/>
    <w:rsid w:val="27E21206"/>
    <w:rsid w:val="284D08E4"/>
    <w:rsid w:val="287911B4"/>
    <w:rsid w:val="2912495F"/>
    <w:rsid w:val="29531C35"/>
    <w:rsid w:val="29E17ECF"/>
    <w:rsid w:val="2A0D3BDD"/>
    <w:rsid w:val="2A2D3BAD"/>
    <w:rsid w:val="2A3176C5"/>
    <w:rsid w:val="2A332E5B"/>
    <w:rsid w:val="2A5A691B"/>
    <w:rsid w:val="2B09065E"/>
    <w:rsid w:val="2B774624"/>
    <w:rsid w:val="2BEE2133"/>
    <w:rsid w:val="2C0B70FB"/>
    <w:rsid w:val="2C7A72BE"/>
    <w:rsid w:val="2CE1294E"/>
    <w:rsid w:val="2D7B23E8"/>
    <w:rsid w:val="2E301A53"/>
    <w:rsid w:val="2E3777C8"/>
    <w:rsid w:val="2EA75E76"/>
    <w:rsid w:val="2ED40002"/>
    <w:rsid w:val="2EEB5D26"/>
    <w:rsid w:val="2F013AAD"/>
    <w:rsid w:val="2F401D3C"/>
    <w:rsid w:val="2F436F36"/>
    <w:rsid w:val="2F474F78"/>
    <w:rsid w:val="2F634EE2"/>
    <w:rsid w:val="2F70241B"/>
    <w:rsid w:val="2F7B66D0"/>
    <w:rsid w:val="2FA95C88"/>
    <w:rsid w:val="2FB614B6"/>
    <w:rsid w:val="3041370F"/>
    <w:rsid w:val="30556EEC"/>
    <w:rsid w:val="305D3ACC"/>
    <w:rsid w:val="308D3B08"/>
    <w:rsid w:val="30F06C49"/>
    <w:rsid w:val="31083A05"/>
    <w:rsid w:val="31227ACD"/>
    <w:rsid w:val="314427A8"/>
    <w:rsid w:val="3180356E"/>
    <w:rsid w:val="31E97269"/>
    <w:rsid w:val="32453A27"/>
    <w:rsid w:val="3263064A"/>
    <w:rsid w:val="32AC0C06"/>
    <w:rsid w:val="32D52EA8"/>
    <w:rsid w:val="33AB3400"/>
    <w:rsid w:val="33FA1CBC"/>
    <w:rsid w:val="33FD3B57"/>
    <w:rsid w:val="342866FA"/>
    <w:rsid w:val="3495078B"/>
    <w:rsid w:val="34CA3F9D"/>
    <w:rsid w:val="34D83C7C"/>
    <w:rsid w:val="34EA6325"/>
    <w:rsid w:val="35304278"/>
    <w:rsid w:val="3537750C"/>
    <w:rsid w:val="3537798C"/>
    <w:rsid w:val="35384DBC"/>
    <w:rsid w:val="355838BC"/>
    <w:rsid w:val="357F7ED5"/>
    <w:rsid w:val="35C13FC9"/>
    <w:rsid w:val="36032F7B"/>
    <w:rsid w:val="362E6D87"/>
    <w:rsid w:val="364257B6"/>
    <w:rsid w:val="36616E47"/>
    <w:rsid w:val="367302A1"/>
    <w:rsid w:val="367B3D86"/>
    <w:rsid w:val="36CE4E98"/>
    <w:rsid w:val="36F834D1"/>
    <w:rsid w:val="374264D3"/>
    <w:rsid w:val="37C1661D"/>
    <w:rsid w:val="37DB7874"/>
    <w:rsid w:val="37E961A0"/>
    <w:rsid w:val="37EA5922"/>
    <w:rsid w:val="3809405A"/>
    <w:rsid w:val="38276B93"/>
    <w:rsid w:val="388F7B77"/>
    <w:rsid w:val="3A0B64A7"/>
    <w:rsid w:val="3A4A48F1"/>
    <w:rsid w:val="3A7038BB"/>
    <w:rsid w:val="3AF74C02"/>
    <w:rsid w:val="3B017371"/>
    <w:rsid w:val="3BC6658C"/>
    <w:rsid w:val="3C0059A5"/>
    <w:rsid w:val="3C134E78"/>
    <w:rsid w:val="3C301B5F"/>
    <w:rsid w:val="3C4715C1"/>
    <w:rsid w:val="3C5277A9"/>
    <w:rsid w:val="3C7C6B51"/>
    <w:rsid w:val="3CAB1AFC"/>
    <w:rsid w:val="3CC10476"/>
    <w:rsid w:val="3D05582A"/>
    <w:rsid w:val="3DF6345D"/>
    <w:rsid w:val="3E2E143E"/>
    <w:rsid w:val="3E3C2CA6"/>
    <w:rsid w:val="3EE13701"/>
    <w:rsid w:val="3EFA9C1A"/>
    <w:rsid w:val="3F1A4BB3"/>
    <w:rsid w:val="3F7B304D"/>
    <w:rsid w:val="40192BA6"/>
    <w:rsid w:val="409C1193"/>
    <w:rsid w:val="41560B72"/>
    <w:rsid w:val="41BF069E"/>
    <w:rsid w:val="41CA7043"/>
    <w:rsid w:val="41D80F9D"/>
    <w:rsid w:val="41E96B4E"/>
    <w:rsid w:val="42030507"/>
    <w:rsid w:val="42550A18"/>
    <w:rsid w:val="425600A9"/>
    <w:rsid w:val="42786A9F"/>
    <w:rsid w:val="42D114D2"/>
    <w:rsid w:val="42F473A1"/>
    <w:rsid w:val="432D04A7"/>
    <w:rsid w:val="441E62C0"/>
    <w:rsid w:val="44274ACD"/>
    <w:rsid w:val="44604E49"/>
    <w:rsid w:val="456B6C12"/>
    <w:rsid w:val="45811C7C"/>
    <w:rsid w:val="459200CC"/>
    <w:rsid w:val="45AA78B4"/>
    <w:rsid w:val="468B3EFB"/>
    <w:rsid w:val="46F851C7"/>
    <w:rsid w:val="46F9547C"/>
    <w:rsid w:val="470A6193"/>
    <w:rsid w:val="47A3636C"/>
    <w:rsid w:val="47AA339A"/>
    <w:rsid w:val="47B42327"/>
    <w:rsid w:val="47DC4F5C"/>
    <w:rsid w:val="48A04659"/>
    <w:rsid w:val="48AE02BD"/>
    <w:rsid w:val="48B40671"/>
    <w:rsid w:val="491829E2"/>
    <w:rsid w:val="49560FD2"/>
    <w:rsid w:val="499B5738"/>
    <w:rsid w:val="499F244D"/>
    <w:rsid w:val="49B22896"/>
    <w:rsid w:val="49BF74BD"/>
    <w:rsid w:val="49E634D1"/>
    <w:rsid w:val="4A7E2FC0"/>
    <w:rsid w:val="4A8F58C2"/>
    <w:rsid w:val="4AF96BC7"/>
    <w:rsid w:val="4B782908"/>
    <w:rsid w:val="4B842132"/>
    <w:rsid w:val="4BFB4050"/>
    <w:rsid w:val="4BFD7B01"/>
    <w:rsid w:val="4C7B0A39"/>
    <w:rsid w:val="4CDE53C4"/>
    <w:rsid w:val="4CEF36E2"/>
    <w:rsid w:val="4D3B1120"/>
    <w:rsid w:val="4D447D52"/>
    <w:rsid w:val="4DAF4CC1"/>
    <w:rsid w:val="4E676345"/>
    <w:rsid w:val="4EE911C5"/>
    <w:rsid w:val="4F372FFB"/>
    <w:rsid w:val="4FA76FA4"/>
    <w:rsid w:val="4FAE1D52"/>
    <w:rsid w:val="500B5B85"/>
    <w:rsid w:val="503E4E84"/>
    <w:rsid w:val="5044725D"/>
    <w:rsid w:val="50B72BFD"/>
    <w:rsid w:val="50ED0658"/>
    <w:rsid w:val="513F391C"/>
    <w:rsid w:val="51564E44"/>
    <w:rsid w:val="51623C00"/>
    <w:rsid w:val="51B8433C"/>
    <w:rsid w:val="521D4E99"/>
    <w:rsid w:val="52282C57"/>
    <w:rsid w:val="523A5B1F"/>
    <w:rsid w:val="52C10D75"/>
    <w:rsid w:val="53C125EB"/>
    <w:rsid w:val="54613981"/>
    <w:rsid w:val="54736E75"/>
    <w:rsid w:val="54C53DC5"/>
    <w:rsid w:val="550C4BD7"/>
    <w:rsid w:val="55185B77"/>
    <w:rsid w:val="55572986"/>
    <w:rsid w:val="55A14ACC"/>
    <w:rsid w:val="55A9703D"/>
    <w:rsid w:val="55B340DA"/>
    <w:rsid w:val="56221102"/>
    <w:rsid w:val="562B20BF"/>
    <w:rsid w:val="564927D4"/>
    <w:rsid w:val="565512CB"/>
    <w:rsid w:val="56D04C17"/>
    <w:rsid w:val="573C2AAB"/>
    <w:rsid w:val="57601B7F"/>
    <w:rsid w:val="57F1375D"/>
    <w:rsid w:val="5884764A"/>
    <w:rsid w:val="5A3D4CF5"/>
    <w:rsid w:val="5A957D93"/>
    <w:rsid w:val="5AFD311B"/>
    <w:rsid w:val="5B3760D9"/>
    <w:rsid w:val="5B482FB4"/>
    <w:rsid w:val="5B86261A"/>
    <w:rsid w:val="5B9727B1"/>
    <w:rsid w:val="5BE014E5"/>
    <w:rsid w:val="5BEC760C"/>
    <w:rsid w:val="5BF83648"/>
    <w:rsid w:val="5C295359"/>
    <w:rsid w:val="5C7031D6"/>
    <w:rsid w:val="5C9F23AC"/>
    <w:rsid w:val="5CEF0F85"/>
    <w:rsid w:val="5E1B2389"/>
    <w:rsid w:val="5E454B07"/>
    <w:rsid w:val="5EC1512D"/>
    <w:rsid w:val="5F12674D"/>
    <w:rsid w:val="5F775E85"/>
    <w:rsid w:val="5F80710D"/>
    <w:rsid w:val="5FDF74DA"/>
    <w:rsid w:val="6012222A"/>
    <w:rsid w:val="603F12DC"/>
    <w:rsid w:val="6042451C"/>
    <w:rsid w:val="606007BB"/>
    <w:rsid w:val="607E751E"/>
    <w:rsid w:val="60A7347D"/>
    <w:rsid w:val="60AC7F66"/>
    <w:rsid w:val="60DF1E0B"/>
    <w:rsid w:val="61137B21"/>
    <w:rsid w:val="618835DC"/>
    <w:rsid w:val="61BF10D9"/>
    <w:rsid w:val="61F01D9D"/>
    <w:rsid w:val="621722E9"/>
    <w:rsid w:val="629F7BDB"/>
    <w:rsid w:val="631928DF"/>
    <w:rsid w:val="633D05F6"/>
    <w:rsid w:val="63510DAF"/>
    <w:rsid w:val="638354D5"/>
    <w:rsid w:val="63A57310"/>
    <w:rsid w:val="640C7C21"/>
    <w:rsid w:val="64A52124"/>
    <w:rsid w:val="64E45EF7"/>
    <w:rsid w:val="655A9E13"/>
    <w:rsid w:val="655F4FD4"/>
    <w:rsid w:val="658E3D60"/>
    <w:rsid w:val="65CB2B15"/>
    <w:rsid w:val="66A575B3"/>
    <w:rsid w:val="66A57729"/>
    <w:rsid w:val="670F748C"/>
    <w:rsid w:val="6736338C"/>
    <w:rsid w:val="67672453"/>
    <w:rsid w:val="677435B2"/>
    <w:rsid w:val="67E72F7C"/>
    <w:rsid w:val="67EF75F1"/>
    <w:rsid w:val="681C76FB"/>
    <w:rsid w:val="68774BE5"/>
    <w:rsid w:val="689F455D"/>
    <w:rsid w:val="68B87030"/>
    <w:rsid w:val="68F760C0"/>
    <w:rsid w:val="69124F16"/>
    <w:rsid w:val="691E3A42"/>
    <w:rsid w:val="69A9377F"/>
    <w:rsid w:val="69C64B0E"/>
    <w:rsid w:val="69CD5C14"/>
    <w:rsid w:val="69CF0D33"/>
    <w:rsid w:val="6A4A2421"/>
    <w:rsid w:val="6A6D2CA6"/>
    <w:rsid w:val="6AB24495"/>
    <w:rsid w:val="6AFD43BA"/>
    <w:rsid w:val="6B014FD4"/>
    <w:rsid w:val="6B17417E"/>
    <w:rsid w:val="6B9946B3"/>
    <w:rsid w:val="6C0534FE"/>
    <w:rsid w:val="6C310D11"/>
    <w:rsid w:val="6C4F100F"/>
    <w:rsid w:val="6C74771E"/>
    <w:rsid w:val="6C79425A"/>
    <w:rsid w:val="6C7F25EA"/>
    <w:rsid w:val="6C8C2A60"/>
    <w:rsid w:val="6C921AAA"/>
    <w:rsid w:val="6CB54221"/>
    <w:rsid w:val="6CD12C2E"/>
    <w:rsid w:val="6D1837C6"/>
    <w:rsid w:val="6D6D6077"/>
    <w:rsid w:val="6DCF2237"/>
    <w:rsid w:val="6DE76850"/>
    <w:rsid w:val="6E015810"/>
    <w:rsid w:val="6E336FB7"/>
    <w:rsid w:val="6E3B7F3B"/>
    <w:rsid w:val="6E9A1018"/>
    <w:rsid w:val="6F3516F0"/>
    <w:rsid w:val="6F5B6D28"/>
    <w:rsid w:val="6F7B2976"/>
    <w:rsid w:val="6FB20BD4"/>
    <w:rsid w:val="6FBA59BE"/>
    <w:rsid w:val="70296B3E"/>
    <w:rsid w:val="70611204"/>
    <w:rsid w:val="70C82A0E"/>
    <w:rsid w:val="70E441FE"/>
    <w:rsid w:val="70F17BCE"/>
    <w:rsid w:val="715141CD"/>
    <w:rsid w:val="71DC351E"/>
    <w:rsid w:val="7234593E"/>
    <w:rsid w:val="72365637"/>
    <w:rsid w:val="72983CD3"/>
    <w:rsid w:val="72A257D4"/>
    <w:rsid w:val="72EF4CB6"/>
    <w:rsid w:val="73EC5662"/>
    <w:rsid w:val="743B2F14"/>
    <w:rsid w:val="746A24BE"/>
    <w:rsid w:val="749F1040"/>
    <w:rsid w:val="74FA2C30"/>
    <w:rsid w:val="75934F9C"/>
    <w:rsid w:val="76250197"/>
    <w:rsid w:val="76BC49EB"/>
    <w:rsid w:val="77000DA2"/>
    <w:rsid w:val="77BE0D98"/>
    <w:rsid w:val="781E69D1"/>
    <w:rsid w:val="78340059"/>
    <w:rsid w:val="78423B5E"/>
    <w:rsid w:val="78D07EB6"/>
    <w:rsid w:val="79BE1CAB"/>
    <w:rsid w:val="7ADD0453"/>
    <w:rsid w:val="7AF46346"/>
    <w:rsid w:val="7B0F5EBF"/>
    <w:rsid w:val="7B130FB9"/>
    <w:rsid w:val="7BDE0625"/>
    <w:rsid w:val="7BF64EDE"/>
    <w:rsid w:val="7C400C1E"/>
    <w:rsid w:val="7C6C6CCE"/>
    <w:rsid w:val="7C773348"/>
    <w:rsid w:val="7C825605"/>
    <w:rsid w:val="7C8D1F53"/>
    <w:rsid w:val="7CB0484C"/>
    <w:rsid w:val="7CFC55FB"/>
    <w:rsid w:val="7D146DE8"/>
    <w:rsid w:val="7D28155C"/>
    <w:rsid w:val="7D422E99"/>
    <w:rsid w:val="7DD11708"/>
    <w:rsid w:val="7DD83ECB"/>
    <w:rsid w:val="7DF46F4A"/>
    <w:rsid w:val="7E3D4C74"/>
    <w:rsid w:val="7EBC46EA"/>
    <w:rsid w:val="7EC167BD"/>
    <w:rsid w:val="7ED44C97"/>
    <w:rsid w:val="7F56032A"/>
    <w:rsid w:val="7F591170"/>
    <w:rsid w:val="7FCA72CB"/>
    <w:rsid w:val="7FCB062D"/>
    <w:rsid w:val="7FF82C26"/>
    <w:rsid w:val="EF6DC4F0"/>
    <w:rsid w:val="FFF6D50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99" w:semiHidden="0"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2"/>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semiHidden/>
    <w:unhideWhenUsed/>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6">
    <w:name w:val="heading 5"/>
    <w:basedOn w:val="1"/>
    <w:next w:val="7"/>
    <w:link w:val="43"/>
    <w:qFormat/>
    <w:uiPriority w:val="9"/>
    <w:pPr>
      <w:keepNext/>
      <w:keepLines/>
      <w:spacing w:before="280" w:after="290" w:line="376"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List Number"/>
    <w:basedOn w:val="1"/>
    <w:qFormat/>
    <w:uiPriority w:val="0"/>
    <w:pPr>
      <w:widowControl/>
      <w:tabs>
        <w:tab w:val="left" w:pos="454"/>
        <w:tab w:val="left" w:pos="720"/>
        <w:tab w:val="left" w:pos="840"/>
      </w:tabs>
      <w:spacing w:after="50" w:afterLines="50"/>
      <w:ind w:left="454" w:hanging="284"/>
      <w:jc w:val="left"/>
    </w:pPr>
    <w:rPr>
      <w:kern w:val="0"/>
      <w:sz w:val="24"/>
      <w:szCs w:val="20"/>
    </w:rPr>
  </w:style>
  <w:style w:type="paragraph" w:styleId="9">
    <w:name w:val="annotation text"/>
    <w:basedOn w:val="1"/>
    <w:link w:val="44"/>
    <w:qFormat/>
    <w:uiPriority w:val="0"/>
    <w:pPr>
      <w:jc w:val="left"/>
    </w:pPr>
  </w:style>
  <w:style w:type="paragraph" w:styleId="10">
    <w:name w:val="Body Text 3"/>
    <w:basedOn w:val="1"/>
    <w:link w:val="45"/>
    <w:unhideWhenUsed/>
    <w:qFormat/>
    <w:uiPriority w:val="99"/>
    <w:pPr>
      <w:spacing w:after="120"/>
    </w:pPr>
    <w:rPr>
      <w:sz w:val="16"/>
      <w:szCs w:val="16"/>
    </w:rPr>
  </w:style>
  <w:style w:type="paragraph" w:styleId="11">
    <w:name w:val="Body Text"/>
    <w:basedOn w:val="1"/>
    <w:next w:val="1"/>
    <w:link w:val="46"/>
    <w:unhideWhenUsed/>
    <w:qFormat/>
    <w:uiPriority w:val="0"/>
    <w:pPr>
      <w:spacing w:after="120"/>
    </w:pPr>
  </w:style>
  <w:style w:type="paragraph" w:styleId="12">
    <w:name w:val="Body Text Indent"/>
    <w:basedOn w:val="1"/>
    <w:link w:val="47"/>
    <w:qFormat/>
    <w:uiPriority w:val="0"/>
    <w:pPr>
      <w:ind w:firstLine="830" w:firstLineChars="352"/>
    </w:pPr>
    <w:rPr>
      <w:rFonts w:ascii="仿宋_GB2312" w:eastAsia="仿宋_GB2312"/>
      <w:kern w:val="0"/>
      <w:sz w:val="32"/>
      <w:szCs w:val="20"/>
    </w:rPr>
  </w:style>
  <w:style w:type="paragraph" w:styleId="13">
    <w:name w:val="List 2"/>
    <w:basedOn w:val="1"/>
    <w:unhideWhenUsed/>
    <w:qFormat/>
    <w:uiPriority w:val="99"/>
    <w:pPr>
      <w:ind w:left="100" w:leftChars="200" w:hanging="200" w:hangingChars="200"/>
      <w:contextualSpacing/>
    </w:pPr>
  </w:style>
  <w:style w:type="paragraph" w:styleId="14">
    <w:name w:val="Block Text"/>
    <w:basedOn w:val="1"/>
    <w:qFormat/>
    <w:uiPriority w:val="0"/>
    <w:pPr>
      <w:tabs>
        <w:tab w:val="left" w:pos="1440"/>
      </w:tabs>
      <w:spacing w:after="100"/>
      <w:ind w:left="3600" w:right="-288" w:hanging="2880"/>
    </w:pPr>
    <w:rPr>
      <w:snapToGrid w:val="0"/>
      <w:kern w:val="0"/>
      <w:sz w:val="22"/>
      <w:szCs w:val="20"/>
      <w:lang w:eastAsia="en-US"/>
    </w:rPr>
  </w:style>
  <w:style w:type="paragraph" w:styleId="15">
    <w:name w:val="Plain Text"/>
    <w:basedOn w:val="1"/>
    <w:next w:val="5"/>
    <w:link w:val="48"/>
    <w:qFormat/>
    <w:uiPriority w:val="0"/>
    <w:rPr>
      <w:rFonts w:ascii="宋体" w:hAnsi="Courier New"/>
      <w:kern w:val="0"/>
      <w:sz w:val="20"/>
      <w:szCs w:val="21"/>
    </w:rPr>
  </w:style>
  <w:style w:type="paragraph" w:styleId="16">
    <w:name w:val="Date"/>
    <w:basedOn w:val="1"/>
    <w:next w:val="1"/>
    <w:link w:val="49"/>
    <w:unhideWhenUsed/>
    <w:qFormat/>
    <w:uiPriority w:val="99"/>
    <w:pPr>
      <w:ind w:left="100" w:leftChars="2500"/>
    </w:pPr>
  </w:style>
  <w:style w:type="paragraph" w:styleId="17">
    <w:name w:val="Balloon Text"/>
    <w:basedOn w:val="1"/>
    <w:semiHidden/>
    <w:qFormat/>
    <w:uiPriority w:val="0"/>
    <w:rPr>
      <w:sz w:val="18"/>
      <w:szCs w:val="18"/>
    </w:rPr>
  </w:style>
  <w:style w:type="paragraph" w:styleId="18">
    <w:name w:val="footer"/>
    <w:basedOn w:val="1"/>
    <w:next w:val="1"/>
    <w:link w:val="50"/>
    <w:unhideWhenUsed/>
    <w:qFormat/>
    <w:uiPriority w:val="99"/>
    <w:pPr>
      <w:tabs>
        <w:tab w:val="center" w:pos="4153"/>
        <w:tab w:val="right" w:pos="8306"/>
      </w:tabs>
      <w:snapToGrid w:val="0"/>
      <w:jc w:val="left"/>
    </w:pPr>
    <w:rPr>
      <w:kern w:val="0"/>
      <w:sz w:val="18"/>
      <w:szCs w:val="18"/>
    </w:rPr>
  </w:style>
  <w:style w:type="paragraph" w:styleId="19">
    <w:name w:val="header"/>
    <w:basedOn w:val="1"/>
    <w:link w:val="5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unhideWhenUsed/>
    <w:qFormat/>
    <w:uiPriority w:val="39"/>
  </w:style>
  <w:style w:type="paragraph" w:styleId="21">
    <w:name w:val="toc 2"/>
    <w:basedOn w:val="1"/>
    <w:next w:val="1"/>
    <w:unhideWhenUsed/>
    <w:qFormat/>
    <w:uiPriority w:val="39"/>
    <w:pPr>
      <w:tabs>
        <w:tab w:val="right" w:leader="dot" w:pos="8296"/>
      </w:tabs>
      <w:ind w:left="420" w:leftChars="200"/>
    </w:pPr>
  </w:style>
  <w:style w:type="paragraph" w:styleId="2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kern w:val="0"/>
      <w:sz w:val="24"/>
    </w:rPr>
  </w:style>
  <w:style w:type="paragraph" w:styleId="23">
    <w:name w:val="Normal (Web)"/>
    <w:basedOn w:val="1"/>
    <w:unhideWhenUsed/>
    <w:qFormat/>
    <w:uiPriority w:val="99"/>
    <w:rPr>
      <w:rFonts w:ascii="Calibri" w:hAnsi="Calibri"/>
      <w:kern w:val="0"/>
      <w:sz w:val="24"/>
    </w:rPr>
  </w:style>
  <w:style w:type="paragraph" w:styleId="24">
    <w:name w:val="annotation subject"/>
    <w:basedOn w:val="9"/>
    <w:next w:val="9"/>
    <w:link w:val="52"/>
    <w:qFormat/>
    <w:uiPriority w:val="99"/>
    <w:rPr>
      <w:b/>
      <w:bCs/>
    </w:rPr>
  </w:style>
  <w:style w:type="paragraph" w:styleId="25">
    <w:name w:val="Body Text First Indent"/>
    <w:basedOn w:val="11"/>
    <w:next w:val="1"/>
    <w:qFormat/>
    <w:uiPriority w:val="0"/>
    <w:pPr>
      <w:ind w:firstLine="420" w:firstLineChars="100"/>
    </w:pPr>
  </w:style>
  <w:style w:type="paragraph" w:styleId="26">
    <w:name w:val="Body Text First Indent 2"/>
    <w:basedOn w:val="12"/>
    <w:next w:val="1"/>
    <w:qFormat/>
    <w:uiPriority w:val="0"/>
    <w:pPr>
      <w:spacing w:after="120"/>
      <w:ind w:left="420" w:leftChars="200" w:firstLine="420" w:firstLineChars="200"/>
    </w:pPr>
    <w:rPr>
      <w:szCs w:val="24"/>
    </w:rPr>
  </w:style>
  <w:style w:type="table" w:styleId="28">
    <w:name w:val="Table Grid"/>
    <w:basedOn w:val="2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page number"/>
    <w:qFormat/>
    <w:uiPriority w:val="0"/>
  </w:style>
  <w:style w:type="character" w:styleId="32">
    <w:name w:val="FollowedHyperlink"/>
    <w:basedOn w:val="29"/>
    <w:semiHidden/>
    <w:unhideWhenUsed/>
    <w:qFormat/>
    <w:uiPriority w:val="99"/>
    <w:rPr>
      <w:color w:val="4D7AD8"/>
      <w:u w:val="none"/>
    </w:rPr>
  </w:style>
  <w:style w:type="character" w:styleId="33">
    <w:name w:val="HTML Definition"/>
    <w:basedOn w:val="29"/>
    <w:semiHidden/>
    <w:unhideWhenUsed/>
    <w:qFormat/>
    <w:uiPriority w:val="99"/>
    <w:rPr>
      <w:i/>
      <w:iCs/>
    </w:rPr>
  </w:style>
  <w:style w:type="character" w:styleId="34">
    <w:name w:val="Hyperlink"/>
    <w:unhideWhenUsed/>
    <w:qFormat/>
    <w:uiPriority w:val="99"/>
    <w:rPr>
      <w:color w:val="0000FF"/>
      <w:u w:val="single"/>
    </w:rPr>
  </w:style>
  <w:style w:type="character" w:styleId="35">
    <w:name w:val="HTML Code"/>
    <w:basedOn w:val="29"/>
    <w:semiHidden/>
    <w:unhideWhenUsed/>
    <w:qFormat/>
    <w:uiPriority w:val="99"/>
    <w:rPr>
      <w:rFonts w:hint="default" w:ascii="Consolas" w:hAnsi="Consolas" w:eastAsia="Consolas" w:cs="Consolas"/>
      <w:sz w:val="21"/>
      <w:szCs w:val="21"/>
    </w:rPr>
  </w:style>
  <w:style w:type="character" w:styleId="36">
    <w:name w:val="annotation reference"/>
    <w:basedOn w:val="29"/>
    <w:qFormat/>
    <w:uiPriority w:val="0"/>
    <w:rPr>
      <w:sz w:val="21"/>
      <w:szCs w:val="21"/>
    </w:rPr>
  </w:style>
  <w:style w:type="character" w:styleId="37">
    <w:name w:val="HTML Keyboard"/>
    <w:basedOn w:val="29"/>
    <w:semiHidden/>
    <w:unhideWhenUsed/>
    <w:qFormat/>
    <w:uiPriority w:val="99"/>
    <w:rPr>
      <w:rFonts w:hint="default" w:ascii="Consolas" w:hAnsi="Consolas" w:eastAsia="Consolas" w:cs="Consolas"/>
      <w:sz w:val="21"/>
      <w:szCs w:val="21"/>
    </w:rPr>
  </w:style>
  <w:style w:type="character" w:styleId="38">
    <w:name w:val="HTML Sample"/>
    <w:basedOn w:val="29"/>
    <w:semiHidden/>
    <w:unhideWhenUsed/>
    <w:qFormat/>
    <w:uiPriority w:val="99"/>
    <w:rPr>
      <w:rFonts w:ascii="Consolas" w:hAnsi="Consolas" w:eastAsia="Consolas" w:cs="Consolas"/>
      <w:sz w:val="21"/>
      <w:szCs w:val="21"/>
    </w:rPr>
  </w:style>
  <w:style w:type="paragraph" w:customStyle="1" w:styleId="39">
    <w:name w:val="列出段落1"/>
    <w:basedOn w:val="1"/>
    <w:qFormat/>
    <w:uiPriority w:val="34"/>
    <w:pPr>
      <w:ind w:firstLine="420" w:firstLineChars="200"/>
    </w:pPr>
  </w:style>
  <w:style w:type="paragraph" w:customStyle="1" w:styleId="40">
    <w:name w:val="无间隔1"/>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41">
    <w:name w:val="标题 1 Char"/>
    <w:link w:val="2"/>
    <w:qFormat/>
    <w:uiPriority w:val="0"/>
    <w:rPr>
      <w:b/>
      <w:bCs/>
      <w:kern w:val="44"/>
      <w:sz w:val="44"/>
      <w:szCs w:val="44"/>
    </w:rPr>
  </w:style>
  <w:style w:type="character" w:customStyle="1" w:styleId="42">
    <w:name w:val="标题 2 Char"/>
    <w:link w:val="3"/>
    <w:qFormat/>
    <w:uiPriority w:val="9"/>
    <w:rPr>
      <w:rFonts w:ascii="Cambria" w:hAnsi="Cambria" w:eastAsia="宋体" w:cs="Times New Roman"/>
      <w:b/>
      <w:bCs/>
      <w:kern w:val="2"/>
      <w:sz w:val="32"/>
      <w:szCs w:val="32"/>
    </w:rPr>
  </w:style>
  <w:style w:type="character" w:customStyle="1" w:styleId="43">
    <w:name w:val="标题 5 Char"/>
    <w:link w:val="6"/>
    <w:semiHidden/>
    <w:qFormat/>
    <w:uiPriority w:val="9"/>
    <w:rPr>
      <w:rFonts w:ascii="Times New Roman" w:hAnsi="Times New Roman"/>
      <w:b/>
      <w:bCs/>
      <w:kern w:val="2"/>
      <w:sz w:val="28"/>
      <w:szCs w:val="28"/>
    </w:rPr>
  </w:style>
  <w:style w:type="character" w:customStyle="1" w:styleId="44">
    <w:name w:val="批注文字 Char"/>
    <w:link w:val="9"/>
    <w:qFormat/>
    <w:uiPriority w:val="0"/>
    <w:rPr>
      <w:rFonts w:ascii="Times New Roman" w:hAnsi="Times New Roman"/>
      <w:kern w:val="2"/>
      <w:sz w:val="21"/>
      <w:szCs w:val="24"/>
    </w:rPr>
  </w:style>
  <w:style w:type="character" w:customStyle="1" w:styleId="45">
    <w:name w:val="正文文本 3 Char"/>
    <w:link w:val="10"/>
    <w:semiHidden/>
    <w:qFormat/>
    <w:uiPriority w:val="99"/>
    <w:rPr>
      <w:rFonts w:ascii="Times New Roman" w:hAnsi="Times New Roman"/>
      <w:kern w:val="2"/>
      <w:sz w:val="16"/>
      <w:szCs w:val="16"/>
    </w:rPr>
  </w:style>
  <w:style w:type="character" w:customStyle="1" w:styleId="46">
    <w:name w:val="正文文本 Char"/>
    <w:link w:val="11"/>
    <w:qFormat/>
    <w:uiPriority w:val="0"/>
    <w:rPr>
      <w:rFonts w:ascii="Times New Roman" w:hAnsi="Times New Roman"/>
      <w:kern w:val="2"/>
      <w:sz w:val="21"/>
      <w:szCs w:val="24"/>
    </w:rPr>
  </w:style>
  <w:style w:type="character" w:customStyle="1" w:styleId="47">
    <w:name w:val="正文文本缩进 Char"/>
    <w:link w:val="12"/>
    <w:qFormat/>
    <w:uiPriority w:val="0"/>
    <w:rPr>
      <w:rFonts w:ascii="仿宋_GB2312" w:hAnsi="Times New Roman" w:eastAsia="仿宋_GB2312" w:cs="Times New Roman"/>
      <w:sz w:val="32"/>
      <w:szCs w:val="20"/>
    </w:rPr>
  </w:style>
  <w:style w:type="character" w:customStyle="1" w:styleId="48">
    <w:name w:val="纯文本 Char"/>
    <w:link w:val="15"/>
    <w:qFormat/>
    <w:uiPriority w:val="0"/>
    <w:rPr>
      <w:rFonts w:ascii="宋体" w:hAnsi="Courier New" w:eastAsia="宋体" w:cs="Courier New"/>
      <w:szCs w:val="21"/>
    </w:rPr>
  </w:style>
  <w:style w:type="character" w:customStyle="1" w:styleId="49">
    <w:name w:val="日期 Char"/>
    <w:link w:val="16"/>
    <w:semiHidden/>
    <w:qFormat/>
    <w:uiPriority w:val="99"/>
    <w:rPr>
      <w:rFonts w:ascii="Times New Roman" w:hAnsi="Times New Roman"/>
      <w:kern w:val="2"/>
      <w:sz w:val="21"/>
      <w:szCs w:val="24"/>
    </w:rPr>
  </w:style>
  <w:style w:type="character" w:customStyle="1" w:styleId="50">
    <w:name w:val="页脚 Char1"/>
    <w:link w:val="18"/>
    <w:qFormat/>
    <w:uiPriority w:val="99"/>
    <w:rPr>
      <w:sz w:val="18"/>
      <w:szCs w:val="18"/>
    </w:rPr>
  </w:style>
  <w:style w:type="character" w:customStyle="1" w:styleId="51">
    <w:name w:val="页眉 Char"/>
    <w:link w:val="19"/>
    <w:qFormat/>
    <w:uiPriority w:val="99"/>
    <w:rPr>
      <w:sz w:val="18"/>
      <w:szCs w:val="18"/>
    </w:rPr>
  </w:style>
  <w:style w:type="character" w:customStyle="1" w:styleId="52">
    <w:name w:val="批注主题 Char"/>
    <w:link w:val="24"/>
    <w:qFormat/>
    <w:uiPriority w:val="99"/>
    <w:rPr>
      <w:rFonts w:ascii="Times New Roman" w:hAnsi="Times New Roman"/>
      <w:b/>
      <w:bCs/>
      <w:kern w:val="2"/>
      <w:sz w:val="21"/>
      <w:szCs w:val="24"/>
    </w:rPr>
  </w:style>
  <w:style w:type="character" w:customStyle="1" w:styleId="53">
    <w:name w:val="正文文本缩进 字符1"/>
    <w:qFormat/>
    <w:uiPriority w:val="0"/>
    <w:rPr>
      <w:rFonts w:ascii="仿宋_GB2312" w:hAnsi="Times New Roman" w:eastAsia="仿宋_GB2312" w:cs="Times New Roman"/>
      <w:sz w:val="32"/>
      <w:szCs w:val="20"/>
    </w:rPr>
  </w:style>
  <w:style w:type="character" w:customStyle="1" w:styleId="54">
    <w:name w:val="apple-style-span"/>
    <w:qFormat/>
    <w:uiPriority w:val="0"/>
  </w:style>
  <w:style w:type="character" w:customStyle="1" w:styleId="55">
    <w:name w:val="标题 1 字符"/>
    <w:qFormat/>
    <w:uiPriority w:val="9"/>
    <w:rPr>
      <w:b/>
      <w:bCs/>
      <w:kern w:val="44"/>
      <w:sz w:val="44"/>
      <w:szCs w:val="44"/>
    </w:rPr>
  </w:style>
  <w:style w:type="character" w:customStyle="1" w:styleId="56">
    <w:name w:val="textcontents"/>
    <w:qFormat/>
    <w:uiPriority w:val="0"/>
  </w:style>
  <w:style w:type="character" w:customStyle="1" w:styleId="57">
    <w:name w:val="纯文本 字符1"/>
    <w:qFormat/>
    <w:uiPriority w:val="0"/>
    <w:rPr>
      <w:rFonts w:ascii="宋体" w:hAnsi="Courier New"/>
    </w:rPr>
  </w:style>
  <w:style w:type="character" w:customStyle="1" w:styleId="58">
    <w:name w:val="批注文字 字符1"/>
    <w:qFormat/>
    <w:uiPriority w:val="0"/>
    <w:rPr>
      <w:kern w:val="2"/>
      <w:sz w:val="21"/>
      <w:szCs w:val="24"/>
    </w:rPr>
  </w:style>
  <w:style w:type="character" w:customStyle="1" w:styleId="59">
    <w:name w:val="纯文本 字符2"/>
    <w:qFormat/>
    <w:uiPriority w:val="0"/>
    <w:rPr>
      <w:rFonts w:ascii="宋体" w:hAnsi="Courier New" w:eastAsia="宋体" w:cs="Courier New"/>
      <w:szCs w:val="21"/>
    </w:rPr>
  </w:style>
  <w:style w:type="character" w:customStyle="1" w:styleId="60">
    <w:name w:val="页脚 Char"/>
    <w:qFormat/>
    <w:uiPriority w:val="99"/>
    <w:rPr>
      <w:lang w:eastAsia="zh-CN"/>
    </w:rPr>
  </w:style>
  <w:style w:type="paragraph" w:customStyle="1" w:styleId="61">
    <w:name w:val="默认段落字体 Para Char Char Char Char Char Char Char Char Char1 Char Char Char Char"/>
    <w:basedOn w:val="1"/>
    <w:qFormat/>
    <w:uiPriority w:val="0"/>
    <w:rPr>
      <w:rFonts w:ascii="Tahoma" w:hAnsi="Tahoma"/>
      <w:sz w:val="24"/>
      <w:szCs w:val="20"/>
    </w:rPr>
  </w:style>
  <w:style w:type="paragraph" w:customStyle="1" w:styleId="62">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63">
    <w:name w:val="Table Paragraph"/>
    <w:basedOn w:val="1"/>
    <w:qFormat/>
    <w:uiPriority w:val="1"/>
    <w:pPr>
      <w:jc w:val="left"/>
    </w:pPr>
    <w:rPr>
      <w:rFonts w:ascii="Calibri" w:hAnsi="Calibri"/>
      <w:kern w:val="0"/>
      <w:sz w:val="22"/>
      <w:szCs w:val="22"/>
      <w:lang w:eastAsia="en-US"/>
    </w:rPr>
  </w:style>
  <w:style w:type="character" w:customStyle="1" w:styleId="64">
    <w:name w:val="批注文字 Char1"/>
    <w:qFormat/>
    <w:uiPriority w:val="0"/>
    <w:rPr>
      <w:rFonts w:ascii="Times New Roman" w:hAnsi="Times New Roman"/>
      <w:kern w:val="2"/>
      <w:sz w:val="21"/>
      <w:szCs w:val="24"/>
    </w:rPr>
  </w:style>
  <w:style w:type="character" w:customStyle="1" w:styleId="65">
    <w:name w:val="批注文字 字符2"/>
    <w:qFormat/>
    <w:uiPriority w:val="0"/>
    <w:rPr>
      <w:rFonts w:ascii="Times New Roman" w:hAnsi="Times New Roman"/>
      <w:kern w:val="2"/>
      <w:sz w:val="21"/>
      <w:szCs w:val="24"/>
    </w:rPr>
  </w:style>
  <w:style w:type="character" w:customStyle="1" w:styleId="66">
    <w:name w:val="正文文本 (26) + 间距 0 pt"/>
    <w:qFormat/>
    <w:uiPriority w:val="0"/>
    <w:rPr>
      <w:rFonts w:hint="eastAsia" w:ascii="宋体" w:hAnsi="宋体" w:eastAsia="宋体" w:cs="宋体"/>
      <w:color w:val="000000"/>
      <w:spacing w:val="0"/>
      <w:w w:val="100"/>
      <w:position w:val="0"/>
      <w:sz w:val="22"/>
      <w:szCs w:val="22"/>
      <w:u w:val="none"/>
      <w:lang w:val="zh-CN" w:eastAsia="zh-CN" w:bidi="zh-CN"/>
    </w:rPr>
  </w:style>
  <w:style w:type="character" w:customStyle="1" w:styleId="67">
    <w:name w:val="纯文本 Char1"/>
    <w:qFormat/>
    <w:uiPriority w:val="0"/>
    <w:rPr>
      <w:rFonts w:ascii="宋体" w:hAnsi="Courier New" w:eastAsia="宋体" w:cs="Courier New"/>
      <w:szCs w:val="21"/>
    </w:rPr>
  </w:style>
  <w:style w:type="character" w:customStyle="1" w:styleId="68">
    <w:name w:val="批注文字 Char2"/>
    <w:qFormat/>
    <w:uiPriority w:val="0"/>
    <w:rPr>
      <w:rFonts w:ascii="Times New Roman" w:hAnsi="Times New Roman"/>
      <w:kern w:val="2"/>
      <w:sz w:val="21"/>
      <w:szCs w:val="24"/>
    </w:rPr>
  </w:style>
  <w:style w:type="character" w:customStyle="1" w:styleId="69">
    <w:name w:val="font11"/>
    <w:basedOn w:val="29"/>
    <w:qFormat/>
    <w:uiPriority w:val="0"/>
    <w:rPr>
      <w:rFonts w:hint="eastAsia" w:ascii="宋体" w:hAnsi="宋体" w:eastAsia="宋体" w:cs="宋体"/>
      <w:color w:val="000000"/>
      <w:sz w:val="20"/>
      <w:szCs w:val="20"/>
      <w:u w:val="none"/>
    </w:rPr>
  </w:style>
  <w:style w:type="character" w:customStyle="1" w:styleId="70">
    <w:name w:val="font41"/>
    <w:qFormat/>
    <w:uiPriority w:val="0"/>
    <w:rPr>
      <w:rFonts w:ascii="宋体" w:hAnsi="宋体" w:eastAsia="宋体" w:cs="宋体"/>
      <w:color w:val="000000"/>
      <w:sz w:val="20"/>
      <w:szCs w:val="20"/>
      <w:u w:val="none"/>
    </w:rPr>
  </w:style>
  <w:style w:type="character" w:customStyle="1" w:styleId="71">
    <w:name w:val="font31"/>
    <w:qFormat/>
    <w:uiPriority w:val="0"/>
    <w:rPr>
      <w:rFonts w:ascii="方正书宋_GBK" w:hAnsi="方正书宋_GBK" w:eastAsia="方正书宋_GBK" w:cs="方正书宋_GBK"/>
      <w:color w:val="000000"/>
      <w:sz w:val="21"/>
      <w:szCs w:val="21"/>
      <w:u w:val="none"/>
    </w:rPr>
  </w:style>
  <w:style w:type="character" w:customStyle="1" w:styleId="72">
    <w:name w:val="font61"/>
    <w:basedOn w:val="29"/>
    <w:qFormat/>
    <w:uiPriority w:val="0"/>
    <w:rPr>
      <w:rFonts w:hint="default" w:ascii="Times New Roman" w:hAnsi="Times New Roman" w:cs="Times New Roman"/>
      <w:color w:val="000000"/>
      <w:sz w:val="21"/>
      <w:szCs w:val="21"/>
      <w:u w:val="none"/>
    </w:rPr>
  </w:style>
  <w:style w:type="character" w:customStyle="1" w:styleId="73">
    <w:name w:val="font71"/>
    <w:basedOn w:val="29"/>
    <w:qFormat/>
    <w:uiPriority w:val="0"/>
    <w:rPr>
      <w:rFonts w:hint="eastAsia" w:ascii="宋体" w:hAnsi="宋体" w:eastAsia="宋体" w:cs="宋体"/>
      <w:b/>
      <w:bCs/>
      <w:color w:val="000000"/>
      <w:sz w:val="18"/>
      <w:szCs w:val="18"/>
      <w:u w:val="none"/>
    </w:rPr>
  </w:style>
  <w:style w:type="character" w:customStyle="1" w:styleId="74">
    <w:name w:val="font81"/>
    <w:basedOn w:val="29"/>
    <w:qFormat/>
    <w:uiPriority w:val="0"/>
    <w:rPr>
      <w:rFonts w:hint="eastAsia" w:ascii="宋体" w:hAnsi="宋体" w:eastAsia="宋体" w:cs="宋体"/>
      <w:color w:val="000000"/>
      <w:sz w:val="18"/>
      <w:szCs w:val="18"/>
      <w:u w:val="none"/>
    </w:rPr>
  </w:style>
  <w:style w:type="character" w:customStyle="1" w:styleId="75">
    <w:name w:val="font01"/>
    <w:basedOn w:val="29"/>
    <w:qFormat/>
    <w:uiPriority w:val="0"/>
    <w:rPr>
      <w:rFonts w:hint="default" w:ascii="Arial" w:hAnsi="Arial" w:cs="Arial"/>
      <w:color w:val="000000"/>
      <w:sz w:val="18"/>
      <w:szCs w:val="18"/>
      <w:u w:val="none"/>
    </w:rPr>
  </w:style>
  <w:style w:type="character" w:customStyle="1" w:styleId="76">
    <w:name w:val="font91"/>
    <w:basedOn w:val="29"/>
    <w:qFormat/>
    <w:uiPriority w:val="0"/>
    <w:rPr>
      <w:rFonts w:hint="eastAsia" w:ascii="宋体" w:hAnsi="宋体" w:eastAsia="宋体" w:cs="宋体"/>
      <w:color w:val="000000"/>
      <w:sz w:val="18"/>
      <w:szCs w:val="18"/>
      <w:u w:val="none"/>
    </w:rPr>
  </w:style>
  <w:style w:type="character" w:customStyle="1" w:styleId="77">
    <w:name w:val="font51"/>
    <w:qFormat/>
    <w:uiPriority w:val="0"/>
    <w:rPr>
      <w:rFonts w:hint="default" w:ascii="Times New Roman" w:hAnsi="Times New Roman" w:cs="Times New Roman"/>
      <w:b/>
      <w:color w:val="000000"/>
      <w:sz w:val="18"/>
      <w:szCs w:val="18"/>
      <w:u w:val="none"/>
    </w:rPr>
  </w:style>
  <w:style w:type="paragraph" w:styleId="78">
    <w:name w:val="List Paragraph"/>
    <w:basedOn w:val="1"/>
    <w:qFormat/>
    <w:uiPriority w:val="34"/>
    <w:pPr>
      <w:ind w:firstLine="420" w:firstLineChars="200"/>
    </w:pPr>
  </w:style>
  <w:style w:type="paragraph" w:customStyle="1" w:styleId="79">
    <w:name w:val="Default"/>
    <w:qFormat/>
    <w:uiPriority w:val="0"/>
    <w:pPr>
      <w:widowControl w:val="0"/>
      <w:autoSpaceDE w:val="0"/>
      <w:autoSpaceDN w:val="0"/>
      <w:adjustRightInd w:val="0"/>
    </w:pPr>
    <w:rPr>
      <w:rFonts w:ascii="Calibri" w:hAnsi="Calibri" w:eastAsia="宋体" w:cs="Calibri"/>
      <w:color w:val="000000"/>
      <w:sz w:val="24"/>
      <w:szCs w:val="24"/>
      <w:lang w:val="en-US" w:eastAsia="zh-CN" w:bidi="ar-SA"/>
    </w:rPr>
  </w:style>
  <w:style w:type="paragraph" w:customStyle="1" w:styleId="80">
    <w:name w:val="Title1"/>
    <w:basedOn w:val="1"/>
    <w:next w:val="1"/>
    <w:qFormat/>
    <w:uiPriority w:val="0"/>
    <w:pPr>
      <w:jc w:val="center"/>
      <w:outlineLvl w:val="0"/>
    </w:pPr>
    <w:rPr>
      <w:rFonts w:ascii="Calibri Light" w:hAnsi="Calibri Light" w:eastAsia="Arial Unicode MS"/>
      <w:b/>
    </w:rPr>
  </w:style>
  <w:style w:type="character" w:customStyle="1" w:styleId="81">
    <w:name w:val="not-pass-node"/>
    <w:basedOn w:val="29"/>
    <w:qFormat/>
    <w:uiPriority w:val="0"/>
    <w:rPr>
      <w:bdr w:val="single" w:color="5ABD6B" w:sz="6" w:space="0"/>
      <w:shd w:val="clear" w:color="auto" w:fill="BFF3C3"/>
    </w:rPr>
  </w:style>
  <w:style w:type="character" w:customStyle="1" w:styleId="82">
    <w:name w:val="ant-select-tree-iconele"/>
    <w:basedOn w:val="29"/>
    <w:qFormat/>
    <w:uiPriority w:val="0"/>
  </w:style>
  <w:style w:type="character" w:customStyle="1" w:styleId="83">
    <w:name w:val="disabled4"/>
    <w:basedOn w:val="29"/>
    <w:qFormat/>
    <w:uiPriority w:val="0"/>
    <w:rPr>
      <w:color w:val="AAAAAA"/>
      <w:shd w:val="clear" w:color="auto" w:fill="F7F7F7"/>
    </w:rPr>
  </w:style>
  <w:style w:type="character" w:customStyle="1" w:styleId="84">
    <w:name w:val="button"/>
    <w:basedOn w:val="29"/>
    <w:qFormat/>
    <w:uiPriority w:val="0"/>
  </w:style>
  <w:style w:type="character" w:customStyle="1" w:styleId="85">
    <w:name w:val="button1"/>
    <w:basedOn w:val="29"/>
    <w:qFormat/>
    <w:uiPriority w:val="0"/>
  </w:style>
  <w:style w:type="character" w:customStyle="1" w:styleId="86">
    <w:name w:val="label"/>
    <w:basedOn w:val="29"/>
    <w:qFormat/>
    <w:uiPriority w:val="0"/>
  </w:style>
  <w:style w:type="character" w:customStyle="1" w:styleId="87">
    <w:name w:val="label1"/>
    <w:basedOn w:val="29"/>
    <w:qFormat/>
    <w:uiPriority w:val="0"/>
  </w:style>
  <w:style w:type="character" w:customStyle="1" w:styleId="88">
    <w:name w:val="ant-radio+*"/>
    <w:basedOn w:val="29"/>
    <w:qFormat/>
    <w:uiPriority w:val="0"/>
  </w:style>
  <w:style w:type="character" w:customStyle="1" w:styleId="89">
    <w:name w:val="ant-select-tree-switcher"/>
    <w:basedOn w:val="29"/>
    <w:qFormat/>
    <w:uiPriority w:val="0"/>
  </w:style>
  <w:style w:type="character" w:customStyle="1" w:styleId="90">
    <w:name w:val="last-child1"/>
    <w:basedOn w:val="29"/>
    <w:qFormat/>
    <w:uiPriority w:val="0"/>
  </w:style>
  <w:style w:type="character" w:customStyle="1" w:styleId="91">
    <w:name w:val="ant-table-row-expand-icon"/>
    <w:basedOn w:val="29"/>
    <w:qFormat/>
    <w:uiPriority w:val="0"/>
    <w:rPr>
      <w:vanish/>
    </w:rPr>
  </w:style>
  <w:style w:type="character" w:customStyle="1" w:styleId="92">
    <w:name w:val="hover42"/>
    <w:basedOn w:val="29"/>
    <w:qFormat/>
    <w:uiPriority w:val="0"/>
    <w:rPr>
      <w:color w:val="009DFF"/>
    </w:rPr>
  </w:style>
  <w:style w:type="character" w:customStyle="1" w:styleId="93">
    <w:name w:val="hover43"/>
    <w:basedOn w:val="29"/>
    <w:qFormat/>
    <w:uiPriority w:val="0"/>
    <w:rPr>
      <w:color w:val="009DFF"/>
    </w:rPr>
  </w:style>
  <w:style w:type="character" w:customStyle="1" w:styleId="94">
    <w:name w:val="passed-node"/>
    <w:basedOn w:val="29"/>
    <w:qFormat/>
    <w:uiPriority w:val="0"/>
    <w:rPr>
      <w:bdr w:val="single" w:color="49A8D4" w:sz="6" w:space="0"/>
      <w:shd w:val="clear" w:color="auto" w:fill="A9E3FF"/>
    </w:rPr>
  </w:style>
  <w:style w:type="character" w:customStyle="1" w:styleId="95">
    <w:name w:val="current-node"/>
    <w:basedOn w:val="29"/>
    <w:qFormat/>
    <w:uiPriority w:val="0"/>
    <w:rPr>
      <w:bdr w:val="single" w:color="F5B87B" w:sz="6" w:space="0"/>
      <w:shd w:val="clear" w:color="auto" w:fill="FFE8CC"/>
    </w:rPr>
  </w:style>
  <w:style w:type="character" w:customStyle="1" w:styleId="96">
    <w:name w:val="auto-pass-node"/>
    <w:basedOn w:val="29"/>
    <w:qFormat/>
    <w:uiPriority w:val="0"/>
    <w:rPr>
      <w:bdr w:val="single" w:color="DC4446" w:sz="6" w:space="0"/>
      <w:shd w:val="clear" w:color="auto" w:fill="A9E2FF"/>
    </w:rPr>
  </w:style>
  <w:style w:type="character" w:customStyle="1" w:styleId="97">
    <w:name w:val="ant-select-tree-checkbox"/>
    <w:basedOn w:val="29"/>
    <w:qFormat/>
    <w:uiPriority w:val="0"/>
  </w:style>
  <w:style w:type="character" w:customStyle="1" w:styleId="98">
    <w:name w:val="wea-thumbnails-doc-content-subtitle"/>
    <w:basedOn w:val="29"/>
    <w:qFormat/>
    <w:uiPriority w:val="0"/>
    <w:rPr>
      <w:color w:val="9A9A9A"/>
    </w:rPr>
  </w:style>
  <w:style w:type="character" w:customStyle="1" w:styleId="99">
    <w:name w:val="nth-child(2)"/>
    <w:basedOn w:val="29"/>
    <w:qFormat/>
    <w:uiPriority w:val="0"/>
  </w:style>
  <w:style w:type="character" w:customStyle="1" w:styleId="100">
    <w:name w:val="tmpztreemove_arrow"/>
    <w:basedOn w:val="29"/>
    <w:qFormat/>
    <w:uiPriority w:val="0"/>
  </w:style>
  <w:style w:type="character" w:customStyle="1" w:styleId="101">
    <w:name w:val="ant-tree-iconele"/>
    <w:basedOn w:val="29"/>
    <w:qFormat/>
    <w:uiPriority w:val="0"/>
  </w:style>
  <w:style w:type="character" w:customStyle="1" w:styleId="102">
    <w:name w:val="first-of-type"/>
    <w:basedOn w:val="29"/>
    <w:qFormat/>
    <w:uiPriority w:val="0"/>
    <w:rPr>
      <w:color w:val="FF0000"/>
    </w:rPr>
  </w:style>
  <w:style w:type="character" w:customStyle="1" w:styleId="103">
    <w:name w:val="first-of-type1"/>
    <w:basedOn w:val="29"/>
    <w:qFormat/>
    <w:uiPriority w:val="0"/>
    <w:rPr>
      <w:color w:val="FF0000"/>
    </w:rPr>
  </w:style>
  <w:style w:type="character" w:customStyle="1" w:styleId="104">
    <w:name w:val="first-of-type2"/>
    <w:basedOn w:val="29"/>
    <w:qFormat/>
    <w:uiPriority w:val="0"/>
    <w:rPr>
      <w:color w:val="FF0000"/>
    </w:rPr>
  </w:style>
  <w:style w:type="character" w:customStyle="1" w:styleId="105">
    <w:name w:val="ant-tree-switcher16"/>
    <w:basedOn w:val="29"/>
    <w:qFormat/>
    <w:uiPriority w:val="0"/>
  </w:style>
  <w:style w:type="character" w:customStyle="1" w:styleId="106">
    <w:name w:val="ant-tree-checkbox5"/>
    <w:basedOn w:val="29"/>
    <w:qFormat/>
    <w:uiPriority w:val="0"/>
  </w:style>
  <w:style w:type="character" w:customStyle="1" w:styleId="107">
    <w:name w:val="first-child2"/>
    <w:basedOn w:val="29"/>
    <w:qFormat/>
    <w:uiPriority w:val="0"/>
    <w:rPr>
      <w:color w:val="999999"/>
      <w:sz w:val="33"/>
      <w:szCs w:val="33"/>
    </w:rPr>
  </w:style>
  <w:style w:type="character" w:customStyle="1" w:styleId="108">
    <w:name w:val="first-child3"/>
    <w:basedOn w:val="29"/>
    <w:qFormat/>
    <w:uiPriority w:val="0"/>
  </w:style>
  <w:style w:type="character" w:customStyle="1" w:styleId="109">
    <w:name w:val="first-child4"/>
    <w:basedOn w:val="29"/>
    <w:qFormat/>
    <w:uiPriority w:val="0"/>
  </w:style>
  <w:style w:type="character" w:customStyle="1" w:styleId="110">
    <w:name w:val="top-label"/>
    <w:basedOn w:val="29"/>
    <w:qFormat/>
    <w:uiPriority w:val="0"/>
  </w:style>
  <w:style w:type="character" w:customStyle="1" w:styleId="111">
    <w:name w:val="wea-dropdown-triangle2"/>
    <w:basedOn w:val="29"/>
    <w:qFormat/>
    <w:uiPriority w:val="0"/>
  </w:style>
  <w:style w:type="character" w:customStyle="1" w:styleId="112">
    <w:name w:val="isrevision"/>
    <w:basedOn w:val="29"/>
    <w:qFormat/>
    <w:uiPriority w:val="0"/>
    <w:rPr>
      <w:color w:val="000000"/>
      <w:sz w:val="18"/>
      <w:szCs w:val="18"/>
      <w:bdr w:val="single" w:color="E9E9E9" w:sz="6" w:space="0"/>
      <w:shd w:val="clear" w:color="auto" w:fill="FFFFFF"/>
    </w:rPr>
  </w:style>
  <w:style w:type="character" w:customStyle="1" w:styleId="113">
    <w:name w:val="first-child"/>
    <w:basedOn w:val="29"/>
    <w:qFormat/>
    <w:uiPriority w:val="0"/>
    <w:rPr>
      <w:color w:val="999999"/>
      <w:sz w:val="33"/>
      <w:szCs w:val="33"/>
    </w:rPr>
  </w:style>
  <w:style w:type="character" w:customStyle="1" w:styleId="114">
    <w:name w:val="first-child1"/>
    <w:basedOn w:val="29"/>
    <w:qFormat/>
    <w:uiPriority w:val="0"/>
  </w:style>
  <w:style w:type="character" w:customStyle="1" w:styleId="115">
    <w:name w:val="ant-select-tree-checkbox2"/>
    <w:basedOn w:val="29"/>
    <w:qFormat/>
    <w:uiPriority w:val="0"/>
  </w:style>
  <w:style w:type="character" w:customStyle="1" w:styleId="116">
    <w:name w:val="label16"/>
    <w:basedOn w:val="29"/>
    <w:qFormat/>
    <w:uiPriority w:val="0"/>
  </w:style>
  <w:style w:type="character" w:customStyle="1" w:styleId="117">
    <w:name w:val="label17"/>
    <w:basedOn w:val="29"/>
    <w:qFormat/>
    <w:uiPriority w:val="0"/>
  </w:style>
  <w:style w:type="character" w:customStyle="1" w:styleId="118">
    <w:name w:val="disabled"/>
    <w:basedOn w:val="29"/>
    <w:qFormat/>
    <w:uiPriority w:val="0"/>
    <w:rPr>
      <w:color w:val="AAAAAA"/>
      <w:shd w:val="clear" w:color="auto" w:fill="F7F7F7"/>
    </w:rPr>
  </w:style>
  <w:style w:type="character" w:customStyle="1" w:styleId="119">
    <w:name w:val="nth-child(2)2"/>
    <w:basedOn w:val="29"/>
    <w:qFormat/>
    <w:uiPriority w:val="0"/>
  </w:style>
  <w:style w:type="character" w:customStyle="1" w:styleId="120">
    <w:name w:val="ant-tree-checkbox6"/>
    <w:basedOn w:val="29"/>
    <w:qFormat/>
    <w:uiPriority w:val="0"/>
  </w:style>
  <w:style w:type="character" w:customStyle="1" w:styleId="121">
    <w:name w:val="hover40"/>
    <w:basedOn w:val="29"/>
    <w:qFormat/>
    <w:uiPriority w:val="0"/>
    <w:rPr>
      <w:color w:val="009DFF"/>
    </w:rPr>
  </w:style>
  <w:style w:type="character" w:customStyle="1" w:styleId="122">
    <w:name w:val="hover41"/>
    <w:basedOn w:val="29"/>
    <w:qFormat/>
    <w:uiPriority w:val="0"/>
    <w:rPr>
      <w:color w:val="009DFF"/>
    </w:rPr>
  </w:style>
  <w:style w:type="character" w:customStyle="1" w:styleId="123">
    <w:name w:val="last-child"/>
    <w:basedOn w:val="29"/>
    <w:qFormat/>
    <w:uiPriority w:val="0"/>
  </w:style>
  <w:style w:type="character" w:customStyle="1" w:styleId="124">
    <w:name w:val="wea-dropdown-triangle"/>
    <w:basedOn w:val="29"/>
    <w:qFormat/>
    <w:uiPriority w:val="0"/>
  </w:style>
  <w:style w:type="character" w:customStyle="1" w:styleId="125">
    <w:name w:val="ant-tree-checkbox"/>
    <w:basedOn w:val="29"/>
    <w:qFormat/>
    <w:uiPriority w:val="0"/>
  </w:style>
  <w:style w:type="character" w:customStyle="1" w:styleId="126">
    <w:name w:val="ant-table-row-expand-icon3"/>
    <w:basedOn w:val="29"/>
    <w:qFormat/>
    <w:uiPriority w:val="0"/>
    <w:rPr>
      <w:vanish/>
    </w:rPr>
  </w:style>
  <w:style w:type="character" w:customStyle="1" w:styleId="127">
    <w:name w:val="ant-table-row-expand-icon4"/>
    <w:basedOn w:val="29"/>
    <w:qFormat/>
    <w:uiPriority w:val="0"/>
    <w:rPr>
      <w:vanish/>
    </w:rPr>
  </w:style>
  <w:style w:type="character" w:customStyle="1" w:styleId="128">
    <w:name w:val="ant-tree-checkbox8"/>
    <w:basedOn w:val="29"/>
    <w:qFormat/>
    <w:uiPriority w:val="0"/>
  </w:style>
  <w:style w:type="character" w:customStyle="1" w:styleId="129">
    <w:name w:val="ant-tree-switcher"/>
    <w:basedOn w:val="29"/>
    <w:qFormat/>
    <w:uiPriority w:val="0"/>
  </w:style>
  <w:style w:type="character" w:customStyle="1" w:styleId="130">
    <w:name w:val="ant-tree-switcher15"/>
    <w:basedOn w:val="29"/>
    <w:qFormat/>
    <w:uiPriority w:val="0"/>
  </w:style>
  <w:style w:type="character" w:customStyle="1" w:styleId="131">
    <w:name w:val="ant-tree-switcher14"/>
    <w:basedOn w:val="29"/>
    <w:qFormat/>
    <w:uiPriority w:val="0"/>
  </w:style>
  <w:style w:type="character" w:customStyle="1" w:styleId="132">
    <w:name w:val="cke_path_empty2"/>
    <w:basedOn w:val="29"/>
    <w:qFormat/>
    <w:uiPriority w:val="0"/>
    <w:rPr>
      <w:b/>
      <w:bCs/>
      <w:color w:val="484848"/>
      <w:sz w:val="16"/>
      <w:szCs w:val="16"/>
      <w:u w:val="none"/>
    </w:rPr>
  </w:style>
  <w:style w:type="character" w:customStyle="1" w:styleId="133">
    <w:name w:val="cke_colorbox"/>
    <w:basedOn w:val="29"/>
    <w:qFormat/>
    <w:uiPriority w:val="0"/>
  </w:style>
  <w:style w:type="character" w:customStyle="1" w:styleId="134">
    <w:name w:val="cke_colorbox1"/>
    <w:basedOn w:val="29"/>
    <w:qFormat/>
    <w:uiPriority w:val="0"/>
  </w:style>
  <w:style w:type="character" w:customStyle="1" w:styleId="135">
    <w:name w:val="cke_colorbox2"/>
    <w:basedOn w:val="29"/>
    <w:qFormat/>
    <w:uiPriority w:val="0"/>
    <w:rPr>
      <w:bdr w:val="single" w:color="808080" w:sz="6" w:space="0"/>
    </w:rPr>
  </w:style>
  <w:style w:type="character" w:customStyle="1" w:styleId="136">
    <w:name w:val="cke_notification_progress"/>
    <w:basedOn w:val="29"/>
    <w:qFormat/>
    <w:uiPriority w:val="0"/>
    <w:rPr>
      <w:shd w:val="clear" w:color="auto" w:fill="0F74A8"/>
    </w:rPr>
  </w:style>
  <w:style w:type="character" w:customStyle="1" w:styleId="137">
    <w:name w:val="cke_dialog_ui_button2"/>
    <w:basedOn w:val="29"/>
    <w:qFormat/>
    <w:uiPriority w:val="0"/>
  </w:style>
  <w:style w:type="paragraph" w:customStyle="1" w:styleId="138">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39">
    <w:name w:val="正文缩进1"/>
    <w:basedOn w:val="1"/>
    <w:next w:val="12"/>
    <w:qFormat/>
    <w:uiPriority w:val="0"/>
    <w:pPr>
      <w:autoSpaceDE w:val="0"/>
      <w:autoSpaceDN w:val="0"/>
      <w:adjustRightInd w:val="0"/>
      <w:snapToGrid w:val="0"/>
      <w:spacing w:after="120" w:line="360" w:lineRule="auto"/>
      <w:ind w:left="420" w:leftChars="200" w:firstLine="480" w:firstLineChars="200"/>
    </w:pPr>
    <w:rPr>
      <w:sz w:val="24"/>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KWZB;</Company>
  <Pages>89</Pages>
  <Words>11129</Words>
  <Characters>11911</Characters>
  <Lines>719</Lines>
  <Paragraphs>202</Paragraphs>
  <TotalTime>0</TotalTime>
  <ScaleCrop>false</ScaleCrop>
  <LinksUpToDate>false</LinksUpToDate>
  <CharactersWithSpaces>12123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2026-07-28T05:14:00Z</dcterms:created>
  <dc:creator>KWZB</dc:creator>
  <cp:lastModifiedBy>代理机构</cp:lastModifiedBy>
  <cp:lastPrinted>2025-10-29T08:37:00Z</cp:lastPrinted>
  <dcterms:modified xsi:type="dcterms:W3CDTF">2026-09-10T09:26:33Z</dcterms:modified>
  <dc:title>竞争性谈判文件规范</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549D7D3786584572B5228EA3BB57A48A_13</vt:lpwstr>
  </property>
  <property fmtid="{D5CDD505-2E9C-101B-9397-08002B2CF9AE}" pid="4" name="KSOTemplateDocerSaveRecord">
    <vt:lpwstr>eyJoZGlkIjoiMWM0Y2ZlNTgyZDc5YzA2ODUyZDRlMzI4MjQ3YTNkZWQiLCJ1c2VySWQiOiIzMTU2NzE5NzIifQ==</vt:lpwstr>
  </property>
</Properties>
</file>