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3C13C">
      <w:pPr>
        <w:widowControl/>
        <w:spacing w:line="360" w:lineRule="auto"/>
        <w:jc w:val="center"/>
        <w:rPr>
          <w:rFonts w:hAnsi="宋体"/>
          <w:color w:val="auto"/>
          <w:kern w:val="0"/>
          <w:szCs w:val="21"/>
          <w:highlight w:val="none"/>
        </w:rPr>
      </w:pPr>
    </w:p>
    <w:p w14:paraId="06CCEAB8">
      <w:pPr>
        <w:widowControl/>
        <w:spacing w:line="360" w:lineRule="auto"/>
        <w:jc w:val="center"/>
        <w:rPr>
          <w:rFonts w:hAnsi="宋体"/>
          <w:color w:val="auto"/>
          <w:kern w:val="0"/>
          <w:szCs w:val="21"/>
          <w:highlight w:val="none"/>
        </w:rPr>
      </w:pPr>
      <w:r>
        <w:rPr>
          <w:rFonts w:hAnsi="宋体"/>
          <w:color w:val="auto"/>
          <w:kern w:val="0"/>
          <w:szCs w:val="21"/>
          <w:highlight w:val="none"/>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151765</wp:posOffset>
            </wp:positionV>
            <wp:extent cx="5419725" cy="1200150"/>
            <wp:effectExtent l="0" t="0" r="9525" b="0"/>
            <wp:wrapNone/>
            <wp:docPr id="5" name="图片 2" descr="I:\03★工作★（硬盘）\2018年项目-2022年项目-招标\5、2022年项目\（2.28投标入库）南宁轨道地产集团有限责任公司2022-2025年招标代理服务\招标公司-名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03★工作★（硬盘）\2018年项目-2022年项目-招标\5、2022年项目\（2.28投标入库）南宁轨道地产集团有限责任公司2022-2025年招标代理服务\招标公司-名称.png"/>
                    <pic:cNvPicPr>
                      <a:picLocks noChangeAspect="1"/>
                    </pic:cNvPicPr>
                  </pic:nvPicPr>
                  <pic:blipFill>
                    <a:blip r:embed="rId11"/>
                    <a:srcRect r="6451"/>
                    <a:stretch>
                      <a:fillRect/>
                    </a:stretch>
                  </pic:blipFill>
                  <pic:spPr>
                    <a:xfrm>
                      <a:off x="0" y="0"/>
                      <a:ext cx="5419725" cy="1200150"/>
                    </a:xfrm>
                    <a:prstGeom prst="rect">
                      <a:avLst/>
                    </a:prstGeom>
                    <a:noFill/>
                    <a:ln>
                      <a:noFill/>
                    </a:ln>
                  </pic:spPr>
                </pic:pic>
              </a:graphicData>
            </a:graphic>
          </wp:anchor>
        </w:drawing>
      </w:r>
    </w:p>
    <w:p w14:paraId="108265F6">
      <w:pPr>
        <w:widowControl/>
        <w:spacing w:line="360" w:lineRule="auto"/>
        <w:jc w:val="center"/>
        <w:rPr>
          <w:rFonts w:hAnsi="宋体"/>
          <w:color w:val="auto"/>
          <w:kern w:val="0"/>
          <w:szCs w:val="21"/>
          <w:highlight w:val="none"/>
        </w:rPr>
      </w:pPr>
    </w:p>
    <w:p w14:paraId="28B37D07">
      <w:pPr>
        <w:spacing w:line="360" w:lineRule="auto"/>
        <w:jc w:val="center"/>
        <w:rPr>
          <w:rFonts w:ascii="宋体" w:hAnsi="宋体"/>
          <w:b/>
          <w:color w:val="auto"/>
          <w:kern w:val="0"/>
          <w:sz w:val="44"/>
          <w:szCs w:val="44"/>
          <w:highlight w:val="none"/>
        </w:rPr>
      </w:pPr>
    </w:p>
    <w:p w14:paraId="0D5D658E">
      <w:pPr>
        <w:spacing w:line="360" w:lineRule="auto"/>
        <w:jc w:val="center"/>
        <w:rPr>
          <w:rFonts w:ascii="宋体" w:hAnsi="宋体"/>
          <w:b/>
          <w:color w:val="auto"/>
          <w:kern w:val="0"/>
          <w:sz w:val="44"/>
          <w:szCs w:val="44"/>
          <w:highlight w:val="none"/>
        </w:rPr>
      </w:pPr>
    </w:p>
    <w:p w14:paraId="6E43ED5B">
      <w:pPr>
        <w:spacing w:after="159" w:afterLines="50" w:line="360" w:lineRule="auto"/>
        <w:jc w:val="center"/>
        <w:rPr>
          <w:rFonts w:ascii="宋体" w:hAnsi="宋体"/>
          <w:b/>
          <w:color w:val="auto"/>
          <w:kern w:val="0"/>
          <w:sz w:val="44"/>
          <w:szCs w:val="44"/>
          <w:highlight w:val="none"/>
        </w:rPr>
      </w:pPr>
      <w:r>
        <w:rPr>
          <w:rFonts w:hint="eastAsia" w:ascii="宋体" w:hAnsi="宋体"/>
          <w:b/>
          <w:color w:val="auto"/>
          <w:kern w:val="0"/>
          <w:sz w:val="44"/>
          <w:szCs w:val="44"/>
          <w:highlight w:val="none"/>
        </w:rPr>
        <w:t>广西壮族自治区政府采购</w:t>
      </w:r>
    </w:p>
    <w:p w14:paraId="4B4E1E35">
      <w:pPr>
        <w:spacing w:before="120" w:line="360" w:lineRule="auto"/>
        <w:jc w:val="center"/>
        <w:rPr>
          <w:rFonts w:ascii="宋体" w:hAnsi="宋体"/>
          <w:b/>
          <w:color w:val="auto"/>
          <w:spacing w:val="20"/>
          <w:sz w:val="72"/>
          <w:szCs w:val="72"/>
          <w:highlight w:val="none"/>
        </w:rPr>
      </w:pPr>
      <w:r>
        <w:rPr>
          <w:color w:val="auto"/>
          <w:kern w:val="0"/>
          <w:sz w:val="20"/>
          <w:szCs w:val="21"/>
          <w:highlight w:val="none"/>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1270</wp:posOffset>
                </wp:positionV>
                <wp:extent cx="5209540" cy="0"/>
                <wp:effectExtent l="0" t="28575" r="10160" b="28575"/>
                <wp:wrapNone/>
                <wp:docPr id="6" name="直接箭头连接符 6"/>
                <wp:cNvGraphicFramePr/>
                <a:graphic xmlns:a="http://schemas.openxmlformats.org/drawingml/2006/main">
                  <a:graphicData uri="http://schemas.microsoft.com/office/word/2010/wordprocessingShape">
                    <wps:wsp>
                      <wps:cNvCnPr>
                        <a:cxnSpLocks noChangeShapeType="1"/>
                      </wps:cNvCnPr>
                      <wps:spPr bwMode="auto">
                        <a:xfrm>
                          <a:off x="0" y="0"/>
                          <a:ext cx="5209540" cy="0"/>
                        </a:xfrm>
                        <a:prstGeom prst="straightConnector1">
                          <a:avLst/>
                        </a:prstGeom>
                        <a:noFill/>
                        <a:ln w="57150" cmpd="thinThick">
                          <a:solidFill>
                            <a:srgbClr val="000000"/>
                          </a:solidFill>
                          <a:round/>
                        </a:ln>
                        <a:effectLst/>
                      </wps:spPr>
                      <wps:bodyPr/>
                    </wps:wsp>
                  </a:graphicData>
                </a:graphic>
              </wp:anchor>
            </w:drawing>
          </mc:Choice>
          <mc:Fallback>
            <w:pict>
              <v:shape id="_x0000_s1026" o:spid="_x0000_s1026" o:spt="32" type="#_x0000_t32" style="position:absolute;left:0pt;margin-left:27pt;margin-top:0.1pt;height:0pt;width:410.2pt;z-index:251662336;mso-width-relative:page;mso-height-relative:page;" filled="f" stroked="t" coordsize="21600,21600" o:gfxdata="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apC/b0QAAAAQBAAAPAAAAAAAAAAEAIAAAACIAAABkcnMvZG93bnJl&#10;di54bWxQSwECFAAUAAAACACHTuJA15xNNwQCAADeAwAADgAAAAAAAAABACAAAAAgAQAAZHJzL2Uy&#10;b0RvYy54bWxQSwUGAAAAAAYABgBZAQAAlgUAAAAA&#10;">
                <v:fill on="f" focussize="0,0"/>
                <v:stroke weight="4.5pt" color="#000000" linestyle="thinThick" joinstyle="round"/>
                <v:imagedata o:title=""/>
                <o:lock v:ext="edit" aspectratio="f"/>
              </v:shape>
            </w:pict>
          </mc:Fallback>
        </mc:AlternateContent>
      </w:r>
      <w:r>
        <w:rPr>
          <w:rFonts w:hint="eastAsia" w:ascii="宋体" w:hAnsi="宋体"/>
          <w:b/>
          <w:color w:val="auto"/>
          <w:spacing w:val="20"/>
          <w:sz w:val="72"/>
          <w:szCs w:val="72"/>
          <w:highlight w:val="none"/>
        </w:rPr>
        <w:t>竞争性谈判采购文件</w:t>
      </w:r>
    </w:p>
    <w:p w14:paraId="7304512A">
      <w:pPr>
        <w:jc w:val="center"/>
        <w:rPr>
          <w:rFonts w:ascii="宋体" w:hAnsi="宋体"/>
          <w:b/>
          <w:color w:val="auto"/>
          <w:sz w:val="40"/>
          <w:szCs w:val="32"/>
          <w:highlight w:val="none"/>
        </w:rPr>
      </w:pPr>
      <w:r>
        <w:rPr>
          <w:rFonts w:hint="eastAsia" w:ascii="宋体" w:hAnsi="宋体"/>
          <w:b/>
          <w:color w:val="auto"/>
          <w:sz w:val="40"/>
          <w:szCs w:val="32"/>
          <w:highlight w:val="none"/>
        </w:rPr>
        <w:t>（货物类）</w:t>
      </w:r>
    </w:p>
    <w:p w14:paraId="5ED36A33">
      <w:pPr>
        <w:jc w:val="center"/>
        <w:rPr>
          <w:rFonts w:ascii="宋体" w:hAnsi="宋体"/>
          <w:color w:val="auto"/>
          <w:sz w:val="40"/>
          <w:szCs w:val="32"/>
          <w:highlight w:val="none"/>
        </w:rPr>
      </w:pPr>
    </w:p>
    <w:p w14:paraId="7465A4CE">
      <w:pPr>
        <w:jc w:val="center"/>
        <w:rPr>
          <w:rFonts w:ascii="宋体" w:hAnsi="宋体"/>
          <w:color w:val="auto"/>
          <w:sz w:val="40"/>
          <w:szCs w:val="32"/>
          <w:highlight w:val="none"/>
        </w:rPr>
      </w:pPr>
      <w:r>
        <w:rPr>
          <w:rFonts w:hint="eastAsia" w:ascii="宋体" w:hAnsi="宋体"/>
          <w:color w:val="auto"/>
          <w:sz w:val="40"/>
          <w:szCs w:val="32"/>
          <w:highlight w:val="none"/>
        </w:rPr>
        <w:t>（全流程电子化评标）</w:t>
      </w:r>
    </w:p>
    <w:p w14:paraId="26C7FAFE">
      <w:pPr>
        <w:spacing w:line="360" w:lineRule="auto"/>
        <w:jc w:val="center"/>
        <w:rPr>
          <w:rFonts w:ascii="宋体" w:hAnsi="宋体"/>
          <w:b/>
          <w:color w:val="auto"/>
          <w:sz w:val="32"/>
          <w:szCs w:val="32"/>
          <w:highlight w:val="none"/>
        </w:rPr>
      </w:pPr>
    </w:p>
    <w:p w14:paraId="786FDD59">
      <w:pPr>
        <w:spacing w:before="120" w:line="360" w:lineRule="auto"/>
        <w:ind w:left="2866" w:leftChars="600" w:hanging="1606" w:hangingChars="500"/>
        <w:jc w:val="left"/>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项目名称：</w:t>
      </w:r>
      <w:r>
        <w:rPr>
          <w:rFonts w:hint="eastAsia" w:ascii="宋体" w:hAnsi="宋体"/>
          <w:b/>
          <w:color w:val="auto"/>
          <w:sz w:val="32"/>
          <w:szCs w:val="32"/>
          <w:highlight w:val="none"/>
          <w:lang w:eastAsia="zh-CN"/>
        </w:rPr>
        <w:t>智能硬件检测、维修与开发实训室</w:t>
      </w:r>
    </w:p>
    <w:p w14:paraId="00F9CD01">
      <w:pPr>
        <w:spacing w:before="120" w:line="360" w:lineRule="auto"/>
        <w:ind w:left="1260" w:leftChars="600"/>
        <w:jc w:val="left"/>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项目编号：</w:t>
      </w:r>
      <w:bookmarkStart w:id="38" w:name="_GoBack"/>
      <w:bookmarkEnd w:id="38"/>
      <w:r>
        <w:rPr>
          <w:rFonts w:hint="eastAsia" w:ascii="宋体" w:hAnsi="宋体"/>
          <w:b/>
          <w:color w:val="auto"/>
          <w:sz w:val="32"/>
          <w:szCs w:val="32"/>
          <w:highlight w:val="none"/>
          <w:lang w:eastAsia="zh-CN"/>
        </w:rPr>
        <w:t>GXZC2026-J1-003209-JGJD</w:t>
      </w:r>
    </w:p>
    <w:p w14:paraId="446BB13E">
      <w:pPr>
        <w:snapToGrid w:val="0"/>
        <w:spacing w:before="120" w:after="120" w:line="360" w:lineRule="auto"/>
        <w:rPr>
          <w:rFonts w:ascii="宋体" w:hAnsi="宋体"/>
          <w:b/>
          <w:bCs/>
          <w:color w:val="auto"/>
          <w:w w:val="95"/>
          <w:sz w:val="30"/>
          <w:szCs w:val="30"/>
          <w:highlight w:val="none"/>
        </w:rPr>
      </w:pPr>
    </w:p>
    <w:p w14:paraId="65E2319D">
      <w:pPr>
        <w:snapToGrid w:val="0"/>
        <w:spacing w:before="120" w:after="120" w:line="360" w:lineRule="auto"/>
        <w:rPr>
          <w:rFonts w:ascii="宋体" w:hAnsi="宋体"/>
          <w:b/>
          <w:bCs/>
          <w:color w:val="auto"/>
          <w:w w:val="95"/>
          <w:sz w:val="30"/>
          <w:szCs w:val="30"/>
          <w:highlight w:val="none"/>
        </w:rPr>
      </w:pPr>
    </w:p>
    <w:p w14:paraId="1EA21A86">
      <w:pPr>
        <w:spacing w:line="360" w:lineRule="auto"/>
        <w:ind w:firstLine="643" w:firstLineChars="200"/>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采购单位：</w:t>
      </w:r>
      <w:r>
        <w:rPr>
          <w:rFonts w:hint="eastAsia" w:ascii="宋体" w:hAnsi="宋体"/>
          <w:b/>
          <w:color w:val="auto"/>
          <w:sz w:val="32"/>
          <w:szCs w:val="32"/>
          <w:highlight w:val="none"/>
          <w:lang w:eastAsia="zh-CN"/>
        </w:rPr>
        <w:t xml:space="preserve"> 广西信息职业技术学院</w:t>
      </w:r>
    </w:p>
    <w:p w14:paraId="7E7560D7">
      <w:pPr>
        <w:spacing w:line="600" w:lineRule="auto"/>
        <w:ind w:firstLine="1043" w:firstLineChars="200"/>
        <w:rPr>
          <w:rFonts w:ascii="宋体" w:hAnsi="宋体"/>
          <w:b/>
          <w:color w:val="auto"/>
          <w:sz w:val="32"/>
          <w:szCs w:val="32"/>
          <w:highlight w:val="none"/>
        </w:rPr>
      </w:pPr>
      <w:r>
        <w:rPr>
          <w:rFonts w:ascii="宋体" w:hAnsi="宋体"/>
          <w:b/>
          <w:color w:val="auto"/>
          <w:spacing w:val="100"/>
          <w:sz w:val="32"/>
          <w:szCs w:val="32"/>
          <w:highlight w:val="none"/>
        </w:rPr>
        <mc:AlternateContent>
          <mc:Choice Requires="wps">
            <w:drawing>
              <wp:anchor distT="0" distB="0" distL="114300" distR="114300" simplePos="0" relativeHeight="251661312" behindDoc="0" locked="0" layoutInCell="1" allowOverlap="1">
                <wp:simplePos x="0" y="0"/>
                <wp:positionH relativeFrom="column">
                  <wp:posOffset>304800</wp:posOffset>
                </wp:positionH>
                <wp:positionV relativeFrom="paragraph">
                  <wp:posOffset>464185</wp:posOffset>
                </wp:positionV>
                <wp:extent cx="5257800" cy="0"/>
                <wp:effectExtent l="0" t="28575" r="0" b="2857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57150" cmpd="thinThick">
                          <a:solidFill>
                            <a:srgbClr val="000000"/>
                          </a:solidFill>
                          <a:round/>
                        </a:ln>
                        <a:effectLst/>
                      </wps:spPr>
                      <wps:bodyPr/>
                    </wps:wsp>
                  </a:graphicData>
                </a:graphic>
              </wp:anchor>
            </w:drawing>
          </mc:Choice>
          <mc:Fallback>
            <w:pict>
              <v:line id="_x0000_s1026" o:spid="_x0000_s1026" o:spt="20" style="position:absolute;left:0pt;margin-left:24pt;margin-top:36.55pt;height:0pt;width:414pt;z-index:251661312;mso-width-relative:page;mso-height-relative:page;" filled="f" stroked="t" coordsize="21600,21600" o:gfxdata="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We25a2AAAAAgBAAAPAAAAAAAAAAEAIAAAACIAAABkcnMvZG93bnJldi54bWxQSwEC&#10;FAAUAAAACACHTuJA3vSUb/QBAADKAwAADgAAAAAAAAABACAAAAAnAQAAZHJzL2Uyb0RvYy54bWxQ&#10;SwUGAAAAAAYABgBZAQAAjQUAAAAA&#10;">
                <v:fill on="f" focussize="0,0"/>
                <v:stroke weight="4.5pt" color="#000000" linestyle="thinThick" joinstyle="round"/>
                <v:imagedata o:title=""/>
                <o:lock v:ext="edit" aspectratio="f"/>
              </v:line>
            </w:pict>
          </mc:Fallback>
        </mc:AlternateContent>
      </w:r>
      <w:r>
        <w:rPr>
          <w:rFonts w:hint="eastAsia" w:ascii="宋体" w:hAnsi="宋体"/>
          <w:b/>
          <w:color w:val="auto"/>
          <w:sz w:val="32"/>
          <w:szCs w:val="32"/>
          <w:highlight w:val="none"/>
        </w:rPr>
        <w:t>采购代理机构：广西建设工程机电设备招标中心有限公司</w:t>
      </w:r>
    </w:p>
    <w:p w14:paraId="578859E7">
      <w:pPr>
        <w:pStyle w:val="14"/>
        <w:jc w:val="center"/>
        <w:rPr>
          <w:rFonts w:hAnsi="宋体" w:cs="宋体"/>
          <w:b/>
          <w:bCs/>
          <w:color w:val="auto"/>
          <w:sz w:val="72"/>
          <w:szCs w:val="72"/>
          <w:highlight w:val="none"/>
        </w:rPr>
      </w:pPr>
      <w:r>
        <w:rPr>
          <w:rFonts w:hAnsi="宋体"/>
          <w:b/>
          <w:color w:val="auto"/>
          <w:sz w:val="32"/>
          <w:szCs w:val="32"/>
          <w:highlight w:val="none"/>
        </w:rPr>
        <w:t>日期：</w:t>
      </w:r>
      <w:r>
        <w:rPr>
          <w:rFonts w:hint="eastAsia" w:hAnsi="宋体"/>
          <w:b/>
          <w:color w:val="auto"/>
          <w:sz w:val="32"/>
          <w:szCs w:val="32"/>
          <w:highlight w:val="none"/>
        </w:rPr>
        <w:t>2026年</w:t>
      </w:r>
      <w:r>
        <w:rPr>
          <w:rFonts w:hint="eastAsia" w:hAnsi="宋体"/>
          <w:b/>
          <w:color w:val="auto"/>
          <w:sz w:val="32"/>
          <w:szCs w:val="32"/>
          <w:highlight w:val="none"/>
          <w:lang w:val="en-US" w:eastAsia="zh-CN"/>
        </w:rPr>
        <w:t>9</w:t>
      </w:r>
      <w:r>
        <w:rPr>
          <w:rFonts w:hint="eastAsia" w:hAnsi="宋体"/>
          <w:b/>
          <w:color w:val="auto"/>
          <w:sz w:val="32"/>
          <w:szCs w:val="32"/>
          <w:highlight w:val="none"/>
        </w:rPr>
        <w:t>月</w:t>
      </w:r>
      <w:r>
        <w:rPr>
          <w:rFonts w:hint="eastAsia" w:hAnsi="宋体"/>
          <w:b/>
          <w:color w:val="auto"/>
          <w:sz w:val="32"/>
          <w:szCs w:val="32"/>
          <w:highlight w:val="none"/>
          <w:lang w:val="en-US" w:eastAsia="zh-CN"/>
        </w:rPr>
        <w:t>24</w:t>
      </w:r>
      <w:r>
        <w:rPr>
          <w:rFonts w:hint="eastAsia" w:hAnsi="宋体"/>
          <w:b/>
          <w:color w:val="auto"/>
          <w:sz w:val="32"/>
          <w:szCs w:val="32"/>
          <w:highlight w:val="none"/>
        </w:rPr>
        <w:t>日</w:t>
      </w:r>
    </w:p>
    <w:p w14:paraId="5B19599B">
      <w:pPr>
        <w:pStyle w:val="14"/>
        <w:jc w:val="center"/>
        <w:rPr>
          <w:rFonts w:hAnsi="宋体" w:cs="宋体"/>
          <w:color w:val="auto"/>
          <w:highlight w:val="none"/>
        </w:rPr>
        <w:sectPr>
          <w:headerReference r:id="rId3" w:type="default"/>
          <w:footerReference r:id="rId4" w:type="default"/>
          <w:footerReference r:id="rId5" w:type="even"/>
          <w:pgSz w:w="11905" w:h="16838"/>
          <w:pgMar w:top="1417" w:right="1417" w:bottom="1417" w:left="1417" w:header="850" w:footer="992" w:gutter="0"/>
          <w:pgNumType w:start="0"/>
          <w:cols w:space="720" w:num="1"/>
          <w:titlePg/>
          <w:docGrid w:type="lines" w:linePitch="318" w:charSpace="0"/>
        </w:sectPr>
      </w:pPr>
      <w:r>
        <w:rPr>
          <w:rFonts w:hAnsi="宋体" w:cs="宋体"/>
          <w:b/>
          <w:color w:val="auto"/>
          <w:sz w:val="30"/>
          <w:szCs w:val="72"/>
          <w:highlight w:val="none"/>
        </w:rPr>
        <w:t xml:space="preserve"> </w:t>
      </w:r>
    </w:p>
    <w:p w14:paraId="78260CF2">
      <w:pPr>
        <w:spacing w:line="360" w:lineRule="auto"/>
        <w:rPr>
          <w:rFonts w:ascii="宋体" w:hAnsi="宋体" w:cs="宋体"/>
          <w:b/>
          <w:color w:val="auto"/>
          <w:sz w:val="44"/>
          <w:szCs w:val="44"/>
          <w:highlight w:val="none"/>
        </w:rPr>
      </w:pPr>
    </w:p>
    <w:p w14:paraId="4BA57C1F">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目  录</w:t>
      </w:r>
    </w:p>
    <w:p w14:paraId="740C94A5">
      <w:pPr>
        <w:spacing w:line="400" w:lineRule="atLeast"/>
        <w:jc w:val="center"/>
        <w:rPr>
          <w:rFonts w:ascii="宋体" w:hAnsi="宋体" w:cs="宋体"/>
          <w:b/>
          <w:color w:val="auto"/>
          <w:sz w:val="28"/>
          <w:szCs w:val="28"/>
          <w:highlight w:val="none"/>
        </w:rPr>
      </w:pPr>
    </w:p>
    <w:p w14:paraId="7D237FCE">
      <w:pPr>
        <w:pStyle w:val="19"/>
        <w:tabs>
          <w:tab w:val="right" w:leader="dot" w:pos="9071"/>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TOC \o "1-3" \h \z \u </w:instrText>
      </w:r>
      <w:r>
        <w:rPr>
          <w:rFonts w:hint="eastAsia" w:ascii="宋体" w:hAnsi="宋体" w:cs="宋体"/>
          <w:b/>
          <w:bCs/>
          <w:color w:val="auto"/>
          <w:sz w:val="28"/>
          <w:szCs w:val="28"/>
          <w:highlight w:val="none"/>
        </w:rPr>
        <w:fldChar w:fldCharType="separate"/>
      </w:r>
      <w:r>
        <w:rPr>
          <w:color w:val="auto"/>
          <w:highlight w:val="none"/>
        </w:rPr>
        <w:fldChar w:fldCharType="begin"/>
      </w:r>
      <w:r>
        <w:rPr>
          <w:color w:val="auto"/>
          <w:highlight w:val="none"/>
        </w:rPr>
        <w:instrText xml:space="preserve"> HYPERLINK \l "_Toc31914" </w:instrText>
      </w:r>
      <w:r>
        <w:rPr>
          <w:color w:val="auto"/>
          <w:highlight w:val="none"/>
        </w:rPr>
        <w:fldChar w:fldCharType="separate"/>
      </w:r>
      <w:r>
        <w:rPr>
          <w:rFonts w:ascii="宋体" w:hAnsi="宋体" w:cs="宋体"/>
          <w:b/>
          <w:bCs/>
          <w:color w:val="auto"/>
          <w:sz w:val="28"/>
          <w:szCs w:val="28"/>
          <w:highlight w:val="none"/>
        </w:rPr>
        <w:t xml:space="preserve">第一章 </w:t>
      </w:r>
      <w:r>
        <w:rPr>
          <w:rFonts w:hint="eastAsia" w:ascii="宋体" w:hAnsi="宋体" w:cs="宋体"/>
          <w:b/>
          <w:bCs/>
          <w:color w:val="auto"/>
          <w:sz w:val="28"/>
          <w:szCs w:val="28"/>
          <w:highlight w:val="none"/>
        </w:rPr>
        <w:t>竞争性谈判公告</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_Toc31914 \h </w:instrText>
      </w:r>
      <w:r>
        <w:rPr>
          <w:b/>
          <w:bCs/>
          <w:color w:val="auto"/>
          <w:sz w:val="28"/>
          <w:szCs w:val="28"/>
          <w:highlight w:val="none"/>
        </w:rPr>
        <w:fldChar w:fldCharType="separate"/>
      </w:r>
      <w:r>
        <w:rPr>
          <w:b/>
          <w:bCs/>
          <w:color w:val="auto"/>
          <w:sz w:val="28"/>
          <w:szCs w:val="28"/>
          <w:highlight w:val="none"/>
        </w:rPr>
        <w:t>1</w:t>
      </w:r>
      <w:r>
        <w:rPr>
          <w:b/>
          <w:bCs/>
          <w:color w:val="auto"/>
          <w:sz w:val="28"/>
          <w:szCs w:val="28"/>
          <w:highlight w:val="none"/>
        </w:rPr>
        <w:fldChar w:fldCharType="end"/>
      </w:r>
      <w:r>
        <w:rPr>
          <w:b/>
          <w:bCs/>
          <w:color w:val="auto"/>
          <w:sz w:val="28"/>
          <w:szCs w:val="28"/>
          <w:highlight w:val="none"/>
        </w:rPr>
        <w:fldChar w:fldCharType="end"/>
      </w:r>
    </w:p>
    <w:p w14:paraId="6E6BFC2E">
      <w:pPr>
        <w:pStyle w:val="19"/>
        <w:tabs>
          <w:tab w:val="right" w:leader="dot" w:pos="9071"/>
        </w:tabs>
        <w:rPr>
          <w:b/>
          <w:bCs/>
          <w:color w:val="auto"/>
          <w:sz w:val="28"/>
          <w:szCs w:val="28"/>
          <w:highlight w:val="none"/>
        </w:rPr>
      </w:pPr>
      <w:r>
        <w:rPr>
          <w:color w:val="auto"/>
          <w:highlight w:val="none"/>
        </w:rPr>
        <w:fldChar w:fldCharType="begin"/>
      </w:r>
      <w:r>
        <w:rPr>
          <w:color w:val="auto"/>
          <w:highlight w:val="none"/>
        </w:rPr>
        <w:instrText xml:space="preserve"> HYPERLINK \l "_Toc26488" </w:instrText>
      </w:r>
      <w:r>
        <w:rPr>
          <w:color w:val="auto"/>
          <w:highlight w:val="none"/>
        </w:rPr>
        <w:fldChar w:fldCharType="separate"/>
      </w:r>
      <w:r>
        <w:rPr>
          <w:rFonts w:hint="eastAsia" w:ascii="宋体" w:hAnsi="宋体" w:cs="宋体"/>
          <w:b/>
          <w:bCs/>
          <w:color w:val="auto"/>
          <w:kern w:val="44"/>
          <w:sz w:val="28"/>
          <w:szCs w:val="28"/>
          <w:highlight w:val="none"/>
        </w:rPr>
        <w:t>第二章 供应商须知</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_Toc26488 \h </w:instrText>
      </w:r>
      <w:r>
        <w:rPr>
          <w:b/>
          <w:bCs/>
          <w:color w:val="auto"/>
          <w:sz w:val="28"/>
          <w:szCs w:val="28"/>
          <w:highlight w:val="none"/>
        </w:rPr>
        <w:fldChar w:fldCharType="separate"/>
      </w:r>
      <w:r>
        <w:rPr>
          <w:b/>
          <w:bCs/>
          <w:color w:val="auto"/>
          <w:sz w:val="28"/>
          <w:szCs w:val="28"/>
          <w:highlight w:val="none"/>
        </w:rPr>
        <w:t>4</w:t>
      </w:r>
      <w:r>
        <w:rPr>
          <w:b/>
          <w:bCs/>
          <w:color w:val="auto"/>
          <w:sz w:val="28"/>
          <w:szCs w:val="28"/>
          <w:highlight w:val="none"/>
        </w:rPr>
        <w:fldChar w:fldCharType="end"/>
      </w:r>
      <w:r>
        <w:rPr>
          <w:b/>
          <w:bCs/>
          <w:color w:val="auto"/>
          <w:sz w:val="28"/>
          <w:szCs w:val="28"/>
          <w:highlight w:val="none"/>
        </w:rPr>
        <w:fldChar w:fldCharType="end"/>
      </w:r>
    </w:p>
    <w:p w14:paraId="6C0A231D">
      <w:pPr>
        <w:pStyle w:val="19"/>
        <w:tabs>
          <w:tab w:val="right" w:leader="dot" w:pos="9071"/>
        </w:tabs>
        <w:rPr>
          <w:b/>
          <w:bCs/>
          <w:color w:val="auto"/>
          <w:sz w:val="28"/>
          <w:szCs w:val="28"/>
          <w:highlight w:val="none"/>
        </w:rPr>
      </w:pPr>
      <w:r>
        <w:rPr>
          <w:color w:val="auto"/>
          <w:highlight w:val="none"/>
        </w:rPr>
        <w:fldChar w:fldCharType="begin"/>
      </w:r>
      <w:r>
        <w:rPr>
          <w:color w:val="auto"/>
          <w:highlight w:val="none"/>
        </w:rPr>
        <w:instrText xml:space="preserve"> HYPERLINK \l "_Toc27583" </w:instrText>
      </w:r>
      <w:r>
        <w:rPr>
          <w:color w:val="auto"/>
          <w:highlight w:val="none"/>
        </w:rPr>
        <w:fldChar w:fldCharType="separate"/>
      </w:r>
      <w:r>
        <w:rPr>
          <w:rFonts w:hint="eastAsia" w:ascii="宋体" w:hAnsi="宋体" w:cs="宋体"/>
          <w:b/>
          <w:bCs/>
          <w:color w:val="auto"/>
          <w:sz w:val="28"/>
          <w:szCs w:val="28"/>
          <w:highlight w:val="none"/>
        </w:rPr>
        <w:t>第三章 采购需求</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_Toc27583 \h </w:instrText>
      </w:r>
      <w:r>
        <w:rPr>
          <w:b/>
          <w:bCs/>
          <w:color w:val="auto"/>
          <w:sz w:val="28"/>
          <w:szCs w:val="28"/>
          <w:highlight w:val="none"/>
        </w:rPr>
        <w:fldChar w:fldCharType="separate"/>
      </w:r>
      <w:r>
        <w:rPr>
          <w:b/>
          <w:bCs/>
          <w:color w:val="auto"/>
          <w:sz w:val="28"/>
          <w:szCs w:val="28"/>
          <w:highlight w:val="none"/>
        </w:rPr>
        <w:t>30</w:t>
      </w:r>
      <w:r>
        <w:rPr>
          <w:b/>
          <w:bCs/>
          <w:color w:val="auto"/>
          <w:sz w:val="28"/>
          <w:szCs w:val="28"/>
          <w:highlight w:val="none"/>
        </w:rPr>
        <w:fldChar w:fldCharType="end"/>
      </w:r>
      <w:r>
        <w:rPr>
          <w:b/>
          <w:bCs/>
          <w:color w:val="auto"/>
          <w:sz w:val="28"/>
          <w:szCs w:val="28"/>
          <w:highlight w:val="none"/>
        </w:rPr>
        <w:fldChar w:fldCharType="end"/>
      </w:r>
    </w:p>
    <w:p w14:paraId="56FD5C54">
      <w:pPr>
        <w:pStyle w:val="19"/>
        <w:tabs>
          <w:tab w:val="right" w:leader="dot" w:pos="9071"/>
        </w:tabs>
        <w:rPr>
          <w:b/>
          <w:bCs/>
          <w:color w:val="auto"/>
          <w:sz w:val="28"/>
          <w:szCs w:val="28"/>
          <w:highlight w:val="none"/>
        </w:rPr>
      </w:pPr>
      <w:r>
        <w:rPr>
          <w:color w:val="auto"/>
          <w:highlight w:val="none"/>
        </w:rPr>
        <w:fldChar w:fldCharType="begin"/>
      </w:r>
      <w:r>
        <w:rPr>
          <w:color w:val="auto"/>
          <w:highlight w:val="none"/>
        </w:rPr>
        <w:instrText xml:space="preserve"> HYPERLINK \l "_Toc3333" </w:instrText>
      </w:r>
      <w:r>
        <w:rPr>
          <w:color w:val="auto"/>
          <w:highlight w:val="none"/>
        </w:rPr>
        <w:fldChar w:fldCharType="separate"/>
      </w:r>
      <w:r>
        <w:rPr>
          <w:rFonts w:hint="eastAsia" w:ascii="宋体" w:hAnsi="宋体" w:cs="宋体"/>
          <w:b/>
          <w:bCs/>
          <w:color w:val="auto"/>
          <w:sz w:val="28"/>
          <w:szCs w:val="28"/>
          <w:highlight w:val="none"/>
        </w:rPr>
        <w:t>第四章 评审程序和评定成交的标准</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_Toc3333 \h </w:instrText>
      </w:r>
      <w:r>
        <w:rPr>
          <w:b/>
          <w:bCs/>
          <w:color w:val="auto"/>
          <w:sz w:val="28"/>
          <w:szCs w:val="28"/>
          <w:highlight w:val="none"/>
        </w:rPr>
        <w:fldChar w:fldCharType="separate"/>
      </w:r>
      <w:r>
        <w:rPr>
          <w:b/>
          <w:bCs/>
          <w:color w:val="auto"/>
          <w:sz w:val="28"/>
          <w:szCs w:val="28"/>
          <w:highlight w:val="none"/>
        </w:rPr>
        <w:t>62</w:t>
      </w:r>
      <w:r>
        <w:rPr>
          <w:b/>
          <w:bCs/>
          <w:color w:val="auto"/>
          <w:sz w:val="28"/>
          <w:szCs w:val="28"/>
          <w:highlight w:val="none"/>
        </w:rPr>
        <w:fldChar w:fldCharType="end"/>
      </w:r>
      <w:r>
        <w:rPr>
          <w:b/>
          <w:bCs/>
          <w:color w:val="auto"/>
          <w:sz w:val="28"/>
          <w:szCs w:val="28"/>
          <w:highlight w:val="none"/>
        </w:rPr>
        <w:fldChar w:fldCharType="end"/>
      </w:r>
    </w:p>
    <w:p w14:paraId="6DEC551E">
      <w:pPr>
        <w:pStyle w:val="19"/>
        <w:tabs>
          <w:tab w:val="right" w:leader="dot" w:pos="9071"/>
        </w:tabs>
        <w:rPr>
          <w:b/>
          <w:bCs/>
          <w:color w:val="auto"/>
          <w:sz w:val="28"/>
          <w:szCs w:val="28"/>
          <w:highlight w:val="none"/>
        </w:rPr>
      </w:pP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ascii="宋体" w:hAnsi="宋体" w:cs="宋体"/>
          <w:b/>
          <w:bCs/>
          <w:color w:val="auto"/>
          <w:sz w:val="28"/>
          <w:szCs w:val="28"/>
          <w:highlight w:val="none"/>
        </w:rPr>
        <w:t>第五章 响应文件格式</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_Toc27214 \h </w:instrText>
      </w:r>
      <w:r>
        <w:rPr>
          <w:b/>
          <w:bCs/>
          <w:color w:val="auto"/>
          <w:sz w:val="28"/>
          <w:szCs w:val="28"/>
          <w:highlight w:val="none"/>
        </w:rPr>
        <w:fldChar w:fldCharType="separate"/>
      </w:r>
      <w:r>
        <w:rPr>
          <w:b/>
          <w:bCs/>
          <w:color w:val="auto"/>
          <w:sz w:val="28"/>
          <w:szCs w:val="28"/>
          <w:highlight w:val="none"/>
        </w:rPr>
        <w:t>69</w:t>
      </w:r>
      <w:r>
        <w:rPr>
          <w:b/>
          <w:bCs/>
          <w:color w:val="auto"/>
          <w:sz w:val="28"/>
          <w:szCs w:val="28"/>
          <w:highlight w:val="none"/>
        </w:rPr>
        <w:fldChar w:fldCharType="end"/>
      </w:r>
      <w:r>
        <w:rPr>
          <w:b/>
          <w:bCs/>
          <w:color w:val="auto"/>
          <w:sz w:val="28"/>
          <w:szCs w:val="28"/>
          <w:highlight w:val="none"/>
        </w:rPr>
        <w:fldChar w:fldCharType="end"/>
      </w:r>
    </w:p>
    <w:p w14:paraId="33ABA0A8">
      <w:pPr>
        <w:pStyle w:val="19"/>
        <w:tabs>
          <w:tab w:val="right" w:leader="dot" w:pos="9071"/>
        </w:tabs>
        <w:rPr>
          <w:b/>
          <w:bCs/>
          <w:color w:val="auto"/>
          <w:sz w:val="28"/>
          <w:szCs w:val="28"/>
          <w:highlight w:val="none"/>
        </w:rPr>
      </w:pPr>
      <w:r>
        <w:rPr>
          <w:color w:val="auto"/>
          <w:highlight w:val="none"/>
        </w:rPr>
        <w:fldChar w:fldCharType="begin"/>
      </w:r>
      <w:r>
        <w:rPr>
          <w:color w:val="auto"/>
          <w:highlight w:val="none"/>
        </w:rPr>
        <w:instrText xml:space="preserve"> HYPERLINK \l "_Toc27857" </w:instrText>
      </w:r>
      <w:r>
        <w:rPr>
          <w:color w:val="auto"/>
          <w:highlight w:val="none"/>
        </w:rPr>
        <w:fldChar w:fldCharType="separate"/>
      </w:r>
      <w:r>
        <w:rPr>
          <w:rFonts w:hint="eastAsia" w:ascii="宋体" w:hAnsi="宋体" w:cs="宋体"/>
          <w:b/>
          <w:bCs/>
          <w:color w:val="auto"/>
          <w:sz w:val="28"/>
          <w:szCs w:val="28"/>
          <w:highlight w:val="none"/>
        </w:rPr>
        <w:t>第六章 合同文本</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_Toc27857 \h </w:instrText>
      </w:r>
      <w:r>
        <w:rPr>
          <w:b/>
          <w:bCs/>
          <w:color w:val="auto"/>
          <w:sz w:val="28"/>
          <w:szCs w:val="28"/>
          <w:highlight w:val="none"/>
        </w:rPr>
        <w:fldChar w:fldCharType="separate"/>
      </w:r>
      <w:r>
        <w:rPr>
          <w:b/>
          <w:bCs/>
          <w:color w:val="auto"/>
          <w:sz w:val="28"/>
          <w:szCs w:val="28"/>
          <w:highlight w:val="none"/>
        </w:rPr>
        <w:t>93</w:t>
      </w:r>
      <w:r>
        <w:rPr>
          <w:b/>
          <w:bCs/>
          <w:color w:val="auto"/>
          <w:sz w:val="28"/>
          <w:szCs w:val="28"/>
          <w:highlight w:val="none"/>
        </w:rPr>
        <w:fldChar w:fldCharType="end"/>
      </w:r>
      <w:r>
        <w:rPr>
          <w:b/>
          <w:bCs/>
          <w:color w:val="auto"/>
          <w:sz w:val="28"/>
          <w:szCs w:val="28"/>
          <w:highlight w:val="none"/>
        </w:rPr>
        <w:fldChar w:fldCharType="end"/>
      </w:r>
    </w:p>
    <w:p w14:paraId="2833CDB5">
      <w:pPr>
        <w:pStyle w:val="20"/>
        <w:tabs>
          <w:tab w:val="right" w:leader="dot" w:pos="8931"/>
          <w:tab w:val="clear" w:pos="8296"/>
        </w:tabs>
        <w:snapToGrid w:val="0"/>
        <w:spacing w:line="400" w:lineRule="atLeast"/>
        <w:ind w:left="0" w:leftChars="0"/>
        <w:rPr>
          <w:rFonts w:ascii="宋体" w:hAnsi="宋体" w:cs="宋体"/>
          <w:b/>
          <w:bCs/>
          <w:color w:val="auto"/>
          <w:sz w:val="28"/>
          <w:szCs w:val="28"/>
          <w:highlight w:val="none"/>
        </w:rPr>
      </w:pPr>
      <w:r>
        <w:rPr>
          <w:rFonts w:hint="eastAsia" w:ascii="宋体" w:hAnsi="宋体" w:cs="宋体"/>
          <w:b/>
          <w:bCs/>
          <w:color w:val="auto"/>
          <w:sz w:val="28"/>
          <w:szCs w:val="28"/>
          <w:highlight w:val="none"/>
        </w:rPr>
        <w:fldChar w:fldCharType="end"/>
      </w:r>
    </w:p>
    <w:p w14:paraId="19FDD4B7">
      <w:pPr>
        <w:spacing w:line="400" w:lineRule="exact"/>
        <w:jc w:val="left"/>
        <w:rPr>
          <w:rFonts w:ascii="宋体" w:hAnsi="宋体" w:cs="宋体"/>
          <w:b/>
          <w:color w:val="auto"/>
          <w:sz w:val="32"/>
          <w:szCs w:val="32"/>
          <w:highlight w:val="none"/>
        </w:rPr>
      </w:pPr>
    </w:p>
    <w:p w14:paraId="7FF74BED">
      <w:pPr>
        <w:spacing w:line="400" w:lineRule="exact"/>
        <w:jc w:val="center"/>
        <w:rPr>
          <w:rFonts w:ascii="宋体" w:hAnsi="宋体" w:cs="宋体"/>
          <w:b/>
          <w:color w:val="auto"/>
          <w:sz w:val="32"/>
          <w:szCs w:val="32"/>
          <w:highlight w:val="none"/>
        </w:rPr>
      </w:pPr>
    </w:p>
    <w:p w14:paraId="0B7D5C74">
      <w:pPr>
        <w:spacing w:line="400" w:lineRule="exact"/>
        <w:jc w:val="center"/>
        <w:rPr>
          <w:rFonts w:ascii="宋体" w:hAnsi="宋体" w:cs="宋体"/>
          <w:b/>
          <w:color w:val="auto"/>
          <w:sz w:val="32"/>
          <w:szCs w:val="32"/>
          <w:highlight w:val="none"/>
        </w:rPr>
      </w:pPr>
    </w:p>
    <w:p w14:paraId="1B310A12">
      <w:pPr>
        <w:spacing w:line="400" w:lineRule="exact"/>
        <w:jc w:val="center"/>
        <w:rPr>
          <w:rFonts w:ascii="宋体" w:hAnsi="宋体" w:cs="宋体"/>
          <w:b/>
          <w:color w:val="auto"/>
          <w:sz w:val="32"/>
          <w:szCs w:val="32"/>
          <w:highlight w:val="none"/>
        </w:rPr>
      </w:pPr>
    </w:p>
    <w:p w14:paraId="582AA171">
      <w:pPr>
        <w:spacing w:line="400" w:lineRule="exact"/>
        <w:jc w:val="center"/>
        <w:rPr>
          <w:rFonts w:ascii="宋体" w:hAnsi="宋体" w:cs="宋体"/>
          <w:b/>
          <w:color w:val="auto"/>
          <w:sz w:val="32"/>
          <w:szCs w:val="32"/>
          <w:highlight w:val="none"/>
        </w:rPr>
      </w:pPr>
    </w:p>
    <w:p w14:paraId="6E78B55C">
      <w:pPr>
        <w:spacing w:line="400" w:lineRule="exact"/>
        <w:rPr>
          <w:rFonts w:ascii="宋体" w:hAnsi="宋体" w:cs="宋体"/>
          <w:b/>
          <w:color w:val="auto"/>
          <w:sz w:val="32"/>
          <w:szCs w:val="32"/>
          <w:highlight w:val="none"/>
        </w:rPr>
        <w:sectPr>
          <w:headerReference r:id="rId6" w:type="default"/>
          <w:footerReference r:id="rId7" w:type="default"/>
          <w:pgSz w:w="11905" w:h="16838"/>
          <w:pgMar w:top="1417" w:right="1417" w:bottom="1417" w:left="1417" w:header="850" w:footer="992" w:gutter="0"/>
          <w:pgNumType w:start="0"/>
          <w:cols w:space="720" w:num="1"/>
          <w:titlePg/>
          <w:docGrid w:type="lines" w:linePitch="318" w:charSpace="0"/>
        </w:sectPr>
      </w:pPr>
    </w:p>
    <w:p w14:paraId="21FCBE85">
      <w:pPr>
        <w:pStyle w:val="2"/>
        <w:numPr>
          <w:ilvl w:val="0"/>
          <w:numId w:val="1"/>
        </w:numPr>
        <w:spacing w:before="0" w:after="0" w:line="240" w:lineRule="auto"/>
        <w:jc w:val="center"/>
        <w:rPr>
          <w:rFonts w:ascii="宋体" w:hAnsi="宋体" w:cs="宋体"/>
          <w:color w:val="auto"/>
          <w:highlight w:val="none"/>
        </w:rPr>
      </w:pPr>
      <w:bookmarkStart w:id="0" w:name="_Toc31914"/>
      <w:r>
        <w:rPr>
          <w:rFonts w:hint="eastAsia" w:ascii="宋体" w:hAnsi="宋体" w:cs="宋体"/>
          <w:color w:val="auto"/>
          <w:highlight w:val="none"/>
        </w:rPr>
        <w:t>竞争性谈判公告</w:t>
      </w:r>
      <w:bookmarkEnd w:id="0"/>
    </w:p>
    <w:p w14:paraId="6636E459">
      <w:pPr>
        <w:rPr>
          <w:color w:val="auto"/>
          <w:highlight w:val="none"/>
        </w:rPr>
      </w:pPr>
    </w:p>
    <w:p w14:paraId="2E24D5DE">
      <w:pPr>
        <w:spacing w:line="400" w:lineRule="exact"/>
        <w:jc w:val="center"/>
        <w:rPr>
          <w:rFonts w:ascii="宋体" w:hAnsi="宋体"/>
          <w:b/>
          <w:color w:val="auto"/>
          <w:sz w:val="28"/>
          <w:szCs w:val="28"/>
          <w:highlight w:val="none"/>
        </w:rPr>
      </w:pPr>
      <w:r>
        <w:rPr>
          <w:rFonts w:hint="eastAsia" w:ascii="宋体" w:hAnsi="宋体"/>
          <w:b/>
          <w:color w:val="auto"/>
          <w:sz w:val="28"/>
          <w:szCs w:val="28"/>
          <w:highlight w:val="none"/>
        </w:rPr>
        <w:t>广西建设工程机电设备招标中心有限公司</w:t>
      </w:r>
    </w:p>
    <w:p w14:paraId="24B8255F">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智能硬件检测、维修与开发实训室</w:t>
      </w:r>
    </w:p>
    <w:p w14:paraId="25A9D78B">
      <w:pPr>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GXZC2026-J1-003209-JGJD</w:t>
      </w:r>
      <w:r>
        <w:rPr>
          <w:rFonts w:hint="eastAsia" w:ascii="宋体" w:hAnsi="宋体" w:cs="宋体"/>
          <w:b/>
          <w:bCs/>
          <w:color w:val="auto"/>
          <w:sz w:val="28"/>
          <w:szCs w:val="28"/>
          <w:highlight w:val="none"/>
        </w:rPr>
        <w:t>）</w:t>
      </w:r>
    </w:p>
    <w:p w14:paraId="486A3875">
      <w:pPr>
        <w:spacing w:line="400" w:lineRule="exact"/>
        <w:jc w:val="center"/>
        <w:rPr>
          <w:color w:val="auto"/>
          <w:highlight w:val="none"/>
        </w:rPr>
      </w:pPr>
      <w:r>
        <w:rPr>
          <w:rFonts w:hint="eastAsia" w:ascii="宋体" w:hAnsi="宋体" w:cs="宋体"/>
          <w:b/>
          <w:color w:val="auto"/>
          <w:kern w:val="0"/>
          <w:sz w:val="28"/>
          <w:szCs w:val="28"/>
          <w:highlight w:val="none"/>
        </w:rPr>
        <w:t>竞争性谈判公告</w:t>
      </w:r>
    </w:p>
    <w:p w14:paraId="0559B687">
      <w:pPr>
        <w:pStyle w:val="38"/>
        <w:rPr>
          <w:color w:val="auto"/>
          <w:highlight w:val="none"/>
        </w:rPr>
      </w:pPr>
    </w:p>
    <w:p w14:paraId="1F527674">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color w:val="auto"/>
          <w:sz w:val="24"/>
          <w:highlight w:val="none"/>
        </w:rPr>
      </w:pPr>
      <w:bookmarkStart w:id="1" w:name="_Hlk37430271"/>
      <w:r>
        <w:rPr>
          <w:rFonts w:hint="eastAsia" w:ascii="宋体" w:hAnsi="宋体" w:cs="宋体"/>
          <w:color w:val="auto"/>
          <w:sz w:val="24"/>
          <w:highlight w:val="none"/>
        </w:rPr>
        <w:t>项目概况</w:t>
      </w:r>
    </w:p>
    <w:p w14:paraId="73916E89">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olor w:val="auto"/>
          <w:sz w:val="24"/>
          <w:highlight w:val="none"/>
          <w:u w:val="single"/>
          <w:lang w:eastAsia="zh-CN"/>
        </w:rPr>
        <w:t>智能硬件检测、维修与开发实训室</w:t>
      </w:r>
      <w:r>
        <w:rPr>
          <w:rFonts w:hint="eastAsia" w:ascii="宋体" w:hAnsi="宋体"/>
          <w:color w:val="auto"/>
          <w:sz w:val="24"/>
          <w:highlight w:val="none"/>
          <w:u w:val="single"/>
        </w:rPr>
        <w:t xml:space="preserve"> </w:t>
      </w:r>
      <w:r>
        <w:rPr>
          <w:rFonts w:hint="eastAsia" w:ascii="宋体" w:hAnsi="宋体" w:cs="宋体"/>
          <w:color w:val="auto"/>
          <w:sz w:val="24"/>
          <w:highlight w:val="none"/>
        </w:rPr>
        <w:t>项目的潜在供应商应在广西政府采购云平台（https://www.gcy.zfcg.gxzf.gov.cn/）获取（下载）竞争性谈判采购文件，并于</w:t>
      </w:r>
      <w:r>
        <w:rPr>
          <w:rFonts w:hint="eastAsia" w:ascii="宋体" w:hAnsi="宋体" w:cs="宋体"/>
          <w:color w:val="auto"/>
          <w:sz w:val="24"/>
          <w:highlight w:val="none"/>
        </w:rPr>
        <w:t>2026年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日09时</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0分</w:t>
      </w:r>
      <w:r>
        <w:rPr>
          <w:rFonts w:hint="eastAsia" w:ascii="宋体" w:hAnsi="宋体" w:cs="宋体"/>
          <w:bCs/>
          <w:color w:val="auto"/>
          <w:sz w:val="24"/>
          <w:highlight w:val="none"/>
        </w:rPr>
        <w:t>（</w:t>
      </w:r>
      <w:r>
        <w:rPr>
          <w:rFonts w:hint="eastAsia" w:ascii="宋体" w:hAnsi="宋体" w:cs="宋体"/>
          <w:bCs/>
          <w:color w:val="auto"/>
          <w:sz w:val="24"/>
          <w:highlight w:val="none"/>
        </w:rPr>
        <w:t>北京时间）前提交响应文件</w:t>
      </w:r>
      <w:r>
        <w:rPr>
          <w:rFonts w:hint="eastAsia" w:ascii="宋体" w:hAnsi="宋体" w:cs="宋体"/>
          <w:color w:val="auto"/>
          <w:sz w:val="24"/>
          <w:highlight w:val="none"/>
        </w:rPr>
        <w:t>。</w:t>
      </w:r>
    </w:p>
    <w:p w14:paraId="66313418">
      <w:pPr>
        <w:spacing w:line="360" w:lineRule="auto"/>
        <w:ind w:firstLine="361" w:firstLineChars="150"/>
        <w:rPr>
          <w:rFonts w:ascii="宋体" w:hAnsi="宋体" w:cs="宋体"/>
          <w:b/>
          <w:bCs/>
          <w:color w:val="auto"/>
          <w:sz w:val="24"/>
          <w:highlight w:val="none"/>
        </w:rPr>
      </w:pPr>
      <w:bookmarkStart w:id="2" w:name="_Toc35393805"/>
      <w:bookmarkStart w:id="3" w:name="_Toc28359018"/>
      <w:bookmarkStart w:id="4" w:name="_Toc71366047"/>
      <w:bookmarkStart w:id="5" w:name="_Toc71365369"/>
      <w:bookmarkStart w:id="6" w:name="_Toc28359095"/>
      <w:bookmarkStart w:id="7" w:name="_Toc35393636"/>
      <w:r>
        <w:rPr>
          <w:rFonts w:hint="eastAsia" w:ascii="宋体" w:hAnsi="宋体" w:cs="宋体"/>
          <w:b/>
          <w:bCs/>
          <w:color w:val="auto"/>
          <w:sz w:val="24"/>
          <w:highlight w:val="none"/>
        </w:rPr>
        <w:t>一、项目基本情况</w:t>
      </w:r>
    </w:p>
    <w:p w14:paraId="1D2FDF62">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智能硬件检测、维修与开发实训室</w:t>
      </w:r>
    </w:p>
    <w:p w14:paraId="080ECE2E">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GXZC2026-J1-003209-JGJD</w:t>
      </w:r>
    </w:p>
    <w:p w14:paraId="3CBCB9A4">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采购计划编号：</w:t>
      </w:r>
      <w:r>
        <w:rPr>
          <w:rFonts w:hint="eastAsia" w:ascii="宋体" w:hAnsi="宋体" w:cs="宋体"/>
          <w:color w:val="auto"/>
          <w:sz w:val="24"/>
          <w:highlight w:val="none"/>
          <w:lang w:eastAsia="zh-CN"/>
        </w:rPr>
        <w:t>广西政采[2026]******号</w:t>
      </w:r>
    </w:p>
    <w:p w14:paraId="1C1A249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预算金额（人民币）：</w:t>
      </w:r>
      <w:r>
        <w:rPr>
          <w:rFonts w:hint="eastAsia" w:ascii="宋体" w:hAnsi="宋体" w:cs="宋体"/>
          <w:color w:val="auto"/>
          <w:sz w:val="24"/>
          <w:highlight w:val="none"/>
          <w:lang w:val="en-US" w:eastAsia="zh-CN"/>
        </w:rPr>
        <w:t>壹佰伍拾玖万陆仟叁佰叁拾贰元整（¥1596332.00）</w:t>
      </w:r>
    </w:p>
    <w:p w14:paraId="5F07419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采购需求：</w:t>
      </w:r>
      <w:r>
        <w:rPr>
          <w:rFonts w:hint="eastAsia" w:ascii="宋体" w:hAnsi="宋体" w:cs="宋体"/>
          <w:color w:val="auto"/>
          <w:sz w:val="24"/>
          <w:highlight w:val="none"/>
          <w:lang w:val="en-US" w:eastAsia="zh-CN"/>
        </w:rPr>
        <w:t>智能硬件检测、维修与开发实训室设备一批，</w:t>
      </w:r>
      <w:r>
        <w:rPr>
          <w:rFonts w:hint="eastAsia" w:ascii="宋体" w:hAnsi="宋体" w:cs="宋体"/>
          <w:bCs/>
          <w:color w:val="auto"/>
          <w:sz w:val="24"/>
          <w:highlight w:val="none"/>
        </w:rPr>
        <w:t>详见采购需求表。</w:t>
      </w:r>
    </w:p>
    <w:p w14:paraId="24E2DBB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合同履行期限：详见采购文件。</w:t>
      </w:r>
    </w:p>
    <w:p w14:paraId="4D834ED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本项目是否接受联合体：否。</w:t>
      </w:r>
    </w:p>
    <w:p w14:paraId="502492AE">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二、申请人的资格条件：</w:t>
      </w:r>
    </w:p>
    <w:p w14:paraId="48F00468">
      <w:pPr>
        <w:spacing w:line="360" w:lineRule="auto"/>
        <w:ind w:firstLine="480" w:firstLineChars="200"/>
        <w:rPr>
          <w:rFonts w:ascii="宋体" w:hAnsi="宋体" w:cs="宋体"/>
          <w:color w:val="auto"/>
          <w:sz w:val="24"/>
          <w:highlight w:val="none"/>
        </w:rPr>
      </w:pPr>
      <w:bookmarkStart w:id="8" w:name="_Hlk51746371"/>
      <w:r>
        <w:rPr>
          <w:rFonts w:hint="eastAsia" w:ascii="宋体" w:hAnsi="宋体" w:cs="宋体"/>
          <w:color w:val="auto"/>
          <w:sz w:val="24"/>
          <w:highlight w:val="none"/>
        </w:rPr>
        <w:t>1.满足《中华人民共和国政府采购法》第二十二条规定；</w:t>
      </w:r>
    </w:p>
    <w:p w14:paraId="78FDEFD4">
      <w:pPr>
        <w:spacing w:line="360" w:lineRule="auto"/>
        <w:ind w:firstLine="480" w:firstLineChars="200"/>
        <w:rPr>
          <w:rFonts w:ascii="宋体" w:hAnsi="宋体"/>
          <w:color w:val="auto"/>
          <w:sz w:val="24"/>
          <w:highlight w:val="none"/>
        </w:rPr>
      </w:pPr>
      <w:r>
        <w:rPr>
          <w:rFonts w:hint="eastAsia" w:ascii="宋体" w:hAnsi="宋体" w:cs="宋体"/>
          <w:color w:val="auto"/>
          <w:sz w:val="24"/>
          <w:highlight w:val="none"/>
        </w:rPr>
        <w:t>2.落实政府采购政策需满足的资格要求</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本项目专门</w:t>
      </w:r>
      <w:r>
        <w:rPr>
          <w:rFonts w:hint="eastAsia" w:ascii="宋体" w:hAnsi="宋体"/>
          <w:color w:val="auto"/>
          <w:sz w:val="24"/>
          <w:highlight w:val="none"/>
        </w:rPr>
        <w:t>面向中小企业采购；</w:t>
      </w:r>
    </w:p>
    <w:p w14:paraId="31BA610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3.本项目的特定资格要求：</w:t>
      </w:r>
      <w:bookmarkEnd w:id="8"/>
      <w:r>
        <w:rPr>
          <w:rFonts w:hint="eastAsia" w:ascii="宋体" w:hAnsi="宋体" w:cs="宋体"/>
          <w:color w:val="auto"/>
          <w:sz w:val="24"/>
          <w:highlight w:val="none"/>
        </w:rPr>
        <w:t>无。</w:t>
      </w:r>
    </w:p>
    <w:p w14:paraId="5CCDB978">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三、获取竞争性谈判采购文件</w:t>
      </w:r>
    </w:p>
    <w:p w14:paraId="19AB515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时间</w:t>
      </w:r>
      <w:r>
        <w:rPr>
          <w:rFonts w:hint="eastAsia" w:ascii="宋体" w:hAnsi="宋体" w:cs="宋体"/>
          <w:color w:val="auto"/>
          <w:sz w:val="24"/>
          <w:highlight w:val="none"/>
        </w:rPr>
        <w:t>2026年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24</w:t>
      </w:r>
      <w:r>
        <w:rPr>
          <w:rFonts w:hint="eastAsia" w:ascii="宋体" w:hAnsi="宋体" w:cs="宋体"/>
          <w:color w:val="auto"/>
          <w:sz w:val="24"/>
          <w:highlight w:val="none"/>
        </w:rPr>
        <w:t>日至2026年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30</w:t>
      </w:r>
      <w:r>
        <w:rPr>
          <w:rFonts w:hint="eastAsia" w:ascii="宋体" w:hAnsi="宋体" w:cs="宋体"/>
          <w:color w:val="auto"/>
          <w:sz w:val="24"/>
          <w:highlight w:val="none"/>
        </w:rPr>
        <w:t>日，每</w:t>
      </w:r>
      <w:r>
        <w:rPr>
          <w:rFonts w:hint="eastAsia" w:ascii="宋体" w:hAnsi="宋体" w:cs="宋体"/>
          <w:color w:val="auto"/>
          <w:sz w:val="24"/>
          <w:highlight w:val="none"/>
        </w:rPr>
        <w:t>天上午00:00至12:00，下午12:00至23:59（北京时间，法定节假日除外）</w:t>
      </w:r>
    </w:p>
    <w:p w14:paraId="631CE54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地点：广西政府采购云平台（https://www.gcy.zfcg.gxzf.gov.cn/）。</w:t>
      </w:r>
    </w:p>
    <w:p w14:paraId="489FEC2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方式：网上下载。本项目不发放纸质文件，供应商应自行在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color w:val="auto"/>
          <w:sz w:val="24"/>
          <w:highlight w:val="none"/>
        </w:rPr>
        <w:t>广西政府采购云平台（https://www.gcy.zfcg.gxzf.gov.cn/）下载竞争性谈判采购文件（操作路径：登录广西政府采购云平台-项目采购-获取采购文件-找到本项目-点击“申请获取采购文件”），电子响应文件制作需要基于广西政府采购云平台获取的竞争性谈判采购文件编制。</w:t>
      </w:r>
    </w:p>
    <w:p w14:paraId="08BBCAE9">
      <w:pPr>
        <w:spacing w:line="360" w:lineRule="auto"/>
        <w:ind w:firstLine="840" w:firstLineChars="350"/>
        <w:rPr>
          <w:rFonts w:ascii="宋体" w:hAnsi="宋体" w:cs="宋体"/>
          <w:color w:val="auto"/>
          <w:sz w:val="24"/>
          <w:highlight w:val="none"/>
        </w:rPr>
      </w:pPr>
      <w:r>
        <w:rPr>
          <w:rFonts w:hint="eastAsia" w:ascii="宋体" w:hAnsi="宋体" w:cs="宋体"/>
          <w:color w:val="auto"/>
          <w:sz w:val="24"/>
          <w:highlight w:val="none"/>
        </w:rPr>
        <w:t>售价：0元。</w:t>
      </w:r>
    </w:p>
    <w:p w14:paraId="69CF7A8A">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四、响应文件提交</w:t>
      </w:r>
    </w:p>
    <w:p w14:paraId="5B5A120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1.首次响应文件提交截止时间</w:t>
      </w:r>
      <w:r>
        <w:rPr>
          <w:rFonts w:hint="eastAsia" w:ascii="宋体" w:hAnsi="宋体" w:cs="宋体"/>
          <w:color w:val="auto"/>
          <w:sz w:val="24"/>
          <w:highlight w:val="none"/>
        </w:rPr>
        <w:t>：2026年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日09点</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0分（北京时间）</w:t>
      </w:r>
    </w:p>
    <w:p w14:paraId="047C4EF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2.地点：通过广西政府采购云平台在线提交。</w:t>
      </w:r>
    </w:p>
    <w:p w14:paraId="038C9E2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为全流程电子化项目，没有现场递交响应文件及现场开标环节，通过广西政府采购云平台（https://www.gcy.zfcg.gxzf.gov.cn/）实行在线电子投标，供应商应先安装“广西政府采购云平台投标客户端”（请自行前往广西政府采购云平台进行下载），并按照本项目采购文件和广西政府采购云平台的要求使用CA认证编制、加密响应文件后在首次响应文件提交截止时间前上传至 广西政府采购云平台，供应商在广西政府采购云平台提交电子版响应文件时，请填写参加远程开标活动经办人联系方式，如在谈判评审过程中有电子询标，应在规定的时间内对电子询标函进行澄清回复。</w:t>
      </w:r>
    </w:p>
    <w:p w14:paraId="7581E39E">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五、开启</w:t>
      </w:r>
    </w:p>
    <w:p w14:paraId="452B289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1.首次响应文件开</w:t>
      </w:r>
      <w:r>
        <w:rPr>
          <w:rFonts w:hint="eastAsia" w:ascii="宋体" w:hAnsi="宋体" w:cs="宋体"/>
          <w:color w:val="auto"/>
          <w:sz w:val="24"/>
          <w:highlight w:val="none"/>
        </w:rPr>
        <w:t>启时间：2026年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日09点</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0分（北京时间）</w:t>
      </w:r>
    </w:p>
    <w:p w14:paraId="52606C9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2.地点：本项目将在广西政府采购云平台电子开标大厅解密、开启。</w:t>
      </w:r>
    </w:p>
    <w:p w14:paraId="732ABED2">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六、公告期限</w:t>
      </w:r>
    </w:p>
    <w:p w14:paraId="58D0A0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自本公告发布之日起3个工作日。</w:t>
      </w:r>
    </w:p>
    <w:p w14:paraId="6ECBB95D">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七、其他补充事宜</w:t>
      </w:r>
    </w:p>
    <w:p w14:paraId="19F2773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1.竞标保证金（须足额交纳）：</w:t>
      </w:r>
      <w:r>
        <w:rPr>
          <w:rFonts w:hint="eastAsia" w:ascii="宋体" w:hAnsi="宋体" w:cs="宋体"/>
          <w:color w:val="auto"/>
          <w:sz w:val="24"/>
          <w:highlight w:val="none"/>
          <w:lang w:val="en-US" w:eastAsia="zh-CN"/>
        </w:rPr>
        <w:t>15</w:t>
      </w:r>
      <w:r>
        <w:rPr>
          <w:rFonts w:hint="eastAsia" w:ascii="宋体" w:hAnsi="宋体" w:cs="宋体"/>
          <w:color w:val="auto"/>
          <w:sz w:val="24"/>
          <w:highlight w:val="none"/>
          <w:lang w:eastAsia="zh-CN"/>
        </w:rPr>
        <w:t>000</w:t>
      </w:r>
      <w:r>
        <w:rPr>
          <w:rFonts w:hint="eastAsia" w:ascii="宋体" w:hAnsi="宋体" w:cs="宋体"/>
          <w:color w:val="auto"/>
          <w:sz w:val="24"/>
          <w:highlight w:val="none"/>
        </w:rPr>
        <w:t>元；（交纳注意事项详见供应商须知前附表）。</w:t>
      </w:r>
    </w:p>
    <w:p w14:paraId="599E1CC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13AC08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093F28E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4.网上查询地址：中国政府采购网（www.ccgp.gov.cn）、广西政府采购网（zfcg.gxzf.gov.cn）。</w:t>
      </w:r>
    </w:p>
    <w:p w14:paraId="16F672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5.本项目需要落实的政府采购政策：</w:t>
      </w:r>
    </w:p>
    <w:p w14:paraId="385971E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（1）政府采购促进中小企业发展。</w:t>
      </w:r>
    </w:p>
    <w:p w14:paraId="2DD3ABA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（2）政府采购支持采用本国产品的政策。</w:t>
      </w:r>
    </w:p>
    <w:p w14:paraId="5DE8047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（3）强制采购节能产品；优先采购节能产品、环境标志产品。</w:t>
      </w:r>
    </w:p>
    <w:p w14:paraId="63BD0F5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（4）政府采购促进残疾人就业政策。</w:t>
      </w:r>
    </w:p>
    <w:p w14:paraId="6DD05F7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（5）政府采购支持监狱企业发展。</w:t>
      </w:r>
    </w:p>
    <w:p w14:paraId="4D0DA8D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（6）扶持不发达地区和少数民族地区政策</w:t>
      </w:r>
    </w:p>
    <w:p w14:paraId="0E7AAF6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6.谈判注意事项：</w:t>
      </w:r>
    </w:p>
    <w:p w14:paraId="050A141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响应文件提交方式：本项目为全流程电子化政府采购项目，通过广西政府采购云平台（https://www.gcy.zfcg.gxzf.gov.cn/）实行在线电子竞争性谈判，供应商应先安装“广西政府采购云平台电子交易客户端”（请自行前往广西政府采购云平台进行下载），并按照本项目竞争性谈判采购文件和广西政府采购云平台的要求编制、加密后在首次响应文件提交截止时间前通过网络上传至广西政府采购云平台，</w:t>
      </w:r>
      <w:r>
        <w:rPr>
          <w:rFonts w:hint="eastAsia" w:ascii="宋体" w:hAnsi="宋体" w:cs="宋体"/>
          <w:b/>
          <w:color w:val="auto"/>
          <w:sz w:val="24"/>
          <w:highlight w:val="none"/>
        </w:rPr>
        <w:t>供应商在广西政府采购云平台提交电子版响应文件时，请填写参加远程开标活动经办人联系方式。</w:t>
      </w:r>
    </w:p>
    <w:p w14:paraId="1BB8B40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供应商应及时熟悉掌握电子标系统操作指南（见广西政府采购云平台电子卖场首页右上角—服务中心—帮助文档—项目采购）；及时完成CA申领和绑定（见广西壮族自治区政府采购网—办事服务—下载专区-广西政府采购云平台CA证书办理操作指南）。</w:t>
      </w:r>
    </w:p>
    <w:p w14:paraId="49608DF3">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未进行网上注册并办理数字证书（CA认证）的供应商将无法参与本项目政府采购活动，潜在供应商应当在首次响应文件提交截止时间前，完成电子交易平台上的CA数字证书办理及响应文件的提交。完成CA数字证书办理预计7日左右，供应商只需办理其中一家CA数字证书及签章，建议各供应商抓紧时间办理。</w:t>
      </w:r>
    </w:p>
    <w:p w14:paraId="25F5B233">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（4）为确保网上操作合法、有效和安全，请供应商确保在参与电子竞争性谈判过程中能够对相关数据电文进行加密和使用电子签章，妥善保管CA数字证书并使用有效的CA数字证书参与整个采购活动。</w:t>
      </w:r>
    </w:p>
    <w:p w14:paraId="7DB1CC74">
      <w:pPr>
        <w:spacing w:line="440" w:lineRule="exact"/>
        <w:ind w:firstLine="482" w:firstLineChars="200"/>
        <w:rPr>
          <w:rFonts w:ascii="楷体" w:hAnsi="楷体" w:eastAsia="楷体" w:cs="宋体"/>
          <w:b/>
          <w:color w:val="auto"/>
          <w:sz w:val="24"/>
          <w:highlight w:val="none"/>
        </w:rPr>
      </w:pPr>
      <w:r>
        <w:rPr>
          <w:rFonts w:hint="eastAsia" w:ascii="楷体" w:hAnsi="楷体" w:eastAsia="楷体" w:cs="宋体"/>
          <w:b/>
          <w:color w:val="auto"/>
          <w:sz w:val="24"/>
          <w:highlight w:val="none"/>
        </w:rPr>
        <w:t>注：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699B655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7.CA证书在线解密：首次响应文件开启时，须要供应商携带制作响应文件时用来加密的有效数字证书（CA认证）登录广西政府采购云平台电子开标大厅现场按规定时间对加密的响应文件进行解密，否则后果自负。</w:t>
      </w:r>
    </w:p>
    <w:p w14:paraId="2D2A94D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8.供应商需要在具备有摄像头及语音功能且互联网网络状况良好的电脑登录广西政府采购云平台远程开标大厅参与本次谈判，否则后果自负。</w:t>
      </w:r>
    </w:p>
    <w:p w14:paraId="40E61F1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9.若对项目采购电子交易系统操作有疑问，可登录广西政府采购云平台（https://www.gcy.zfcg.gxzf.gov.cn/），点击右侧咨询小采，获取采小蜜智能服务管家帮助，或拨打广西政府采购云平台服务热线</w:t>
      </w:r>
      <w:r>
        <w:rPr>
          <w:rFonts w:ascii="宋体" w:hAnsi="宋体" w:cs="宋体"/>
          <w:color w:val="auto"/>
          <w:sz w:val="24"/>
          <w:highlight w:val="none"/>
        </w:rPr>
        <w:t>95763</w:t>
      </w:r>
      <w:r>
        <w:rPr>
          <w:rFonts w:hint="eastAsia" w:ascii="宋体" w:hAnsi="宋体" w:cs="宋体"/>
          <w:color w:val="auto"/>
          <w:sz w:val="24"/>
          <w:highlight w:val="none"/>
        </w:rPr>
        <w:t>获取热线服务帮助。</w:t>
      </w:r>
    </w:p>
    <w:p w14:paraId="0FB128B5">
      <w:pPr>
        <w:spacing w:line="440" w:lineRule="exact"/>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八、凡对本次采购提出询问，请按以下方式联系。</w:t>
      </w:r>
      <w:bookmarkEnd w:id="2"/>
      <w:bookmarkEnd w:id="3"/>
      <w:bookmarkEnd w:id="4"/>
      <w:bookmarkEnd w:id="5"/>
      <w:bookmarkEnd w:id="6"/>
      <w:bookmarkEnd w:id="7"/>
    </w:p>
    <w:p w14:paraId="0A72C380">
      <w:pPr>
        <w:spacing w:line="440" w:lineRule="exact"/>
        <w:ind w:firstLine="482" w:firstLineChars="200"/>
        <w:rPr>
          <w:rFonts w:ascii="宋体" w:hAnsi="宋体" w:cs="宋体"/>
          <w:b/>
          <w:bCs/>
          <w:color w:val="auto"/>
          <w:sz w:val="24"/>
          <w:highlight w:val="none"/>
        </w:rPr>
      </w:pPr>
      <w:bookmarkStart w:id="9" w:name="_Toc35393637"/>
      <w:bookmarkStart w:id="10" w:name="_Toc28359019"/>
      <w:bookmarkStart w:id="11" w:name="_Toc35393806"/>
      <w:bookmarkStart w:id="12" w:name="_Toc28359096"/>
      <w:r>
        <w:rPr>
          <w:rFonts w:hint="eastAsia" w:ascii="宋体" w:hAnsi="宋体" w:cs="宋体"/>
          <w:b/>
          <w:bCs/>
          <w:color w:val="auto"/>
          <w:sz w:val="24"/>
          <w:highlight w:val="none"/>
        </w:rPr>
        <w:t>1.采购人信息</w:t>
      </w:r>
    </w:p>
    <w:p w14:paraId="5226B4D9">
      <w:pPr>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 xml:space="preserve"> 广西信息职业技术学院</w:t>
      </w:r>
    </w:p>
    <w:p w14:paraId="54FB004D">
      <w:pPr>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color w:val="auto"/>
          <w:sz w:val="24"/>
          <w:highlight w:val="none"/>
          <w:lang w:eastAsia="zh-CN"/>
        </w:rPr>
        <w:t>广西壮族自治区南宁市青秀区东宝路1-1号</w:t>
      </w:r>
    </w:p>
    <w:p w14:paraId="5DDC097C">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谢老师</w:t>
      </w:r>
      <w:r>
        <w:rPr>
          <w:rFonts w:hint="eastAsia" w:ascii="宋体" w:hAnsi="宋体" w:cs="宋体"/>
          <w:color w:val="auto"/>
          <w:sz w:val="24"/>
          <w:highlight w:val="none"/>
        </w:rPr>
        <w:t xml:space="preserve">             联系电话：</w:t>
      </w:r>
      <w:r>
        <w:rPr>
          <w:rFonts w:hint="eastAsia" w:ascii="宋体" w:hAnsi="宋体" w:cs="宋体"/>
          <w:color w:val="auto"/>
          <w:sz w:val="24"/>
          <w:highlight w:val="none"/>
          <w:lang w:eastAsia="zh-CN"/>
        </w:rPr>
        <w:t>0771-5872155</w:t>
      </w:r>
      <w:r>
        <w:rPr>
          <w:rFonts w:hint="eastAsia" w:ascii="宋体" w:hAnsi="宋体" w:cs="宋体"/>
          <w:color w:val="auto"/>
          <w:sz w:val="24"/>
          <w:highlight w:val="none"/>
        </w:rPr>
        <w:t xml:space="preserve">   </w:t>
      </w:r>
    </w:p>
    <w:p w14:paraId="6FCE5ACB">
      <w:pPr>
        <w:spacing w:line="44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2.采购代理机构信息</w:t>
      </w:r>
    </w:p>
    <w:p w14:paraId="6F6EAD2A">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名 称：广西建设工程机电设备招标中心有限公司</w:t>
      </w:r>
      <w:r>
        <w:rPr>
          <w:rFonts w:ascii="宋体" w:hAnsi="宋体" w:cs="宋体"/>
          <w:color w:val="auto"/>
          <w:sz w:val="24"/>
          <w:highlight w:val="none"/>
        </w:rPr>
        <w:t xml:space="preserve"> </w:t>
      </w:r>
    </w:p>
    <w:p w14:paraId="4B3C76B1">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地　址：广西壮族自治区南宁市青秀区枫林路18号广西国控大厦裙楼三层</w:t>
      </w:r>
    </w:p>
    <w:p w14:paraId="65590E45">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谭琦辉、刘雅婷</w:t>
      </w:r>
      <w:r>
        <w:rPr>
          <w:rFonts w:hint="eastAsia" w:ascii="宋体" w:hAnsi="宋体" w:cs="宋体"/>
          <w:color w:val="auto"/>
          <w:sz w:val="24"/>
          <w:highlight w:val="none"/>
        </w:rPr>
        <w:t xml:space="preserve">   联系电话：0771-2821389</w:t>
      </w:r>
      <w:r>
        <w:rPr>
          <w:rFonts w:ascii="宋体" w:hAnsi="宋体" w:cs="宋体"/>
          <w:color w:val="auto"/>
          <w:sz w:val="24"/>
          <w:highlight w:val="none"/>
        </w:rPr>
        <w:t xml:space="preserve"> </w:t>
      </w:r>
    </w:p>
    <w:p w14:paraId="68D95C40">
      <w:pPr>
        <w:spacing w:line="44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3.项目联系方式</w:t>
      </w:r>
    </w:p>
    <w:p w14:paraId="13C1A9F2">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谭琦辉、刘雅婷</w:t>
      </w:r>
      <w:r>
        <w:rPr>
          <w:rFonts w:hint="eastAsia" w:ascii="宋体" w:hAnsi="宋体" w:cs="宋体"/>
          <w:color w:val="auto"/>
          <w:sz w:val="24"/>
          <w:highlight w:val="none"/>
        </w:rPr>
        <w:t xml:space="preserve">   联系电话：0771-2821389</w:t>
      </w:r>
      <w:r>
        <w:rPr>
          <w:rFonts w:ascii="宋体" w:hAnsi="宋体" w:cs="宋体"/>
          <w:color w:val="auto"/>
          <w:sz w:val="24"/>
          <w:highlight w:val="none"/>
        </w:rPr>
        <w:t xml:space="preserve"> </w:t>
      </w:r>
      <w:bookmarkEnd w:id="9"/>
      <w:bookmarkEnd w:id="10"/>
      <w:bookmarkEnd w:id="11"/>
      <w:bookmarkEnd w:id="12"/>
    </w:p>
    <w:p w14:paraId="58A70C15">
      <w:pPr>
        <w:spacing w:line="440" w:lineRule="exact"/>
        <w:ind w:firstLine="4200" w:firstLineChars="1750"/>
        <w:rPr>
          <w:rFonts w:hint="eastAsia" w:ascii="宋体" w:hAnsi="宋体" w:cs="宋体"/>
          <w:color w:val="auto"/>
          <w:sz w:val="24"/>
          <w:highlight w:val="none"/>
        </w:rPr>
      </w:pPr>
    </w:p>
    <w:p w14:paraId="25729FFF">
      <w:pPr>
        <w:spacing w:line="440" w:lineRule="exact"/>
        <w:ind w:firstLine="4200" w:firstLineChars="1750"/>
        <w:rPr>
          <w:rFonts w:hint="eastAsia" w:ascii="宋体" w:hAnsi="宋体" w:cs="宋体"/>
          <w:color w:val="auto"/>
          <w:sz w:val="24"/>
          <w:highlight w:val="none"/>
        </w:rPr>
      </w:pPr>
    </w:p>
    <w:p w14:paraId="585C1BC4">
      <w:pPr>
        <w:spacing w:line="440" w:lineRule="exact"/>
        <w:ind w:firstLine="4200" w:firstLineChars="1750"/>
        <w:rPr>
          <w:rFonts w:ascii="宋体" w:hAnsi="宋体" w:cs="宋体"/>
          <w:color w:val="auto"/>
          <w:sz w:val="24"/>
          <w:highlight w:val="none"/>
        </w:rPr>
      </w:pPr>
      <w:r>
        <w:rPr>
          <w:rFonts w:hint="eastAsia" w:ascii="宋体" w:hAnsi="宋体" w:cs="宋体"/>
          <w:color w:val="auto"/>
          <w:sz w:val="24"/>
          <w:highlight w:val="none"/>
        </w:rPr>
        <w:t>广西建设工程机电设备招标中心有限公司</w:t>
      </w:r>
    </w:p>
    <w:bookmarkEnd w:id="1"/>
    <w:p w14:paraId="312B6071">
      <w:pPr>
        <w:pStyle w:val="2"/>
        <w:spacing w:before="0" w:after="0" w:line="440" w:lineRule="exact"/>
        <w:jc w:val="center"/>
        <w:rPr>
          <w:rFonts w:ascii="宋体" w:hAnsi="宋体" w:cs="宋体"/>
          <w:color w:val="auto"/>
          <w:highlight w:val="non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 xml:space="preserve">         </w:t>
      </w:r>
      <w:r>
        <w:rPr>
          <w:rFonts w:hint="eastAsia" w:ascii="宋体" w:hAnsi="宋体" w:cs="宋体"/>
          <w:b w:val="0"/>
          <w:bCs w:val="0"/>
          <w:color w:val="auto"/>
          <w:sz w:val="24"/>
          <w:highlight w:val="none"/>
        </w:rPr>
        <w:t xml:space="preserve"> </w:t>
      </w:r>
      <w:bookmarkStart w:id="13" w:name="_Toc26488"/>
      <w:r>
        <w:rPr>
          <w:rFonts w:hint="eastAsia" w:ascii="宋体" w:hAnsi="宋体" w:cs="宋体"/>
          <w:b w:val="0"/>
          <w:bCs w:val="0"/>
          <w:color w:val="auto"/>
          <w:sz w:val="24"/>
          <w:highlight w:val="none"/>
        </w:rPr>
        <w:t>2026年</w:t>
      </w:r>
      <w:r>
        <w:rPr>
          <w:rFonts w:hint="eastAsia" w:ascii="宋体" w:hAnsi="宋体" w:cs="宋体"/>
          <w:b w:val="0"/>
          <w:bCs w:val="0"/>
          <w:color w:val="auto"/>
          <w:sz w:val="24"/>
          <w:highlight w:val="none"/>
          <w:lang w:val="en-US" w:eastAsia="zh-CN"/>
        </w:rPr>
        <w:t>9</w:t>
      </w:r>
      <w:r>
        <w:rPr>
          <w:rFonts w:hint="eastAsia" w:ascii="宋体" w:hAnsi="宋体" w:cs="宋体"/>
          <w:b w:val="0"/>
          <w:bCs w:val="0"/>
          <w:color w:val="auto"/>
          <w:sz w:val="24"/>
          <w:highlight w:val="none"/>
        </w:rPr>
        <w:t>月</w:t>
      </w:r>
      <w:r>
        <w:rPr>
          <w:rFonts w:hint="eastAsia" w:ascii="宋体" w:hAnsi="宋体" w:cs="宋体"/>
          <w:b w:val="0"/>
          <w:bCs w:val="0"/>
          <w:color w:val="auto"/>
          <w:sz w:val="24"/>
          <w:highlight w:val="none"/>
          <w:lang w:val="en-US" w:eastAsia="zh-CN"/>
        </w:rPr>
        <w:t>24</w:t>
      </w:r>
      <w:r>
        <w:rPr>
          <w:rFonts w:hint="eastAsia" w:ascii="宋体" w:hAnsi="宋体" w:cs="宋体"/>
          <w:b w:val="0"/>
          <w:bCs w:val="0"/>
          <w:color w:val="auto"/>
          <w:sz w:val="24"/>
          <w:highlight w:val="none"/>
        </w:rPr>
        <w:t>日</w:t>
      </w:r>
      <w:r>
        <w:rPr>
          <w:rFonts w:hint="eastAsia" w:ascii="宋体" w:hAnsi="宋体" w:cs="宋体"/>
          <w:color w:val="auto"/>
          <w:highlight w:val="none"/>
        </w:rPr>
        <w:br w:type="page"/>
      </w:r>
      <w:r>
        <w:rPr>
          <w:rFonts w:hint="eastAsia" w:ascii="宋体" w:hAnsi="宋体" w:cs="宋体"/>
          <w:color w:val="auto"/>
          <w:highlight w:val="none"/>
        </w:rPr>
        <w:t>第二章 供应商须知</w:t>
      </w:r>
      <w:bookmarkEnd w:id="13"/>
    </w:p>
    <w:p w14:paraId="0467CF99">
      <w:pPr>
        <w:spacing w:line="400" w:lineRule="exact"/>
        <w:jc w:val="center"/>
        <w:rPr>
          <w:rFonts w:ascii="宋体" w:hAnsi="宋体" w:cs="宋体"/>
          <w:b/>
          <w:color w:val="auto"/>
          <w:sz w:val="32"/>
          <w:szCs w:val="32"/>
          <w:highlight w:val="none"/>
        </w:rPr>
      </w:pPr>
    </w:p>
    <w:p w14:paraId="2D807D04">
      <w:pPr>
        <w:spacing w:line="4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供应商须知前附表</w:t>
      </w:r>
    </w:p>
    <w:p w14:paraId="1ECD783D">
      <w:pPr>
        <w:spacing w:line="400" w:lineRule="exact"/>
        <w:jc w:val="center"/>
        <w:rPr>
          <w:rFonts w:ascii="宋体" w:hAnsi="宋体" w:cs="宋体"/>
          <w:b/>
          <w:color w:val="auto"/>
          <w:sz w:val="32"/>
          <w:szCs w:val="32"/>
          <w:highlight w:val="none"/>
        </w:rPr>
      </w:pPr>
    </w:p>
    <w:tbl>
      <w:tblPr>
        <w:tblStyle w:val="26"/>
        <w:tblW w:w="91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1"/>
        <w:gridCol w:w="8181"/>
      </w:tblGrid>
      <w:tr w14:paraId="69549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991" w:type="dxa"/>
            <w:vAlign w:val="center"/>
          </w:tcPr>
          <w:p w14:paraId="4B651987">
            <w:pPr>
              <w:spacing w:line="500" w:lineRule="exact"/>
              <w:jc w:val="center"/>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条款号</w:t>
            </w:r>
          </w:p>
        </w:tc>
        <w:tc>
          <w:tcPr>
            <w:tcW w:w="8181" w:type="dxa"/>
            <w:vAlign w:val="center"/>
          </w:tcPr>
          <w:p w14:paraId="71CD6617">
            <w:pPr>
              <w:spacing w:line="500" w:lineRule="exact"/>
              <w:jc w:val="center"/>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内    容</w:t>
            </w:r>
          </w:p>
        </w:tc>
      </w:tr>
      <w:tr w14:paraId="7744C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991" w:type="dxa"/>
            <w:vAlign w:val="center"/>
          </w:tcPr>
          <w:p w14:paraId="1727C146">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p>
        </w:tc>
        <w:tc>
          <w:tcPr>
            <w:tcW w:w="8181" w:type="dxa"/>
            <w:vAlign w:val="center"/>
          </w:tcPr>
          <w:p w14:paraId="158DCF4B">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供应商的资格条件：详见竞争性谈判公告</w:t>
            </w:r>
          </w:p>
        </w:tc>
      </w:tr>
      <w:tr w14:paraId="1B828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991" w:type="dxa"/>
            <w:vAlign w:val="center"/>
          </w:tcPr>
          <w:p w14:paraId="092D9910">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5.1</w:t>
            </w:r>
          </w:p>
        </w:tc>
        <w:tc>
          <w:tcPr>
            <w:tcW w:w="8181" w:type="dxa"/>
            <w:vAlign w:val="center"/>
          </w:tcPr>
          <w:p w14:paraId="56CEAF08">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是否接受联合体参与: 详见竞争性谈判公告</w:t>
            </w:r>
          </w:p>
        </w:tc>
      </w:tr>
      <w:tr w14:paraId="3D1AD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1" w:type="dxa"/>
            <w:vAlign w:val="center"/>
          </w:tcPr>
          <w:p w14:paraId="1996B0FA">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5.2</w:t>
            </w:r>
          </w:p>
        </w:tc>
        <w:tc>
          <w:tcPr>
            <w:tcW w:w="8181" w:type="dxa"/>
            <w:vAlign w:val="center"/>
          </w:tcPr>
          <w:p w14:paraId="5AE5B097">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如接受联合体参与，要求如下：</w:t>
            </w:r>
          </w:p>
          <w:p w14:paraId="33DA8C81">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两个以上供应商可以组成一个联合体，以一个供应商的身份共同参与竞争性谈判，联合体供应商的名称应统一按“XXX 公司与 XXX 公司的联合体”的规则填写。</w:t>
            </w:r>
            <w:r>
              <w:rPr>
                <w:rFonts w:hint="eastAsia" w:asciiTheme="minorEastAsia" w:hAnsiTheme="minorEastAsia" w:eastAsiaTheme="minorEastAsia" w:cstheme="minorEastAsia"/>
                <w:color w:val="auto"/>
                <w:sz w:val="24"/>
                <w:highlight w:val="none"/>
              </w:rPr>
              <w:tab/>
            </w:r>
          </w:p>
          <w:p w14:paraId="663EB76F">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以联合体形式参与竞争性谈判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本项目竞争性谈判公告“申请人的资格条件”第3点 “3、本项目的特定资格要求”的要求。</w:t>
            </w:r>
          </w:p>
          <w:p w14:paraId="447D9F25">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联合体参与竞争性谈判的，须提供《联合体参与竞争性谈判协议书》（格式后附），协议书必须明确主体方（或者牵头方）并明确约定联合体各方承担的工作和相应的责任（各方承担责任与义务的分工必须符合采购需求，否则，联合体响应无效），并将《联合体参与竞争性谈判协议书》放入响应文件。联合体各方必须共同与采购人签订采购合同，就采购合同约定的事项对采购人承担连带责任。</w:t>
            </w:r>
            <w:r>
              <w:rPr>
                <w:rFonts w:hint="eastAsia" w:asciiTheme="minorEastAsia" w:hAnsiTheme="minorEastAsia" w:eastAsiaTheme="minorEastAsia" w:cstheme="minorEastAsia"/>
                <w:color w:val="auto"/>
                <w:sz w:val="24"/>
                <w:highlight w:val="none"/>
              </w:rPr>
              <w:tab/>
            </w:r>
          </w:p>
          <w:p w14:paraId="5A6F1688">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以联合体形式参加政府采购活动的，联合体各方不得再单独参加或者与其他供应商另外组成联合体参加同一合同项下的政府采购活动，否则与之相关的响应文件作废。</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tab/>
            </w:r>
          </w:p>
          <w:p w14:paraId="664BB0E0">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联合体中有同类资质的供应商按照联合体分工承担相同工作的，应当按照资质等级较低的供应商确定资质等级。</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tab/>
            </w:r>
          </w:p>
          <w:p w14:paraId="2B3A74AF">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联合体参与竞争性谈判的业绩、履约能力按照联合体各方其中较高的一方认定并计算（竞争性谈判采购文件另有规定的除外）。</w:t>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tab/>
            </w:r>
            <w:r>
              <w:rPr>
                <w:rFonts w:hint="eastAsia" w:asciiTheme="minorEastAsia" w:hAnsiTheme="minorEastAsia" w:eastAsiaTheme="minorEastAsia" w:cstheme="minorEastAsia"/>
                <w:color w:val="auto"/>
                <w:sz w:val="24"/>
                <w:highlight w:val="none"/>
              </w:rPr>
              <w:tab/>
            </w:r>
          </w:p>
          <w:p w14:paraId="11944C18">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联合体各方均应按照竞争性谈判采购文件的规定提交资格证明文件。</w:t>
            </w:r>
          </w:p>
        </w:tc>
      </w:tr>
      <w:tr w14:paraId="04542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2" w:hRule="atLeast"/>
          <w:jc w:val="center"/>
        </w:trPr>
        <w:tc>
          <w:tcPr>
            <w:tcW w:w="991" w:type="dxa"/>
            <w:vAlign w:val="center"/>
          </w:tcPr>
          <w:p w14:paraId="12263CCF">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6.2</w:t>
            </w:r>
          </w:p>
        </w:tc>
        <w:tc>
          <w:tcPr>
            <w:tcW w:w="8181" w:type="dxa"/>
            <w:vAlign w:val="center"/>
          </w:tcPr>
          <w:p w14:paraId="29738171">
            <w:pPr>
              <w:pStyle w:val="8"/>
              <w:spacing w:line="500" w:lineRule="exact"/>
              <w:jc w:val="both"/>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w:char="00FE"/>
            </w:r>
            <w:r>
              <w:rPr>
                <w:rFonts w:hint="eastAsia" w:asciiTheme="minorEastAsia" w:hAnsiTheme="minorEastAsia" w:eastAsiaTheme="minorEastAsia" w:cstheme="minorEastAsia"/>
                <w:color w:val="auto"/>
                <w:sz w:val="24"/>
                <w:highlight w:val="none"/>
              </w:rPr>
              <w:t>本项目不允许分包。</w:t>
            </w:r>
          </w:p>
          <w:p w14:paraId="30626829">
            <w:pPr>
              <w:pStyle w:val="8"/>
              <w:spacing w:line="500" w:lineRule="exact"/>
              <w:jc w:val="both"/>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w:char="00A8"/>
            </w:r>
            <w:r>
              <w:rPr>
                <w:rFonts w:hint="eastAsia" w:asciiTheme="minorEastAsia" w:hAnsiTheme="minorEastAsia" w:eastAsiaTheme="minorEastAsia" w:cstheme="minorEastAsia"/>
                <w:color w:val="auto"/>
                <w:sz w:val="24"/>
                <w:highlight w:val="none"/>
              </w:rPr>
              <w:t>本项目允许分包：</w:t>
            </w:r>
          </w:p>
          <w:p w14:paraId="49F29910">
            <w:pPr>
              <w:pStyle w:val="8"/>
              <w:spacing w:line="500" w:lineRule="exact"/>
              <w:jc w:val="both"/>
              <w:rPr>
                <w:rFonts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分包内容：</w:t>
            </w:r>
            <w:r>
              <w:rPr>
                <w:rFonts w:hint="eastAsia" w:asciiTheme="minorEastAsia" w:hAnsiTheme="minorEastAsia" w:eastAsiaTheme="minorEastAsia" w:cstheme="minorEastAsia"/>
                <w:color w:val="auto"/>
                <w:sz w:val="24"/>
                <w:highlight w:val="none"/>
                <w:u w:val="single"/>
              </w:rPr>
              <w:t>/</w:t>
            </w:r>
          </w:p>
          <w:p w14:paraId="76E30D77">
            <w:pPr>
              <w:pStyle w:val="8"/>
              <w:spacing w:line="500" w:lineRule="exact"/>
              <w:jc w:val="both"/>
              <w:rPr>
                <w:rFonts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分包金额或者比例：</w:t>
            </w:r>
            <w:r>
              <w:rPr>
                <w:rFonts w:hint="eastAsia" w:asciiTheme="minorEastAsia" w:hAnsiTheme="minorEastAsia" w:eastAsiaTheme="minorEastAsia" w:cstheme="minorEastAsia"/>
                <w:color w:val="auto"/>
                <w:sz w:val="24"/>
                <w:highlight w:val="none"/>
                <w:u w:val="single"/>
              </w:rPr>
              <w:t>/</w:t>
            </w:r>
          </w:p>
        </w:tc>
      </w:tr>
      <w:tr w14:paraId="0AEF3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991" w:type="dxa"/>
            <w:vAlign w:val="center"/>
          </w:tcPr>
          <w:p w14:paraId="176592AF">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w:t>
            </w:r>
          </w:p>
        </w:tc>
        <w:tc>
          <w:tcPr>
            <w:tcW w:w="8181" w:type="dxa"/>
            <w:vAlign w:val="center"/>
          </w:tcPr>
          <w:p w14:paraId="0AE348E1">
            <w:pPr>
              <w:pStyle w:val="8"/>
              <w:spacing w:line="400" w:lineRule="exact"/>
              <w:jc w:val="both"/>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是否适用支持本国产品：☑是/□否</w:t>
            </w:r>
          </w:p>
        </w:tc>
      </w:tr>
      <w:tr w14:paraId="67334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9" w:hRule="atLeast"/>
          <w:jc w:val="center"/>
        </w:trPr>
        <w:tc>
          <w:tcPr>
            <w:tcW w:w="991" w:type="dxa"/>
            <w:vAlign w:val="center"/>
          </w:tcPr>
          <w:p w14:paraId="272F3328">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12.1.1</w:t>
            </w:r>
          </w:p>
        </w:tc>
        <w:tc>
          <w:tcPr>
            <w:tcW w:w="8181" w:type="dxa"/>
            <w:vAlign w:val="center"/>
          </w:tcPr>
          <w:p w14:paraId="2DD01E95">
            <w:pPr>
              <w:snapToGrid w:val="0"/>
              <w:spacing w:line="50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资格证明文件</w:t>
            </w:r>
          </w:p>
          <w:p w14:paraId="55DBA1D5">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供应商为法人或者其他组织的，证明文件为其营业执照复印件（如营业执照或者事业单位法人证书或者执业许可证等）；供应商为自然人的，证明文件为其身份证复印件；（</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73D37C40">
            <w:pPr>
              <w:spacing w:line="500" w:lineRule="exact"/>
              <w:contextualSpacing/>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供应商依法缴纳税收的相关材料（截至首次响应文件提交截止之日半年内任意连续三个月的依法缴纳税收的凭据复印件；依法免税的，必须提供相应文件证明。从成立之日起到首次响应文件提交截止之日不足要求月数的，只需提供从成立之日起的依法缴纳税收相应证明文件）；（</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70F7027C">
            <w:pPr>
              <w:spacing w:line="500" w:lineRule="exact"/>
              <w:contextualSpacing/>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供应商依法缴纳社会保障资金的相关材料（截至首次响应文件提交截止之日半年内任意连续三个月的依法缴纳社会保障资金的缴费凭证（专用收据或者社会保险缴纳清单）复印件；依法不需要缴纳社会保障资金的，必须提供相应文件证明。从成立之日起到首次响应文件提交截止之日不足要求月数的只需提供从成立之日起一个月的依法缴纳社会保障资金的相应证明文件）；（</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3A6D2719">
            <w:pPr>
              <w:spacing w:line="500" w:lineRule="exact"/>
              <w:contextualSpacing/>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4</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供应商财务状况报告（提供2025年财务状况报告复印件，或者银行出具的资信证明（资信证明应在有效期内，未注明有效期的，银行出具时间至首次响应文件提交截止之日不超过一年）；供应商成立不满一年的应按提供首次响应文件提交截止之日上一个月的财务状况报告复印件）</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b/>
                <w:color w:val="auto"/>
                <w:sz w:val="24"/>
                <w:highlight w:val="none"/>
              </w:rPr>
              <w:t>除自然人外必须提供，否则响应文件按无效响应处理</w:t>
            </w:r>
            <w:r>
              <w:rPr>
                <w:rFonts w:hint="eastAsia" w:asciiTheme="minorEastAsia" w:hAnsiTheme="minorEastAsia" w:eastAsiaTheme="minorEastAsia" w:cstheme="minorEastAsia"/>
                <w:bCs/>
                <w:color w:val="auto"/>
                <w:sz w:val="24"/>
                <w:highlight w:val="none"/>
              </w:rPr>
              <w:t>）</w:t>
            </w:r>
          </w:p>
          <w:p w14:paraId="63099CA2">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供应商直接控股、管理关系信息表（格式后附）；（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5AEF000D">
            <w:pPr>
              <w:snapToGrid w:val="0"/>
              <w:spacing w:line="500" w:lineRule="exac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参与竞争性谈判声明（格式后附）；（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219A2187">
            <w:pPr>
              <w:snapToGrid w:val="0"/>
              <w:spacing w:line="500" w:lineRule="exact"/>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7.供应商应为中小微企业、监狱企业或残疾人福利性单位：</w:t>
            </w:r>
          </w:p>
          <w:p w14:paraId="19B3D7B4">
            <w:pPr>
              <w:snapToGrid w:val="0"/>
              <w:spacing w:line="500" w:lineRule="exact"/>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①《中小企业声明函》（格式后附）；</w:t>
            </w:r>
            <w:r>
              <w:rPr>
                <w:rFonts w:hint="eastAsia" w:asciiTheme="minorEastAsia" w:hAnsiTheme="minorEastAsia" w:eastAsiaTheme="minorEastAsia" w:cstheme="minorEastAsia"/>
                <w:b/>
                <w:bCs/>
                <w:color w:val="auto"/>
                <w:sz w:val="24"/>
                <w:highlight w:val="none"/>
                <w:lang w:val="en-US" w:eastAsia="zh-CN"/>
              </w:rPr>
              <w:t>（除供应商为监狱企业及残疾人福利性单位外，必须提供，否则响应文件按无效响应处理）</w:t>
            </w:r>
          </w:p>
          <w:p w14:paraId="697AF054">
            <w:pPr>
              <w:snapToGrid w:val="0"/>
              <w:spacing w:line="500" w:lineRule="exact"/>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②供应商属于监狱企业的，应当提供由省级以上监狱管理局、戒毒管理局等（含新疆生产建设兵团）出具的属于监狱企业的证明文件；</w:t>
            </w:r>
            <w:r>
              <w:rPr>
                <w:rFonts w:hint="eastAsia" w:asciiTheme="minorEastAsia" w:hAnsiTheme="minorEastAsia" w:eastAsiaTheme="minorEastAsia" w:cstheme="minorEastAsia"/>
                <w:b/>
                <w:bCs/>
                <w:color w:val="auto"/>
                <w:sz w:val="24"/>
                <w:highlight w:val="none"/>
                <w:lang w:val="en-US" w:eastAsia="zh-CN"/>
              </w:rPr>
              <w:t>（如供应商属于监狱企业的，则必须提供，否则响应文件按无效响应处理）</w:t>
            </w:r>
          </w:p>
          <w:p w14:paraId="19449192">
            <w:pPr>
              <w:snapToGrid w:val="0"/>
              <w:spacing w:line="500" w:lineRule="exact"/>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③符合条件的残疾人福利性单位在参加政府采购活动时，应当提供《残疾人福利性单位声明函》（格式后附）；</w:t>
            </w:r>
            <w:r>
              <w:rPr>
                <w:rFonts w:hint="eastAsia" w:asciiTheme="minorEastAsia" w:hAnsiTheme="minorEastAsia" w:eastAsiaTheme="minorEastAsia" w:cstheme="minorEastAsia"/>
                <w:b/>
                <w:bCs/>
                <w:color w:val="auto"/>
                <w:sz w:val="24"/>
                <w:highlight w:val="none"/>
                <w:lang w:val="en-US" w:eastAsia="zh-CN"/>
              </w:rPr>
              <w:t>（如供应商属于残疾人福利性单位的，则必须提供，否则响应文件按无效响应处理）</w:t>
            </w:r>
          </w:p>
          <w:p w14:paraId="4625F6DD">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竞争性谈判公告中特定资格要求的资格证明材料；（</w:t>
            </w:r>
            <w:r>
              <w:rPr>
                <w:rFonts w:hint="eastAsia" w:asciiTheme="minorEastAsia" w:hAnsiTheme="minorEastAsia" w:eastAsiaTheme="minorEastAsia" w:cstheme="minorEastAsia"/>
                <w:b/>
                <w:bCs/>
                <w:color w:val="auto"/>
                <w:sz w:val="24"/>
                <w:highlight w:val="none"/>
              </w:rPr>
              <w:t>公告如有则必</w:t>
            </w:r>
            <w:r>
              <w:rPr>
                <w:rFonts w:hint="eastAsia" w:asciiTheme="minorEastAsia" w:hAnsiTheme="minorEastAsia" w:eastAsiaTheme="minorEastAsia" w:cstheme="minorEastAsia"/>
                <w:b/>
                <w:color w:val="auto"/>
                <w:sz w:val="24"/>
                <w:highlight w:val="none"/>
              </w:rPr>
              <w:t>须提供，否则响应文件按无效响应处理</w:t>
            </w:r>
            <w:r>
              <w:rPr>
                <w:rFonts w:hint="eastAsia" w:asciiTheme="minorEastAsia" w:hAnsiTheme="minorEastAsia" w:eastAsiaTheme="minorEastAsia" w:cstheme="minorEastAsia"/>
                <w:color w:val="auto"/>
                <w:sz w:val="24"/>
                <w:highlight w:val="none"/>
              </w:rPr>
              <w:t>）</w:t>
            </w:r>
          </w:p>
          <w:p w14:paraId="0BA18153">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9</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除谈判文件规定必须提供以外，供应商认为需要提供的其他证明材料。</w:t>
            </w:r>
          </w:p>
          <w:p w14:paraId="07EE4608">
            <w:pPr>
              <w:snapToGrid w:val="0"/>
              <w:spacing w:line="50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
                <w:bCs/>
                <w:color w:val="auto"/>
                <w:sz w:val="24"/>
                <w:highlight w:val="none"/>
              </w:rPr>
              <w:t>【注】</w:t>
            </w:r>
            <w:r>
              <w:rPr>
                <w:rFonts w:hint="eastAsia" w:asciiTheme="minorEastAsia" w:hAnsiTheme="minorEastAsia" w:eastAsiaTheme="minorEastAsia" w:cstheme="minorEastAsia"/>
                <w:bCs/>
                <w:color w:val="auto"/>
                <w:sz w:val="24"/>
                <w:highlight w:val="none"/>
              </w:rPr>
              <w:t>1.以上标明“必须提供”的材料属于复印件的，必须加盖供应商公章，否则响应文件按无效响应处理。</w:t>
            </w:r>
          </w:p>
          <w:p w14:paraId="1CC018B8">
            <w:pPr>
              <w:snapToGrid w:val="0"/>
              <w:spacing w:line="50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2.参与竞争性谈判声明必须由法定代表人在规定签章处逐一签字并加盖供应商公章，否则响应文件按无效响应处理。</w:t>
            </w:r>
          </w:p>
          <w:p w14:paraId="002050B2">
            <w:pPr>
              <w:snapToGrid w:val="0"/>
              <w:spacing w:line="50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Cs/>
                <w:color w:val="auto"/>
                <w:sz w:val="24"/>
                <w:highlight w:val="none"/>
              </w:rPr>
              <w:t>3.供应商直接控股、管理关系信息表必须由法定代表人或者委托代理人在规定签章处逐一签字并加盖供应商公章，否则响应文件按无效响应处理。</w:t>
            </w:r>
          </w:p>
        </w:tc>
      </w:tr>
      <w:tr w14:paraId="50D55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9" w:hRule="atLeast"/>
          <w:jc w:val="center"/>
        </w:trPr>
        <w:tc>
          <w:tcPr>
            <w:tcW w:w="991" w:type="dxa"/>
            <w:vMerge w:val="restart"/>
            <w:vAlign w:val="center"/>
          </w:tcPr>
          <w:p w14:paraId="2D4CE0D6">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12.1.2</w:t>
            </w:r>
          </w:p>
        </w:tc>
        <w:tc>
          <w:tcPr>
            <w:tcW w:w="8181" w:type="dxa"/>
            <w:vAlign w:val="center"/>
          </w:tcPr>
          <w:p w14:paraId="5AF5E26A">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报价文件</w:t>
            </w:r>
          </w:p>
          <w:p w14:paraId="29D594C0">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无串通参与竞争性谈判行为的承诺函（格式后附）；（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468795BC">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竞争性谈判报价表（格式后附）；（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59376502">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bCs/>
                <w:color w:val="auto"/>
                <w:sz w:val="24"/>
                <w:highlight w:val="none"/>
              </w:rPr>
              <w:t>.供应商</w:t>
            </w:r>
            <w:r>
              <w:rPr>
                <w:rFonts w:hint="eastAsia" w:asciiTheme="minorEastAsia" w:hAnsiTheme="minorEastAsia" w:eastAsiaTheme="minorEastAsia" w:cstheme="minorEastAsia"/>
                <w:color w:val="auto"/>
                <w:sz w:val="24"/>
                <w:highlight w:val="none"/>
              </w:rPr>
              <w:t>针对报价需要说明的其他文件和说明（格式自拟）。</w:t>
            </w:r>
          </w:p>
          <w:p w14:paraId="37AC2D15">
            <w:pPr>
              <w:spacing w:line="50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
                <w:color w:val="auto"/>
                <w:sz w:val="24"/>
                <w:highlight w:val="none"/>
              </w:rPr>
              <w:t>注</w:t>
            </w:r>
            <w:r>
              <w:rPr>
                <w:rFonts w:hint="eastAsia" w:asciiTheme="minorEastAsia" w:hAnsiTheme="minorEastAsia" w:eastAsiaTheme="minorEastAsia" w:cstheme="minorEastAsia"/>
                <w:color w:val="auto"/>
                <w:sz w:val="24"/>
                <w:highlight w:val="none"/>
              </w:rPr>
              <w:t>：以上标明“必须提供”材料复印件的，必须加盖供应商公章，否则响应文件按无效响应处理。</w:t>
            </w:r>
          </w:p>
        </w:tc>
      </w:tr>
      <w:tr w14:paraId="12104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6" w:hRule="atLeast"/>
          <w:jc w:val="center"/>
        </w:trPr>
        <w:tc>
          <w:tcPr>
            <w:tcW w:w="991" w:type="dxa"/>
            <w:vMerge w:val="continue"/>
            <w:vAlign w:val="center"/>
          </w:tcPr>
          <w:p w14:paraId="2B625B22">
            <w:pPr>
              <w:spacing w:line="500" w:lineRule="exact"/>
              <w:jc w:val="center"/>
              <w:rPr>
                <w:rFonts w:asciiTheme="minorEastAsia" w:hAnsiTheme="minorEastAsia" w:eastAsiaTheme="minorEastAsia" w:cstheme="minorEastAsia"/>
                <w:color w:val="auto"/>
                <w:sz w:val="24"/>
                <w:highlight w:val="none"/>
              </w:rPr>
            </w:pPr>
          </w:p>
        </w:tc>
        <w:tc>
          <w:tcPr>
            <w:tcW w:w="8181" w:type="dxa"/>
            <w:vAlign w:val="center"/>
          </w:tcPr>
          <w:p w14:paraId="53CFDAC2">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商务技术文件</w:t>
            </w:r>
          </w:p>
          <w:p w14:paraId="34EDF500">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法定代表人身份证明及法定代表人有效身份证正反面复印件（格式后附）；（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38ADB050">
            <w:pPr>
              <w:spacing w:line="50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授权委托书及委托代理人有效身份证正反面复印件（格式后附）；（</w:t>
            </w:r>
            <w:r>
              <w:rPr>
                <w:rFonts w:hint="eastAsia" w:asciiTheme="minorEastAsia" w:hAnsiTheme="minorEastAsia" w:eastAsiaTheme="minorEastAsia" w:cstheme="minorEastAsia"/>
                <w:b/>
                <w:color w:val="auto"/>
                <w:sz w:val="24"/>
                <w:highlight w:val="none"/>
              </w:rPr>
              <w:t>委托时必须提供，否则响应文件按无效响应处理</w:t>
            </w:r>
            <w:r>
              <w:rPr>
                <w:rFonts w:hint="eastAsia" w:asciiTheme="minorEastAsia" w:hAnsiTheme="minorEastAsia" w:eastAsiaTheme="minorEastAsia" w:cstheme="minorEastAsia"/>
                <w:color w:val="auto"/>
                <w:sz w:val="24"/>
                <w:highlight w:val="none"/>
              </w:rPr>
              <w:t>）</w:t>
            </w:r>
          </w:p>
          <w:p w14:paraId="3B8C4623">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谈判保证金提交凭证；（</w:t>
            </w:r>
            <w:r>
              <w:rPr>
                <w:rFonts w:hint="eastAsia" w:asciiTheme="minorEastAsia" w:hAnsiTheme="minorEastAsia" w:eastAsiaTheme="minorEastAsia" w:cstheme="minorEastAsia"/>
                <w:b/>
                <w:bCs/>
                <w:color w:val="auto"/>
                <w:sz w:val="24"/>
                <w:highlight w:val="none"/>
              </w:rPr>
              <w:t>如要求提交谈判保证金的则必须提供</w:t>
            </w:r>
            <w:r>
              <w:rPr>
                <w:rFonts w:hint="eastAsia" w:asciiTheme="minorEastAsia" w:hAnsiTheme="minorEastAsia" w:eastAsiaTheme="minorEastAsia" w:cstheme="minorEastAsia"/>
                <w:b/>
                <w:color w:val="auto"/>
                <w:sz w:val="24"/>
                <w:highlight w:val="none"/>
              </w:rPr>
              <w:t>，否则响应文件按无效响应处理</w:t>
            </w:r>
            <w:r>
              <w:rPr>
                <w:rFonts w:hint="eastAsia" w:asciiTheme="minorEastAsia" w:hAnsiTheme="minorEastAsia" w:eastAsiaTheme="minorEastAsia" w:cstheme="minorEastAsia"/>
                <w:color w:val="auto"/>
                <w:sz w:val="24"/>
                <w:highlight w:val="none"/>
              </w:rPr>
              <w:t>）</w:t>
            </w:r>
          </w:p>
          <w:p w14:paraId="3F0CBE2D">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商务要求偏离表（格式后附）；（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6446E7E0">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售后服务承诺（格式自拟）；（</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45DE9A1A">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货物配置清单（均不含报价）（格式后附）；（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102F73F8">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技术偏离表（格式后附）；（</w:t>
            </w:r>
            <w:r>
              <w:rPr>
                <w:rFonts w:hint="eastAsia" w:asciiTheme="minorEastAsia" w:hAnsiTheme="minorEastAsia" w:eastAsiaTheme="minorEastAsia" w:cstheme="minorEastAsia"/>
                <w:b/>
                <w:color w:val="auto"/>
                <w:sz w:val="24"/>
                <w:highlight w:val="none"/>
              </w:rPr>
              <w:t>必须提供，否则响应文件按无效响应处理</w:t>
            </w:r>
            <w:r>
              <w:rPr>
                <w:rFonts w:hint="eastAsia" w:asciiTheme="minorEastAsia" w:hAnsiTheme="minorEastAsia" w:eastAsiaTheme="minorEastAsia" w:cstheme="minorEastAsia"/>
                <w:color w:val="auto"/>
                <w:sz w:val="24"/>
                <w:highlight w:val="none"/>
              </w:rPr>
              <w:t>）</w:t>
            </w:r>
          </w:p>
          <w:p w14:paraId="044F6CC8">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对应采购需求的技术要求、商务要求提供的其他文件资料（格式自拟）；</w:t>
            </w:r>
          </w:p>
          <w:p w14:paraId="09483DAE">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9</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供应商认为需要提供的其他有关资料。</w:t>
            </w:r>
          </w:p>
          <w:p w14:paraId="0C7EC06E">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rPr>
              <w:t>【注】</w:t>
            </w:r>
            <w:r>
              <w:rPr>
                <w:rFonts w:hint="eastAsia" w:asciiTheme="minorEastAsia" w:hAnsiTheme="minorEastAsia" w:eastAsiaTheme="minorEastAsia" w:cstheme="minorEastAsia"/>
                <w:color w:val="auto"/>
                <w:sz w:val="24"/>
                <w:highlight w:val="none"/>
              </w:rPr>
              <w:t>1.法定代表人授权委托书必须由法定代表人及委托代理人签字，并加盖供应商公章，否则做无效响应处理。</w:t>
            </w:r>
          </w:p>
          <w:p w14:paraId="22FB5C1D">
            <w:pPr>
              <w:spacing w:line="50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2.以上标明“必须提供”材料复印件的，必须加盖供应商公章，否则响应文件按无效响应处理。</w:t>
            </w:r>
          </w:p>
        </w:tc>
      </w:tr>
      <w:tr w14:paraId="00741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9" w:hRule="atLeast"/>
          <w:jc w:val="center"/>
        </w:trPr>
        <w:tc>
          <w:tcPr>
            <w:tcW w:w="991" w:type="dxa"/>
            <w:vAlign w:val="center"/>
          </w:tcPr>
          <w:p w14:paraId="5622F641">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15.2</w:t>
            </w:r>
          </w:p>
        </w:tc>
        <w:tc>
          <w:tcPr>
            <w:tcW w:w="8181" w:type="dxa"/>
            <w:vAlign w:val="center"/>
          </w:tcPr>
          <w:p w14:paraId="4BCB7DC2">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竞争性谈判报价合计金额包括货物价款、配套软件、标准附件、随配附件、备品备件、辅助材料、专用工具、包装、运抵指定交货地点、运输、装卸、完工清场清洁、货到就位、安装、调试、检验、技术培训、技术资料、售后服务、保险、投标费用、预验收及履约验收及售后服务、人工费、一切税费等全部费用。税费因政策等原因发生变化的，由成交供应商承担。合同履行过程中，采购人不再支付合同以外的其他费用。（采购需求另有约定的，从其约定）</w:t>
            </w:r>
          </w:p>
        </w:tc>
      </w:tr>
      <w:tr w14:paraId="06F67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991" w:type="dxa"/>
            <w:vAlign w:val="center"/>
          </w:tcPr>
          <w:p w14:paraId="1DA5B95B">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16.2</w:t>
            </w:r>
          </w:p>
        </w:tc>
        <w:tc>
          <w:tcPr>
            <w:tcW w:w="8181" w:type="dxa"/>
            <w:vAlign w:val="center"/>
          </w:tcPr>
          <w:p w14:paraId="58AD2AEF">
            <w:pPr>
              <w:pStyle w:val="7"/>
              <w:widowControl w:val="0"/>
              <w:tabs>
                <w:tab w:val="clear" w:pos="454"/>
              </w:tabs>
              <w:snapToGrid w:val="0"/>
              <w:spacing w:after="0" w:afterLines="0" w:line="500" w:lineRule="exact"/>
              <w:ind w:left="324" w:hanging="324" w:hangingChars="135"/>
              <w:jc w:val="both"/>
              <w:rPr>
                <w:rFonts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 xml:space="preserve">竞争性谈判有效期：首次响应文件提交截止之日起60天内。 </w:t>
            </w:r>
          </w:p>
        </w:tc>
      </w:tr>
      <w:tr w14:paraId="5DC12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4" w:hRule="atLeast"/>
          <w:jc w:val="center"/>
        </w:trPr>
        <w:tc>
          <w:tcPr>
            <w:tcW w:w="991" w:type="dxa"/>
            <w:vAlign w:val="center"/>
          </w:tcPr>
          <w:p w14:paraId="71D18ECC">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17.1</w:t>
            </w:r>
          </w:p>
        </w:tc>
        <w:tc>
          <w:tcPr>
            <w:tcW w:w="8181" w:type="dxa"/>
            <w:vAlign w:val="center"/>
          </w:tcPr>
          <w:p w14:paraId="10558A13">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w:char="00A8"/>
            </w:r>
            <w:r>
              <w:rPr>
                <w:rFonts w:hint="eastAsia" w:asciiTheme="minorEastAsia" w:hAnsiTheme="minorEastAsia" w:eastAsiaTheme="minorEastAsia" w:cstheme="minorEastAsia"/>
                <w:color w:val="auto"/>
                <w:sz w:val="24"/>
                <w:highlight w:val="none"/>
              </w:rPr>
              <w:t>本项目不收取谈判保证金。</w:t>
            </w:r>
          </w:p>
          <w:p w14:paraId="75D0813F">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w:char="00FE"/>
            </w:r>
            <w:r>
              <w:rPr>
                <w:rFonts w:hint="eastAsia" w:asciiTheme="minorEastAsia" w:hAnsiTheme="minorEastAsia" w:eastAsiaTheme="minorEastAsia" w:cstheme="minorEastAsia"/>
                <w:color w:val="auto"/>
                <w:sz w:val="24"/>
                <w:highlight w:val="none"/>
              </w:rPr>
              <w:t>本项目收取谈判保证金。</w:t>
            </w:r>
            <w:bookmarkStart w:id="14" w:name="_Toc8224"/>
          </w:p>
          <w:p w14:paraId="7F58AC91">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谈判保证金（人民币）：详见竞争性谈判公告。</w:t>
            </w:r>
            <w:bookmarkEnd w:id="14"/>
          </w:p>
          <w:p w14:paraId="7FBA8801">
            <w:pPr>
              <w:spacing w:line="500" w:lineRule="exact"/>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保证金专用银行账号：</w:t>
            </w:r>
          </w:p>
          <w:p w14:paraId="33670C44">
            <w:pPr>
              <w:spacing w:line="500" w:lineRule="exact"/>
              <w:rPr>
                <w:rFonts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sz w:val="24"/>
                <w:highlight w:val="none"/>
              </w:rPr>
              <w:t>开户名称：广西建设工程机电设备招标中心有</w:t>
            </w:r>
            <w:r>
              <w:rPr>
                <w:rFonts w:hint="eastAsia" w:asciiTheme="minorEastAsia" w:hAnsiTheme="minorEastAsia" w:eastAsiaTheme="minorEastAsia" w:cstheme="minorEastAsia"/>
                <w:b/>
                <w:bCs/>
                <w:color w:val="auto"/>
                <w:kern w:val="0"/>
                <w:sz w:val="24"/>
                <w:highlight w:val="none"/>
              </w:rPr>
              <w:t>限公司</w:t>
            </w:r>
          </w:p>
          <w:p w14:paraId="3DABBDBA">
            <w:pPr>
              <w:snapToGrid w:val="0"/>
              <w:spacing w:line="500" w:lineRule="exact"/>
              <w:rPr>
                <w:rFonts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开户银行：招商银行南宁分行营业部</w:t>
            </w:r>
          </w:p>
          <w:p w14:paraId="42575717">
            <w:pPr>
              <w:snapToGrid w:val="0"/>
              <w:spacing w:line="500" w:lineRule="exact"/>
              <w:rPr>
                <w:rFonts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银行账号：771901423310201</w:t>
            </w:r>
          </w:p>
          <w:p w14:paraId="1CAA71C7">
            <w:pPr>
              <w:snapToGrid w:val="0"/>
              <w:spacing w:line="500" w:lineRule="exact"/>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谈判保证金的交纳方式：</w:t>
            </w:r>
            <w:r>
              <w:rPr>
                <w:rFonts w:hint="eastAsia" w:asciiTheme="minorEastAsia" w:hAnsiTheme="minorEastAsia" w:eastAsiaTheme="minorEastAsia" w:cstheme="minorEastAsia"/>
                <w:color w:val="auto"/>
                <w:sz w:val="24"/>
                <w:highlight w:val="none"/>
              </w:rPr>
              <w:t>银行转账、支票、汇票、本票、保函等非现金方式</w:t>
            </w:r>
            <w:r>
              <w:rPr>
                <w:rFonts w:hint="eastAsia" w:asciiTheme="minorEastAsia" w:hAnsiTheme="minorEastAsia" w:eastAsiaTheme="minorEastAsia" w:cstheme="minorEastAsia"/>
                <w:color w:val="auto"/>
                <w:kern w:val="0"/>
                <w:sz w:val="24"/>
                <w:highlight w:val="none"/>
              </w:rPr>
              <w:t>，禁止采用现钞方式。采用银行转账方式的，在响应文件提交截止时间前交至指定账户并且到账；采用支票、汇票、本票或者保函方式的，在响应文件提交截止时间前，供应商必须提交支票、汇票、本票或者保函原件。否则视为无效谈判保证金。</w:t>
            </w:r>
          </w:p>
          <w:p w14:paraId="3C56FABF">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相关要求：</w:t>
            </w:r>
          </w:p>
          <w:p w14:paraId="7911A849">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1.谈判保证金采用银行转账交纳方式的，在响应文件提交截止时间前交至指定账户并且到账，供应商应将银行转账底单的复印件作为谈判保证金提交凭证，放置于报价商务技术文件中，</w:t>
            </w:r>
            <w:r>
              <w:rPr>
                <w:rFonts w:hint="eastAsia" w:asciiTheme="minorEastAsia" w:hAnsiTheme="minorEastAsia" w:eastAsiaTheme="minorEastAsia" w:cstheme="minorEastAsia"/>
                <w:b/>
                <w:color w:val="auto"/>
                <w:sz w:val="24"/>
                <w:highlight w:val="none"/>
              </w:rPr>
              <w:t>否则响应文件按无效响应处理</w:t>
            </w:r>
            <w:r>
              <w:rPr>
                <w:rFonts w:hint="eastAsia" w:asciiTheme="minorEastAsia" w:hAnsiTheme="minorEastAsia" w:eastAsiaTheme="minorEastAsia" w:cstheme="minorEastAsia"/>
                <w:color w:val="auto"/>
                <w:sz w:val="24"/>
                <w:highlight w:val="none"/>
              </w:rPr>
              <w:t>。</w:t>
            </w:r>
          </w:p>
          <w:p w14:paraId="1A0E2D96">
            <w:pPr>
              <w:snapToGrid w:val="0"/>
              <w:spacing w:line="50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2.谈判保证金采用</w:t>
            </w:r>
            <w:r>
              <w:rPr>
                <w:rFonts w:hint="eastAsia" w:asciiTheme="minorEastAsia" w:hAnsiTheme="minorEastAsia" w:eastAsiaTheme="minorEastAsia" w:cstheme="minorEastAsia"/>
                <w:color w:val="auto"/>
                <w:kern w:val="0"/>
                <w:sz w:val="24"/>
                <w:highlight w:val="none"/>
              </w:rPr>
              <w:t>支票、汇票、本票或者</w:t>
            </w:r>
            <w:r>
              <w:rPr>
                <w:rFonts w:hint="eastAsia" w:asciiTheme="minorEastAsia" w:hAnsiTheme="minorEastAsia" w:eastAsiaTheme="minorEastAsia" w:cstheme="minorEastAsia"/>
                <w:color w:val="auto"/>
                <w:sz w:val="24"/>
                <w:highlight w:val="none"/>
              </w:rPr>
              <w:t>保函交纳方式的，供应商应将</w:t>
            </w:r>
            <w:r>
              <w:rPr>
                <w:rFonts w:hint="eastAsia" w:asciiTheme="minorEastAsia" w:hAnsiTheme="minorEastAsia" w:eastAsiaTheme="minorEastAsia" w:cstheme="minorEastAsia"/>
                <w:color w:val="auto"/>
                <w:kern w:val="0"/>
                <w:sz w:val="24"/>
                <w:highlight w:val="none"/>
              </w:rPr>
              <w:t>支票、汇票、本票或者</w:t>
            </w:r>
            <w:r>
              <w:rPr>
                <w:rFonts w:hint="eastAsia" w:asciiTheme="minorEastAsia" w:hAnsiTheme="minorEastAsia" w:eastAsiaTheme="minorEastAsia" w:cstheme="minorEastAsia"/>
                <w:color w:val="auto"/>
                <w:sz w:val="24"/>
                <w:highlight w:val="none"/>
              </w:rPr>
              <w:t>保函的复印件作为谈判保证金提交凭证，放置于报价商务技术文件中，</w:t>
            </w:r>
            <w:r>
              <w:rPr>
                <w:rFonts w:hint="eastAsia" w:asciiTheme="minorEastAsia" w:hAnsiTheme="minorEastAsia" w:eastAsiaTheme="minorEastAsia" w:cstheme="minorEastAsia"/>
                <w:b/>
                <w:color w:val="auto"/>
                <w:sz w:val="24"/>
                <w:highlight w:val="none"/>
              </w:rPr>
              <w:t>否则响应文件按无效响应处理</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b/>
                <w:color w:val="auto"/>
                <w:sz w:val="24"/>
                <w:highlight w:val="none"/>
              </w:rPr>
              <w:t>供应商必须在首次响应文件提交截止时间前将</w:t>
            </w:r>
            <w:r>
              <w:rPr>
                <w:rFonts w:hint="eastAsia" w:asciiTheme="minorEastAsia" w:hAnsiTheme="minorEastAsia" w:eastAsiaTheme="minorEastAsia" w:cstheme="minorEastAsia"/>
                <w:color w:val="auto"/>
                <w:kern w:val="0"/>
                <w:sz w:val="24"/>
                <w:highlight w:val="none"/>
              </w:rPr>
              <w:t>支票、汇票、本票或者</w:t>
            </w:r>
            <w:r>
              <w:rPr>
                <w:rFonts w:hint="eastAsia" w:asciiTheme="minorEastAsia" w:hAnsiTheme="minorEastAsia" w:eastAsiaTheme="minorEastAsia" w:cstheme="minorEastAsia"/>
                <w:b/>
                <w:color w:val="auto"/>
                <w:sz w:val="24"/>
                <w:highlight w:val="none"/>
              </w:rPr>
              <w:t>保函原件提交给采购代理机构，由采购代理机构向供应商出具回执，并妥善保管。</w:t>
            </w:r>
          </w:p>
          <w:p w14:paraId="317A15B1">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3.供应商为联合体的，可以由联合体中的一方或者多方共同交纳谈判保证金，其交纳的保证金对联合体各方均具有约束力。</w:t>
            </w:r>
          </w:p>
          <w:p w14:paraId="20C802F4">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【备注】</w:t>
            </w:r>
            <w:r>
              <w:rPr>
                <w:rFonts w:hint="eastAsia" w:asciiTheme="minorEastAsia" w:hAnsiTheme="minorEastAsia" w:eastAsiaTheme="minorEastAsia" w:cstheme="minorEastAsia"/>
                <w:color w:val="auto"/>
                <w:sz w:val="24"/>
                <w:highlight w:val="none"/>
              </w:rPr>
              <w:t>1.首次响应文件提交截止时间后提交的，或者未足额交纳的，或者保函额度不足的，视为无效谈判保证金。</w:t>
            </w:r>
          </w:p>
          <w:p w14:paraId="1F264021">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2.供应商采用现钞方式或者从个人账户（自然人参与竞争性谈判除外）转出的谈判保证金，视为无效谈判保证金。</w:t>
            </w:r>
          </w:p>
          <w:p w14:paraId="4DE20D08">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3.保函有效期短于竞争性谈判有效期的，视为无效谈判保证金。</w:t>
            </w:r>
          </w:p>
          <w:p w14:paraId="1A742F9C">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4.谈判保证金采用保函为有条件保函的，视为无效谈判保证金。</w:t>
            </w:r>
          </w:p>
        </w:tc>
      </w:tr>
      <w:tr w14:paraId="719C3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991" w:type="dxa"/>
            <w:vAlign w:val="center"/>
          </w:tcPr>
          <w:p w14:paraId="567915D2">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18.2</w:t>
            </w:r>
          </w:p>
        </w:tc>
        <w:tc>
          <w:tcPr>
            <w:tcW w:w="8181" w:type="dxa"/>
            <w:vAlign w:val="center"/>
          </w:tcPr>
          <w:p w14:paraId="23C67447">
            <w:pPr>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响应文件应按资格证明文件、报价商务技术文件分别编制，</w:t>
            </w:r>
            <w:r>
              <w:rPr>
                <w:rFonts w:hint="eastAsia" w:asciiTheme="minorEastAsia" w:hAnsiTheme="minorEastAsia" w:eastAsiaTheme="minorEastAsia" w:cstheme="minorEastAsia"/>
                <w:color w:val="auto"/>
                <w:sz w:val="24"/>
                <w:highlight w:val="none"/>
                <w:lang w:bidi="ar"/>
              </w:rPr>
              <w:t>并按广西政府采购云平台的要求编制、加密、上传。</w:t>
            </w:r>
          </w:p>
        </w:tc>
      </w:tr>
      <w:tr w14:paraId="769F4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991" w:type="dxa"/>
            <w:vAlign w:val="center"/>
          </w:tcPr>
          <w:p w14:paraId="57B17E5E">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20.1</w:t>
            </w:r>
          </w:p>
        </w:tc>
        <w:tc>
          <w:tcPr>
            <w:tcW w:w="8181" w:type="dxa"/>
            <w:vAlign w:val="center"/>
          </w:tcPr>
          <w:p w14:paraId="42040C26">
            <w:pPr>
              <w:spacing w:line="500" w:lineRule="exact"/>
              <w:contextualSpacing/>
              <w:rPr>
                <w:rFonts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首次响应文件提交截止时间：详见竞争性谈判公告。</w:t>
            </w:r>
          </w:p>
          <w:p w14:paraId="286D4D03">
            <w:pPr>
              <w:spacing w:line="500" w:lineRule="exact"/>
              <w:contextualSpacing/>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首次响应文件提交地点：详见竞争性谈判公告。</w:t>
            </w:r>
          </w:p>
        </w:tc>
      </w:tr>
      <w:tr w14:paraId="075C7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991" w:type="dxa"/>
            <w:vAlign w:val="center"/>
          </w:tcPr>
          <w:p w14:paraId="0B490C0B">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24.1</w:t>
            </w:r>
          </w:p>
        </w:tc>
        <w:tc>
          <w:tcPr>
            <w:tcW w:w="8181" w:type="dxa"/>
            <w:vAlign w:val="center"/>
          </w:tcPr>
          <w:p w14:paraId="754A9FF1">
            <w:pPr>
              <w:snapToGrid w:val="0"/>
              <w:spacing w:line="500" w:lineRule="exact"/>
              <w:rPr>
                <w:rFonts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谈判小组的人数：3人。</w:t>
            </w:r>
          </w:p>
        </w:tc>
      </w:tr>
      <w:tr w14:paraId="5DC26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991" w:type="dxa"/>
            <w:vAlign w:val="center"/>
          </w:tcPr>
          <w:p w14:paraId="0E12F77F">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25.2</w:t>
            </w:r>
          </w:p>
        </w:tc>
        <w:tc>
          <w:tcPr>
            <w:tcW w:w="8181" w:type="dxa"/>
            <w:vAlign w:val="center"/>
          </w:tcPr>
          <w:p w14:paraId="53AF37C6">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采购代理机构将依托电子交易平台发起开始解密指令，</w:t>
            </w:r>
            <w:r>
              <w:rPr>
                <w:rFonts w:hint="eastAsia" w:asciiTheme="minorEastAsia" w:hAnsiTheme="minorEastAsia" w:eastAsiaTheme="minorEastAsia" w:cstheme="minorEastAsia"/>
                <w:b/>
                <w:color w:val="auto"/>
                <w:sz w:val="24"/>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Theme="minorEastAsia" w:hAnsiTheme="minorEastAsia" w:eastAsiaTheme="minorEastAsia" w:cstheme="minorEastAsia"/>
                <w:b/>
                <w:bCs/>
                <w:color w:val="auto"/>
                <w:sz w:val="24"/>
                <w:highlight w:val="none"/>
              </w:rPr>
              <w:t>响应文件未按时解密的，视为响应文件无效。</w:t>
            </w:r>
          </w:p>
        </w:tc>
      </w:tr>
      <w:tr w14:paraId="00EDD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991" w:type="dxa"/>
            <w:vMerge w:val="restart"/>
            <w:vAlign w:val="center"/>
          </w:tcPr>
          <w:p w14:paraId="2C5ED68A">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26</w:t>
            </w:r>
          </w:p>
        </w:tc>
        <w:tc>
          <w:tcPr>
            <w:tcW w:w="8181" w:type="dxa"/>
            <w:vAlign w:val="center"/>
          </w:tcPr>
          <w:p w14:paraId="4B9C8919">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商务要求评审中允许负偏离的条款数为</w:t>
            </w:r>
            <w:r>
              <w:rPr>
                <w:rFonts w:hint="eastAsia" w:asciiTheme="minorEastAsia" w:hAnsiTheme="minorEastAsia" w:eastAsiaTheme="minorEastAsia" w:cstheme="minorEastAsia"/>
                <w:color w:val="auto"/>
                <w:sz w:val="24"/>
                <w:highlight w:val="none"/>
                <w:u w:val="single"/>
              </w:rPr>
              <w:t xml:space="preserve">  0  </w:t>
            </w:r>
            <w:r>
              <w:rPr>
                <w:rFonts w:hint="eastAsia" w:asciiTheme="minorEastAsia" w:hAnsiTheme="minorEastAsia" w:eastAsiaTheme="minorEastAsia" w:cstheme="minorEastAsia"/>
                <w:color w:val="auto"/>
                <w:sz w:val="24"/>
                <w:highlight w:val="none"/>
              </w:rPr>
              <w:t>项。</w:t>
            </w:r>
          </w:p>
          <w:p w14:paraId="3517ACBF">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技术要求评审中允许负偏离的条款数为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u w:val="single"/>
                <w:lang w:val="en-US" w:eastAsia="zh-CN"/>
              </w:rPr>
              <w:t>3</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项。</w:t>
            </w:r>
          </w:p>
        </w:tc>
      </w:tr>
      <w:tr w14:paraId="53F58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9" w:hRule="atLeast"/>
          <w:jc w:val="center"/>
        </w:trPr>
        <w:tc>
          <w:tcPr>
            <w:tcW w:w="991" w:type="dxa"/>
            <w:vMerge w:val="continue"/>
            <w:vAlign w:val="center"/>
          </w:tcPr>
          <w:p w14:paraId="3AFD2BC8">
            <w:pPr>
              <w:spacing w:line="500" w:lineRule="exact"/>
              <w:jc w:val="center"/>
              <w:rPr>
                <w:rFonts w:asciiTheme="minorEastAsia" w:hAnsiTheme="minorEastAsia" w:eastAsiaTheme="minorEastAsia" w:cstheme="minorEastAsia"/>
                <w:color w:val="auto"/>
                <w:sz w:val="24"/>
                <w:highlight w:val="none"/>
              </w:rPr>
            </w:pPr>
          </w:p>
        </w:tc>
        <w:tc>
          <w:tcPr>
            <w:tcW w:w="8181" w:type="dxa"/>
            <w:vAlign w:val="center"/>
          </w:tcPr>
          <w:p w14:paraId="06E02CB9">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谈判的顺序：按“广西政府采购云平台”系统的编号顺序。</w:t>
            </w:r>
          </w:p>
          <w:p w14:paraId="54F13307">
            <w:pPr>
              <w:snapToGrid w:val="0"/>
              <w:spacing w:line="500" w:lineRule="exac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符合谈判资格的供应商必须在接到谈判通知后规定时间内参加谈判，未在规定时间内参加谈判的视同放弃参加谈判权利，其响应文件按无效响应处理。</w:t>
            </w:r>
          </w:p>
          <w:p w14:paraId="64AC2A7A">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参与谈判前，供应商法定代表人或者委托代理人必须向谈判小组出示本人有效证件原件[有效证件可以是身份证（含临时身份证明）或者护照的其中一项。</w:t>
            </w:r>
          </w:p>
        </w:tc>
      </w:tr>
      <w:tr w14:paraId="0789F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991" w:type="dxa"/>
            <w:vMerge w:val="continue"/>
            <w:vAlign w:val="center"/>
          </w:tcPr>
          <w:p w14:paraId="6E72F612">
            <w:pPr>
              <w:spacing w:line="500" w:lineRule="exact"/>
              <w:jc w:val="center"/>
              <w:rPr>
                <w:rFonts w:asciiTheme="minorEastAsia" w:hAnsiTheme="minorEastAsia" w:eastAsiaTheme="minorEastAsia" w:cstheme="minorEastAsia"/>
                <w:color w:val="auto"/>
                <w:sz w:val="24"/>
                <w:highlight w:val="none"/>
              </w:rPr>
            </w:pPr>
          </w:p>
        </w:tc>
        <w:tc>
          <w:tcPr>
            <w:tcW w:w="8181" w:type="dxa"/>
            <w:vAlign w:val="center"/>
          </w:tcPr>
          <w:p w14:paraId="642FDD95">
            <w:pPr>
              <w:spacing w:line="500" w:lineRule="exact"/>
              <w:contextualSpacing/>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评审价相同时，按照最后报价由低到高顺序依次推荐；最后报价相同的，按以下原则确定成交候选人的顺序：</w:t>
            </w:r>
          </w:p>
          <w:p w14:paraId="0319E114">
            <w:pPr>
              <w:spacing w:line="500" w:lineRule="exact"/>
              <w:contextualSpacing/>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依次按带“▲”的实质性要求正偏离项数多的优先、均无正偏离或者正偏离项数一致时负偏离项数少的优先、质量保证期长优先、交货期短优先、故障响应时间短优先、节能环保产品累计金额多的优先的顺序排列。</w:t>
            </w:r>
          </w:p>
          <w:p w14:paraId="5A999374">
            <w:pPr>
              <w:spacing w:line="500" w:lineRule="exact"/>
              <w:contextualSpacing/>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rPr>
              <w:t>□由谈判小组推荐代表随机抽取。</w:t>
            </w:r>
          </w:p>
        </w:tc>
      </w:tr>
      <w:tr w14:paraId="232AA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991" w:type="dxa"/>
            <w:vAlign w:val="center"/>
          </w:tcPr>
          <w:p w14:paraId="01062834">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28.1</w:t>
            </w:r>
          </w:p>
        </w:tc>
        <w:tc>
          <w:tcPr>
            <w:tcW w:w="8181" w:type="dxa"/>
            <w:vAlign w:val="center"/>
          </w:tcPr>
          <w:p w14:paraId="4075C310">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w:char="00A8"/>
            </w:r>
            <w:r>
              <w:rPr>
                <w:rFonts w:hint="eastAsia" w:asciiTheme="minorEastAsia" w:hAnsiTheme="minorEastAsia" w:eastAsiaTheme="minorEastAsia" w:cstheme="minorEastAsia"/>
                <w:color w:val="auto"/>
                <w:sz w:val="24"/>
                <w:highlight w:val="none"/>
              </w:rPr>
              <w:t>本项目不收取履约保证金。</w:t>
            </w:r>
          </w:p>
          <w:p w14:paraId="0C80FCC8">
            <w:pPr>
              <w:pStyle w:val="8"/>
              <w:spacing w:line="360"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sym w:font="Wingdings" w:char="00FE"/>
            </w:r>
            <w:r>
              <w:rPr>
                <w:rFonts w:hint="eastAsia" w:asciiTheme="minorEastAsia" w:hAnsiTheme="minorEastAsia" w:eastAsiaTheme="minorEastAsia" w:cstheme="minorEastAsia"/>
                <w:color w:val="auto"/>
                <w:sz w:val="24"/>
                <w:highlight w:val="none"/>
              </w:rPr>
              <w:t>本项目收取履约保证金：详见商务条款。</w:t>
            </w:r>
          </w:p>
          <w:p w14:paraId="204F5B89">
            <w:pPr>
              <w:autoSpaceDE w:val="0"/>
              <w:autoSpaceDN w:val="0"/>
              <w:snapToGrid w:val="0"/>
              <w:spacing w:line="360" w:lineRule="auto"/>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履约保证金递交方式：详见商务条款。</w:t>
            </w:r>
          </w:p>
          <w:p w14:paraId="2490529E">
            <w:pPr>
              <w:autoSpaceDE w:val="0"/>
              <w:autoSpaceDN w:val="0"/>
              <w:snapToGrid w:val="0"/>
              <w:spacing w:line="360" w:lineRule="auto"/>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履约保证金退付方式、时间及条件详见商务条款。</w:t>
            </w:r>
          </w:p>
          <w:p w14:paraId="74EC5597">
            <w:pPr>
              <w:autoSpaceDE w:val="0"/>
              <w:autoSpaceDN w:val="0"/>
              <w:snapToGrid w:val="0"/>
              <w:spacing w:line="360" w:lineRule="auto"/>
              <w:textAlignment w:val="bottom"/>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【备注】</w:t>
            </w:r>
          </w:p>
          <w:p w14:paraId="55B40B26">
            <w:pPr>
              <w:autoSpaceDE w:val="0"/>
              <w:autoSpaceDN w:val="0"/>
              <w:snapToGrid w:val="0"/>
              <w:spacing w:line="360" w:lineRule="auto"/>
              <w:textAlignment w:val="bottom"/>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1.根据《广西壮族自治区财政厅关于持续优化政府采购营商环境推动高质量发展的通知》（桂财采〔2024〕55号），采购文件要求成交供应商提交履约保证金的，履约保证金数额不得超过政府采购合同金额的5%，对中小企业收取的履约保证金数额不得超过政府采购合同金额的2%。</w:t>
            </w:r>
          </w:p>
          <w:p w14:paraId="6D6556DC">
            <w:pPr>
              <w:autoSpaceDE w:val="0"/>
              <w:autoSpaceDN w:val="0"/>
              <w:snapToGrid w:val="0"/>
              <w:spacing w:line="360" w:lineRule="auto"/>
              <w:textAlignment w:val="bottom"/>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2.履约保证金必须足额缴纳，或出具的保函额度必须足额且保函有效期不能低于合同履行期限（即签订采购合同之日起至履行完合同约定的权利及义务之日止），否则视为无效履约保证金。</w:t>
            </w:r>
          </w:p>
          <w:p w14:paraId="257FDBF2">
            <w:pPr>
              <w:autoSpaceDE w:val="0"/>
              <w:autoSpaceDN w:val="0"/>
              <w:snapToGrid w:val="0"/>
              <w:spacing w:line="360" w:lineRule="auto"/>
              <w:textAlignment w:val="bottom"/>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3.采用保函的，必须为无条件保函，否则视为无效履约保证金。</w:t>
            </w:r>
          </w:p>
          <w:p w14:paraId="7C8782D5">
            <w:pPr>
              <w:autoSpaceDE w:val="0"/>
              <w:autoSpaceDN w:val="0"/>
              <w:snapToGrid w:val="0"/>
              <w:spacing w:line="360" w:lineRule="auto"/>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4.供应商为联合体的，由联合体任意一方按规定提交的履约保证金，视为有效履约保证金。</w:t>
            </w:r>
          </w:p>
        </w:tc>
      </w:tr>
      <w:tr w14:paraId="23288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991" w:type="dxa"/>
            <w:vAlign w:val="center"/>
          </w:tcPr>
          <w:p w14:paraId="4BFCB7D9">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29.1</w:t>
            </w:r>
          </w:p>
        </w:tc>
        <w:tc>
          <w:tcPr>
            <w:tcW w:w="8181" w:type="dxa"/>
            <w:vAlign w:val="center"/>
          </w:tcPr>
          <w:p w14:paraId="5145BA97">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签订合同携带的证明材料： </w:t>
            </w:r>
          </w:p>
          <w:p w14:paraId="31039033">
            <w:pPr>
              <w:autoSpaceDE w:val="0"/>
              <w:autoSpaceDN w:val="0"/>
              <w:snapToGrid w:val="0"/>
              <w:spacing w:line="500" w:lineRule="exact"/>
              <w:textAlignment w:val="bottom"/>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委托代理人负责签订合同的，须携带授权委托书及委托代理人身份证原件等其他资格证件。</w:t>
            </w:r>
          </w:p>
          <w:p w14:paraId="547BEC4D">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color w:val="auto"/>
                <w:sz w:val="24"/>
                <w:highlight w:val="none"/>
              </w:rPr>
              <w:t>法定代表人负责签订合同的，须携带法定代表人身份证明原件及身份证原件等其他证明材料。</w:t>
            </w:r>
          </w:p>
        </w:tc>
      </w:tr>
      <w:tr w14:paraId="2EA3C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991" w:type="dxa"/>
            <w:vAlign w:val="center"/>
          </w:tcPr>
          <w:p w14:paraId="59019640">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31.2</w:t>
            </w:r>
          </w:p>
        </w:tc>
        <w:tc>
          <w:tcPr>
            <w:tcW w:w="8181" w:type="dxa"/>
            <w:vAlign w:val="center"/>
          </w:tcPr>
          <w:p w14:paraId="740BB3D9">
            <w:pPr>
              <w:snapToGrid w:val="0"/>
              <w:spacing w:line="5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接收质疑函方式：以纸质书面形式。</w:t>
            </w:r>
          </w:p>
          <w:p w14:paraId="6BBC4844">
            <w:pPr>
              <w:pStyle w:val="14"/>
              <w:snapToGrid w:val="0"/>
              <w:spacing w:line="42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广西建设工程机电设备招标中心有限公司，</w:t>
            </w:r>
          </w:p>
          <w:p w14:paraId="4BC21614">
            <w:pPr>
              <w:pStyle w:val="14"/>
              <w:snapToGrid w:val="0"/>
              <w:spacing w:line="42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质疑联系人：</w:t>
            </w:r>
            <w:r>
              <w:rPr>
                <w:rFonts w:hint="eastAsia" w:asciiTheme="minorEastAsia" w:hAnsiTheme="minorEastAsia" w:eastAsiaTheme="minorEastAsia" w:cstheme="minorEastAsia"/>
                <w:color w:val="auto"/>
                <w:sz w:val="24"/>
                <w:szCs w:val="24"/>
                <w:highlight w:val="none"/>
                <w:lang w:val="en-US" w:eastAsia="zh-CN"/>
              </w:rPr>
              <w:t>谭琦辉、</w:t>
            </w:r>
            <w:r>
              <w:rPr>
                <w:rFonts w:hint="eastAsia" w:asciiTheme="minorEastAsia" w:hAnsiTheme="minorEastAsia" w:eastAsiaTheme="minorEastAsia" w:cstheme="minorEastAsia"/>
                <w:color w:val="auto"/>
                <w:sz w:val="24"/>
                <w:szCs w:val="24"/>
                <w:highlight w:val="none"/>
              </w:rPr>
              <w:t>刘雅婷；联系电话：0771-2821389</w:t>
            </w:r>
          </w:p>
          <w:p w14:paraId="44C9A378">
            <w:pPr>
              <w:pStyle w:val="14"/>
              <w:snapToGrid w:val="0"/>
              <w:spacing w:line="42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通讯地址：</w:t>
            </w:r>
            <w:r>
              <w:rPr>
                <w:rFonts w:hint="eastAsia" w:asciiTheme="minorEastAsia" w:hAnsiTheme="minorEastAsia" w:eastAsiaTheme="minorEastAsia" w:cstheme="minorEastAsia"/>
                <w:color w:val="auto"/>
                <w:sz w:val="24"/>
                <w:highlight w:val="none"/>
              </w:rPr>
              <w:t>广西壮族自治区南宁市青秀区枫林路18号广西国控大厦裙楼三层</w:t>
            </w:r>
          </w:p>
          <w:p w14:paraId="62245EEB">
            <w:pPr>
              <w:pStyle w:val="14"/>
              <w:snapToGrid w:val="0"/>
              <w:spacing w:line="500" w:lineRule="exact"/>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业务时间： 工作日（上午8:00-12:00；下午15:00-18:00）。</w:t>
            </w:r>
          </w:p>
        </w:tc>
      </w:tr>
      <w:tr w14:paraId="5D224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991" w:type="dxa"/>
            <w:vAlign w:val="center"/>
          </w:tcPr>
          <w:p w14:paraId="605E03B2">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32.1</w:t>
            </w:r>
          </w:p>
        </w:tc>
        <w:tc>
          <w:tcPr>
            <w:tcW w:w="8181" w:type="dxa"/>
            <w:vAlign w:val="center"/>
          </w:tcPr>
          <w:p w14:paraId="6FCD982F">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1.采购代理服务费支付方式：本项目的招标代理服务费按以下收费标准向成交供应商收取。</w:t>
            </w:r>
          </w:p>
          <w:p w14:paraId="55644656">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color w:val="auto"/>
                <w:sz w:val="24"/>
                <w:szCs w:val="24"/>
                <w:highlight w:val="none"/>
              </w:rPr>
              <w:t>采购代理服务费收取标准：</w:t>
            </w:r>
          </w:p>
          <w:p w14:paraId="39B01581">
            <w:pPr>
              <w:pStyle w:val="14"/>
              <w:snapToGrid w:val="0"/>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以项目成交金额为计费额，按本采购文件之供应商须知正文第32.2条规定的收费计算标准（货物类）采用差额定率累进法计算出收费基准价格，采购代理服务费收费以收费基准价格</w:t>
            </w:r>
            <w:r>
              <w:rPr>
                <w:rFonts w:hint="eastAsia" w:asciiTheme="minorEastAsia" w:hAnsiTheme="minorEastAsia" w:eastAsiaTheme="minorEastAsia" w:cstheme="minorEastAsia"/>
                <w:color w:val="auto"/>
                <w:sz w:val="24"/>
                <w:szCs w:val="24"/>
                <w:highlight w:val="none"/>
                <w:lang w:val="en-US" w:eastAsia="zh-CN"/>
              </w:rPr>
              <w:t>下浮20%</w:t>
            </w:r>
            <w:r>
              <w:rPr>
                <w:rFonts w:hint="eastAsia" w:asciiTheme="minorEastAsia" w:hAnsiTheme="minorEastAsia" w:eastAsiaTheme="minorEastAsia" w:cstheme="minorEastAsia"/>
                <w:color w:val="auto"/>
                <w:sz w:val="24"/>
                <w:szCs w:val="24"/>
                <w:highlight w:val="none"/>
              </w:rPr>
              <w:t>收取。</w:t>
            </w:r>
          </w:p>
          <w:p w14:paraId="04164561">
            <w:pPr>
              <w:pStyle w:val="14"/>
              <w:snapToGrid w:val="0"/>
              <w:spacing w:line="500" w:lineRule="exact"/>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
                <w:bCs/>
                <w:color w:val="auto"/>
                <w:sz w:val="24"/>
                <w:szCs w:val="24"/>
                <w:highlight w:val="none"/>
              </w:rPr>
              <w:t>采购代理服务费专用银行信息：</w:t>
            </w:r>
          </w:p>
          <w:p w14:paraId="17BF53A7">
            <w:pPr>
              <w:pStyle w:val="14"/>
              <w:snapToGrid w:val="0"/>
              <w:spacing w:line="500" w:lineRule="exact"/>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开户名称：广西建设工程机电设备招标中心有限公司</w:t>
            </w:r>
          </w:p>
          <w:p w14:paraId="1842B3F8">
            <w:pPr>
              <w:pStyle w:val="14"/>
              <w:snapToGrid w:val="0"/>
              <w:spacing w:line="500" w:lineRule="exact"/>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开户银行：招商银行南宁分行营业部</w:t>
            </w:r>
          </w:p>
          <w:p w14:paraId="46048F03">
            <w:pPr>
              <w:pStyle w:val="14"/>
              <w:snapToGrid w:val="0"/>
              <w:spacing w:line="500" w:lineRule="exact"/>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银行账号：7719 0142 3310 201</w:t>
            </w:r>
          </w:p>
        </w:tc>
      </w:tr>
      <w:tr w14:paraId="5F696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jc w:val="center"/>
        </w:trPr>
        <w:tc>
          <w:tcPr>
            <w:tcW w:w="991" w:type="dxa"/>
            <w:vAlign w:val="center"/>
          </w:tcPr>
          <w:p w14:paraId="7F197BD6">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33.1</w:t>
            </w:r>
          </w:p>
        </w:tc>
        <w:tc>
          <w:tcPr>
            <w:tcW w:w="8181" w:type="dxa"/>
            <w:vAlign w:val="center"/>
          </w:tcPr>
          <w:p w14:paraId="1A95F5E4">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解释：构成本谈判文件的各个组成文件应互为解释，互为说明；除谈判文件中有特别规定外，仅适用于竞争性谈判阶段的规定，按更正公告（澄清公告）、竞争性谈判公告、供应商须知、采购需求、评审程序和评定成交的标准、响应文件格式、合同文本的先后顺序解释；同一组成文件中就同一事项的规定或约定不一致的，以编排顺序在后者为准；同一组成文件不同版本之间有不一致的，以形成时间在后者为准；更正公告（澄清公告）与同步更新的谈判文件不一致时以更正公告（澄清公告）为准。按本款前述规定仍不能形成结论的，由采购人或者采购代理机构负责解释。</w:t>
            </w:r>
          </w:p>
        </w:tc>
      </w:tr>
      <w:tr w14:paraId="6E6F1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5" w:hRule="atLeast"/>
          <w:jc w:val="center"/>
        </w:trPr>
        <w:tc>
          <w:tcPr>
            <w:tcW w:w="991" w:type="dxa"/>
            <w:vAlign w:val="center"/>
          </w:tcPr>
          <w:p w14:paraId="24EB5228">
            <w:pPr>
              <w:spacing w:line="5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33.2</w:t>
            </w:r>
          </w:p>
        </w:tc>
        <w:tc>
          <w:tcPr>
            <w:tcW w:w="8181" w:type="dxa"/>
            <w:vAlign w:val="center"/>
          </w:tcPr>
          <w:p w14:paraId="0535351C">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谈判文件中描述供应商的“公章”是指根据我国对公章的管理规定，用供应商法定主体名称制作的印章或供应商通过指定电子化政府采购平台办理数字证书（CA认证）获得的以法定主体名称制作的电子印章。除本谈判文件有特殊规定外，供应商的财务章、部门章、分公司章、工会章、合同章、竞争性谈判专用章、业务专用章及银行的转账章、现金收讫章、现金付讫章等其他形式印章均不能代替公章。</w:t>
            </w:r>
          </w:p>
          <w:p w14:paraId="6AB85771">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2.供应商为其他组织或者自然人时，本谈判文件规定的法定代表人指负责人或者自然人。本谈判文件所称负责人是指参加竞争性谈判的其他组织</w:t>
            </w:r>
            <w:r>
              <w:rPr>
                <w:rFonts w:hint="eastAsia" w:asciiTheme="minorEastAsia" w:hAnsiTheme="minorEastAsia" w:eastAsiaTheme="minorEastAsia" w:cstheme="minorEastAsia"/>
                <w:bCs/>
                <w:color w:val="auto"/>
                <w:sz w:val="24"/>
                <w:szCs w:val="24"/>
                <w:highlight w:val="none"/>
              </w:rPr>
              <w:t>营业执照或者执业许可证等证照上</w:t>
            </w:r>
            <w:r>
              <w:rPr>
                <w:rFonts w:hint="eastAsia" w:asciiTheme="minorEastAsia" w:hAnsiTheme="minorEastAsia" w:eastAsiaTheme="minorEastAsia" w:cstheme="minorEastAsia"/>
                <w:color w:val="auto"/>
                <w:sz w:val="24"/>
                <w:szCs w:val="24"/>
                <w:highlight w:val="none"/>
              </w:rPr>
              <w:t>的负责人，本谈判文件所称自然人指参与竞争性谈判的自然人本人，</w:t>
            </w:r>
            <w:r>
              <w:rPr>
                <w:rFonts w:hint="eastAsia" w:asciiTheme="minorEastAsia" w:hAnsiTheme="minorEastAsia" w:eastAsiaTheme="minorEastAsia" w:cstheme="minorEastAsia"/>
                <w:bCs/>
                <w:color w:val="auto"/>
                <w:sz w:val="24"/>
                <w:szCs w:val="24"/>
                <w:highlight w:val="none"/>
              </w:rPr>
              <w:t>且应具备独立承担民事责任能力，自然人应当为年满18岁以上成年人（十六周岁以上的未成年人，以自己的劳动收入为主要生活来源的，视为完全民事行为能力人）。</w:t>
            </w:r>
          </w:p>
          <w:p w14:paraId="1E0C4600">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本谈判文件中描述供应商的“签字”是指供应商的法定代表人或者委托代理人在文件规定签署处签名或者指供应商通过指定电子化政府采购平台办理数字证书（CA认证）获得的以供应商法定代表人或者委托代理人姓名制作的电子印章签名的行为，私章、印鉴等其他形式均不能代替签字。</w:t>
            </w:r>
          </w:p>
          <w:p w14:paraId="32E7FC87">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本谈判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5B936AD5">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5.自然人参与竞争性谈判的，谈判文件规定盖章的地方自然人可以加盖手指指印。</w:t>
            </w:r>
          </w:p>
          <w:p w14:paraId="07004989">
            <w:pPr>
              <w:pStyle w:val="14"/>
              <w:snapToGrid w:val="0"/>
              <w:spacing w:line="500" w:lineRule="exac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6.本谈判文件所称的“以上”“以下”“以内”“届满”，包括本数；所称的“不满”“超过”“以外”，不包括本数。</w:t>
            </w:r>
          </w:p>
        </w:tc>
      </w:tr>
    </w:tbl>
    <w:p w14:paraId="48EC2F74">
      <w:pPr>
        <w:spacing w:line="360" w:lineRule="auto"/>
        <w:jc w:val="center"/>
        <w:rPr>
          <w:rFonts w:ascii="宋体" w:hAnsi="宋体" w:cs="宋体"/>
          <w:b/>
          <w:color w:val="auto"/>
          <w:sz w:val="36"/>
          <w:szCs w:val="36"/>
          <w:highlight w:val="none"/>
        </w:rPr>
      </w:pPr>
      <w:r>
        <w:rPr>
          <w:rFonts w:hint="eastAsia" w:ascii="宋体" w:hAnsi="宋体" w:cs="宋体"/>
          <w:b/>
          <w:color w:val="auto"/>
          <w:sz w:val="32"/>
          <w:szCs w:val="32"/>
          <w:highlight w:val="none"/>
        </w:rPr>
        <w:br w:type="page"/>
      </w:r>
      <w:r>
        <w:rPr>
          <w:rFonts w:hint="eastAsia" w:ascii="宋体" w:hAnsi="宋体" w:cs="宋体"/>
          <w:b/>
          <w:color w:val="auto"/>
          <w:sz w:val="36"/>
          <w:szCs w:val="36"/>
          <w:highlight w:val="none"/>
        </w:rPr>
        <w:t>供应商须知正文</w:t>
      </w:r>
    </w:p>
    <w:p w14:paraId="1279CC1F">
      <w:pPr>
        <w:spacing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一、总则</w:t>
      </w:r>
    </w:p>
    <w:p w14:paraId="664E8E53">
      <w:pPr>
        <w:spacing w:line="400" w:lineRule="exact"/>
        <w:rPr>
          <w:rFonts w:ascii="宋体" w:hAnsi="宋体" w:cs="宋体"/>
          <w:color w:val="auto"/>
          <w:szCs w:val="21"/>
          <w:highlight w:val="none"/>
        </w:rPr>
      </w:pPr>
    </w:p>
    <w:p w14:paraId="7E533C68">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1.适用范围</w:t>
      </w:r>
    </w:p>
    <w:p w14:paraId="194150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529F4B5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w:t>
      </w:r>
      <w:r>
        <w:rPr>
          <w:rFonts w:hint="eastAsia" w:ascii="宋体" w:hAnsi="宋体" w:cs="宋体"/>
          <w:color w:val="auto"/>
          <w:spacing w:val="-6"/>
          <w:sz w:val="24"/>
          <w:highlight w:val="none"/>
        </w:rPr>
        <w:t>本竞争性谈判采购文件（以下简称谈判文件）适用于本项目的所有采购程序和环节（法律、法规另有规定的，从其规定）。</w:t>
      </w:r>
    </w:p>
    <w:p w14:paraId="4C63A049">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2.定义</w:t>
      </w:r>
    </w:p>
    <w:p w14:paraId="6888383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2.1“采购人”是指依法进行采购的国家机关、事业单位、团体组织。</w:t>
      </w:r>
    </w:p>
    <w:p w14:paraId="2E96E210">
      <w:pPr>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2.2“采购代理机构”</w:t>
      </w:r>
      <w:r>
        <w:rPr>
          <w:rFonts w:hint="eastAsia" w:ascii="宋体" w:hAnsi="宋体" w:cs="宋体"/>
          <w:b/>
          <w:color w:val="auto"/>
          <w:sz w:val="24"/>
          <w:highlight w:val="none"/>
        </w:rPr>
        <w:t>是指政府采购集中采购机构和集中采购机构以外的采购代理机构。</w:t>
      </w:r>
    </w:p>
    <w:p w14:paraId="689B358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2.3“供应商”是指向采购人提供货物、工程或者服务的法人、其他组织或者自然人。</w:t>
      </w:r>
    </w:p>
    <w:p w14:paraId="108B697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2.4“货物”是指各种形态和种类的物品，包括原材料、燃料、设备、产品等。</w:t>
      </w:r>
    </w:p>
    <w:p w14:paraId="7D9C6D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w:t>
      </w:r>
      <w:r>
        <w:rPr>
          <w:rFonts w:hint="eastAsia" w:hAnsi="宋体" w:cs="宋体"/>
          <w:color w:val="auto"/>
          <w:sz w:val="24"/>
          <w:highlight w:val="none"/>
        </w:rPr>
        <w:t>竞争性谈判</w:t>
      </w:r>
      <w:r>
        <w:rPr>
          <w:rFonts w:hint="eastAsia" w:ascii="宋体" w:hAnsi="宋体" w:cs="宋体"/>
          <w:color w:val="auto"/>
          <w:sz w:val="24"/>
          <w:highlight w:val="none"/>
        </w:rPr>
        <w:t>”是指按照本项目竞争性谈判公告或者邀请函规定的方式供应商获取谈判文件、提交响应文件并希望获得标的的行为。</w:t>
      </w:r>
    </w:p>
    <w:p w14:paraId="16ADFC9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2.6“售后服务” 是指包含但不限于供应商须承担的备品备件、包装、运输、装卸、保险、货到就位以及安装、调试、培训、保修和其他类似的义务。</w:t>
      </w:r>
    </w:p>
    <w:p w14:paraId="1F4567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2.7“书面形式”是指合同书、信件和数据电文（包括电报、电传、传真、电子数据交换和电子邮件）等可以有形地表现所载内容的形式。</w:t>
      </w:r>
    </w:p>
    <w:p w14:paraId="42BA143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2.8“响应文件”</w:t>
      </w:r>
      <w:r>
        <w:rPr>
          <w:rFonts w:hint="eastAsia" w:ascii="宋体" w:hAnsi="宋体" w:cs="宋体"/>
          <w:color w:val="auto"/>
          <w:spacing w:val="-6"/>
          <w:sz w:val="24"/>
          <w:highlight w:val="none"/>
        </w:rPr>
        <w:t>是指：供应商根据本谈判文件要求，编制包含报价、技术和服务等所有内容的文件。</w:t>
      </w:r>
    </w:p>
    <w:p w14:paraId="3A452B1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2.9 “实质性要求”是指采购需求中带“▲”的条款或者不能负偏离的条款或者已经指明不满足按响应文件按无效响应处理的条款。</w:t>
      </w:r>
    </w:p>
    <w:p w14:paraId="217EEB9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2.10“正偏离”，是指响应文件对谈判文件“采购需求”中有关条款作出优于条款要求并有利于采购人的响应情形；</w:t>
      </w:r>
    </w:p>
    <w:p w14:paraId="5ACC744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2.11“负偏离”，是指响应文件对谈判文件“采购需求”中有关条款作出的响应不满足条款要求，导致采购人要求不能得到满足的情形。</w:t>
      </w:r>
    </w:p>
    <w:p w14:paraId="15F9F8B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2.12“允许负偏离的条款”是指采购需求中的不属于“实质性要求”的条款。</w:t>
      </w:r>
    </w:p>
    <w:p w14:paraId="41FCD9D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2.13“首次报价”是指供应商提交的首次响应文件中的</w:t>
      </w:r>
      <w:r>
        <w:rPr>
          <w:rFonts w:hint="eastAsia" w:hAnsi="宋体" w:cs="宋体"/>
          <w:color w:val="auto"/>
          <w:sz w:val="24"/>
          <w:highlight w:val="none"/>
        </w:rPr>
        <w:t>竞争性谈判</w:t>
      </w:r>
      <w:r>
        <w:rPr>
          <w:rFonts w:hint="eastAsia" w:ascii="宋体" w:hAnsi="宋体" w:cs="宋体"/>
          <w:color w:val="auto"/>
          <w:sz w:val="24"/>
          <w:highlight w:val="none"/>
        </w:rPr>
        <w:t>报价。</w:t>
      </w:r>
    </w:p>
    <w:p w14:paraId="104B9EB0">
      <w:pPr>
        <w:spacing w:line="360" w:lineRule="auto"/>
        <w:ind w:firstLine="643" w:firstLineChars="200"/>
        <w:contextualSpacing/>
        <w:rPr>
          <w:rFonts w:ascii="宋体" w:hAnsi="宋体" w:cs="宋体"/>
          <w:b/>
          <w:bCs/>
          <w:color w:val="auto"/>
          <w:sz w:val="32"/>
          <w:szCs w:val="32"/>
          <w:highlight w:val="none"/>
        </w:rPr>
      </w:pPr>
      <w:r>
        <w:rPr>
          <w:rFonts w:hint="eastAsia" w:ascii="宋体" w:hAnsi="宋体" w:cs="宋体"/>
          <w:b/>
          <w:bCs/>
          <w:color w:val="auto"/>
          <w:sz w:val="32"/>
          <w:szCs w:val="32"/>
          <w:highlight w:val="none"/>
        </w:rPr>
        <w:t>3.供应商的资格条件</w:t>
      </w:r>
    </w:p>
    <w:p w14:paraId="703ADC3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供应商的资格条件详见“供应商须知前附表”。</w:t>
      </w:r>
    </w:p>
    <w:p w14:paraId="09BAD58D">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4.竞争性谈判费用</w:t>
      </w:r>
    </w:p>
    <w:p w14:paraId="61C4CD7B">
      <w:pPr>
        <w:spacing w:line="360" w:lineRule="auto"/>
        <w:ind w:firstLine="480" w:firstLineChars="200"/>
        <w:rPr>
          <w:rFonts w:ascii="宋体" w:hAnsi="宋体" w:cs="宋体"/>
          <w:color w:val="auto"/>
          <w:sz w:val="24"/>
          <w:highlight w:val="none"/>
        </w:rPr>
      </w:pPr>
      <w:r>
        <w:rPr>
          <w:rFonts w:hint="eastAsia" w:hAnsi="宋体" w:cs="宋体"/>
          <w:color w:val="auto"/>
          <w:sz w:val="24"/>
          <w:highlight w:val="none"/>
        </w:rPr>
        <w:t>竞争性谈判</w:t>
      </w:r>
      <w:r>
        <w:rPr>
          <w:rFonts w:hint="eastAsia" w:ascii="宋体" w:hAnsi="宋体" w:cs="宋体"/>
          <w:color w:val="auto"/>
          <w:sz w:val="24"/>
          <w:highlight w:val="none"/>
        </w:rPr>
        <w:t>费用：供应商应承担参与本次采购活动有关的所有费用，包括但不限于获取谈判文件、勘查现场、编制和提交响应文件、参加谈判与应答、签订合同等，不论</w:t>
      </w:r>
      <w:r>
        <w:rPr>
          <w:rFonts w:hint="eastAsia" w:hAnsi="宋体" w:cs="宋体"/>
          <w:color w:val="auto"/>
          <w:sz w:val="24"/>
          <w:highlight w:val="none"/>
        </w:rPr>
        <w:t>竞争性谈判</w:t>
      </w:r>
      <w:r>
        <w:rPr>
          <w:rFonts w:hint="eastAsia" w:ascii="宋体" w:hAnsi="宋体" w:cs="宋体"/>
          <w:color w:val="auto"/>
          <w:sz w:val="24"/>
          <w:highlight w:val="none"/>
        </w:rPr>
        <w:t>结果如何，均应自行承担。</w:t>
      </w:r>
    </w:p>
    <w:p w14:paraId="253E03ED">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5.联合体参与竞争性谈判</w:t>
      </w:r>
    </w:p>
    <w:p w14:paraId="2E49399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5.1本项目是否接受联合体参与</w:t>
      </w:r>
      <w:r>
        <w:rPr>
          <w:rFonts w:hint="eastAsia" w:hAnsi="宋体" w:cs="宋体"/>
          <w:color w:val="auto"/>
          <w:sz w:val="24"/>
          <w:highlight w:val="none"/>
        </w:rPr>
        <w:t>竞争性谈判</w:t>
      </w:r>
      <w:r>
        <w:rPr>
          <w:rFonts w:hint="eastAsia" w:ascii="宋体" w:hAnsi="宋体" w:cs="宋体"/>
          <w:color w:val="auto"/>
          <w:sz w:val="24"/>
          <w:highlight w:val="none"/>
        </w:rPr>
        <w:t>，详见“供应商须知前附表”。</w:t>
      </w:r>
    </w:p>
    <w:p w14:paraId="5E73E70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bCs/>
          <w:color w:val="auto"/>
          <w:sz w:val="24"/>
          <w:highlight w:val="none"/>
        </w:rPr>
        <w:t>如接受联合体参与</w:t>
      </w:r>
      <w:r>
        <w:rPr>
          <w:rFonts w:hint="eastAsia" w:hAnsi="宋体" w:cs="宋体"/>
          <w:color w:val="auto"/>
          <w:sz w:val="24"/>
          <w:highlight w:val="none"/>
        </w:rPr>
        <w:t>竞争性谈判</w:t>
      </w:r>
      <w:r>
        <w:rPr>
          <w:rFonts w:hint="eastAsia" w:ascii="宋体" w:hAnsi="宋体" w:cs="宋体"/>
          <w:bCs/>
          <w:color w:val="auto"/>
          <w:sz w:val="24"/>
          <w:highlight w:val="none"/>
        </w:rPr>
        <w:t>，</w:t>
      </w:r>
      <w:r>
        <w:rPr>
          <w:rFonts w:hint="eastAsia" w:ascii="宋体" w:hAnsi="宋体" w:cs="宋体"/>
          <w:color w:val="auto"/>
          <w:sz w:val="24"/>
          <w:highlight w:val="none"/>
        </w:rPr>
        <w:t>具体要求详见“供应商须知前附表”。</w:t>
      </w:r>
    </w:p>
    <w:p w14:paraId="16D8410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5.3</w:t>
      </w:r>
      <w:bookmarkStart w:id="15" w:name="_Hlk65857072"/>
      <w:r>
        <w:rPr>
          <w:rFonts w:hint="eastAsia" w:ascii="宋体" w:hAnsi="宋体" w:cs="宋体"/>
          <w:color w:val="auto"/>
          <w:sz w:val="24"/>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15"/>
    </w:p>
    <w:p w14:paraId="5ADA53DC">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6.转包与分包             </w:t>
      </w:r>
    </w:p>
    <w:p w14:paraId="239102C3">
      <w:pPr>
        <w:pStyle w:val="5"/>
        <w:keepNext w:val="0"/>
        <w:keepLines w:val="0"/>
        <w:spacing w:before="0" w:after="0" w:line="360" w:lineRule="auto"/>
        <w:ind w:firstLine="480" w:firstLineChars="200"/>
        <w:rPr>
          <w:rFonts w:ascii="宋体" w:hAnsi="宋体" w:cs="宋体"/>
          <w:b w:val="0"/>
          <w:color w:val="auto"/>
          <w:sz w:val="24"/>
          <w:szCs w:val="24"/>
          <w:highlight w:val="none"/>
        </w:rPr>
      </w:pPr>
      <w:bookmarkStart w:id="16" w:name="_Toc254970673"/>
      <w:bookmarkStart w:id="17" w:name="_Toc254970532"/>
      <w:r>
        <w:rPr>
          <w:rFonts w:hint="eastAsia" w:ascii="宋体" w:hAnsi="宋体" w:cs="宋体"/>
          <w:b w:val="0"/>
          <w:color w:val="auto"/>
          <w:sz w:val="24"/>
          <w:szCs w:val="24"/>
          <w:highlight w:val="none"/>
        </w:rPr>
        <w:t>6.1本项目不允许转包。</w:t>
      </w:r>
    </w:p>
    <w:p w14:paraId="4DBBA4B0">
      <w:pPr>
        <w:pStyle w:val="5"/>
        <w:keepNext w:val="0"/>
        <w:keepLines w:val="0"/>
        <w:spacing w:before="0" w:after="0" w:line="360" w:lineRule="auto"/>
        <w:ind w:firstLine="360" w:firstLineChars="150"/>
        <w:rPr>
          <w:rFonts w:ascii="宋体" w:hAnsi="宋体" w:cs="宋体"/>
          <w:b w:val="0"/>
          <w:color w:val="auto"/>
          <w:sz w:val="24"/>
          <w:szCs w:val="24"/>
          <w:highlight w:val="none"/>
        </w:rPr>
      </w:pPr>
      <w:r>
        <w:rPr>
          <w:rFonts w:hint="eastAsia" w:ascii="宋体" w:hAnsi="宋体" w:cs="宋体"/>
          <w:b w:val="0"/>
          <w:color w:val="auto"/>
          <w:sz w:val="24"/>
          <w:szCs w:val="24"/>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68058D69">
      <w:pPr>
        <w:pStyle w:val="5"/>
        <w:keepNext w:val="0"/>
        <w:keepLines w:val="0"/>
        <w:spacing w:before="0" w:after="0" w:line="360" w:lineRule="auto"/>
        <w:ind w:firstLine="360" w:firstLineChars="150"/>
        <w:rPr>
          <w:rFonts w:ascii="宋体" w:hAnsi="宋体" w:cs="宋体"/>
          <w:b w:val="0"/>
          <w:color w:val="auto"/>
          <w:sz w:val="24"/>
          <w:szCs w:val="24"/>
          <w:highlight w:val="none"/>
        </w:rPr>
      </w:pPr>
      <w:r>
        <w:rPr>
          <w:rFonts w:hint="eastAsia" w:ascii="宋体" w:hAnsi="宋体" w:cs="宋体"/>
          <w:b w:val="0"/>
          <w:color w:val="auto"/>
          <w:sz w:val="24"/>
          <w:szCs w:val="24"/>
          <w:highlight w:val="none"/>
        </w:rPr>
        <w:t xml:space="preserve"> 6.3供应商根据谈判文件的规定和采购项目的实际情况，拟在成交后将成交项目的非主体、非关键性工作分包的，应当在响应文件中载明分包承担主体，分包承担主体应当具备相应资质条件且不得再次分包。</w:t>
      </w:r>
    </w:p>
    <w:p w14:paraId="4E18A4A6">
      <w:pPr>
        <w:spacing w:line="360" w:lineRule="auto"/>
        <w:ind w:firstLine="643" w:firstLineChars="200"/>
        <w:rPr>
          <w:rFonts w:ascii="宋体" w:hAnsi="宋体" w:cs="宋体"/>
          <w:color w:val="auto"/>
          <w:sz w:val="24"/>
          <w:highlight w:val="none"/>
        </w:rPr>
      </w:pPr>
      <w:r>
        <w:rPr>
          <w:rFonts w:hint="eastAsia" w:ascii="宋体" w:hAnsi="宋体" w:cs="宋体"/>
          <w:b/>
          <w:bCs/>
          <w:color w:val="auto"/>
          <w:sz w:val="32"/>
          <w:szCs w:val="32"/>
          <w:highlight w:val="none"/>
        </w:rPr>
        <w:t>7.特别说明</w:t>
      </w:r>
      <w:bookmarkEnd w:id="16"/>
      <w:bookmarkEnd w:id="17"/>
      <w:bookmarkStart w:id="18" w:name="_8.1提供相同品牌产品且通过资格审查、符合性审查的不同投标人参加同一合"/>
      <w:bookmarkEnd w:id="18"/>
    </w:p>
    <w:p w14:paraId="1DADADB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w:t>
      </w:r>
      <w:r>
        <w:rPr>
          <w:rFonts w:ascii="宋体" w:hAnsi="宋体" w:cs="宋体"/>
          <w:color w:val="auto"/>
          <w:sz w:val="24"/>
          <w:highlight w:val="none"/>
        </w:rPr>
        <w:t>1</w:t>
      </w:r>
      <w:r>
        <w:rPr>
          <w:rFonts w:hint="eastAsia" w:ascii="宋体" w:hAnsi="宋体" w:cs="宋体"/>
          <w:color w:val="auto"/>
          <w:sz w:val="24"/>
          <w:highlight w:val="none"/>
        </w:rPr>
        <w:t>如果本谈判文件要求提供供应商或制造商的资格、信誉、荣誉、业绩与企业认证等材料的，资格、信誉、荣誉、业绩与企业认证等必须为供应商或者制造商所拥有或自身获得 。</w:t>
      </w:r>
    </w:p>
    <w:p w14:paraId="5702FA8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w:t>
      </w:r>
      <w:r>
        <w:rPr>
          <w:rFonts w:ascii="宋体" w:hAnsi="宋体" w:cs="宋体"/>
          <w:color w:val="auto"/>
          <w:sz w:val="24"/>
          <w:highlight w:val="none"/>
        </w:rPr>
        <w:t>2</w:t>
      </w:r>
      <w:r>
        <w:rPr>
          <w:rFonts w:hint="eastAsia" w:ascii="宋体" w:hAnsi="宋体" w:cs="宋体"/>
          <w:color w:val="auto"/>
          <w:sz w:val="24"/>
          <w:highlight w:val="none"/>
        </w:rPr>
        <w:t>供应商应仔细阅读谈判文件的所有内容，按照谈判文件的要求提交响应文件，并对所提供的全部资料的真实性承担法律责任。</w:t>
      </w:r>
    </w:p>
    <w:p w14:paraId="49F73FD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w:t>
      </w:r>
      <w:r>
        <w:rPr>
          <w:rFonts w:ascii="宋体" w:hAnsi="宋体" w:cs="宋体"/>
          <w:color w:val="auto"/>
          <w:sz w:val="24"/>
          <w:highlight w:val="none"/>
        </w:rPr>
        <w:t>3</w:t>
      </w:r>
      <w:r>
        <w:rPr>
          <w:rFonts w:hint="eastAsia" w:ascii="宋体" w:hAnsi="宋体" w:cs="宋体"/>
          <w:color w:val="auto"/>
          <w:sz w:val="24"/>
          <w:highlight w:val="none"/>
        </w:rPr>
        <w:t>供应商在参与</w:t>
      </w:r>
      <w:r>
        <w:rPr>
          <w:rFonts w:hint="eastAsia" w:hAnsi="宋体" w:cs="宋体"/>
          <w:color w:val="auto"/>
          <w:sz w:val="24"/>
          <w:highlight w:val="none"/>
        </w:rPr>
        <w:t>竞争性谈判</w:t>
      </w:r>
      <w:r>
        <w:rPr>
          <w:rFonts w:hint="eastAsia" w:ascii="宋体" w:hAnsi="宋体" w:cs="宋体"/>
          <w:color w:val="auto"/>
          <w:sz w:val="24"/>
          <w:highlight w:val="none"/>
        </w:rPr>
        <w:t>活动中提供任何虚假材料,其响应文件按无效响应处理，并报监管部门查处；签订合同后发现的, 采购人有权单方解除合同，成交供应商须依法赔偿采购人，且民事赔偿并不免除违法供应商的行政与刑事责任。</w:t>
      </w:r>
    </w:p>
    <w:p w14:paraId="04EB647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w:t>
      </w:r>
      <w:r>
        <w:rPr>
          <w:rFonts w:ascii="宋体" w:hAnsi="宋体" w:cs="宋体"/>
          <w:color w:val="auto"/>
          <w:sz w:val="24"/>
          <w:highlight w:val="none"/>
        </w:rPr>
        <w:t>4</w:t>
      </w:r>
      <w:r>
        <w:rPr>
          <w:rFonts w:hint="eastAsia" w:ascii="宋体" w:hAnsi="宋体" w:cs="宋体"/>
          <w:color w:val="auto"/>
          <w:sz w:val="24"/>
          <w:highlight w:val="none"/>
        </w:rPr>
        <w:t>在政府采购活动中，采购人员及相关人员与供应商有下列利害关系之一的，应当回避：</w:t>
      </w:r>
    </w:p>
    <w:p w14:paraId="4814354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（1）参加采购活动前3年内与供应商存在劳动关系；</w:t>
      </w:r>
    </w:p>
    <w:p w14:paraId="7887C32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（2）参加采购活动前3年内担任供应商的董事、监事；</w:t>
      </w:r>
    </w:p>
    <w:p w14:paraId="3617548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（3）参加采购活动前3年内是供应商的控股股东或者实际控制人；</w:t>
      </w:r>
    </w:p>
    <w:p w14:paraId="169E6A0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（4）与供应商的法定代表人或者负责人有夫妻、直系血亲、三代以内旁系血亲或者近姻亲关系；</w:t>
      </w:r>
    </w:p>
    <w:p w14:paraId="5BDDEE2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（5）与供应商有其他可能影响政府采购活动公平、公正进行的关系。</w:t>
      </w:r>
    </w:p>
    <w:p w14:paraId="6B2FAE6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556D81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w:t>
      </w:r>
      <w:r>
        <w:rPr>
          <w:rFonts w:ascii="宋体" w:hAnsi="宋体" w:cs="宋体"/>
          <w:color w:val="auto"/>
          <w:sz w:val="24"/>
          <w:highlight w:val="none"/>
        </w:rPr>
        <w:t>5</w:t>
      </w:r>
      <w:r>
        <w:rPr>
          <w:rFonts w:hint="eastAsia" w:ascii="宋体" w:hAnsi="宋体" w:cs="宋体"/>
          <w:color w:val="auto"/>
          <w:sz w:val="24"/>
          <w:highlight w:val="none"/>
        </w:rPr>
        <w:t>有下列情形之一的视为供应商相互串通参与</w:t>
      </w:r>
      <w:r>
        <w:rPr>
          <w:rFonts w:hint="eastAsia" w:hAnsi="宋体" w:cs="宋体"/>
          <w:color w:val="auto"/>
          <w:sz w:val="24"/>
          <w:highlight w:val="none"/>
        </w:rPr>
        <w:t>竞争性谈判</w:t>
      </w:r>
      <w:r>
        <w:rPr>
          <w:rFonts w:hint="eastAsia" w:ascii="宋体" w:hAnsi="宋体" w:cs="宋体"/>
          <w:color w:val="auto"/>
          <w:sz w:val="24"/>
          <w:highlight w:val="none"/>
        </w:rPr>
        <w:t>，响应文件将被视为无效：</w:t>
      </w:r>
    </w:p>
    <w:p w14:paraId="6D0FC65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（1）不同供应商的响应文件由同一单位或者个人编制；</w:t>
      </w:r>
      <w:r>
        <w:rPr>
          <w:rFonts w:hint="eastAsia" w:ascii="宋体" w:hAnsi="宋体" w:cs="宋体"/>
          <w:color w:val="auto"/>
          <w:sz w:val="24"/>
          <w:highlight w:val="none"/>
          <w:shd w:val="clear" w:color="auto" w:fill="FFFFFF"/>
        </w:rPr>
        <w:t>或者上传提交响应文件硬件设备CPU编号、硬盘编号、网卡地址一致的情况；</w:t>
      </w:r>
    </w:p>
    <w:p w14:paraId="503B103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（2）不同供应商委托同一单位或者个人办理</w:t>
      </w:r>
      <w:r>
        <w:rPr>
          <w:rFonts w:hint="eastAsia" w:hAnsi="宋体" w:cs="宋体"/>
          <w:color w:val="auto"/>
          <w:sz w:val="24"/>
          <w:highlight w:val="none"/>
        </w:rPr>
        <w:t>竞争性谈判</w:t>
      </w:r>
      <w:r>
        <w:rPr>
          <w:rFonts w:hint="eastAsia" w:ascii="宋体" w:hAnsi="宋体" w:cs="宋体"/>
          <w:color w:val="auto"/>
          <w:sz w:val="24"/>
          <w:highlight w:val="none"/>
        </w:rPr>
        <w:t>事宜；</w:t>
      </w:r>
    </w:p>
    <w:p w14:paraId="238875E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（3）不同的供应商的响应文件载明的项目管理员为同一个人；</w:t>
      </w:r>
    </w:p>
    <w:p w14:paraId="20008D9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（4）不同供应商的响应文件异常一致或者报价呈规律性差异；</w:t>
      </w:r>
    </w:p>
    <w:p w14:paraId="3D47D78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021D985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（6）不同供应商的谈判保证金从同一单位或者个人账户转出；</w:t>
      </w:r>
    </w:p>
    <w:p w14:paraId="457C751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（7）供应商之间协商报价等响应文件的实质性内容；</w:t>
      </w:r>
    </w:p>
    <w:p w14:paraId="271B0F7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（8）供应商之间约定成交供应商；</w:t>
      </w:r>
    </w:p>
    <w:p w14:paraId="322E98D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（9）供应商之间约定部分供应商放弃参与竞争性谈判或者成交；</w:t>
      </w:r>
    </w:p>
    <w:p w14:paraId="4A0774F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（10）属于同一集团、协会、商会等组织成员的供应商按照该组织要求协同参与竞争性谈判；</w:t>
      </w:r>
    </w:p>
    <w:p w14:paraId="1EB2C52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（11）供应商之间为谋取成交或者排斥特定供应商而采取的其他联合行动。</w:t>
      </w:r>
    </w:p>
    <w:p w14:paraId="581FC67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w:t>
      </w:r>
      <w:r>
        <w:rPr>
          <w:rFonts w:ascii="宋体" w:hAnsi="宋体" w:cs="宋体"/>
          <w:color w:val="auto"/>
          <w:sz w:val="24"/>
          <w:highlight w:val="none"/>
        </w:rPr>
        <w:t>6</w:t>
      </w:r>
      <w:r>
        <w:rPr>
          <w:rFonts w:hint="eastAsia" w:ascii="宋体" w:hAnsi="宋体" w:cs="宋体"/>
          <w:color w:val="auto"/>
          <w:sz w:val="24"/>
          <w:highlight w:val="none"/>
        </w:rPr>
        <w:t>供应商有下列情形之一的，属于恶意串通行为</w:t>
      </w:r>
      <w:bookmarkStart w:id="19" w:name="_Hlk54682620"/>
      <w:r>
        <w:rPr>
          <w:rFonts w:hint="eastAsia" w:ascii="宋体" w:hAnsi="宋体" w:cs="宋体"/>
          <w:color w:val="auto"/>
          <w:sz w:val="24"/>
          <w:highlight w:val="none"/>
        </w:rPr>
        <w:t>，将报同级监督管理部门</w:t>
      </w:r>
      <w:bookmarkEnd w:id="19"/>
      <w:r>
        <w:rPr>
          <w:rFonts w:hint="eastAsia" w:ascii="宋体" w:hAnsi="宋体" w:cs="宋体"/>
          <w:color w:val="auto"/>
          <w:sz w:val="24"/>
          <w:highlight w:val="none"/>
        </w:rPr>
        <w:t>：</w:t>
      </w:r>
    </w:p>
    <w:p w14:paraId="2A32D09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365E4BC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3F879AF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（3）供应商之间协商报价、技术方案等响应文件或者响应文件的实质性内容；</w:t>
      </w:r>
    </w:p>
    <w:p w14:paraId="65A7C47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378A0DE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（5）供应商之间事先约定一致抬高或者压低报价,或者在政府采购活动中事先约定轮流以高价位或者低价位成交,或者事先约定由某一特定供应商成交,然后再参加</w:t>
      </w:r>
      <w:r>
        <w:rPr>
          <w:rFonts w:hint="eastAsia" w:hAnsi="宋体" w:cs="宋体"/>
          <w:color w:val="auto"/>
          <w:sz w:val="24"/>
          <w:highlight w:val="none"/>
        </w:rPr>
        <w:t>竞争性谈判</w:t>
      </w:r>
      <w:r>
        <w:rPr>
          <w:rFonts w:hint="eastAsia" w:ascii="宋体" w:hAnsi="宋体" w:cs="宋体"/>
          <w:color w:val="auto"/>
          <w:sz w:val="24"/>
          <w:highlight w:val="none"/>
        </w:rPr>
        <w:t>；</w:t>
      </w:r>
    </w:p>
    <w:p w14:paraId="0C1E1F7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208CD50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（7）供应商与采购人或者采购代理机构之间、供应商相互之间，为谋求特定供应商成交或者排斥其他供应商的其他串通行为。</w:t>
      </w:r>
    </w:p>
    <w:p w14:paraId="1892270C">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7.7</w:t>
      </w:r>
      <w:r>
        <w:rPr>
          <w:rFonts w:hint="eastAsia" w:ascii="宋体" w:hAnsi="宋体" w:cs="宋体"/>
          <w:color w:val="auto"/>
          <w:sz w:val="24"/>
          <w:highlight w:val="none"/>
        </w:rPr>
        <w:t>单一产品采购项目，提供相同品牌产品的不同供应商参加同一合同项下</w:t>
      </w:r>
      <w:r>
        <w:rPr>
          <w:rFonts w:hint="eastAsia" w:hAnsi="宋体" w:cs="宋体"/>
          <w:color w:val="auto"/>
          <w:sz w:val="24"/>
          <w:highlight w:val="none"/>
        </w:rPr>
        <w:t>竞争性谈判</w:t>
      </w:r>
      <w:r>
        <w:rPr>
          <w:rFonts w:hint="eastAsia" w:ascii="宋体" w:hAnsi="宋体" w:cs="宋体"/>
          <w:color w:val="auto"/>
          <w:sz w:val="24"/>
          <w:highlight w:val="none"/>
        </w:rPr>
        <w:t>的，以其中通过资格审查、符合性审查、谈判且最后报价最低的参加报价评审；最后报价相同的，按照前附表第2</w:t>
      </w:r>
      <w:r>
        <w:rPr>
          <w:rFonts w:ascii="宋体" w:hAnsi="宋体" w:cs="宋体"/>
          <w:color w:val="auto"/>
          <w:sz w:val="24"/>
          <w:highlight w:val="none"/>
        </w:rPr>
        <w:t>6</w:t>
      </w:r>
      <w:r>
        <w:rPr>
          <w:rFonts w:hint="eastAsia" w:ascii="宋体" w:hAnsi="宋体" w:cs="宋体"/>
          <w:color w:val="auto"/>
          <w:sz w:val="24"/>
          <w:highlight w:val="none"/>
        </w:rPr>
        <w:t>条规定确定一个参加评审的供应商，其他响应文件作无效处理。</w:t>
      </w:r>
    </w:p>
    <w:p w14:paraId="0509002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非单一产品采购项目，多家供应商提供的核心产品品牌相同的，按前款规定处理；多家供应商提供的所有产品品牌相同，按前款处理。</w:t>
      </w:r>
    </w:p>
    <w:p w14:paraId="18FFB587">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7.8.对本国产品的支持政策</w:t>
      </w:r>
    </w:p>
    <w:p w14:paraId="5FB7CCE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7.8.1本国产品标准</w:t>
      </w:r>
    </w:p>
    <w:p w14:paraId="3287AC3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“本国产品标准的产品”是指：符合《国务院办公厅关于在政府采购中实施本国产品标准及相关政策的通知》（国办发〔2025〕34号）规定的本国产品标准的产品。</w:t>
      </w:r>
    </w:p>
    <w:p w14:paraId="5A65D16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本国产品标准的产品应当符合以下条件：</w:t>
      </w:r>
    </w:p>
    <w:p w14:paraId="007C3034">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p>
    <w:p w14:paraId="2182EFA5">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①为确保产品在运输或者储存期间保持某种状态而进行的操作；</w:t>
      </w:r>
    </w:p>
    <w:p w14:paraId="55E98D15">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②为产品运输或者销售进行的包装或者展示；</w:t>
      </w:r>
    </w:p>
    <w:p w14:paraId="72F6F3D4">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③在产品或者其包装上粘贴或者印刷品牌、标志、标识以及其他用于区别的标记；</w:t>
      </w:r>
    </w:p>
    <w:p w14:paraId="105C6043">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④简单的上漆、磨光和分装；</w:t>
      </w:r>
    </w:p>
    <w:p w14:paraId="2D402DB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⑤其他不属于属性改变的情形；</w:t>
      </w:r>
    </w:p>
    <w:p w14:paraId="0FD92E44">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中国境内生产的组件成本占比达到规定比例。</w:t>
      </w:r>
    </w:p>
    <w:p w14:paraId="3E5F170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①产品在中国境内生产的组件成本占比应当达到规定比例，计算公式为：产品在中国境内生产的组件成本/产品总成本≥规定比例；</w:t>
      </w:r>
    </w:p>
    <w:p w14:paraId="4041D70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②产品在中国境内生产的组件成本，按照《中国境内生产的组件成本核算基本规则》（见第七章15.6中的附件）计算；</w:t>
      </w:r>
    </w:p>
    <w:p w14:paraId="2B2FD54C">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③中国境内生产的组件成本占比相关要求实施前，符合第（一）项条件的产品在政府采购活动中视同本国产品。</w:t>
      </w:r>
    </w:p>
    <w:p w14:paraId="43C10483">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特定产品的关键组件和工序在中国境内完成。</w:t>
      </w:r>
    </w:p>
    <w:p w14:paraId="50D5AC7D">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①对特定产品，在符合第（一）项和第（二）项条件的基础上，应当符合财政部会同有关行业主管部门确定的其关键组件、关键工序在中国境内生产、完成等要求；</w:t>
      </w:r>
    </w:p>
    <w:p w14:paraId="3FAD6F28">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②特定产品的关键组件、关键工序符合相关要求实施前，符合第（一）项和第（二）项条件的产品在政府采购活动中视同本国产品。</w:t>
      </w:r>
    </w:p>
    <w:p w14:paraId="5A210696">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7.8.2本国产品标准的适用范围</w:t>
      </w:r>
    </w:p>
    <w:p w14:paraId="0694A37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本项目是否适用对本国产品的支持政策详见供应商须知前附表。</w:t>
      </w:r>
    </w:p>
    <w:p w14:paraId="7DA6E2B5">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中华人民共和国缔结或者共同参加的国际条约、协定对政府采购中本国产品政策另有规定的，按照有关条约、协定执行。</w:t>
      </w:r>
    </w:p>
    <w:p w14:paraId="10B70B39">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7.8.3价格评审优惠既有本国产品又有非本国产品参与竞争的，依法对本国产品给予价格评审优惠，对本国产品的报价给予20%的价格扣除，用扣除后的价格参与评审。</w:t>
      </w:r>
    </w:p>
    <w:p w14:paraId="4BC791B1">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1EB319F">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价格扣除比例在第四章评审方法及标准中规定。</w:t>
      </w:r>
    </w:p>
    <w:p w14:paraId="6518C4AF">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7.8.4政策执行要求</w:t>
      </w:r>
    </w:p>
    <w:p w14:paraId="58682B44">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7.8.4.1产品在中国境内生产的组件成本核算规则：产品在中国境内生产的组件成本，按照《中国境内生产的组件成本核算基本规则》计算。</w:t>
      </w:r>
    </w:p>
    <w:p w14:paraId="03340621">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《中国境内生产的组件成本核算基本规则》</w:t>
      </w:r>
    </w:p>
    <w:p w14:paraId="53752D02">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6EAC8EE">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1.产品的一级组件是指直接组成产品的组件。产品的二级组件是指直接组成产品一级组件的组件。一级组件不可分解的，视同二级组件。</w:t>
      </w:r>
    </w:p>
    <w:p w14:paraId="32C281C1">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2.二级组件在中国境内生产的，其全部成本计入中国境内生产的组件成本；二级组件不在中国境内生产的，其成本不计入中国境内生产的组件成本。</w:t>
      </w:r>
    </w:p>
    <w:p w14:paraId="1A4A6A10">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3.产品总成本和组件成本以相关会计核算数据、采购合同、进货记录等为基础进行计算。</w:t>
      </w:r>
    </w:p>
    <w:p w14:paraId="70DA74E9">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4.需要对成本核算规则予以进一步明确的其他有关事项，由财政部会同有关部门另行规定。</w:t>
      </w:r>
    </w:p>
    <w:p w14:paraId="6DE4FDAB">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7.8.4.2证明材料要求：供应商需在竞标文件中对其提供的产品出具《关于符合本国产品标准的声明函》（样式见竞标文件格式）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75B9C284">
      <w:pPr>
        <w:pStyle w:val="17"/>
        <w:rPr>
          <w:color w:val="auto"/>
          <w:highlight w:val="none"/>
        </w:rPr>
      </w:pPr>
    </w:p>
    <w:p w14:paraId="1CA48C28">
      <w:pPr>
        <w:spacing w:line="360" w:lineRule="auto"/>
        <w:ind w:firstLine="477" w:firstLineChars="199"/>
        <w:jc w:val="center"/>
        <w:rPr>
          <w:rFonts w:ascii="宋体" w:hAnsi="宋体" w:cs="宋体"/>
          <w:color w:val="auto"/>
          <w:sz w:val="24"/>
          <w:szCs w:val="32"/>
          <w:highlight w:val="none"/>
        </w:rPr>
      </w:pPr>
      <w:bookmarkStart w:id="20" w:name="_Toc254970534"/>
      <w:bookmarkStart w:id="21" w:name="_Toc254970675"/>
    </w:p>
    <w:p w14:paraId="5CB03A3D">
      <w:pPr>
        <w:spacing w:line="360" w:lineRule="auto"/>
        <w:jc w:val="center"/>
        <w:rPr>
          <w:rFonts w:ascii="宋体" w:hAnsi="宋体" w:cs="宋体"/>
          <w:b/>
          <w:color w:val="auto"/>
          <w:sz w:val="40"/>
          <w:szCs w:val="40"/>
          <w:highlight w:val="none"/>
        </w:rPr>
      </w:pPr>
      <w:r>
        <w:rPr>
          <w:rFonts w:hint="eastAsia" w:ascii="宋体" w:hAnsi="宋体" w:cs="宋体"/>
          <w:b/>
          <w:color w:val="auto"/>
          <w:sz w:val="40"/>
          <w:szCs w:val="40"/>
          <w:highlight w:val="none"/>
        </w:rPr>
        <w:t>二、谈判文件</w:t>
      </w:r>
      <w:bookmarkEnd w:id="20"/>
      <w:bookmarkEnd w:id="21"/>
    </w:p>
    <w:p w14:paraId="2C5C134D">
      <w:pPr>
        <w:spacing w:line="360" w:lineRule="auto"/>
        <w:jc w:val="center"/>
        <w:rPr>
          <w:rFonts w:ascii="宋体" w:hAnsi="宋体" w:cs="宋体"/>
          <w:color w:val="auto"/>
          <w:sz w:val="24"/>
          <w:highlight w:val="none"/>
        </w:rPr>
      </w:pPr>
    </w:p>
    <w:p w14:paraId="346A6CDD">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8.谈判文件的构成</w:t>
      </w:r>
    </w:p>
    <w:p w14:paraId="79F8AE2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（1）竞争性谈判公告；</w:t>
      </w:r>
    </w:p>
    <w:p w14:paraId="0063178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（2）供应商须知； </w:t>
      </w:r>
    </w:p>
    <w:p w14:paraId="215C4CB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（3）采购需求；</w:t>
      </w:r>
    </w:p>
    <w:p w14:paraId="48DAEF1D">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（4）响应文件格式；</w:t>
      </w:r>
    </w:p>
    <w:p w14:paraId="070369AF">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（5）合同文本；</w:t>
      </w:r>
    </w:p>
    <w:p w14:paraId="5EDB745F">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（6）评审程序和评定成交的标准。</w:t>
      </w:r>
    </w:p>
    <w:p w14:paraId="4547EEF3">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9.供应商的询问</w:t>
      </w:r>
    </w:p>
    <w:p w14:paraId="0844BE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应认真阅读谈判文件的采购需求，如供应商对谈判文件有疑问的，如要求采购人作出澄清或者修改的，供应商尽可能在提交首次响应文件截止之日前，以纸质书面形式向采购人、采购代理机构提出，否则，由此产生的后果由供应商自行负责。</w:t>
      </w:r>
    </w:p>
    <w:p w14:paraId="61B07125">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10.谈判文件的澄清和修改</w:t>
      </w:r>
    </w:p>
    <w:p w14:paraId="1A2239A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10.1提交首次响应文件截止之日前，采购人、采购代理机构可以对已发出的谈判文件进行必要的澄清或者修改，澄清或者修改的内容作为谈判文件的组成部分。澄清或者修改将在原公告发布媒体上发布更正公告。澄清或者修改的内容可能影响响应文件编制的，采购人、采购代理机构或者谈判小组应当在提交首次响应文件截止之日</w:t>
      </w:r>
      <w:r>
        <w:rPr>
          <w:rFonts w:ascii="宋体" w:hAnsi="宋体" w:cs="宋体"/>
          <w:color w:val="auto"/>
          <w:sz w:val="24"/>
          <w:highlight w:val="none"/>
        </w:rPr>
        <w:t>3个工作日前，在原公告发布媒体上发布更正公告</w:t>
      </w:r>
      <w:r>
        <w:rPr>
          <w:rFonts w:hint="eastAsia" w:ascii="宋体" w:hAnsi="宋体" w:cs="宋体"/>
          <w:color w:val="auto"/>
          <w:sz w:val="24"/>
          <w:highlight w:val="none"/>
        </w:rPr>
        <w:t>；不足</w:t>
      </w:r>
      <w:r>
        <w:rPr>
          <w:rFonts w:ascii="宋体" w:hAnsi="宋体" w:cs="宋体"/>
          <w:color w:val="auto"/>
          <w:sz w:val="24"/>
          <w:highlight w:val="none"/>
        </w:rPr>
        <w:t>3个工作日的，应当顺延提交首次响应文件截止</w:t>
      </w:r>
      <w:r>
        <w:rPr>
          <w:rFonts w:hint="eastAsia" w:ascii="宋体" w:hAnsi="宋体" w:cs="宋体"/>
          <w:color w:val="auto"/>
          <w:sz w:val="24"/>
          <w:highlight w:val="none"/>
        </w:rPr>
        <w:t>时间。</w:t>
      </w:r>
    </w:p>
    <w:p w14:paraId="66639D8E">
      <w:pPr>
        <w:spacing w:line="400" w:lineRule="exact"/>
        <w:ind w:firstLine="480" w:firstLineChars="200"/>
        <w:rPr>
          <w:rFonts w:ascii="宋体" w:hAnsi="宋体" w:cs="宋体"/>
          <w:color w:val="auto"/>
          <w:sz w:val="24"/>
          <w:highlight w:val="none"/>
        </w:rPr>
      </w:pPr>
      <w:r>
        <w:rPr>
          <w:rFonts w:hint="eastAsia" w:ascii="宋体" w:hAnsi="宋体" w:cs="宋体"/>
          <w:color w:val="auto"/>
          <w:sz w:val="24"/>
          <w:szCs w:val="32"/>
          <w:highlight w:val="none"/>
        </w:rPr>
        <w:t>10.2采购人和采购代理机构可以视采购具体情况，变更</w:t>
      </w:r>
      <w:r>
        <w:rPr>
          <w:rFonts w:hint="eastAsia" w:ascii="宋体" w:hAnsi="宋体" w:cs="宋体"/>
          <w:color w:val="auto"/>
          <w:sz w:val="24"/>
          <w:highlight w:val="none"/>
        </w:rPr>
        <w:t>首次响应文件提交截止时间</w:t>
      </w:r>
      <w:r>
        <w:rPr>
          <w:rFonts w:hint="eastAsia" w:ascii="宋体" w:hAnsi="宋体" w:cs="宋体"/>
          <w:color w:val="auto"/>
          <w:sz w:val="24"/>
          <w:szCs w:val="32"/>
          <w:highlight w:val="none"/>
        </w:rPr>
        <w:t>，并</w:t>
      </w:r>
      <w:r>
        <w:rPr>
          <w:rFonts w:hint="eastAsia" w:ascii="宋体" w:hAnsi="宋体" w:cs="宋体"/>
          <w:color w:val="auto"/>
          <w:sz w:val="24"/>
          <w:highlight w:val="none"/>
        </w:rPr>
        <w:t>在原公告发布媒体上发布更正公告。</w:t>
      </w:r>
    </w:p>
    <w:p w14:paraId="06D570C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10.3谈判文件澄清、答复、修改、补充的内容为谈判文件的组成部分。当谈判文件与谈判文件的澄清、答复、修改、补充通知就同一内容的表述不一致时，以最后发出的文件为准。</w:t>
      </w:r>
    </w:p>
    <w:p w14:paraId="5FCEEAB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10.4响应文件未按谈判文件的澄清、修改后的内容编制的，其响应文件作无效响应处理。</w:t>
      </w:r>
    </w:p>
    <w:p w14:paraId="25A0E91D">
      <w:pPr>
        <w:spacing w:line="360" w:lineRule="auto"/>
        <w:ind w:firstLine="480" w:firstLineChars="200"/>
        <w:rPr>
          <w:rFonts w:ascii="宋体" w:hAnsi="宋体" w:cs="宋体"/>
          <w:color w:val="auto"/>
          <w:sz w:val="24"/>
          <w:highlight w:val="none"/>
        </w:rPr>
      </w:pPr>
    </w:p>
    <w:p w14:paraId="7563E5E1">
      <w:pPr>
        <w:spacing w:line="360" w:lineRule="auto"/>
        <w:rPr>
          <w:rFonts w:ascii="宋体" w:hAnsi="宋体" w:cs="宋体"/>
          <w:color w:val="auto"/>
          <w:sz w:val="24"/>
          <w:highlight w:val="none"/>
        </w:rPr>
      </w:pPr>
    </w:p>
    <w:p w14:paraId="7E100AB8">
      <w:pPr>
        <w:spacing w:line="360" w:lineRule="auto"/>
        <w:jc w:val="center"/>
        <w:rPr>
          <w:rFonts w:ascii="宋体" w:hAnsi="宋体" w:cs="宋体"/>
          <w:b/>
          <w:color w:val="auto"/>
          <w:sz w:val="24"/>
          <w:highlight w:val="none"/>
        </w:rPr>
      </w:pPr>
      <w:r>
        <w:rPr>
          <w:rFonts w:hint="eastAsia" w:ascii="宋体" w:hAnsi="宋体" w:cs="宋体"/>
          <w:b/>
          <w:color w:val="auto"/>
          <w:sz w:val="40"/>
          <w:szCs w:val="40"/>
          <w:highlight w:val="none"/>
        </w:rPr>
        <w:t>三、响应文件的编制</w:t>
      </w:r>
    </w:p>
    <w:p w14:paraId="62533F22">
      <w:pPr>
        <w:spacing w:line="360" w:lineRule="auto"/>
        <w:rPr>
          <w:rFonts w:ascii="宋体" w:hAnsi="宋体" w:cs="宋体"/>
          <w:color w:val="auto"/>
          <w:sz w:val="24"/>
          <w:highlight w:val="none"/>
        </w:rPr>
      </w:pPr>
    </w:p>
    <w:p w14:paraId="314FE323">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11.响应文件的编制原则</w:t>
      </w:r>
    </w:p>
    <w:p w14:paraId="013794C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供应商必须按照谈判文件的要求编制响应文件，并对其提交的响应文件的真实性、合法性承担法律责任。响应文件必须对谈判文件作出实质性响应。</w:t>
      </w:r>
    </w:p>
    <w:p w14:paraId="32F2FD01">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12.响应文件的组成</w:t>
      </w:r>
    </w:p>
    <w:p w14:paraId="1752256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12.1响应文件由资格证明文件、报价商务技术文件两部分组成。</w:t>
      </w:r>
    </w:p>
    <w:p w14:paraId="753DE10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12.1.1资格证明文件：详见“供应商须知前附表”</w:t>
      </w:r>
    </w:p>
    <w:p w14:paraId="3E4C4FE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12.1.2报价商务技术文件：详见“供应商须知前附表”</w:t>
      </w:r>
    </w:p>
    <w:p w14:paraId="51AC55CB">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13.计量单位</w:t>
      </w:r>
    </w:p>
    <w:p w14:paraId="598F026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谈判文件已有明确规定的，使用谈判文件规定的计量单位；谈判文件没有规定的，应采用中华人民共和国法定计量单位，货币种类为人民币，否则视同未响应。</w:t>
      </w:r>
    </w:p>
    <w:p w14:paraId="030E01AE">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14.竞争性谈判的风险</w:t>
      </w:r>
    </w:p>
    <w:p w14:paraId="0AD28FB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供应商没有按照谈判文件要求提供全部资料，或者供应商没有对谈判文件在各方面作出实质性响应可能导致其响应文件按无效响应处理，是供应商应当考虑的风险。</w:t>
      </w:r>
    </w:p>
    <w:p w14:paraId="7762D6A9">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15.竞争性谈判报价</w:t>
      </w:r>
    </w:p>
    <w:p w14:paraId="6A51763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15.1</w:t>
      </w:r>
      <w:r>
        <w:rPr>
          <w:rFonts w:hint="eastAsia" w:hAnsi="宋体" w:cs="宋体"/>
          <w:color w:val="auto"/>
          <w:sz w:val="24"/>
          <w:highlight w:val="none"/>
        </w:rPr>
        <w:t>竞争性谈判</w:t>
      </w:r>
      <w:r>
        <w:rPr>
          <w:rFonts w:hint="eastAsia" w:ascii="宋体" w:hAnsi="宋体" w:cs="宋体"/>
          <w:color w:val="auto"/>
          <w:sz w:val="24"/>
          <w:highlight w:val="none"/>
        </w:rPr>
        <w:t>报价应按谈判文件中“</w:t>
      </w:r>
      <w:r>
        <w:rPr>
          <w:rFonts w:hint="eastAsia" w:hAnsi="宋体" w:cs="宋体"/>
          <w:color w:val="auto"/>
          <w:sz w:val="24"/>
          <w:highlight w:val="none"/>
        </w:rPr>
        <w:t>竞争性谈判</w:t>
      </w:r>
      <w:r>
        <w:rPr>
          <w:rFonts w:hint="eastAsia" w:ascii="宋体" w:hAnsi="宋体" w:cs="宋体"/>
          <w:color w:val="auto"/>
          <w:sz w:val="24"/>
          <w:highlight w:val="none"/>
        </w:rPr>
        <w:t>报价表”格式填写。</w:t>
      </w:r>
    </w:p>
    <w:p w14:paraId="15AB417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15.2</w:t>
      </w:r>
      <w:r>
        <w:rPr>
          <w:rFonts w:hint="eastAsia" w:hAnsi="宋体" w:cs="宋体"/>
          <w:color w:val="auto"/>
          <w:sz w:val="24"/>
          <w:highlight w:val="none"/>
        </w:rPr>
        <w:t>竞争性谈判</w:t>
      </w:r>
      <w:r>
        <w:rPr>
          <w:rFonts w:hint="eastAsia" w:ascii="宋体" w:hAnsi="宋体" w:cs="宋体"/>
          <w:color w:val="auto"/>
          <w:sz w:val="24"/>
          <w:highlight w:val="none"/>
        </w:rPr>
        <w:t>报价的内容详见“供应商须知前附表”。</w:t>
      </w:r>
    </w:p>
    <w:p w14:paraId="18193CE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15.3</w:t>
      </w:r>
      <w:r>
        <w:rPr>
          <w:rFonts w:hint="eastAsia" w:hAnsi="宋体" w:cs="宋体"/>
          <w:color w:val="auto"/>
          <w:sz w:val="24"/>
          <w:highlight w:val="none"/>
        </w:rPr>
        <w:t>竞争性谈判</w:t>
      </w:r>
      <w:r>
        <w:rPr>
          <w:rFonts w:hint="eastAsia" w:ascii="宋体" w:hAnsi="宋体" w:cs="宋体"/>
          <w:color w:val="auto"/>
          <w:sz w:val="24"/>
          <w:highlight w:val="none"/>
        </w:rPr>
        <w:t>报价要求</w:t>
      </w:r>
    </w:p>
    <w:p w14:paraId="5E60C0D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15.3.1供应商的</w:t>
      </w:r>
      <w:r>
        <w:rPr>
          <w:rFonts w:hint="eastAsia" w:hAnsi="宋体" w:cs="宋体"/>
          <w:color w:val="auto"/>
          <w:sz w:val="24"/>
          <w:highlight w:val="none"/>
        </w:rPr>
        <w:t>竞争性谈判</w:t>
      </w:r>
      <w:r>
        <w:rPr>
          <w:rFonts w:hint="eastAsia" w:ascii="宋体" w:hAnsi="宋体" w:cs="宋体"/>
          <w:color w:val="auto"/>
          <w:sz w:val="24"/>
          <w:highlight w:val="none"/>
        </w:rPr>
        <w:t>报价应符合以下要求，否则响应文件按无效响应处理：</w:t>
      </w:r>
    </w:p>
    <w:p w14:paraId="4D230FE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（1）供应商必须就“采购需求”中所需</w:t>
      </w:r>
      <w:r>
        <w:rPr>
          <w:rFonts w:hint="eastAsia" w:hAnsi="宋体" w:cs="宋体"/>
          <w:color w:val="auto"/>
          <w:sz w:val="24"/>
          <w:highlight w:val="none"/>
        </w:rPr>
        <w:t>竞争性谈判</w:t>
      </w:r>
      <w:r>
        <w:rPr>
          <w:rFonts w:hint="eastAsia" w:ascii="宋体" w:hAnsi="宋体" w:cs="宋体"/>
          <w:color w:val="auto"/>
          <w:sz w:val="24"/>
          <w:highlight w:val="none"/>
        </w:rPr>
        <w:t>的每个分标的全部内容分别作完整唯一总价报价，不得存在漏项报价；</w:t>
      </w:r>
    </w:p>
    <w:p w14:paraId="692C283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（2）供应商必须就所需</w:t>
      </w:r>
      <w:r>
        <w:rPr>
          <w:rFonts w:hint="eastAsia" w:hAnsi="宋体" w:cs="宋体"/>
          <w:color w:val="auto"/>
          <w:sz w:val="24"/>
          <w:highlight w:val="none"/>
        </w:rPr>
        <w:t>竞争性谈判</w:t>
      </w:r>
      <w:r>
        <w:rPr>
          <w:rFonts w:hint="eastAsia" w:ascii="宋体" w:hAnsi="宋体" w:cs="宋体"/>
          <w:color w:val="auto"/>
          <w:sz w:val="24"/>
          <w:highlight w:val="none"/>
        </w:rPr>
        <w:t>的分标的单项内容作唯一报价。</w:t>
      </w:r>
    </w:p>
    <w:p w14:paraId="2367FF7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15.3.2</w:t>
      </w:r>
      <w:r>
        <w:rPr>
          <w:rFonts w:hint="eastAsia" w:hAnsi="宋体" w:cs="宋体"/>
          <w:color w:val="auto"/>
          <w:sz w:val="24"/>
          <w:highlight w:val="none"/>
        </w:rPr>
        <w:t>竞争性谈判</w:t>
      </w:r>
      <w:r>
        <w:rPr>
          <w:rFonts w:hint="eastAsia" w:ascii="宋体" w:hAnsi="宋体" w:cs="宋体"/>
          <w:color w:val="auto"/>
          <w:sz w:val="24"/>
          <w:highlight w:val="none"/>
        </w:rPr>
        <w:t>报价（包含首次报价、最后报价）超过所参与</w:t>
      </w:r>
      <w:r>
        <w:rPr>
          <w:rFonts w:hint="eastAsia" w:hAnsi="宋体" w:cs="宋体"/>
          <w:color w:val="auto"/>
          <w:sz w:val="24"/>
          <w:highlight w:val="none"/>
        </w:rPr>
        <w:t>竞争性谈判</w:t>
      </w:r>
      <w:r>
        <w:rPr>
          <w:rFonts w:hint="eastAsia" w:ascii="宋体" w:hAnsi="宋体" w:cs="宋体"/>
          <w:color w:val="auto"/>
          <w:sz w:val="24"/>
          <w:highlight w:val="none"/>
        </w:rPr>
        <w:t>分标规定的采购预算金额或者最高限价的，其响应文件将按无效响应处理。</w:t>
      </w:r>
    </w:p>
    <w:p w14:paraId="6F2CF48A">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15.3.3</w:t>
      </w:r>
      <w:r>
        <w:rPr>
          <w:rFonts w:hint="eastAsia" w:hAnsi="宋体" w:cs="宋体"/>
          <w:color w:val="auto"/>
          <w:sz w:val="24"/>
          <w:highlight w:val="none"/>
        </w:rPr>
        <w:t>竞争性谈判</w:t>
      </w:r>
      <w:r>
        <w:rPr>
          <w:rFonts w:hint="eastAsia" w:ascii="宋体" w:hAnsi="宋体" w:cs="宋体"/>
          <w:color w:val="auto"/>
          <w:sz w:val="24"/>
          <w:highlight w:val="none"/>
        </w:rPr>
        <w:t>报价（包含首次报价、最后报价）超过分项采购预算金额或者最高限价的，其响应文件将作无效处理。</w:t>
      </w:r>
    </w:p>
    <w:p w14:paraId="15A12E61">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16.竞争性谈判有效期</w:t>
      </w:r>
    </w:p>
    <w:p w14:paraId="7279675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16.1</w:t>
      </w:r>
      <w:r>
        <w:rPr>
          <w:rFonts w:hint="eastAsia" w:hAnsi="宋体" w:cs="宋体"/>
          <w:color w:val="auto"/>
          <w:sz w:val="24"/>
          <w:highlight w:val="none"/>
        </w:rPr>
        <w:t>竞争性谈判</w:t>
      </w:r>
      <w:r>
        <w:rPr>
          <w:rFonts w:hint="eastAsia" w:ascii="宋体" w:hAnsi="宋体" w:cs="宋体"/>
          <w:color w:val="auto"/>
          <w:sz w:val="24"/>
          <w:highlight w:val="none"/>
        </w:rPr>
        <w:t>有效期是指为保证采购人有足够的时间在提交响应文件后完成评审、确定成交供应商、合同签订等工作而要求供应商提交的响应文件在一定时间内保持有效的期限。</w:t>
      </w:r>
    </w:p>
    <w:p w14:paraId="1CB1E36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16.2</w:t>
      </w:r>
      <w:r>
        <w:rPr>
          <w:rFonts w:hint="eastAsia" w:hAnsi="宋体" w:cs="宋体"/>
          <w:color w:val="auto"/>
          <w:sz w:val="24"/>
          <w:highlight w:val="none"/>
        </w:rPr>
        <w:t>竞争性谈判</w:t>
      </w:r>
      <w:r>
        <w:rPr>
          <w:rFonts w:hint="eastAsia" w:ascii="宋体" w:hAnsi="宋体" w:cs="宋体"/>
          <w:color w:val="auto"/>
          <w:sz w:val="24"/>
          <w:highlight w:val="none"/>
        </w:rPr>
        <w:t>有效期应由供应商按“供应商须知前附表”规定的期限作出响应。</w:t>
      </w:r>
    </w:p>
    <w:p w14:paraId="46A6420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16.3供应商的响应文件在</w:t>
      </w:r>
      <w:r>
        <w:rPr>
          <w:rFonts w:hint="eastAsia" w:hAnsi="宋体" w:cs="宋体"/>
          <w:color w:val="auto"/>
          <w:sz w:val="24"/>
          <w:highlight w:val="none"/>
        </w:rPr>
        <w:t>竞争性谈判</w:t>
      </w:r>
      <w:r>
        <w:rPr>
          <w:rFonts w:hint="eastAsia" w:ascii="宋体" w:hAnsi="宋体" w:cs="宋体"/>
          <w:color w:val="auto"/>
          <w:sz w:val="24"/>
          <w:highlight w:val="none"/>
        </w:rPr>
        <w:t>有效期内均保持有效。</w:t>
      </w:r>
    </w:p>
    <w:p w14:paraId="39DF9141">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17.谈判保证金</w:t>
      </w:r>
    </w:p>
    <w:p w14:paraId="58D51DD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17.1供应商须按“供应商须知前附表”的规定提交谈判保证金。</w:t>
      </w:r>
    </w:p>
    <w:p w14:paraId="0E16976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17.2谈判保证金的退还</w:t>
      </w:r>
    </w:p>
    <w:p w14:paraId="2411B69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未</w:t>
      </w:r>
      <w:r>
        <w:rPr>
          <w:rFonts w:hint="eastAsia" w:ascii="宋体" w:hAnsi="宋体" w:cs="宋体"/>
          <w:color w:val="auto"/>
          <w:spacing w:val="-6"/>
          <w:sz w:val="24"/>
          <w:highlight w:val="none"/>
        </w:rPr>
        <w:t>成交</w:t>
      </w:r>
      <w:r>
        <w:rPr>
          <w:rFonts w:hint="eastAsia" w:ascii="宋体" w:hAnsi="宋体" w:cs="宋体"/>
          <w:color w:val="auto"/>
          <w:sz w:val="24"/>
          <w:highlight w:val="none"/>
        </w:rPr>
        <w:t xml:space="preserve">供应商的谈判保证金自成交通知书发出之日起5个工作日内退还；成交供应商的谈判保证金自签订合同之日起5个工作日内退还。 </w:t>
      </w:r>
    </w:p>
    <w:p w14:paraId="770E22B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17.3谈判保证金不计息。</w:t>
      </w:r>
    </w:p>
    <w:p w14:paraId="72DCBBB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17.4供应商有下列情形之一的，谈判保证金将不予退还： </w:t>
      </w:r>
    </w:p>
    <w:p w14:paraId="5EB1B7C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（1）供应商在提交首次响应文件截止时间后撤回响应文件的，但在提交最后报价之前退出谈判的情况除外；</w:t>
      </w:r>
    </w:p>
    <w:p w14:paraId="22C1A16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（2）未按规定提交履约保证金的；</w:t>
      </w:r>
    </w:p>
    <w:p w14:paraId="3C0420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（3）供应商在响应文件中提供虚假材料的；</w:t>
      </w:r>
    </w:p>
    <w:p w14:paraId="3F43AAE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（4）除因不可抗力或者谈判文件认可的情形以外，成交供应商不与采购人签订合同的；</w:t>
      </w:r>
    </w:p>
    <w:p w14:paraId="0AAA4B8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（5）供应商与采购人、其他供应商或者采购代理机构恶意串通的；</w:t>
      </w:r>
    </w:p>
    <w:p w14:paraId="02C5BE3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（6）法律法规规定的其他情形。</w:t>
      </w:r>
    </w:p>
    <w:p w14:paraId="04F8EDB4">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18.响应文件编制的要求</w:t>
      </w:r>
    </w:p>
    <w:p w14:paraId="671AA9C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18.1供应商应按本谈判文件规定的格式和顺序编制、装订响应文件并标注页码，响应文件内容</w:t>
      </w:r>
      <w:r>
        <w:rPr>
          <w:rFonts w:hint="eastAsia" w:ascii="宋体" w:hAnsi="宋体" w:cs="宋体"/>
          <w:color w:val="auto"/>
          <w:spacing w:val="-6"/>
          <w:sz w:val="24"/>
          <w:highlight w:val="none"/>
        </w:rPr>
        <w:t>不完整、编排混乱导致响应文件被误读、漏读或者查找不到相关内容的，</w:t>
      </w:r>
      <w:r>
        <w:rPr>
          <w:rFonts w:hint="eastAsia" w:ascii="宋体" w:hAnsi="宋体" w:cs="宋体"/>
          <w:color w:val="auto"/>
          <w:sz w:val="24"/>
          <w:szCs w:val="32"/>
          <w:highlight w:val="none"/>
        </w:rPr>
        <w:t>由此引发的</w:t>
      </w:r>
      <w:r>
        <w:rPr>
          <w:rFonts w:hint="eastAsia" w:ascii="宋体" w:hAnsi="宋体" w:cs="宋体"/>
          <w:color w:val="auto"/>
          <w:spacing w:val="-6"/>
          <w:sz w:val="24"/>
          <w:highlight w:val="none"/>
        </w:rPr>
        <w:t>后果由供应商承担。</w:t>
      </w:r>
    </w:p>
    <w:p w14:paraId="133AFC3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18.2响应文件应按资格证明文件、报价商务技术文件分别编制电子文件，</w:t>
      </w:r>
      <w:r>
        <w:rPr>
          <w:rFonts w:hint="eastAsia" w:ascii="宋体" w:hAnsi="宋体" w:cs="宋体"/>
          <w:color w:val="auto"/>
          <w:sz w:val="24"/>
          <w:highlight w:val="none"/>
          <w:lang w:bidi="ar"/>
        </w:rPr>
        <w:t>并按广西政府采购云平台的要求编制、加密、上传。</w:t>
      </w:r>
    </w:p>
    <w:p w14:paraId="6162C59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w:t>
      </w:r>
      <w:bookmarkStart w:id="22" w:name="_Hlk65832699"/>
      <w:r>
        <w:rPr>
          <w:rFonts w:hint="eastAsia" w:ascii="宋体" w:hAnsi="宋体" w:cs="宋体"/>
          <w:color w:val="auto"/>
          <w:sz w:val="24"/>
          <w:highlight w:val="none"/>
        </w:rPr>
        <w:t>3响应文件须由供应商在规定位置盖公章并签字</w:t>
      </w:r>
      <w:bookmarkStart w:id="23" w:name="_Hlk65832569"/>
      <w:r>
        <w:rPr>
          <w:rFonts w:hint="eastAsia" w:ascii="宋体" w:hAnsi="宋体" w:cs="宋体"/>
          <w:color w:val="auto"/>
          <w:sz w:val="24"/>
          <w:highlight w:val="none"/>
        </w:rPr>
        <w:t>（具体以供应商须知前附表或响应文件格式规定为准）</w:t>
      </w:r>
      <w:bookmarkEnd w:id="22"/>
      <w:bookmarkEnd w:id="23"/>
      <w:r>
        <w:rPr>
          <w:rFonts w:hint="eastAsia" w:ascii="宋体" w:hAnsi="宋体" w:cs="宋体"/>
          <w:color w:val="auto"/>
          <w:sz w:val="24"/>
          <w:highlight w:val="none"/>
        </w:rPr>
        <w:t>，否则其响应文件按无效响应处理。</w:t>
      </w:r>
    </w:p>
    <w:p w14:paraId="1F4C53F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18.4响应文件中标注的供应商名称应与营业执照（事业单位法人证书、执业许可证、自然人身份证）及公章一致，否则其响应文件按无效响应处理。</w:t>
      </w:r>
    </w:p>
    <w:p w14:paraId="15A116A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14:paraId="629826A0">
      <w:pPr>
        <w:spacing w:line="360" w:lineRule="auto"/>
        <w:ind w:firstLine="643" w:firstLineChars="200"/>
        <w:rPr>
          <w:rFonts w:ascii="宋体" w:hAnsi="宋体" w:cs="宋体"/>
          <w:b/>
          <w:bCs/>
          <w:color w:val="auto"/>
          <w:sz w:val="32"/>
          <w:szCs w:val="32"/>
          <w:highlight w:val="none"/>
        </w:rPr>
      </w:pPr>
      <w:r>
        <w:rPr>
          <w:rFonts w:hint="eastAsia" w:ascii="宋体" w:hAnsi="宋体" w:cs="宋体"/>
          <w:b/>
          <w:color w:val="auto"/>
          <w:sz w:val="32"/>
          <w:szCs w:val="32"/>
          <w:highlight w:val="none"/>
        </w:rPr>
        <w:t>19.响应文件的加密、解密</w:t>
      </w:r>
    </w:p>
    <w:p w14:paraId="095DC04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19.1电子响应文件编制完成后，供应商应按广西政府采购云平台的要求进行加密，并在规定时间内解密，否则，由此产生的后果由供应商自行负责。</w:t>
      </w:r>
    </w:p>
    <w:p w14:paraId="23CE272C">
      <w:pPr>
        <w:pStyle w:val="38"/>
        <w:ind w:firstLine="480" w:firstLineChars="200"/>
        <w:rPr>
          <w:color w:val="auto"/>
          <w:highlight w:val="none"/>
        </w:rPr>
      </w:pPr>
      <w:r>
        <w:rPr>
          <w:rFonts w:hint="eastAsia" w:ascii="宋体" w:hAnsi="宋体" w:cs="宋体"/>
          <w:color w:val="auto"/>
          <w:sz w:val="24"/>
          <w:highlight w:val="none"/>
        </w:rPr>
        <w:t>19.</w:t>
      </w:r>
      <w:r>
        <w:rPr>
          <w:rFonts w:ascii="宋体" w:hAnsi="宋体" w:cs="宋体"/>
          <w:color w:val="auto"/>
          <w:sz w:val="24"/>
          <w:highlight w:val="none"/>
        </w:rPr>
        <w:t>2</w:t>
      </w:r>
      <w:r>
        <w:rPr>
          <w:rFonts w:hint="eastAsia" w:ascii="宋体" w:hAnsi="宋体" w:cs="宋体"/>
          <w:color w:val="auto"/>
          <w:sz w:val="24"/>
          <w:highlight w:val="none"/>
        </w:rPr>
        <w:t>本项目不接受电子备份响应文件。</w:t>
      </w:r>
    </w:p>
    <w:p w14:paraId="13D2A451">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20.响应文件的提交</w:t>
      </w:r>
    </w:p>
    <w:p w14:paraId="5E482901">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20.1供应商必须在“供应商须知前附表”规定的时间和地点提交响应文件。</w:t>
      </w:r>
    </w:p>
    <w:p w14:paraId="05859E18">
      <w:pPr>
        <w:widowControl/>
        <w:spacing w:line="360" w:lineRule="auto"/>
        <w:ind w:firstLine="480" w:firstLineChars="200"/>
        <w:rPr>
          <w:rFonts w:ascii="宋体" w:hAnsi="宋体" w:cs="宋体"/>
          <w:b/>
          <w:color w:val="auto"/>
          <w:sz w:val="24"/>
          <w:highlight w:val="none"/>
          <w:lang w:bidi="ar"/>
        </w:rPr>
      </w:pPr>
      <w:r>
        <w:rPr>
          <w:rFonts w:hint="eastAsia" w:ascii="宋体" w:hAnsi="宋体" w:cs="宋体"/>
          <w:color w:val="auto"/>
          <w:sz w:val="24"/>
          <w:highlight w:val="none"/>
        </w:rPr>
        <w:t>20.</w:t>
      </w:r>
      <w:r>
        <w:rPr>
          <w:rFonts w:ascii="宋体" w:hAnsi="宋体" w:cs="宋体"/>
          <w:color w:val="auto"/>
          <w:sz w:val="24"/>
          <w:highlight w:val="none"/>
        </w:rPr>
        <w:t>2</w:t>
      </w:r>
      <w:r>
        <w:rPr>
          <w:rFonts w:hint="eastAsia" w:ascii="宋体" w:hAnsi="宋体" w:cs="宋体"/>
          <w:color w:val="auto"/>
          <w:sz w:val="24"/>
          <w:highlight w:val="none"/>
          <w:lang w:bidi="ar"/>
        </w:rPr>
        <w:t>本项目为全流程电子化政府采购项目，通过广西政府采购云平台（https://www.gcy.zfcg.gxzf.gov.cn/）实行在线电子竞争性谈判，供应商应先安装“广西政府采购云平台电子交易客户端”（请自行前往广西政府采购云平台进行下载），并按照本项目竞争性谈判文件和广西政府采购云平台的要求编制、加密后在首次响应文件提交截止时间前通过网络上传至广西政府采购云平台，</w:t>
      </w:r>
      <w:r>
        <w:rPr>
          <w:rFonts w:hint="eastAsia" w:ascii="宋体" w:hAnsi="宋体" w:cs="宋体"/>
          <w:b/>
          <w:color w:val="auto"/>
          <w:sz w:val="24"/>
          <w:highlight w:val="none"/>
          <w:lang w:bidi="ar"/>
        </w:rPr>
        <w:t>供应商在广西政府采购云平台提交电子版响应文件时，请填写参加远程开标活动经办人联系方式。</w:t>
      </w:r>
    </w:p>
    <w:p w14:paraId="2F01B5DE">
      <w:pPr>
        <w:pStyle w:val="5"/>
        <w:keepNext w:val="0"/>
        <w:keepLines w:val="0"/>
        <w:spacing w:before="0" w:after="0" w:line="360" w:lineRule="auto"/>
        <w:ind w:firstLine="480" w:firstLineChars="200"/>
        <w:jc w:val="left"/>
        <w:rPr>
          <w:rFonts w:ascii="宋体" w:hAnsi="宋体" w:cs="宋体"/>
          <w:b w:val="0"/>
          <w:color w:val="auto"/>
          <w:sz w:val="24"/>
          <w:szCs w:val="24"/>
          <w:highlight w:val="none"/>
        </w:rPr>
      </w:pPr>
      <w:r>
        <w:rPr>
          <w:rFonts w:hint="eastAsia" w:ascii="宋体" w:hAnsi="宋体" w:cs="宋体"/>
          <w:b w:val="0"/>
          <w:color w:val="auto"/>
          <w:sz w:val="24"/>
          <w:szCs w:val="24"/>
          <w:highlight w:val="none"/>
        </w:rPr>
        <w:t>20.</w:t>
      </w:r>
      <w:r>
        <w:rPr>
          <w:rFonts w:ascii="宋体" w:hAnsi="宋体" w:cs="宋体"/>
          <w:b w:val="0"/>
          <w:color w:val="auto"/>
          <w:sz w:val="24"/>
          <w:szCs w:val="24"/>
          <w:highlight w:val="none"/>
        </w:rPr>
        <w:t>3</w:t>
      </w:r>
      <w:r>
        <w:rPr>
          <w:rFonts w:hint="eastAsia" w:ascii="宋体" w:hAnsi="宋体" w:cs="宋体"/>
          <w:b w:val="0"/>
          <w:color w:val="auto"/>
          <w:sz w:val="24"/>
          <w:szCs w:val="24"/>
          <w:highlight w:val="none"/>
        </w:rPr>
        <w:t>未在规定时间内上传或者未按广西政府采购云平台的要求编制、加密的电子响应文件，广西政府采购云平台将拒收。</w:t>
      </w:r>
    </w:p>
    <w:p w14:paraId="7938F14D">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20.</w:t>
      </w:r>
      <w:r>
        <w:rPr>
          <w:rFonts w:ascii="宋体" w:hAnsi="宋体" w:cs="宋体"/>
          <w:color w:val="auto"/>
          <w:sz w:val="24"/>
          <w:highlight w:val="none"/>
        </w:rPr>
        <w:t>4</w:t>
      </w:r>
      <w:r>
        <w:rPr>
          <w:rFonts w:hint="eastAsia" w:ascii="宋体" w:hAnsi="宋体" w:cs="宋体"/>
          <w:color w:val="auto"/>
          <w:sz w:val="24"/>
          <w:highlight w:val="none"/>
        </w:rPr>
        <w:t>电子响应文件提交方式见“竞争性谈判公告”中“四、响应文件提交”。</w:t>
      </w:r>
    </w:p>
    <w:p w14:paraId="0B65C2A4">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21.首次响应文件的补充、修改与撤回</w:t>
      </w:r>
    </w:p>
    <w:p w14:paraId="1E64515B">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lang w:bidi="ar"/>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607D45B8">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22.首次响应文件的退回</w:t>
      </w:r>
    </w:p>
    <w:p w14:paraId="3C7584A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22.1在首次响应文件提交截止时间止提交响应文件的供应商不足3家时，采购代理机构将根据广西政府采购云平台的操作将电子版响应文件退回，除此之外采购人和采购代理机构对已提交的电子响应文件概不退回。</w:t>
      </w:r>
    </w:p>
    <w:p w14:paraId="57C42205">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23.截止时间后的撤回</w:t>
      </w:r>
    </w:p>
    <w:p w14:paraId="428CE9C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23.1供应商在首次响应文件提交截止时间后书面通知采购人、采购代理机构书面撤回响应文件的，将根据本须知正文17.4的规定不予退还其谈判保证金。</w:t>
      </w:r>
    </w:p>
    <w:p w14:paraId="65DE5DE1">
      <w:pPr>
        <w:spacing w:line="360" w:lineRule="auto"/>
        <w:ind w:firstLine="480" w:firstLineChars="200"/>
        <w:rPr>
          <w:rFonts w:ascii="宋体" w:hAnsi="宋体" w:cs="宋体"/>
          <w:color w:val="auto"/>
          <w:sz w:val="24"/>
          <w:highlight w:val="none"/>
        </w:rPr>
      </w:pPr>
    </w:p>
    <w:p w14:paraId="4FB1F43E">
      <w:pPr>
        <w:spacing w:line="360" w:lineRule="auto"/>
        <w:jc w:val="center"/>
        <w:rPr>
          <w:rFonts w:ascii="宋体" w:hAnsi="宋体" w:cs="宋体"/>
          <w:b/>
          <w:color w:val="auto"/>
          <w:sz w:val="40"/>
          <w:szCs w:val="40"/>
          <w:highlight w:val="none"/>
        </w:rPr>
      </w:pPr>
      <w:r>
        <w:rPr>
          <w:rFonts w:hint="eastAsia" w:ascii="宋体" w:hAnsi="宋体" w:cs="宋体"/>
          <w:b/>
          <w:color w:val="auto"/>
          <w:sz w:val="40"/>
          <w:szCs w:val="40"/>
          <w:highlight w:val="none"/>
        </w:rPr>
        <w:t>四、评审及谈判</w:t>
      </w:r>
    </w:p>
    <w:p w14:paraId="39F18FDC">
      <w:pPr>
        <w:spacing w:line="360" w:lineRule="auto"/>
        <w:ind w:firstLine="420"/>
        <w:rPr>
          <w:rFonts w:ascii="宋体" w:hAnsi="宋体" w:cs="宋体"/>
          <w:color w:val="auto"/>
          <w:sz w:val="24"/>
          <w:highlight w:val="none"/>
        </w:rPr>
      </w:pPr>
    </w:p>
    <w:p w14:paraId="4EF88F4B">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24.谈判小组成立</w:t>
      </w:r>
    </w:p>
    <w:p w14:paraId="15FE58B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24.1竞争性谈判小组成立：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6F6815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71B7DA46">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25.首次响应文件的开启</w:t>
      </w:r>
    </w:p>
    <w:p w14:paraId="3359757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25.1首次响应文件由谈判小组或者采购代理机构在“供应商须知前附表”规定的时间开启。</w:t>
      </w:r>
    </w:p>
    <w:p w14:paraId="3C88556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25.2 响应文件解密：采购代理机构将在“供应商须知前附表”规定的时间通过电子交易平台组织响应文件开启，采购代理机构将依托电子交易平台发起开始解密指令，</w:t>
      </w:r>
      <w:r>
        <w:rPr>
          <w:rFonts w:hint="eastAsia" w:ascii="宋体" w:hAnsi="宋体" w:cs="宋体"/>
          <w:b/>
          <w:color w:val="auto"/>
          <w:sz w:val="24"/>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cs="宋体"/>
          <w:b/>
          <w:bCs/>
          <w:color w:val="auto"/>
          <w:sz w:val="24"/>
          <w:highlight w:val="none"/>
        </w:rPr>
        <w:t>响应文件未按时解密的，视为响应文件无效。</w:t>
      </w:r>
      <w:r>
        <w:rPr>
          <w:rFonts w:hint="eastAsia" w:ascii="宋体" w:hAnsi="宋体" w:cs="宋体"/>
          <w:color w:val="auto"/>
          <w:sz w:val="24"/>
          <w:highlight w:val="none"/>
        </w:rPr>
        <w:t>（解密异常情况处理：详见本章26.2电子交易活动的中止。）</w:t>
      </w:r>
    </w:p>
    <w:p w14:paraId="7402FFC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25.3成功解密响应文件的供应商不足3家的，不得谈判。</w:t>
      </w:r>
    </w:p>
    <w:p w14:paraId="014CB74F">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26.评审程序和评定成交的标准</w:t>
      </w:r>
    </w:p>
    <w:p w14:paraId="1020B24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26.1谈判小组按照“第四章  评审程序和评定成交的标准”规定的评审程序对响应文件进行评审，并按照评定成交的标准推荐成交候选供应商。</w:t>
      </w:r>
    </w:p>
    <w:p w14:paraId="25D45B3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26.2电子交易活动的中止。采购过程中出现以下情形，导致电子交易平台无法正常运行，或者无法保证电子交易的公平、公正和安全时，采购机构可中止电子交易活动：</w:t>
      </w:r>
    </w:p>
    <w:p w14:paraId="658D1EB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（1）电子交易平台发生故障而无法登录访问的； </w:t>
      </w:r>
    </w:p>
    <w:p w14:paraId="0E59302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（2）电子交易平台应用或数据库出现错误，不能进行正常操作的；</w:t>
      </w:r>
    </w:p>
    <w:p w14:paraId="13D991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（3）电子交易平台发现严重安全漏洞，有潜在泄密危险的；</w:t>
      </w:r>
    </w:p>
    <w:p w14:paraId="65BDAD1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（4）病毒发作导致不能进行正常操作的； </w:t>
      </w:r>
    </w:p>
    <w:p w14:paraId="1EDFFC3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5</w:t>
      </w:r>
      <w:r>
        <w:rPr>
          <w:rFonts w:hint="eastAsia" w:ascii="宋体" w:hAnsi="宋体" w:cs="宋体"/>
          <w:color w:val="auto"/>
          <w:sz w:val="24"/>
          <w:highlight w:val="none"/>
        </w:rPr>
        <w:t>）其他无法保证电子交易的公平、公正和安全的情况。</w:t>
      </w:r>
    </w:p>
    <w:p w14:paraId="0F1D6B6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26.3出现以上情形，不影响采购公平、公正性的，采购代理机构可以待上述情形消除后继续组织电子交易活动；影响或可能影响采购公平、公正性的，经采购代理机构确认后，应当重新采购。</w:t>
      </w:r>
    </w:p>
    <w:p w14:paraId="5377AB3B">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27.确定成交供应商及结果公告</w:t>
      </w:r>
    </w:p>
    <w:p w14:paraId="0C7B614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27.1 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2CEA6ED0">
      <w:pPr>
        <w:pStyle w:val="8"/>
        <w:spacing w:line="360" w:lineRule="auto"/>
        <w:ind w:firstLine="480" w:firstLineChars="200"/>
        <w:jc w:val="both"/>
        <w:rPr>
          <w:rFonts w:ascii="宋体" w:hAnsi="宋体" w:cs="宋体"/>
          <w:color w:val="auto"/>
          <w:kern w:val="0"/>
          <w:sz w:val="24"/>
          <w:highlight w:val="none"/>
        </w:rPr>
      </w:pPr>
      <w:r>
        <w:rPr>
          <w:rFonts w:hint="eastAsia" w:ascii="宋体" w:hAnsi="宋体" w:cs="宋体"/>
          <w:color w:val="auto"/>
          <w:kern w:val="0"/>
          <w:sz w:val="24"/>
          <w:highlight w:val="none"/>
        </w:rPr>
        <w:t>27.2采购代理机构应当在成交供应商确定后2个工作日内，在省级以上财政部门指定的媒体上公告成交结果，同时向成交供应商发出成交通知书。</w:t>
      </w:r>
      <w:r>
        <w:rPr>
          <w:rFonts w:hint="eastAsia" w:ascii="宋体" w:hAnsi="宋体" w:cs="宋体"/>
          <w:b/>
          <w:color w:val="auto"/>
          <w:kern w:val="0"/>
          <w:sz w:val="24"/>
          <w:highlight w:val="none"/>
        </w:rPr>
        <w:t>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w:t>
      </w:r>
      <w:r>
        <w:rPr>
          <w:rFonts w:hint="eastAsia" w:ascii="宋体" w:hAnsi="宋体" w:cs="宋体"/>
          <w:color w:val="auto"/>
          <w:kern w:val="0"/>
          <w:sz w:val="24"/>
          <w:highlight w:val="none"/>
        </w:rPr>
        <w:t>排名第二的成交候选人因上述规定的同样原因被取消成交资格的，采购人可以确定排名第三的成交候选人为成交供应商。以上信息查询记录及相关证据与谈判文件一并保存。</w:t>
      </w:r>
      <w:r>
        <w:rPr>
          <w:rFonts w:hint="eastAsia" w:ascii="宋体" w:hAnsi="宋体" w:cs="宋体"/>
          <w:color w:val="auto"/>
          <w:sz w:val="24"/>
          <w:highlight w:val="none"/>
        </w:rPr>
        <w:t>成交供应商享受《政府采购促进中小企业发展管理办法》（财库〔2020〕46号）规定的中小企业扶持政策的，采购人、采购代理机构应当随成交结果公开成交供应商的《中小企业声明函》。</w:t>
      </w:r>
    </w:p>
    <w:p w14:paraId="7BF19A09">
      <w:pPr>
        <w:pStyle w:val="8"/>
        <w:spacing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27.3出现下列情形之一的，采购人或者采购代理机构应当终止竞争性谈判采购活动，发布项目终止公告并说明原因，重新开展采购活动：</w:t>
      </w:r>
    </w:p>
    <w:p w14:paraId="3738F0E7">
      <w:pPr>
        <w:pStyle w:val="8"/>
        <w:spacing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（一）因情况变化，不再符合规定的竞争性谈判采购方式适用情形的；</w:t>
      </w:r>
    </w:p>
    <w:p w14:paraId="0CB78396">
      <w:pPr>
        <w:pStyle w:val="8"/>
        <w:spacing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（二）出现影响采购公正的违法、违规行为的；</w:t>
      </w:r>
    </w:p>
    <w:p w14:paraId="1006DC07">
      <w:pPr>
        <w:pStyle w:val="8"/>
        <w:spacing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（三）在采购过程中符合竞争要求的供应商或者报价未超过采购预算的供应商不足3家的，但“第四章 评审程序和评定成交的标准”第3.7条规定的情形除外。</w:t>
      </w:r>
    </w:p>
    <w:p w14:paraId="056E29EB">
      <w:pPr>
        <w:pStyle w:val="8"/>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27.4在采购活动中因重大变故，采购任务取消的，采购人或者采购代理机构应当终止采购活动，通知所有参加采购活动的供应商。</w:t>
      </w:r>
    </w:p>
    <w:p w14:paraId="118E52FD">
      <w:pPr>
        <w:pStyle w:val="8"/>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rPr>
        <w:t>27.5</w:t>
      </w:r>
      <w:r>
        <w:rPr>
          <w:rFonts w:hint="eastAsia" w:ascii="宋体" w:hAnsi="宋体" w:cs="宋体"/>
          <w:color w:val="auto"/>
          <w:sz w:val="24"/>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拒绝签订政府采购合同的成交供应商不得参加对该项目重新开展的采购活动。</w:t>
      </w:r>
    </w:p>
    <w:p w14:paraId="56A22235">
      <w:pPr>
        <w:pStyle w:val="8"/>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除因不可抗力外，成交供应商不与采购人签订合同的，除不予退还其谈判保证金外，若给采购人造成损失，或（并）因此延误采购人教学科研计划的，须依据《中华人民共和国民法典》第五百条、《政府采购非招标采购方式管理办法（财政部令第74号）》第二十二条、第五十四条规定承担赔偿损失等法律责任，采购人有权将成交供应商的失信行为报财政部门记入诚信档案，以示惩戒。</w:t>
      </w:r>
    </w:p>
    <w:p w14:paraId="75D1669E">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28.履约保证金</w:t>
      </w:r>
    </w:p>
    <w:p w14:paraId="2FCE848B">
      <w:pPr>
        <w:pStyle w:val="8"/>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highlight w:val="none"/>
        </w:rPr>
        <w:t>28.1履约保证金的金额、提交方式、退付的时间和条件详见 “供应商须知前附表”。</w:t>
      </w:r>
    </w:p>
    <w:p w14:paraId="70FD8F73">
      <w:pPr>
        <w:spacing w:line="360" w:lineRule="auto"/>
        <w:ind w:firstLine="484" w:firstLineChars="202"/>
        <w:rPr>
          <w:rFonts w:ascii="宋体" w:hAnsi="宋体" w:cs="宋体"/>
          <w:color w:val="auto"/>
          <w:sz w:val="24"/>
          <w:highlight w:val="none"/>
        </w:rPr>
      </w:pPr>
      <w:r>
        <w:rPr>
          <w:rFonts w:hint="eastAsia" w:ascii="宋体" w:hAnsi="宋体" w:cs="宋体"/>
          <w:color w:val="auto"/>
          <w:sz w:val="24"/>
          <w:highlight w:val="none"/>
        </w:rPr>
        <w:t>28.2在履约保证金退还日期前，若成交供应商的开户名称、开户银行、账号有变动的，请以书面形式通知履约保证金收取单位，否则由此产生的后果由成交供应商自负。</w:t>
      </w:r>
    </w:p>
    <w:p w14:paraId="65CC8B15">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29.签订合同</w:t>
      </w:r>
    </w:p>
    <w:p w14:paraId="1766FEDB">
      <w:pPr>
        <w:spacing w:line="360" w:lineRule="auto"/>
        <w:ind w:firstLine="484" w:firstLineChars="202"/>
        <w:rPr>
          <w:rFonts w:ascii="宋体" w:hAnsi="宋体" w:cs="宋体"/>
          <w:color w:val="auto"/>
          <w:sz w:val="24"/>
          <w:highlight w:val="none"/>
        </w:rPr>
      </w:pPr>
      <w:r>
        <w:rPr>
          <w:rFonts w:hint="eastAsia" w:ascii="宋体" w:hAnsi="宋体" w:cs="宋体"/>
          <w:color w:val="auto"/>
          <w:sz w:val="24"/>
          <w:highlight w:val="none"/>
        </w:rPr>
        <w:t>29.1成交供应商在收到成交通知书（书面或电子）后，按“供应商须知前附表”规定向采购人出示相关证明材料，经采购人核验合格后方可签订合同（书面或电子）。如成交供应商为联合体的，联合体各方应当共同与采购人签订采购合同，就采购合同约定的事项对采购人承担连带责任。</w:t>
      </w:r>
    </w:p>
    <w:p w14:paraId="1465612B">
      <w:pPr>
        <w:spacing w:line="360" w:lineRule="auto"/>
        <w:ind w:firstLine="484" w:firstLineChars="202"/>
        <w:rPr>
          <w:rFonts w:ascii="宋体" w:hAnsi="宋体" w:cs="宋体"/>
          <w:color w:val="auto"/>
          <w:sz w:val="24"/>
          <w:highlight w:val="none"/>
        </w:rPr>
      </w:pPr>
      <w:r>
        <w:rPr>
          <w:rFonts w:hint="eastAsia" w:ascii="宋体" w:hAnsi="宋体" w:cs="宋体"/>
          <w:color w:val="auto"/>
          <w:sz w:val="24"/>
          <w:highlight w:val="none"/>
        </w:rPr>
        <w:t>29.2 签订合同时间：按成交通知书的规定与采购人签订政府采购合同（最长不能超过25日）。</w:t>
      </w:r>
    </w:p>
    <w:p w14:paraId="09F03F16">
      <w:pPr>
        <w:spacing w:line="360" w:lineRule="auto"/>
        <w:ind w:firstLine="484" w:firstLineChars="202"/>
        <w:rPr>
          <w:rFonts w:ascii="宋体" w:hAnsi="宋体" w:cs="宋体"/>
          <w:color w:val="auto"/>
          <w:sz w:val="24"/>
          <w:highlight w:val="none"/>
        </w:rPr>
      </w:pPr>
      <w:r>
        <w:rPr>
          <w:rFonts w:hint="eastAsia" w:ascii="宋体" w:hAnsi="宋体" w:cs="宋体"/>
          <w:color w:val="auto"/>
          <w:sz w:val="24"/>
          <w:highlight w:val="none"/>
        </w:rPr>
        <w:t>29.3成交供应商拒绝与采购人签订合同的，按照本文件之《供应商须知正文》第27.5条的规定执行。</w:t>
      </w:r>
    </w:p>
    <w:p w14:paraId="70633FF2">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30.政府采购合同公告</w:t>
      </w:r>
    </w:p>
    <w:p w14:paraId="3596657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57AD3CE0">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31.询问、质疑和投诉</w:t>
      </w:r>
    </w:p>
    <w:p w14:paraId="49A6A5F0">
      <w:pPr>
        <w:pStyle w:val="6"/>
        <w:spacing w:line="360" w:lineRule="auto"/>
        <w:rPr>
          <w:rFonts w:ascii="宋体" w:hAnsi="宋体" w:cs="宋体"/>
          <w:color w:val="auto"/>
          <w:sz w:val="24"/>
          <w:szCs w:val="24"/>
          <w:highlight w:val="none"/>
        </w:rPr>
      </w:pPr>
      <w:r>
        <w:rPr>
          <w:rFonts w:hint="eastAsia" w:ascii="宋体" w:hAnsi="宋体" w:cs="宋体"/>
          <w:color w:val="auto"/>
          <w:sz w:val="24"/>
          <w:szCs w:val="22"/>
          <w:highlight w:val="none"/>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auto"/>
          <w:sz w:val="24"/>
          <w:szCs w:val="24"/>
          <w:highlight w:val="none"/>
        </w:rPr>
        <w:t>但答复的内容不得涉及商业秘密。</w:t>
      </w:r>
    </w:p>
    <w:p w14:paraId="3F2F1D84">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31.2供应商认为谈判文件、采购过程或者成交结果使自己的合法权益受到损害的，应当在知道或者应知其权益受到损害之日起7个工作日内，以纸质书面形式向采购人、采购代理机构提出质疑，</w:t>
      </w:r>
      <w:r>
        <w:rPr>
          <w:rFonts w:hint="eastAsia" w:ascii="宋体" w:hAnsi="宋体" w:cs="宋体"/>
          <w:color w:val="auto"/>
          <w:sz w:val="24"/>
          <w:szCs w:val="32"/>
          <w:highlight w:val="none"/>
          <w:shd w:val="clear" w:color="auto" w:fill="FFFFFF"/>
        </w:rPr>
        <w:t>接收质疑函的方式、联系部门、联系电话和通讯地址等信息</w:t>
      </w:r>
      <w:r>
        <w:rPr>
          <w:rFonts w:hint="eastAsia" w:ascii="宋体" w:hAnsi="宋体" w:cs="宋体"/>
          <w:color w:val="auto"/>
          <w:sz w:val="24"/>
          <w:highlight w:val="none"/>
        </w:rPr>
        <w:t>详见“供应商须知前附表”</w:t>
      </w:r>
      <w:r>
        <w:rPr>
          <w:rFonts w:hint="eastAsia" w:ascii="宋体" w:hAnsi="宋体" w:cs="宋体"/>
          <w:color w:val="auto"/>
          <w:sz w:val="24"/>
          <w:szCs w:val="32"/>
          <w:highlight w:val="none"/>
        </w:rPr>
        <w:t>。供应商应当在法定质疑期内一次性提出针对同一采购程序环节的质疑。具体质疑起算时间如下：</w:t>
      </w:r>
    </w:p>
    <w:p w14:paraId="4BD7A528">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（1）对可以质疑的谈判文件提出质疑的，为获取谈判文件之日；</w:t>
      </w:r>
    </w:p>
    <w:p w14:paraId="51E38AFD">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（2）对采购过程提出质疑的，为各采购程序环节结束之日；</w:t>
      </w:r>
    </w:p>
    <w:p w14:paraId="180A242C">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（3）对成交结果提出质疑的，为成交结果公告期限届满之日。</w:t>
      </w:r>
    </w:p>
    <w:p w14:paraId="5B6B7EB3">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2C80B17">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31.4供应商提出质疑应当提交质疑函和必要的证明材料，针对同一采购程序环节的质疑必须在法定质疑期内一次性提出。质疑函应当包括下列内容</w:t>
      </w:r>
      <w:r>
        <w:rPr>
          <w:rFonts w:hint="eastAsia" w:ascii="宋体" w:hAnsi="宋体" w:cs="宋体"/>
          <w:bCs/>
          <w:color w:val="auto"/>
          <w:sz w:val="24"/>
          <w:szCs w:val="32"/>
          <w:highlight w:val="none"/>
        </w:rPr>
        <w:t>（质疑函格式后附）</w:t>
      </w:r>
      <w:r>
        <w:rPr>
          <w:rFonts w:hint="eastAsia" w:ascii="宋体" w:hAnsi="宋体" w:cs="宋体"/>
          <w:color w:val="auto"/>
          <w:sz w:val="24"/>
          <w:szCs w:val="32"/>
          <w:highlight w:val="none"/>
        </w:rPr>
        <w:t>：</w:t>
      </w:r>
    </w:p>
    <w:p w14:paraId="558E4AC9">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（1）供应商的姓名或者名称、地址、邮编、联系人及联系电话；</w:t>
      </w:r>
    </w:p>
    <w:p w14:paraId="752B9CA2">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（2）质疑项目的名称、编号；</w:t>
      </w:r>
    </w:p>
    <w:p w14:paraId="0731B307">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（3）具体、明确的质疑事项和与质疑事项相关的请求；</w:t>
      </w:r>
    </w:p>
    <w:p w14:paraId="4291D073">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（4）事实依据；</w:t>
      </w:r>
    </w:p>
    <w:p w14:paraId="3BDEFE9B">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（5）必要的法律依据；</w:t>
      </w:r>
    </w:p>
    <w:p w14:paraId="333F665C">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（6）提出质疑的日期。</w:t>
      </w:r>
    </w:p>
    <w:p w14:paraId="5FBF7C12">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供应商为自然人的，应当由本人签字；供应商为法人或者其他组织的，应当由法定代表人、主要负责人，或者其委托代理人签字或者盖章，并加盖公章。</w:t>
      </w:r>
    </w:p>
    <w:p w14:paraId="7885E085">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31.5采购人、采购代理机构认为供应商质疑不成立，或者成立但未对成交结果构成影响的，继续开展采购活动；认为供应商质疑成立且影响或者可能影响成交结果的，按照下列情况处理：</w:t>
      </w:r>
    </w:p>
    <w:p w14:paraId="6CBD24D2">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（1）对采购文件提出的质疑，依法通过澄清或者修改可以继续开展采购活动的，澄清或者修改采购文件后继续开展采购活动；否则应当修改采购文件后重新开展采购活动。</w:t>
      </w:r>
    </w:p>
    <w:p w14:paraId="04BCCD34">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（2）对采购过程或者成交结果提出的质疑，合格供应商符合法定数量时，可以从合格的成交候选人中另行确定成交供应商的，应当依法另行确定成交供应商；否则应当重新开展采购活动。</w:t>
      </w:r>
    </w:p>
    <w:p w14:paraId="44B132C9">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质疑答复导致成交结果改变的，采购人或者采购代理机构应当将有关情况书面报告本级财政部门。</w:t>
      </w:r>
    </w:p>
    <w:p w14:paraId="11DE943C">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szCs w:val="32"/>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727BF913">
      <w:pPr>
        <w:spacing w:line="360" w:lineRule="auto"/>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32.其他内容</w:t>
      </w:r>
    </w:p>
    <w:p w14:paraId="6B4B2B1B">
      <w:pPr>
        <w:tabs>
          <w:tab w:val="left" w:pos="2835"/>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32.1代理服务费：代理服务收取标准及缴费账户详见“供应商须知前附表”，供应商为联合体的，可以由联合体中的一方或者多方共同交纳代理服务费。</w:t>
      </w:r>
    </w:p>
    <w:p w14:paraId="7E3F8DB3">
      <w:pPr>
        <w:tabs>
          <w:tab w:val="left" w:pos="2835"/>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32.2代理服务费收费计算标准：</w:t>
      </w:r>
    </w:p>
    <w:tbl>
      <w:tblPr>
        <w:tblStyle w:val="26"/>
        <w:tblW w:w="8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3952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2D93BD7F">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费率</w:t>
            </w:r>
          </w:p>
          <w:p w14:paraId="1EB6CCEC">
            <w:pPr>
              <w:spacing w:line="360" w:lineRule="auto"/>
              <w:rPr>
                <w:rFonts w:ascii="宋体" w:hAnsi="宋体" w:cs="宋体"/>
                <w:color w:val="auto"/>
                <w:sz w:val="24"/>
                <w:highlight w:val="none"/>
              </w:rPr>
            </w:pPr>
            <w:r>
              <w:rPr>
                <w:rFonts w:hint="eastAsia" w:ascii="宋体" w:hAnsi="宋体" w:cs="宋体"/>
                <w:color w:val="auto"/>
                <w:sz w:val="24"/>
                <w:highlight w:val="none"/>
              </w:rPr>
              <w:t>金额（人民币）</w:t>
            </w:r>
          </w:p>
        </w:tc>
        <w:tc>
          <w:tcPr>
            <w:tcW w:w="1659" w:type="dxa"/>
            <w:vAlign w:val="center"/>
          </w:tcPr>
          <w:p w14:paraId="5B3EFA48">
            <w:pPr>
              <w:spacing w:line="360" w:lineRule="auto"/>
              <w:ind w:firstLine="120" w:firstLineChars="50"/>
              <w:jc w:val="center"/>
              <w:rPr>
                <w:rFonts w:ascii="宋体" w:hAnsi="宋体" w:cs="宋体"/>
                <w:color w:val="auto"/>
                <w:sz w:val="24"/>
                <w:highlight w:val="none"/>
              </w:rPr>
            </w:pPr>
            <w:r>
              <w:rPr>
                <w:rFonts w:hint="eastAsia" w:ascii="宋体" w:hAnsi="宋体" w:cs="宋体"/>
                <w:color w:val="auto"/>
                <w:sz w:val="24"/>
                <w:highlight w:val="none"/>
              </w:rPr>
              <w:t>货物类</w:t>
            </w:r>
          </w:p>
        </w:tc>
        <w:tc>
          <w:tcPr>
            <w:tcW w:w="1532" w:type="dxa"/>
            <w:vAlign w:val="center"/>
          </w:tcPr>
          <w:p w14:paraId="7C289C8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服务类</w:t>
            </w:r>
          </w:p>
        </w:tc>
        <w:tc>
          <w:tcPr>
            <w:tcW w:w="1546" w:type="dxa"/>
            <w:vAlign w:val="center"/>
          </w:tcPr>
          <w:p w14:paraId="0CB1453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工程类</w:t>
            </w:r>
          </w:p>
        </w:tc>
      </w:tr>
      <w:tr w14:paraId="73E4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37787D0">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100万元以下</w:t>
            </w:r>
          </w:p>
        </w:tc>
        <w:tc>
          <w:tcPr>
            <w:tcW w:w="1659" w:type="dxa"/>
          </w:tcPr>
          <w:p w14:paraId="3B39942B">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1.5%</w:t>
            </w:r>
          </w:p>
        </w:tc>
        <w:tc>
          <w:tcPr>
            <w:tcW w:w="1532" w:type="dxa"/>
          </w:tcPr>
          <w:p w14:paraId="4BACF851">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1.5%</w:t>
            </w:r>
          </w:p>
        </w:tc>
        <w:tc>
          <w:tcPr>
            <w:tcW w:w="1546" w:type="dxa"/>
          </w:tcPr>
          <w:p w14:paraId="65266D08">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1.0%</w:t>
            </w:r>
          </w:p>
        </w:tc>
      </w:tr>
      <w:tr w14:paraId="44E7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0C6691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100～500万元</w:t>
            </w:r>
          </w:p>
        </w:tc>
        <w:tc>
          <w:tcPr>
            <w:tcW w:w="1659" w:type="dxa"/>
          </w:tcPr>
          <w:p w14:paraId="3AC9BB4B">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1.1%</w:t>
            </w:r>
          </w:p>
        </w:tc>
        <w:tc>
          <w:tcPr>
            <w:tcW w:w="1532" w:type="dxa"/>
          </w:tcPr>
          <w:p w14:paraId="515872D4">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0.8%</w:t>
            </w:r>
          </w:p>
        </w:tc>
        <w:tc>
          <w:tcPr>
            <w:tcW w:w="1546" w:type="dxa"/>
          </w:tcPr>
          <w:p w14:paraId="67EFA1E5">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0.7%</w:t>
            </w:r>
          </w:p>
        </w:tc>
      </w:tr>
      <w:tr w14:paraId="59CF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A2951C7">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500～1000万元</w:t>
            </w:r>
          </w:p>
        </w:tc>
        <w:tc>
          <w:tcPr>
            <w:tcW w:w="1659" w:type="dxa"/>
          </w:tcPr>
          <w:p w14:paraId="056BAD51">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0.8%</w:t>
            </w:r>
          </w:p>
        </w:tc>
        <w:tc>
          <w:tcPr>
            <w:tcW w:w="1532" w:type="dxa"/>
          </w:tcPr>
          <w:p w14:paraId="70E8950F">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0.45%</w:t>
            </w:r>
          </w:p>
        </w:tc>
        <w:tc>
          <w:tcPr>
            <w:tcW w:w="1546" w:type="dxa"/>
          </w:tcPr>
          <w:p w14:paraId="1DC9DBD2">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0.55%</w:t>
            </w:r>
          </w:p>
        </w:tc>
      </w:tr>
      <w:tr w14:paraId="6E3D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2F52AD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1000～5000万元</w:t>
            </w:r>
          </w:p>
        </w:tc>
        <w:tc>
          <w:tcPr>
            <w:tcW w:w="1659" w:type="dxa"/>
          </w:tcPr>
          <w:p w14:paraId="5A7B15DD">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0.5%</w:t>
            </w:r>
          </w:p>
        </w:tc>
        <w:tc>
          <w:tcPr>
            <w:tcW w:w="1532" w:type="dxa"/>
          </w:tcPr>
          <w:p w14:paraId="067A8ED3">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0.25%</w:t>
            </w:r>
          </w:p>
        </w:tc>
        <w:tc>
          <w:tcPr>
            <w:tcW w:w="1546" w:type="dxa"/>
          </w:tcPr>
          <w:p w14:paraId="6E2E3662">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0.35%</w:t>
            </w:r>
          </w:p>
        </w:tc>
      </w:tr>
      <w:tr w14:paraId="6E89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F85D4F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5000万元～1亿元</w:t>
            </w:r>
          </w:p>
        </w:tc>
        <w:tc>
          <w:tcPr>
            <w:tcW w:w="1659" w:type="dxa"/>
          </w:tcPr>
          <w:p w14:paraId="107A0237">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0.25%</w:t>
            </w:r>
          </w:p>
        </w:tc>
        <w:tc>
          <w:tcPr>
            <w:tcW w:w="1532" w:type="dxa"/>
          </w:tcPr>
          <w:p w14:paraId="71413D4A">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0.1%</w:t>
            </w:r>
          </w:p>
        </w:tc>
        <w:tc>
          <w:tcPr>
            <w:tcW w:w="1546" w:type="dxa"/>
          </w:tcPr>
          <w:p w14:paraId="6342E22F">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0.2%</w:t>
            </w:r>
          </w:p>
        </w:tc>
      </w:tr>
      <w:tr w14:paraId="55EE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BC8F373">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1～5亿元</w:t>
            </w:r>
          </w:p>
        </w:tc>
        <w:tc>
          <w:tcPr>
            <w:tcW w:w="1659" w:type="dxa"/>
          </w:tcPr>
          <w:p w14:paraId="53E394D2">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0.05%</w:t>
            </w:r>
          </w:p>
        </w:tc>
        <w:tc>
          <w:tcPr>
            <w:tcW w:w="1532" w:type="dxa"/>
          </w:tcPr>
          <w:p w14:paraId="55956FA3">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0.05%</w:t>
            </w:r>
          </w:p>
        </w:tc>
        <w:tc>
          <w:tcPr>
            <w:tcW w:w="1546" w:type="dxa"/>
          </w:tcPr>
          <w:p w14:paraId="28B7843A">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0.05%</w:t>
            </w:r>
          </w:p>
        </w:tc>
      </w:tr>
      <w:tr w14:paraId="7F28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166477B">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5～10亿元</w:t>
            </w:r>
          </w:p>
        </w:tc>
        <w:tc>
          <w:tcPr>
            <w:tcW w:w="1659" w:type="dxa"/>
          </w:tcPr>
          <w:p w14:paraId="6AB64E9F">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0.035%</w:t>
            </w:r>
          </w:p>
        </w:tc>
        <w:tc>
          <w:tcPr>
            <w:tcW w:w="1532" w:type="dxa"/>
          </w:tcPr>
          <w:p w14:paraId="4665BF0D">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0.035%</w:t>
            </w:r>
          </w:p>
        </w:tc>
        <w:tc>
          <w:tcPr>
            <w:tcW w:w="1546" w:type="dxa"/>
          </w:tcPr>
          <w:p w14:paraId="7C85D8BF">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0.035%</w:t>
            </w:r>
          </w:p>
        </w:tc>
      </w:tr>
      <w:tr w14:paraId="1278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6FE41D9">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10～50亿元</w:t>
            </w:r>
          </w:p>
        </w:tc>
        <w:tc>
          <w:tcPr>
            <w:tcW w:w="1659" w:type="dxa"/>
          </w:tcPr>
          <w:p w14:paraId="471724EE">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0.008%</w:t>
            </w:r>
          </w:p>
        </w:tc>
        <w:tc>
          <w:tcPr>
            <w:tcW w:w="1532" w:type="dxa"/>
          </w:tcPr>
          <w:p w14:paraId="65057328">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0.008%</w:t>
            </w:r>
          </w:p>
        </w:tc>
        <w:tc>
          <w:tcPr>
            <w:tcW w:w="1546" w:type="dxa"/>
          </w:tcPr>
          <w:p w14:paraId="4467F020">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0.008%</w:t>
            </w:r>
          </w:p>
        </w:tc>
      </w:tr>
      <w:tr w14:paraId="777B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E4E1CD4">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50～100亿元</w:t>
            </w:r>
          </w:p>
        </w:tc>
        <w:tc>
          <w:tcPr>
            <w:tcW w:w="1659" w:type="dxa"/>
          </w:tcPr>
          <w:p w14:paraId="7415B92C">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 xml:space="preserve"> 0.006%</w:t>
            </w:r>
          </w:p>
        </w:tc>
        <w:tc>
          <w:tcPr>
            <w:tcW w:w="1532" w:type="dxa"/>
          </w:tcPr>
          <w:p w14:paraId="7A22D5FE">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0.006%</w:t>
            </w:r>
          </w:p>
        </w:tc>
        <w:tc>
          <w:tcPr>
            <w:tcW w:w="1546" w:type="dxa"/>
          </w:tcPr>
          <w:p w14:paraId="45FC03A7">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0.006%</w:t>
            </w:r>
          </w:p>
        </w:tc>
      </w:tr>
      <w:tr w14:paraId="08D0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8DF3200">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100亿元以上</w:t>
            </w:r>
          </w:p>
        </w:tc>
        <w:tc>
          <w:tcPr>
            <w:tcW w:w="1659" w:type="dxa"/>
          </w:tcPr>
          <w:p w14:paraId="483626D0">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 xml:space="preserve"> 0.004%</w:t>
            </w:r>
          </w:p>
        </w:tc>
        <w:tc>
          <w:tcPr>
            <w:tcW w:w="1532" w:type="dxa"/>
          </w:tcPr>
          <w:p w14:paraId="7FAFF679">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0.004%</w:t>
            </w:r>
          </w:p>
        </w:tc>
        <w:tc>
          <w:tcPr>
            <w:tcW w:w="1546" w:type="dxa"/>
          </w:tcPr>
          <w:p w14:paraId="6B8E4CE3">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0.004%</w:t>
            </w:r>
          </w:p>
        </w:tc>
      </w:tr>
    </w:tbl>
    <w:p w14:paraId="0538D069">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注：</w:t>
      </w:r>
      <w:r>
        <w:rPr>
          <w:rFonts w:ascii="楷体" w:hAnsi="楷体" w:eastAsia="楷体" w:cs="宋体"/>
          <w:color w:val="auto"/>
          <w:sz w:val="24"/>
          <w:highlight w:val="none"/>
        </w:rPr>
        <w:t xml:space="preserve"> </w:t>
      </w:r>
    </w:p>
    <w:p w14:paraId="72003BD4">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w:t>
      </w:r>
      <w:r>
        <w:rPr>
          <w:rFonts w:ascii="楷体" w:hAnsi="楷体" w:eastAsia="楷体" w:cs="宋体"/>
          <w:color w:val="auto"/>
          <w:sz w:val="24"/>
          <w:highlight w:val="none"/>
        </w:rPr>
        <w:t>1）按本表费率计算的收费为采购代理的收费基准价格；</w:t>
      </w:r>
    </w:p>
    <w:p w14:paraId="35B4360E">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w:t>
      </w:r>
      <w:r>
        <w:rPr>
          <w:rFonts w:ascii="楷体" w:hAnsi="楷体" w:eastAsia="楷体" w:cs="宋体"/>
          <w:color w:val="auto"/>
          <w:sz w:val="24"/>
          <w:highlight w:val="none"/>
        </w:rPr>
        <w:t>2）采购代理收费按差额定率累进法计算。</w:t>
      </w:r>
    </w:p>
    <w:p w14:paraId="00CD7136">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例如：某货物采购代理业务成交金额或者暂定价为</w:t>
      </w:r>
      <w:r>
        <w:rPr>
          <w:rFonts w:ascii="楷体" w:hAnsi="楷体" w:eastAsia="楷体" w:cs="宋体"/>
          <w:color w:val="auto"/>
          <w:sz w:val="24"/>
          <w:highlight w:val="none"/>
        </w:rPr>
        <w:t>150万元，计算采购代理收费额如下：</w:t>
      </w:r>
    </w:p>
    <w:p w14:paraId="48A94673">
      <w:pPr>
        <w:spacing w:line="360" w:lineRule="auto"/>
        <w:ind w:firstLine="480" w:firstLineChars="200"/>
        <w:contextualSpacing/>
        <w:rPr>
          <w:rFonts w:ascii="楷体" w:hAnsi="楷体" w:eastAsia="楷体" w:cs="宋体"/>
          <w:color w:val="auto"/>
          <w:sz w:val="24"/>
          <w:highlight w:val="none"/>
        </w:rPr>
      </w:pPr>
      <w:r>
        <w:rPr>
          <w:rFonts w:ascii="楷体" w:hAnsi="楷体" w:eastAsia="楷体" w:cs="宋体"/>
          <w:color w:val="auto"/>
          <w:sz w:val="24"/>
          <w:highlight w:val="none"/>
        </w:rPr>
        <w:t xml:space="preserve">100 </w:t>
      </w:r>
      <w:r>
        <w:rPr>
          <w:rFonts w:hint="eastAsia" w:ascii="楷体" w:hAnsi="楷体" w:eastAsia="楷体" w:cs="宋体"/>
          <w:color w:val="auto"/>
          <w:sz w:val="24"/>
          <w:highlight w:val="none"/>
        </w:rPr>
        <w:t>万元</w:t>
      </w:r>
      <w:r>
        <w:rPr>
          <w:rFonts w:ascii="楷体" w:hAnsi="楷体" w:eastAsia="楷体" w:cs="宋体"/>
          <w:color w:val="auto"/>
          <w:sz w:val="24"/>
          <w:highlight w:val="none"/>
        </w:rPr>
        <w:t xml:space="preserve"> </w:t>
      </w:r>
      <w:r>
        <w:rPr>
          <w:rFonts w:hint="eastAsia" w:ascii="楷体" w:hAnsi="楷体" w:eastAsia="楷体" w:cs="宋体"/>
          <w:color w:val="auto"/>
          <w:sz w:val="24"/>
          <w:highlight w:val="none"/>
        </w:rPr>
        <w:t>×</w:t>
      </w:r>
      <w:r>
        <w:rPr>
          <w:rFonts w:ascii="楷体" w:hAnsi="楷体" w:eastAsia="楷体" w:cs="宋体"/>
          <w:color w:val="auto"/>
          <w:sz w:val="24"/>
          <w:highlight w:val="none"/>
        </w:rPr>
        <w:t xml:space="preserve">l.5 %＝ 1.5 </w:t>
      </w:r>
      <w:r>
        <w:rPr>
          <w:rFonts w:hint="eastAsia" w:ascii="楷体" w:hAnsi="楷体" w:eastAsia="楷体" w:cs="宋体"/>
          <w:color w:val="auto"/>
          <w:sz w:val="24"/>
          <w:highlight w:val="none"/>
        </w:rPr>
        <w:t>万元</w:t>
      </w:r>
    </w:p>
    <w:p w14:paraId="009ACC7A">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w:t>
      </w:r>
      <w:r>
        <w:rPr>
          <w:rFonts w:ascii="楷体" w:hAnsi="楷体" w:eastAsia="楷体" w:cs="宋体"/>
          <w:color w:val="auto"/>
          <w:sz w:val="24"/>
          <w:highlight w:val="none"/>
        </w:rPr>
        <w:t xml:space="preserve"> 150 </w:t>
      </w:r>
      <w:r>
        <w:rPr>
          <w:rFonts w:hint="eastAsia" w:ascii="楷体" w:hAnsi="楷体" w:eastAsia="楷体" w:cs="宋体"/>
          <w:color w:val="auto"/>
          <w:sz w:val="24"/>
          <w:highlight w:val="none"/>
        </w:rPr>
        <w:t>－</w:t>
      </w:r>
      <w:r>
        <w:rPr>
          <w:rFonts w:ascii="楷体" w:hAnsi="楷体" w:eastAsia="楷体" w:cs="宋体"/>
          <w:color w:val="auto"/>
          <w:sz w:val="24"/>
          <w:highlight w:val="none"/>
        </w:rPr>
        <w:t xml:space="preserve"> 100 </w:t>
      </w:r>
      <w:r>
        <w:rPr>
          <w:rFonts w:hint="eastAsia" w:ascii="楷体" w:hAnsi="楷体" w:eastAsia="楷体" w:cs="宋体"/>
          <w:color w:val="auto"/>
          <w:sz w:val="24"/>
          <w:highlight w:val="none"/>
        </w:rPr>
        <w:t>）万元</w:t>
      </w:r>
      <w:r>
        <w:rPr>
          <w:rFonts w:ascii="楷体" w:hAnsi="楷体" w:eastAsia="楷体" w:cs="宋体"/>
          <w:color w:val="auto"/>
          <w:sz w:val="24"/>
          <w:highlight w:val="none"/>
        </w:rPr>
        <w:t xml:space="preserve"> </w:t>
      </w:r>
      <w:r>
        <w:rPr>
          <w:rFonts w:hint="eastAsia" w:ascii="楷体" w:hAnsi="楷体" w:eastAsia="楷体" w:cs="宋体"/>
          <w:color w:val="auto"/>
          <w:sz w:val="24"/>
          <w:highlight w:val="none"/>
        </w:rPr>
        <w:t>×</w:t>
      </w:r>
      <w:r>
        <w:rPr>
          <w:rFonts w:ascii="楷体" w:hAnsi="楷体" w:eastAsia="楷体" w:cs="宋体"/>
          <w:color w:val="auto"/>
          <w:sz w:val="24"/>
          <w:highlight w:val="none"/>
        </w:rPr>
        <w:t xml:space="preserve">1.1%＝ 0.55 </w:t>
      </w:r>
      <w:r>
        <w:rPr>
          <w:rFonts w:hint="eastAsia" w:ascii="楷体" w:hAnsi="楷体" w:eastAsia="楷体" w:cs="宋体"/>
          <w:color w:val="auto"/>
          <w:sz w:val="24"/>
          <w:highlight w:val="none"/>
        </w:rPr>
        <w:t>万元</w:t>
      </w:r>
    </w:p>
    <w:p w14:paraId="4F888577">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合计收费＝</w:t>
      </w:r>
      <w:r>
        <w:rPr>
          <w:rFonts w:ascii="楷体" w:hAnsi="楷体" w:eastAsia="楷体" w:cs="宋体"/>
          <w:color w:val="auto"/>
          <w:sz w:val="24"/>
          <w:highlight w:val="none"/>
        </w:rPr>
        <w:t xml:space="preserve"> 1.5 </w:t>
      </w:r>
      <w:r>
        <w:rPr>
          <w:rFonts w:hint="eastAsia" w:ascii="楷体" w:hAnsi="楷体" w:eastAsia="楷体" w:cs="宋体"/>
          <w:color w:val="auto"/>
          <w:sz w:val="24"/>
          <w:highlight w:val="none"/>
        </w:rPr>
        <w:t>＋</w:t>
      </w:r>
      <w:r>
        <w:rPr>
          <w:rFonts w:ascii="楷体" w:hAnsi="楷体" w:eastAsia="楷体" w:cs="宋体"/>
          <w:color w:val="auto"/>
          <w:sz w:val="24"/>
          <w:highlight w:val="none"/>
        </w:rPr>
        <w:t xml:space="preserve"> 0.55＝ 2.05 </w:t>
      </w:r>
      <w:r>
        <w:rPr>
          <w:rFonts w:hint="eastAsia" w:ascii="楷体" w:hAnsi="楷体" w:eastAsia="楷体" w:cs="宋体"/>
          <w:color w:val="auto"/>
          <w:sz w:val="24"/>
          <w:highlight w:val="none"/>
        </w:rPr>
        <w:t>（万元）</w:t>
      </w:r>
    </w:p>
    <w:p w14:paraId="44670CCB">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33.需要补充的其他内容</w:t>
      </w:r>
    </w:p>
    <w:p w14:paraId="63BB6583">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33.1本谈判文件解释规则详见“供应商须知前附表”。</w:t>
      </w:r>
    </w:p>
    <w:p w14:paraId="2042CEC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kern w:val="0"/>
          <w:sz w:val="24"/>
          <w:highlight w:val="none"/>
        </w:rPr>
        <w:t>33.2 其他事</w:t>
      </w:r>
      <w:r>
        <w:rPr>
          <w:rFonts w:hint="eastAsia" w:ascii="宋体" w:hAnsi="宋体" w:cs="宋体"/>
          <w:color w:val="auto"/>
          <w:sz w:val="24"/>
          <w:highlight w:val="none"/>
        </w:rPr>
        <w:t>项详见“供应商须知前附表”。</w:t>
      </w:r>
    </w:p>
    <w:p w14:paraId="664E314B">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33.3</w:t>
      </w:r>
      <w:bookmarkStart w:id="24" w:name="_Hlk65857140"/>
      <w:r>
        <w:rPr>
          <w:rFonts w:hint="eastAsia" w:hAnsi="宋体" w:cs="宋体"/>
          <w:color w:val="auto"/>
          <w:sz w:val="24"/>
          <w:szCs w:val="24"/>
          <w:highlight w:val="none"/>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1448B723">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（1）在货物采购项目中，货物由中小企业制造，即货物由中小企业生产且使用该中小企业商号或者注册商标，不对其中涉及的工程承建商和服务的承接商作出要求；</w:t>
      </w:r>
    </w:p>
    <w:p w14:paraId="53817F89">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（2）在工程采购项目中，工程由中小企业承建，即工程施工单位为中小企业，不对其中涉及的货物的制造商和服务的承接商作出要求；</w:t>
      </w:r>
    </w:p>
    <w:p w14:paraId="68FDF253">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39EABC9F">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0E19629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依据本谈判文件规定享受扶持政策获得政府采购合同的，小微企业不得将合同分包给大中型企业，中型企业不得将合同分包给大型企业。</w:t>
      </w:r>
      <w:bookmarkEnd w:id="24"/>
    </w:p>
    <w:p w14:paraId="16878E8B">
      <w:pPr>
        <w:pStyle w:val="2"/>
        <w:spacing w:before="0" w:after="0" w:line="360" w:lineRule="auto"/>
        <w:jc w:val="center"/>
        <w:rPr>
          <w:rFonts w:ascii="宋体" w:hAnsi="宋体" w:cs="宋体"/>
          <w:color w:val="auto"/>
          <w:sz w:val="32"/>
          <w:szCs w:val="32"/>
          <w:highlight w:val="none"/>
        </w:rPr>
      </w:pPr>
      <w:r>
        <w:rPr>
          <w:rFonts w:hint="eastAsia" w:ascii="宋体" w:hAnsi="宋体" w:cs="宋体"/>
          <w:bCs w:val="0"/>
          <w:color w:val="auto"/>
          <w:sz w:val="24"/>
          <w:szCs w:val="24"/>
          <w:highlight w:val="none"/>
        </w:rPr>
        <w:br w:type="page"/>
      </w:r>
      <w:bookmarkStart w:id="25" w:name="_Toc27583"/>
      <w:r>
        <w:rPr>
          <w:rFonts w:hint="eastAsia" w:ascii="宋体" w:hAnsi="宋体" w:cs="宋体"/>
          <w:color w:val="auto"/>
          <w:highlight w:val="none"/>
        </w:rPr>
        <w:t>第三章 采购需求</w:t>
      </w:r>
      <w:bookmarkEnd w:id="25"/>
    </w:p>
    <w:p w14:paraId="2FC1000E">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说明：</w:t>
      </w:r>
    </w:p>
    <w:p w14:paraId="5513CB6F">
      <w:pPr>
        <w:spacing w:line="360" w:lineRule="auto"/>
        <w:ind w:left="-10" w:leftChars="-5" w:right="2" w:rightChars="1" w:firstLine="480" w:firstLineChars="200"/>
        <w:rPr>
          <w:bCs/>
          <w:color w:val="auto"/>
          <w:sz w:val="24"/>
          <w:highlight w:val="none"/>
        </w:rPr>
      </w:pPr>
      <w:r>
        <w:rPr>
          <w:bCs/>
          <w:color w:val="auto"/>
          <w:sz w:val="24"/>
          <w:highlight w:val="none"/>
        </w:rPr>
        <w:t>1</w:t>
      </w:r>
      <w:r>
        <w:rPr>
          <w:rFonts w:hint="eastAsia" w:ascii="宋体" w:hAnsi="宋体" w:cs="宋体"/>
          <w:color w:val="auto"/>
          <w:sz w:val="24"/>
          <w:highlight w:val="none"/>
        </w:rPr>
        <w:t>.</w:t>
      </w:r>
      <w:r>
        <w:rPr>
          <w:bCs/>
          <w:color w:val="auto"/>
          <w:sz w:val="24"/>
          <w:highlight w:val="none"/>
        </w:rPr>
        <w:t>采购需求中如出现品牌、型号或者生产厂家等均仅起参考作用，不属于指定品牌、型号或者生产厂家的情形，</w:t>
      </w:r>
      <w:r>
        <w:rPr>
          <w:rFonts w:hint="eastAsia"/>
          <w:bCs/>
          <w:color w:val="auto"/>
          <w:sz w:val="24"/>
          <w:highlight w:val="none"/>
        </w:rPr>
        <w:t>供应商</w:t>
      </w:r>
      <w:r>
        <w:rPr>
          <w:bCs/>
          <w:color w:val="auto"/>
          <w:sz w:val="24"/>
          <w:highlight w:val="none"/>
        </w:rPr>
        <w:t>可参照或者选用其他相当的品牌、型号或者生产供应商替代。但</w:t>
      </w:r>
      <w:r>
        <w:rPr>
          <w:rFonts w:hint="eastAsia"/>
          <w:bCs/>
          <w:color w:val="auto"/>
          <w:sz w:val="24"/>
          <w:highlight w:val="none"/>
        </w:rPr>
        <w:t>供应商提供</w:t>
      </w:r>
      <w:r>
        <w:rPr>
          <w:bCs/>
          <w:color w:val="auto"/>
          <w:sz w:val="24"/>
          <w:highlight w:val="none"/>
        </w:rPr>
        <w:t>的产品实质上应相当于或优于本</w:t>
      </w:r>
      <w:r>
        <w:rPr>
          <w:rFonts w:hint="eastAsia"/>
          <w:bCs/>
          <w:color w:val="auto"/>
          <w:sz w:val="24"/>
          <w:highlight w:val="none"/>
        </w:rPr>
        <w:t>《采购</w:t>
      </w:r>
      <w:r>
        <w:rPr>
          <w:bCs/>
          <w:color w:val="auto"/>
          <w:sz w:val="24"/>
          <w:highlight w:val="none"/>
        </w:rPr>
        <w:t>需求</w:t>
      </w:r>
      <w:r>
        <w:rPr>
          <w:rFonts w:hint="eastAsia"/>
          <w:bCs/>
          <w:color w:val="auto"/>
          <w:sz w:val="24"/>
          <w:highlight w:val="none"/>
        </w:rPr>
        <w:t>》</w:t>
      </w:r>
      <w:r>
        <w:rPr>
          <w:bCs/>
          <w:color w:val="auto"/>
          <w:sz w:val="24"/>
          <w:highlight w:val="none"/>
        </w:rPr>
        <w:t>中的技术要求。</w:t>
      </w:r>
    </w:p>
    <w:p w14:paraId="1C7C5BE8">
      <w:pPr>
        <w:spacing w:line="360" w:lineRule="auto"/>
        <w:ind w:left="-10" w:leftChars="-5" w:right="2" w:rightChars="1" w:firstLine="480" w:firstLineChars="200"/>
        <w:rPr>
          <w:bCs/>
          <w:color w:val="auto"/>
          <w:sz w:val="24"/>
          <w:highlight w:val="none"/>
        </w:rPr>
      </w:pPr>
      <w:r>
        <w:rPr>
          <w:bCs/>
          <w:color w:val="auto"/>
          <w:sz w:val="24"/>
          <w:highlight w:val="none"/>
        </w:rPr>
        <w:t>2</w:t>
      </w:r>
      <w:r>
        <w:rPr>
          <w:rFonts w:hint="eastAsia" w:ascii="宋体" w:hAnsi="宋体" w:cs="宋体"/>
          <w:color w:val="auto"/>
          <w:sz w:val="24"/>
          <w:highlight w:val="none"/>
        </w:rPr>
        <w:t>.</w:t>
      </w:r>
      <w:r>
        <w:rPr>
          <w:bCs/>
          <w:color w:val="auto"/>
          <w:sz w:val="24"/>
          <w:highlight w:val="none"/>
        </w:rPr>
        <w:t>凡在“技术要求”中表述为“标配”或“标准配置”的设备，</w:t>
      </w:r>
      <w:r>
        <w:rPr>
          <w:rFonts w:hint="eastAsia"/>
          <w:bCs/>
          <w:color w:val="auto"/>
          <w:sz w:val="24"/>
          <w:highlight w:val="none"/>
        </w:rPr>
        <w:t>供应商</w:t>
      </w:r>
      <w:r>
        <w:rPr>
          <w:bCs/>
          <w:color w:val="auto"/>
          <w:sz w:val="24"/>
          <w:highlight w:val="none"/>
        </w:rPr>
        <w:t>应在</w:t>
      </w:r>
      <w:r>
        <w:rPr>
          <w:rFonts w:hint="eastAsia" w:ascii="宋体" w:hAnsi="宋体" w:cs="宋体"/>
          <w:color w:val="auto"/>
          <w:sz w:val="24"/>
          <w:highlight w:val="none"/>
          <w:lang w:bidi="ar"/>
        </w:rPr>
        <w:t>竞争性谈判</w:t>
      </w:r>
      <w:r>
        <w:rPr>
          <w:bCs/>
          <w:color w:val="auto"/>
          <w:sz w:val="24"/>
          <w:highlight w:val="none"/>
        </w:rPr>
        <w:t>设备性能配置清单中将其标配参数详细列明。</w:t>
      </w:r>
    </w:p>
    <w:p w14:paraId="584FFAAA">
      <w:pPr>
        <w:spacing w:line="360" w:lineRule="auto"/>
        <w:ind w:left="-10" w:leftChars="-5" w:right="2" w:rightChars="1" w:firstLine="480" w:firstLineChars="200"/>
        <w:rPr>
          <w:bCs/>
          <w:color w:val="auto"/>
          <w:sz w:val="24"/>
          <w:highlight w:val="none"/>
        </w:rPr>
      </w:pPr>
      <w:r>
        <w:rPr>
          <w:bCs/>
          <w:color w:val="auto"/>
          <w:sz w:val="24"/>
          <w:highlight w:val="none"/>
        </w:rPr>
        <w:t>3</w:t>
      </w:r>
      <w:r>
        <w:rPr>
          <w:rFonts w:hint="eastAsia" w:ascii="宋体" w:hAnsi="宋体" w:cs="宋体"/>
          <w:color w:val="auto"/>
          <w:sz w:val="24"/>
          <w:highlight w:val="none"/>
        </w:rPr>
        <w:t>.</w:t>
      </w:r>
      <w:r>
        <w:rPr>
          <w:bCs/>
          <w:color w:val="auto"/>
          <w:sz w:val="24"/>
          <w:highlight w:val="none"/>
        </w:rPr>
        <w:t>根据《财政部发展改革委生态环境部市场监管总局关于调整优化节能产品、环境标志产品政府采购执行机制的通知》（财库〔2019〕9 号）和《关于印发节能产品政府采购品目清单的通知》（财库〔2019〕19 号）的规定，采购需求中的产品属于节能产品政府采购品目清单内标注“</w:t>
      </w:r>
      <w:r>
        <w:rPr>
          <w:rFonts w:hint="eastAsia" w:ascii="Segoe UI Symbol" w:hAnsi="Segoe UI Symbol" w:cs="Segoe UI Symbol"/>
          <w:bCs/>
          <w:color w:val="auto"/>
          <w:sz w:val="24"/>
          <w:highlight w:val="none"/>
        </w:rPr>
        <w:t>★</w:t>
      </w:r>
      <w:r>
        <w:rPr>
          <w:bCs/>
          <w:color w:val="auto"/>
          <w:sz w:val="24"/>
          <w:highlight w:val="none"/>
        </w:rPr>
        <w:t>”的（详见本章后附的节能产品政府采购品目清单），</w:t>
      </w:r>
      <w:r>
        <w:rPr>
          <w:rFonts w:hint="eastAsia"/>
          <w:bCs/>
          <w:color w:val="auto"/>
          <w:sz w:val="24"/>
          <w:highlight w:val="none"/>
        </w:rPr>
        <w:t>供应商参与</w:t>
      </w:r>
      <w:r>
        <w:rPr>
          <w:rFonts w:hint="eastAsia" w:ascii="宋体" w:hAnsi="宋体" w:cs="宋体"/>
          <w:color w:val="auto"/>
          <w:sz w:val="24"/>
          <w:highlight w:val="none"/>
          <w:lang w:bidi="ar"/>
        </w:rPr>
        <w:t>竞争性谈判</w:t>
      </w:r>
      <w:r>
        <w:rPr>
          <w:rFonts w:hint="eastAsia"/>
          <w:bCs/>
          <w:color w:val="auto"/>
          <w:sz w:val="24"/>
          <w:highlight w:val="none"/>
        </w:rPr>
        <w:t>提供的</w:t>
      </w:r>
      <w:r>
        <w:rPr>
          <w:bCs/>
          <w:color w:val="auto"/>
          <w:sz w:val="24"/>
          <w:highlight w:val="none"/>
        </w:rPr>
        <w:t>货物必须使用政府强制采购的节能产品，</w:t>
      </w:r>
      <w:r>
        <w:rPr>
          <w:rFonts w:hint="eastAsia"/>
          <w:bCs/>
          <w:color w:val="auto"/>
          <w:sz w:val="24"/>
          <w:highlight w:val="none"/>
        </w:rPr>
        <w:t>供应商必须在响应文件（商务及技术文件）中提供所投产品的节能产品认证证书复印件（加盖投标人电子签章），</w:t>
      </w:r>
      <w:r>
        <w:rPr>
          <w:bCs/>
          <w:color w:val="auto"/>
          <w:sz w:val="24"/>
          <w:highlight w:val="none"/>
        </w:rPr>
        <w:t>否则</w:t>
      </w:r>
      <w:r>
        <w:rPr>
          <w:rFonts w:hint="eastAsia"/>
          <w:bCs/>
          <w:color w:val="auto"/>
          <w:sz w:val="24"/>
          <w:highlight w:val="none"/>
        </w:rPr>
        <w:t>响应</w:t>
      </w:r>
      <w:r>
        <w:rPr>
          <w:bCs/>
          <w:color w:val="auto"/>
          <w:sz w:val="24"/>
          <w:highlight w:val="none"/>
        </w:rPr>
        <w:t>文件作无效处理。</w:t>
      </w:r>
    </w:p>
    <w:p w14:paraId="635706AE">
      <w:pPr>
        <w:spacing w:line="360" w:lineRule="auto"/>
        <w:ind w:left="-10" w:leftChars="-5" w:right="2" w:rightChars="1" w:firstLine="480" w:firstLineChars="200"/>
        <w:rPr>
          <w:bCs/>
          <w:color w:val="auto"/>
          <w:sz w:val="24"/>
          <w:highlight w:val="none"/>
        </w:rPr>
      </w:pPr>
      <w:r>
        <w:rPr>
          <w:bCs/>
          <w:color w:val="auto"/>
          <w:sz w:val="24"/>
          <w:highlight w:val="none"/>
        </w:rPr>
        <w:t>4</w:t>
      </w:r>
      <w:r>
        <w:rPr>
          <w:rFonts w:hint="eastAsia" w:ascii="宋体" w:hAnsi="宋体" w:cs="宋体"/>
          <w:color w:val="auto"/>
          <w:sz w:val="24"/>
          <w:highlight w:val="none"/>
        </w:rPr>
        <w:t>.</w:t>
      </w:r>
      <w:r>
        <w:rPr>
          <w:bCs/>
          <w:color w:val="auto"/>
          <w:sz w:val="24"/>
          <w:highlight w:val="none"/>
        </w:rPr>
        <w:t>如</w:t>
      </w:r>
      <w:r>
        <w:rPr>
          <w:rFonts w:hint="eastAsia"/>
          <w:bCs/>
          <w:color w:val="auto"/>
          <w:sz w:val="24"/>
          <w:highlight w:val="none"/>
        </w:rPr>
        <w:t>供应商参与</w:t>
      </w:r>
      <w:r>
        <w:rPr>
          <w:rFonts w:hint="eastAsia" w:ascii="宋体" w:hAnsi="宋体" w:cs="宋体"/>
          <w:color w:val="auto"/>
          <w:sz w:val="24"/>
          <w:highlight w:val="none"/>
          <w:lang w:bidi="ar"/>
        </w:rPr>
        <w:t>竞争性谈判提供的</w:t>
      </w:r>
      <w:r>
        <w:rPr>
          <w:bCs/>
          <w:color w:val="auto"/>
          <w:sz w:val="24"/>
          <w:highlight w:val="none"/>
        </w:rPr>
        <w:t>产品存在侵犯他人的知识产权或者专利成果行为的，由</w:t>
      </w:r>
      <w:r>
        <w:rPr>
          <w:rFonts w:hint="eastAsia"/>
          <w:bCs/>
          <w:color w:val="auto"/>
          <w:sz w:val="24"/>
          <w:highlight w:val="none"/>
        </w:rPr>
        <w:t>供应商</w:t>
      </w:r>
      <w:r>
        <w:rPr>
          <w:bCs/>
          <w:color w:val="auto"/>
          <w:sz w:val="24"/>
          <w:highlight w:val="none"/>
        </w:rPr>
        <w:t>自行承担相应法律责任。</w:t>
      </w:r>
    </w:p>
    <w:p w14:paraId="33633D51">
      <w:pPr>
        <w:spacing w:line="360" w:lineRule="auto"/>
        <w:ind w:left="-10" w:leftChars="-5" w:right="2" w:rightChars="1" w:firstLine="480" w:firstLineChars="200"/>
        <w:rPr>
          <w:bCs/>
          <w:color w:val="auto"/>
          <w:sz w:val="24"/>
          <w:highlight w:val="none"/>
        </w:rPr>
      </w:pPr>
      <w:r>
        <w:rPr>
          <w:bCs/>
          <w:color w:val="auto"/>
          <w:sz w:val="24"/>
          <w:highlight w:val="none"/>
        </w:rPr>
        <w:t>5</w:t>
      </w:r>
      <w:r>
        <w:rPr>
          <w:rFonts w:hint="eastAsia" w:ascii="宋体" w:hAnsi="宋体" w:cs="宋体"/>
          <w:color w:val="auto"/>
          <w:sz w:val="24"/>
          <w:highlight w:val="none"/>
        </w:rPr>
        <w:t>.“</w:t>
      </w:r>
      <w:r>
        <w:rPr>
          <w:bCs/>
          <w:color w:val="auto"/>
          <w:sz w:val="24"/>
          <w:highlight w:val="none"/>
        </w:rPr>
        <w:t>实质性要求</w:t>
      </w:r>
      <w:r>
        <w:rPr>
          <w:rFonts w:hint="eastAsia" w:ascii="宋体" w:hAnsi="宋体" w:cs="宋体"/>
          <w:color w:val="auto"/>
          <w:sz w:val="24"/>
          <w:highlight w:val="none"/>
        </w:rPr>
        <w:t>”</w:t>
      </w:r>
      <w:r>
        <w:rPr>
          <w:bCs/>
          <w:color w:val="auto"/>
          <w:sz w:val="24"/>
          <w:highlight w:val="none"/>
        </w:rPr>
        <w:t>是指</w:t>
      </w:r>
      <w:r>
        <w:rPr>
          <w:rFonts w:hint="eastAsia"/>
          <w:bCs/>
          <w:color w:val="auto"/>
          <w:sz w:val="24"/>
          <w:highlight w:val="none"/>
        </w:rPr>
        <w:t>采购文件</w:t>
      </w:r>
      <w:r>
        <w:rPr>
          <w:bCs/>
          <w:color w:val="auto"/>
          <w:sz w:val="24"/>
          <w:highlight w:val="none"/>
        </w:rPr>
        <w:t>中已经指明不满足则</w:t>
      </w:r>
      <w:r>
        <w:rPr>
          <w:rFonts w:hint="eastAsia" w:ascii="宋体" w:hAnsi="宋体" w:cs="宋体"/>
          <w:color w:val="auto"/>
          <w:sz w:val="24"/>
          <w:highlight w:val="none"/>
          <w:lang w:bidi="ar"/>
        </w:rPr>
        <w:t>竞争性谈判</w:t>
      </w:r>
      <w:r>
        <w:rPr>
          <w:bCs/>
          <w:color w:val="auto"/>
          <w:sz w:val="24"/>
          <w:highlight w:val="none"/>
        </w:rPr>
        <w:t>无效的条款，或者不</w:t>
      </w:r>
      <w:r>
        <w:rPr>
          <w:rFonts w:hint="eastAsia"/>
          <w:bCs/>
          <w:color w:val="auto"/>
          <w:sz w:val="24"/>
          <w:highlight w:val="none"/>
        </w:rPr>
        <w:t>容许</w:t>
      </w:r>
      <w:r>
        <w:rPr>
          <w:bCs/>
          <w:color w:val="auto"/>
          <w:sz w:val="24"/>
          <w:highlight w:val="none"/>
        </w:rPr>
        <w:t>负偏</w:t>
      </w:r>
      <w:r>
        <w:rPr>
          <w:bCs/>
          <w:color w:val="auto"/>
          <w:sz w:val="24"/>
          <w:highlight w:val="none"/>
        </w:rPr>
        <w:t>离的条款，或者采购需求中带</w:t>
      </w:r>
      <w:r>
        <w:rPr>
          <w:rFonts w:hint="eastAsia"/>
          <w:bCs/>
          <w:color w:val="auto"/>
          <w:sz w:val="24"/>
          <w:highlight w:val="none"/>
        </w:rPr>
        <w:t>“▲”</w:t>
      </w:r>
      <w:r>
        <w:rPr>
          <w:bCs/>
          <w:color w:val="auto"/>
          <w:sz w:val="24"/>
          <w:highlight w:val="none"/>
        </w:rPr>
        <w:t>的条款。</w:t>
      </w:r>
      <w:r>
        <w:rPr>
          <w:rFonts w:hint="eastAsia"/>
          <w:bCs/>
          <w:color w:val="auto"/>
          <w:sz w:val="24"/>
          <w:highlight w:val="none"/>
        </w:rPr>
        <w:t>未标注“</w:t>
      </w:r>
      <w:r>
        <w:rPr>
          <w:rFonts w:hint="eastAsia" w:ascii="Segoe UI Symbol" w:hAnsi="Segoe UI Symbol" w:cs="Segoe UI Symbol"/>
          <w:bCs/>
          <w:color w:val="auto"/>
          <w:sz w:val="24"/>
          <w:highlight w:val="none"/>
        </w:rPr>
        <w:t>▲</w:t>
      </w:r>
      <w:r>
        <w:rPr>
          <w:rFonts w:hint="eastAsia"/>
          <w:bCs/>
          <w:color w:val="auto"/>
          <w:sz w:val="24"/>
          <w:highlight w:val="none"/>
        </w:rPr>
        <w:t>”号的非实质性条款要求可允许</w:t>
      </w:r>
      <w:r>
        <w:rPr>
          <w:rFonts w:hint="eastAsia"/>
          <w:bCs/>
          <w:color w:val="auto"/>
          <w:sz w:val="24"/>
          <w:highlight w:val="none"/>
          <w:u w:val="single"/>
          <w:lang w:val="en-US" w:eastAsia="zh-CN"/>
        </w:rPr>
        <w:t>3</w:t>
      </w:r>
      <w:r>
        <w:rPr>
          <w:rFonts w:hint="eastAsia"/>
          <w:bCs/>
          <w:color w:val="auto"/>
          <w:sz w:val="24"/>
          <w:highlight w:val="none"/>
        </w:rPr>
        <w:t>项负偏离，</w:t>
      </w:r>
      <w:r>
        <w:rPr>
          <w:rFonts w:hint="eastAsia"/>
          <w:bCs/>
          <w:color w:val="auto"/>
          <w:sz w:val="24"/>
          <w:highlight w:val="none"/>
          <w:u w:val="single"/>
          <w:lang w:val="en-US" w:eastAsia="zh-CN"/>
        </w:rPr>
        <w:t>4</w:t>
      </w:r>
      <w:r>
        <w:rPr>
          <w:rFonts w:hint="eastAsia"/>
          <w:bCs/>
          <w:color w:val="auto"/>
          <w:sz w:val="24"/>
          <w:highlight w:val="none"/>
        </w:rPr>
        <w:t>项以上（含</w:t>
      </w:r>
      <w:r>
        <w:rPr>
          <w:rFonts w:hint="eastAsia"/>
          <w:bCs/>
          <w:color w:val="auto"/>
          <w:sz w:val="24"/>
          <w:highlight w:val="none"/>
          <w:u w:val="single"/>
          <w:lang w:val="en-US" w:eastAsia="zh-CN"/>
        </w:rPr>
        <w:t>4</w:t>
      </w:r>
      <w:r>
        <w:rPr>
          <w:rFonts w:hint="eastAsia"/>
          <w:bCs/>
          <w:color w:val="auto"/>
          <w:sz w:val="24"/>
          <w:highlight w:val="none"/>
        </w:rPr>
        <w:t>项）负偏离的</w:t>
      </w:r>
      <w:r>
        <w:rPr>
          <w:rFonts w:hint="eastAsia" w:ascii="宋体" w:hAnsi="宋体" w:cs="宋体"/>
          <w:color w:val="auto"/>
          <w:sz w:val="24"/>
          <w:highlight w:val="none"/>
          <w:lang w:bidi="ar"/>
        </w:rPr>
        <w:t>竞争性谈判</w:t>
      </w:r>
      <w:r>
        <w:rPr>
          <w:rFonts w:hint="eastAsia"/>
          <w:bCs/>
          <w:color w:val="auto"/>
          <w:sz w:val="24"/>
          <w:highlight w:val="none"/>
        </w:rPr>
        <w:t>无效。</w:t>
      </w:r>
    </w:p>
    <w:p w14:paraId="7843A04A">
      <w:pPr>
        <w:spacing w:line="360" w:lineRule="auto"/>
        <w:ind w:left="-10" w:leftChars="-5" w:right="2" w:rightChars="1" w:firstLine="480" w:firstLineChars="200"/>
        <w:rPr>
          <w:bCs/>
          <w:color w:val="auto"/>
          <w:sz w:val="24"/>
          <w:highlight w:val="none"/>
        </w:rPr>
      </w:pPr>
      <w:r>
        <w:rPr>
          <w:bCs/>
          <w:color w:val="auto"/>
          <w:sz w:val="24"/>
          <w:highlight w:val="none"/>
        </w:rPr>
        <w:t>项目所属行业：工业</w:t>
      </w:r>
    </w:p>
    <w:tbl>
      <w:tblPr>
        <w:tblStyle w:val="26"/>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817"/>
        <w:gridCol w:w="5435"/>
        <w:gridCol w:w="457"/>
        <w:gridCol w:w="429"/>
        <w:gridCol w:w="828"/>
        <w:gridCol w:w="972"/>
      </w:tblGrid>
      <w:tr w14:paraId="0032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CCDEFE5">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序号</w:t>
            </w:r>
          </w:p>
        </w:tc>
        <w:tc>
          <w:tcPr>
            <w:tcW w:w="817" w:type="dxa"/>
            <w:noWrap w:val="0"/>
            <w:vAlign w:val="center"/>
          </w:tcPr>
          <w:p w14:paraId="205F5866">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设备名称</w:t>
            </w:r>
          </w:p>
        </w:tc>
        <w:tc>
          <w:tcPr>
            <w:tcW w:w="5435" w:type="dxa"/>
            <w:noWrap w:val="0"/>
            <w:vAlign w:val="center"/>
          </w:tcPr>
          <w:p w14:paraId="46622246">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主要技术参数</w:t>
            </w:r>
          </w:p>
        </w:tc>
        <w:tc>
          <w:tcPr>
            <w:tcW w:w="457" w:type="dxa"/>
            <w:noWrap w:val="0"/>
            <w:vAlign w:val="center"/>
          </w:tcPr>
          <w:p w14:paraId="2E3591F1">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数量</w:t>
            </w:r>
          </w:p>
        </w:tc>
        <w:tc>
          <w:tcPr>
            <w:tcW w:w="429" w:type="dxa"/>
            <w:noWrap w:val="0"/>
            <w:vAlign w:val="center"/>
          </w:tcPr>
          <w:p w14:paraId="3A123890">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单位</w:t>
            </w:r>
          </w:p>
        </w:tc>
        <w:tc>
          <w:tcPr>
            <w:tcW w:w="828" w:type="dxa"/>
            <w:noWrap w:val="0"/>
            <w:vAlign w:val="center"/>
          </w:tcPr>
          <w:p w14:paraId="49179B28">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单价</w:t>
            </w:r>
            <w:r>
              <w:rPr>
                <w:rFonts w:hint="eastAsia" w:ascii="宋体" w:hAnsi="宋体" w:eastAsia="宋体" w:cs="宋体"/>
                <w:b/>
                <w:bCs/>
                <w:color w:val="auto"/>
                <w:kern w:val="0"/>
                <w:sz w:val="20"/>
                <w:szCs w:val="20"/>
                <w:highlight w:val="none"/>
              </w:rPr>
              <w:br w:type="textWrapping"/>
            </w:r>
            <w:r>
              <w:rPr>
                <w:rFonts w:hint="eastAsia" w:ascii="宋体" w:hAnsi="宋体" w:eastAsia="宋体" w:cs="宋体"/>
                <w:b/>
                <w:bCs/>
                <w:color w:val="auto"/>
                <w:kern w:val="0"/>
                <w:sz w:val="20"/>
                <w:szCs w:val="20"/>
                <w:highlight w:val="none"/>
              </w:rPr>
              <w:t>（元）</w:t>
            </w:r>
          </w:p>
        </w:tc>
        <w:tc>
          <w:tcPr>
            <w:tcW w:w="972" w:type="dxa"/>
            <w:noWrap w:val="0"/>
            <w:vAlign w:val="center"/>
          </w:tcPr>
          <w:p w14:paraId="4671D0D7">
            <w:pPr>
              <w:widowControl/>
              <w:wordWrap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金额</w:t>
            </w:r>
            <w:r>
              <w:rPr>
                <w:rFonts w:hint="eastAsia" w:ascii="宋体" w:hAnsi="宋体" w:eastAsia="宋体" w:cs="宋体"/>
                <w:b/>
                <w:bCs/>
                <w:color w:val="auto"/>
                <w:kern w:val="0"/>
                <w:sz w:val="20"/>
                <w:szCs w:val="20"/>
                <w:highlight w:val="none"/>
              </w:rPr>
              <w:br w:type="textWrapping"/>
            </w:r>
            <w:r>
              <w:rPr>
                <w:rFonts w:hint="eastAsia" w:ascii="宋体" w:hAnsi="宋体" w:eastAsia="宋体" w:cs="宋体"/>
                <w:b/>
                <w:bCs/>
                <w:color w:val="auto"/>
                <w:kern w:val="0"/>
                <w:sz w:val="20"/>
                <w:szCs w:val="20"/>
                <w:highlight w:val="none"/>
              </w:rPr>
              <w:t>（元）</w:t>
            </w:r>
          </w:p>
        </w:tc>
      </w:tr>
      <w:tr w14:paraId="0B23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2CFF5851">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17" w:type="dxa"/>
            <w:noWrap w:val="0"/>
            <w:vAlign w:val="center"/>
          </w:tcPr>
          <w:p w14:paraId="252BFAC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四工位电工电子防静电双层工作台</w:t>
            </w:r>
          </w:p>
        </w:tc>
        <w:tc>
          <w:tcPr>
            <w:tcW w:w="5435" w:type="dxa"/>
            <w:noWrap w:val="0"/>
            <w:vAlign w:val="center"/>
          </w:tcPr>
          <w:p w14:paraId="2E55E94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1.尺寸：整体1400mm×1550mm×1600mm，第一层工作台面离地高度750mm，第二层离第一层320mm,第三层顶部离二层330mm，二层板宽260mm，三层板宽380mm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2.桌体框架方钢焊接喷塑，桌腿40方钢，钢厚1.0mm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3.桌面板25mm为高密度纤维板，甲醛释放量达E0级及以上，外贴防火板，PVC截面封边，桌面具有耐磨、耐热、耐污、耐火、耐菌、防霉性能，桌面平铺防静电胶皮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4.第三层底部安装有照明灯管，第二层与第一层之间前后两面各安装有2个86型插座</w:t>
            </w:r>
          </w:p>
        </w:tc>
        <w:tc>
          <w:tcPr>
            <w:tcW w:w="457" w:type="dxa"/>
            <w:noWrap w:val="0"/>
            <w:vAlign w:val="center"/>
          </w:tcPr>
          <w:p w14:paraId="7804A20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429" w:type="dxa"/>
            <w:noWrap w:val="0"/>
            <w:vAlign w:val="center"/>
          </w:tcPr>
          <w:p w14:paraId="5199F9D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5C768B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37</w:t>
            </w:r>
            <w:r>
              <w:rPr>
                <w:rFonts w:hint="eastAsia" w:ascii="宋体" w:hAnsi="宋体" w:cs="宋体"/>
                <w:color w:val="auto"/>
                <w:kern w:val="0"/>
                <w:sz w:val="20"/>
                <w:szCs w:val="20"/>
                <w:highlight w:val="none"/>
                <w:lang w:val="en-US" w:eastAsia="zh-CN"/>
              </w:rPr>
              <w:t>5</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310E291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r>
              <w:rPr>
                <w:rFonts w:hint="eastAsia" w:ascii="宋体" w:hAnsi="宋体" w:cs="宋体"/>
                <w:color w:val="auto"/>
                <w:kern w:val="0"/>
                <w:sz w:val="20"/>
                <w:szCs w:val="20"/>
                <w:highlight w:val="none"/>
                <w:lang w:val="en-US" w:eastAsia="zh-CN"/>
              </w:rPr>
              <w:t>75</w:t>
            </w:r>
            <w:r>
              <w:rPr>
                <w:rFonts w:hint="eastAsia" w:ascii="宋体" w:hAnsi="宋体" w:eastAsia="宋体" w:cs="宋体"/>
                <w:color w:val="auto"/>
                <w:kern w:val="0"/>
                <w:sz w:val="20"/>
                <w:szCs w:val="20"/>
                <w:highlight w:val="none"/>
              </w:rPr>
              <w:t xml:space="preserve">0.00 </w:t>
            </w:r>
          </w:p>
        </w:tc>
      </w:tr>
      <w:tr w14:paraId="222E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4B9089E">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17" w:type="dxa"/>
            <w:noWrap w:val="0"/>
            <w:vAlign w:val="center"/>
          </w:tcPr>
          <w:p w14:paraId="3F94934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双工位电工电子防静电双层工作台</w:t>
            </w:r>
          </w:p>
        </w:tc>
        <w:tc>
          <w:tcPr>
            <w:tcW w:w="5435" w:type="dxa"/>
            <w:noWrap w:val="0"/>
            <w:vAlign w:val="center"/>
          </w:tcPr>
          <w:p w14:paraId="761738F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1.尺寸：整体1400mm×1550mm×800mm，第一层工作台面离地高度750mm，第二层离第一层320mm,第三层顶部离二层330mm，二层板宽260mm，三层板宽380mm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2.桌体框架方钢焊接喷塑，桌腿40方钢，钢厚1.0mm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3.桌面板25mm为高密度纤维板外，甲醛释放量达E0级及以上，贴防火板，PVC截面封边，桌面具有耐磨、耐热、耐污、耐火、耐菌、防霉性能，桌面平铺防静电胶皮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4.第三层底部安装有照明灯管，第二层与第一层之间前后两面各安装有2个86型插座</w:t>
            </w:r>
          </w:p>
        </w:tc>
        <w:tc>
          <w:tcPr>
            <w:tcW w:w="457" w:type="dxa"/>
            <w:noWrap w:val="0"/>
            <w:vAlign w:val="center"/>
          </w:tcPr>
          <w:p w14:paraId="2631B38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429" w:type="dxa"/>
            <w:noWrap w:val="0"/>
            <w:vAlign w:val="center"/>
          </w:tcPr>
          <w:p w14:paraId="737E27C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685288C7">
            <w:pPr>
              <w:widowControl/>
              <w:wordWrap w:val="0"/>
              <w:jc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1750.00</w:t>
            </w:r>
          </w:p>
        </w:tc>
        <w:tc>
          <w:tcPr>
            <w:tcW w:w="972" w:type="dxa"/>
            <w:noWrap w:val="0"/>
            <w:vAlign w:val="center"/>
          </w:tcPr>
          <w:p w14:paraId="6867704B">
            <w:pPr>
              <w:widowControl/>
              <w:wordWrap w:val="0"/>
              <w:jc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3500.00</w:t>
            </w:r>
          </w:p>
        </w:tc>
      </w:tr>
      <w:tr w14:paraId="1F73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178E36E3">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817" w:type="dxa"/>
            <w:noWrap w:val="0"/>
            <w:vAlign w:val="center"/>
          </w:tcPr>
          <w:p w14:paraId="770395B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数字示波器</w:t>
            </w:r>
          </w:p>
        </w:tc>
        <w:tc>
          <w:tcPr>
            <w:tcW w:w="5435" w:type="dxa"/>
            <w:noWrap w:val="0"/>
            <w:vAlign w:val="center"/>
          </w:tcPr>
          <w:p w14:paraId="6B73004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1.带宽≥100MHz，每通道≥1GSa/s最高实时采样率(双通道同时开启)</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2个模拟通道</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3.存储深度：</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64kpts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4.波形捕获率高达：</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8,000 wfms/s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5.时基范围：2ns/div～50s/div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6.触发类型标配：边沿触发、脉宽触发、斜率触发、视频触发</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7.交替模式，每通道时基独立可调</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8.多种校准信号输出：10Hz、100Hz、1kHz(默认)、10kHz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9.不低于7英寸TFT LCD，WVGA（800×480）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10.水平显示</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16div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11.AUTO定制功能开放/锁定，提高AUTO响应速度</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12.外接U盘录制波形数据，支持加载U盘录制数据并回放</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13.USB Host、USB Device、Pass/Fail、LAN</w:t>
            </w:r>
          </w:p>
        </w:tc>
        <w:tc>
          <w:tcPr>
            <w:tcW w:w="457" w:type="dxa"/>
            <w:noWrap w:val="0"/>
            <w:vAlign w:val="center"/>
          </w:tcPr>
          <w:p w14:paraId="490D507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6455F92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67FF4D9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r>
              <w:rPr>
                <w:rFonts w:hint="eastAsia" w:ascii="宋体" w:hAnsi="宋体" w:cs="宋体"/>
                <w:color w:val="auto"/>
                <w:kern w:val="0"/>
                <w:sz w:val="20"/>
                <w:szCs w:val="20"/>
                <w:highlight w:val="none"/>
                <w:lang w:val="en-US" w:eastAsia="zh-CN"/>
              </w:rPr>
              <w:t>4</w:t>
            </w:r>
            <w:r>
              <w:rPr>
                <w:rFonts w:hint="eastAsia" w:ascii="宋体" w:hAnsi="宋体" w:eastAsia="宋体" w:cs="宋体"/>
                <w:color w:val="auto"/>
                <w:kern w:val="0"/>
                <w:sz w:val="20"/>
                <w:szCs w:val="20"/>
                <w:highlight w:val="none"/>
              </w:rPr>
              <w:t xml:space="preserve">70.00 </w:t>
            </w:r>
          </w:p>
        </w:tc>
        <w:tc>
          <w:tcPr>
            <w:tcW w:w="972" w:type="dxa"/>
            <w:noWrap w:val="0"/>
            <w:vAlign w:val="center"/>
          </w:tcPr>
          <w:p w14:paraId="01CA60F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642</w:t>
            </w:r>
            <w:r>
              <w:rPr>
                <w:rFonts w:hint="eastAsia" w:ascii="宋体" w:hAnsi="宋体" w:cs="宋体"/>
                <w:color w:val="auto"/>
                <w:kern w:val="0"/>
                <w:sz w:val="20"/>
                <w:szCs w:val="20"/>
                <w:highlight w:val="none"/>
                <w:lang w:val="en-US" w:eastAsia="zh-CN"/>
              </w:rPr>
              <w:t>20</w:t>
            </w:r>
            <w:r>
              <w:rPr>
                <w:rFonts w:hint="eastAsia" w:ascii="宋体" w:hAnsi="宋体" w:eastAsia="宋体" w:cs="宋体"/>
                <w:color w:val="auto"/>
                <w:kern w:val="0"/>
                <w:sz w:val="20"/>
                <w:szCs w:val="20"/>
                <w:highlight w:val="none"/>
              </w:rPr>
              <w:t xml:space="preserve">.00 </w:t>
            </w:r>
          </w:p>
        </w:tc>
      </w:tr>
      <w:tr w14:paraId="413A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7DC2FD72">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817" w:type="dxa"/>
            <w:noWrap w:val="0"/>
            <w:vAlign w:val="center"/>
          </w:tcPr>
          <w:p w14:paraId="30EE91D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函数/任意波形发生器</w:t>
            </w:r>
          </w:p>
        </w:tc>
        <w:tc>
          <w:tcPr>
            <w:tcW w:w="5435" w:type="dxa"/>
            <w:noWrap w:val="0"/>
            <w:vAlign w:val="center"/>
          </w:tcPr>
          <w:p w14:paraId="3411E0C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1.双通道等性能最大输出频率 20 MHz ，最大输出幅度 20 Vpp</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w:t>
            </w:r>
            <w:r>
              <w:rPr>
                <w:rFonts w:hint="eastAsia" w:ascii="宋体" w:hAnsi="宋体" w:eastAsia="宋体" w:cs="宋体"/>
                <w:color w:val="auto"/>
                <w:sz w:val="20"/>
                <w:szCs w:val="20"/>
                <w:highlight w:val="none"/>
              </w:rPr>
              <w:t>采样率≥200MSa/s，垂直分辨率≥16 bit</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3.方波最高频率 10MHz ，抖动低</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4.丰富的模拟和数字调制功能： AM、FM、PM 、FSK、ASK、PSK 和 PWM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5.支持扫频和脉冲串输出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6.7位硬件频率计功能</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7.内置不少于200种任意波形</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8.标配 USB Host, USB Device, PowerOutput接口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9. </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4.3英寸TFT LCD显示屏</w:t>
            </w:r>
          </w:p>
        </w:tc>
        <w:tc>
          <w:tcPr>
            <w:tcW w:w="457" w:type="dxa"/>
            <w:noWrap w:val="0"/>
            <w:vAlign w:val="center"/>
          </w:tcPr>
          <w:p w14:paraId="66E8B2E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1CADBE8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246F376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r>
              <w:rPr>
                <w:rFonts w:hint="eastAsia" w:ascii="宋体" w:hAnsi="宋体" w:cs="宋体"/>
                <w:color w:val="auto"/>
                <w:kern w:val="0"/>
                <w:sz w:val="20"/>
                <w:szCs w:val="20"/>
                <w:highlight w:val="none"/>
                <w:lang w:val="en-US" w:eastAsia="zh-CN"/>
              </w:rPr>
              <w:t>48</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6D782FE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r>
              <w:rPr>
                <w:rFonts w:hint="eastAsia" w:ascii="宋体" w:hAnsi="宋体" w:cs="宋体"/>
                <w:color w:val="auto"/>
                <w:kern w:val="0"/>
                <w:sz w:val="20"/>
                <w:szCs w:val="20"/>
                <w:highlight w:val="none"/>
                <w:lang w:val="en-US" w:eastAsia="zh-CN"/>
              </w:rPr>
              <w:t>448</w:t>
            </w:r>
            <w:r>
              <w:rPr>
                <w:rFonts w:hint="eastAsia" w:ascii="宋体" w:hAnsi="宋体" w:eastAsia="宋体" w:cs="宋体"/>
                <w:color w:val="auto"/>
                <w:kern w:val="0"/>
                <w:sz w:val="20"/>
                <w:szCs w:val="20"/>
                <w:highlight w:val="none"/>
              </w:rPr>
              <w:t xml:space="preserve">0.00 </w:t>
            </w:r>
          </w:p>
        </w:tc>
      </w:tr>
      <w:tr w14:paraId="63E3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573FB87F">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817" w:type="dxa"/>
            <w:noWrap w:val="0"/>
            <w:vAlign w:val="center"/>
          </w:tcPr>
          <w:p w14:paraId="2208116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直流稳压电源</w:t>
            </w:r>
          </w:p>
        </w:tc>
        <w:tc>
          <w:tcPr>
            <w:tcW w:w="5435" w:type="dxa"/>
            <w:noWrap w:val="0"/>
            <w:vAlign w:val="center"/>
          </w:tcPr>
          <w:p w14:paraId="7E68D819">
            <w:pPr>
              <w:widowControl/>
              <w:numPr>
                <w:ilvl w:val="0"/>
                <w:numId w:val="2"/>
              </w:numPr>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额定输出电压:0~32V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2.额定输出电流:0~6A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3.输出功率:192W</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4.负载调节率:电压:&lt;0.1%+5mV , 电流:&lt;0.2%+3mA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5.电源调节率: 电压:&lt;0.01%+5mV , 电流:&lt;0.2%+3mA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6.设置分辨率:电压:10mV , 电流:1mA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7.回读分辨率:电压:10mV , 电流:1mA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8.工作基准温度：25°C士5°C</w:t>
            </w:r>
          </w:p>
          <w:p w14:paraId="34788B5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9.设置精确度:电压:≤0.1%+1digit,电流:&lt;0.2%+3mA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10.纹波及噪声(20HZ~20MHz):电压:≤10mVrms , 电流:≤5mArms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11.温度系数:电压:≤300ppm/°C , 电流:≤300ppm/°C</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12.显示类型:LED数码管显示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13.电源电压:AC 220V±10%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13.频率:50Hz/60Hz</w:t>
            </w:r>
          </w:p>
        </w:tc>
        <w:tc>
          <w:tcPr>
            <w:tcW w:w="457" w:type="dxa"/>
            <w:noWrap w:val="0"/>
            <w:vAlign w:val="center"/>
          </w:tcPr>
          <w:p w14:paraId="7345358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63880D3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7DB7957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r>
              <w:rPr>
                <w:rFonts w:hint="eastAsia" w:ascii="宋体" w:hAnsi="宋体" w:cs="宋体"/>
                <w:color w:val="auto"/>
                <w:kern w:val="0"/>
                <w:sz w:val="20"/>
                <w:szCs w:val="20"/>
                <w:highlight w:val="none"/>
                <w:lang w:val="en-US" w:eastAsia="zh-CN"/>
              </w:rPr>
              <w:t>536</w:t>
            </w:r>
            <w:r>
              <w:rPr>
                <w:rFonts w:hint="eastAsia" w:ascii="宋体" w:hAnsi="宋体" w:eastAsia="宋体" w:cs="宋体"/>
                <w:color w:val="auto"/>
                <w:kern w:val="0"/>
                <w:sz w:val="20"/>
                <w:szCs w:val="20"/>
                <w:highlight w:val="none"/>
              </w:rPr>
              <w:t xml:space="preserve">.00 </w:t>
            </w:r>
          </w:p>
        </w:tc>
        <w:tc>
          <w:tcPr>
            <w:tcW w:w="972" w:type="dxa"/>
            <w:noWrap w:val="0"/>
            <w:vAlign w:val="center"/>
          </w:tcPr>
          <w:p w14:paraId="1D526DB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r>
              <w:rPr>
                <w:rFonts w:hint="eastAsia" w:ascii="宋体" w:hAnsi="宋体" w:cs="宋体"/>
                <w:color w:val="auto"/>
                <w:kern w:val="0"/>
                <w:sz w:val="20"/>
                <w:szCs w:val="20"/>
                <w:highlight w:val="none"/>
                <w:lang w:val="en-US" w:eastAsia="zh-CN"/>
              </w:rPr>
              <w:t>17936</w:t>
            </w:r>
            <w:r>
              <w:rPr>
                <w:rFonts w:hint="eastAsia" w:ascii="宋体" w:hAnsi="宋体" w:eastAsia="宋体" w:cs="宋体"/>
                <w:color w:val="auto"/>
                <w:kern w:val="0"/>
                <w:sz w:val="20"/>
                <w:szCs w:val="20"/>
                <w:highlight w:val="none"/>
              </w:rPr>
              <w:t xml:space="preserve">.00 </w:t>
            </w:r>
          </w:p>
        </w:tc>
      </w:tr>
      <w:tr w14:paraId="2A9B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5ED81B52">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817" w:type="dxa"/>
            <w:noWrap w:val="0"/>
            <w:vAlign w:val="center"/>
          </w:tcPr>
          <w:p w14:paraId="1B3716F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数字万用表</w:t>
            </w:r>
          </w:p>
        </w:tc>
        <w:tc>
          <w:tcPr>
            <w:tcW w:w="5435" w:type="dxa"/>
            <w:noWrap w:val="0"/>
            <w:vAlign w:val="center"/>
          </w:tcPr>
          <w:p w14:paraId="01C4336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1.直流电压：0.1mV～1000V±(0.5%+2)</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2.交流电压：0.001V～750V±(0.7%+2)</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3.直流电流：0.01μA～10A±(0.8%+3)</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4.交流电流：0.01mA～10A±(1.0%+2)</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5.电阻：0.12～200M2±(0.8%+2)</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6.电容：0.001nF～10000μF±(4%+5)</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7.最大显示：3999</w:t>
            </w:r>
          </w:p>
        </w:tc>
        <w:tc>
          <w:tcPr>
            <w:tcW w:w="457" w:type="dxa"/>
            <w:noWrap w:val="0"/>
            <w:vAlign w:val="center"/>
          </w:tcPr>
          <w:p w14:paraId="290ACCA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57BD9D2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2A1CA1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r>
              <w:rPr>
                <w:rFonts w:hint="eastAsia" w:ascii="宋体" w:hAnsi="宋体" w:cs="宋体"/>
                <w:color w:val="auto"/>
                <w:kern w:val="0"/>
                <w:sz w:val="20"/>
                <w:szCs w:val="20"/>
                <w:highlight w:val="none"/>
                <w:lang w:val="en-US" w:eastAsia="zh-CN"/>
              </w:rPr>
              <w:t>3</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572F5644">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598</w:t>
            </w:r>
            <w:r>
              <w:rPr>
                <w:rFonts w:hint="eastAsia" w:ascii="宋体" w:hAnsi="宋体" w:eastAsia="宋体" w:cs="宋体"/>
                <w:color w:val="auto"/>
                <w:kern w:val="0"/>
                <w:sz w:val="20"/>
                <w:szCs w:val="20"/>
                <w:highlight w:val="none"/>
              </w:rPr>
              <w:t xml:space="preserve">0.00 </w:t>
            </w:r>
          </w:p>
        </w:tc>
      </w:tr>
      <w:tr w14:paraId="58C5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2FFBF73F">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817" w:type="dxa"/>
            <w:noWrap w:val="0"/>
            <w:vAlign w:val="center"/>
          </w:tcPr>
          <w:p w14:paraId="4B718C0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放大镜</w:t>
            </w:r>
          </w:p>
        </w:tc>
        <w:tc>
          <w:tcPr>
            <w:tcW w:w="5435" w:type="dxa"/>
            <w:noWrap w:val="0"/>
            <w:vAlign w:val="center"/>
          </w:tcPr>
          <w:p w14:paraId="0256B80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1.放大倍率：</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20X</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2.镜片直径：标准127mm（5 英寸）</w:t>
            </w:r>
            <w:r>
              <w:rPr>
                <w:rFonts w:hint="eastAsia" w:ascii="宋体" w:hAnsi="宋体" w:eastAsia="宋体" w:cs="宋体"/>
                <w:color w:val="auto"/>
                <w:kern w:val="0"/>
                <w:sz w:val="20"/>
                <w:szCs w:val="20"/>
                <w:highlight w:val="none"/>
              </w:rPr>
              <w:t>±10mm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3.镜片材质：白玻（光学玻璃）：高透、低畸变、倍数精准，长时间观察护眼</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4.工作距离（焦距）：约25mm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5.有效视场：直径约12mm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6.输入电源：220V 50Hz（国标三插电源线）</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7.适用场景：PCB电路板检修、芯片维修、精密质检</w:t>
            </w:r>
          </w:p>
        </w:tc>
        <w:tc>
          <w:tcPr>
            <w:tcW w:w="457" w:type="dxa"/>
            <w:noWrap w:val="0"/>
            <w:vAlign w:val="center"/>
          </w:tcPr>
          <w:p w14:paraId="35F6EEA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228D4BC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48092A1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14EC98D9">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78</w:t>
            </w:r>
            <w:r>
              <w:rPr>
                <w:rFonts w:hint="eastAsia" w:ascii="宋体" w:hAnsi="宋体" w:eastAsia="宋体" w:cs="宋体"/>
                <w:color w:val="auto"/>
                <w:kern w:val="0"/>
                <w:sz w:val="20"/>
                <w:szCs w:val="20"/>
                <w:highlight w:val="none"/>
              </w:rPr>
              <w:t xml:space="preserve">00.00 </w:t>
            </w:r>
          </w:p>
        </w:tc>
      </w:tr>
      <w:tr w14:paraId="1CFF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A9460E3">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817" w:type="dxa"/>
            <w:noWrap w:val="0"/>
            <w:vAlign w:val="center"/>
          </w:tcPr>
          <w:p w14:paraId="4F47CE5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电子显微镜</w:t>
            </w:r>
          </w:p>
        </w:tc>
        <w:tc>
          <w:tcPr>
            <w:tcW w:w="5435" w:type="dxa"/>
            <w:noWrap w:val="0"/>
            <w:vAlign w:val="center"/>
          </w:tcPr>
          <w:p w14:paraId="4A59AC0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1.成像输</w:t>
            </w:r>
            <w:r>
              <w:rPr>
                <w:rFonts w:hint="eastAsia" w:ascii="宋体" w:hAnsi="宋体" w:eastAsia="宋体" w:cs="宋体"/>
                <w:color w:val="auto"/>
                <w:kern w:val="0"/>
                <w:sz w:val="21"/>
                <w:szCs w:val="21"/>
                <w:highlight w:val="none"/>
              </w:rPr>
              <w:t>出分辨率：</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3840*2160</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2.图像传感器靶面：不小于1/3英寸</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3.像素：</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800万</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4.倍率：范围不低于32-202倍</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5.视场范围：范围不低于3-20mm</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6.信号输出：HDMI+USB</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0"/>
                <w:szCs w:val="20"/>
                <w:highlight w:val="none"/>
              </w:rPr>
              <w:t>7.拍照：</w:t>
            </w: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rPr>
              <w:t>6000万像素（差值）</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8.功能：提供电脑端专业影像测量软件，支持长度、角度、面积、圆等几何尺寸测量、数据导出</w:t>
            </w:r>
          </w:p>
        </w:tc>
        <w:tc>
          <w:tcPr>
            <w:tcW w:w="457" w:type="dxa"/>
            <w:noWrap w:val="0"/>
            <w:vAlign w:val="center"/>
          </w:tcPr>
          <w:p w14:paraId="321AE64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429" w:type="dxa"/>
            <w:noWrap w:val="0"/>
            <w:vAlign w:val="center"/>
          </w:tcPr>
          <w:p w14:paraId="6220A11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0AFAF5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1030.00 </w:t>
            </w:r>
          </w:p>
        </w:tc>
        <w:tc>
          <w:tcPr>
            <w:tcW w:w="972" w:type="dxa"/>
            <w:noWrap w:val="0"/>
            <w:vAlign w:val="center"/>
          </w:tcPr>
          <w:p w14:paraId="592F623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6180.00 </w:t>
            </w:r>
          </w:p>
        </w:tc>
      </w:tr>
      <w:tr w14:paraId="7A7B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198F0E9C">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817" w:type="dxa"/>
            <w:noWrap w:val="0"/>
            <w:vAlign w:val="center"/>
          </w:tcPr>
          <w:p w14:paraId="508494E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多功能钻机</w:t>
            </w:r>
          </w:p>
        </w:tc>
        <w:tc>
          <w:tcPr>
            <w:tcW w:w="5435" w:type="dxa"/>
            <w:noWrap w:val="0"/>
            <w:vAlign w:val="center"/>
          </w:tcPr>
          <w:p w14:paraId="2247C26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1.产品电压：220V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2.主轴转速：0～2800r/min</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3.夹持直径：1.5～13mm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4.产品功率：≥880W</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5.主轴行程：≥60mm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6.钻孔能力：钢材钻孔能力≥10mm，实木钻孔能力≥35mm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7.调速档位：不少于6档调速</w:t>
            </w:r>
          </w:p>
        </w:tc>
        <w:tc>
          <w:tcPr>
            <w:tcW w:w="457" w:type="dxa"/>
            <w:noWrap w:val="0"/>
            <w:vAlign w:val="center"/>
          </w:tcPr>
          <w:p w14:paraId="117A9B5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429" w:type="dxa"/>
            <w:noWrap w:val="0"/>
            <w:vAlign w:val="center"/>
          </w:tcPr>
          <w:p w14:paraId="3AEB064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487847B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5ACC438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22</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0.00 </w:t>
            </w:r>
          </w:p>
        </w:tc>
      </w:tr>
      <w:tr w14:paraId="1549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7309166E">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817" w:type="dxa"/>
            <w:noWrap w:val="0"/>
            <w:vAlign w:val="center"/>
          </w:tcPr>
          <w:p w14:paraId="3E1BFF9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焊台</w:t>
            </w:r>
          </w:p>
        </w:tc>
        <w:tc>
          <w:tcPr>
            <w:tcW w:w="5435" w:type="dxa"/>
            <w:noWrap w:val="0"/>
            <w:vAlign w:val="center"/>
          </w:tcPr>
          <w:p w14:paraId="53D9A5E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1.配备可视化数显操作面板</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2.按键调节温度，温度范围至少覆盖180-480℃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3.防静电设计，适用于精密电子元器件焊接</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4.带自动冷却功能</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5.功率≥60W</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6.标配一套烙铁头，包含端面宽度不小于 3.5mm 刀头、尖头、马蹄形三种规格烙铁嘴</w:t>
            </w:r>
          </w:p>
        </w:tc>
        <w:tc>
          <w:tcPr>
            <w:tcW w:w="457" w:type="dxa"/>
            <w:noWrap w:val="0"/>
            <w:vAlign w:val="center"/>
          </w:tcPr>
          <w:p w14:paraId="28B5136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4CFA9DD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28F4FB4C">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675</w:t>
            </w:r>
            <w:r>
              <w:rPr>
                <w:rFonts w:hint="eastAsia" w:ascii="宋体" w:hAnsi="宋体" w:eastAsia="宋体" w:cs="宋体"/>
                <w:color w:val="auto"/>
                <w:kern w:val="0"/>
                <w:sz w:val="20"/>
                <w:szCs w:val="20"/>
                <w:highlight w:val="none"/>
              </w:rPr>
              <w:t xml:space="preserve">.00 </w:t>
            </w:r>
          </w:p>
        </w:tc>
        <w:tc>
          <w:tcPr>
            <w:tcW w:w="972" w:type="dxa"/>
            <w:noWrap w:val="0"/>
            <w:vAlign w:val="center"/>
          </w:tcPr>
          <w:p w14:paraId="30A9C966">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17550</w:t>
            </w:r>
            <w:r>
              <w:rPr>
                <w:rFonts w:hint="eastAsia" w:ascii="宋体" w:hAnsi="宋体" w:eastAsia="宋体" w:cs="宋体"/>
                <w:color w:val="auto"/>
                <w:kern w:val="0"/>
                <w:sz w:val="20"/>
                <w:szCs w:val="20"/>
                <w:highlight w:val="none"/>
              </w:rPr>
              <w:t xml:space="preserve">.00 </w:t>
            </w:r>
          </w:p>
        </w:tc>
      </w:tr>
      <w:tr w14:paraId="082C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732CB004">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817" w:type="dxa"/>
            <w:noWrap w:val="0"/>
            <w:vAlign w:val="center"/>
          </w:tcPr>
          <w:p w14:paraId="4CBD300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热风枪</w:t>
            </w:r>
          </w:p>
        </w:tc>
        <w:tc>
          <w:tcPr>
            <w:tcW w:w="5435" w:type="dxa"/>
            <w:noWrap w:val="0"/>
            <w:vAlign w:val="center"/>
          </w:tcPr>
          <w:p w14:paraId="7ECE609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1.功率：≥580W</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2.工作电压：AC 220V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3.温度范围：完整覆盖100～500°C</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4风量档位范围：不少于100级</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5.风量：≥40L/min(Max)</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6.显示类型：LCD液晶显示</w:t>
            </w:r>
          </w:p>
        </w:tc>
        <w:tc>
          <w:tcPr>
            <w:tcW w:w="457" w:type="dxa"/>
            <w:noWrap w:val="0"/>
            <w:vAlign w:val="center"/>
          </w:tcPr>
          <w:p w14:paraId="16ADB42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07D90BA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078B3A7E">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896</w:t>
            </w:r>
            <w:r>
              <w:rPr>
                <w:rFonts w:hint="eastAsia" w:ascii="宋体" w:hAnsi="宋体" w:eastAsia="宋体" w:cs="宋体"/>
                <w:color w:val="auto"/>
                <w:kern w:val="0"/>
                <w:sz w:val="20"/>
                <w:szCs w:val="20"/>
                <w:highlight w:val="none"/>
              </w:rPr>
              <w:t xml:space="preserve">.00 </w:t>
            </w:r>
          </w:p>
        </w:tc>
        <w:tc>
          <w:tcPr>
            <w:tcW w:w="972" w:type="dxa"/>
            <w:noWrap w:val="0"/>
            <w:vAlign w:val="center"/>
          </w:tcPr>
          <w:p w14:paraId="7DEB8804">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23296</w:t>
            </w:r>
            <w:r>
              <w:rPr>
                <w:rFonts w:hint="eastAsia" w:ascii="宋体" w:hAnsi="宋体" w:eastAsia="宋体" w:cs="宋体"/>
                <w:color w:val="auto"/>
                <w:kern w:val="0"/>
                <w:sz w:val="20"/>
                <w:szCs w:val="20"/>
                <w:highlight w:val="none"/>
              </w:rPr>
              <w:t xml:space="preserve">.00 </w:t>
            </w:r>
          </w:p>
        </w:tc>
      </w:tr>
      <w:tr w14:paraId="0DE8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1AE23E74">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817" w:type="dxa"/>
            <w:noWrap w:val="0"/>
            <w:vAlign w:val="center"/>
          </w:tcPr>
          <w:p w14:paraId="78EB80D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焊接工具包</w:t>
            </w:r>
          </w:p>
        </w:tc>
        <w:tc>
          <w:tcPr>
            <w:tcW w:w="5435" w:type="dxa"/>
            <w:noWrap w:val="0"/>
            <w:vAlign w:val="center"/>
          </w:tcPr>
          <w:p w14:paraId="13207E34">
            <w:pPr>
              <w:widowControl/>
              <w:numPr>
                <w:ilvl w:val="0"/>
                <w:numId w:val="3"/>
              </w:numPr>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合金吸锡器：全金属合金活塞、硅胶密封头，吸力持久，防回流，1 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2.烙铁架：加厚铸铁底座 + 耐高温海绵，黑色，防滑配重，1 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3.环保柄十字螺丝批3×75MM：批头S2 合金钢，表面淬火镀硬铬，环保防滑双色绝缘手柄，硬度≥58HRC，1个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4.环保柄一字螺丝批3×75MM：批头S2 合金钢，表面淬火镀硬铬，环保防滑双色绝缘手柄，硬度≥58HRC，1个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5.6寸斜嘴钳：钳身铬钒钢 CR-V 整体锻打，刃口高频淬火，洛氏硬度 60-62HRC，美式省力刃口，双色防滑绝缘手柄，开合顺滑、钳口无间隙，1个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6.外热式电烙铁60W：纯铜加厚发热芯、耐高温云母绝缘、防烫防滑手柄，1个</w:t>
            </w:r>
          </w:p>
          <w:p w14:paraId="00708F7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r>
              <w:rPr>
                <w:rFonts w:hint="eastAsia"/>
                <w:bCs/>
                <w:color w:val="auto"/>
                <w:sz w:val="24"/>
                <w:highlight w:val="none"/>
              </w:rPr>
              <w:t>▲</w:t>
            </w:r>
            <w:r>
              <w:rPr>
                <w:rFonts w:hint="eastAsia" w:ascii="宋体" w:hAnsi="宋体" w:eastAsia="宋体" w:cs="宋体"/>
                <w:color w:val="auto"/>
                <w:kern w:val="0"/>
                <w:sz w:val="20"/>
                <w:szCs w:val="20"/>
                <w:highlight w:val="none"/>
              </w:rPr>
              <w:t>所有工具必须为全新原厂正品，提供产品合格证、出厂材质检测说明（S2 / 铬钒钢材质证明）</w:t>
            </w:r>
          </w:p>
        </w:tc>
        <w:tc>
          <w:tcPr>
            <w:tcW w:w="457" w:type="dxa"/>
            <w:noWrap w:val="0"/>
            <w:vAlign w:val="center"/>
          </w:tcPr>
          <w:p w14:paraId="286E7CA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1D8E67F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A85352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4229AA13">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780</w:t>
            </w:r>
            <w:r>
              <w:rPr>
                <w:rFonts w:hint="eastAsia" w:ascii="宋体" w:hAnsi="宋体" w:eastAsia="宋体" w:cs="宋体"/>
                <w:color w:val="auto"/>
                <w:kern w:val="0"/>
                <w:sz w:val="20"/>
                <w:szCs w:val="20"/>
                <w:highlight w:val="none"/>
              </w:rPr>
              <w:t xml:space="preserve">0.00 </w:t>
            </w:r>
          </w:p>
        </w:tc>
      </w:tr>
      <w:tr w14:paraId="41F0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BEF64BD">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817" w:type="dxa"/>
            <w:noWrap w:val="0"/>
            <w:vAlign w:val="center"/>
          </w:tcPr>
          <w:p w14:paraId="2F14156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主板/电池编程器</w:t>
            </w:r>
          </w:p>
        </w:tc>
        <w:tc>
          <w:tcPr>
            <w:tcW w:w="5435" w:type="dxa"/>
            <w:noWrap w:val="0"/>
            <w:vAlign w:val="center"/>
          </w:tcPr>
          <w:p w14:paraId="26C0EC3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1.整机外形：一体化 PCB 主板搭配 ABS 防护外壳，铜基板线路设计，散热稳定</w:t>
            </w:r>
          </w:p>
          <w:p w14:paraId="1B06F04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2.显示模块：搭载独立 OLED 液晶显示屏，可实时同步显示电池健康百分比、充放电循环次数、设备工作模式，屏幕参数本地可视化无需外接电脑</w:t>
            </w:r>
          </w:p>
          <w:p w14:paraId="438B329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3.操作按键：配置实体功能按键，支持批量双工作模式，操作无外接软件依赖</w:t>
            </w:r>
          </w:p>
          <w:p w14:paraId="171F9D60">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4.供电方式：标准 USB-A 接口独立供电，单机可独立运行，无需搭配编程主机、拓展底座即可完成全部读写操作</w:t>
            </w:r>
          </w:p>
          <w:p w14:paraId="1E1BC4C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5.供电输入：DC 12~24V 宽压输入，输入电流 2~5A，Type-C/DC 双输入接口，可边充边焊</w:t>
            </w:r>
          </w:p>
          <w:p w14:paraId="6F2C087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6.储能核心：支持法拉电容储能</w:t>
            </w:r>
          </w:p>
          <w:p w14:paraId="72E7E3D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7.显示面板：支持中英文双语 LCD 液晶显示屏，实时显示脉冲档位、焊接时长、储能电压、工作模式</w:t>
            </w:r>
          </w:p>
          <w:p w14:paraId="51623A2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8.操作模式：支持双脉冲 / 单脉冲一键切换，覆盖1~40ms 脉冲时长分段可调</w:t>
            </w:r>
          </w:p>
          <w:p w14:paraId="1F69212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9.机身防护：内置过流、短路、超温三重安全保护，连续焊接防过热停机</w:t>
            </w:r>
          </w:p>
        </w:tc>
        <w:tc>
          <w:tcPr>
            <w:tcW w:w="457" w:type="dxa"/>
            <w:noWrap w:val="0"/>
            <w:vAlign w:val="center"/>
          </w:tcPr>
          <w:p w14:paraId="04F97A3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1CBC8A0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7E63585D">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9</w:t>
            </w:r>
            <w:r>
              <w:rPr>
                <w:rFonts w:hint="eastAsia" w:ascii="宋体" w:hAnsi="宋体" w:eastAsia="宋体" w:cs="宋体"/>
                <w:color w:val="auto"/>
                <w:kern w:val="0"/>
                <w:sz w:val="20"/>
                <w:szCs w:val="20"/>
                <w:highlight w:val="none"/>
              </w:rPr>
              <w:t xml:space="preserve">00.00 </w:t>
            </w:r>
          </w:p>
        </w:tc>
        <w:tc>
          <w:tcPr>
            <w:tcW w:w="972" w:type="dxa"/>
            <w:noWrap w:val="0"/>
            <w:vAlign w:val="center"/>
          </w:tcPr>
          <w:p w14:paraId="5EE13D0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r>
              <w:rPr>
                <w:rFonts w:hint="eastAsia" w:ascii="宋体" w:hAnsi="宋体" w:cs="宋体"/>
                <w:color w:val="auto"/>
                <w:kern w:val="0"/>
                <w:sz w:val="20"/>
                <w:szCs w:val="20"/>
                <w:highlight w:val="none"/>
                <w:lang w:val="en-US" w:eastAsia="zh-CN"/>
              </w:rPr>
              <w:t>34</w:t>
            </w:r>
            <w:r>
              <w:rPr>
                <w:rFonts w:hint="eastAsia" w:ascii="宋体" w:hAnsi="宋体" w:eastAsia="宋体" w:cs="宋体"/>
                <w:color w:val="auto"/>
                <w:kern w:val="0"/>
                <w:sz w:val="20"/>
                <w:szCs w:val="20"/>
                <w:highlight w:val="none"/>
              </w:rPr>
              <w:t>0</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 </w:t>
            </w:r>
          </w:p>
        </w:tc>
      </w:tr>
      <w:tr w14:paraId="74D8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058B9FE2">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817" w:type="dxa"/>
            <w:noWrap w:val="0"/>
            <w:vAlign w:val="center"/>
          </w:tcPr>
          <w:p w14:paraId="1BDC95F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手机维修实训套件</w:t>
            </w:r>
          </w:p>
        </w:tc>
        <w:tc>
          <w:tcPr>
            <w:tcW w:w="5435" w:type="dxa"/>
            <w:noWrap w:val="0"/>
            <w:vAlign w:val="center"/>
          </w:tcPr>
          <w:p w14:paraId="29D8F5B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1.配套手机维修耗材组件</w:t>
            </w:r>
          </w:p>
          <w:p w14:paraId="343D159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套全套手机维修实操耗材，包含精密螺丝刀组、电路板固定夹具、拆机撬棒、真空吸盘、多规格精密镊子、电路板清洗剂、清洁毛刷等全套拆机辅助工具耗材。所有工具采用高硬度合金钢批头、不锈钢镊子，夹具为加厚 ABS 金属复合结构。</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2.包含线路板及全部元器件，套件清单包含暗室定时器、拍手声控开关、四路抢答器4060延时定时电路、四位密码锁、红外编码发射器、模拟风扇主机电路、滴水彩灯电路、模拟正反转电路、模拟星三角电路</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3.须提供完整纸质实训指导书，针对每一类电路配套独立实训章节，内容包含电路原理讲解、元器件识别、规范焊接步骤、电路调试方法、常见故障分析与排查训练，实训内容覆盖下述全部实训能力目标：</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（1）暗室定时器电路装调实训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掌握定时类模拟电路规范焊接，理解RC延时控制原理，能用仪器检测电路，排查定时、指示灯等常见故障，养成规范焊接素养</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（2）拍手声控开关电路装调实训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熟练焊接声控感应元器件，掌握声电转换触发原理，可调试电路灵敏度，排查误触发、不响应等故障，掌握智能感应电路实操方法</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（3）四路抢答器电路装调实训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完成多路数字逻辑电路规范焊接，理解优先锁存工作原理，可逐路调试电路，排查按键、锁存、声光提示等故障，提升多路电路实操能力</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（4）4060延时定时电路装调实训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掌握4060定时芯片焊接工艺，理解振荡分频延时原理，可通过参数调节定时时长，排查无振荡、定时异常等电路故障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（5）四位密码锁电路装调实训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熟练焊接矩阵按键与逻辑控制电路，掌握密码比对解锁原理，可检测电路电平，排查识别、解锁、报警异常等常见故障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（6）红外编码发射器电路</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掌握光电、高频元器件焊接技巧，理解红外编码载波发射原理，可检测电路工作状态，排查无发射、编码异常等故障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（7）模拟风扇主机电路装调实训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完成风扇主控电路元器件焊接，掌握调速、开关控制原理，可检测供电与控制回路，排查风扇不转、调速失效等故障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（8）滴水彩灯电路装调实训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熟练焊接流水彩灯控制电路，理解循环触发、时序亮灯原理，能调试彩灯闪烁节奏，排查不亮、乱闪、节奏异常等故障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（9）模拟正反转电路装调实训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掌握电机正反转模拟电路焊接，理解换向控制逻辑，可检测回路通断，排查转向切换失灵、无输出、短路等故障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（10）模拟星三角电路装调实训</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完成星三角降压启动模拟电路焊接，掌握降压启动、延时切换原理，可调试切换时序，排查启动异常、切换失效等故障</w:t>
            </w:r>
          </w:p>
        </w:tc>
        <w:tc>
          <w:tcPr>
            <w:tcW w:w="457" w:type="dxa"/>
            <w:noWrap w:val="0"/>
            <w:vAlign w:val="center"/>
          </w:tcPr>
          <w:p w14:paraId="13FE23E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1FA2336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3C0E55B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r>
              <w:rPr>
                <w:rFonts w:hint="eastAsia" w:ascii="宋体" w:hAnsi="宋体" w:cs="宋体"/>
                <w:color w:val="auto"/>
                <w:kern w:val="0"/>
                <w:sz w:val="20"/>
                <w:szCs w:val="20"/>
                <w:highlight w:val="none"/>
                <w:lang w:val="en-US" w:eastAsia="zh-CN"/>
              </w:rPr>
              <w:t>6</w:t>
            </w:r>
            <w:r>
              <w:rPr>
                <w:rFonts w:hint="eastAsia" w:ascii="宋体" w:hAnsi="宋体" w:eastAsia="宋体" w:cs="宋体"/>
                <w:color w:val="auto"/>
                <w:kern w:val="0"/>
                <w:sz w:val="20"/>
                <w:szCs w:val="20"/>
                <w:highlight w:val="none"/>
              </w:rPr>
              <w:t xml:space="preserve">00.00 </w:t>
            </w:r>
          </w:p>
        </w:tc>
        <w:tc>
          <w:tcPr>
            <w:tcW w:w="972" w:type="dxa"/>
            <w:noWrap w:val="0"/>
            <w:vAlign w:val="center"/>
          </w:tcPr>
          <w:p w14:paraId="445343F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r>
              <w:rPr>
                <w:rFonts w:hint="eastAsia" w:ascii="宋体" w:hAnsi="宋体" w:cs="宋体"/>
                <w:color w:val="auto"/>
                <w:kern w:val="0"/>
                <w:sz w:val="20"/>
                <w:szCs w:val="20"/>
                <w:highlight w:val="none"/>
                <w:lang w:val="en-US" w:eastAsia="zh-CN"/>
              </w:rPr>
              <w:t>1</w:t>
            </w:r>
            <w:r>
              <w:rPr>
                <w:rFonts w:hint="eastAsia" w:ascii="宋体" w:hAnsi="宋体" w:eastAsia="宋体" w:cs="宋体"/>
                <w:color w:val="auto"/>
                <w:kern w:val="0"/>
                <w:sz w:val="20"/>
                <w:szCs w:val="20"/>
                <w:highlight w:val="none"/>
              </w:rPr>
              <w:t xml:space="preserve">600.00 </w:t>
            </w:r>
          </w:p>
        </w:tc>
      </w:tr>
      <w:tr w14:paraId="23EF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2B700CD4">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817" w:type="dxa"/>
            <w:noWrap w:val="0"/>
            <w:vAlign w:val="center"/>
          </w:tcPr>
          <w:p w14:paraId="0A01EB5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压屏套装</w:t>
            </w:r>
          </w:p>
        </w:tc>
        <w:tc>
          <w:tcPr>
            <w:tcW w:w="5435" w:type="dxa"/>
            <w:noWrap w:val="0"/>
            <w:vAlign w:val="center"/>
          </w:tcPr>
          <w:p w14:paraId="5F33A0E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1.真空压屏机</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（1）适配尺寸：最大兼容 ≥12.9 英寸平板 / 手机，支持曲面屏、直屏、折叠屏、iPad 全系、安卓曲面手机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（2）气源要求：外接空压机，标准工作气压 0.4–0.7MPa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2.真空泵</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（1）电源：AC220V/50Hz 单相</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（2）电机功率：≤0.75</w:t>
            </w:r>
            <w:r>
              <w:rPr>
                <w:rFonts w:hint="eastAsia" w:ascii="宋体" w:hAnsi="宋体" w:cs="宋体"/>
                <w:color w:val="auto"/>
                <w:kern w:val="0"/>
                <w:sz w:val="20"/>
                <w:szCs w:val="20"/>
                <w:highlight w:val="none"/>
                <w:lang w:eastAsia="zh-CN"/>
              </w:rPr>
              <w:t>kW</w:t>
            </w:r>
            <w:r>
              <w:rPr>
                <w:rFonts w:hint="eastAsia" w:ascii="宋体" w:hAnsi="宋体" w:eastAsia="宋体" w:cs="宋体"/>
                <w:color w:val="auto"/>
                <w:kern w:val="0"/>
                <w:sz w:val="20"/>
                <w:szCs w:val="20"/>
                <w:highlight w:val="none"/>
              </w:rPr>
              <w:t>（0.9HP）</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（3）抽气速率：≥20m³/h（50Hz）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（4）极限真空度：≤2mbar（200Pa），贴合无气泡标准真空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（5）转速：≤2800r/min</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（6）进气管口径：G1/2 外丝</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（7）储油量：0.5L 专用真空泵油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（8）储气缓冲罐：≥8L（稳压，避免真空波动压坏大屏）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（9）标配保护：内置单向止回阀，停机防倒灌油污染屏幕</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3.除泡机</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（1）适用最大屏幕：≤12.9 英寸 iPad、所有曲面手机、折叠屏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（2）供电：AC220V，整机功率 ≥400W（加热 + 气动）</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（3）压力调节：0–0.8MPa（0–8KG）自由设定，高压除气泡 / 白边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（4）温控系统：内置加热层，可调 30–60℃，曲面高温软化除泡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（5）时间设定：0–99 分钟数字可调，倒计时自动泄压开盖</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4.压缩机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（1）功率：550W 纯铜电机，无油活塞双缸</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（2）电压：220V 家用单相</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（3）转速：≤1380r/min</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（4）额定排气压力：0.7MPa（7Bar），自动启停 0.4–0.7MPa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（5）公称排气量：≤40L/min</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（6）储气罐容量：≤8L</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（7）气缸规格：≤63.7×10.6mm 双缸，气缸规格满足整机供气稳定需求</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（8）噪音：≤60dB 低噪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（9）配套接口：调压阀 + 压力表、快速气动接头</w:t>
            </w:r>
          </w:p>
        </w:tc>
        <w:tc>
          <w:tcPr>
            <w:tcW w:w="457" w:type="dxa"/>
            <w:noWrap w:val="0"/>
            <w:vAlign w:val="center"/>
          </w:tcPr>
          <w:p w14:paraId="54BA1FD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429" w:type="dxa"/>
            <w:noWrap w:val="0"/>
            <w:vAlign w:val="center"/>
          </w:tcPr>
          <w:p w14:paraId="0F21F7A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470A6C0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9000.00 </w:t>
            </w:r>
          </w:p>
        </w:tc>
        <w:tc>
          <w:tcPr>
            <w:tcW w:w="972" w:type="dxa"/>
            <w:noWrap w:val="0"/>
            <w:vAlign w:val="center"/>
          </w:tcPr>
          <w:p w14:paraId="29ED4BB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45000.00 </w:t>
            </w:r>
          </w:p>
        </w:tc>
      </w:tr>
      <w:tr w14:paraId="2AD2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08AEC5EB">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817" w:type="dxa"/>
            <w:noWrap w:val="0"/>
            <w:vAlign w:val="center"/>
          </w:tcPr>
          <w:p w14:paraId="11754FB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移动实训录播套装</w:t>
            </w:r>
          </w:p>
        </w:tc>
        <w:tc>
          <w:tcPr>
            <w:tcW w:w="5435" w:type="dxa"/>
            <w:noWrap w:val="0"/>
            <w:vAlign w:val="center"/>
          </w:tcPr>
          <w:p w14:paraId="37C4DC83">
            <w:pPr>
              <w:widowControl/>
              <w:numPr>
                <w:ilvl w:val="0"/>
                <w:numId w:val="4"/>
              </w:numPr>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实训录显一体机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1.要求设备高度集成化，整体外观小巧便携，主机重量≤2.5kg,厚度≤36mm），支持挂靠在实训推车上，满足实训操作过程中预览、显示切换等操作需求 </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2.为保证系统性能稳定性与安全性，系统采用纯嵌入式硬件架构和linux系统，高性能低故障的固态硬盘≥256G，主机内含标准硬盘接口，可以按需扩展硬盘空间</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3.主机要求内置电池，电池容量≥10000mAH，满状态运行可续航不低于6个小时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4.主机集成触摸屏要求≥14英寸，方便在各种场景下进行操作，具备一键复位功能，确保设备运行的安全性</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5.主机要求支持本地音频、网络音频等多种信号接入，同时主机具备多种物理音频接口，支持≥1路line in; ≥1路mic in; ≥1路line out，并支持音频监听、音量调节与音量状态显示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二、录播软件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1.支持嵌入式Linux系统，出厂即内置于实训录显一体机内，满足实训教学过程中的实操演示、实操回看、资源管理等多种应用</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2.支持老师实训示范教学功能，无缝对接老师实训特写相机、全景相机等机位，实现多角度拍摄效果；支持通过触摸按键实现画面拉近、拉远</w:t>
            </w:r>
          </w:p>
          <w:p w14:paraId="5E1CDDE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3.支持实训摄像机自动、手动聚焦两种模式</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4.支持单画面、左右画面、画中画等多种布局模式，支持在同一界面显示全景、特写摄像机两个画面</w:t>
            </w:r>
          </w:p>
          <w:p w14:paraId="209E02F3">
            <w:pPr>
              <w:widowControl/>
              <w:wordWrap w:val="0"/>
              <w:jc w:val="left"/>
              <w:rPr>
                <w:rFonts w:hint="eastAsia" w:ascii="宋体" w:hAnsi="宋体" w:eastAsia="宋体" w:cs="宋体"/>
                <w:color w:val="auto"/>
                <w:kern w:val="0"/>
                <w:sz w:val="20"/>
                <w:szCs w:val="20"/>
                <w:highlight w:val="none"/>
              </w:rPr>
            </w:pP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5.为便于老师对实训操作进行点评分析，系统应支持学生操作标记功能，老师可以对学生操作正确、错误等进行实时标记，在进行回放点播时，可以通过标记的操作实现快速定位</w:t>
            </w:r>
          </w:p>
          <w:p w14:paraId="756883A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6.支持老师实训示范教学回看功能，支持按照日期、时间顺序维度列表显示，支持通过内嵌播放器实现快速点播回放，支持全屏播放、进度条拖动快进、音量控制切换等多种播放控制功能</w:t>
            </w:r>
          </w:p>
          <w:p w14:paraId="48497521">
            <w:pPr>
              <w:widowControl/>
              <w:wordWrap w:val="0"/>
              <w:jc w:val="left"/>
              <w:rPr>
                <w:rFonts w:hint="eastAsia" w:ascii="宋体" w:hAnsi="宋体" w:eastAsia="宋体" w:cs="宋体"/>
                <w:color w:val="auto"/>
                <w:kern w:val="0"/>
                <w:sz w:val="20"/>
                <w:szCs w:val="20"/>
                <w:highlight w:val="none"/>
              </w:rPr>
            </w:pP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7.支持实操回看视频如0.5倍、1倍、1.5倍、2倍的多档播放速度切换功能，针对部分复杂操作，实现慢动作播放，方便学生更加轻松掌握老师操作细节</w:t>
            </w:r>
          </w:p>
          <w:p w14:paraId="6443BD3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8.支持全景摄像机、特写摄像机、合成画面视频录制及生成</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9.支持资源统一管理，能够通过日期选择对应录制视频资源，支持快捷保存到USB存储或者本地硬</w:t>
            </w:r>
          </w:p>
          <w:p w14:paraId="57C39C28">
            <w:pPr>
              <w:widowControl/>
              <w:wordWrap w:val="0"/>
              <w:jc w:val="left"/>
              <w:rPr>
                <w:rFonts w:hint="eastAsia" w:ascii="宋体" w:hAnsi="宋体" w:eastAsia="宋体" w:cs="宋体"/>
                <w:color w:val="auto"/>
                <w:kern w:val="0"/>
                <w:sz w:val="20"/>
                <w:szCs w:val="20"/>
                <w:highlight w:val="none"/>
              </w:rPr>
            </w:pP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10.为了确保录制资源的空间的长效应用，支持批量选择删除功能，当存储空间不足时，系统能自动删除最早录制视频文件，确保新的视频文件能够正常录制和存储</w:t>
            </w:r>
          </w:p>
          <w:p w14:paraId="4DEADAB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三、高清实训摄像机</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1.采用不低于1/2.8 英寸CMOS, 有效像素≥800万；摄像机自带按键，可直接控制摄像机的变焦、聚焦、亮度等操作</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2.图像输出支持3840x2160P,1920x1080p,1280x720p等；支持SDI、HDMI、网络、USB等接口实现图像输出，其中HDMI支持最高4K@60信号格式</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3.镜头焦距≥12x, f3.5mm ~ 42.3mm, F1.8 ~ F2.8；数字变焦16X</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4.最低照度0.5 Lux @ (F1.8, AGC ON)</w:t>
            </w:r>
          </w:p>
          <w:p w14:paraId="123BF7B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5.快门速度1/30s ~ 1/10000s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6.支持白平衡自动，室内，室外，一键，手动，指定色温</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7.支持背光补偿，支持2D&amp;3D 数字降噪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8.信噪比≥ 55dB</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9.覆盖范围不低于：水平视场角72.5° ~ 6.9°，垂直视场角44.8° ~ 3.9°</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10.支持相机倒装模式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11.支持扩展预置位数量≥255</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12.支持POE一线通供电</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四、高清实训摄像机系统软件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1.兼任主流系统，支持在Windows 10及以上环境正常运行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2.支持通过网线直连或交换机、路由器等方式进行连接配置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3.支持HTTP、RTSP、PTZ等端口配置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4.支持预置位设置，可设置预置位0-254</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5.要求支持50Hz、60Hz刷新率</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6.为满足不同场景拍摄效果，支持亮度、饱和度、对比度、锐度、色度等图像效果调节功能</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7.要求提供摄像机系统软件著作权证书</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五、高清全景摄像机</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1.采用不低于1/2.8英寸CMOS, 有效像素≥840万</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2.支持视频编码标准：H.265 / H.264 / MJPEG</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3.支持不低于8倍数字变焦</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4.最低照度0.5 Lux @ (F1.8, AGC ON)</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5.快门速度覆盖1/30s ~ 1/10000s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6.支持白平衡自动，室内，室外，一键，手动，指定色温</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7.支持背光补偿，支持2D&amp;3D 数字降噪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8.支持≥1 路, 3G-SDI；≥1 路, RJ45，10M / 100M 自适应以太网口；支持POE供电模式</w:t>
            </w:r>
          </w:p>
          <w:p w14:paraId="493A9D7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9.音频接口≥ 1 路, Line In音频接口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10.USB 接口≥1 路</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11.功耗≤12W</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六、高清全景摄像机系统软件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1.兼容主流系统，支持在Windows 10及以上环境正常运行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2.要求支持通过网线直连或交换机、路由器等方式进行连接配置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3.支持HTTP、RTSP、PTZ等端口配置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4.支持预置位设置，可设置预置位0-254</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5.要求支持50Hz（PAL）、60Hz（NTSC）和拨码优先三种制式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6.为满足不同场景拍摄效果，支持亮度、饱和度、对比度、锐度、色度等图像效果调节功能</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7.要求提供摄像机系统软件著作权证书</w:t>
            </w:r>
          </w:p>
          <w:p w14:paraId="77CCE16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七、实训推车</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1.配置ABS后把手</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2.车体底座采用4个3寸高强度防缠绕静音万向医疗轮，两个带刹车</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3.底盘采用高强度铝合金结构底座框架支撑，具有高承载能力和稳固性强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4.立柱使用航空铝合金新型复合材料,内部中空设计，可隐藏走线</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5.显示器固定架标准Vesa（孔位75*75mm或100*100mm）可以承受≥10KG, 支架俯仰调节≥±30°、左右水平旋转≥90°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6.配置1.2米活动长摇臂，可悬挂摄像机，并可自由活动至任意位置悬停，升降行程≥500mm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7.推车自带箱体，标配含有线盘、电源显示面板等配件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8.要求推车箱体支持实时显示电量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9.POE交换机：5口百兆交换机，其中4口支持POE整机输出功率最大57W，单口最大30W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10.内置UPS ,可满足整套设备不低于6小时的运行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八、指向麦克风</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1.指向性：超心型</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2.频率响应：覆盖50Hz-16kHz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3.灵敏度：-25dB±3dB(0dB=1V/Pa at 1kHz)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4.增益调节：+10dB/0dB/-10dB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5.输出阻抗：2.2KΩ±30%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九、无线网桥</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1.采用不低于Atheros AR9344 同等处理能力</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 xml:space="preserve">2.支持内存不低于64MB DRAM, 8MB Flash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3.物理接口≥2×10/100M Base-TX (Cat. 5/5E, RJ-45)网口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4.支持LED指示灯 显示电源、网络连接状态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5.供电要求 POE, 电源适配器 24V/0.5A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6.工作协议采用 802.11a/n, TDMA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7.工作频段：5745~5825 MHz（支持频率扩展，扩展范围：4920~6100MHz）</w:t>
            </w:r>
          </w:p>
        </w:tc>
        <w:tc>
          <w:tcPr>
            <w:tcW w:w="457" w:type="dxa"/>
            <w:noWrap w:val="0"/>
            <w:vAlign w:val="center"/>
          </w:tcPr>
          <w:p w14:paraId="61EDDF2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194522D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0844914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48000.00 </w:t>
            </w:r>
          </w:p>
        </w:tc>
        <w:tc>
          <w:tcPr>
            <w:tcW w:w="972" w:type="dxa"/>
            <w:noWrap w:val="0"/>
            <w:vAlign w:val="center"/>
          </w:tcPr>
          <w:p w14:paraId="531999F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48000.00 </w:t>
            </w:r>
          </w:p>
        </w:tc>
      </w:tr>
      <w:tr w14:paraId="0C03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0E5B8B99">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817" w:type="dxa"/>
            <w:noWrap w:val="0"/>
            <w:vAlign w:val="center"/>
          </w:tcPr>
          <w:p w14:paraId="4693679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多媒体教室扩声系统</w:t>
            </w:r>
          </w:p>
        </w:tc>
        <w:tc>
          <w:tcPr>
            <w:tcW w:w="5435" w:type="dxa"/>
            <w:noWrap w:val="0"/>
            <w:vAlign w:val="center"/>
          </w:tcPr>
          <w:p w14:paraId="58F766E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一、音箱（一对）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1.10英寸轻量化大功率、长冲程Ferrite低音驱动单元；顺性好，中低频饱满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2.1英寸丝膜高音单元，加装压缩式号角</w:t>
            </w:r>
          </w:p>
          <w:p w14:paraId="0D0C5A2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3.90 °x 60°覆盖角设计，具有均匀且平滑的轴向和偏轴向的响应</w:t>
            </w:r>
          </w:p>
          <w:p w14:paraId="6BAA9AA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4.分频器具有高频保护电路</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5.箱体采用12 mm优质中密度纤维板，强度高、密度大，可以有效的减少箱体谐振</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6.箱体表面采用环保水性漆，防滑、耐磨</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7.采用钢质防护网</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8.标配有简易安装支架，方便音箱多角度旋转；同时也可以选用三角支架支撑方式使用</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 xml:space="preserve">9.额定/峰值功率：120W /480 W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10.额定阻抗：≤8 Ω</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11.特性灵敏度：≤91dB/W/m</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cs="宋体"/>
                <w:color w:val="auto"/>
                <w:kern w:val="0"/>
                <w:sz w:val="20"/>
                <w:szCs w:val="20"/>
                <w:highlight w:val="none"/>
                <w:lang w:val="en-US" w:eastAsia="zh-CN"/>
              </w:rPr>
              <w:t>12</w:t>
            </w:r>
            <w:r>
              <w:rPr>
                <w:rFonts w:hint="eastAsia" w:ascii="宋体" w:hAnsi="宋体" w:eastAsia="宋体" w:cs="宋体"/>
                <w:color w:val="auto"/>
                <w:kern w:val="0"/>
                <w:sz w:val="20"/>
                <w:szCs w:val="20"/>
                <w:highlight w:val="none"/>
              </w:rPr>
              <w:t>.输出声压级：≤112 dB/W/m(Continues)、118 dB/W/12m(Peak)</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13.额定频率范围：50 ~ 20000Hz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14.覆盖角度HxV：90ºx60º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15.扬声器单元：LF:1*10 英寸、HF:1* 1.英寸</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16.箱体材料：12mm中密度纤维板</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17.输入接口：压缩接线柱</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18.吊挂点：专用壁架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19.箱体尺寸(mm)：≤545(H) ×342(W)×295(D)</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20.重量kg：≤11.0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二、功率放大器</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（一）功能描述</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1.带两路有线话筒输入接口，两路无线话筒输入接口，三组线路输入接口，三组线路输出接口，两组功率输出接口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2.话筒、线路的音量可独立调节并具有高低音两段均衡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3.本机带有蓝牙和USB播放功能</w:t>
            </w:r>
          </w:p>
          <w:p w14:paraId="17D0118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4.带有一键静音和RS232接口，可实现远程控制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5.功放输出通道中L通道可独立调节输出大小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（二）技术参数</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1.带U盘播放（优先播放，格式MP3）和蓝牙播放，带LCD液晶显示屏，四路音源切换按键（带记忆功能），对线路1/线路2/线路3/（蓝牙/U盘）进行切换</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2.带2路有线话筒输入（6.35话筒口，+48V幻像电源可切换）、2路无线话筒输入（1路3.5三芯+1路USB，USB可用于2.4G无线话筒供电）、2组立体声线路输入（RCA*4莲花接口）、1路线路平衡输入（凤凰接口）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3.带2组立体声线路输出（RCA*4莲花接口）、1路线路平衡输出（凤凰接口）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4.带1路RS232控制接口、1路一键静音控制接口；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5.话筒和线路音量、高/低音独立可调，带功放L输出通道信号大小调节功能</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6.额定功率(RMS)：2×300W  8Ω,2×570W  4Ω </w:t>
            </w:r>
          </w:p>
          <w:p w14:paraId="4928DE3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7.总谐波失真：≤1%</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8.线路频率响应：20Hz～20KHz  ±3dB，话筒频率响应：80Hz～16KHz  ±3dB</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9.输入灵敏度：300±30mV线路，60±6mV有线话筒，200±20mV无线话筒</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 xml:space="preserve">10.信噪比：≥82dB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11.线路高音提衰量（10KHz）：14dB±2dB，线路低音提衰量（100Hz）：14dB±2dB，话筒高音提衰量（10KHz）：14dB±2dB，话筒低音提衰量（100Hz）14dB±2dB</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12.整机高度：≤1U</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13.最大功率消耗：1450W</w:t>
            </w:r>
          </w:p>
          <w:p w14:paraId="65E7086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14.额定电源电压：220V/50Hz，电压适应范围：180V-242V</w:t>
            </w:r>
          </w:p>
        </w:tc>
        <w:tc>
          <w:tcPr>
            <w:tcW w:w="457" w:type="dxa"/>
            <w:noWrap w:val="0"/>
            <w:vAlign w:val="center"/>
          </w:tcPr>
          <w:p w14:paraId="48F55E3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02F4757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1C52463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r>
              <w:rPr>
                <w:rFonts w:hint="eastAsia" w:ascii="宋体" w:hAnsi="宋体" w:cs="宋体"/>
                <w:color w:val="auto"/>
                <w:kern w:val="0"/>
                <w:sz w:val="20"/>
                <w:szCs w:val="20"/>
                <w:highlight w:val="none"/>
                <w:lang w:val="en-US" w:eastAsia="zh-CN"/>
              </w:rPr>
              <w:t>35</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24AE374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r>
              <w:rPr>
                <w:rFonts w:hint="eastAsia" w:ascii="宋体" w:hAnsi="宋体" w:cs="宋体"/>
                <w:color w:val="auto"/>
                <w:kern w:val="0"/>
                <w:sz w:val="20"/>
                <w:szCs w:val="20"/>
                <w:highlight w:val="none"/>
                <w:lang w:val="en-US" w:eastAsia="zh-CN"/>
              </w:rPr>
              <w:t>35</w:t>
            </w:r>
            <w:r>
              <w:rPr>
                <w:rFonts w:hint="eastAsia" w:ascii="宋体" w:hAnsi="宋体" w:eastAsia="宋体" w:cs="宋体"/>
                <w:color w:val="auto"/>
                <w:kern w:val="0"/>
                <w:sz w:val="20"/>
                <w:szCs w:val="20"/>
                <w:highlight w:val="none"/>
              </w:rPr>
              <w:t xml:space="preserve">0.00 </w:t>
            </w:r>
          </w:p>
        </w:tc>
      </w:tr>
      <w:tr w14:paraId="6EF9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661614F">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817" w:type="dxa"/>
            <w:noWrap w:val="0"/>
            <w:vAlign w:val="center"/>
          </w:tcPr>
          <w:p w14:paraId="78924AF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实训室文化建设</w:t>
            </w:r>
          </w:p>
        </w:tc>
        <w:tc>
          <w:tcPr>
            <w:tcW w:w="5435" w:type="dxa"/>
            <w:noWrap w:val="0"/>
            <w:vAlign w:val="center"/>
          </w:tcPr>
          <w:p w14:paraId="43F6743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1.面积≥4平方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2.包括实训室名称牌、实训室门牌号、实训室介绍宣传挂板、一体化教学管理制度挂板、6S管理挂板、区域挂板、室内警告标语、垃圾箱标志、耗材回收标志、清洁区、安全提醒标志等</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3.材料包含但不限于亚克力板，PU板，透光软膜，金属边条，辅材等</w:t>
            </w:r>
          </w:p>
        </w:tc>
        <w:tc>
          <w:tcPr>
            <w:tcW w:w="457" w:type="dxa"/>
            <w:noWrap w:val="0"/>
            <w:vAlign w:val="center"/>
          </w:tcPr>
          <w:p w14:paraId="25D1933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50301AF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741B97E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c>
          <w:tcPr>
            <w:tcW w:w="972" w:type="dxa"/>
            <w:noWrap w:val="0"/>
            <w:vAlign w:val="center"/>
          </w:tcPr>
          <w:p w14:paraId="34C192E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r>
      <w:tr w14:paraId="5CEA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58DF2AEB">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817" w:type="dxa"/>
            <w:noWrap w:val="0"/>
            <w:vAlign w:val="center"/>
          </w:tcPr>
          <w:p w14:paraId="3B72AA1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综合布线与教室改造</w:t>
            </w:r>
          </w:p>
        </w:tc>
        <w:tc>
          <w:tcPr>
            <w:tcW w:w="5435" w:type="dxa"/>
            <w:noWrap w:val="0"/>
            <w:vAlign w:val="center"/>
          </w:tcPr>
          <w:p w14:paraId="11553A7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1.系统集成所需材料要求符合国标标准</w:t>
            </w:r>
          </w:p>
          <w:p w14:paraId="4AB24F2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2.包含项目组织专业技术场地勘察、专业技术测量及计算，方案设计的整体配合、修改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3.根据甲方要求提供专业的技术方案、专业的技术支持及各版块专业技术服务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4.项目所有货物的仓储、装卸、运输、搬运、上楼、安装、组装以及实施过程中的各项成品、半成品保护</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5.项目实施过程当中开孔、开槽、恢复以及所需要的五金、配件、工具、测试仪器、测量器械以及大小型机器机械等</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6.含网络跳线、音视频线、线盒、线槽、钉子、胶布等满足本项目弱电需求的线材及辅材</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7.实施安装过程要求所有布线均入线盒，大方、美观、整洁，不能裸露在外</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8.布线符合国家规范要求，横平竖直</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9.货物到达项目的二次运输、二次搬运、安装、调试。</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10.拆除原有空调</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11.电线、线管材料≥140米</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室外排烟管路系统：本通风系统为生产线实训室通风工程，主要经排风主管道走房间吊顶接超静音送风机，主风管采用φ200mmPVC风管，每条生产线装1个静音送风机，配控制器，教学管理方便；每条线12个工位，12个排烟口，每工位上有吸风装置，设置1个吸风罩，自由升降，口径150mm，尾部外口径70mm，配有风量开关，可独立控制；静音送风机：流量1500m³/h，转速1300r/min，全压：570Pa，噪音：≤60dB，有多档的风量控制，风机风量可独立控制、调试</w:t>
            </w:r>
          </w:p>
        </w:tc>
        <w:tc>
          <w:tcPr>
            <w:tcW w:w="457" w:type="dxa"/>
            <w:noWrap w:val="0"/>
            <w:vAlign w:val="center"/>
          </w:tcPr>
          <w:p w14:paraId="706BF4E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1B4336F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项</w:t>
            </w:r>
          </w:p>
        </w:tc>
        <w:tc>
          <w:tcPr>
            <w:tcW w:w="828" w:type="dxa"/>
            <w:noWrap w:val="0"/>
            <w:vAlign w:val="center"/>
          </w:tcPr>
          <w:p w14:paraId="5B24E0E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39000.00 </w:t>
            </w:r>
          </w:p>
        </w:tc>
        <w:tc>
          <w:tcPr>
            <w:tcW w:w="972" w:type="dxa"/>
            <w:noWrap w:val="0"/>
            <w:vAlign w:val="center"/>
          </w:tcPr>
          <w:p w14:paraId="0966AF4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39000.00 </w:t>
            </w:r>
          </w:p>
        </w:tc>
      </w:tr>
      <w:tr w14:paraId="56FF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53F1081E">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817" w:type="dxa"/>
            <w:noWrap w:val="0"/>
            <w:vAlign w:val="center"/>
          </w:tcPr>
          <w:p w14:paraId="02DA554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机柜</w:t>
            </w:r>
          </w:p>
        </w:tc>
        <w:tc>
          <w:tcPr>
            <w:tcW w:w="5435" w:type="dxa"/>
            <w:noWrap w:val="0"/>
            <w:vAlign w:val="center"/>
          </w:tcPr>
          <w:p w14:paraId="6BCDFC3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1.产品尺寸：约1000*600*600mm </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2.产品容量：不小于18U</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3.产品材质：SPCC优质冷轧钢板</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4.产品厚度：立柱钢板厚度≥1.5mm，框架钢板厚度≥1.2mm，其他侧板/门板材厚度≥0.8mm</w:t>
            </w:r>
          </w:p>
          <w:p w14:paraId="069D8B9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5.产品标准：遵循 19 英寸标准机架安装规范</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6.产品承重：静载≥300KG</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7.防护等级：达到IP20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8.表面处理：脱脂、磷化、酸洗、静电喷塑处理</w:t>
            </w:r>
          </w:p>
        </w:tc>
        <w:tc>
          <w:tcPr>
            <w:tcW w:w="457" w:type="dxa"/>
            <w:noWrap w:val="0"/>
            <w:vAlign w:val="center"/>
          </w:tcPr>
          <w:p w14:paraId="1B17C52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429" w:type="dxa"/>
            <w:noWrap w:val="0"/>
            <w:vAlign w:val="center"/>
          </w:tcPr>
          <w:p w14:paraId="6B12CA2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个</w:t>
            </w:r>
          </w:p>
        </w:tc>
        <w:tc>
          <w:tcPr>
            <w:tcW w:w="828" w:type="dxa"/>
            <w:noWrap w:val="0"/>
            <w:vAlign w:val="center"/>
          </w:tcPr>
          <w:p w14:paraId="6DBE69D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900.00 </w:t>
            </w:r>
          </w:p>
        </w:tc>
        <w:tc>
          <w:tcPr>
            <w:tcW w:w="972" w:type="dxa"/>
            <w:noWrap w:val="0"/>
            <w:vAlign w:val="center"/>
          </w:tcPr>
          <w:p w14:paraId="4532627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1800.00 </w:t>
            </w:r>
          </w:p>
        </w:tc>
      </w:tr>
      <w:tr w14:paraId="0927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354366E4">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817" w:type="dxa"/>
            <w:noWrap w:val="0"/>
            <w:vAlign w:val="center"/>
          </w:tcPr>
          <w:p w14:paraId="6FC7EBB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电子电路仿真设计开发实验平台</w:t>
            </w:r>
          </w:p>
        </w:tc>
        <w:tc>
          <w:tcPr>
            <w:tcW w:w="5435" w:type="dxa"/>
            <w:noWrap w:val="0"/>
            <w:vAlign w:val="center"/>
          </w:tcPr>
          <w:p w14:paraId="490432C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整体要求：</w:t>
            </w:r>
          </w:p>
          <w:p w14:paraId="02890C2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1. 支持自定义仿真精度，可获得不同精度的仿真结果；（提供在线软件功能截图）</w:t>
            </w:r>
          </w:p>
          <w:p w14:paraId="59EA6D5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 支持设置不同的刷新频率，可适应不同的电脑和网络配置；</w:t>
            </w:r>
          </w:p>
          <w:p w14:paraId="75D87EB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3. 支持以动画的形式实时展示仿真电流的大小和方向；（提供在线软件功能截图）</w:t>
            </w:r>
          </w:p>
          <w:p w14:paraId="7A898ED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4. 支持元件库拖拉拽搭建电路、运行仿真并查看实验现象；（提供在线软件功能截图）</w:t>
            </w:r>
          </w:p>
          <w:p w14:paraId="046188A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5. 搭建电路时可直接查看元件手册资料，无需额外打开其他页面，方便学习和使用；支持通过鼠标左键或者右键拖动画布，方便学生和老师进行电路搭建；（提供在线软件功能截图）</w:t>
            </w:r>
          </w:p>
          <w:p w14:paraId="1D8D80D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一、教师端</w:t>
            </w:r>
          </w:p>
          <w:p w14:paraId="4C751DE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 教学资源管理</w:t>
            </w:r>
          </w:p>
          <w:p w14:paraId="261D036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1.1教学资源管理支持公共课程库，支持教师浏览公共课程库的各类课程资源，包括基础课程、项目课程、场景实验课程等；</w:t>
            </w:r>
          </w:p>
          <w:p w14:paraId="74AD5AE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1.2支持引用平台公共课程到个人课程库；支持引用定制课程包，教师可浏览平台提供的定制课程包列表，进入课程包内部后点击添加、确认，即可将整个课程包添加到个人资源，便于批量教学；</w:t>
            </w:r>
          </w:p>
          <w:p w14:paraId="3B9C167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1.3支持从零开始创建自定义的课程资源，创建课程时，可以设定课程名称、课程难度、课程课时，并可以更换课程的封面；（提供在线软件功能截图）</w:t>
            </w:r>
          </w:p>
          <w:p w14:paraId="4A2D78B0">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1.4支持创建课程时上传PPT课件或者视频课件，学生在预习课程时可以在线查看课件和视频，提供多元化的学习资源；</w:t>
            </w:r>
          </w:p>
          <w:p w14:paraId="4EAAAA2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1.5支持创建课程时提供多功能文本编辑框，支持富文本格式编辑实验内容，也可以直接上传文件（如Word、PDF）作为实验内容；</w:t>
            </w:r>
          </w:p>
          <w:p w14:paraId="0DCF1D5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1.6支持创建课程时编辑实验电路，教师可以在画布上搭建电路图并编写对应的代码，学生在预习时可以直接查看并跟随练习；（提供在线软件功能截图）</w:t>
            </w:r>
          </w:p>
          <w:p w14:paraId="4B66B87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1.7支持在课程详情页关联已创建的作业，学生在学习完课程后可以直接进入关联作业进行练习，实现课程学习与作业练习的联动教学；</w:t>
            </w:r>
          </w:p>
          <w:p w14:paraId="22886E7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1.8支持复制教学资源中心已有的实验课程，在原有课程基础上进行二次编辑和修改，快速创建符合自己教学需求的实验课；</w:t>
            </w:r>
          </w:p>
          <w:p w14:paraId="0190ED3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 班级与账号管理</w:t>
            </w:r>
          </w:p>
          <w:p w14:paraId="0F9E92D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2.1支持创建班级，教师可按照年级、专业名称、班号进行设置，系统自动生成规范化的班级名称；</w:t>
            </w:r>
          </w:p>
          <w:p w14:paraId="3202BEF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2.2支持创建班级后自动生成班级列表，教师可在班级管理页面查看所有创建的班级、各班级的学生人数、班级成员列表等信息；</w:t>
            </w:r>
          </w:p>
          <w:p w14:paraId="6160F7D0">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2.3支持为每个班级生成专属的邀请码，支持分别生成教师邀请码和学生邀请码，教师邀请码用于邀请其他教师注册并加入班级协助管理，学生邀请码用于邀请学生注册加入班级学习；（提供在线软件功能截图）</w:t>
            </w:r>
          </w:p>
          <w:p w14:paraId="7F4CEFF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2.4支持在班级详情页通过输入学生姓名查询并添加已注册的学生到班级，系统会自动匹配学生账号，点击添加即可将学生加入班级；</w:t>
            </w:r>
          </w:p>
          <w:p w14:paraId="193B152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2.5支持将已有班级的学生移出班级，移出后该学生方可被其他班级添加，便于班级人员调整和转班管理；</w:t>
            </w:r>
          </w:p>
          <w:p w14:paraId="71E34C6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2.6支持在班级详情页添加其他教师到班级，便于多位教师共同管理同一班级的教学工作，分担教学任务；</w:t>
            </w:r>
          </w:p>
          <w:p w14:paraId="174DE91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3.作业管理</w:t>
            </w:r>
          </w:p>
          <w:p w14:paraId="74F1172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3.1支持复制已有课程为作业，复制后作业自动关联被复制的课程，无需手动设置关联关系，简化作业创建流程；</w:t>
            </w:r>
          </w:p>
          <w:p w14:paraId="1511C58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3.2支持从零开始创建新作业，教师输入作业名称和作业内容后，自行在画布上搭建电路，自定义作业内容；</w:t>
            </w:r>
          </w:p>
          <w:p w14:paraId="5BBB876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3.3支持将我的课程库中的课程或课程包发布至指定班级，发布后班级中的学生即可在课程列表中看到并学习该课程；</w:t>
            </w:r>
          </w:p>
          <w:p w14:paraId="7E3A093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3.4支持将作业库中的作业布置至指定班级，布置时可设置作业的截止日期和截止时间，学生需在截止时间前完成并提交；</w:t>
            </w:r>
          </w:p>
          <w:p w14:paraId="757FFF9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3.5支持选择性发布作业，教师在布置作业时可选择添加或去除班级中的部分学生，实现分组教学和差异化作业布置；</w:t>
            </w:r>
          </w:p>
          <w:p w14:paraId="47B6EE4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 作业批改与成绩管理</w:t>
            </w:r>
          </w:p>
          <w:p w14:paraId="65DCAC8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4.1支持教师查看已提交作业学生的基础信息、实验电路图以及学生上传的实验报告；</w:t>
            </w:r>
          </w:p>
          <w:p w14:paraId="1D54634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4.2支持教师可每个学生评定平时分，学生最终得分为作业分数与平时分之和，教师可自行调整分数；</w:t>
            </w:r>
          </w:p>
          <w:p w14:paraId="0842834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4.3支持查看全班学生的成绩排名，排名页面展示每个学生的学号、姓名、各作业得分、总分以及排名，支持按分数高低排序；</w:t>
            </w:r>
          </w:p>
          <w:p w14:paraId="587CFAA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4.4支持按作业维度查看单个作业的学生成绩排名，了解该作业的整体完成情况、学生的得分分布以及未提交学生名单；</w:t>
            </w:r>
          </w:p>
          <w:p w14:paraId="4057BF9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4.5支持点击学生姓名查看单个学生所有作业的成绩排名，包括每个作业的得分、提交状态、耗时等详细信息，掌握学生个体学习进展；</w:t>
            </w:r>
          </w:p>
          <w:p w14:paraId="1010349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5.教学分析</w:t>
            </w:r>
          </w:p>
          <w:p w14:paraId="7BA2E08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5.1支持热门课程统计分析，可展示课程浏览、学习或引用热度，便于学校掌握课程资源使用情况和教学资源建设成效；</w:t>
            </w:r>
          </w:p>
          <w:p w14:paraId="786A092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5.2支持分析班级整体学习情况，包括班级课程的学习情况，班级作业的得分耗时情况；</w:t>
            </w:r>
          </w:p>
          <w:p w14:paraId="47D1424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5.3支持作业的深度分析，分析作业耗费时间情况，作业提交时间情况；</w:t>
            </w:r>
          </w:p>
          <w:p w14:paraId="0A7C5C3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5.4支持通过班级维度进行学情分析，可以通过切换班级，查看不同的班级的教学情况；</w:t>
            </w:r>
          </w:p>
          <w:p w14:paraId="74F03F2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二、学生端</w:t>
            </w:r>
          </w:p>
          <w:p w14:paraId="3617539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 课程资源</w:t>
            </w:r>
          </w:p>
          <w:p w14:paraId="2913784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 支持在课程列表中选择课程进行预习或复习，查看课程视频、课件、实验电路与代码以及关联作业；</w:t>
            </w:r>
          </w:p>
          <w:p w14:paraId="579B802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 支持进入实验课的仿真环境，直接运行实验，调整参数，查看实验现象；</w:t>
            </w:r>
          </w:p>
          <w:p w14:paraId="4A1E240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 电路搭建与仿真调试</w:t>
            </w:r>
          </w:p>
          <w:p w14:paraId="21BD709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2.1. 支持从元器件列表选择并添加或删除元器件；</w:t>
            </w:r>
          </w:p>
          <w:p w14:paraId="2C52D86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2.2. 支持点击元件引脚拉出连接线并完成连接；</w:t>
            </w:r>
          </w:p>
          <w:p w14:paraId="0249E1E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2.3. 支持运行电路，调整电路中任意元件的参数，通过示波器或者其他仪器仪表查看电路中各部分的波形情况；</w:t>
            </w:r>
          </w:p>
          <w:p w14:paraId="4CD6073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 作业完成与提交</w:t>
            </w:r>
          </w:p>
          <w:p w14:paraId="48704EB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3.1在电路页面点击运行按钮，学生可按照实验步骤观察实验效果；</w:t>
            </w:r>
          </w:p>
          <w:p w14:paraId="372DD41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3.2支持在作业中上传和删除实验报告；</w:t>
            </w:r>
          </w:p>
          <w:p w14:paraId="19B4305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3.3学生在完成作业内容并提交后，教师即在作业批改页面看到该学生的作业；</w:t>
            </w:r>
          </w:p>
          <w:p w14:paraId="39ECA81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3.4已提交的作业支持重新修改并再次提交；</w:t>
            </w:r>
          </w:p>
          <w:p w14:paraId="7916AD1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3.5已批改的作业或已过截止时间的作业不再支持提交和修改，确保教学流程规范，保证成绩评定的公平性；</w:t>
            </w:r>
          </w:p>
          <w:p w14:paraId="6DB0C57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 我的项目</w:t>
            </w:r>
          </w:p>
          <w:p w14:paraId="49D2AE9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4.1支持将已学的课程加入自研项目，进行二次开发和自主学习，学生可以在原有课程基础上进行改进和创新；</w:t>
            </w:r>
          </w:p>
          <w:p w14:paraId="5CFC14E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4.2支持将课程包内的课程和已完成的作业添加到个人项目中，作为练习素材和参考，便于自主学习和巩固知识；</w:t>
            </w:r>
          </w:p>
          <w:p w14:paraId="3E078F2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4.3支持从零开始创建个人项目，创建方式及流程与教师端创建课程类似，包括设置项目名称、编辑电路图等，学生可自行探索和实践。</w:t>
            </w:r>
          </w:p>
          <w:p w14:paraId="42D3ACC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三、机构管理员端</w:t>
            </w:r>
          </w:p>
          <w:p w14:paraId="26FA98E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1.教学资源管理</w:t>
            </w:r>
          </w:p>
          <w:p w14:paraId="4439CD3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1.1支持创建平台课程，机构管理员可通过引用平台公共课程进行二次编辑，也可从零开始创建自定义课程，创建的课程会展示在教师端教学资源中心的课程库中，供全机构的教师引用和教学；</w:t>
            </w:r>
          </w:p>
          <w:p w14:paraId="48CFB0C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1.2仅可删除自己创建的课程，无法删除平台提供的公共课程，确保平台基础资源的完整性和稳定性；</w:t>
            </w:r>
          </w:p>
          <w:p w14:paraId="70DE660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1.3支持创建课程包，机构管理员可通过引用平台课程包或自定义方式创建课程包，便于将多门相关课程打包组织，创建的课程包会展示在教师端教学资源中心的课程包中；</w:t>
            </w:r>
          </w:p>
          <w:p w14:paraId="2F0FEBB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1.4支持对自己创建的课程包内的课程进行删除和增加操作，可灵活组织课程包内的课程结构，添加新课程或移除不需要的课程；</w:t>
            </w:r>
          </w:p>
          <w:p w14:paraId="50E8273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1.5仅可修改课程包内自己创建的课程内容，无法修改平台提供的或其他教师创建的课程内容，实现精细化的权限控制，避免误操作影响他人资源；</w:t>
            </w:r>
          </w:p>
          <w:p w14:paraId="6BE73EE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 机构信息维护</w:t>
            </w:r>
          </w:p>
          <w:p w14:paraId="313AFC5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2.1支持更换产品的logo图片，管理员可上传机构自己的logo图片，修改后同步到教师端和学生端的登录页面及平台界面，展现机构品牌形象；</w:t>
            </w:r>
          </w:p>
          <w:p w14:paraId="2CA1681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2.2支持修改产品名称，修改后同步更新教师端和学生端显示的平台名称；</w:t>
            </w:r>
          </w:p>
          <w:p w14:paraId="4B0CAA8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2.3支持同步更新浏览器标签页的logo图标，确保机构品牌形象在浏览器标签栏中能一致展示；</w:t>
            </w:r>
          </w:p>
          <w:p w14:paraId="33167A6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2.4支持查看平台授权元件个数，包括当前已使用的元件数量和总授权数量，管理员可掌握机构当前的服务授权情况和剩余使用配额；</w:t>
            </w:r>
          </w:p>
          <w:p w14:paraId="3A5F5D80">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 班级账号管理</w:t>
            </w:r>
          </w:p>
          <w:p w14:paraId="1131D3C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3.1支持管理机构下的所有班级账号，管理员可查看机构内所有班级的列表、班级成员、班级教师等信息，权限覆盖机构内全部班级，不受单个教师管理范围的限制；</w:t>
            </w:r>
          </w:p>
          <w:p w14:paraId="219E45F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3.2支持删除机构下的任意教师账号，管理员可在账号管理页面查看所有教师账号，对离职或不再使用平台的教师账号进行删除，拥有比教师端更高层级的账号管理权限；</w:t>
            </w:r>
          </w:p>
          <w:p w14:paraId="47DD87B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3.3支持删除机构下的任意学生账号，管理员可在账号管理页面查看所有学生账号，对离校、转班或不再使用平台的学生账号进行删除，便于管理学生人员流动。</w:t>
            </w:r>
          </w:p>
        </w:tc>
        <w:tc>
          <w:tcPr>
            <w:tcW w:w="457" w:type="dxa"/>
            <w:noWrap w:val="0"/>
            <w:vAlign w:val="center"/>
          </w:tcPr>
          <w:p w14:paraId="3BF08C9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54409D7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3B48F2D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285000.00</w:t>
            </w:r>
          </w:p>
        </w:tc>
        <w:tc>
          <w:tcPr>
            <w:tcW w:w="972" w:type="dxa"/>
            <w:noWrap w:val="0"/>
            <w:vAlign w:val="center"/>
          </w:tcPr>
          <w:p w14:paraId="3DFDE73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285000.00</w:t>
            </w:r>
          </w:p>
        </w:tc>
      </w:tr>
      <w:tr w14:paraId="4E6E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10910E3D">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817" w:type="dxa"/>
            <w:noWrap w:val="0"/>
            <w:vAlign w:val="center"/>
          </w:tcPr>
          <w:p w14:paraId="4EA7379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电子电路仿真设计开发实验平台仿真资源库</w:t>
            </w:r>
          </w:p>
        </w:tc>
        <w:tc>
          <w:tcPr>
            <w:tcW w:w="5435" w:type="dxa"/>
            <w:noWrap w:val="0"/>
            <w:vAlign w:val="center"/>
          </w:tcPr>
          <w:p w14:paraId="59D97A0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w:t>
            </w:r>
            <w:r>
              <w:rPr>
                <w:rFonts w:hint="eastAsia" w:ascii="宋体" w:hAnsi="宋体" w:eastAsia="宋体" w:cs="宋体"/>
                <w:color w:val="auto"/>
                <w:kern w:val="0"/>
                <w:sz w:val="20"/>
                <w:szCs w:val="20"/>
                <w:highlight w:val="none"/>
              </w:rPr>
              <w:t>1. 支持仿真元件数量≧100个，至少包含以下内容：（提供在线软件功能截图）</w:t>
            </w:r>
          </w:p>
          <w:p w14:paraId="2A176C7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（1）电源类元件≧20个，至少包括：符号端子、直流电压电源、直流电流电源、电池、交流电压源、交流电流源、可调电压源、可调电流源、压控电压源、压控电流源、流控电压源、流控电流源等；</w:t>
            </w:r>
          </w:p>
          <w:p w14:paraId="6D51860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（2）被动元件≧10个，至少包括：电阻器、滑动变阻器、热敏电阻器、光敏电阻器、集成式热敏电阻器、熔断器、热敏电阻器、电容器、</w:t>
            </w:r>
            <w:r>
              <w:rPr>
                <w:rFonts w:hint="eastAsia" w:ascii="宋体" w:hAnsi="宋体" w:cs="宋体"/>
                <w:color w:val="auto"/>
                <w:kern w:val="0"/>
                <w:sz w:val="20"/>
                <w:szCs w:val="20"/>
                <w:highlight w:val="none"/>
                <w:lang w:val="en-US" w:eastAsia="zh-CN"/>
              </w:rPr>
              <w:t>电</w:t>
            </w:r>
            <w:r>
              <w:rPr>
                <w:rFonts w:hint="eastAsia" w:ascii="宋体" w:hAnsi="宋体" w:eastAsia="宋体" w:cs="宋体"/>
                <w:color w:val="auto"/>
                <w:kern w:val="0"/>
                <w:sz w:val="20"/>
                <w:szCs w:val="20"/>
                <w:highlight w:val="none"/>
              </w:rPr>
              <w:t>解电容器、可变电容器、电感器、变压器、可变电感器等；</w:t>
            </w:r>
          </w:p>
          <w:p w14:paraId="14D0BE6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半导体元件≧15个，至少包括：二极管、稳压二极管、光电二极管、三极管（NPN型、PNP型）、MOSFET（N沟道增强型、P沟道增强型、N沟道耗尽型、P沟道耗尽型）、运算放大器、三端稳压器、可控硅、双向可控硅、双向可控硅、双向触发二极管等；</w:t>
            </w:r>
          </w:p>
          <w:p w14:paraId="5BA3D98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（4）显示输出类元件≧10个，至少包括：灯、LED（共阳、共阴）、RGB LED、蜂鸣器、一位数码管、两位数码管、四位数码管、时钟数码管等；</w:t>
            </w:r>
          </w:p>
          <w:p w14:paraId="58EBFF40">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数字逻辑类元件≧15个，至少包括：与门、或门、非门、异或门、与非门、或非门、同或门、三态输出门、三态输出非门、漏极开路与非门、与门（三输入）、与非门（三输入）、或门（三输入）、或非门（三输入）、D触发器、T触发器、SR触发器、JK触发器等；</w:t>
            </w:r>
          </w:p>
          <w:p w14:paraId="358B144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芯片类≧25个，包括但不限于：NE555、LM331、LM324、LM358、LM317、LM7805、LM7809、LM7812、LM7815、LM4889、74HC00、74HC02、74HC04、74HC08、74HC10、74HC10、74HC11、74HC32、74HC47、74HC85、74HC86、74HC138、74HC148、74HC153、74HC175、74HC194、74HC283、CD4001、CD4013、CD4017、CD4060、CD4077、CD4511等；</w:t>
            </w:r>
          </w:p>
          <w:p w14:paraId="44BF9EC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（7）仪器仪表类至少包括：电压表、电压探针、电流表、频率表、示波器、交流电压表、交流电流表、欧姆表、频率表、频率探针、示波器等；</w:t>
            </w:r>
          </w:p>
          <w:p w14:paraId="5BC0333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（8）传感器类至少包括：热电偶、光电池、霍尔元件、力应变片、气敏电阻器、湿敏电阻器、磁敏电阻器、干簧管等；</w:t>
            </w:r>
          </w:p>
          <w:p w14:paraId="6BAFD0B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 示波器功能需支持实时测量电压波形，仿真波形支持以图片格式下载和保存，支持实时展示对应波形的频率、电压峰峰值（Vp-p）、电压最大值（Vmax）、电压最小值（Vmin）；</w:t>
            </w:r>
          </w:p>
          <w:p w14:paraId="32767D20">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 仿真资源库的元件需要支持自定义参数，如发光二极管的导通电压、导通电阻、最大电流，当仿真电流超过最大电流时系统应能正确展示对应的过流报警动画；</w:t>
            </w:r>
          </w:p>
          <w:p w14:paraId="4CC33A8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 支持元件库搜索功能，可以进行整个元件库的模糊搜索，查询到相关元件。</w:t>
            </w:r>
          </w:p>
        </w:tc>
        <w:tc>
          <w:tcPr>
            <w:tcW w:w="457" w:type="dxa"/>
            <w:noWrap w:val="0"/>
            <w:vAlign w:val="center"/>
          </w:tcPr>
          <w:p w14:paraId="69B7420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13D8C98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FBD4B3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r>
              <w:rPr>
                <w:rFonts w:hint="eastAsia" w:ascii="宋体" w:hAnsi="宋体" w:cs="宋体"/>
                <w:color w:val="auto"/>
                <w:kern w:val="0"/>
                <w:sz w:val="20"/>
                <w:szCs w:val="20"/>
                <w:highlight w:val="none"/>
                <w:lang w:val="en-US" w:eastAsia="zh-CN"/>
              </w:rPr>
              <w:t>25</w:t>
            </w:r>
            <w:r>
              <w:rPr>
                <w:rFonts w:hint="eastAsia" w:ascii="宋体" w:hAnsi="宋体" w:eastAsia="宋体" w:cs="宋体"/>
                <w:color w:val="auto"/>
                <w:kern w:val="0"/>
                <w:sz w:val="20"/>
                <w:szCs w:val="20"/>
                <w:highlight w:val="none"/>
              </w:rPr>
              <w:t>00.00</w:t>
            </w:r>
          </w:p>
        </w:tc>
        <w:tc>
          <w:tcPr>
            <w:tcW w:w="972" w:type="dxa"/>
            <w:noWrap w:val="0"/>
            <w:vAlign w:val="center"/>
          </w:tcPr>
          <w:p w14:paraId="28942F1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r>
              <w:rPr>
                <w:rFonts w:hint="eastAsia" w:ascii="宋体" w:hAnsi="宋体" w:cs="宋体"/>
                <w:color w:val="auto"/>
                <w:kern w:val="0"/>
                <w:sz w:val="20"/>
                <w:szCs w:val="20"/>
                <w:highlight w:val="none"/>
                <w:lang w:val="en-US" w:eastAsia="zh-CN"/>
              </w:rPr>
              <w:t>25</w:t>
            </w:r>
            <w:r>
              <w:rPr>
                <w:rFonts w:hint="eastAsia" w:ascii="宋体" w:hAnsi="宋体" w:eastAsia="宋体" w:cs="宋体"/>
                <w:color w:val="auto"/>
                <w:kern w:val="0"/>
                <w:sz w:val="20"/>
                <w:szCs w:val="20"/>
                <w:highlight w:val="none"/>
              </w:rPr>
              <w:t>00.00</w:t>
            </w:r>
          </w:p>
        </w:tc>
      </w:tr>
      <w:tr w14:paraId="3109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1532B056">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817" w:type="dxa"/>
            <w:noWrap w:val="0"/>
            <w:vAlign w:val="center"/>
          </w:tcPr>
          <w:p w14:paraId="58BE54E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电子电路仿真设计开发实验平台-实训案例资源</w:t>
            </w:r>
          </w:p>
        </w:tc>
        <w:tc>
          <w:tcPr>
            <w:tcW w:w="5435" w:type="dxa"/>
            <w:noWrap w:val="0"/>
            <w:vAlign w:val="center"/>
          </w:tcPr>
          <w:p w14:paraId="195DE63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 实训案例资源支持部署到云端服务器，通过主流浏览器访问即可使用；</w:t>
            </w:r>
          </w:p>
          <w:p w14:paraId="1DCDE40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 仿真过程中可实时显示仿真时间、理论仿真速度、实际仿真速度和画布刷新率，实际仿真速度可达到真实物理硬件的速度；</w:t>
            </w:r>
          </w:p>
          <w:p w14:paraId="6367302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bidi="ar"/>
              </w:rPr>
              <w:t>▲3</w:t>
            </w:r>
            <w:r>
              <w:rPr>
                <w:rFonts w:hint="eastAsia" w:ascii="宋体" w:hAnsi="宋体" w:eastAsia="宋体" w:cs="宋体"/>
                <w:color w:val="auto"/>
                <w:kern w:val="0"/>
                <w:sz w:val="20"/>
                <w:szCs w:val="20"/>
                <w:highlight w:val="none"/>
              </w:rPr>
              <w:t>. 支持仿真实验课程资源数量≧80节，至少包含以下内容：（提供在线软件功能截图）</w:t>
            </w:r>
          </w:p>
          <w:p w14:paraId="6CB148B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电子电路经典基础实验≧10节，至少包括：呼吸灯实验、多谐振荡电路、同相比例运算放大电路、反相比例运算放大电路、基本门电路实验、三人表决器实验、三循环流水灯、文氏电桥震荡电路、NE555方波电路、数码管计数器实验；</w:t>
            </w:r>
          </w:p>
          <w:p w14:paraId="535D6A7F">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基本电路原理实验课程包≧10节，至少包括：基尔霍夫电流定律验证实验、基尔霍夫电压定律验证实验、电阻电路等效变换验证实验、Y型Δ型等效变换电路实验、电压源等效变换实验、电流源等效变换实验、一端口输入电阻验证实验、支路电流法应用实验、网孔电流法应用实验、叠加定理验证实验；</w:t>
            </w:r>
          </w:p>
          <w:p w14:paraId="33A33DA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一阶电路和二阶电路的时域分析课程包≧10节，至少包括：RC电路的零输入响应实验、RL电路的零输入响应实验、RC电路的零状态响应实验、RL电路的零状态响应实验、一阶电路的全响应实验、二阶电路的零输入响应实验、二阶电路的零状态响应实验、二阶电路的全响应实验、一阶电路的阶跃响应实验、一阶电路的冲激响应实验；</w:t>
            </w:r>
          </w:p>
          <w:p w14:paraId="075F6D1C">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模拟电路基础实验课程包≧30节，至少包括：二极管的正向伏安特性测量实验、二极管的反向伏安特性测量实验、三极管输入伏安特性测量实验、三极管输出伏安特性测量实验、单管交流放大电路实验、场效应管共源放大电路实验、射级跟随电路实验、两级交流放大电路实验、负反馈放大电路实验、负反馈多级放大器研究实验、直流差动放大电路、同相比例运算放大电路实验、反相比例运算放大电路实验、加法运算电路实验、减法运算电路实验、积分运算电路实验、微分运算电路实验、低通滤波电路实验、二阶低通滤波电路实验、高通滤波电路实验、带通滤波电路实验、矩形波发生电路实验、三角波发生电路实验、锯齿波发生电路实验、电压比较器实验、电压转电流电路实验、电流转电压电路实验、OTL功率放大电路实验、整流滤波与并联稳压电路实验；</w:t>
            </w:r>
          </w:p>
          <w:p w14:paraId="45D07486">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数字电路基础实验课程包≧20节，至少包括：二极管开关特性实验、三极管开关特性实验、与门实验、或门实验、非门实验、与非门实验、异或门实验、或非门实验、同或门实验、16-4线编码器实验、138译码器实验、半加器实验、全加器实验、加法器设计与应用实验、数值选择器实验、数值比较器实验、数值比较器应用实验、同步RS触发器验证实验、D触发器验证实验、D触发器应用实验。</w:t>
            </w:r>
          </w:p>
        </w:tc>
        <w:tc>
          <w:tcPr>
            <w:tcW w:w="457" w:type="dxa"/>
            <w:noWrap w:val="0"/>
            <w:vAlign w:val="center"/>
          </w:tcPr>
          <w:p w14:paraId="51B84B6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0C269C4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78A98B7E">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95</w:t>
            </w:r>
            <w:r>
              <w:rPr>
                <w:rFonts w:hint="eastAsia" w:ascii="宋体" w:hAnsi="宋体" w:eastAsia="宋体" w:cs="宋体"/>
                <w:color w:val="auto"/>
                <w:kern w:val="0"/>
                <w:sz w:val="20"/>
                <w:szCs w:val="20"/>
                <w:highlight w:val="none"/>
              </w:rPr>
              <w:t>0000.00</w:t>
            </w:r>
          </w:p>
        </w:tc>
        <w:tc>
          <w:tcPr>
            <w:tcW w:w="972" w:type="dxa"/>
            <w:noWrap w:val="0"/>
            <w:vAlign w:val="center"/>
          </w:tcPr>
          <w:p w14:paraId="6367223E">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95</w:t>
            </w:r>
            <w:r>
              <w:rPr>
                <w:rFonts w:hint="eastAsia" w:ascii="宋体" w:hAnsi="宋体" w:eastAsia="宋体" w:cs="宋体"/>
                <w:color w:val="auto"/>
                <w:kern w:val="0"/>
                <w:sz w:val="20"/>
                <w:szCs w:val="20"/>
                <w:highlight w:val="none"/>
              </w:rPr>
              <w:t>000.00</w:t>
            </w:r>
          </w:p>
        </w:tc>
      </w:tr>
      <w:tr w14:paraId="6D16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8F6405D">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817" w:type="dxa"/>
            <w:noWrap w:val="0"/>
            <w:vAlign w:val="center"/>
          </w:tcPr>
          <w:p w14:paraId="17E9925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BGA返修台</w:t>
            </w:r>
          </w:p>
        </w:tc>
        <w:tc>
          <w:tcPr>
            <w:tcW w:w="5435" w:type="dxa"/>
            <w:noWrap w:val="0"/>
            <w:vAlign w:val="center"/>
          </w:tcPr>
          <w:p w14:paraId="062E6C24">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1.设备需支持AC220V±10%、50/60Hz供电，整机最大功率为4.5KW，采用三温区分区加热设计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2.可搭载上下热风温区+350×220mm IR红外预热区，采用K型热电偶闭环控温技术，控温精度可达±3℃</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3.设备需适配PCB板尺寸范围为20×20mm～350×330mm，适配BGA芯片尺寸范围为10×10mm～40×40mm</w:t>
            </w:r>
          </w:p>
        </w:tc>
        <w:tc>
          <w:tcPr>
            <w:tcW w:w="457" w:type="dxa"/>
            <w:noWrap w:val="0"/>
            <w:vAlign w:val="center"/>
          </w:tcPr>
          <w:p w14:paraId="288F039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429" w:type="dxa"/>
            <w:noWrap/>
            <w:vAlign w:val="center"/>
          </w:tcPr>
          <w:p w14:paraId="7C64641F">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c>
          <w:tcPr>
            <w:tcW w:w="828" w:type="dxa"/>
            <w:noWrap w:val="0"/>
            <w:vAlign w:val="center"/>
          </w:tcPr>
          <w:p w14:paraId="2733152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8500.00 </w:t>
            </w:r>
          </w:p>
        </w:tc>
        <w:tc>
          <w:tcPr>
            <w:tcW w:w="972" w:type="dxa"/>
            <w:noWrap w:val="0"/>
            <w:vAlign w:val="center"/>
          </w:tcPr>
          <w:p w14:paraId="41CBD74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42500.00 </w:t>
            </w:r>
          </w:p>
        </w:tc>
      </w:tr>
      <w:tr w14:paraId="6CE7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46E3B05">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817" w:type="dxa"/>
            <w:noWrap w:val="0"/>
            <w:vAlign w:val="center"/>
          </w:tcPr>
          <w:p w14:paraId="299A561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BGA封装夹具</w:t>
            </w:r>
          </w:p>
        </w:tc>
        <w:tc>
          <w:tcPr>
            <w:tcW w:w="5435" w:type="dxa"/>
            <w:noWrap w:val="0"/>
            <w:vAlign w:val="center"/>
          </w:tcPr>
          <w:p w14:paraId="21F23A7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1.需适配FPGA 芯片 BGA 封装外形规格</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2.需配置弹性夹持锁紧组件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3.引脚间距：不小于0.8mm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4.主体尺寸：不小于45x35x15mm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5.植球台</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（1）适配芯片尺寸2*2mm-61*61mm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（2）芯片厚度0.2mm-6.5mm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（3）锡球直径0.3mm-1.2mm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（4）单颗 BGA 40~90s/片</w:t>
            </w:r>
          </w:p>
        </w:tc>
        <w:tc>
          <w:tcPr>
            <w:tcW w:w="457" w:type="dxa"/>
            <w:noWrap w:val="0"/>
            <w:vAlign w:val="center"/>
          </w:tcPr>
          <w:p w14:paraId="73FC405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429" w:type="dxa"/>
            <w:noWrap/>
            <w:vAlign w:val="center"/>
          </w:tcPr>
          <w:p w14:paraId="68058B5C">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套</w:t>
            </w:r>
          </w:p>
        </w:tc>
        <w:tc>
          <w:tcPr>
            <w:tcW w:w="828" w:type="dxa"/>
            <w:noWrap w:val="0"/>
            <w:vAlign w:val="center"/>
          </w:tcPr>
          <w:p w14:paraId="6C29C56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780.00 </w:t>
            </w:r>
          </w:p>
        </w:tc>
        <w:tc>
          <w:tcPr>
            <w:tcW w:w="972" w:type="dxa"/>
            <w:noWrap w:val="0"/>
            <w:vAlign w:val="center"/>
          </w:tcPr>
          <w:p w14:paraId="07DAAD3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3900.00 </w:t>
            </w:r>
          </w:p>
        </w:tc>
      </w:tr>
      <w:tr w14:paraId="4F4D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144F0477">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817" w:type="dxa"/>
            <w:noWrap w:val="0"/>
            <w:vAlign w:val="center"/>
          </w:tcPr>
          <w:p w14:paraId="78D0F6B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回流焊箱</w:t>
            </w:r>
          </w:p>
        </w:tc>
        <w:tc>
          <w:tcPr>
            <w:tcW w:w="5435" w:type="dxa"/>
            <w:noWrap w:val="0"/>
            <w:vAlign w:val="center"/>
          </w:tcPr>
          <w:p w14:paraId="6E7CF77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1.自定义温控范围：40℃～280℃，设定时长0～480s，升温速率≤3℃/s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2.恒温定时温度：30℃～260℃，恒温定时范围300～9999秒</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3.加热方式：红外辐射加热+内置风冷降温</w:t>
            </w:r>
          </w:p>
        </w:tc>
        <w:tc>
          <w:tcPr>
            <w:tcW w:w="457" w:type="dxa"/>
            <w:noWrap w:val="0"/>
            <w:vAlign w:val="center"/>
          </w:tcPr>
          <w:p w14:paraId="5C3D69C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429" w:type="dxa"/>
            <w:noWrap/>
            <w:vAlign w:val="center"/>
          </w:tcPr>
          <w:p w14:paraId="3A04076D">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c>
          <w:tcPr>
            <w:tcW w:w="828" w:type="dxa"/>
            <w:noWrap w:val="0"/>
            <w:vAlign w:val="center"/>
          </w:tcPr>
          <w:p w14:paraId="1A71CF9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3800.00 </w:t>
            </w:r>
          </w:p>
        </w:tc>
        <w:tc>
          <w:tcPr>
            <w:tcW w:w="972" w:type="dxa"/>
            <w:noWrap w:val="0"/>
            <w:vAlign w:val="center"/>
          </w:tcPr>
          <w:p w14:paraId="50AD3D9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19000.00 </w:t>
            </w:r>
          </w:p>
        </w:tc>
      </w:tr>
      <w:tr w14:paraId="5268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3FBE4262">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817" w:type="dxa"/>
            <w:noWrap w:val="0"/>
            <w:vAlign w:val="center"/>
          </w:tcPr>
          <w:p w14:paraId="1ABA56D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FPGA测试接口板</w:t>
            </w:r>
          </w:p>
        </w:tc>
        <w:tc>
          <w:tcPr>
            <w:tcW w:w="5435" w:type="dxa"/>
            <w:noWrap w:val="0"/>
            <w:vAlign w:val="center"/>
          </w:tcPr>
          <w:p w14:paraId="5C4C9E8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1.需支持的FPGA型号：国产主流芯片，包括但不限于EG4X20BGA256</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2.测试接口板需适配于数模混合测试</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3.适用于FT测试，适配标准封装类型芯片的数字测试板</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4.板子最多可配置384路数字通道和64路电源通道</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5.单端通道为50Ω阻抗</w:t>
            </w:r>
          </w:p>
        </w:tc>
        <w:tc>
          <w:tcPr>
            <w:tcW w:w="457" w:type="dxa"/>
            <w:noWrap w:val="0"/>
            <w:vAlign w:val="center"/>
          </w:tcPr>
          <w:p w14:paraId="4F3DC032">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ign w:val="center"/>
          </w:tcPr>
          <w:p w14:paraId="4BD156FC">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c>
          <w:tcPr>
            <w:tcW w:w="828" w:type="dxa"/>
            <w:noWrap w:val="0"/>
            <w:vAlign w:val="center"/>
          </w:tcPr>
          <w:p w14:paraId="7254C0B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5360.00 </w:t>
            </w:r>
          </w:p>
        </w:tc>
        <w:tc>
          <w:tcPr>
            <w:tcW w:w="972" w:type="dxa"/>
            <w:noWrap w:val="0"/>
            <w:vAlign w:val="center"/>
          </w:tcPr>
          <w:p w14:paraId="1E7335C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5360.00 </w:t>
            </w:r>
          </w:p>
        </w:tc>
      </w:tr>
      <w:tr w14:paraId="74F3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3B1F8191">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817" w:type="dxa"/>
            <w:noWrap w:val="0"/>
            <w:vAlign w:val="center"/>
          </w:tcPr>
          <w:p w14:paraId="7F6C565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FPGA应用开发板</w:t>
            </w:r>
          </w:p>
        </w:tc>
        <w:tc>
          <w:tcPr>
            <w:tcW w:w="5435" w:type="dxa"/>
            <w:noWrap w:val="0"/>
            <w:vAlign w:val="center"/>
          </w:tcPr>
          <w:p w14:paraId="211EDE8D">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1.采用8位双通道架构，集模拟数据采集+串行数据转换+led状态显示于一体</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2.ADC0832采用8bit分辨率，拥有2路模拟输入，支持单端/差分输入</w:t>
            </w:r>
            <w:r>
              <w:rPr>
                <w:rFonts w:hint="eastAsia" w:ascii="宋体" w:hAnsi="宋体" w:cs="宋体"/>
                <w:color w:val="auto"/>
                <w:kern w:val="0"/>
                <w:sz w:val="20"/>
                <w:szCs w:val="20"/>
                <w:highlight w:val="none"/>
                <w:lang w:val="en-US" w:eastAsia="zh-CN"/>
              </w:rPr>
              <w:t>模式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3.芯片采用BGA256封装，单Bank支持1.2V~3.3V独立供电</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4.采用TAG 调试接口，支持5V供电</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5.引出多路通用 GPIO，可配置为输入/输出，支持板子调试</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6.FPGA测试开发程序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（1）支持国产主流FPGA开发软件编程开发，对EG4X系类完成程序编译、下载、与仿真</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（2）可覆盖 16 路以上核心数字 IO 通路，支持单端输入、输出、高阻三态全工作模式遍历</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（3）支持 JTAG 标准配置接口，适配高速量产测试节拍</w:t>
            </w:r>
          </w:p>
        </w:tc>
        <w:tc>
          <w:tcPr>
            <w:tcW w:w="457" w:type="dxa"/>
            <w:noWrap w:val="0"/>
            <w:vAlign w:val="center"/>
          </w:tcPr>
          <w:p w14:paraId="69A522D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429" w:type="dxa"/>
            <w:noWrap/>
            <w:vAlign w:val="center"/>
          </w:tcPr>
          <w:p w14:paraId="7956730B">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块</w:t>
            </w:r>
          </w:p>
        </w:tc>
        <w:tc>
          <w:tcPr>
            <w:tcW w:w="828" w:type="dxa"/>
            <w:noWrap w:val="0"/>
            <w:vAlign w:val="center"/>
          </w:tcPr>
          <w:p w14:paraId="2C3170F3">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355</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6E422D16">
            <w:pPr>
              <w:widowControl/>
              <w:wordWrap w:val="0"/>
              <w:jc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142</w:t>
            </w:r>
            <w:r>
              <w:rPr>
                <w:rFonts w:hint="eastAsia" w:ascii="宋体" w:hAnsi="宋体" w:eastAsia="宋体" w:cs="宋体"/>
                <w:color w:val="auto"/>
                <w:kern w:val="0"/>
                <w:sz w:val="20"/>
                <w:szCs w:val="20"/>
                <w:highlight w:val="none"/>
              </w:rPr>
              <w:t xml:space="preserve">00.00 </w:t>
            </w:r>
          </w:p>
        </w:tc>
      </w:tr>
      <w:tr w14:paraId="28CF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37486384">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817" w:type="dxa"/>
            <w:noWrap w:val="0"/>
            <w:vAlign w:val="center"/>
          </w:tcPr>
          <w:p w14:paraId="2ECD44D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FPGA芯片下载器</w:t>
            </w:r>
          </w:p>
        </w:tc>
        <w:tc>
          <w:tcPr>
            <w:tcW w:w="5435" w:type="dxa"/>
            <w:noWrap w:val="0"/>
            <w:vAlign w:val="center"/>
          </w:tcPr>
          <w:p w14:paraId="526C830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1.可实现 FPGA、CPLD 器件程序下载、编译调试全流程适配支持包括但不限于EAGLE系列和ELF 系列型号芯片</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2.采用SRAM在线配置，掉电失效</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3.支持宽参考电压1.2V~3.3V,带静电防护</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4.最高可支持6M下载速度</w:t>
            </w:r>
          </w:p>
        </w:tc>
        <w:tc>
          <w:tcPr>
            <w:tcW w:w="457" w:type="dxa"/>
            <w:noWrap w:val="0"/>
            <w:vAlign w:val="center"/>
          </w:tcPr>
          <w:p w14:paraId="6FD0B16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429" w:type="dxa"/>
            <w:noWrap/>
            <w:vAlign w:val="center"/>
          </w:tcPr>
          <w:p w14:paraId="26AFD827">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个</w:t>
            </w:r>
          </w:p>
        </w:tc>
        <w:tc>
          <w:tcPr>
            <w:tcW w:w="828" w:type="dxa"/>
            <w:noWrap w:val="0"/>
            <w:vAlign w:val="center"/>
          </w:tcPr>
          <w:p w14:paraId="065FC752">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500.00 </w:t>
            </w:r>
          </w:p>
        </w:tc>
        <w:tc>
          <w:tcPr>
            <w:tcW w:w="972" w:type="dxa"/>
            <w:noWrap w:val="0"/>
            <w:vAlign w:val="center"/>
          </w:tcPr>
          <w:p w14:paraId="6F17FDC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r>
      <w:tr w14:paraId="07B8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7E2F3F48">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817" w:type="dxa"/>
            <w:noWrap w:val="0"/>
            <w:vAlign w:val="center"/>
          </w:tcPr>
          <w:p w14:paraId="25487E7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FPGA芯片</w:t>
            </w:r>
          </w:p>
        </w:tc>
        <w:tc>
          <w:tcPr>
            <w:tcW w:w="5435" w:type="dxa"/>
            <w:noWrap w:val="0"/>
            <w:vAlign w:val="center"/>
          </w:tcPr>
          <w:p w14:paraId="2D8531F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1.55nm低功耗工艺，配备1.96万LUT、29个18×18硬件乘法器、1088Kbit片上存储，可覆盖采集控制与小型信号处理需求</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2.8 组独立电平IO Bank，共187个通用IO、90对LVDS差分对；内置8通道12位1MSPS SAR型ADC硬核，可简化外围硬件设计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3.集成4路独立PLL，支持倍频、分频与动态相位调整，搭配16路全局低歪斜时钟网络，适配多时钟域系统</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4.支持SPI主动配置、从动串行/并行、JTAG等5种加载方式，最高配置速率66MHz</w:t>
            </w:r>
          </w:p>
        </w:tc>
        <w:tc>
          <w:tcPr>
            <w:tcW w:w="457" w:type="dxa"/>
            <w:noWrap w:val="0"/>
            <w:vAlign w:val="center"/>
          </w:tcPr>
          <w:p w14:paraId="77DD096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50</w:t>
            </w:r>
          </w:p>
        </w:tc>
        <w:tc>
          <w:tcPr>
            <w:tcW w:w="429" w:type="dxa"/>
            <w:noWrap/>
            <w:vAlign w:val="center"/>
          </w:tcPr>
          <w:p w14:paraId="43CA2BEB">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颗</w:t>
            </w:r>
          </w:p>
        </w:tc>
        <w:tc>
          <w:tcPr>
            <w:tcW w:w="828" w:type="dxa"/>
            <w:noWrap w:val="0"/>
            <w:vAlign w:val="center"/>
          </w:tcPr>
          <w:p w14:paraId="61C1158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50.00 </w:t>
            </w:r>
          </w:p>
        </w:tc>
        <w:tc>
          <w:tcPr>
            <w:tcW w:w="972" w:type="dxa"/>
            <w:noWrap w:val="0"/>
            <w:vAlign w:val="center"/>
          </w:tcPr>
          <w:p w14:paraId="2B82909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2500.00 </w:t>
            </w:r>
          </w:p>
        </w:tc>
      </w:tr>
      <w:tr w14:paraId="72AD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2BA8C3BE">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817" w:type="dxa"/>
            <w:noWrap w:val="0"/>
            <w:vAlign w:val="center"/>
          </w:tcPr>
          <w:p w14:paraId="257AAEE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植球配件和钢网</w:t>
            </w:r>
          </w:p>
        </w:tc>
        <w:tc>
          <w:tcPr>
            <w:tcW w:w="5435" w:type="dxa"/>
            <w:noWrap w:val="0"/>
            <w:vAlign w:val="center"/>
          </w:tcPr>
          <w:p w14:paraId="0868E69B">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1.标准封装，1.0mm间距，256个焊盘，开孔与芯片焊盘一一对应</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2.采用0.4mm/0.5mm锡球，完美适配1mm球距的BGA256芯片</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3.BGA植球台卡槽最小可夹4mm*4mm，最大可夹45mm*45mm；同时具有自动定心，四定位孔定位和螺旋盘转动对其等功能</w:t>
            </w:r>
          </w:p>
        </w:tc>
        <w:tc>
          <w:tcPr>
            <w:tcW w:w="457" w:type="dxa"/>
            <w:noWrap w:val="0"/>
            <w:vAlign w:val="center"/>
          </w:tcPr>
          <w:p w14:paraId="3AC7C44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429" w:type="dxa"/>
            <w:noWrap/>
            <w:vAlign w:val="center"/>
          </w:tcPr>
          <w:p w14:paraId="59670521">
            <w:pPr>
              <w:widowControl/>
              <w:wordWrap w:val="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套</w:t>
            </w:r>
          </w:p>
        </w:tc>
        <w:tc>
          <w:tcPr>
            <w:tcW w:w="828" w:type="dxa"/>
            <w:noWrap w:val="0"/>
            <w:vAlign w:val="center"/>
          </w:tcPr>
          <w:p w14:paraId="06DB09C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c>
          <w:tcPr>
            <w:tcW w:w="972" w:type="dxa"/>
            <w:noWrap w:val="0"/>
            <w:vAlign w:val="center"/>
          </w:tcPr>
          <w:p w14:paraId="5C2A3CA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8000.00 </w:t>
            </w:r>
          </w:p>
        </w:tc>
      </w:tr>
      <w:tr w14:paraId="73A3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EA01A95">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817" w:type="dxa"/>
            <w:noWrap w:val="0"/>
            <w:vAlign w:val="center"/>
          </w:tcPr>
          <w:p w14:paraId="5420174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无人机装配实训套件</w:t>
            </w:r>
          </w:p>
        </w:tc>
        <w:tc>
          <w:tcPr>
            <w:tcW w:w="5435" w:type="dxa"/>
            <w:noWrap w:val="0"/>
            <w:vAlign w:val="center"/>
          </w:tcPr>
          <w:p w14:paraId="0C37AE8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▲1.机体套装：碳纤维450+脚架，1套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2.减震附件：减震+GPS支架+电源，1套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3.电池：3S锂电池，容量不低于5300MAH，1块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4.充电：A400充电器，1个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5.其他附件：电池扎带魔术贴BB响</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6.遥控系统：12 通道及以上工业级航模遥控器 + 配套接收机，通信稳定、抗干扰，满足实训远距离操控</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7.动力系统：适配450机架标准螺旋桨，2对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8.工具：cellmeter7测电器、1.5/2.0/2.5/3.0内六角螺丝刀、多合一夹持钳子、5.5mm套筒、迷你棘轮扳手、镊子、框式金属条水平尺各1套</w:t>
            </w:r>
          </w:p>
        </w:tc>
        <w:tc>
          <w:tcPr>
            <w:tcW w:w="457" w:type="dxa"/>
            <w:noWrap w:val="0"/>
            <w:vAlign w:val="center"/>
          </w:tcPr>
          <w:p w14:paraId="2AF2718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28</w:t>
            </w:r>
          </w:p>
        </w:tc>
        <w:tc>
          <w:tcPr>
            <w:tcW w:w="429" w:type="dxa"/>
            <w:noWrap w:val="0"/>
            <w:vAlign w:val="center"/>
          </w:tcPr>
          <w:p w14:paraId="1613A2E8">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7CC985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c>
          <w:tcPr>
            <w:tcW w:w="972" w:type="dxa"/>
            <w:noWrap w:val="0"/>
            <w:vAlign w:val="center"/>
          </w:tcPr>
          <w:p w14:paraId="566D66D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56000.00 </w:t>
            </w:r>
          </w:p>
        </w:tc>
      </w:tr>
      <w:tr w14:paraId="7503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4104A93">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817" w:type="dxa"/>
            <w:noWrap w:val="0"/>
            <w:vAlign w:val="center"/>
          </w:tcPr>
          <w:p w14:paraId="74FC0F5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无人机故障检修实训套件</w:t>
            </w:r>
          </w:p>
        </w:tc>
        <w:tc>
          <w:tcPr>
            <w:tcW w:w="5435" w:type="dxa"/>
            <w:noWrap w:val="0"/>
            <w:vAlign w:val="center"/>
          </w:tcPr>
          <w:p w14:paraId="5ADFC59A">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1.电机类型要求为无刷电机，定子尺寸≥23mm，kv值≥1000KV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2.电调类型要求为无刷电调，持续工作电流≤30A,支持最大瞬间电流≤40A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3.动力电池类型要求为锂电池，容量≥2200mah</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4.遥控器通道数不少于8个；支持宽电压输入,至少支持SBUS、PWM信号输出,传输速率不小于38kbps,遥控系统具备信号发射指示灯，调制模式至少支持GFSK模式,且遥控器至少具备三段开关不少于1个，二段开关不少于1个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5.飞行模式至少支持定点模式、定高模式、任务模式和返航模式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传感器模块至少包含空速传感器模块、磁罗盘传感器模块、气压高度计模块、磁罗盘与加速度计模块、陀螺传感器模块、陀螺与加速度计传感器模块、CAN总线模块、声音报警模块、七彩指示灯模块、低压差供电模块、飞行数据存储模块、电平转换模块、参数存储模块、主控制器模块、输入输出控制器模块；外设串口至少包含：数传串口、RTK串口、GPS串口、外置罗盘、光流串口、TFMINI串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7.至少具备磁罗盘异常修正、单参数调节、多传感器融合、超快速二次开发功能,飞控内部要求集成蜂鸣器，免于外接蜂鸣器模块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8.无人机维修实训平台至少要求在检测面板上设置电源安全开关，保障产品使用过程中的安全性；能够还原四旋翼无人机系统构成，要求能够直观展示无人机内部线路的连接方式</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故障设置面板为锁扣抽拉式设计,至少设置动力电源故障开关、分电板故障开关、接收机故障开关、飞控供电故障开关、电机供电故障开关、电机信号故障开关、电机缺项故障开关、电机转向故障开关,开关可同时设置多种不同的无人机故障，故障可通过开关进行恢复复原</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10.至少支持以下故障检测：</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（1）无人机配电系统故障检测实验：通过设置使无人机动力电源供电产生故障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（2）无人机电源管理模块故障检测实验：通过设置使无人机电源系统中电源管理模块产生故障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（3）无人机通讯系统故障检测实验：通过设置使无人机遥控系统与接收机通讯产生故障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（4）无人机电机缺项故障检测实验：通过设置使电机供电输入缺项产生故障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（5）无人机电调信号故障检测实验：通过设置使无人机电调信号通讯产生故障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（6）无人机电调供电故障检测实验：通过设置使电调供电输入产生故障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（7）无人机动力系统综合检测实验：通过设置将无人机动力系统的不同故障进行同时设置使产生系统综合故障</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（8）无人机飞控故障检测实验：通过设置使飞控产生故障</w:t>
            </w:r>
            <w:r>
              <w:rPr>
                <w:rFonts w:hint="eastAsia" w:ascii="宋体" w:hAnsi="宋体" w:cs="宋体"/>
                <w:color w:val="auto"/>
                <w:kern w:val="0"/>
                <w:sz w:val="20"/>
                <w:szCs w:val="20"/>
                <w:highlight w:val="none"/>
                <w:lang w:eastAsia="zh-CN"/>
              </w:rPr>
              <w:t>。</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（9）无人机系统综合故障检测实验：通过设置不同位置模块故障使整个系统产生综合故障</w:t>
            </w:r>
          </w:p>
          <w:p w14:paraId="08626B99">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11.故障点设置至少能够展现真实故障情况的发生以及检测维修；至少能够实现对无人机系统部件进行功能检测</w:t>
            </w:r>
          </w:p>
        </w:tc>
        <w:tc>
          <w:tcPr>
            <w:tcW w:w="457" w:type="dxa"/>
            <w:noWrap w:val="0"/>
            <w:vAlign w:val="center"/>
          </w:tcPr>
          <w:p w14:paraId="23CA557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47310CE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1253EB8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00.00 </w:t>
            </w:r>
          </w:p>
        </w:tc>
        <w:tc>
          <w:tcPr>
            <w:tcW w:w="972" w:type="dxa"/>
            <w:noWrap w:val="0"/>
            <w:vAlign w:val="center"/>
          </w:tcPr>
          <w:p w14:paraId="069C0F2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r>
              <w:rPr>
                <w:rFonts w:hint="eastAsia" w:ascii="宋体" w:hAnsi="宋体" w:cs="宋体"/>
                <w:color w:val="auto"/>
                <w:kern w:val="0"/>
                <w:sz w:val="20"/>
                <w:szCs w:val="20"/>
                <w:highlight w:val="none"/>
                <w:lang w:val="en-US" w:eastAsia="zh-CN"/>
              </w:rPr>
              <w:t>0</w:t>
            </w:r>
            <w:r>
              <w:rPr>
                <w:rFonts w:hint="eastAsia" w:ascii="宋体" w:hAnsi="宋体" w:eastAsia="宋体" w:cs="宋体"/>
                <w:color w:val="auto"/>
                <w:kern w:val="0"/>
                <w:sz w:val="20"/>
                <w:szCs w:val="20"/>
                <w:highlight w:val="none"/>
              </w:rPr>
              <w:t xml:space="preserve">00.00 </w:t>
            </w:r>
          </w:p>
        </w:tc>
      </w:tr>
      <w:tr w14:paraId="244E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05EB0029">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817" w:type="dxa"/>
            <w:noWrap w:val="0"/>
            <w:vAlign w:val="center"/>
          </w:tcPr>
          <w:p w14:paraId="3DA3AC0A">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四旋翼无人机飞控原理教学实训套件</w:t>
            </w:r>
          </w:p>
        </w:tc>
        <w:tc>
          <w:tcPr>
            <w:tcW w:w="5435" w:type="dxa"/>
            <w:noWrap w:val="0"/>
            <w:vAlign w:val="center"/>
          </w:tcPr>
          <w:p w14:paraId="14C01F2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1.飞控系统主控运算性能不低于STM32F427，配套协处理器性能不低于STM32F100，实现任务分层调度</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2.实验箱内，集成可升降支架，偏航范围覆盖360°，俯仰、横滚调节范围均不小于±30°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3.传感器配备：</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三轴加速度计/陀螺仪/磁力计；气压计；两个三轴加速度计；两个三轴陀螺仪两个磁罗盘(一个内置一个外置)；高灵敏度GPS接收机；超声波传感器；激光测距传感器；电流电压计</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4.配置不少于3路状态LED灯，不少于三个功能按键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5.至少1路可调模拟电压输入</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6.板载OLED液晶显示屏，实时输出传感器、姿态数据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7.带有一个仿真接口及不少于二个USB接口</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8.集成无线数传模块，可以与地面站或测控计算机通讯</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9.配套标准的遥控器，可控制四旋翼无人机</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10.标配≥4G容量SD卡（用于记录数据和开发）</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11.尺寸：约400mm*400mm*160mm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12.供电：AC 220V 50Hz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▲13.实验项目和内容：</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陀螺仪实验、加速度计实验、磁力计实验、气压高度实验、超声波实验、激光高度测量实验、GPS实验、电流电压检测实验、电机控制实验、姿态测量实验、姿态解算实验、PID反馈控制实验、基于双闭环PID的无人机姿态控制实验、无人机姿态控制原理实验、模拟飞行实验（投标时至少提供3个实验软件截图）</w:t>
            </w:r>
          </w:p>
          <w:p w14:paraId="138C135B">
            <w:pPr>
              <w:widowControl/>
              <w:wordWrap w:val="0"/>
              <w:jc w:val="left"/>
              <w:rPr>
                <w:rFonts w:hint="eastAsia" w:ascii="宋体" w:hAnsi="宋体" w:eastAsia="宋体" w:cs="宋体"/>
                <w:color w:val="auto"/>
                <w:kern w:val="0"/>
                <w:sz w:val="20"/>
                <w:szCs w:val="20"/>
                <w:highlight w:val="none"/>
              </w:rPr>
            </w:pP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14.交付时需要提供不少于300页的实验指导手册</w:t>
            </w:r>
          </w:p>
        </w:tc>
        <w:tc>
          <w:tcPr>
            <w:tcW w:w="457" w:type="dxa"/>
            <w:noWrap w:val="0"/>
            <w:vAlign w:val="center"/>
          </w:tcPr>
          <w:p w14:paraId="00BBE7C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429" w:type="dxa"/>
            <w:noWrap w:val="0"/>
            <w:vAlign w:val="center"/>
          </w:tcPr>
          <w:p w14:paraId="70F642D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2F62BEC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r>
              <w:rPr>
                <w:rFonts w:hint="eastAsia" w:ascii="宋体" w:hAnsi="宋体" w:cs="宋体"/>
                <w:color w:val="auto"/>
                <w:kern w:val="0"/>
                <w:sz w:val="20"/>
                <w:szCs w:val="20"/>
                <w:highlight w:val="none"/>
                <w:lang w:val="en-US" w:eastAsia="zh-CN"/>
              </w:rPr>
              <w:t>485</w:t>
            </w:r>
            <w:r>
              <w:rPr>
                <w:rFonts w:hint="eastAsia" w:ascii="宋体" w:hAnsi="宋体" w:eastAsia="宋体" w:cs="宋体"/>
                <w:color w:val="auto"/>
                <w:kern w:val="0"/>
                <w:sz w:val="20"/>
                <w:szCs w:val="20"/>
                <w:highlight w:val="none"/>
              </w:rPr>
              <w:t xml:space="preserve">0.00 </w:t>
            </w:r>
          </w:p>
        </w:tc>
        <w:tc>
          <w:tcPr>
            <w:tcW w:w="972" w:type="dxa"/>
            <w:noWrap w:val="0"/>
            <w:vAlign w:val="center"/>
          </w:tcPr>
          <w:p w14:paraId="47BDA0E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r>
              <w:rPr>
                <w:rFonts w:hint="eastAsia" w:ascii="宋体" w:hAnsi="宋体" w:cs="宋体"/>
                <w:color w:val="auto"/>
                <w:kern w:val="0"/>
                <w:sz w:val="20"/>
                <w:szCs w:val="20"/>
                <w:highlight w:val="none"/>
                <w:lang w:val="en-US" w:eastAsia="zh-CN"/>
              </w:rPr>
              <w:t>394</w:t>
            </w:r>
            <w:r>
              <w:rPr>
                <w:rFonts w:hint="eastAsia" w:ascii="宋体" w:hAnsi="宋体" w:eastAsia="宋体" w:cs="宋体"/>
                <w:color w:val="auto"/>
                <w:kern w:val="0"/>
                <w:sz w:val="20"/>
                <w:szCs w:val="20"/>
                <w:highlight w:val="none"/>
              </w:rPr>
              <w:t xml:space="preserve">00.00 </w:t>
            </w:r>
          </w:p>
        </w:tc>
      </w:tr>
      <w:tr w14:paraId="7730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52468B41">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817" w:type="dxa"/>
            <w:noWrap w:val="0"/>
            <w:vAlign w:val="center"/>
          </w:tcPr>
          <w:p w14:paraId="4BE2FF2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无人机通信原理教学实训套件</w:t>
            </w:r>
          </w:p>
        </w:tc>
        <w:tc>
          <w:tcPr>
            <w:tcW w:w="5435" w:type="dxa"/>
            <w:noWrap w:val="0"/>
            <w:vAlign w:val="center"/>
          </w:tcPr>
          <w:p w14:paraId="32C69B67">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一、性能参数</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1.频率范围：70MHz～6GHz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2.本振精度：≤2 ppm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3.最大输出功率：≤10dBm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4.最大输入功率：≤-15 dBm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5.增益范围：≤0～37.5 dB</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6.增益步进：≤1dB</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7.最大实时带宽：≤56MHz</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8.噪声系数：≤8dB</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二、软件</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1.无人机通信基础实验：理解无人机数据传输的基本原理和技术，掌握不 同调制解调方法在无人机通信中的应用，学习数据传输的可靠性和效率提升方法，实现无人机与地面站之间的稳定数据通信，包含以下实验：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（1）信号及频谱认知实验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（2）无线信号认知实验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（3）信道实验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（4）AM调制解调实验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（5）FM调制解调实验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（6）QPSK双机收发实验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（7）WIFI接收实验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▲2.无人机图传通信实验：无人机图传通信实验涉及音频、图像和视频的编 解码与传输，实验将帮助学生了解和掌握音频、图像和视频信号的编解码 技术及其在无人机通信中的应用，提升对多媒体通信系统的理解和实际操作能力，包含以下实验：（投标时至少提供2个实验软件截图）</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（1）音频编解码实验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（2）图像编解码实验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（3）视频图像传输实验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无人机网络通信实验：无人机网络通信实验涉及多种通信技术和频段，实验将帮助学生了解和掌握不同频段和通信技术在无人机网络通信中的应用，提升对无线通信系统的理解和实际操作能力，包含以下实验：（投标时至少提供2个实验软件截图）</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（1）数字带通传输实验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（2）宽带调频(WBFM)实验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（3）4G通信实验</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（4）433M数据收发通信实验</w:t>
            </w:r>
          </w:p>
          <w:p w14:paraId="2B0BF97E">
            <w:pPr>
              <w:widowControl/>
              <w:wordWrap w:val="0"/>
              <w:jc w:val="left"/>
              <w:rPr>
                <w:rFonts w:hint="eastAsia" w:ascii="宋体" w:hAnsi="宋体" w:eastAsia="宋体" w:cs="宋体"/>
                <w:color w:val="auto"/>
                <w:kern w:val="0"/>
                <w:sz w:val="20"/>
                <w:szCs w:val="20"/>
                <w:highlight w:val="none"/>
              </w:rPr>
            </w:pP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4.交付时需要提供不少于250页的实验指导手册</w:t>
            </w:r>
          </w:p>
          <w:p w14:paraId="1A6A6E85">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5.设备满足《中华人民共和国无线电管理条例》，实验系统最大输出功率 10dBm、输入限值 - 15dBm，增益 0–37.5dB 可调，学生不可超规范发射</w:t>
            </w:r>
          </w:p>
        </w:tc>
        <w:tc>
          <w:tcPr>
            <w:tcW w:w="457" w:type="dxa"/>
            <w:noWrap w:val="0"/>
            <w:vAlign w:val="center"/>
          </w:tcPr>
          <w:p w14:paraId="3C2334CB">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429" w:type="dxa"/>
            <w:noWrap w:val="0"/>
            <w:vAlign w:val="center"/>
          </w:tcPr>
          <w:p w14:paraId="67D4260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5EA24E0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55000.00 </w:t>
            </w:r>
          </w:p>
        </w:tc>
        <w:tc>
          <w:tcPr>
            <w:tcW w:w="972" w:type="dxa"/>
            <w:noWrap w:val="0"/>
            <w:vAlign w:val="center"/>
          </w:tcPr>
          <w:p w14:paraId="50F2DFE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110000.00 </w:t>
            </w:r>
          </w:p>
        </w:tc>
      </w:tr>
      <w:tr w14:paraId="67AB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AE59AE4">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817" w:type="dxa"/>
            <w:noWrap w:val="0"/>
            <w:vAlign w:val="center"/>
          </w:tcPr>
          <w:p w14:paraId="13AD65B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飞行训练防护网笼</w:t>
            </w:r>
          </w:p>
        </w:tc>
        <w:tc>
          <w:tcPr>
            <w:tcW w:w="5435" w:type="dxa"/>
            <w:noWrap w:val="0"/>
            <w:vAlign w:val="center"/>
          </w:tcPr>
          <w:p w14:paraId="61EA220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▲1.采用高强度尼龙无节网，网孔≤100mm×100mm，丝径≥3.0mm，抗冲击、耐老化</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2.框架为工业铝型材，整体尺寸约 3m×4m×2.5m（可根据实际需求调整），模块化可拆装</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3.含防护门、支撑与固定配件，满足室内无人机安全实训与防撞隔离要求</w:t>
            </w:r>
          </w:p>
        </w:tc>
        <w:tc>
          <w:tcPr>
            <w:tcW w:w="457" w:type="dxa"/>
            <w:noWrap w:val="0"/>
            <w:vAlign w:val="center"/>
          </w:tcPr>
          <w:p w14:paraId="19127C1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34C2FDE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00F7507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5130.00 </w:t>
            </w:r>
          </w:p>
        </w:tc>
        <w:tc>
          <w:tcPr>
            <w:tcW w:w="972" w:type="dxa"/>
            <w:noWrap w:val="0"/>
            <w:vAlign w:val="center"/>
          </w:tcPr>
          <w:p w14:paraId="605827D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5130.00 </w:t>
            </w:r>
          </w:p>
        </w:tc>
      </w:tr>
      <w:tr w14:paraId="5B25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B94CB4B">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817" w:type="dxa"/>
            <w:noWrap w:val="0"/>
            <w:vAlign w:val="center"/>
          </w:tcPr>
          <w:p w14:paraId="55AD704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无人机动力系统测试平台</w:t>
            </w:r>
          </w:p>
        </w:tc>
        <w:tc>
          <w:tcPr>
            <w:tcW w:w="5435" w:type="dxa"/>
            <w:noWrap w:val="0"/>
            <w:vAlign w:val="center"/>
          </w:tcPr>
          <w:p w14:paraId="6B404891">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1.设备尺寸≥370*370*455，具备笼式防护设置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2.最大拉力：2.5KGF，螺旋桨最大直径：13 inch</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3.典型应用：2216 电机配 9 寸桨，1kg 拉力</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4.电压量程：6~28V</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5.电压精度：0.1%+0.1% FS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6.电流量程：0~50A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7.电流精度：0.1%+0.1% FS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8.设备电源：DC 20A MAX</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9.扭矩量程：1N·M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10.扭矩传感器精度：0.2%+0.2% FS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11.工作环境温度：0~40℃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12.温度分辨率：0.1℃</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13.测试电机尺寸：2205-2216 系列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14.设备重量≤12kg</w:t>
            </w:r>
          </w:p>
        </w:tc>
        <w:tc>
          <w:tcPr>
            <w:tcW w:w="457" w:type="dxa"/>
            <w:noWrap w:val="0"/>
            <w:vAlign w:val="center"/>
          </w:tcPr>
          <w:p w14:paraId="41190702">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429" w:type="dxa"/>
            <w:noWrap w:val="0"/>
            <w:vAlign w:val="center"/>
          </w:tcPr>
          <w:p w14:paraId="307CAA39">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15317EF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24500.00 </w:t>
            </w:r>
          </w:p>
        </w:tc>
        <w:tc>
          <w:tcPr>
            <w:tcW w:w="972" w:type="dxa"/>
            <w:noWrap w:val="0"/>
            <w:vAlign w:val="center"/>
          </w:tcPr>
          <w:p w14:paraId="4DDBF191">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24500.00 </w:t>
            </w:r>
          </w:p>
        </w:tc>
      </w:tr>
      <w:tr w14:paraId="3F29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27030E3">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817" w:type="dxa"/>
            <w:noWrap w:val="0"/>
            <w:vAlign w:val="center"/>
          </w:tcPr>
          <w:p w14:paraId="03C32DC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无人机分压板焊接实训套件</w:t>
            </w:r>
          </w:p>
        </w:tc>
        <w:tc>
          <w:tcPr>
            <w:tcW w:w="5435" w:type="dxa"/>
            <w:noWrap w:val="0"/>
            <w:vAlign w:val="center"/>
          </w:tcPr>
          <w:p w14:paraId="2A9F1302">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▲1.PCB中心板空板：1个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2.飞控供电端子：1个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3.XT30电源插头：4对（公+母）</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4.XT60电源插头：1个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5.5V供电模块：1个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6.F450机架套件：1套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7.热缩管：1套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8.电源线：红黑各1米</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9.杜邦线（母-母）：1套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10.扎带：1套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11.魔术贴：1套</w:t>
            </w:r>
          </w:p>
        </w:tc>
        <w:tc>
          <w:tcPr>
            <w:tcW w:w="457" w:type="dxa"/>
            <w:noWrap w:val="0"/>
            <w:vAlign w:val="center"/>
          </w:tcPr>
          <w:p w14:paraId="4EF059CF">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4934433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488023D4">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c>
          <w:tcPr>
            <w:tcW w:w="972" w:type="dxa"/>
            <w:noWrap w:val="0"/>
            <w:vAlign w:val="center"/>
          </w:tcPr>
          <w:p w14:paraId="0927639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52000.00 </w:t>
            </w:r>
          </w:p>
        </w:tc>
      </w:tr>
      <w:tr w14:paraId="783B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5D9B7BD7">
            <w:pPr>
              <w:keepNext w:val="0"/>
              <w:keepLines w:val="0"/>
              <w:widowControl/>
              <w:suppressLineNumbers w:val="0"/>
              <w:jc w:val="righ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817" w:type="dxa"/>
            <w:noWrap w:val="0"/>
            <w:vAlign w:val="center"/>
          </w:tcPr>
          <w:p w14:paraId="6EF1A542">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无人机电调焊接实训套件</w:t>
            </w:r>
          </w:p>
        </w:tc>
        <w:tc>
          <w:tcPr>
            <w:tcW w:w="5435" w:type="dxa"/>
            <w:noWrap w:val="0"/>
            <w:vAlign w:val="center"/>
          </w:tcPr>
          <w:p w14:paraId="65425338">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1.3.5mm香蕉头套装：12对（公+母）</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2.电调：4个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（1）工作电流：30A:持续电流30A，峰值40A/10S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（2）电压：支持2-6S供电</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（3）重量：单个11.65G</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（4）尺寸：可以放进16*14的碳管内</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▲3.无刷电机：4个</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（1）机身规格：22mm（定子直径）×12mm（定子高度）</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（2）电机KV值：980</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（3）最大连续电流：20A（持续30秒）</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（4）最大连续功率：330W</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（5）转子直径：27.5mm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（6）电机长度（不含轴长）：40mm</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（7）支持锂电节数：3-4S</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（8）建议使用电调：20-40A</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4.接线端子、连接配件</w:t>
            </w:r>
          </w:p>
        </w:tc>
        <w:tc>
          <w:tcPr>
            <w:tcW w:w="457" w:type="dxa"/>
            <w:noWrap w:val="0"/>
            <w:vAlign w:val="center"/>
          </w:tcPr>
          <w:p w14:paraId="33CF834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26</w:t>
            </w:r>
          </w:p>
        </w:tc>
        <w:tc>
          <w:tcPr>
            <w:tcW w:w="429" w:type="dxa"/>
            <w:noWrap w:val="0"/>
            <w:vAlign w:val="center"/>
          </w:tcPr>
          <w:p w14:paraId="576494BC">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73B376C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2000.00 </w:t>
            </w:r>
          </w:p>
        </w:tc>
        <w:tc>
          <w:tcPr>
            <w:tcW w:w="972" w:type="dxa"/>
            <w:noWrap w:val="0"/>
            <w:vAlign w:val="center"/>
          </w:tcPr>
          <w:p w14:paraId="6A94146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52000.00 </w:t>
            </w:r>
          </w:p>
        </w:tc>
      </w:tr>
      <w:tr w14:paraId="14F6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4FEB3715">
            <w:pPr>
              <w:keepNext w:val="0"/>
              <w:keepLines w:val="0"/>
              <w:widowControl/>
              <w:suppressLineNumbers w:val="0"/>
              <w:jc w:val="right"/>
              <w:textAlignment w:val="center"/>
              <w:rPr>
                <w:rFonts w:hint="eastAsia" w:ascii="宋体" w:hAnsi="宋体" w:eastAsia="宋体" w:cs="宋体"/>
                <w:color w:val="auto"/>
                <w:kern w:val="0"/>
                <w:sz w:val="20"/>
                <w:szCs w:val="20"/>
                <w:highlight w:val="none"/>
                <w:lang w:val="en-US"/>
              </w:rPr>
            </w:pPr>
            <w:r>
              <w:rPr>
                <w:rFonts w:hint="eastAsia" w:ascii="宋体" w:hAnsi="宋体" w:eastAsia="宋体" w:cs="宋体"/>
                <w:i w:val="0"/>
                <w:iCs w:val="0"/>
                <w:color w:val="auto"/>
                <w:kern w:val="0"/>
                <w:sz w:val="22"/>
                <w:szCs w:val="22"/>
                <w:highlight w:val="none"/>
                <w:u w:val="none"/>
                <w:lang w:val="en-US" w:eastAsia="zh-CN" w:bidi="ar"/>
              </w:rPr>
              <w:t>40</w:t>
            </w:r>
          </w:p>
        </w:tc>
        <w:tc>
          <w:tcPr>
            <w:tcW w:w="817" w:type="dxa"/>
            <w:noWrap w:val="0"/>
            <w:vAlign w:val="center"/>
          </w:tcPr>
          <w:p w14:paraId="4784CE93">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无人机飞控板焊接实训套件</w:t>
            </w:r>
          </w:p>
        </w:tc>
        <w:tc>
          <w:tcPr>
            <w:tcW w:w="5435" w:type="dxa"/>
            <w:noWrap w:val="0"/>
            <w:vAlign w:val="center"/>
          </w:tcPr>
          <w:p w14:paraId="2DEB011E">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1.协处理器：1个，飞控核心运算单元，完成姿态解算</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2.主控：1个，飞控核心运算单元</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3.3轴加速度：2个，分别输出机身线性加速度数据</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4.3轴磁传感器：1个，采集地磁场数据，提供航向角度基准</w:t>
            </w:r>
          </w:p>
          <w:p w14:paraId="7F51F733">
            <w:pPr>
              <w:widowControl/>
              <w:wordWrap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5.3轴数字陀螺仪：实时捕捉飞行器滚转、俯仰、偏航三轴角速度</w:t>
            </w:r>
          </w:p>
          <w:p w14:paraId="7E725B32">
            <w:pPr>
              <w:widowControl/>
              <w:wordWrap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6.气压计：1个，采集大气压强换算相对高度</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7.通信接口元件：1个，用于固件烧录、电脑上位机连接、实时调试数据回传、供电调试；</w:t>
            </w:r>
            <w:r>
              <w:rPr>
                <w:rFonts w:hint="eastAsia" w:ascii="宋体" w:hAnsi="宋体" w:eastAsia="宋体" w:cs="宋体"/>
                <w:color w:val="auto"/>
                <w:kern w:val="0"/>
                <w:sz w:val="20"/>
                <w:szCs w:val="20"/>
                <w:highlight w:val="none"/>
              </w:rPr>
              <w:br w:type="textWrapping"/>
            </w:r>
            <w:r>
              <w:rPr>
                <w:rFonts w:hint="eastAsia" w:ascii="Segoe UI Symbol" w:hAnsi="Segoe UI Symbol" w:cs="Segoe UI Symbol"/>
                <w:bCs/>
                <w:color w:val="auto"/>
                <w:sz w:val="24"/>
                <w:highlight w:val="none"/>
              </w:rPr>
              <w:t>▲</w:t>
            </w:r>
            <w:r>
              <w:rPr>
                <w:rFonts w:hint="eastAsia" w:ascii="宋体" w:hAnsi="宋体" w:eastAsia="宋体" w:cs="宋体"/>
                <w:color w:val="auto"/>
                <w:kern w:val="0"/>
                <w:sz w:val="20"/>
                <w:szCs w:val="20"/>
                <w:highlight w:val="none"/>
              </w:rPr>
              <w:t>8.</w:t>
            </w:r>
            <w:r>
              <w:rPr>
                <w:rFonts w:hint="eastAsia" w:ascii="宋体" w:hAnsi="宋体" w:cs="宋体"/>
                <w:color w:val="auto"/>
                <w:kern w:val="0"/>
                <w:sz w:val="20"/>
                <w:szCs w:val="20"/>
                <w:highlight w:val="none"/>
                <w:lang w:val="en-US" w:eastAsia="zh-CN"/>
              </w:rPr>
              <w:t>交付时</w:t>
            </w:r>
            <w:r>
              <w:rPr>
                <w:rFonts w:hint="eastAsia" w:ascii="宋体" w:hAnsi="宋体" w:eastAsia="宋体" w:cs="宋体"/>
                <w:color w:val="auto"/>
                <w:kern w:val="0"/>
                <w:sz w:val="20"/>
                <w:szCs w:val="20"/>
                <w:highlight w:val="none"/>
              </w:rPr>
              <w:t>提供飞控板原理图和BOM表</w:t>
            </w:r>
            <w:r>
              <w:rPr>
                <w:rFonts w:hint="eastAsia" w:ascii="宋体" w:hAnsi="宋体" w:cs="宋体"/>
                <w:color w:val="auto"/>
                <w:kern w:val="0"/>
                <w:sz w:val="20"/>
                <w:szCs w:val="20"/>
                <w:highlight w:val="none"/>
                <w:lang w:eastAsia="zh-CN"/>
              </w:rPr>
              <w:t>。</w:t>
            </w:r>
          </w:p>
        </w:tc>
        <w:tc>
          <w:tcPr>
            <w:tcW w:w="457" w:type="dxa"/>
            <w:noWrap w:val="0"/>
            <w:vAlign w:val="center"/>
          </w:tcPr>
          <w:p w14:paraId="4326955D">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429" w:type="dxa"/>
            <w:noWrap w:val="0"/>
            <w:vAlign w:val="center"/>
          </w:tcPr>
          <w:p w14:paraId="6D5C336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套</w:t>
            </w:r>
          </w:p>
        </w:tc>
        <w:tc>
          <w:tcPr>
            <w:tcW w:w="828" w:type="dxa"/>
            <w:noWrap w:val="0"/>
            <w:vAlign w:val="center"/>
          </w:tcPr>
          <w:p w14:paraId="31D752A5">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2500.00 </w:t>
            </w:r>
          </w:p>
        </w:tc>
        <w:tc>
          <w:tcPr>
            <w:tcW w:w="972" w:type="dxa"/>
            <w:noWrap w:val="0"/>
            <w:vAlign w:val="center"/>
          </w:tcPr>
          <w:p w14:paraId="7C5A3210">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xml:space="preserve">12500.00 </w:t>
            </w:r>
          </w:p>
        </w:tc>
      </w:tr>
      <w:tr w14:paraId="5FC9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37AFE0A2">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17" w:type="dxa"/>
            <w:noWrap w:val="0"/>
            <w:vAlign w:val="center"/>
          </w:tcPr>
          <w:p w14:paraId="09450526">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合计</w:t>
            </w:r>
          </w:p>
        </w:tc>
        <w:tc>
          <w:tcPr>
            <w:tcW w:w="5435" w:type="dxa"/>
            <w:noWrap/>
            <w:vAlign w:val="center"/>
          </w:tcPr>
          <w:p w14:paraId="6BA5A893">
            <w:pPr>
              <w:widowControl/>
              <w:wordWrap w:val="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w:t>
            </w:r>
          </w:p>
        </w:tc>
        <w:tc>
          <w:tcPr>
            <w:tcW w:w="457" w:type="dxa"/>
            <w:noWrap/>
            <w:vAlign w:val="center"/>
          </w:tcPr>
          <w:p w14:paraId="3492985B">
            <w:pPr>
              <w:widowControl/>
              <w:wordWrap w:val="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w:t>
            </w:r>
          </w:p>
        </w:tc>
        <w:tc>
          <w:tcPr>
            <w:tcW w:w="429" w:type="dxa"/>
            <w:noWrap/>
            <w:vAlign w:val="center"/>
          </w:tcPr>
          <w:p w14:paraId="5E552CAE">
            <w:pPr>
              <w:widowControl/>
              <w:wordWrap w:val="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w:t>
            </w:r>
          </w:p>
        </w:tc>
        <w:tc>
          <w:tcPr>
            <w:tcW w:w="828" w:type="dxa"/>
            <w:noWrap w:val="0"/>
            <w:vAlign w:val="center"/>
          </w:tcPr>
          <w:p w14:paraId="19F8F5B7">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972" w:type="dxa"/>
            <w:noWrap w:val="0"/>
            <w:vAlign w:val="center"/>
          </w:tcPr>
          <w:p w14:paraId="77F2C29E">
            <w:pPr>
              <w:widowControl/>
              <w:wordWrap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r>
              <w:rPr>
                <w:rFonts w:hint="eastAsia" w:ascii="宋体" w:hAnsi="宋体" w:cs="宋体"/>
                <w:color w:val="auto"/>
                <w:kern w:val="0"/>
                <w:sz w:val="20"/>
                <w:szCs w:val="20"/>
                <w:highlight w:val="none"/>
                <w:lang w:val="en-US" w:eastAsia="zh-CN"/>
              </w:rPr>
              <w:t>596332</w:t>
            </w:r>
            <w:r>
              <w:rPr>
                <w:rFonts w:hint="eastAsia" w:ascii="宋体" w:hAnsi="宋体" w:eastAsia="宋体" w:cs="宋体"/>
                <w:color w:val="auto"/>
                <w:kern w:val="0"/>
                <w:sz w:val="20"/>
                <w:szCs w:val="20"/>
                <w:highlight w:val="none"/>
              </w:rPr>
              <w:t xml:space="preserve">.00 </w:t>
            </w:r>
          </w:p>
        </w:tc>
      </w:tr>
    </w:tbl>
    <w:p w14:paraId="162299FE">
      <w:pPr>
        <w:pStyle w:val="17"/>
        <w:rPr>
          <w:bCs/>
          <w:color w:val="auto"/>
          <w:sz w:val="24"/>
          <w:highlight w:val="none"/>
        </w:rPr>
      </w:pPr>
    </w:p>
    <w:p w14:paraId="76F5BC9C">
      <w:pPr>
        <w:rPr>
          <w:bCs/>
          <w:color w:val="auto"/>
          <w:sz w:val="24"/>
          <w:highlight w:val="none"/>
        </w:rPr>
      </w:pPr>
    </w:p>
    <w:tbl>
      <w:tblPr>
        <w:tblStyle w:val="26"/>
        <w:tblW w:w="10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5"/>
        <w:gridCol w:w="8703"/>
      </w:tblGrid>
      <w:tr w14:paraId="2CE2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234" w:type="dxa"/>
            <w:gridSpan w:val="3"/>
            <w:vAlign w:val="center"/>
          </w:tcPr>
          <w:p w14:paraId="2BC6CB85">
            <w:pPr>
              <w:widowControl/>
              <w:spacing w:line="400" w:lineRule="exact"/>
              <w:jc w:val="center"/>
              <w:textAlignment w:val="center"/>
              <w:rPr>
                <w:rFonts w:hint="eastAsia" w:ascii="宋体" w:hAnsi="宋体" w:cs="宋体"/>
                <w:b/>
                <w:bCs/>
                <w:color w:val="auto"/>
                <w:szCs w:val="21"/>
                <w:highlight w:val="none"/>
              </w:rPr>
            </w:pPr>
            <w:r>
              <w:rPr>
                <w:rFonts w:hint="eastAsia" w:ascii="宋体" w:hAnsi="宋体" w:cs="宋体"/>
                <w:b/>
                <w:bCs/>
                <w:color w:val="auto"/>
                <w:sz w:val="24"/>
                <w:szCs w:val="24"/>
                <w:highlight w:val="none"/>
              </w:rPr>
              <w:t>商务要求</w:t>
            </w:r>
          </w:p>
        </w:tc>
      </w:tr>
      <w:tr w14:paraId="325D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76A75F9F">
            <w:pPr>
              <w:widowControl/>
              <w:spacing w:line="400" w:lineRule="exact"/>
              <w:jc w:val="center"/>
              <w:rPr>
                <w:rFonts w:ascii="宋体" w:hAnsi="宋体" w:cs="宋体"/>
                <w:b/>
                <w:bCs/>
                <w:color w:val="auto"/>
                <w:kern w:val="1"/>
                <w:szCs w:val="21"/>
                <w:highlight w:val="none"/>
              </w:rPr>
            </w:pPr>
            <w:r>
              <w:rPr>
                <w:rFonts w:hint="eastAsia" w:ascii="宋体" w:hAnsi="宋体" w:cs="宋体"/>
                <w:b/>
                <w:bCs/>
                <w:color w:val="auto"/>
                <w:szCs w:val="21"/>
                <w:highlight w:val="none"/>
              </w:rPr>
              <w:t>合同签订时间</w:t>
            </w:r>
          </w:p>
        </w:tc>
        <w:tc>
          <w:tcPr>
            <w:tcW w:w="8708" w:type="dxa"/>
            <w:gridSpan w:val="2"/>
            <w:vAlign w:val="center"/>
          </w:tcPr>
          <w:p w14:paraId="7F6F1B5C">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自成交通知书发出之日起</w:t>
            </w:r>
            <w:r>
              <w:rPr>
                <w:rFonts w:hint="eastAsia" w:ascii="宋体" w:hAnsi="宋体" w:cs="宋体"/>
                <w:color w:val="auto"/>
                <w:szCs w:val="21"/>
                <w:highlight w:val="none"/>
                <w:lang w:val="en-US" w:eastAsia="zh-CN"/>
              </w:rPr>
              <w:t>25</w:t>
            </w:r>
            <w:r>
              <w:rPr>
                <w:rFonts w:hint="eastAsia" w:ascii="宋体" w:hAnsi="宋体" w:cs="宋体"/>
                <w:color w:val="auto"/>
                <w:szCs w:val="21"/>
                <w:highlight w:val="none"/>
              </w:rPr>
              <w:t>日内。</w:t>
            </w:r>
          </w:p>
        </w:tc>
      </w:tr>
      <w:tr w14:paraId="7AB6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15F8CC44">
            <w:pPr>
              <w:spacing w:line="400" w:lineRule="exact"/>
              <w:jc w:val="center"/>
              <w:rPr>
                <w:rFonts w:ascii="宋体" w:hAnsi="宋体" w:cs="宋体"/>
                <w:color w:val="auto"/>
                <w:kern w:val="1"/>
                <w:szCs w:val="21"/>
                <w:highlight w:val="none"/>
              </w:rPr>
            </w:pPr>
            <w:r>
              <w:rPr>
                <w:rFonts w:hint="eastAsia" w:ascii="Segoe UI Symbol" w:hAnsi="Segoe UI Symbol" w:cs="Segoe UI Symbol"/>
                <w:bCs/>
                <w:color w:val="auto"/>
                <w:sz w:val="24"/>
                <w:highlight w:val="none"/>
              </w:rPr>
              <w:t>▲</w:t>
            </w:r>
            <w:r>
              <w:rPr>
                <w:rFonts w:hint="eastAsia" w:ascii="宋体" w:hAnsi="宋体" w:cs="宋体"/>
                <w:b/>
                <w:color w:val="auto"/>
                <w:szCs w:val="21"/>
                <w:highlight w:val="none"/>
              </w:rPr>
              <w:t>交货时间及地点</w:t>
            </w:r>
          </w:p>
        </w:tc>
        <w:tc>
          <w:tcPr>
            <w:tcW w:w="8708" w:type="dxa"/>
            <w:gridSpan w:val="2"/>
            <w:vAlign w:val="center"/>
          </w:tcPr>
          <w:p w14:paraId="3D9AAC0F">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交货时间：合同签订后</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日内全部完成设备的供货并安装调试完毕。</w:t>
            </w:r>
          </w:p>
          <w:p w14:paraId="1362DA8E">
            <w:pPr>
              <w:widowControl/>
              <w:spacing w:line="400" w:lineRule="exact"/>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地点：采购人指定地点。</w:t>
            </w:r>
          </w:p>
        </w:tc>
      </w:tr>
      <w:tr w14:paraId="1A01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7F166C31">
            <w:pPr>
              <w:spacing w:line="400" w:lineRule="exact"/>
              <w:jc w:val="center"/>
              <w:rPr>
                <w:rFonts w:ascii="宋体" w:hAnsi="宋体" w:cs="宋体"/>
                <w:b/>
                <w:bCs/>
                <w:color w:val="auto"/>
                <w:kern w:val="0"/>
                <w:szCs w:val="21"/>
                <w:highlight w:val="none"/>
              </w:rPr>
            </w:pPr>
            <w:r>
              <w:rPr>
                <w:rFonts w:hint="eastAsia" w:ascii="Segoe UI Symbol" w:hAnsi="Segoe UI Symbol" w:cs="Segoe UI Symbol"/>
                <w:bCs/>
                <w:color w:val="auto"/>
                <w:sz w:val="24"/>
                <w:highlight w:val="none"/>
              </w:rPr>
              <w:t>▲</w:t>
            </w:r>
            <w:r>
              <w:rPr>
                <w:rFonts w:hint="eastAsia" w:ascii="宋体" w:hAnsi="宋体" w:cs="宋体"/>
                <w:b/>
                <w:bCs/>
                <w:color w:val="auto"/>
                <w:kern w:val="0"/>
                <w:szCs w:val="21"/>
                <w:highlight w:val="none"/>
              </w:rPr>
              <w:t>货物安装及验收</w:t>
            </w:r>
          </w:p>
        </w:tc>
        <w:tc>
          <w:tcPr>
            <w:tcW w:w="8708" w:type="dxa"/>
            <w:gridSpan w:val="2"/>
            <w:vAlign w:val="center"/>
          </w:tcPr>
          <w:p w14:paraId="36FAE944">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.安装工程师对本响应文件中承诺的性能指标须逐项演示给用户，所有验收指标要求一次完成。</w:t>
            </w:r>
          </w:p>
          <w:p w14:paraId="6FB13AD6">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.安装、调试过程中，安装工程师有义务对用户讲解设备的操作及注意事项，对用户提出的问题安装工程师须认真给予正确完整的和回答。</w:t>
            </w:r>
          </w:p>
          <w:p w14:paraId="7C89B8E2">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要求竞标货物是全新的、未经改装的、合格的、满足本项目技术需求及要求的货物。成交供应商应提供货物的有效检验文件，经采购人认可后，与合同的性能指标一起作为货物验收标准；本项目验收标准应符合中国有关的国家、地方、行业标准。</w:t>
            </w:r>
          </w:p>
          <w:p w14:paraId="37A8A749">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.成交供应商提供的产品不满足响应文件承诺、验收不合格的，采购人有权解除合同并追究该供应商的法律责任。</w:t>
            </w:r>
          </w:p>
          <w:p w14:paraId="3501447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采购人对产品验收合格后，双方共同签署验收合格证书，验收标准应符合中国有关的国家、地方、行业标准。若出现弄虚作假情况，一经查实，采购单位将予以退货或换货，验收费用由成交人支付，同时追究成交人法律责任并要求成交人赔偿相关损失，并将竞标人弄虚作假的情况报政府采购监督管理部门，由政府采购监督管理部门按照《中华人民共和国政府采购法》及相关规定对其进行处罚。</w:t>
            </w:r>
          </w:p>
        </w:tc>
      </w:tr>
      <w:tr w14:paraId="5EBA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45A727AB">
            <w:pPr>
              <w:spacing w:line="400" w:lineRule="exact"/>
              <w:jc w:val="center"/>
              <w:rPr>
                <w:rFonts w:ascii="宋体" w:hAnsi="宋体" w:cs="宋体"/>
                <w:b/>
                <w:bCs/>
                <w:color w:val="auto"/>
                <w:szCs w:val="21"/>
                <w:highlight w:val="none"/>
              </w:rPr>
            </w:pPr>
            <w:r>
              <w:rPr>
                <w:rFonts w:hint="eastAsia" w:ascii="Segoe UI Symbol" w:hAnsi="Segoe UI Symbol" w:cs="Segoe UI Symbol"/>
                <w:bCs/>
                <w:color w:val="auto"/>
                <w:sz w:val="24"/>
                <w:highlight w:val="none"/>
              </w:rPr>
              <w:t>▲</w:t>
            </w:r>
            <w:r>
              <w:rPr>
                <w:rFonts w:hint="eastAsia" w:ascii="宋体" w:hAnsi="宋体" w:cs="宋体"/>
                <w:b/>
                <w:bCs/>
                <w:color w:val="auto"/>
                <w:szCs w:val="21"/>
                <w:highlight w:val="none"/>
              </w:rPr>
              <w:t>质量保证要求</w:t>
            </w:r>
          </w:p>
        </w:tc>
        <w:tc>
          <w:tcPr>
            <w:tcW w:w="8708" w:type="dxa"/>
            <w:gridSpan w:val="2"/>
            <w:vAlign w:val="center"/>
          </w:tcPr>
          <w:p w14:paraId="2F1C724A">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1.供应商应明确承诺：按国家有关产品“三包”规定执行“三包”，货物验</w:t>
            </w:r>
            <w:r>
              <w:rPr>
                <w:rFonts w:hint="eastAsia" w:ascii="宋体" w:hAnsi="宋体" w:cs="宋体"/>
                <w:color w:val="auto"/>
                <w:szCs w:val="21"/>
                <w:highlight w:val="none"/>
              </w:rPr>
              <w:t>收合格后，自安装验收合格之日起质保期不少于</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年（分项有更高要求的按分项要求的质保）。质保</w:t>
            </w:r>
            <w:r>
              <w:rPr>
                <w:rFonts w:hint="eastAsia" w:ascii="宋体" w:hAnsi="宋体" w:cs="宋体"/>
                <w:color w:val="auto"/>
                <w:szCs w:val="21"/>
                <w:highlight w:val="none"/>
              </w:rPr>
              <w:t>期内非人为损坏上门维修、免费更换所有故障零配件，并免费提供硬件的安全性改版升级和技术支持，确保设备正常运行。</w:t>
            </w:r>
          </w:p>
          <w:p w14:paraId="0E832869">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2.质保期所更换的零配件必须是原厂全新的零配件，满足设备运行要求。</w:t>
            </w:r>
          </w:p>
          <w:p w14:paraId="6B6DACE3">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3.质保期内，成交供应商负责处理解决货物出现的质量及安全问题并承担一切费用，所有非故意性损坏以及正常使用范围内造成的损坏均要免费维修，因人为因素出现的故障不在免费保修范围内，但成交供应商也要积极帮助采购人修理，并提供优惠价格的配件和服务。</w:t>
            </w:r>
          </w:p>
          <w:p w14:paraId="09FD87B6">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3.质保期内每年提供 1 次设备检查保养服务(使用专业检测设备)，每次保养及维修均需提供双方签字确认的保养服务工单或维修工单。</w:t>
            </w:r>
          </w:p>
          <w:p w14:paraId="0044514B">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4.质量保证期承诺优于国家“三包”规定的，或优于采购文件规定的，按供应商实际承诺执行。</w:t>
            </w:r>
          </w:p>
        </w:tc>
      </w:tr>
      <w:tr w14:paraId="01BB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4F478618">
            <w:pPr>
              <w:spacing w:line="400" w:lineRule="exact"/>
              <w:jc w:val="center"/>
              <w:rPr>
                <w:rFonts w:ascii="宋体" w:hAnsi="宋体" w:cs="宋体"/>
                <w:b/>
                <w:bCs/>
                <w:color w:val="auto"/>
                <w:szCs w:val="21"/>
                <w:highlight w:val="none"/>
              </w:rPr>
            </w:pPr>
            <w:r>
              <w:rPr>
                <w:rFonts w:hint="eastAsia" w:ascii="Segoe UI Symbol" w:hAnsi="Segoe UI Symbol" w:cs="Segoe UI Symbol"/>
                <w:bCs/>
                <w:color w:val="auto"/>
                <w:sz w:val="24"/>
                <w:highlight w:val="none"/>
              </w:rPr>
              <w:t>▲</w:t>
            </w:r>
            <w:r>
              <w:rPr>
                <w:rFonts w:hint="eastAsia" w:ascii="宋体" w:hAnsi="宋体" w:cs="宋体"/>
                <w:b/>
                <w:bCs/>
                <w:color w:val="auto"/>
                <w:szCs w:val="21"/>
                <w:highlight w:val="none"/>
              </w:rPr>
              <w:t>售后服务要求</w:t>
            </w:r>
          </w:p>
        </w:tc>
        <w:tc>
          <w:tcPr>
            <w:tcW w:w="8708" w:type="dxa"/>
            <w:gridSpan w:val="2"/>
            <w:vAlign w:val="center"/>
          </w:tcPr>
          <w:p w14:paraId="65D94F43">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1.免费提供仪器操作及维护，培训课程有基础理论、使用操作、日常维护、应用方法等内容组成。</w:t>
            </w:r>
          </w:p>
          <w:p w14:paraId="25FECB7B">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2.维修过程中所需零配件成交人在接到通知后最长不超过 3天必须送达采购单位。</w:t>
            </w:r>
          </w:p>
          <w:p w14:paraId="708A1608">
            <w:pPr>
              <w:widowControl/>
              <w:spacing w:line="400" w:lineRule="exact"/>
              <w:textAlignment w:val="center"/>
              <w:rPr>
                <w:rFonts w:ascii="宋体" w:hAnsi="宋体" w:cs="宋体"/>
                <w:color w:val="auto"/>
                <w:szCs w:val="21"/>
                <w:highlight w:val="none"/>
              </w:rPr>
            </w:pPr>
            <w:r>
              <w:rPr>
                <w:rFonts w:hint="eastAsia" w:ascii="宋体" w:hAnsi="宋体" w:cs="宋体"/>
                <w:color w:val="auto"/>
                <w:szCs w:val="21"/>
                <w:highlight w:val="none"/>
              </w:rPr>
              <w:t>3.竞标货物的售后服务必须由成交人直接负责，售后工作由成交人和设备原生产商直接协调。保证长期、优惠、及时提供零备件和优质、优惠的维修服务，提供软件</w:t>
            </w:r>
            <w:r>
              <w:rPr>
                <w:rFonts w:hint="eastAsia" w:ascii="宋体" w:hAnsi="宋体" w:cs="宋体"/>
                <w:color w:val="auto"/>
                <w:szCs w:val="21"/>
                <w:highlight w:val="none"/>
                <w:lang w:eastAsia="zh-CN"/>
              </w:rPr>
              <w:t>终身</w:t>
            </w:r>
            <w:r>
              <w:rPr>
                <w:rFonts w:hint="eastAsia" w:ascii="宋体" w:hAnsi="宋体" w:cs="宋体"/>
                <w:color w:val="auto"/>
                <w:szCs w:val="21"/>
                <w:highlight w:val="none"/>
              </w:rPr>
              <w:t>免费升级。</w:t>
            </w:r>
          </w:p>
          <w:p w14:paraId="62EA250F">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4.提供 7×24 小时电话或电子邮件服务，成交人接到采购单位的通知后立即响应，在 1 小时内做出明确响应和安排，在 6 小时内做出故障诊断报告，如需现场服务的，具有解决故障能力的工程师应在 12 小时内到达现场，8 小时内解决问题，以保证设备正常运行，并承担一切相关费用。</w:t>
            </w:r>
          </w:p>
        </w:tc>
      </w:tr>
      <w:tr w14:paraId="1EAC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751C4EAA">
            <w:pPr>
              <w:spacing w:line="400" w:lineRule="exact"/>
              <w:jc w:val="center"/>
              <w:rPr>
                <w:rFonts w:ascii="宋体" w:hAnsi="宋体" w:cs="宋体"/>
                <w:b/>
                <w:bCs/>
                <w:color w:val="auto"/>
                <w:kern w:val="0"/>
                <w:szCs w:val="21"/>
                <w:highlight w:val="none"/>
              </w:rPr>
            </w:pPr>
            <w:r>
              <w:rPr>
                <w:rFonts w:hint="eastAsia" w:ascii="Segoe UI Symbol" w:hAnsi="Segoe UI Symbol" w:cs="Segoe UI Symbol"/>
                <w:bCs/>
                <w:color w:val="auto"/>
                <w:sz w:val="24"/>
                <w:highlight w:val="none"/>
              </w:rPr>
              <w:t>▲</w:t>
            </w:r>
            <w:r>
              <w:rPr>
                <w:rFonts w:hint="eastAsia" w:ascii="宋体" w:hAnsi="宋体" w:cs="宋体"/>
                <w:b/>
                <w:bCs/>
                <w:color w:val="auto"/>
                <w:szCs w:val="21"/>
                <w:highlight w:val="none"/>
              </w:rPr>
              <w:t>履约保证金收取及退付</w:t>
            </w:r>
          </w:p>
        </w:tc>
        <w:tc>
          <w:tcPr>
            <w:tcW w:w="8708" w:type="dxa"/>
            <w:gridSpan w:val="2"/>
            <w:vAlign w:val="center"/>
          </w:tcPr>
          <w:p w14:paraId="040F41D1">
            <w:pPr>
              <w:widowControl/>
              <w:spacing w:line="40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1.成交人于合同签订前按成交金额的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5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%(金额：元)</w:t>
            </w:r>
            <w:r>
              <w:rPr>
                <w:rFonts w:hint="eastAsia" w:ascii="宋体" w:hAnsi="宋体" w:cs="宋体"/>
                <w:color w:val="auto"/>
                <w:szCs w:val="21"/>
                <w:highlight w:val="none"/>
              </w:rPr>
              <w:t>成交通知书发出</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个工作日内，成交供应商须向采购人提交履约保证金。成交供应商不按时交纳履约保证金，视为成交供应商自行放弃成交资格。</w:t>
            </w:r>
            <w:r>
              <w:rPr>
                <w:rFonts w:hint="eastAsia" w:ascii="宋体" w:hAnsi="宋体" w:cs="宋体"/>
                <w:color w:val="auto"/>
                <w:szCs w:val="21"/>
                <w:highlight w:val="none"/>
              </w:rPr>
              <w:t>（若成交供应商被认定为中小企业的，中小企业缴纳数额为成交金额的2%）。</w:t>
            </w:r>
          </w:p>
          <w:p w14:paraId="301516F2">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2.递交方式：银行转账、支票、汇票、本票或者金融、担保机构出具的保函等非现金方式。</w:t>
            </w:r>
          </w:p>
          <w:p w14:paraId="018D60FF">
            <w:pPr>
              <w:snapToGrid w:val="0"/>
              <w:spacing w:line="44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3、履约保证金退付方式、时间及条件：在质保期内乙方提供的服务符合合同约定，质保期满后无质量问题</w:t>
            </w:r>
            <w:r>
              <w:rPr>
                <w:rFonts w:hint="eastAsia" w:ascii="宋体" w:hAnsi="宋体" w:cs="宋体"/>
                <w:color w:val="auto"/>
                <w:szCs w:val="21"/>
                <w:highlight w:val="none"/>
                <w:lang w:val="en-US" w:eastAsia="zh-CN"/>
              </w:rPr>
              <w:t>并按照合同约定完成合同所有服务</w:t>
            </w:r>
            <w:r>
              <w:rPr>
                <w:rFonts w:hint="eastAsia" w:ascii="宋体" w:hAnsi="宋体" w:cs="宋体"/>
                <w:color w:val="auto"/>
                <w:szCs w:val="21"/>
                <w:highlight w:val="none"/>
              </w:rPr>
              <w:t>，乙方向甲方</w:t>
            </w:r>
            <w:r>
              <w:rPr>
                <w:rFonts w:hint="eastAsia" w:ascii="宋体" w:hAnsi="宋体" w:cs="宋体"/>
                <w:color w:val="auto"/>
                <w:szCs w:val="21"/>
                <w:highlight w:val="none"/>
                <w:lang w:val="en-US" w:eastAsia="zh-CN"/>
              </w:rPr>
              <w:t>申请</w:t>
            </w:r>
            <w:r>
              <w:rPr>
                <w:rFonts w:hint="eastAsia" w:ascii="宋体" w:hAnsi="宋体" w:cs="宋体"/>
                <w:color w:val="auto"/>
                <w:szCs w:val="21"/>
                <w:highlight w:val="none"/>
              </w:rPr>
              <w:t>办理退付手续，甲方在收到完整且合格的退付申请资料后15个工作日内以银行转账方式原路退还乙方（不计利息）。涉及违约的违约金和损失赔偿从履约保证金中扣减，履约保证金不足以支付违约金、赔偿损失的，乙方仍应承担相应的违约赔偿责任。</w:t>
            </w:r>
          </w:p>
          <w:p w14:paraId="2B7BAEF1">
            <w:pPr>
              <w:widowControl/>
              <w:snapToGrid/>
              <w:spacing w:line="400" w:lineRule="exact"/>
              <w:ind w:firstLine="0" w:firstLineChars="0"/>
              <w:textAlignment w:val="center"/>
              <w:rPr>
                <w:rFonts w:hint="eastAsia" w:ascii="宋体" w:hAnsi="宋体" w:cs="宋体"/>
                <w:color w:val="auto"/>
                <w:szCs w:val="21"/>
                <w:highlight w:val="none"/>
              </w:rPr>
            </w:pPr>
            <w:bookmarkStart w:id="26" w:name="_Hlk19106598"/>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、履约保证金指定账户：</w:t>
            </w:r>
          </w:p>
          <w:p w14:paraId="3582A05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开户名称：广西信息职业技术学院</w:t>
            </w:r>
          </w:p>
          <w:p w14:paraId="626C4011">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开户银行：农业银行南宁青年国际支行</w:t>
            </w:r>
          </w:p>
          <w:p w14:paraId="1797007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银行账号：20023301040009198</w:t>
            </w:r>
          </w:p>
          <w:p w14:paraId="60E8B02A">
            <w:pPr>
              <w:spacing w:line="300" w:lineRule="exact"/>
              <w:ind w:firstLine="422" w:firstLineChars="200"/>
              <w:jc w:val="left"/>
              <w:rPr>
                <w:rFonts w:hint="default"/>
                <w:color w:val="auto"/>
                <w:highlight w:val="none"/>
                <w:lang w:val="en-US" w:eastAsia="zh-CN"/>
              </w:rPr>
            </w:pPr>
            <w:r>
              <w:rPr>
                <w:rFonts w:hint="eastAsia" w:ascii="宋体" w:hAnsi="宋体" w:cs="宋体"/>
                <w:b/>
                <w:bCs/>
                <w:color w:val="auto"/>
                <w:szCs w:val="21"/>
                <w:highlight w:val="none"/>
                <w:lang w:val="en-US" w:eastAsia="zh-CN"/>
              </w:rPr>
              <w:t>转账</w:t>
            </w:r>
            <w:r>
              <w:rPr>
                <w:rFonts w:hint="eastAsia" w:ascii="宋体" w:hAnsi="宋体" w:cs="宋体"/>
                <w:b/>
                <w:bCs/>
                <w:color w:val="auto"/>
                <w:szCs w:val="21"/>
                <w:highlight w:val="none"/>
              </w:rPr>
              <w:t>备注</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必填项</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w:t>
            </w:r>
            <w:r>
              <w:rPr>
                <w:rFonts w:hint="eastAsia" w:ascii="宋体" w:hAnsi="宋体" w:cs="Times New Roman"/>
                <w:b w:val="0"/>
                <w:bCs w:val="0"/>
                <w:color w:val="auto"/>
                <w:szCs w:val="21"/>
                <w:highlight w:val="none"/>
                <w:u w:val="single"/>
                <w:lang w:val="en-US" w:eastAsia="zh-CN"/>
              </w:rPr>
              <w:t>xxx</w:t>
            </w:r>
            <w:r>
              <w:rPr>
                <w:rFonts w:hint="eastAsia" w:ascii="宋体" w:hAnsi="宋体" w:cs="Times New Roman"/>
                <w:color w:val="auto"/>
                <w:szCs w:val="21"/>
                <w:highlight w:val="none"/>
                <w:u w:val="single"/>
              </w:rPr>
              <w:t>项</w:t>
            </w:r>
            <w:r>
              <w:rPr>
                <w:rFonts w:hint="eastAsia" w:ascii="宋体" w:hAnsi="宋体"/>
                <w:color w:val="auto"/>
                <w:szCs w:val="21"/>
                <w:highlight w:val="none"/>
                <w:u w:val="single"/>
              </w:rPr>
              <w:t>目</w:t>
            </w:r>
            <w:r>
              <w:rPr>
                <w:rFonts w:hint="eastAsia" w:ascii="宋体" w:hAnsi="宋体"/>
                <w:color w:val="auto"/>
                <w:szCs w:val="21"/>
                <w:highlight w:val="none"/>
                <w:u w:val="single"/>
                <w:lang w:val="en-US" w:eastAsia="zh-CN"/>
              </w:rPr>
              <w:t>履约保证金</w:t>
            </w:r>
            <w:bookmarkEnd w:id="26"/>
          </w:p>
        </w:tc>
      </w:tr>
      <w:tr w14:paraId="6227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26" w:type="dxa"/>
            <w:vAlign w:val="center"/>
          </w:tcPr>
          <w:p w14:paraId="43FC3F37">
            <w:pPr>
              <w:spacing w:line="400" w:lineRule="exact"/>
              <w:jc w:val="center"/>
              <w:rPr>
                <w:rFonts w:ascii="宋体" w:hAnsi="宋体" w:cs="宋体"/>
                <w:b/>
                <w:bCs/>
                <w:color w:val="auto"/>
                <w:szCs w:val="21"/>
                <w:highlight w:val="none"/>
              </w:rPr>
            </w:pPr>
            <w:r>
              <w:rPr>
                <w:rFonts w:hint="eastAsia" w:ascii="Segoe UI Symbol" w:hAnsi="Segoe UI Symbol" w:cs="Segoe UI Symbol"/>
                <w:bCs/>
                <w:color w:val="auto"/>
                <w:sz w:val="24"/>
                <w:highlight w:val="none"/>
              </w:rPr>
              <w:t>▲</w:t>
            </w:r>
            <w:r>
              <w:rPr>
                <w:rFonts w:hint="eastAsia" w:ascii="宋体" w:hAnsi="宋体" w:cs="宋体"/>
                <w:b/>
                <w:bCs/>
                <w:color w:val="auto"/>
                <w:szCs w:val="21"/>
                <w:highlight w:val="none"/>
              </w:rPr>
              <w:t>付款方式</w:t>
            </w:r>
          </w:p>
        </w:tc>
        <w:tc>
          <w:tcPr>
            <w:tcW w:w="8708" w:type="dxa"/>
            <w:gridSpan w:val="2"/>
            <w:vAlign w:val="center"/>
          </w:tcPr>
          <w:p w14:paraId="067DA8D0">
            <w:pPr>
              <w:widowControl/>
              <w:spacing w:line="400" w:lineRule="exact"/>
              <w:textAlignment w:val="center"/>
              <w:rPr>
                <w:rFonts w:hint="eastAsia"/>
                <w:color w:val="auto"/>
                <w:highlight w:val="none"/>
              </w:rPr>
            </w:pPr>
            <w:r>
              <w:rPr>
                <w:rFonts w:hint="eastAsia"/>
                <w:color w:val="auto"/>
                <w:highlight w:val="none"/>
              </w:rPr>
              <w:t>（1）签订合同后十个工作日内，甲方支付乙方合同总金额的</w:t>
            </w:r>
            <w:r>
              <w:rPr>
                <w:rFonts w:hint="default"/>
                <w:color w:val="auto"/>
                <w:highlight w:val="none"/>
                <w:lang w:val="en-US"/>
              </w:rPr>
              <w:t>3</w:t>
            </w:r>
            <w:r>
              <w:rPr>
                <w:rFonts w:hint="eastAsia"/>
                <w:color w:val="auto"/>
                <w:highlight w:val="none"/>
              </w:rPr>
              <w:t>0%（金额：元）做为预付款。</w:t>
            </w:r>
          </w:p>
          <w:p w14:paraId="2D8ECB76">
            <w:pPr>
              <w:widowControl/>
              <w:spacing w:line="400" w:lineRule="exact"/>
              <w:textAlignment w:val="center"/>
              <w:rPr>
                <w:rFonts w:hint="eastAsia"/>
                <w:color w:val="auto"/>
                <w:highlight w:val="none"/>
              </w:rPr>
            </w:pPr>
            <w:r>
              <w:rPr>
                <w:rFonts w:hint="eastAsia"/>
                <w:color w:val="auto"/>
                <w:highlight w:val="none"/>
              </w:rPr>
              <w:t>（2）提交服务成果验收合格后，在10个工作日内，支付剩余总金额的</w:t>
            </w:r>
            <w:r>
              <w:rPr>
                <w:rFonts w:hint="default"/>
                <w:color w:val="auto"/>
                <w:highlight w:val="none"/>
                <w:lang w:val="en-US"/>
              </w:rPr>
              <w:t>7</w:t>
            </w:r>
            <w:r>
              <w:rPr>
                <w:rFonts w:hint="eastAsia"/>
                <w:color w:val="auto"/>
                <w:highlight w:val="none"/>
              </w:rPr>
              <w:t>0%（金额：元）。</w:t>
            </w:r>
          </w:p>
          <w:p w14:paraId="1EDD5F9E">
            <w:pPr>
              <w:widowControl/>
              <w:spacing w:line="400" w:lineRule="exact"/>
              <w:textAlignment w:val="center"/>
              <w:rPr>
                <w:rFonts w:hint="default" w:eastAsia="宋体"/>
                <w:color w:val="auto"/>
                <w:highlight w:val="none"/>
                <w:lang w:val="en-US" w:eastAsia="zh-CN"/>
              </w:rPr>
            </w:pPr>
            <w:r>
              <w:rPr>
                <w:rFonts w:hint="eastAsia"/>
                <w:color w:val="auto"/>
                <w:highlight w:val="none"/>
              </w:rPr>
              <w:t>（3）乙方在申请款项时，应按国家相关规定向甲方开具相应金额的正式发票，乙方逾期提供发票的，甲方有权延期付款且不视为违约。</w:t>
            </w:r>
          </w:p>
        </w:tc>
      </w:tr>
      <w:tr w14:paraId="2B8B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31" w:type="dxa"/>
            <w:gridSpan w:val="2"/>
            <w:vAlign w:val="center"/>
          </w:tcPr>
          <w:p w14:paraId="6F597A5B">
            <w:pPr>
              <w:spacing w:line="400" w:lineRule="exact"/>
              <w:jc w:val="center"/>
              <w:rPr>
                <w:rFonts w:ascii="宋体" w:hAnsi="宋体" w:cs="宋体"/>
                <w:b/>
                <w:bCs/>
                <w:color w:val="auto"/>
                <w:kern w:val="1"/>
                <w:szCs w:val="21"/>
                <w:highlight w:val="none"/>
              </w:rPr>
            </w:pPr>
            <w:r>
              <w:rPr>
                <w:rFonts w:hint="eastAsia" w:ascii="Segoe UI Symbol" w:hAnsi="Segoe UI Symbol" w:cs="Segoe UI Symbol"/>
                <w:bCs/>
                <w:color w:val="auto"/>
                <w:sz w:val="24"/>
                <w:highlight w:val="none"/>
              </w:rPr>
              <w:t>▲</w:t>
            </w:r>
            <w:r>
              <w:rPr>
                <w:rFonts w:hint="eastAsia" w:ascii="宋体" w:hAnsi="宋体" w:cs="宋体"/>
                <w:b/>
                <w:bCs/>
                <w:color w:val="auto"/>
                <w:szCs w:val="21"/>
                <w:highlight w:val="none"/>
              </w:rPr>
              <w:t>其他要求</w:t>
            </w:r>
          </w:p>
          <w:p w14:paraId="36388CFA">
            <w:pPr>
              <w:pStyle w:val="10"/>
              <w:spacing w:line="400" w:lineRule="exact"/>
              <w:rPr>
                <w:rFonts w:hint="eastAsia" w:ascii="宋体" w:hAnsi="宋体" w:cs="宋体"/>
                <w:color w:val="auto"/>
                <w:szCs w:val="21"/>
                <w:highlight w:val="none"/>
              </w:rPr>
            </w:pPr>
          </w:p>
        </w:tc>
        <w:tc>
          <w:tcPr>
            <w:tcW w:w="8703" w:type="dxa"/>
            <w:vAlign w:val="center"/>
          </w:tcPr>
          <w:p w14:paraId="30C26500">
            <w:pPr>
              <w:pStyle w:val="10"/>
              <w:spacing w:line="400" w:lineRule="exact"/>
              <w:rPr>
                <w:rFonts w:ascii="宋体" w:hAnsi="宋体" w:cs="宋体"/>
                <w:color w:val="auto"/>
                <w:szCs w:val="21"/>
                <w:highlight w:val="none"/>
              </w:rPr>
            </w:pPr>
            <w:r>
              <w:rPr>
                <w:rFonts w:hint="eastAsia" w:ascii="宋体" w:hAnsi="宋体" w:cs="宋体"/>
                <w:color w:val="auto"/>
                <w:szCs w:val="21"/>
                <w:highlight w:val="none"/>
              </w:rPr>
              <w:t>1.要求供货产品是全新的、未经改装的、合格的、满足本项目技术需求及要求的货物。所有零部件、配件必须是未经使用的全新的并符合国家有关质量安全标准的产品。提供设备使用培训、操作技能训练等；提供相关设备说明书、管理和配置指南手册、使用手册和故障定位/排除指南手册等。</w:t>
            </w:r>
          </w:p>
          <w:p w14:paraId="27BB45AC">
            <w:pPr>
              <w:pStyle w:val="10"/>
              <w:spacing w:line="400" w:lineRule="exact"/>
              <w:rPr>
                <w:rFonts w:ascii="宋体" w:hAnsi="宋体" w:cs="宋体"/>
                <w:color w:val="auto"/>
                <w:szCs w:val="21"/>
                <w:highlight w:val="none"/>
              </w:rPr>
            </w:pPr>
            <w:r>
              <w:rPr>
                <w:rFonts w:hint="eastAsia" w:ascii="宋体" w:hAnsi="宋体" w:cs="宋体"/>
                <w:color w:val="auto"/>
                <w:szCs w:val="21"/>
                <w:highlight w:val="none"/>
              </w:rPr>
              <w:t>2.本项目实行总价包干制，报价合计金额包括货物价款、配套软件、标准附件、随配附件、备品备件、辅助材料、专用工具、包装、运抵指定交货地点、运输、装卸、完工清场清洁、货到就位、安装、调试、检验、技术培训、技术资料、售后服务、保险、投标费用、预验收及履约验收及售后服务、人工费、一切税费等全部费用。税费因政策等原因发生变化的，由成交供应商承担。合同履行过程中，采购人不再支付合同以外的其他费用。</w:t>
            </w:r>
          </w:p>
          <w:p w14:paraId="4016D446">
            <w:pPr>
              <w:pStyle w:val="10"/>
              <w:spacing w:line="400" w:lineRule="exact"/>
              <w:rPr>
                <w:rFonts w:ascii="宋体" w:hAnsi="宋体" w:cs="宋体"/>
                <w:color w:val="auto"/>
                <w:szCs w:val="21"/>
                <w:highlight w:val="none"/>
              </w:rPr>
            </w:pPr>
            <w:r>
              <w:rPr>
                <w:rFonts w:hint="eastAsia" w:ascii="宋体" w:hAnsi="宋体" w:cs="宋体"/>
                <w:color w:val="auto"/>
                <w:szCs w:val="21"/>
                <w:highlight w:val="none"/>
              </w:rPr>
              <w:t>3.成交供应商承担货物交付验收前的运输、安装等作业工人人身、设备安全责任。验收前，如果设备丢失、因供应商自身原因及第三方原因导致损坏，成交供应商应自行负责并承担不能交付货物的责任。</w:t>
            </w:r>
          </w:p>
          <w:p w14:paraId="104E5F09">
            <w:pPr>
              <w:pStyle w:val="10"/>
              <w:spacing w:line="400" w:lineRule="exact"/>
              <w:rPr>
                <w:rFonts w:ascii="宋体" w:hAnsi="宋体" w:cs="宋体"/>
                <w:color w:val="auto"/>
                <w:szCs w:val="21"/>
                <w:highlight w:val="none"/>
              </w:rPr>
            </w:pPr>
            <w:r>
              <w:rPr>
                <w:rFonts w:hint="eastAsia" w:ascii="宋体" w:hAnsi="宋体" w:cs="宋体"/>
                <w:color w:val="auto"/>
                <w:szCs w:val="21"/>
                <w:highlight w:val="none"/>
              </w:rPr>
              <w:t>4.本项目不接受进口产品（即通过中国海关报关验放进入中国境内且产自关境外的产品）参与</w:t>
            </w:r>
            <w:r>
              <w:rPr>
                <w:rFonts w:hint="eastAsia" w:ascii="宋体" w:hAnsi="宋体" w:cs="宋体"/>
                <w:color w:val="auto"/>
                <w:szCs w:val="21"/>
                <w:highlight w:val="none"/>
                <w:lang w:bidi="ar"/>
              </w:rPr>
              <w:t>竞争性谈判</w:t>
            </w:r>
            <w:r>
              <w:rPr>
                <w:rFonts w:hint="eastAsia" w:ascii="宋体" w:hAnsi="宋体" w:cs="宋体"/>
                <w:color w:val="auto"/>
                <w:szCs w:val="21"/>
                <w:highlight w:val="none"/>
              </w:rPr>
              <w:t>，如有此类产品参与</w:t>
            </w:r>
            <w:r>
              <w:rPr>
                <w:rFonts w:hint="eastAsia" w:ascii="宋体" w:hAnsi="宋体" w:cs="宋体"/>
                <w:color w:val="auto"/>
                <w:szCs w:val="21"/>
                <w:highlight w:val="none"/>
                <w:lang w:bidi="ar"/>
              </w:rPr>
              <w:t>竞争性谈判</w:t>
            </w:r>
            <w:r>
              <w:rPr>
                <w:rFonts w:hint="eastAsia" w:ascii="宋体" w:hAnsi="宋体" w:cs="宋体"/>
                <w:color w:val="auto"/>
                <w:szCs w:val="21"/>
                <w:highlight w:val="none"/>
              </w:rPr>
              <w:t>的按无效响应处理。</w:t>
            </w:r>
          </w:p>
          <w:p w14:paraId="478D94CC">
            <w:pPr>
              <w:pStyle w:val="10"/>
              <w:spacing w:line="400" w:lineRule="exact"/>
              <w:rPr>
                <w:rFonts w:hint="eastAsia" w:ascii="宋体" w:hAnsi="宋体" w:cs="宋体"/>
                <w:color w:val="auto"/>
                <w:szCs w:val="21"/>
                <w:highlight w:val="none"/>
              </w:rPr>
            </w:pPr>
            <w:r>
              <w:rPr>
                <w:rFonts w:hint="eastAsia" w:ascii="宋体" w:hAnsi="宋体" w:cs="宋体"/>
                <w:color w:val="auto"/>
                <w:szCs w:val="21"/>
                <w:highlight w:val="none"/>
              </w:rPr>
              <w:t>5.本项目的核心产品为：</w:t>
            </w:r>
            <w:r>
              <w:rPr>
                <w:rFonts w:hint="eastAsia"/>
                <w:color w:val="auto"/>
                <w:highlight w:val="none"/>
              </w:rPr>
              <w:t>手机维修实训套件、电子电路仿真设计开发实验平台、四旋翼无人机飞控原理教学实训套件</w:t>
            </w:r>
          </w:p>
        </w:tc>
      </w:tr>
    </w:tbl>
    <w:p w14:paraId="75262E1A">
      <w:pPr>
        <w:rPr>
          <w:rFonts w:ascii="宋体" w:hAnsi="宋体" w:cs="宋体"/>
          <w:color w:val="auto"/>
          <w:highlight w:val="none"/>
        </w:rPr>
      </w:pPr>
      <w:r>
        <w:rPr>
          <w:rFonts w:hint="eastAsia" w:ascii="宋体" w:hAnsi="宋体" w:cs="宋体"/>
          <w:color w:val="auto"/>
          <w:highlight w:val="none"/>
        </w:rPr>
        <w:br w:type="page"/>
      </w:r>
    </w:p>
    <w:p w14:paraId="1CBDD7A6">
      <w:pPr>
        <w:spacing w:line="428" w:lineRule="exact"/>
        <w:rPr>
          <w:rFonts w:ascii="Arial Unicode MS" w:hAnsi="Arial Unicode MS" w:eastAsia="Arial Unicode MS" w:cs="Arial Unicode MS"/>
          <w:color w:val="auto"/>
          <w:sz w:val="32"/>
          <w:szCs w:val="32"/>
          <w:highlight w:val="none"/>
        </w:rPr>
      </w:pPr>
      <w:r>
        <w:rPr>
          <w:rFonts w:hint="eastAsia" w:ascii="微软雅黑" w:hAnsi="微软雅黑" w:eastAsia="微软雅黑" w:cs="微软雅黑"/>
          <w:color w:val="auto"/>
          <w:sz w:val="32"/>
          <w:szCs w:val="32"/>
          <w:highlight w:val="none"/>
        </w:rPr>
        <w:t>附件</w:t>
      </w:r>
      <w:r>
        <w:rPr>
          <w:rFonts w:ascii="Arial Unicode MS" w:hAnsi="Arial Unicode MS" w:eastAsia="Arial Unicode MS" w:cs="Arial Unicode MS"/>
          <w:color w:val="auto"/>
          <w:sz w:val="32"/>
          <w:szCs w:val="32"/>
          <w:highlight w:val="none"/>
        </w:rPr>
        <w:t>1</w:t>
      </w:r>
      <w:r>
        <w:rPr>
          <w:rFonts w:hint="eastAsia" w:ascii="微软雅黑" w:hAnsi="微软雅黑" w:eastAsia="微软雅黑" w:cs="微软雅黑"/>
          <w:color w:val="auto"/>
          <w:sz w:val="32"/>
          <w:szCs w:val="32"/>
          <w:highlight w:val="none"/>
        </w:rPr>
        <w:t>：</w:t>
      </w:r>
    </w:p>
    <w:p w14:paraId="575E399B">
      <w:pPr>
        <w:spacing w:before="7"/>
        <w:rPr>
          <w:rFonts w:ascii="Arial Unicode MS" w:hAnsi="Arial Unicode MS" w:eastAsia="Arial Unicode MS" w:cs="Arial Unicode MS"/>
          <w:color w:val="auto"/>
          <w:sz w:val="17"/>
          <w:szCs w:val="17"/>
          <w:highlight w:val="none"/>
        </w:rPr>
      </w:pPr>
    </w:p>
    <w:p w14:paraId="4CA11C9D">
      <w:pPr>
        <w:spacing w:line="528" w:lineRule="exact"/>
        <w:ind w:left="1871"/>
        <w:rPr>
          <w:rFonts w:ascii="Arial Unicode MS" w:hAnsi="Arial Unicode MS" w:eastAsia="Arial Unicode MS" w:cs="Arial Unicode MS"/>
          <w:color w:val="auto"/>
          <w:sz w:val="40"/>
          <w:szCs w:val="40"/>
          <w:highlight w:val="none"/>
        </w:rPr>
      </w:pPr>
      <w:r>
        <w:rPr>
          <w:rFonts w:hint="eastAsia" w:ascii="Arial Unicode MS" w:hAnsi="Arial Unicode MS" w:eastAsia="Arial Unicode MS" w:cs="Arial Unicode MS"/>
          <w:color w:val="auto"/>
          <w:sz w:val="44"/>
          <w:szCs w:val="44"/>
          <w:highlight w:val="none"/>
        </w:rPr>
        <w:t>节能产品政府采购品目清单</w:t>
      </w:r>
    </w:p>
    <w:tbl>
      <w:tblPr>
        <w:tblStyle w:val="26"/>
        <w:tblW w:w="9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543"/>
        <w:gridCol w:w="1954"/>
        <w:gridCol w:w="1488"/>
        <w:gridCol w:w="4287"/>
      </w:tblGrid>
      <w:tr w14:paraId="4B64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55DA542">
            <w:pPr>
              <w:jc w:val="center"/>
              <w:rPr>
                <w:rFonts w:ascii="宋体" w:hAnsi="宋体"/>
                <w:color w:val="auto"/>
                <w:sz w:val="24"/>
                <w:highlight w:val="none"/>
              </w:rPr>
            </w:pPr>
            <w:r>
              <w:rPr>
                <w:rFonts w:hint="eastAsia" w:ascii="宋体" w:hAnsi="宋体" w:cs="宋体"/>
                <w:b/>
                <w:bCs/>
                <w:color w:val="auto"/>
                <w:w w:val="99"/>
                <w:sz w:val="24"/>
                <w:highlight w:val="none"/>
              </w:rPr>
              <w:t>品目序号</w:t>
            </w:r>
          </w:p>
        </w:tc>
        <w:tc>
          <w:tcPr>
            <w:tcW w:w="4985" w:type="dxa"/>
            <w:gridSpan w:val="3"/>
            <w:tcBorders>
              <w:top w:val="single" w:color="000000" w:sz="4" w:space="0"/>
              <w:left w:val="single" w:color="000000" w:sz="4" w:space="0"/>
              <w:bottom w:val="single" w:color="000000" w:sz="4" w:space="0"/>
              <w:right w:val="single" w:color="000000" w:sz="4" w:space="0"/>
            </w:tcBorders>
            <w:vAlign w:val="center"/>
          </w:tcPr>
          <w:p w14:paraId="1697EE5C">
            <w:pPr>
              <w:jc w:val="center"/>
              <w:rPr>
                <w:rFonts w:ascii="宋体" w:hAnsi="宋体"/>
                <w:color w:val="auto"/>
                <w:sz w:val="24"/>
                <w:highlight w:val="none"/>
              </w:rPr>
            </w:pPr>
            <w:r>
              <w:rPr>
                <w:rFonts w:hint="eastAsia" w:ascii="宋体" w:hAnsi="宋体" w:cs="宋体"/>
                <w:b/>
                <w:bCs/>
                <w:color w:val="auto"/>
                <w:w w:val="99"/>
                <w:sz w:val="24"/>
                <w:highlight w:val="none"/>
              </w:rPr>
              <w:t>名称</w:t>
            </w:r>
          </w:p>
        </w:tc>
        <w:tc>
          <w:tcPr>
            <w:tcW w:w="4287" w:type="dxa"/>
            <w:tcBorders>
              <w:top w:val="single" w:color="000000" w:sz="4" w:space="0"/>
              <w:left w:val="single" w:color="000000" w:sz="4" w:space="0"/>
              <w:bottom w:val="single" w:color="000000" w:sz="4" w:space="0"/>
              <w:right w:val="single" w:color="000000" w:sz="4" w:space="0"/>
            </w:tcBorders>
            <w:vAlign w:val="center"/>
          </w:tcPr>
          <w:p w14:paraId="1DE532BE">
            <w:pPr>
              <w:jc w:val="center"/>
              <w:rPr>
                <w:rFonts w:ascii="宋体" w:hAnsi="宋体"/>
                <w:color w:val="auto"/>
                <w:sz w:val="24"/>
                <w:highlight w:val="none"/>
              </w:rPr>
            </w:pPr>
            <w:r>
              <w:rPr>
                <w:rFonts w:hint="eastAsia" w:ascii="宋体" w:hAnsi="宋体" w:cs="宋体"/>
                <w:b/>
                <w:bCs/>
                <w:color w:val="auto"/>
                <w:w w:val="99"/>
                <w:sz w:val="24"/>
                <w:highlight w:val="none"/>
              </w:rPr>
              <w:t>依据的标准</w:t>
            </w:r>
          </w:p>
        </w:tc>
      </w:tr>
      <w:tr w14:paraId="5FF3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22650FD6">
            <w:pPr>
              <w:jc w:val="center"/>
              <w:rPr>
                <w:rFonts w:ascii="宋体" w:hAnsi="宋体"/>
                <w:color w:val="auto"/>
                <w:sz w:val="24"/>
                <w:highlight w:val="none"/>
              </w:rPr>
            </w:pPr>
            <w:r>
              <w:rPr>
                <w:rFonts w:hint="eastAsia" w:ascii="宋体" w:hAnsi="宋体"/>
                <w:color w:val="auto"/>
                <w:sz w:val="24"/>
                <w:highlight w:val="none"/>
              </w:rPr>
              <w:t>1</w:t>
            </w:r>
          </w:p>
        </w:tc>
        <w:tc>
          <w:tcPr>
            <w:tcW w:w="1543" w:type="dxa"/>
            <w:vMerge w:val="restart"/>
            <w:tcBorders>
              <w:top w:val="single" w:color="000000" w:sz="4" w:space="0"/>
              <w:left w:val="single" w:color="000000" w:sz="4" w:space="0"/>
              <w:bottom w:val="single" w:color="000000" w:sz="4" w:space="0"/>
              <w:right w:val="single" w:color="000000" w:sz="4" w:space="0"/>
            </w:tcBorders>
            <w:vAlign w:val="center"/>
          </w:tcPr>
          <w:p w14:paraId="70CDE392">
            <w:pPr>
              <w:jc w:val="center"/>
              <w:rPr>
                <w:rFonts w:ascii="宋体" w:hAnsi="宋体"/>
                <w:color w:val="auto"/>
                <w:sz w:val="24"/>
                <w:highlight w:val="none"/>
              </w:rPr>
            </w:pPr>
            <w:r>
              <w:rPr>
                <w:rFonts w:hint="eastAsia" w:ascii="宋体" w:hAnsi="宋体" w:cs="仿宋_GB2312"/>
                <w:color w:val="auto"/>
                <w:sz w:val="24"/>
                <w:highlight w:val="none"/>
              </w:rPr>
              <w:t>A02010100</w:t>
            </w:r>
            <w:r>
              <w:rPr>
                <w:rFonts w:hint="eastAsia" w:ascii="宋体" w:hAnsi="宋体" w:cs="宋体"/>
                <w:color w:val="auto"/>
                <w:w w:val="99"/>
                <w:sz w:val="24"/>
                <w:highlight w:val="none"/>
              </w:rPr>
              <w:t>计算机</w:t>
            </w:r>
          </w:p>
        </w:tc>
        <w:tc>
          <w:tcPr>
            <w:tcW w:w="1954" w:type="dxa"/>
            <w:tcBorders>
              <w:top w:val="single" w:color="000000" w:sz="4" w:space="0"/>
              <w:left w:val="single" w:color="000000" w:sz="4" w:space="0"/>
              <w:bottom w:val="single" w:color="000000" w:sz="4" w:space="0"/>
              <w:right w:val="single" w:color="000000" w:sz="4" w:space="0"/>
            </w:tcBorders>
            <w:vAlign w:val="center"/>
          </w:tcPr>
          <w:p w14:paraId="3B77257A">
            <w:pPr>
              <w:pStyle w:val="63"/>
              <w:spacing w:before="93"/>
              <w:ind w:left="7" w:right="5"/>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仿宋_GB2312"/>
                <w:color w:val="auto"/>
                <w:kern w:val="2"/>
                <w:sz w:val="24"/>
                <w:szCs w:val="24"/>
                <w:highlight w:val="none"/>
              </w:rPr>
              <w:t>A02010105</w:t>
            </w:r>
            <w:r>
              <w:rPr>
                <w:rFonts w:hint="eastAsia" w:ascii="宋体" w:hAnsi="宋体" w:cs="宋体"/>
                <w:color w:val="auto"/>
                <w:w w:val="99"/>
                <w:kern w:val="2"/>
                <w:sz w:val="24"/>
                <w:szCs w:val="24"/>
                <w:highlight w:val="none"/>
              </w:rPr>
              <w:t>台式计算机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7C610562">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4547E60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《微型计算机能效限定值及能效等级》（GB28380）</w:t>
            </w:r>
          </w:p>
        </w:tc>
      </w:tr>
      <w:tr w14:paraId="73D9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32975AD">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7653AE8A">
            <w:pPr>
              <w:widowControl/>
              <w:jc w:val="left"/>
              <w:rPr>
                <w:rFonts w:ascii="宋体" w:hAnsi="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119399F4">
            <w:pPr>
              <w:pStyle w:val="63"/>
              <w:spacing w:before="44"/>
              <w:ind w:left="7" w:right="5"/>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仿宋_GB2312"/>
                <w:color w:val="auto"/>
                <w:kern w:val="2"/>
                <w:sz w:val="24"/>
                <w:szCs w:val="24"/>
                <w:highlight w:val="none"/>
              </w:rPr>
              <w:t>A02010108</w:t>
            </w:r>
            <w:r>
              <w:rPr>
                <w:rFonts w:hint="eastAsia" w:ascii="宋体" w:hAnsi="宋体" w:cs="宋体"/>
                <w:color w:val="auto"/>
                <w:w w:val="99"/>
                <w:kern w:val="2"/>
                <w:sz w:val="24"/>
                <w:szCs w:val="24"/>
                <w:highlight w:val="none"/>
              </w:rPr>
              <w:t>便携式计算机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1179BFF4">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0CB02175">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《微型计算机能效限定值及能效等级》（GB28380）</w:t>
            </w:r>
          </w:p>
        </w:tc>
      </w:tr>
      <w:tr w14:paraId="18F3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1BB297EF">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1AB88ACE">
            <w:pPr>
              <w:widowControl/>
              <w:jc w:val="left"/>
              <w:rPr>
                <w:rFonts w:ascii="宋体" w:hAnsi="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3ED9F979">
            <w:pPr>
              <w:pStyle w:val="63"/>
              <w:spacing w:before="64"/>
              <w:ind w:left="7" w:right="5"/>
              <w:jc w:val="center"/>
              <w:rPr>
                <w:rFonts w:ascii="宋体" w:hAnsi="宋体" w:cs="宋体"/>
                <w:color w:val="auto"/>
                <w:kern w:val="2"/>
                <w:sz w:val="24"/>
                <w:szCs w:val="24"/>
                <w:highlight w:val="none"/>
                <w:lang w:eastAsia="zh-CN"/>
              </w:rPr>
            </w:pPr>
            <w:r>
              <w:rPr>
                <w:rFonts w:hint="eastAsia" w:ascii="宋体" w:hAnsi="宋体" w:cs="宋体"/>
                <w:color w:val="auto"/>
                <w:w w:val="99"/>
                <w:kern w:val="2"/>
                <w:sz w:val="24"/>
                <w:szCs w:val="24"/>
                <w:highlight w:val="none"/>
                <w:lang w:eastAsia="zh-CN"/>
              </w:rPr>
              <w:t>★</w:t>
            </w:r>
            <w:r>
              <w:rPr>
                <w:rFonts w:hint="eastAsia" w:ascii="宋体" w:hAnsi="宋体" w:cs="仿宋_GB2312"/>
                <w:color w:val="auto"/>
                <w:kern w:val="2"/>
                <w:sz w:val="24"/>
                <w:szCs w:val="24"/>
                <w:highlight w:val="none"/>
                <w:lang w:eastAsia="zh-CN"/>
              </w:rPr>
              <w:t>A02010109平板式计算机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56A42C97">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467C8C78">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《微型计算机能效限定值及能效等级》（GB28380）</w:t>
            </w:r>
          </w:p>
        </w:tc>
      </w:tr>
      <w:tr w14:paraId="656E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16F6259">
            <w:pPr>
              <w:jc w:val="center"/>
              <w:rPr>
                <w:rFonts w:ascii="宋体" w:hAnsi="宋体"/>
                <w:color w:val="auto"/>
                <w:sz w:val="24"/>
                <w:highlight w:val="none"/>
              </w:rPr>
            </w:pPr>
            <w:r>
              <w:rPr>
                <w:rFonts w:hint="eastAsia" w:ascii="宋体" w:hAnsi="宋体"/>
                <w:color w:val="auto"/>
                <w:sz w:val="24"/>
                <w:highlight w:val="none"/>
              </w:rPr>
              <w:t>2</w:t>
            </w:r>
          </w:p>
        </w:tc>
        <w:tc>
          <w:tcPr>
            <w:tcW w:w="1543" w:type="dxa"/>
            <w:vMerge w:val="restart"/>
            <w:tcBorders>
              <w:top w:val="single" w:color="000000" w:sz="4" w:space="0"/>
              <w:left w:val="single" w:color="000000" w:sz="4" w:space="0"/>
              <w:bottom w:val="single" w:color="000000" w:sz="4" w:space="0"/>
              <w:right w:val="single" w:color="000000" w:sz="4" w:space="0"/>
            </w:tcBorders>
            <w:vAlign w:val="center"/>
          </w:tcPr>
          <w:p w14:paraId="11A03248">
            <w:pPr>
              <w:pStyle w:val="63"/>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A02020000</w:t>
            </w:r>
            <w:r>
              <w:rPr>
                <w:rFonts w:hint="eastAsia" w:ascii="宋体" w:hAnsi="宋体" w:cs="宋体"/>
                <w:color w:val="auto"/>
                <w:w w:val="99"/>
                <w:kern w:val="2"/>
                <w:sz w:val="24"/>
                <w:szCs w:val="24"/>
                <w:highlight w:val="none"/>
              </w:rPr>
              <w:t>办公设备</w:t>
            </w:r>
          </w:p>
        </w:tc>
        <w:tc>
          <w:tcPr>
            <w:tcW w:w="1954" w:type="dxa"/>
            <w:vMerge w:val="restart"/>
            <w:tcBorders>
              <w:top w:val="single" w:color="000000" w:sz="4" w:space="0"/>
              <w:left w:val="single" w:color="000000" w:sz="4" w:space="0"/>
              <w:bottom w:val="single" w:color="000000" w:sz="4" w:space="0"/>
              <w:right w:val="single" w:color="000000" w:sz="4" w:space="0"/>
            </w:tcBorders>
            <w:vAlign w:val="center"/>
          </w:tcPr>
          <w:p w14:paraId="78277D72">
            <w:pPr>
              <w:jc w:val="center"/>
              <w:rPr>
                <w:rFonts w:ascii="宋体" w:hAnsi="宋体"/>
                <w:color w:val="auto"/>
                <w:sz w:val="24"/>
                <w:highlight w:val="none"/>
              </w:rPr>
            </w:pPr>
            <w:r>
              <w:rPr>
                <w:rFonts w:hint="eastAsia" w:ascii="宋体" w:hAnsi="宋体" w:cs="宋体"/>
                <w:color w:val="auto"/>
                <w:spacing w:val="1"/>
                <w:w w:val="99"/>
                <w:sz w:val="24"/>
                <w:highlight w:val="none"/>
              </w:rPr>
              <w:t>A02021000</w:t>
            </w:r>
            <w:r>
              <w:rPr>
                <w:rFonts w:hint="eastAsia" w:ascii="宋体" w:hAnsi="宋体" w:cs="Arial"/>
                <w:color w:val="auto"/>
                <w:sz w:val="24"/>
                <w:highlight w:val="none"/>
                <w:shd w:val="clear" w:color="auto" w:fill="FFFFFF"/>
              </w:rPr>
              <w:t>打印机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2EC28CB5">
            <w:pPr>
              <w:jc w:val="center"/>
              <w:rPr>
                <w:rFonts w:ascii="宋体" w:hAnsi="宋体"/>
                <w:color w:val="auto"/>
                <w:sz w:val="24"/>
                <w:highlight w:val="none"/>
              </w:rPr>
            </w:pPr>
            <w:r>
              <w:rPr>
                <w:rFonts w:hint="eastAsia" w:ascii="宋体" w:hAnsi="宋体"/>
                <w:color w:val="auto"/>
                <w:sz w:val="24"/>
                <w:highlight w:val="none"/>
              </w:rPr>
              <w:t>A02021001 A3黑白打印机</w:t>
            </w:r>
          </w:p>
        </w:tc>
        <w:tc>
          <w:tcPr>
            <w:tcW w:w="4287" w:type="dxa"/>
            <w:tcBorders>
              <w:top w:val="single" w:color="000000" w:sz="4" w:space="0"/>
              <w:left w:val="single" w:color="000000" w:sz="4" w:space="0"/>
              <w:bottom w:val="single" w:color="000000" w:sz="4" w:space="0"/>
              <w:right w:val="single" w:color="000000" w:sz="4" w:space="0"/>
            </w:tcBorders>
          </w:tcPr>
          <w:p w14:paraId="4E65D821">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50F4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021420D">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48B162AC">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1E9C564C">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43660C3B">
            <w:pPr>
              <w:jc w:val="center"/>
              <w:rPr>
                <w:rFonts w:ascii="宋体" w:hAnsi="宋体"/>
                <w:color w:val="auto"/>
                <w:sz w:val="24"/>
                <w:highlight w:val="none"/>
              </w:rPr>
            </w:pPr>
            <w:r>
              <w:rPr>
                <w:rFonts w:hint="eastAsia" w:ascii="宋体" w:hAnsi="宋体"/>
                <w:color w:val="auto"/>
                <w:sz w:val="24"/>
                <w:highlight w:val="none"/>
              </w:rPr>
              <w:t>A02021002 A3彩色打印机</w:t>
            </w:r>
          </w:p>
        </w:tc>
        <w:tc>
          <w:tcPr>
            <w:tcW w:w="4287" w:type="dxa"/>
            <w:tcBorders>
              <w:top w:val="single" w:color="000000" w:sz="4" w:space="0"/>
              <w:left w:val="single" w:color="000000" w:sz="4" w:space="0"/>
              <w:bottom w:val="single" w:color="000000" w:sz="4" w:space="0"/>
              <w:right w:val="single" w:color="000000" w:sz="4" w:space="0"/>
            </w:tcBorders>
          </w:tcPr>
          <w:p w14:paraId="0ED6E556">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2001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07003C6">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5E280993">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029ABD26">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6C55B189">
            <w:pPr>
              <w:jc w:val="center"/>
              <w:rPr>
                <w:rFonts w:ascii="宋体" w:hAnsi="宋体"/>
                <w:color w:val="auto"/>
                <w:sz w:val="24"/>
                <w:highlight w:val="none"/>
              </w:rPr>
            </w:pPr>
            <w:r>
              <w:rPr>
                <w:rFonts w:hint="eastAsia" w:ascii="宋体" w:hAnsi="宋体"/>
                <w:color w:val="auto"/>
                <w:sz w:val="24"/>
                <w:highlight w:val="none"/>
              </w:rPr>
              <w:t>A02021003 A4黑白打印机</w:t>
            </w:r>
          </w:p>
        </w:tc>
        <w:tc>
          <w:tcPr>
            <w:tcW w:w="4287" w:type="dxa"/>
            <w:tcBorders>
              <w:top w:val="single" w:color="000000" w:sz="4" w:space="0"/>
              <w:left w:val="single" w:color="000000" w:sz="4" w:space="0"/>
              <w:bottom w:val="single" w:color="000000" w:sz="4" w:space="0"/>
              <w:right w:val="single" w:color="000000" w:sz="4" w:space="0"/>
            </w:tcBorders>
          </w:tcPr>
          <w:p w14:paraId="1239E12B">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5E0B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825FACD">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525A29CA">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480BDF6D">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7C29DED0">
            <w:pPr>
              <w:jc w:val="center"/>
              <w:rPr>
                <w:rFonts w:ascii="宋体" w:hAnsi="宋体"/>
                <w:color w:val="auto"/>
                <w:sz w:val="24"/>
                <w:highlight w:val="none"/>
              </w:rPr>
            </w:pPr>
            <w:r>
              <w:rPr>
                <w:rFonts w:hint="eastAsia" w:ascii="宋体" w:hAnsi="宋体"/>
                <w:color w:val="auto"/>
                <w:sz w:val="24"/>
                <w:highlight w:val="none"/>
              </w:rPr>
              <w:t>A02021004 A4彩色打印机</w:t>
            </w:r>
          </w:p>
        </w:tc>
        <w:tc>
          <w:tcPr>
            <w:tcW w:w="4287" w:type="dxa"/>
            <w:tcBorders>
              <w:top w:val="single" w:color="000000" w:sz="4" w:space="0"/>
              <w:left w:val="single" w:color="000000" w:sz="4" w:space="0"/>
              <w:bottom w:val="single" w:color="000000" w:sz="4" w:space="0"/>
              <w:right w:val="single" w:color="000000" w:sz="4" w:space="0"/>
            </w:tcBorders>
          </w:tcPr>
          <w:p w14:paraId="1987BA2E">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33DC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3010E08">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0A523115">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732D73D9">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642F6BF1">
            <w:pPr>
              <w:jc w:val="center"/>
              <w:rPr>
                <w:rFonts w:ascii="宋体" w:hAnsi="宋体"/>
                <w:color w:val="auto"/>
                <w:sz w:val="24"/>
                <w:highlight w:val="none"/>
              </w:rPr>
            </w:pPr>
            <w:r>
              <w:rPr>
                <w:rFonts w:hint="eastAsia" w:ascii="宋体" w:hAnsi="宋体"/>
                <w:color w:val="auto"/>
                <w:sz w:val="24"/>
                <w:highlight w:val="none"/>
              </w:rPr>
              <w:t>A02021005 3D打印机</w:t>
            </w:r>
          </w:p>
        </w:tc>
        <w:tc>
          <w:tcPr>
            <w:tcW w:w="4287" w:type="dxa"/>
            <w:tcBorders>
              <w:top w:val="single" w:color="000000" w:sz="4" w:space="0"/>
              <w:left w:val="single" w:color="000000" w:sz="4" w:space="0"/>
              <w:bottom w:val="single" w:color="000000" w:sz="4" w:space="0"/>
              <w:right w:val="single" w:color="000000" w:sz="4" w:space="0"/>
            </w:tcBorders>
          </w:tcPr>
          <w:p w14:paraId="5A481951">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5A14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9FE34F8">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5C7B1A4D">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6422F094">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37E377CA">
            <w:pPr>
              <w:jc w:val="center"/>
              <w:rPr>
                <w:rFonts w:ascii="宋体" w:hAnsi="宋体"/>
                <w:color w:val="auto"/>
                <w:sz w:val="24"/>
                <w:highlight w:val="none"/>
              </w:rPr>
            </w:pPr>
            <w:r>
              <w:rPr>
                <w:rFonts w:hint="eastAsia" w:ascii="宋体" w:hAnsi="宋体"/>
                <w:color w:val="auto"/>
                <w:sz w:val="24"/>
                <w:highlight w:val="none"/>
              </w:rPr>
              <w:t>A02021006票据打印机</w:t>
            </w:r>
          </w:p>
        </w:tc>
        <w:tc>
          <w:tcPr>
            <w:tcW w:w="4287" w:type="dxa"/>
            <w:tcBorders>
              <w:top w:val="single" w:color="000000" w:sz="4" w:space="0"/>
              <w:left w:val="single" w:color="000000" w:sz="4" w:space="0"/>
              <w:bottom w:val="single" w:color="000000" w:sz="4" w:space="0"/>
              <w:right w:val="single" w:color="000000" w:sz="4" w:space="0"/>
            </w:tcBorders>
          </w:tcPr>
          <w:p w14:paraId="23F75C44">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2ABD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58FCA67">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629DF76C">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5E60B9AC">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5473D06F">
            <w:pPr>
              <w:jc w:val="center"/>
              <w:rPr>
                <w:rFonts w:ascii="宋体" w:hAnsi="宋体"/>
                <w:color w:val="auto"/>
                <w:sz w:val="24"/>
                <w:highlight w:val="none"/>
              </w:rPr>
            </w:pPr>
            <w:r>
              <w:rPr>
                <w:rFonts w:hint="eastAsia" w:ascii="宋体" w:hAnsi="宋体"/>
                <w:color w:val="auto"/>
                <w:sz w:val="24"/>
                <w:highlight w:val="none"/>
              </w:rPr>
              <w:t>A02021007条码打印机</w:t>
            </w:r>
          </w:p>
        </w:tc>
        <w:tc>
          <w:tcPr>
            <w:tcW w:w="4287" w:type="dxa"/>
            <w:tcBorders>
              <w:top w:val="single" w:color="000000" w:sz="4" w:space="0"/>
              <w:left w:val="single" w:color="000000" w:sz="4" w:space="0"/>
              <w:bottom w:val="single" w:color="000000" w:sz="4" w:space="0"/>
              <w:right w:val="single" w:color="000000" w:sz="4" w:space="0"/>
            </w:tcBorders>
          </w:tcPr>
          <w:p w14:paraId="36A26E19">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5F1E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6FF3E71">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33B57294">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4E0B4064">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6310C508">
            <w:pPr>
              <w:jc w:val="center"/>
              <w:rPr>
                <w:rFonts w:ascii="宋体" w:hAnsi="宋体"/>
                <w:color w:val="auto"/>
                <w:sz w:val="24"/>
                <w:highlight w:val="none"/>
              </w:rPr>
            </w:pPr>
            <w:r>
              <w:rPr>
                <w:rFonts w:hint="eastAsia" w:ascii="宋体" w:hAnsi="宋体"/>
                <w:color w:val="auto"/>
                <w:sz w:val="24"/>
                <w:highlight w:val="none"/>
              </w:rPr>
              <w:t>A02021008地址打印机</w:t>
            </w:r>
          </w:p>
        </w:tc>
        <w:tc>
          <w:tcPr>
            <w:tcW w:w="4287" w:type="dxa"/>
            <w:tcBorders>
              <w:top w:val="single" w:color="000000" w:sz="4" w:space="0"/>
              <w:left w:val="single" w:color="000000" w:sz="4" w:space="0"/>
              <w:bottom w:val="single" w:color="000000" w:sz="4" w:space="0"/>
              <w:right w:val="single" w:color="000000" w:sz="4" w:space="0"/>
            </w:tcBorders>
          </w:tcPr>
          <w:p w14:paraId="7CBD6167">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5C20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212776C">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28656E98">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02599700">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21B7331F">
            <w:pPr>
              <w:jc w:val="center"/>
              <w:rPr>
                <w:rFonts w:ascii="宋体" w:hAnsi="宋体"/>
                <w:color w:val="auto"/>
                <w:sz w:val="24"/>
                <w:highlight w:val="none"/>
              </w:rPr>
            </w:pPr>
            <w:r>
              <w:rPr>
                <w:rFonts w:hint="eastAsia" w:ascii="宋体" w:hAnsi="宋体"/>
                <w:color w:val="auto"/>
                <w:sz w:val="24"/>
                <w:highlight w:val="none"/>
              </w:rPr>
              <w:t>A02021099其他打印机</w:t>
            </w:r>
          </w:p>
        </w:tc>
        <w:tc>
          <w:tcPr>
            <w:tcW w:w="4287" w:type="dxa"/>
            <w:tcBorders>
              <w:top w:val="single" w:color="000000" w:sz="4" w:space="0"/>
              <w:left w:val="single" w:color="000000" w:sz="4" w:space="0"/>
              <w:bottom w:val="single" w:color="000000" w:sz="4" w:space="0"/>
              <w:right w:val="single" w:color="000000" w:sz="4" w:space="0"/>
            </w:tcBorders>
          </w:tcPr>
          <w:p w14:paraId="679585CF">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7FCA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2253F8D2">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32FBE647">
            <w:pPr>
              <w:widowControl/>
              <w:jc w:val="left"/>
              <w:rPr>
                <w:rFonts w:ascii="宋体" w:hAnsi="宋体" w:cs="宋体"/>
                <w:color w:val="auto"/>
                <w:sz w:val="24"/>
                <w:highlight w:val="none"/>
              </w:rPr>
            </w:pPr>
          </w:p>
        </w:tc>
        <w:tc>
          <w:tcPr>
            <w:tcW w:w="1954" w:type="dxa"/>
            <w:vMerge w:val="restart"/>
            <w:tcBorders>
              <w:top w:val="single" w:color="000000" w:sz="4" w:space="0"/>
              <w:left w:val="single" w:color="000000" w:sz="4" w:space="0"/>
              <w:bottom w:val="single" w:color="000000" w:sz="4" w:space="0"/>
              <w:right w:val="single" w:color="000000" w:sz="4" w:space="0"/>
            </w:tcBorders>
            <w:vAlign w:val="center"/>
          </w:tcPr>
          <w:p w14:paraId="1C9762A6">
            <w:pPr>
              <w:jc w:val="center"/>
              <w:rPr>
                <w:rFonts w:ascii="宋体" w:hAnsi="宋体"/>
                <w:color w:val="auto"/>
                <w:sz w:val="24"/>
                <w:highlight w:val="none"/>
              </w:rPr>
            </w:pPr>
            <w:r>
              <w:rPr>
                <w:rFonts w:hint="eastAsia" w:ascii="宋体" w:hAnsi="宋体"/>
                <w:color w:val="auto"/>
                <w:sz w:val="24"/>
                <w:highlight w:val="none"/>
              </w:rPr>
              <w:t>A02021100输入输出设备</w:t>
            </w:r>
          </w:p>
        </w:tc>
        <w:tc>
          <w:tcPr>
            <w:tcW w:w="1488" w:type="dxa"/>
            <w:tcBorders>
              <w:top w:val="single" w:color="000000" w:sz="4" w:space="0"/>
              <w:left w:val="single" w:color="000000" w:sz="4" w:space="0"/>
              <w:bottom w:val="single" w:color="000000" w:sz="4" w:space="0"/>
              <w:right w:val="single" w:color="000000" w:sz="4" w:space="0"/>
            </w:tcBorders>
            <w:vAlign w:val="center"/>
          </w:tcPr>
          <w:p w14:paraId="32C418F7">
            <w:pPr>
              <w:jc w:val="center"/>
              <w:rPr>
                <w:rFonts w:ascii="宋体" w:hAnsi="宋体"/>
                <w:color w:val="auto"/>
                <w:sz w:val="24"/>
                <w:highlight w:val="none"/>
              </w:rPr>
            </w:pPr>
            <w:r>
              <w:rPr>
                <w:rFonts w:hint="eastAsia" w:ascii="宋体" w:hAnsi="宋体" w:cs="宋体"/>
                <w:color w:val="auto"/>
                <w:w w:val="99"/>
                <w:sz w:val="24"/>
                <w:highlight w:val="none"/>
              </w:rPr>
              <w:t>★</w:t>
            </w:r>
            <w:r>
              <w:rPr>
                <w:rFonts w:hint="eastAsia" w:ascii="宋体" w:hAnsi="宋体"/>
                <w:color w:val="auto"/>
                <w:sz w:val="24"/>
                <w:highlight w:val="none"/>
              </w:rPr>
              <w:t>A02021104液晶显示器</w:t>
            </w:r>
          </w:p>
        </w:tc>
        <w:tc>
          <w:tcPr>
            <w:tcW w:w="4287" w:type="dxa"/>
            <w:tcBorders>
              <w:top w:val="single" w:color="000000" w:sz="4" w:space="0"/>
              <w:left w:val="single" w:color="000000" w:sz="4" w:space="0"/>
              <w:bottom w:val="single" w:color="000000" w:sz="4" w:space="0"/>
              <w:right w:val="single" w:color="000000" w:sz="4" w:space="0"/>
            </w:tcBorders>
            <w:vAlign w:val="center"/>
          </w:tcPr>
          <w:p w14:paraId="1D5DDBD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《计算机显示器能效限定值及能效等级》（GB21520）</w:t>
            </w:r>
          </w:p>
        </w:tc>
      </w:tr>
      <w:tr w14:paraId="7A76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E7A4EFE">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7174BAA1">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4729FF1A">
            <w:pPr>
              <w:widowControl/>
              <w:jc w:val="left"/>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6944234D">
            <w:pPr>
              <w:jc w:val="center"/>
              <w:rPr>
                <w:rFonts w:ascii="宋体" w:hAnsi="宋体"/>
                <w:color w:val="auto"/>
                <w:sz w:val="24"/>
                <w:highlight w:val="none"/>
              </w:rPr>
            </w:pPr>
            <w:r>
              <w:rPr>
                <w:rFonts w:hint="eastAsia" w:ascii="宋体" w:hAnsi="宋体"/>
                <w:color w:val="auto"/>
                <w:sz w:val="24"/>
                <w:highlight w:val="none"/>
              </w:rPr>
              <w:t>A02021118扫描仪</w:t>
            </w:r>
          </w:p>
        </w:tc>
        <w:tc>
          <w:tcPr>
            <w:tcW w:w="4287" w:type="dxa"/>
            <w:tcBorders>
              <w:top w:val="single" w:color="000000" w:sz="4" w:space="0"/>
              <w:left w:val="single" w:color="000000" w:sz="4" w:space="0"/>
              <w:bottom w:val="single" w:color="000000" w:sz="4" w:space="0"/>
              <w:right w:val="single" w:color="000000" w:sz="4" w:space="0"/>
            </w:tcBorders>
            <w:vAlign w:val="center"/>
          </w:tcPr>
          <w:p w14:paraId="4D1CC935">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参照《复印机、打印机和传真机能效限定值及能效等级》（GB21521）中打印速度为15页/分的针式打印机相关要求</w:t>
            </w:r>
          </w:p>
        </w:tc>
      </w:tr>
      <w:tr w14:paraId="7220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C30DB87">
            <w:pPr>
              <w:jc w:val="center"/>
              <w:rPr>
                <w:rFonts w:ascii="宋体" w:hAnsi="宋体"/>
                <w:color w:val="auto"/>
                <w:sz w:val="24"/>
                <w:highlight w:val="none"/>
              </w:rPr>
            </w:pPr>
            <w:r>
              <w:rPr>
                <w:rFonts w:hint="eastAsia" w:ascii="宋体" w:hAnsi="宋体"/>
                <w:color w:val="auto"/>
                <w:w w:val="99"/>
                <w:sz w:val="24"/>
                <w:highlight w:val="none"/>
              </w:rPr>
              <w:t>3</w:t>
            </w:r>
          </w:p>
        </w:tc>
        <w:tc>
          <w:tcPr>
            <w:tcW w:w="1543" w:type="dxa"/>
            <w:tcBorders>
              <w:top w:val="single" w:color="000000" w:sz="4" w:space="0"/>
              <w:left w:val="single" w:color="000000" w:sz="4" w:space="0"/>
              <w:bottom w:val="single" w:color="000000" w:sz="4" w:space="0"/>
              <w:right w:val="single" w:color="000000" w:sz="4" w:space="0"/>
            </w:tcBorders>
            <w:vAlign w:val="center"/>
          </w:tcPr>
          <w:p w14:paraId="0CEFC91D">
            <w:pPr>
              <w:jc w:val="center"/>
              <w:rPr>
                <w:rFonts w:ascii="宋体" w:hAnsi="宋体"/>
                <w:color w:val="auto"/>
                <w:sz w:val="24"/>
                <w:highlight w:val="none"/>
              </w:rPr>
            </w:pPr>
            <w:r>
              <w:rPr>
                <w:rFonts w:hint="eastAsia" w:ascii="宋体" w:hAnsi="宋体"/>
                <w:color w:val="auto"/>
                <w:sz w:val="24"/>
                <w:highlight w:val="none"/>
              </w:rPr>
              <w:t>A02020200投影仪</w:t>
            </w:r>
          </w:p>
        </w:tc>
        <w:tc>
          <w:tcPr>
            <w:tcW w:w="1954" w:type="dxa"/>
            <w:tcBorders>
              <w:top w:val="single" w:color="000000" w:sz="4" w:space="0"/>
              <w:left w:val="single" w:color="000000" w:sz="4" w:space="0"/>
              <w:bottom w:val="single" w:color="000000" w:sz="4" w:space="0"/>
              <w:right w:val="single" w:color="000000" w:sz="4" w:space="0"/>
            </w:tcBorders>
            <w:vAlign w:val="center"/>
          </w:tcPr>
          <w:p w14:paraId="77700EAB">
            <w:pPr>
              <w:jc w:val="center"/>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335202F0">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vAlign w:val="center"/>
          </w:tcPr>
          <w:p w14:paraId="2D98E47E">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《投影机能效限定值及能效等级》（GB32028）</w:t>
            </w:r>
          </w:p>
        </w:tc>
      </w:tr>
      <w:tr w14:paraId="203E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D3673DE">
            <w:pPr>
              <w:jc w:val="center"/>
              <w:rPr>
                <w:rFonts w:ascii="宋体" w:hAnsi="宋体"/>
                <w:color w:val="auto"/>
                <w:sz w:val="24"/>
                <w:highlight w:val="none"/>
              </w:rPr>
            </w:pPr>
            <w:r>
              <w:rPr>
                <w:rFonts w:hint="eastAsia" w:ascii="宋体" w:hAnsi="宋体"/>
                <w:color w:val="auto"/>
                <w:sz w:val="24"/>
                <w:highlight w:val="none"/>
              </w:rPr>
              <w:t>4</w:t>
            </w:r>
          </w:p>
        </w:tc>
        <w:tc>
          <w:tcPr>
            <w:tcW w:w="1543" w:type="dxa"/>
            <w:tcBorders>
              <w:top w:val="single" w:color="000000" w:sz="4" w:space="0"/>
              <w:left w:val="single" w:color="000000" w:sz="4" w:space="0"/>
              <w:bottom w:val="single" w:color="000000" w:sz="4" w:space="0"/>
              <w:right w:val="single" w:color="000000" w:sz="4" w:space="0"/>
            </w:tcBorders>
            <w:vAlign w:val="center"/>
          </w:tcPr>
          <w:p w14:paraId="0C23D6DD">
            <w:pPr>
              <w:pStyle w:val="63"/>
              <w:spacing w:before="66"/>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A02020400</w:t>
            </w:r>
            <w:r>
              <w:rPr>
                <w:rFonts w:hint="eastAsia" w:ascii="宋体" w:hAnsi="宋体" w:cs="宋体"/>
                <w:color w:val="auto"/>
                <w:w w:val="99"/>
                <w:kern w:val="2"/>
                <w:sz w:val="24"/>
                <w:szCs w:val="24"/>
                <w:highlight w:val="none"/>
              </w:rPr>
              <w:t>多功能一体机</w:t>
            </w:r>
          </w:p>
        </w:tc>
        <w:tc>
          <w:tcPr>
            <w:tcW w:w="1954" w:type="dxa"/>
            <w:tcBorders>
              <w:top w:val="single" w:color="000000" w:sz="4" w:space="0"/>
              <w:left w:val="single" w:color="000000" w:sz="4" w:space="0"/>
              <w:bottom w:val="single" w:color="000000" w:sz="4" w:space="0"/>
              <w:right w:val="single" w:color="000000" w:sz="4" w:space="0"/>
            </w:tcBorders>
            <w:vAlign w:val="center"/>
          </w:tcPr>
          <w:p w14:paraId="586EA54F">
            <w:pPr>
              <w:jc w:val="center"/>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12FDF777">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vAlign w:val="center"/>
          </w:tcPr>
          <w:p w14:paraId="2CFD2698">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《复印机、打印机和传真机能效限定值及能效等级》（GB21521）</w:t>
            </w:r>
          </w:p>
        </w:tc>
      </w:tr>
      <w:tr w14:paraId="09AD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6260C42">
            <w:pPr>
              <w:pStyle w:val="63"/>
              <w:spacing w:before="160"/>
              <w:ind w:right="1"/>
              <w:jc w:val="center"/>
              <w:rPr>
                <w:rFonts w:ascii="宋体" w:hAnsi="宋体" w:cs="宋体"/>
                <w:color w:val="auto"/>
                <w:kern w:val="2"/>
                <w:sz w:val="24"/>
                <w:szCs w:val="24"/>
                <w:highlight w:val="none"/>
              </w:rPr>
            </w:pPr>
            <w:r>
              <w:rPr>
                <w:rFonts w:hint="eastAsia" w:ascii="宋体" w:hAnsi="宋体"/>
                <w:color w:val="auto"/>
                <w:w w:val="99"/>
                <w:kern w:val="2"/>
                <w:sz w:val="24"/>
                <w:szCs w:val="24"/>
                <w:highlight w:val="none"/>
              </w:rPr>
              <w:t>5</w:t>
            </w:r>
          </w:p>
        </w:tc>
        <w:tc>
          <w:tcPr>
            <w:tcW w:w="1543" w:type="dxa"/>
            <w:tcBorders>
              <w:top w:val="single" w:color="000000" w:sz="4" w:space="0"/>
              <w:left w:val="single" w:color="000000" w:sz="4" w:space="0"/>
              <w:bottom w:val="single" w:color="000000" w:sz="4" w:space="0"/>
              <w:right w:val="single" w:color="000000" w:sz="4" w:space="0"/>
            </w:tcBorders>
            <w:vAlign w:val="center"/>
          </w:tcPr>
          <w:p w14:paraId="4BC818F6">
            <w:pPr>
              <w:pStyle w:val="63"/>
              <w:spacing w:before="160"/>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A02051900</w:t>
            </w:r>
            <w:r>
              <w:rPr>
                <w:rFonts w:hint="eastAsia" w:ascii="宋体" w:hAnsi="宋体" w:cs="宋体"/>
                <w:color w:val="auto"/>
                <w:w w:val="99"/>
                <w:kern w:val="2"/>
                <w:sz w:val="24"/>
                <w:szCs w:val="24"/>
                <w:highlight w:val="none"/>
              </w:rPr>
              <w:t>泵</w:t>
            </w:r>
          </w:p>
        </w:tc>
        <w:tc>
          <w:tcPr>
            <w:tcW w:w="1954" w:type="dxa"/>
            <w:tcBorders>
              <w:top w:val="single" w:color="000000" w:sz="4" w:space="0"/>
              <w:left w:val="single" w:color="000000" w:sz="4" w:space="0"/>
              <w:bottom w:val="single" w:color="000000" w:sz="4" w:space="0"/>
              <w:right w:val="single" w:color="000000" w:sz="4" w:space="0"/>
            </w:tcBorders>
            <w:vAlign w:val="center"/>
          </w:tcPr>
          <w:p w14:paraId="27751F26">
            <w:pPr>
              <w:pStyle w:val="63"/>
              <w:spacing w:before="160"/>
              <w:ind w:left="7"/>
              <w:jc w:val="center"/>
              <w:rPr>
                <w:rFonts w:ascii="宋体" w:hAnsi="宋体" w:cs="宋体"/>
                <w:color w:val="auto"/>
                <w:kern w:val="2"/>
                <w:sz w:val="24"/>
                <w:szCs w:val="24"/>
                <w:highlight w:val="none"/>
              </w:rPr>
            </w:pPr>
            <w:r>
              <w:rPr>
                <w:rFonts w:hint="eastAsia" w:ascii="宋体" w:hAnsi="宋体" w:cs="宋体"/>
                <w:color w:val="auto"/>
                <w:spacing w:val="1"/>
                <w:w w:val="99"/>
                <w:kern w:val="2"/>
                <w:sz w:val="24"/>
                <w:szCs w:val="24"/>
                <w:highlight w:val="none"/>
              </w:rPr>
              <w:t>A02</w:t>
            </w:r>
            <w:r>
              <w:rPr>
                <w:rFonts w:hint="eastAsia" w:ascii="宋体" w:hAnsi="宋体" w:cs="宋体"/>
                <w:color w:val="auto"/>
                <w:w w:val="99"/>
                <w:kern w:val="2"/>
                <w:sz w:val="24"/>
                <w:szCs w:val="24"/>
                <w:highlight w:val="none"/>
              </w:rPr>
              <w:t>05</w:t>
            </w:r>
            <w:r>
              <w:rPr>
                <w:rFonts w:hint="eastAsia" w:ascii="宋体" w:hAnsi="宋体" w:cs="宋体"/>
                <w:color w:val="auto"/>
                <w:spacing w:val="1"/>
                <w:w w:val="99"/>
                <w:kern w:val="2"/>
                <w:sz w:val="24"/>
                <w:szCs w:val="24"/>
                <w:highlight w:val="none"/>
              </w:rPr>
              <w:t>1</w:t>
            </w:r>
            <w:r>
              <w:rPr>
                <w:rFonts w:hint="eastAsia" w:ascii="宋体" w:hAnsi="宋体" w:cs="宋体"/>
                <w:color w:val="auto"/>
                <w:w w:val="99"/>
                <w:kern w:val="2"/>
                <w:sz w:val="24"/>
                <w:szCs w:val="24"/>
                <w:highlight w:val="none"/>
              </w:rPr>
              <w:t>901离心泵</w:t>
            </w:r>
          </w:p>
        </w:tc>
        <w:tc>
          <w:tcPr>
            <w:tcW w:w="1488" w:type="dxa"/>
            <w:tcBorders>
              <w:top w:val="single" w:color="000000" w:sz="4" w:space="0"/>
              <w:left w:val="single" w:color="000000" w:sz="4" w:space="0"/>
              <w:bottom w:val="single" w:color="000000" w:sz="4" w:space="0"/>
              <w:right w:val="single" w:color="000000" w:sz="4" w:space="0"/>
            </w:tcBorders>
            <w:vAlign w:val="center"/>
          </w:tcPr>
          <w:p w14:paraId="6073D8A3">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41257A0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《清水离心泵能效限定值及节能评价值》（GB19762）</w:t>
            </w:r>
          </w:p>
        </w:tc>
      </w:tr>
      <w:tr w14:paraId="049F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E75A897">
            <w:pPr>
              <w:jc w:val="center"/>
              <w:rPr>
                <w:rFonts w:ascii="宋体" w:hAnsi="宋体"/>
                <w:color w:val="auto"/>
                <w:sz w:val="24"/>
                <w:highlight w:val="none"/>
              </w:rPr>
            </w:pPr>
            <w:r>
              <w:rPr>
                <w:rFonts w:hint="eastAsia" w:ascii="宋体" w:hAnsi="宋体"/>
                <w:color w:val="auto"/>
                <w:sz w:val="24"/>
                <w:highlight w:val="none"/>
              </w:rPr>
              <w:t>6</w:t>
            </w:r>
          </w:p>
        </w:tc>
        <w:tc>
          <w:tcPr>
            <w:tcW w:w="1543" w:type="dxa"/>
            <w:vMerge w:val="restart"/>
            <w:tcBorders>
              <w:top w:val="single" w:color="000000" w:sz="4" w:space="0"/>
              <w:left w:val="single" w:color="000000" w:sz="4" w:space="0"/>
              <w:bottom w:val="single" w:color="000000" w:sz="4" w:space="0"/>
              <w:right w:val="single" w:color="000000" w:sz="4" w:space="0"/>
            </w:tcBorders>
            <w:vAlign w:val="center"/>
          </w:tcPr>
          <w:p w14:paraId="65BECEF3">
            <w:pPr>
              <w:pStyle w:val="63"/>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A02052300</w:t>
            </w:r>
            <w:r>
              <w:rPr>
                <w:rFonts w:hint="eastAsia" w:ascii="宋体" w:hAnsi="宋体" w:cs="宋体"/>
                <w:color w:val="auto"/>
                <w:w w:val="99"/>
                <w:kern w:val="2"/>
                <w:sz w:val="24"/>
                <w:szCs w:val="24"/>
                <w:highlight w:val="none"/>
              </w:rPr>
              <w:t>制冷空调设备</w:t>
            </w:r>
          </w:p>
        </w:tc>
        <w:tc>
          <w:tcPr>
            <w:tcW w:w="1954" w:type="dxa"/>
            <w:vMerge w:val="restart"/>
            <w:tcBorders>
              <w:top w:val="single" w:color="000000" w:sz="4" w:space="0"/>
              <w:left w:val="single" w:color="000000" w:sz="4" w:space="0"/>
              <w:bottom w:val="single" w:color="000000" w:sz="4" w:space="0"/>
              <w:right w:val="single" w:color="000000" w:sz="4" w:space="0"/>
            </w:tcBorders>
            <w:vAlign w:val="center"/>
          </w:tcPr>
          <w:p w14:paraId="044A25BE">
            <w:pPr>
              <w:pStyle w:val="63"/>
              <w:spacing w:line="276" w:lineRule="auto"/>
              <w:ind w:right="5"/>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宋体"/>
                <w:color w:val="auto"/>
                <w:spacing w:val="1"/>
                <w:w w:val="99"/>
                <w:kern w:val="2"/>
                <w:sz w:val="24"/>
                <w:szCs w:val="24"/>
                <w:highlight w:val="none"/>
              </w:rPr>
              <w:t>A020</w:t>
            </w:r>
            <w:r>
              <w:rPr>
                <w:rFonts w:hint="eastAsia" w:ascii="宋体" w:hAnsi="宋体" w:cs="宋体"/>
                <w:color w:val="auto"/>
                <w:w w:val="99"/>
                <w:kern w:val="2"/>
                <w:sz w:val="24"/>
                <w:szCs w:val="24"/>
                <w:highlight w:val="none"/>
              </w:rPr>
              <w:t>52</w:t>
            </w:r>
            <w:r>
              <w:rPr>
                <w:rFonts w:hint="eastAsia" w:ascii="宋体" w:hAnsi="宋体" w:cs="宋体"/>
                <w:color w:val="auto"/>
                <w:spacing w:val="1"/>
                <w:w w:val="99"/>
                <w:kern w:val="2"/>
                <w:sz w:val="24"/>
                <w:szCs w:val="24"/>
                <w:highlight w:val="none"/>
              </w:rPr>
              <w:t>3</w:t>
            </w:r>
            <w:r>
              <w:rPr>
                <w:rFonts w:hint="eastAsia" w:ascii="宋体" w:hAnsi="宋体" w:cs="宋体"/>
                <w:color w:val="auto"/>
                <w:w w:val="99"/>
                <w:kern w:val="2"/>
                <w:sz w:val="24"/>
                <w:szCs w:val="24"/>
                <w:highlight w:val="none"/>
              </w:rPr>
              <w:t>01制冷压缩机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205995AC">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冷水机组</w:t>
            </w:r>
          </w:p>
        </w:tc>
        <w:tc>
          <w:tcPr>
            <w:tcW w:w="4287" w:type="dxa"/>
            <w:tcBorders>
              <w:top w:val="single" w:color="000000" w:sz="4" w:space="0"/>
              <w:left w:val="single" w:color="000000" w:sz="4" w:space="0"/>
              <w:bottom w:val="single" w:color="000000" w:sz="4" w:space="0"/>
              <w:right w:val="single" w:color="000000" w:sz="4" w:space="0"/>
            </w:tcBorders>
          </w:tcPr>
          <w:p w14:paraId="5D0D69F8">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《冷水机组能效限定值及能效等级》（GB19577），《低环境温度空气源热泵（冷水）机组能效限定值及能效等级》（GB37480）</w:t>
            </w:r>
          </w:p>
        </w:tc>
      </w:tr>
      <w:tr w14:paraId="6657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25D4CAC">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66D0E1A4">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620D37FA">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2E43C404">
            <w:pPr>
              <w:jc w:val="center"/>
              <w:rPr>
                <w:rFonts w:ascii="宋体" w:hAnsi="宋体"/>
                <w:color w:val="auto"/>
                <w:sz w:val="24"/>
                <w:highlight w:val="none"/>
              </w:rPr>
            </w:pPr>
            <w:r>
              <w:rPr>
                <w:rFonts w:hint="eastAsia" w:ascii="宋体" w:hAnsi="宋体"/>
                <w:color w:val="auto"/>
                <w:sz w:val="24"/>
                <w:highlight w:val="none"/>
              </w:rPr>
              <w:t>溴化锂吸收式冷水机组</w:t>
            </w:r>
          </w:p>
        </w:tc>
        <w:tc>
          <w:tcPr>
            <w:tcW w:w="4287" w:type="dxa"/>
            <w:tcBorders>
              <w:top w:val="single" w:color="000000" w:sz="4" w:space="0"/>
              <w:left w:val="single" w:color="000000" w:sz="4" w:space="0"/>
              <w:bottom w:val="single" w:color="000000" w:sz="4" w:space="0"/>
              <w:right w:val="single" w:color="000000" w:sz="4" w:space="0"/>
            </w:tcBorders>
            <w:vAlign w:val="center"/>
          </w:tcPr>
          <w:p w14:paraId="2FED74B3">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《溴化锂吸收式冷水机组能效限</w:t>
            </w:r>
          </w:p>
          <w:p w14:paraId="68E68A3F">
            <w:pPr>
              <w:spacing w:before="131" w:line="276" w:lineRule="auto"/>
              <w:ind w:right="4"/>
              <w:rPr>
                <w:rFonts w:ascii="宋体" w:hAnsi="宋体" w:cs="宋体"/>
                <w:color w:val="auto"/>
                <w:spacing w:val="10"/>
                <w:sz w:val="24"/>
                <w:highlight w:val="none"/>
              </w:rPr>
            </w:pPr>
            <w:r>
              <w:rPr>
                <w:rFonts w:hint="eastAsia" w:ascii="宋体" w:hAnsi="宋体" w:cs="宋体"/>
                <w:color w:val="auto"/>
                <w:spacing w:val="10"/>
                <w:sz w:val="24"/>
                <w:highlight w:val="none"/>
              </w:rPr>
              <w:t>定值及能效等级》（GB29540）</w:t>
            </w:r>
          </w:p>
        </w:tc>
      </w:tr>
      <w:tr w14:paraId="533A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1918057D">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2A36F89A">
            <w:pPr>
              <w:widowControl/>
              <w:jc w:val="left"/>
              <w:rPr>
                <w:rFonts w:ascii="宋体" w:hAnsi="宋体" w:cs="宋体"/>
                <w:color w:val="auto"/>
                <w:sz w:val="24"/>
                <w:highlight w:val="none"/>
              </w:rPr>
            </w:pPr>
          </w:p>
        </w:tc>
        <w:tc>
          <w:tcPr>
            <w:tcW w:w="1954" w:type="dxa"/>
            <w:vMerge w:val="restart"/>
            <w:tcBorders>
              <w:top w:val="single" w:color="000000" w:sz="4" w:space="0"/>
              <w:left w:val="single" w:color="000000" w:sz="4" w:space="0"/>
              <w:bottom w:val="single" w:color="000000" w:sz="4" w:space="0"/>
              <w:right w:val="single" w:color="000000" w:sz="4" w:space="0"/>
            </w:tcBorders>
            <w:vAlign w:val="center"/>
          </w:tcPr>
          <w:p w14:paraId="71022112">
            <w:pPr>
              <w:pStyle w:val="63"/>
              <w:spacing w:line="276" w:lineRule="auto"/>
              <w:ind w:right="5"/>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★A02052305空调机组</w:t>
            </w:r>
          </w:p>
        </w:tc>
        <w:tc>
          <w:tcPr>
            <w:tcW w:w="1488" w:type="dxa"/>
            <w:tcBorders>
              <w:top w:val="single" w:color="000000" w:sz="4" w:space="0"/>
              <w:left w:val="single" w:color="000000" w:sz="4" w:space="0"/>
              <w:bottom w:val="single" w:color="000000" w:sz="4" w:space="0"/>
              <w:right w:val="single" w:color="000000" w:sz="4" w:space="0"/>
            </w:tcBorders>
            <w:vAlign w:val="center"/>
          </w:tcPr>
          <w:p w14:paraId="4F3FE5DC">
            <w:pPr>
              <w:pStyle w:val="63"/>
              <w:spacing w:before="4" w:line="276" w:lineRule="auto"/>
              <w:ind w:left="7" w:right="7"/>
              <w:jc w:val="center"/>
              <w:rPr>
                <w:rFonts w:ascii="宋体" w:hAnsi="宋体" w:cs="宋体"/>
                <w:color w:val="auto"/>
                <w:w w:val="99"/>
                <w:kern w:val="2"/>
                <w:sz w:val="24"/>
                <w:szCs w:val="24"/>
                <w:highlight w:val="none"/>
                <w:lang w:eastAsia="zh-CN"/>
              </w:rPr>
            </w:pPr>
            <w:r>
              <w:rPr>
                <w:rFonts w:hint="eastAsia" w:ascii="宋体" w:hAnsi="宋体" w:cs="宋体"/>
                <w:color w:val="auto"/>
                <w:w w:val="99"/>
                <w:kern w:val="2"/>
                <w:sz w:val="24"/>
                <w:szCs w:val="24"/>
                <w:highlight w:val="none"/>
                <w:lang w:eastAsia="zh-CN"/>
              </w:rPr>
              <w:t>多联式空调（热泵）机组（制冷量&gt;14000W）</w:t>
            </w:r>
          </w:p>
        </w:tc>
        <w:tc>
          <w:tcPr>
            <w:tcW w:w="4287" w:type="dxa"/>
            <w:tcBorders>
              <w:top w:val="single" w:color="000000" w:sz="4" w:space="0"/>
              <w:left w:val="single" w:color="000000" w:sz="4" w:space="0"/>
              <w:bottom w:val="single" w:color="000000" w:sz="4" w:space="0"/>
              <w:right w:val="single" w:color="000000" w:sz="4" w:space="0"/>
            </w:tcBorders>
          </w:tcPr>
          <w:p w14:paraId="3F2BFC58">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《多联式空调（热泵）机组能效限定值及能源效率等级》（GB21454）</w:t>
            </w:r>
          </w:p>
        </w:tc>
      </w:tr>
      <w:tr w14:paraId="487D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4726827">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01571042">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6EF961D5">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67DF7E5B">
            <w:pPr>
              <w:jc w:val="center"/>
              <w:rPr>
                <w:rFonts w:ascii="宋体" w:hAnsi="宋体"/>
                <w:color w:val="auto"/>
                <w:sz w:val="24"/>
                <w:highlight w:val="none"/>
              </w:rPr>
            </w:pPr>
            <w:r>
              <w:rPr>
                <w:rFonts w:hint="eastAsia" w:ascii="宋体" w:hAnsi="宋体" w:cs="宋体"/>
                <w:color w:val="auto"/>
                <w:w w:val="99"/>
                <w:sz w:val="24"/>
                <w:highlight w:val="none"/>
              </w:rPr>
              <w:t>单元式空气调节机</w:t>
            </w:r>
          </w:p>
        </w:tc>
        <w:tc>
          <w:tcPr>
            <w:tcW w:w="4287" w:type="dxa"/>
            <w:tcBorders>
              <w:top w:val="single" w:color="000000" w:sz="4" w:space="0"/>
              <w:left w:val="single" w:color="000000" w:sz="4" w:space="0"/>
              <w:bottom w:val="single" w:color="000000" w:sz="4" w:space="0"/>
              <w:right w:val="single" w:color="000000" w:sz="4" w:space="0"/>
            </w:tcBorders>
          </w:tcPr>
          <w:p w14:paraId="4EF458AF">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《单元式空气调节机能效限定值及能效等级》（GB19576）《风管送风式空调机组能效限定值及能效等级》（GB37479）</w:t>
            </w:r>
          </w:p>
        </w:tc>
      </w:tr>
      <w:tr w14:paraId="4CC4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6120EC8">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5A05C670">
            <w:pPr>
              <w:widowControl/>
              <w:jc w:val="left"/>
              <w:rPr>
                <w:rFonts w:ascii="宋体" w:hAnsi="宋体" w:cs="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2FD66E30">
            <w:pPr>
              <w:pStyle w:val="63"/>
              <w:spacing w:before="83"/>
              <w:ind w:left="7"/>
              <w:jc w:val="center"/>
              <w:rPr>
                <w:rFonts w:ascii="宋体" w:hAnsi="宋体" w:cs="宋体"/>
                <w:color w:val="auto"/>
                <w:w w:val="99"/>
                <w:kern w:val="2"/>
                <w:sz w:val="24"/>
                <w:szCs w:val="24"/>
                <w:highlight w:val="none"/>
                <w:lang w:eastAsia="zh-CN"/>
              </w:rPr>
            </w:pPr>
            <w:r>
              <w:rPr>
                <w:rFonts w:hint="eastAsia" w:ascii="宋体" w:hAnsi="宋体" w:cs="宋体"/>
                <w:color w:val="auto"/>
                <w:w w:val="99"/>
                <w:kern w:val="2"/>
                <w:sz w:val="24"/>
                <w:szCs w:val="24"/>
                <w:highlight w:val="none"/>
                <w:lang w:eastAsia="zh-CN"/>
              </w:rPr>
              <w:t>★A02052309专用制冷、空调设备</w:t>
            </w:r>
          </w:p>
        </w:tc>
        <w:tc>
          <w:tcPr>
            <w:tcW w:w="1488" w:type="dxa"/>
            <w:tcBorders>
              <w:top w:val="single" w:color="000000" w:sz="4" w:space="0"/>
              <w:left w:val="single" w:color="000000" w:sz="4" w:space="0"/>
              <w:bottom w:val="single" w:color="000000" w:sz="4" w:space="0"/>
              <w:right w:val="single" w:color="000000" w:sz="4" w:space="0"/>
            </w:tcBorders>
            <w:vAlign w:val="center"/>
          </w:tcPr>
          <w:p w14:paraId="12DA3BBE">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机房空调</w:t>
            </w:r>
          </w:p>
        </w:tc>
        <w:tc>
          <w:tcPr>
            <w:tcW w:w="4287" w:type="dxa"/>
            <w:tcBorders>
              <w:top w:val="single" w:color="000000" w:sz="4" w:space="0"/>
              <w:left w:val="single" w:color="000000" w:sz="4" w:space="0"/>
              <w:bottom w:val="single" w:color="000000" w:sz="4" w:space="0"/>
              <w:right w:val="single" w:color="000000" w:sz="4" w:space="0"/>
            </w:tcBorders>
          </w:tcPr>
          <w:p w14:paraId="6ECB3D3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《单元式空气调节机能效限定值</w:t>
            </w:r>
          </w:p>
          <w:p w14:paraId="1803F16F">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及能效等级》（GB19576）</w:t>
            </w:r>
          </w:p>
        </w:tc>
      </w:tr>
      <w:tr w14:paraId="0F9C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7EEA9987">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0CE9D013">
            <w:pPr>
              <w:widowControl/>
              <w:jc w:val="left"/>
              <w:rPr>
                <w:rFonts w:ascii="宋体" w:hAnsi="宋体" w:cs="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1AA803B2">
            <w:pPr>
              <w:pStyle w:val="63"/>
              <w:spacing w:line="254" w:lineRule="exact"/>
              <w:ind w:left="7"/>
              <w:jc w:val="center"/>
              <w:rPr>
                <w:rFonts w:ascii="宋体" w:hAnsi="宋体" w:cs="宋体"/>
                <w:color w:val="auto"/>
                <w:w w:val="99"/>
                <w:kern w:val="2"/>
                <w:sz w:val="24"/>
                <w:szCs w:val="24"/>
                <w:highlight w:val="none"/>
              </w:rPr>
            </w:pPr>
            <w:r>
              <w:rPr>
                <w:rFonts w:hint="eastAsia" w:ascii="宋体" w:hAnsi="宋体" w:cs="宋体"/>
                <w:color w:val="auto"/>
                <w:w w:val="99"/>
                <w:kern w:val="2"/>
                <w:sz w:val="24"/>
                <w:szCs w:val="24"/>
                <w:highlight w:val="none"/>
              </w:rPr>
              <w:t>A02052399其他制冷</w:t>
            </w:r>
          </w:p>
          <w:p w14:paraId="510E2CB8">
            <w:pPr>
              <w:pStyle w:val="63"/>
              <w:spacing w:line="254" w:lineRule="exact"/>
              <w:ind w:left="7"/>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空调设备</w:t>
            </w:r>
          </w:p>
        </w:tc>
        <w:tc>
          <w:tcPr>
            <w:tcW w:w="1488" w:type="dxa"/>
            <w:tcBorders>
              <w:top w:val="single" w:color="000000" w:sz="4" w:space="0"/>
              <w:left w:val="single" w:color="000000" w:sz="4" w:space="0"/>
              <w:bottom w:val="single" w:color="000000" w:sz="4" w:space="0"/>
              <w:right w:val="single" w:color="000000" w:sz="4" w:space="0"/>
            </w:tcBorders>
            <w:vAlign w:val="center"/>
          </w:tcPr>
          <w:p w14:paraId="121EB516">
            <w:pPr>
              <w:widowControl/>
              <w:jc w:val="center"/>
              <w:rPr>
                <w:rFonts w:ascii="宋体" w:hAnsi="宋体" w:cs="宋体"/>
                <w:color w:val="auto"/>
                <w:sz w:val="24"/>
                <w:highlight w:val="none"/>
                <w:lang w:eastAsia="en-US"/>
              </w:rPr>
            </w:pPr>
            <w:r>
              <w:rPr>
                <w:rFonts w:hint="eastAsia" w:ascii="宋体" w:hAnsi="宋体" w:cs="宋体"/>
                <w:color w:val="auto"/>
                <w:w w:val="99"/>
                <w:sz w:val="24"/>
                <w:highlight w:val="none"/>
              </w:rPr>
              <w:t>冷却塔</w:t>
            </w:r>
          </w:p>
        </w:tc>
        <w:tc>
          <w:tcPr>
            <w:tcW w:w="4287" w:type="dxa"/>
            <w:tcBorders>
              <w:top w:val="single" w:color="000000" w:sz="4" w:space="0"/>
              <w:left w:val="single" w:color="000000" w:sz="4" w:space="0"/>
              <w:bottom w:val="single" w:color="000000" w:sz="4" w:space="0"/>
              <w:right w:val="single" w:color="000000" w:sz="4" w:space="0"/>
            </w:tcBorders>
          </w:tcPr>
          <w:p w14:paraId="5D11FCBF">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《机械通风冷却塔第1部分：中小型开式冷却塔》（GB/T7190.1）</w:t>
            </w:r>
          </w:p>
          <w:p w14:paraId="4EA91DCD">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《机械通风冷却塔第2部分：大型开式冷却塔》（GB/T7190.2）</w:t>
            </w:r>
          </w:p>
        </w:tc>
      </w:tr>
      <w:tr w14:paraId="6DCE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B6E6DB0">
            <w:pPr>
              <w:pStyle w:val="63"/>
              <w:ind w:right="1"/>
              <w:jc w:val="center"/>
              <w:rPr>
                <w:rFonts w:ascii="宋体" w:hAnsi="宋体" w:cs="宋体"/>
                <w:color w:val="auto"/>
                <w:kern w:val="2"/>
                <w:sz w:val="24"/>
                <w:szCs w:val="24"/>
                <w:highlight w:val="none"/>
              </w:rPr>
            </w:pPr>
            <w:r>
              <w:rPr>
                <w:rFonts w:hint="eastAsia" w:ascii="宋体" w:hAnsi="宋体"/>
                <w:color w:val="auto"/>
                <w:w w:val="99"/>
                <w:kern w:val="2"/>
                <w:sz w:val="24"/>
                <w:szCs w:val="24"/>
                <w:highlight w:val="none"/>
              </w:rPr>
              <w:t>7</w:t>
            </w:r>
          </w:p>
        </w:tc>
        <w:tc>
          <w:tcPr>
            <w:tcW w:w="1543" w:type="dxa"/>
            <w:tcBorders>
              <w:top w:val="single" w:color="000000" w:sz="4" w:space="0"/>
              <w:left w:val="single" w:color="000000" w:sz="4" w:space="0"/>
              <w:bottom w:val="single" w:color="000000" w:sz="4" w:space="0"/>
              <w:right w:val="single" w:color="000000" w:sz="4" w:space="0"/>
            </w:tcBorders>
            <w:vAlign w:val="center"/>
          </w:tcPr>
          <w:p w14:paraId="507AE496">
            <w:pPr>
              <w:pStyle w:val="63"/>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A02060100</w:t>
            </w:r>
            <w:r>
              <w:rPr>
                <w:rFonts w:hint="eastAsia" w:ascii="宋体" w:hAnsi="宋体" w:cs="宋体"/>
                <w:color w:val="auto"/>
                <w:w w:val="99"/>
                <w:kern w:val="2"/>
                <w:sz w:val="24"/>
                <w:szCs w:val="24"/>
                <w:highlight w:val="none"/>
              </w:rPr>
              <w:t>电机</w:t>
            </w:r>
          </w:p>
        </w:tc>
        <w:tc>
          <w:tcPr>
            <w:tcW w:w="1954" w:type="dxa"/>
            <w:tcBorders>
              <w:top w:val="single" w:color="000000" w:sz="4" w:space="0"/>
              <w:left w:val="single" w:color="000000" w:sz="4" w:space="0"/>
              <w:bottom w:val="single" w:color="000000" w:sz="4" w:space="0"/>
              <w:right w:val="single" w:color="000000" w:sz="4" w:space="0"/>
            </w:tcBorders>
            <w:vAlign w:val="center"/>
          </w:tcPr>
          <w:p w14:paraId="2B104F10">
            <w:pPr>
              <w:jc w:val="center"/>
              <w:rPr>
                <w:rFonts w:ascii="宋体" w:hAnsi="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1976E151">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756A6FAF">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《中小型三相异步电动机能效限定值及能效等级》（GB18613）</w:t>
            </w:r>
          </w:p>
        </w:tc>
      </w:tr>
      <w:tr w14:paraId="55B0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02F1AC8">
            <w:pPr>
              <w:pStyle w:val="63"/>
              <w:ind w:right="1"/>
              <w:jc w:val="center"/>
              <w:rPr>
                <w:rFonts w:ascii="宋体" w:hAnsi="宋体" w:cs="宋体"/>
                <w:color w:val="auto"/>
                <w:kern w:val="2"/>
                <w:sz w:val="24"/>
                <w:szCs w:val="24"/>
                <w:highlight w:val="none"/>
              </w:rPr>
            </w:pPr>
            <w:r>
              <w:rPr>
                <w:rFonts w:hint="eastAsia" w:ascii="宋体" w:hAnsi="宋体"/>
                <w:color w:val="auto"/>
                <w:w w:val="99"/>
                <w:kern w:val="2"/>
                <w:sz w:val="24"/>
                <w:szCs w:val="24"/>
                <w:highlight w:val="none"/>
              </w:rPr>
              <w:t>8</w:t>
            </w:r>
          </w:p>
        </w:tc>
        <w:tc>
          <w:tcPr>
            <w:tcW w:w="1543" w:type="dxa"/>
            <w:tcBorders>
              <w:top w:val="single" w:color="000000" w:sz="4" w:space="0"/>
              <w:left w:val="single" w:color="000000" w:sz="4" w:space="0"/>
              <w:bottom w:val="single" w:color="000000" w:sz="4" w:space="0"/>
              <w:right w:val="single" w:color="000000" w:sz="4" w:space="0"/>
            </w:tcBorders>
            <w:vAlign w:val="center"/>
          </w:tcPr>
          <w:p w14:paraId="1634CD12">
            <w:pPr>
              <w:pStyle w:val="63"/>
              <w:spacing w:before="30"/>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A02060200</w:t>
            </w:r>
            <w:r>
              <w:rPr>
                <w:rFonts w:hint="eastAsia" w:ascii="宋体" w:hAnsi="宋体" w:cs="宋体"/>
                <w:color w:val="auto"/>
                <w:w w:val="99"/>
                <w:kern w:val="2"/>
                <w:sz w:val="24"/>
                <w:szCs w:val="24"/>
                <w:highlight w:val="none"/>
              </w:rPr>
              <w:t>变压</w:t>
            </w:r>
          </w:p>
        </w:tc>
        <w:tc>
          <w:tcPr>
            <w:tcW w:w="1954" w:type="dxa"/>
            <w:tcBorders>
              <w:top w:val="single" w:color="000000" w:sz="4" w:space="0"/>
              <w:left w:val="single" w:color="000000" w:sz="4" w:space="0"/>
              <w:bottom w:val="single" w:color="000000" w:sz="4" w:space="0"/>
              <w:right w:val="single" w:color="000000" w:sz="4" w:space="0"/>
            </w:tcBorders>
            <w:vAlign w:val="center"/>
          </w:tcPr>
          <w:p w14:paraId="51A3E859">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配电变压器</w:t>
            </w:r>
          </w:p>
        </w:tc>
        <w:tc>
          <w:tcPr>
            <w:tcW w:w="1488" w:type="dxa"/>
            <w:tcBorders>
              <w:top w:val="single" w:color="000000" w:sz="4" w:space="0"/>
              <w:left w:val="single" w:color="000000" w:sz="4" w:space="0"/>
              <w:bottom w:val="single" w:color="000000" w:sz="4" w:space="0"/>
              <w:right w:val="single" w:color="000000" w:sz="4" w:space="0"/>
            </w:tcBorders>
            <w:vAlign w:val="center"/>
          </w:tcPr>
          <w:p w14:paraId="3DABA515">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62722817">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《三相配电变压器能效限定值及能效等级》（GB 20052）</w:t>
            </w:r>
          </w:p>
        </w:tc>
      </w:tr>
      <w:tr w14:paraId="00AF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047EC75">
            <w:pPr>
              <w:pStyle w:val="63"/>
              <w:ind w:right="1"/>
              <w:jc w:val="center"/>
              <w:rPr>
                <w:rFonts w:ascii="宋体" w:hAnsi="宋体" w:cs="宋体"/>
                <w:color w:val="auto"/>
                <w:kern w:val="2"/>
                <w:sz w:val="24"/>
                <w:szCs w:val="24"/>
                <w:highlight w:val="none"/>
              </w:rPr>
            </w:pPr>
            <w:r>
              <w:rPr>
                <w:rFonts w:hint="eastAsia" w:ascii="宋体" w:hAnsi="宋体"/>
                <w:color w:val="auto"/>
                <w:w w:val="99"/>
                <w:kern w:val="2"/>
                <w:sz w:val="24"/>
                <w:szCs w:val="24"/>
                <w:highlight w:val="none"/>
              </w:rPr>
              <w:t>9</w:t>
            </w:r>
          </w:p>
        </w:tc>
        <w:tc>
          <w:tcPr>
            <w:tcW w:w="1543" w:type="dxa"/>
            <w:tcBorders>
              <w:top w:val="single" w:color="000000" w:sz="4" w:space="0"/>
              <w:left w:val="single" w:color="000000" w:sz="4" w:space="0"/>
              <w:bottom w:val="single" w:color="000000" w:sz="4" w:space="0"/>
              <w:right w:val="single" w:color="000000" w:sz="4" w:space="0"/>
            </w:tcBorders>
            <w:vAlign w:val="center"/>
          </w:tcPr>
          <w:p w14:paraId="6B2D3CBF">
            <w:pPr>
              <w:pStyle w:val="63"/>
              <w:spacing w:before="126"/>
              <w:ind w:left="7"/>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★A02060900镇流器</w:t>
            </w:r>
          </w:p>
        </w:tc>
        <w:tc>
          <w:tcPr>
            <w:tcW w:w="1954" w:type="dxa"/>
            <w:tcBorders>
              <w:top w:val="single" w:color="000000" w:sz="4" w:space="0"/>
              <w:left w:val="single" w:color="000000" w:sz="4" w:space="0"/>
              <w:bottom w:val="single" w:color="000000" w:sz="4" w:space="0"/>
              <w:right w:val="single" w:color="000000" w:sz="4" w:space="0"/>
            </w:tcBorders>
            <w:vAlign w:val="center"/>
          </w:tcPr>
          <w:p w14:paraId="3E154316">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管型荧光灯镇流器</w:t>
            </w:r>
          </w:p>
        </w:tc>
        <w:tc>
          <w:tcPr>
            <w:tcW w:w="1488" w:type="dxa"/>
            <w:tcBorders>
              <w:top w:val="single" w:color="000000" w:sz="4" w:space="0"/>
              <w:left w:val="single" w:color="000000" w:sz="4" w:space="0"/>
              <w:bottom w:val="single" w:color="000000" w:sz="4" w:space="0"/>
              <w:right w:val="single" w:color="000000" w:sz="4" w:space="0"/>
            </w:tcBorders>
            <w:vAlign w:val="center"/>
          </w:tcPr>
          <w:p w14:paraId="50B49977">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13482B4A">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《管形荧光灯镇流器能效限定值及能效等级》（GB17896）</w:t>
            </w:r>
          </w:p>
        </w:tc>
      </w:tr>
      <w:tr w14:paraId="6F1D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5DE54107">
            <w:pPr>
              <w:pStyle w:val="63"/>
              <w:jc w:val="center"/>
              <w:rPr>
                <w:rFonts w:ascii="宋体" w:hAnsi="宋体" w:cs="宋体"/>
                <w:color w:val="auto"/>
                <w:kern w:val="2"/>
                <w:sz w:val="24"/>
                <w:szCs w:val="24"/>
                <w:highlight w:val="none"/>
              </w:rPr>
            </w:pPr>
            <w:r>
              <w:rPr>
                <w:rFonts w:hint="eastAsia" w:ascii="宋体" w:hAnsi="宋体"/>
                <w:color w:val="auto"/>
                <w:w w:val="99"/>
                <w:kern w:val="2"/>
                <w:sz w:val="24"/>
                <w:szCs w:val="24"/>
                <w:highlight w:val="none"/>
              </w:rPr>
              <w:t>10</w:t>
            </w:r>
          </w:p>
        </w:tc>
        <w:tc>
          <w:tcPr>
            <w:tcW w:w="1543" w:type="dxa"/>
            <w:vMerge w:val="restart"/>
            <w:tcBorders>
              <w:top w:val="single" w:color="000000" w:sz="4" w:space="0"/>
              <w:left w:val="single" w:color="000000" w:sz="4" w:space="0"/>
              <w:bottom w:val="single" w:color="000000" w:sz="4" w:space="0"/>
              <w:right w:val="single" w:color="000000" w:sz="4" w:space="0"/>
            </w:tcBorders>
            <w:vAlign w:val="center"/>
          </w:tcPr>
          <w:p w14:paraId="4AB3284A">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A02061800生活用电器</w:t>
            </w:r>
          </w:p>
        </w:tc>
        <w:tc>
          <w:tcPr>
            <w:tcW w:w="1954" w:type="dxa"/>
            <w:tcBorders>
              <w:top w:val="single" w:color="000000" w:sz="4" w:space="0"/>
              <w:left w:val="single" w:color="000000" w:sz="4" w:space="0"/>
              <w:bottom w:val="single" w:color="000000" w:sz="4" w:space="0"/>
              <w:right w:val="single" w:color="000000" w:sz="4" w:space="0"/>
            </w:tcBorders>
            <w:vAlign w:val="center"/>
          </w:tcPr>
          <w:p w14:paraId="4E1FFBCB">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A02061801电冰箱</w:t>
            </w:r>
          </w:p>
        </w:tc>
        <w:tc>
          <w:tcPr>
            <w:tcW w:w="1488" w:type="dxa"/>
            <w:tcBorders>
              <w:top w:val="single" w:color="000000" w:sz="4" w:space="0"/>
              <w:left w:val="single" w:color="000000" w:sz="4" w:space="0"/>
              <w:bottom w:val="single" w:color="000000" w:sz="4" w:space="0"/>
              <w:right w:val="single" w:color="000000" w:sz="4" w:space="0"/>
            </w:tcBorders>
            <w:vAlign w:val="center"/>
          </w:tcPr>
          <w:p w14:paraId="72E56DB6">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540D454E">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《家用电冰箱耗电量限定值及能效等级》（GB12021.2）</w:t>
            </w:r>
          </w:p>
        </w:tc>
      </w:tr>
      <w:tr w14:paraId="51A6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4C5F98FA">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6315408F">
            <w:pPr>
              <w:widowControl/>
              <w:jc w:val="left"/>
              <w:rPr>
                <w:rFonts w:ascii="宋体" w:hAnsi="宋体" w:cs="宋体"/>
                <w:color w:val="auto"/>
                <w:sz w:val="24"/>
                <w:highlight w:val="none"/>
              </w:rPr>
            </w:pPr>
          </w:p>
        </w:tc>
        <w:tc>
          <w:tcPr>
            <w:tcW w:w="1954" w:type="dxa"/>
            <w:vMerge w:val="restart"/>
            <w:tcBorders>
              <w:top w:val="single" w:color="000000" w:sz="4" w:space="0"/>
              <w:left w:val="single" w:color="000000" w:sz="4" w:space="0"/>
              <w:bottom w:val="single" w:color="000000" w:sz="4" w:space="0"/>
              <w:right w:val="single" w:color="000000" w:sz="4" w:space="0"/>
            </w:tcBorders>
            <w:vAlign w:val="center"/>
          </w:tcPr>
          <w:p w14:paraId="27E44961">
            <w:pPr>
              <w:pStyle w:val="63"/>
              <w:spacing w:before="171"/>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仿宋_GB2312"/>
                <w:color w:val="auto"/>
                <w:kern w:val="2"/>
                <w:sz w:val="24"/>
                <w:szCs w:val="24"/>
                <w:highlight w:val="none"/>
              </w:rPr>
              <w:t>A02061804</w:t>
            </w:r>
            <w:r>
              <w:rPr>
                <w:rFonts w:hint="eastAsia" w:ascii="宋体" w:hAnsi="宋体" w:cs="宋体"/>
                <w:color w:val="auto"/>
                <w:w w:val="99"/>
                <w:kern w:val="2"/>
                <w:sz w:val="24"/>
                <w:szCs w:val="24"/>
                <w:highlight w:val="none"/>
              </w:rPr>
              <w:t>空调机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1F90B210">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房间空气调节器</w:t>
            </w:r>
          </w:p>
        </w:tc>
        <w:tc>
          <w:tcPr>
            <w:tcW w:w="4287" w:type="dxa"/>
            <w:tcBorders>
              <w:top w:val="single" w:color="000000" w:sz="4" w:space="0"/>
              <w:left w:val="single" w:color="000000" w:sz="4" w:space="0"/>
              <w:bottom w:val="single" w:color="000000" w:sz="4" w:space="0"/>
              <w:right w:val="single" w:color="000000" w:sz="4" w:space="0"/>
            </w:tcBorders>
          </w:tcPr>
          <w:p w14:paraId="7AEB2679">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《房间空气调节器能效限定值及能效等级》（GB21455-2019）</w:t>
            </w:r>
          </w:p>
        </w:tc>
      </w:tr>
      <w:tr w14:paraId="1475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1B7B29A">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197373E1">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69D9BA38">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34EC4D22">
            <w:pPr>
              <w:pStyle w:val="63"/>
              <w:spacing w:before="4" w:line="276" w:lineRule="auto"/>
              <w:ind w:left="7" w:right="7"/>
              <w:jc w:val="center"/>
              <w:rPr>
                <w:rFonts w:ascii="宋体" w:hAnsi="宋体" w:cs="宋体"/>
                <w:color w:val="auto"/>
                <w:kern w:val="2"/>
                <w:sz w:val="24"/>
                <w:szCs w:val="24"/>
                <w:highlight w:val="none"/>
                <w:lang w:eastAsia="zh-CN"/>
              </w:rPr>
            </w:pPr>
            <w:r>
              <w:rPr>
                <w:rFonts w:hint="eastAsia" w:ascii="宋体" w:hAnsi="宋体" w:cs="宋体"/>
                <w:color w:val="auto"/>
                <w:w w:val="99"/>
                <w:kern w:val="2"/>
                <w:sz w:val="24"/>
                <w:szCs w:val="24"/>
                <w:highlight w:val="none"/>
                <w:lang w:eastAsia="zh-CN"/>
              </w:rPr>
              <w:t>多联式空调（热泵）机组（制冷量≤ 14000W）</w:t>
            </w:r>
          </w:p>
        </w:tc>
        <w:tc>
          <w:tcPr>
            <w:tcW w:w="4287" w:type="dxa"/>
            <w:tcBorders>
              <w:top w:val="single" w:color="000000" w:sz="4" w:space="0"/>
              <w:left w:val="single" w:color="000000" w:sz="4" w:space="0"/>
              <w:bottom w:val="single" w:color="000000" w:sz="4" w:space="0"/>
              <w:right w:val="single" w:color="000000" w:sz="4" w:space="0"/>
            </w:tcBorders>
          </w:tcPr>
          <w:p w14:paraId="6D2427F3">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《多联式空调（热泵）机组能效限定值及能源效率等级》（GB21454）</w:t>
            </w:r>
          </w:p>
        </w:tc>
      </w:tr>
      <w:tr w14:paraId="58F9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289CBD4F">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04593E20">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5A2C0009">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6E381B21">
            <w:pPr>
              <w:pStyle w:val="63"/>
              <w:jc w:val="center"/>
              <w:rPr>
                <w:rFonts w:ascii="宋体" w:hAnsi="宋体" w:cs="宋体"/>
                <w:color w:val="auto"/>
                <w:kern w:val="2"/>
                <w:sz w:val="24"/>
                <w:szCs w:val="24"/>
                <w:highlight w:val="none"/>
                <w:lang w:eastAsia="zh-CN"/>
              </w:rPr>
            </w:pPr>
            <w:r>
              <w:rPr>
                <w:rFonts w:hint="eastAsia" w:ascii="宋体" w:hAnsi="宋体" w:cs="宋体"/>
                <w:color w:val="auto"/>
                <w:w w:val="99"/>
                <w:kern w:val="2"/>
                <w:sz w:val="24"/>
                <w:szCs w:val="24"/>
                <w:highlight w:val="none"/>
                <w:lang w:eastAsia="zh-CN"/>
              </w:rPr>
              <w:t>单元式空气调节机（制冷量≤ 14000W）</w:t>
            </w:r>
          </w:p>
        </w:tc>
        <w:tc>
          <w:tcPr>
            <w:tcW w:w="4287" w:type="dxa"/>
            <w:tcBorders>
              <w:top w:val="single" w:color="000000" w:sz="4" w:space="0"/>
              <w:left w:val="single" w:color="000000" w:sz="4" w:space="0"/>
              <w:bottom w:val="single" w:color="000000" w:sz="4" w:space="0"/>
              <w:right w:val="single" w:color="000000" w:sz="4" w:space="0"/>
            </w:tcBorders>
          </w:tcPr>
          <w:p w14:paraId="115053BA">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《单元式空气调节机能效限定值及能源效率等级》（GB19576）《风管送风式空调机组能效限定值及能效等级》（GB37479）</w:t>
            </w:r>
          </w:p>
        </w:tc>
      </w:tr>
      <w:tr w14:paraId="6538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E4C4080">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6CF5C7DA">
            <w:pPr>
              <w:widowControl/>
              <w:jc w:val="left"/>
              <w:rPr>
                <w:rFonts w:ascii="宋体" w:hAnsi="宋体" w:cs="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7EFB3550">
            <w:pPr>
              <w:pStyle w:val="63"/>
              <w:spacing w:before="162"/>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A02061810</w:t>
            </w:r>
            <w:r>
              <w:rPr>
                <w:rFonts w:hint="eastAsia" w:ascii="宋体" w:hAnsi="宋体" w:cs="宋体"/>
                <w:color w:val="auto"/>
                <w:w w:val="99"/>
                <w:kern w:val="2"/>
                <w:sz w:val="24"/>
                <w:szCs w:val="24"/>
                <w:highlight w:val="none"/>
              </w:rPr>
              <w:t>洗衣机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47C34484">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686ED8EC">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《电动洗衣机能效水效限定值及等级》（GB12021.4）</w:t>
            </w:r>
          </w:p>
        </w:tc>
      </w:tr>
      <w:tr w14:paraId="28F2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2A6D7756">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558A07CF">
            <w:pPr>
              <w:widowControl/>
              <w:jc w:val="left"/>
              <w:rPr>
                <w:rFonts w:ascii="宋体" w:hAnsi="宋体" w:cs="宋体"/>
                <w:color w:val="auto"/>
                <w:sz w:val="24"/>
                <w:highlight w:val="none"/>
              </w:rPr>
            </w:pPr>
          </w:p>
        </w:tc>
        <w:tc>
          <w:tcPr>
            <w:tcW w:w="1954" w:type="dxa"/>
            <w:vMerge w:val="restart"/>
            <w:tcBorders>
              <w:top w:val="single" w:color="000000" w:sz="4" w:space="0"/>
              <w:left w:val="single" w:color="000000" w:sz="4" w:space="0"/>
              <w:bottom w:val="single" w:color="000000" w:sz="4" w:space="0"/>
              <w:right w:val="single" w:color="000000" w:sz="4" w:space="0"/>
            </w:tcBorders>
            <w:vAlign w:val="center"/>
          </w:tcPr>
          <w:p w14:paraId="74C06859">
            <w:pPr>
              <w:pStyle w:val="63"/>
              <w:spacing w:before="161"/>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A02061819</w:t>
            </w:r>
            <w:r>
              <w:rPr>
                <w:rFonts w:hint="eastAsia" w:ascii="宋体" w:hAnsi="宋体" w:cs="宋体"/>
                <w:color w:val="auto"/>
                <w:w w:val="99"/>
                <w:kern w:val="2"/>
                <w:sz w:val="24"/>
                <w:szCs w:val="24"/>
                <w:highlight w:val="none"/>
              </w:rPr>
              <w:t>热水器</w:t>
            </w:r>
          </w:p>
        </w:tc>
        <w:tc>
          <w:tcPr>
            <w:tcW w:w="1488" w:type="dxa"/>
            <w:tcBorders>
              <w:top w:val="single" w:color="000000" w:sz="4" w:space="0"/>
              <w:left w:val="single" w:color="000000" w:sz="4" w:space="0"/>
              <w:bottom w:val="single" w:color="000000" w:sz="4" w:space="0"/>
              <w:right w:val="single" w:color="000000" w:sz="4" w:space="0"/>
            </w:tcBorders>
            <w:vAlign w:val="center"/>
          </w:tcPr>
          <w:p w14:paraId="5C0D9F64">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★电热</w:t>
            </w:r>
            <w:r>
              <w:rPr>
                <w:rFonts w:hint="eastAsia" w:ascii="宋体" w:hAnsi="宋体" w:cs="宋体"/>
                <w:color w:val="auto"/>
                <w:spacing w:val="2"/>
                <w:w w:val="99"/>
                <w:kern w:val="2"/>
                <w:sz w:val="24"/>
                <w:szCs w:val="24"/>
                <w:highlight w:val="none"/>
              </w:rPr>
              <w:t>水</w:t>
            </w:r>
            <w:r>
              <w:rPr>
                <w:rFonts w:hint="eastAsia" w:ascii="宋体" w:hAnsi="宋体" w:cs="宋体"/>
                <w:color w:val="auto"/>
                <w:w w:val="99"/>
                <w:kern w:val="2"/>
                <w:sz w:val="24"/>
                <w:szCs w:val="24"/>
                <w:highlight w:val="none"/>
              </w:rPr>
              <w:t>器</w:t>
            </w:r>
          </w:p>
        </w:tc>
        <w:tc>
          <w:tcPr>
            <w:tcW w:w="4287" w:type="dxa"/>
            <w:tcBorders>
              <w:top w:val="single" w:color="000000" w:sz="4" w:space="0"/>
              <w:left w:val="single" w:color="000000" w:sz="4" w:space="0"/>
              <w:bottom w:val="single" w:color="000000" w:sz="4" w:space="0"/>
              <w:right w:val="single" w:color="000000" w:sz="4" w:space="0"/>
            </w:tcBorders>
          </w:tcPr>
          <w:p w14:paraId="680DB90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《储水式电热水器能效限定值及能效等级》（GB21519）</w:t>
            </w:r>
          </w:p>
        </w:tc>
      </w:tr>
      <w:tr w14:paraId="6472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0AFC9895">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3AF9B6AC">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5084D5B6">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00595786">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燃气热</w:t>
            </w:r>
            <w:r>
              <w:rPr>
                <w:rFonts w:hint="eastAsia" w:ascii="宋体" w:hAnsi="宋体" w:cs="宋体"/>
                <w:color w:val="auto"/>
                <w:spacing w:val="2"/>
                <w:w w:val="99"/>
                <w:kern w:val="2"/>
                <w:sz w:val="24"/>
                <w:szCs w:val="24"/>
                <w:highlight w:val="none"/>
              </w:rPr>
              <w:t>水</w:t>
            </w:r>
            <w:r>
              <w:rPr>
                <w:rFonts w:hint="eastAsia" w:ascii="宋体" w:hAnsi="宋体" w:cs="宋体"/>
                <w:color w:val="auto"/>
                <w:w w:val="99"/>
                <w:kern w:val="2"/>
                <w:sz w:val="24"/>
                <w:szCs w:val="24"/>
                <w:highlight w:val="none"/>
              </w:rPr>
              <w:t>器</w:t>
            </w:r>
          </w:p>
        </w:tc>
        <w:tc>
          <w:tcPr>
            <w:tcW w:w="4287" w:type="dxa"/>
            <w:tcBorders>
              <w:top w:val="single" w:color="000000" w:sz="4" w:space="0"/>
              <w:left w:val="single" w:color="000000" w:sz="4" w:space="0"/>
              <w:bottom w:val="single" w:color="000000" w:sz="4" w:space="0"/>
              <w:right w:val="single" w:color="000000" w:sz="4" w:space="0"/>
            </w:tcBorders>
          </w:tcPr>
          <w:p w14:paraId="3D6DEFD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《家用燃气快速热水器和燃气采暖热水炉能效限定值及能效等级》（GB20665）</w:t>
            </w:r>
          </w:p>
        </w:tc>
      </w:tr>
      <w:tr w14:paraId="22FC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351D214C">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791363F5">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0FCFE4E7">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1767741E">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热泵热</w:t>
            </w:r>
            <w:r>
              <w:rPr>
                <w:rFonts w:hint="eastAsia" w:ascii="宋体" w:hAnsi="宋体" w:cs="宋体"/>
                <w:color w:val="auto"/>
                <w:spacing w:val="2"/>
                <w:w w:val="99"/>
                <w:kern w:val="2"/>
                <w:sz w:val="24"/>
                <w:szCs w:val="24"/>
                <w:highlight w:val="none"/>
              </w:rPr>
              <w:t>水</w:t>
            </w:r>
            <w:r>
              <w:rPr>
                <w:rFonts w:hint="eastAsia" w:ascii="宋体" w:hAnsi="宋体" w:cs="宋体"/>
                <w:color w:val="auto"/>
                <w:w w:val="99"/>
                <w:kern w:val="2"/>
                <w:sz w:val="24"/>
                <w:szCs w:val="24"/>
                <w:highlight w:val="none"/>
              </w:rPr>
              <w:t>器</w:t>
            </w:r>
          </w:p>
        </w:tc>
        <w:tc>
          <w:tcPr>
            <w:tcW w:w="4287" w:type="dxa"/>
            <w:tcBorders>
              <w:top w:val="single" w:color="000000" w:sz="4" w:space="0"/>
              <w:left w:val="single" w:color="000000" w:sz="4" w:space="0"/>
              <w:bottom w:val="single" w:color="000000" w:sz="4" w:space="0"/>
              <w:right w:val="single" w:color="000000" w:sz="4" w:space="0"/>
            </w:tcBorders>
          </w:tcPr>
          <w:p w14:paraId="6478DD7B">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《热泵热水机（器）能效限定值及能效等级》（GB29541）</w:t>
            </w:r>
          </w:p>
        </w:tc>
      </w:tr>
      <w:tr w14:paraId="78FA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5771E15A">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697908A5">
            <w:pPr>
              <w:widowControl/>
              <w:jc w:val="left"/>
              <w:rPr>
                <w:rFonts w:ascii="宋体" w:hAnsi="宋体" w:cs="宋体"/>
                <w:color w:val="auto"/>
                <w:sz w:val="24"/>
                <w:highlight w:val="none"/>
              </w:rPr>
            </w:pPr>
          </w:p>
        </w:tc>
        <w:tc>
          <w:tcPr>
            <w:tcW w:w="1954" w:type="dxa"/>
            <w:vMerge w:val="continue"/>
            <w:tcBorders>
              <w:top w:val="single" w:color="000000" w:sz="4" w:space="0"/>
              <w:left w:val="single" w:color="000000" w:sz="4" w:space="0"/>
              <w:bottom w:val="single" w:color="000000" w:sz="4" w:space="0"/>
              <w:right w:val="single" w:color="000000" w:sz="4" w:space="0"/>
            </w:tcBorders>
            <w:vAlign w:val="center"/>
          </w:tcPr>
          <w:p w14:paraId="29EA8AE0">
            <w:pPr>
              <w:widowControl/>
              <w:jc w:val="left"/>
              <w:rPr>
                <w:rFonts w:ascii="宋体" w:hAnsi="宋体" w:cs="宋体"/>
                <w:color w:val="auto"/>
                <w:sz w:val="24"/>
                <w:highlight w:val="none"/>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73627483">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太阳能</w:t>
            </w:r>
            <w:r>
              <w:rPr>
                <w:rFonts w:hint="eastAsia" w:ascii="宋体" w:hAnsi="宋体" w:cs="宋体"/>
                <w:color w:val="auto"/>
                <w:spacing w:val="2"/>
                <w:w w:val="99"/>
                <w:kern w:val="2"/>
                <w:sz w:val="24"/>
                <w:szCs w:val="24"/>
                <w:highlight w:val="none"/>
              </w:rPr>
              <w:t>热</w:t>
            </w:r>
            <w:r>
              <w:rPr>
                <w:rFonts w:hint="eastAsia" w:ascii="宋体" w:hAnsi="宋体" w:cs="宋体"/>
                <w:color w:val="auto"/>
                <w:w w:val="99"/>
                <w:kern w:val="2"/>
                <w:sz w:val="24"/>
                <w:szCs w:val="24"/>
                <w:highlight w:val="none"/>
              </w:rPr>
              <w:t>水系统</w:t>
            </w:r>
          </w:p>
        </w:tc>
        <w:tc>
          <w:tcPr>
            <w:tcW w:w="4287" w:type="dxa"/>
            <w:tcBorders>
              <w:top w:val="single" w:color="000000" w:sz="4" w:space="0"/>
              <w:left w:val="single" w:color="000000" w:sz="4" w:space="0"/>
              <w:bottom w:val="single" w:color="000000" w:sz="4" w:space="0"/>
              <w:right w:val="single" w:color="000000" w:sz="4" w:space="0"/>
            </w:tcBorders>
          </w:tcPr>
          <w:p w14:paraId="443BE6EA">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《家用太阳能热水系统能效限定值及能效等级》（GB26969）</w:t>
            </w:r>
          </w:p>
        </w:tc>
      </w:tr>
      <w:tr w14:paraId="3D22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40BB9C10">
            <w:pPr>
              <w:pStyle w:val="63"/>
              <w:jc w:val="center"/>
              <w:rPr>
                <w:rFonts w:ascii="宋体" w:hAnsi="宋体" w:cs="宋体"/>
                <w:color w:val="auto"/>
                <w:kern w:val="2"/>
                <w:sz w:val="24"/>
                <w:szCs w:val="24"/>
                <w:highlight w:val="none"/>
              </w:rPr>
            </w:pPr>
            <w:r>
              <w:rPr>
                <w:rFonts w:hint="eastAsia" w:ascii="宋体" w:hAnsi="宋体"/>
                <w:color w:val="auto"/>
                <w:spacing w:val="1"/>
                <w:w w:val="99"/>
                <w:kern w:val="2"/>
                <w:sz w:val="24"/>
                <w:szCs w:val="24"/>
                <w:highlight w:val="none"/>
              </w:rPr>
              <w:t>1</w:t>
            </w:r>
            <w:r>
              <w:rPr>
                <w:rFonts w:hint="eastAsia" w:ascii="宋体" w:hAnsi="宋体"/>
                <w:color w:val="auto"/>
                <w:w w:val="99"/>
                <w:kern w:val="2"/>
                <w:sz w:val="24"/>
                <w:szCs w:val="24"/>
                <w:highlight w:val="none"/>
              </w:rPr>
              <w:t>1</w:t>
            </w:r>
          </w:p>
        </w:tc>
        <w:tc>
          <w:tcPr>
            <w:tcW w:w="1543" w:type="dxa"/>
            <w:vMerge w:val="restart"/>
            <w:tcBorders>
              <w:top w:val="single" w:color="000000" w:sz="4" w:space="0"/>
              <w:left w:val="single" w:color="000000" w:sz="4" w:space="0"/>
              <w:bottom w:val="single" w:color="000000" w:sz="4" w:space="0"/>
              <w:right w:val="single" w:color="000000" w:sz="4" w:space="0"/>
            </w:tcBorders>
            <w:vAlign w:val="center"/>
          </w:tcPr>
          <w:p w14:paraId="3A9A3B7C">
            <w:pPr>
              <w:pStyle w:val="63"/>
              <w:spacing w:before="157"/>
              <w:jc w:val="center"/>
              <w:rPr>
                <w:rFonts w:ascii="宋体" w:hAnsi="宋体" w:cs="宋体"/>
                <w:color w:val="auto"/>
                <w:kern w:val="2"/>
                <w:sz w:val="24"/>
                <w:szCs w:val="24"/>
                <w:highlight w:val="none"/>
              </w:rPr>
            </w:pPr>
            <w:r>
              <w:rPr>
                <w:rFonts w:hint="eastAsia" w:ascii="宋体" w:hAnsi="宋体" w:cs="宋体"/>
                <w:color w:val="auto"/>
                <w:spacing w:val="1"/>
                <w:w w:val="99"/>
                <w:kern w:val="2"/>
                <w:sz w:val="24"/>
                <w:szCs w:val="24"/>
                <w:highlight w:val="none"/>
              </w:rPr>
              <w:t>A02</w:t>
            </w:r>
            <w:r>
              <w:rPr>
                <w:rFonts w:hint="eastAsia" w:ascii="宋体" w:hAnsi="宋体" w:cs="宋体"/>
                <w:color w:val="auto"/>
                <w:w w:val="99"/>
                <w:kern w:val="2"/>
                <w:sz w:val="24"/>
                <w:szCs w:val="24"/>
                <w:highlight w:val="none"/>
              </w:rPr>
              <w:t>06</w:t>
            </w:r>
            <w:r>
              <w:rPr>
                <w:rFonts w:hint="eastAsia" w:ascii="宋体" w:hAnsi="宋体" w:cs="宋体"/>
                <w:color w:val="auto"/>
                <w:spacing w:val="1"/>
                <w:w w:val="99"/>
                <w:kern w:val="2"/>
                <w:sz w:val="24"/>
                <w:szCs w:val="24"/>
                <w:highlight w:val="none"/>
              </w:rPr>
              <w:t>1</w:t>
            </w:r>
            <w:r>
              <w:rPr>
                <w:rFonts w:hint="eastAsia" w:ascii="宋体" w:hAnsi="宋体" w:cs="宋体"/>
                <w:color w:val="auto"/>
                <w:w w:val="99"/>
                <w:kern w:val="2"/>
                <w:sz w:val="24"/>
                <w:szCs w:val="24"/>
                <w:highlight w:val="none"/>
              </w:rPr>
              <w:t>900照明设备</w:t>
            </w:r>
          </w:p>
        </w:tc>
        <w:tc>
          <w:tcPr>
            <w:tcW w:w="1954" w:type="dxa"/>
            <w:tcBorders>
              <w:top w:val="single" w:color="000000" w:sz="4" w:space="0"/>
              <w:left w:val="single" w:color="000000" w:sz="4" w:space="0"/>
              <w:bottom w:val="single" w:color="000000" w:sz="4" w:space="0"/>
              <w:right w:val="single" w:color="000000" w:sz="4" w:space="0"/>
            </w:tcBorders>
            <w:vAlign w:val="center"/>
          </w:tcPr>
          <w:p w14:paraId="3D5FC8BC">
            <w:pPr>
              <w:pStyle w:val="63"/>
              <w:spacing w:before="133" w:line="276" w:lineRule="auto"/>
              <w:ind w:left="7" w:right="7"/>
              <w:jc w:val="center"/>
              <w:rPr>
                <w:rFonts w:ascii="宋体" w:hAnsi="宋体" w:cs="宋体"/>
                <w:color w:val="auto"/>
                <w:kern w:val="2"/>
                <w:sz w:val="24"/>
                <w:szCs w:val="24"/>
                <w:highlight w:val="none"/>
                <w:lang w:eastAsia="zh-CN"/>
              </w:rPr>
            </w:pPr>
            <w:r>
              <w:rPr>
                <w:rFonts w:hint="eastAsia" w:ascii="宋体" w:hAnsi="宋体" w:cs="宋体"/>
                <w:color w:val="auto"/>
                <w:w w:val="99"/>
                <w:kern w:val="2"/>
                <w:sz w:val="24"/>
                <w:szCs w:val="24"/>
                <w:highlight w:val="none"/>
                <w:lang w:eastAsia="zh-CN"/>
              </w:rPr>
              <w:t>★普通照明用双端荧光灯</w:t>
            </w:r>
          </w:p>
        </w:tc>
        <w:tc>
          <w:tcPr>
            <w:tcW w:w="1488" w:type="dxa"/>
            <w:tcBorders>
              <w:top w:val="single" w:color="000000" w:sz="4" w:space="0"/>
              <w:left w:val="single" w:color="000000" w:sz="4" w:space="0"/>
              <w:bottom w:val="single" w:color="000000" w:sz="4" w:space="0"/>
              <w:right w:val="single" w:color="000000" w:sz="4" w:space="0"/>
            </w:tcBorders>
            <w:vAlign w:val="center"/>
          </w:tcPr>
          <w:p w14:paraId="03EB00C9">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3F6E8A7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《普通照明用双端荧光灯能效限定值及能效等级》（GB19043）</w:t>
            </w:r>
          </w:p>
        </w:tc>
      </w:tr>
      <w:tr w14:paraId="623D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01FCD50">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4EFC6B28">
            <w:pPr>
              <w:widowControl/>
              <w:jc w:val="left"/>
              <w:rPr>
                <w:rFonts w:ascii="宋体" w:hAnsi="宋体" w:cs="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4415E706">
            <w:pPr>
              <w:pStyle w:val="63"/>
              <w:spacing w:before="92" w:line="276" w:lineRule="auto"/>
              <w:ind w:left="7" w:right="2"/>
              <w:jc w:val="center"/>
              <w:rPr>
                <w:rFonts w:ascii="宋体" w:hAnsi="宋体" w:cs="宋体"/>
                <w:color w:val="auto"/>
                <w:kern w:val="2"/>
                <w:sz w:val="24"/>
                <w:szCs w:val="24"/>
                <w:highlight w:val="none"/>
              </w:rPr>
            </w:pPr>
            <w:r>
              <w:rPr>
                <w:rFonts w:hint="eastAsia" w:ascii="宋体" w:hAnsi="宋体" w:cs="宋体"/>
                <w:color w:val="auto"/>
                <w:spacing w:val="1"/>
                <w:w w:val="99"/>
                <w:kern w:val="2"/>
                <w:sz w:val="24"/>
                <w:szCs w:val="24"/>
                <w:highlight w:val="none"/>
              </w:rPr>
              <w:t>LE</w:t>
            </w:r>
            <w:r>
              <w:rPr>
                <w:rFonts w:hint="eastAsia" w:ascii="宋体" w:hAnsi="宋体" w:cs="宋体"/>
                <w:color w:val="auto"/>
                <w:w w:val="99"/>
                <w:kern w:val="2"/>
                <w:sz w:val="24"/>
                <w:szCs w:val="24"/>
                <w:highlight w:val="none"/>
              </w:rPr>
              <w:t>D</w:t>
            </w:r>
            <w:r>
              <w:rPr>
                <w:rFonts w:hint="eastAsia" w:ascii="宋体" w:hAnsi="宋体" w:cs="宋体"/>
                <w:color w:val="auto"/>
                <w:spacing w:val="12"/>
                <w:w w:val="99"/>
                <w:kern w:val="2"/>
                <w:sz w:val="24"/>
                <w:szCs w:val="24"/>
                <w:highlight w:val="none"/>
              </w:rPr>
              <w:t>道</w:t>
            </w:r>
            <w:r>
              <w:rPr>
                <w:rFonts w:hint="eastAsia" w:ascii="宋体" w:hAnsi="宋体" w:cs="宋体"/>
                <w:color w:val="auto"/>
                <w:spacing w:val="9"/>
                <w:w w:val="99"/>
                <w:kern w:val="2"/>
                <w:sz w:val="24"/>
                <w:szCs w:val="24"/>
                <w:highlight w:val="none"/>
              </w:rPr>
              <w:t>路</w:t>
            </w:r>
            <w:r>
              <w:rPr>
                <w:rFonts w:hint="eastAsia" w:ascii="宋体" w:hAnsi="宋体" w:cs="宋体"/>
                <w:color w:val="auto"/>
                <w:spacing w:val="13"/>
                <w:w w:val="99"/>
                <w:kern w:val="2"/>
                <w:sz w:val="24"/>
                <w:szCs w:val="24"/>
                <w:highlight w:val="none"/>
              </w:rPr>
              <w:t>/</w:t>
            </w:r>
            <w:r>
              <w:rPr>
                <w:rFonts w:hint="eastAsia" w:ascii="宋体" w:hAnsi="宋体" w:cs="宋体"/>
                <w:color w:val="auto"/>
                <w:spacing w:val="12"/>
                <w:w w:val="99"/>
                <w:kern w:val="2"/>
                <w:sz w:val="24"/>
                <w:szCs w:val="24"/>
                <w:highlight w:val="none"/>
              </w:rPr>
              <w:t>隧道照</w:t>
            </w:r>
            <w:r>
              <w:rPr>
                <w:rFonts w:hint="eastAsia" w:ascii="宋体" w:hAnsi="宋体" w:cs="宋体"/>
                <w:color w:val="auto"/>
                <w:w w:val="99"/>
                <w:kern w:val="2"/>
                <w:sz w:val="24"/>
                <w:szCs w:val="24"/>
                <w:highlight w:val="none"/>
              </w:rPr>
              <w:t>明产品</w:t>
            </w:r>
          </w:p>
        </w:tc>
        <w:tc>
          <w:tcPr>
            <w:tcW w:w="1488" w:type="dxa"/>
            <w:tcBorders>
              <w:top w:val="single" w:color="000000" w:sz="4" w:space="0"/>
              <w:left w:val="single" w:color="000000" w:sz="4" w:space="0"/>
              <w:bottom w:val="single" w:color="000000" w:sz="4" w:space="0"/>
              <w:right w:val="single" w:color="000000" w:sz="4" w:space="0"/>
            </w:tcBorders>
            <w:vAlign w:val="center"/>
          </w:tcPr>
          <w:p w14:paraId="1D52C050">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78309901">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《道路和隧道照明用LED灯具能效限定值及能效等级》（GB37478）</w:t>
            </w:r>
          </w:p>
        </w:tc>
      </w:tr>
      <w:tr w14:paraId="0193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5C7257A6">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4DA5C60F">
            <w:pPr>
              <w:widowControl/>
              <w:jc w:val="left"/>
              <w:rPr>
                <w:rFonts w:ascii="宋体" w:hAnsi="宋体" w:cs="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4FDD7854">
            <w:pPr>
              <w:pStyle w:val="63"/>
              <w:jc w:val="center"/>
              <w:rPr>
                <w:rFonts w:ascii="宋体" w:hAnsi="宋体" w:cs="宋体"/>
                <w:color w:val="auto"/>
                <w:kern w:val="2"/>
                <w:sz w:val="24"/>
                <w:szCs w:val="24"/>
                <w:highlight w:val="none"/>
              </w:rPr>
            </w:pPr>
            <w:r>
              <w:rPr>
                <w:rFonts w:hint="eastAsia" w:ascii="宋体" w:hAnsi="宋体" w:cs="宋体"/>
                <w:color w:val="auto"/>
                <w:spacing w:val="1"/>
                <w:w w:val="99"/>
                <w:kern w:val="2"/>
                <w:sz w:val="24"/>
                <w:szCs w:val="24"/>
                <w:highlight w:val="none"/>
              </w:rPr>
              <w:t>LE</w:t>
            </w:r>
            <w:r>
              <w:rPr>
                <w:rFonts w:hint="eastAsia" w:ascii="宋体" w:hAnsi="宋体" w:cs="宋体"/>
                <w:color w:val="auto"/>
                <w:w w:val="99"/>
                <w:kern w:val="2"/>
                <w:sz w:val="24"/>
                <w:szCs w:val="24"/>
                <w:highlight w:val="none"/>
              </w:rPr>
              <w:t>D筒灯</w:t>
            </w:r>
          </w:p>
        </w:tc>
        <w:tc>
          <w:tcPr>
            <w:tcW w:w="1488" w:type="dxa"/>
            <w:tcBorders>
              <w:top w:val="single" w:color="000000" w:sz="4" w:space="0"/>
              <w:left w:val="single" w:color="000000" w:sz="4" w:space="0"/>
              <w:bottom w:val="single" w:color="000000" w:sz="4" w:space="0"/>
              <w:right w:val="single" w:color="000000" w:sz="4" w:space="0"/>
            </w:tcBorders>
            <w:vAlign w:val="center"/>
          </w:tcPr>
          <w:p w14:paraId="29629113">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01630D20">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《室内照明用LED产品能效限定值及能效等级》（GB30255）</w:t>
            </w:r>
          </w:p>
        </w:tc>
      </w:tr>
      <w:tr w14:paraId="2BD1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119B937A">
            <w:pPr>
              <w:widowControl/>
              <w:jc w:val="left"/>
              <w:rPr>
                <w:rFonts w:ascii="宋体" w:hAnsi="宋体" w:cs="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2A0ADE38">
            <w:pPr>
              <w:widowControl/>
              <w:jc w:val="left"/>
              <w:rPr>
                <w:rFonts w:ascii="宋体" w:hAnsi="宋体" w:cs="宋体"/>
                <w:color w:val="auto"/>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036F02B8">
            <w:pPr>
              <w:pStyle w:val="63"/>
              <w:spacing w:line="276" w:lineRule="auto"/>
              <w:ind w:right="7"/>
              <w:jc w:val="center"/>
              <w:rPr>
                <w:rFonts w:ascii="宋体" w:hAnsi="宋体" w:cs="宋体"/>
                <w:color w:val="auto"/>
                <w:kern w:val="2"/>
                <w:sz w:val="24"/>
                <w:szCs w:val="24"/>
                <w:highlight w:val="none"/>
                <w:lang w:eastAsia="zh-CN"/>
              </w:rPr>
            </w:pPr>
            <w:r>
              <w:rPr>
                <w:rFonts w:hint="eastAsia" w:ascii="宋体" w:hAnsi="宋体" w:cs="宋体"/>
                <w:color w:val="auto"/>
                <w:w w:val="99"/>
                <w:kern w:val="2"/>
                <w:sz w:val="24"/>
                <w:szCs w:val="24"/>
                <w:highlight w:val="none"/>
                <w:lang w:eastAsia="zh-CN"/>
              </w:rPr>
              <w:t>普</w:t>
            </w:r>
            <w:r>
              <w:rPr>
                <w:rFonts w:hint="eastAsia" w:ascii="宋体" w:hAnsi="宋体" w:cs="宋体"/>
                <w:color w:val="auto"/>
                <w:spacing w:val="24"/>
                <w:w w:val="99"/>
                <w:kern w:val="2"/>
                <w:sz w:val="24"/>
                <w:szCs w:val="24"/>
                <w:highlight w:val="none"/>
                <w:lang w:eastAsia="zh-CN"/>
              </w:rPr>
              <w:t>通</w:t>
            </w:r>
            <w:r>
              <w:rPr>
                <w:rFonts w:hint="eastAsia" w:ascii="宋体" w:hAnsi="宋体" w:cs="宋体"/>
                <w:color w:val="auto"/>
                <w:w w:val="99"/>
                <w:kern w:val="2"/>
                <w:sz w:val="24"/>
                <w:szCs w:val="24"/>
                <w:highlight w:val="none"/>
                <w:lang w:eastAsia="zh-CN"/>
              </w:rPr>
              <w:t>照明用非</w:t>
            </w:r>
            <w:r>
              <w:rPr>
                <w:rFonts w:hint="eastAsia" w:ascii="宋体" w:hAnsi="宋体" w:cs="宋体"/>
                <w:color w:val="auto"/>
                <w:spacing w:val="24"/>
                <w:w w:val="99"/>
                <w:kern w:val="2"/>
                <w:sz w:val="24"/>
                <w:szCs w:val="24"/>
                <w:highlight w:val="none"/>
                <w:lang w:eastAsia="zh-CN"/>
              </w:rPr>
              <w:t>定</w:t>
            </w:r>
            <w:r>
              <w:rPr>
                <w:rFonts w:hint="eastAsia" w:ascii="宋体" w:hAnsi="宋体" w:cs="宋体"/>
                <w:color w:val="auto"/>
                <w:w w:val="99"/>
                <w:kern w:val="2"/>
                <w:sz w:val="24"/>
                <w:szCs w:val="24"/>
                <w:highlight w:val="none"/>
                <w:lang w:eastAsia="zh-CN"/>
              </w:rPr>
              <w:t>向自镇流</w:t>
            </w:r>
            <w:r>
              <w:rPr>
                <w:rFonts w:hint="eastAsia" w:ascii="宋体" w:hAnsi="宋体" w:cs="宋体"/>
                <w:color w:val="auto"/>
                <w:spacing w:val="1"/>
                <w:w w:val="99"/>
                <w:kern w:val="2"/>
                <w:sz w:val="24"/>
                <w:szCs w:val="24"/>
                <w:highlight w:val="none"/>
                <w:lang w:eastAsia="zh-CN"/>
              </w:rPr>
              <w:t>LE</w:t>
            </w:r>
            <w:r>
              <w:rPr>
                <w:rFonts w:hint="eastAsia" w:ascii="宋体" w:hAnsi="宋体" w:cs="宋体"/>
                <w:color w:val="auto"/>
                <w:w w:val="99"/>
                <w:kern w:val="2"/>
                <w:sz w:val="24"/>
                <w:szCs w:val="24"/>
                <w:highlight w:val="none"/>
                <w:lang w:eastAsia="zh-CN"/>
              </w:rPr>
              <w:t>D灯</w:t>
            </w:r>
          </w:p>
        </w:tc>
        <w:tc>
          <w:tcPr>
            <w:tcW w:w="1488" w:type="dxa"/>
            <w:tcBorders>
              <w:top w:val="single" w:color="000000" w:sz="4" w:space="0"/>
              <w:left w:val="single" w:color="000000" w:sz="4" w:space="0"/>
              <w:bottom w:val="single" w:color="000000" w:sz="4" w:space="0"/>
              <w:right w:val="single" w:color="000000" w:sz="4" w:space="0"/>
            </w:tcBorders>
            <w:vAlign w:val="center"/>
          </w:tcPr>
          <w:p w14:paraId="32237D38">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3057510E">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《室内照明用LED产品能效限定值及能效等级》（GB30255）</w:t>
            </w:r>
          </w:p>
        </w:tc>
      </w:tr>
      <w:tr w14:paraId="0C25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700CB28">
            <w:pPr>
              <w:pStyle w:val="63"/>
              <w:jc w:val="center"/>
              <w:rPr>
                <w:rFonts w:ascii="宋体" w:hAnsi="宋体" w:cs="宋体"/>
                <w:color w:val="auto"/>
                <w:kern w:val="2"/>
                <w:sz w:val="24"/>
                <w:szCs w:val="24"/>
                <w:highlight w:val="none"/>
              </w:rPr>
            </w:pPr>
            <w:r>
              <w:rPr>
                <w:rFonts w:hint="eastAsia" w:ascii="宋体" w:hAnsi="宋体"/>
                <w:color w:val="auto"/>
                <w:spacing w:val="1"/>
                <w:w w:val="99"/>
                <w:kern w:val="2"/>
                <w:sz w:val="24"/>
                <w:szCs w:val="24"/>
                <w:highlight w:val="none"/>
              </w:rPr>
              <w:t>1</w:t>
            </w:r>
            <w:r>
              <w:rPr>
                <w:rFonts w:hint="eastAsia" w:ascii="宋体" w:hAnsi="宋体"/>
                <w:color w:val="auto"/>
                <w:w w:val="99"/>
                <w:kern w:val="2"/>
                <w:sz w:val="24"/>
                <w:szCs w:val="24"/>
                <w:highlight w:val="none"/>
              </w:rPr>
              <w:t>2</w:t>
            </w:r>
          </w:p>
        </w:tc>
        <w:tc>
          <w:tcPr>
            <w:tcW w:w="1543" w:type="dxa"/>
            <w:tcBorders>
              <w:top w:val="single" w:color="000000" w:sz="4" w:space="0"/>
              <w:left w:val="single" w:color="000000" w:sz="4" w:space="0"/>
              <w:bottom w:val="single" w:color="000000" w:sz="4" w:space="0"/>
              <w:right w:val="single" w:color="000000" w:sz="4" w:space="0"/>
            </w:tcBorders>
            <w:vAlign w:val="center"/>
          </w:tcPr>
          <w:p w14:paraId="0448670A">
            <w:pPr>
              <w:pStyle w:val="63"/>
              <w:spacing w:before="81"/>
              <w:ind w:left="7"/>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宋体"/>
                <w:color w:val="auto"/>
                <w:spacing w:val="1"/>
                <w:w w:val="99"/>
                <w:kern w:val="2"/>
                <w:sz w:val="24"/>
                <w:szCs w:val="24"/>
                <w:highlight w:val="none"/>
              </w:rPr>
              <w:t>A020</w:t>
            </w:r>
            <w:r>
              <w:rPr>
                <w:rFonts w:hint="eastAsia" w:ascii="宋体" w:hAnsi="宋体" w:cs="宋体"/>
                <w:color w:val="auto"/>
                <w:w w:val="99"/>
                <w:kern w:val="2"/>
                <w:sz w:val="24"/>
                <w:szCs w:val="24"/>
                <w:highlight w:val="none"/>
              </w:rPr>
              <w:t>91000电视设备</w:t>
            </w:r>
          </w:p>
        </w:tc>
        <w:tc>
          <w:tcPr>
            <w:tcW w:w="1954" w:type="dxa"/>
            <w:tcBorders>
              <w:top w:val="single" w:color="000000" w:sz="4" w:space="0"/>
              <w:left w:val="single" w:color="000000" w:sz="4" w:space="0"/>
              <w:bottom w:val="single" w:color="000000" w:sz="4" w:space="0"/>
              <w:right w:val="single" w:color="000000" w:sz="4" w:space="0"/>
            </w:tcBorders>
            <w:vAlign w:val="center"/>
          </w:tcPr>
          <w:p w14:paraId="6A11F54A">
            <w:pPr>
              <w:pStyle w:val="63"/>
              <w:spacing w:before="81" w:line="276" w:lineRule="auto"/>
              <w:ind w:left="7" w:right="5"/>
              <w:jc w:val="center"/>
              <w:rPr>
                <w:rFonts w:ascii="宋体" w:hAnsi="宋体" w:cs="宋体"/>
                <w:color w:val="auto"/>
                <w:kern w:val="2"/>
                <w:sz w:val="24"/>
                <w:szCs w:val="24"/>
                <w:highlight w:val="none"/>
                <w:lang w:eastAsia="zh-CN"/>
              </w:rPr>
            </w:pPr>
            <w:r>
              <w:rPr>
                <w:rFonts w:hint="eastAsia" w:ascii="宋体" w:hAnsi="宋体" w:cs="宋体"/>
                <w:color w:val="auto"/>
                <w:spacing w:val="1"/>
                <w:w w:val="99"/>
                <w:kern w:val="2"/>
                <w:sz w:val="24"/>
                <w:szCs w:val="24"/>
                <w:highlight w:val="none"/>
                <w:lang w:eastAsia="zh-CN"/>
              </w:rPr>
              <w:t>A02</w:t>
            </w:r>
            <w:r>
              <w:rPr>
                <w:rFonts w:hint="eastAsia" w:ascii="宋体" w:hAnsi="宋体" w:cs="宋体"/>
                <w:color w:val="auto"/>
                <w:w w:val="99"/>
                <w:kern w:val="2"/>
                <w:sz w:val="24"/>
                <w:szCs w:val="24"/>
                <w:highlight w:val="none"/>
                <w:lang w:eastAsia="zh-CN"/>
              </w:rPr>
              <w:t>09</w:t>
            </w:r>
            <w:r>
              <w:rPr>
                <w:rFonts w:hint="eastAsia" w:ascii="宋体" w:hAnsi="宋体" w:cs="宋体"/>
                <w:color w:val="auto"/>
                <w:spacing w:val="1"/>
                <w:w w:val="99"/>
                <w:kern w:val="2"/>
                <w:sz w:val="24"/>
                <w:szCs w:val="24"/>
                <w:highlight w:val="none"/>
                <w:lang w:eastAsia="zh-CN"/>
              </w:rPr>
              <w:t>1</w:t>
            </w:r>
            <w:r>
              <w:rPr>
                <w:rFonts w:hint="eastAsia" w:ascii="宋体" w:hAnsi="宋体" w:cs="宋体"/>
                <w:color w:val="auto"/>
                <w:w w:val="99"/>
                <w:kern w:val="2"/>
                <w:sz w:val="24"/>
                <w:szCs w:val="24"/>
                <w:highlight w:val="none"/>
                <w:lang w:eastAsia="zh-CN"/>
              </w:rPr>
              <w:t>001普通电视设备（</w:t>
            </w:r>
            <w:r>
              <w:rPr>
                <w:rFonts w:hint="eastAsia" w:ascii="宋体" w:hAnsi="宋体" w:cs="宋体"/>
                <w:color w:val="auto"/>
                <w:spacing w:val="2"/>
                <w:w w:val="99"/>
                <w:kern w:val="2"/>
                <w:sz w:val="24"/>
                <w:szCs w:val="24"/>
                <w:highlight w:val="none"/>
                <w:lang w:eastAsia="zh-CN"/>
              </w:rPr>
              <w:t>电</w:t>
            </w:r>
            <w:r>
              <w:rPr>
                <w:rFonts w:hint="eastAsia" w:ascii="宋体" w:hAnsi="宋体" w:cs="宋体"/>
                <w:color w:val="auto"/>
                <w:w w:val="99"/>
                <w:kern w:val="2"/>
                <w:sz w:val="24"/>
                <w:szCs w:val="24"/>
                <w:highlight w:val="none"/>
                <w:lang w:eastAsia="zh-CN"/>
              </w:rPr>
              <w:t>视机）</w:t>
            </w:r>
          </w:p>
        </w:tc>
        <w:tc>
          <w:tcPr>
            <w:tcW w:w="1488" w:type="dxa"/>
            <w:tcBorders>
              <w:top w:val="single" w:color="000000" w:sz="4" w:space="0"/>
              <w:left w:val="single" w:color="000000" w:sz="4" w:space="0"/>
              <w:bottom w:val="single" w:color="000000" w:sz="4" w:space="0"/>
              <w:right w:val="single" w:color="000000" w:sz="4" w:space="0"/>
            </w:tcBorders>
            <w:vAlign w:val="center"/>
          </w:tcPr>
          <w:p w14:paraId="572EECCC">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0DB79375">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《平板电视能效限定值及能效等级》（GB24850）</w:t>
            </w:r>
          </w:p>
        </w:tc>
      </w:tr>
      <w:tr w14:paraId="740A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72EF54C">
            <w:pPr>
              <w:pStyle w:val="63"/>
              <w:jc w:val="center"/>
              <w:rPr>
                <w:rFonts w:ascii="宋体" w:hAnsi="宋体" w:cs="宋体"/>
                <w:color w:val="auto"/>
                <w:kern w:val="2"/>
                <w:sz w:val="24"/>
                <w:szCs w:val="24"/>
                <w:highlight w:val="none"/>
              </w:rPr>
            </w:pPr>
            <w:r>
              <w:rPr>
                <w:rFonts w:hint="eastAsia" w:ascii="宋体" w:hAnsi="宋体"/>
                <w:color w:val="auto"/>
                <w:spacing w:val="1"/>
                <w:w w:val="99"/>
                <w:kern w:val="2"/>
                <w:sz w:val="24"/>
                <w:szCs w:val="24"/>
                <w:highlight w:val="none"/>
              </w:rPr>
              <w:t>1</w:t>
            </w:r>
            <w:r>
              <w:rPr>
                <w:rFonts w:hint="eastAsia" w:ascii="宋体" w:hAnsi="宋体"/>
                <w:color w:val="auto"/>
                <w:w w:val="99"/>
                <w:kern w:val="2"/>
                <w:sz w:val="24"/>
                <w:szCs w:val="24"/>
                <w:highlight w:val="none"/>
              </w:rPr>
              <w:t>3</w:t>
            </w:r>
          </w:p>
        </w:tc>
        <w:tc>
          <w:tcPr>
            <w:tcW w:w="1543" w:type="dxa"/>
            <w:tcBorders>
              <w:top w:val="single" w:color="000000" w:sz="4" w:space="0"/>
              <w:left w:val="single" w:color="000000" w:sz="4" w:space="0"/>
              <w:bottom w:val="single" w:color="000000" w:sz="4" w:space="0"/>
              <w:right w:val="single" w:color="000000" w:sz="4" w:space="0"/>
            </w:tcBorders>
            <w:vAlign w:val="center"/>
          </w:tcPr>
          <w:p w14:paraId="58720F31">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宋体"/>
                <w:color w:val="auto"/>
                <w:spacing w:val="1"/>
                <w:w w:val="99"/>
                <w:kern w:val="2"/>
                <w:sz w:val="24"/>
                <w:szCs w:val="24"/>
                <w:highlight w:val="none"/>
              </w:rPr>
              <w:t>A020</w:t>
            </w:r>
            <w:r>
              <w:rPr>
                <w:rFonts w:hint="eastAsia" w:ascii="宋体" w:hAnsi="宋体" w:cs="宋体"/>
                <w:color w:val="auto"/>
                <w:w w:val="99"/>
                <w:kern w:val="2"/>
                <w:sz w:val="24"/>
                <w:szCs w:val="24"/>
                <w:highlight w:val="none"/>
              </w:rPr>
              <w:t>91100视频设备</w:t>
            </w:r>
          </w:p>
        </w:tc>
        <w:tc>
          <w:tcPr>
            <w:tcW w:w="1954" w:type="dxa"/>
            <w:tcBorders>
              <w:top w:val="single" w:color="000000" w:sz="4" w:space="0"/>
              <w:left w:val="single" w:color="000000" w:sz="4" w:space="0"/>
              <w:bottom w:val="single" w:color="000000" w:sz="4" w:space="0"/>
              <w:right w:val="single" w:color="000000" w:sz="4" w:space="0"/>
            </w:tcBorders>
            <w:vAlign w:val="center"/>
          </w:tcPr>
          <w:p w14:paraId="4FFE5A90">
            <w:pPr>
              <w:pStyle w:val="63"/>
              <w:spacing w:line="276" w:lineRule="auto"/>
              <w:ind w:right="5"/>
              <w:jc w:val="center"/>
              <w:rPr>
                <w:rFonts w:ascii="宋体" w:hAnsi="宋体" w:cs="宋体"/>
                <w:color w:val="auto"/>
                <w:kern w:val="2"/>
                <w:sz w:val="24"/>
                <w:szCs w:val="24"/>
                <w:highlight w:val="none"/>
              </w:rPr>
            </w:pPr>
            <w:r>
              <w:rPr>
                <w:rFonts w:hint="eastAsia" w:ascii="宋体" w:hAnsi="宋体" w:cs="宋体"/>
                <w:color w:val="auto"/>
                <w:spacing w:val="1"/>
                <w:w w:val="99"/>
                <w:kern w:val="2"/>
                <w:sz w:val="24"/>
                <w:szCs w:val="24"/>
                <w:highlight w:val="none"/>
              </w:rPr>
              <w:t>A02</w:t>
            </w:r>
            <w:r>
              <w:rPr>
                <w:rFonts w:hint="eastAsia" w:ascii="宋体" w:hAnsi="宋体" w:cs="宋体"/>
                <w:color w:val="auto"/>
                <w:w w:val="99"/>
                <w:kern w:val="2"/>
                <w:sz w:val="24"/>
                <w:szCs w:val="24"/>
                <w:highlight w:val="none"/>
              </w:rPr>
              <w:t>09</w:t>
            </w:r>
            <w:r>
              <w:rPr>
                <w:rFonts w:hint="eastAsia" w:ascii="宋体" w:hAnsi="宋体" w:cs="宋体"/>
                <w:color w:val="auto"/>
                <w:spacing w:val="1"/>
                <w:w w:val="99"/>
                <w:kern w:val="2"/>
                <w:sz w:val="24"/>
                <w:szCs w:val="24"/>
                <w:highlight w:val="none"/>
              </w:rPr>
              <w:t>1</w:t>
            </w:r>
            <w:r>
              <w:rPr>
                <w:rFonts w:hint="eastAsia" w:ascii="宋体" w:hAnsi="宋体" w:cs="宋体"/>
                <w:color w:val="auto"/>
                <w:w w:val="99"/>
                <w:kern w:val="2"/>
                <w:sz w:val="24"/>
                <w:szCs w:val="24"/>
                <w:highlight w:val="none"/>
              </w:rPr>
              <w:t>107视频监控设备</w:t>
            </w:r>
          </w:p>
        </w:tc>
        <w:tc>
          <w:tcPr>
            <w:tcW w:w="1488" w:type="dxa"/>
            <w:tcBorders>
              <w:top w:val="single" w:color="000000" w:sz="4" w:space="0"/>
              <w:left w:val="single" w:color="000000" w:sz="4" w:space="0"/>
              <w:bottom w:val="single" w:color="000000" w:sz="4" w:space="0"/>
              <w:right w:val="single" w:color="000000" w:sz="4" w:space="0"/>
            </w:tcBorders>
            <w:vAlign w:val="center"/>
          </w:tcPr>
          <w:p w14:paraId="7879E8BF">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监视器</w:t>
            </w:r>
          </w:p>
        </w:tc>
        <w:tc>
          <w:tcPr>
            <w:tcW w:w="4287" w:type="dxa"/>
            <w:tcBorders>
              <w:top w:val="single" w:color="000000" w:sz="4" w:space="0"/>
              <w:left w:val="single" w:color="000000" w:sz="4" w:space="0"/>
              <w:bottom w:val="single" w:color="000000" w:sz="4" w:space="0"/>
              <w:right w:val="single" w:color="000000" w:sz="4" w:space="0"/>
            </w:tcBorders>
          </w:tcPr>
          <w:p w14:paraId="197C744C">
            <w:pPr>
              <w:pStyle w:val="63"/>
              <w:spacing w:before="131" w:line="276" w:lineRule="auto"/>
              <w:ind w:left="7" w:right="4"/>
              <w:rPr>
                <w:rFonts w:ascii="宋体" w:hAnsi="宋体" w:cs="宋体"/>
                <w:color w:val="auto"/>
                <w:spacing w:val="10"/>
                <w:kern w:val="2"/>
                <w:sz w:val="24"/>
                <w:szCs w:val="24"/>
                <w:highlight w:val="none"/>
                <w:lang w:eastAsia="zh-CN"/>
              </w:rPr>
            </w:pPr>
            <w:r>
              <w:rPr>
                <w:rFonts w:hint="eastAsia" w:ascii="宋体" w:hAnsi="宋体" w:cs="宋体"/>
                <w:color w:val="auto"/>
                <w:spacing w:val="10"/>
                <w:kern w:val="2"/>
                <w:sz w:val="24"/>
                <w:szCs w:val="24"/>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14:paraId="18EF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052D2DC">
            <w:pPr>
              <w:pStyle w:val="63"/>
              <w:jc w:val="center"/>
              <w:rPr>
                <w:rFonts w:ascii="宋体" w:hAnsi="宋体" w:cs="宋体"/>
                <w:color w:val="auto"/>
                <w:kern w:val="2"/>
                <w:sz w:val="24"/>
                <w:szCs w:val="24"/>
                <w:highlight w:val="none"/>
              </w:rPr>
            </w:pPr>
            <w:r>
              <w:rPr>
                <w:rFonts w:hint="eastAsia" w:ascii="宋体" w:hAnsi="宋体"/>
                <w:color w:val="auto"/>
                <w:spacing w:val="1"/>
                <w:w w:val="99"/>
                <w:kern w:val="2"/>
                <w:sz w:val="24"/>
                <w:szCs w:val="24"/>
                <w:highlight w:val="none"/>
              </w:rPr>
              <w:t>1</w:t>
            </w:r>
            <w:r>
              <w:rPr>
                <w:rFonts w:hint="eastAsia" w:ascii="宋体" w:hAnsi="宋体"/>
                <w:color w:val="auto"/>
                <w:w w:val="99"/>
                <w:kern w:val="2"/>
                <w:sz w:val="24"/>
                <w:szCs w:val="24"/>
                <w:highlight w:val="none"/>
              </w:rPr>
              <w:t>4</w:t>
            </w:r>
          </w:p>
        </w:tc>
        <w:tc>
          <w:tcPr>
            <w:tcW w:w="1543" w:type="dxa"/>
            <w:tcBorders>
              <w:top w:val="single" w:color="000000" w:sz="4" w:space="0"/>
              <w:left w:val="single" w:color="000000" w:sz="4" w:space="0"/>
              <w:bottom w:val="single" w:color="000000" w:sz="4" w:space="0"/>
              <w:right w:val="single" w:color="000000" w:sz="4" w:space="0"/>
            </w:tcBorders>
            <w:vAlign w:val="center"/>
          </w:tcPr>
          <w:p w14:paraId="181C252B">
            <w:pPr>
              <w:pStyle w:val="63"/>
              <w:spacing w:before="76"/>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A02241000</w:t>
            </w:r>
            <w:r>
              <w:rPr>
                <w:rFonts w:hint="eastAsia" w:ascii="宋体" w:hAnsi="宋体" w:cs="宋体"/>
                <w:color w:val="auto"/>
                <w:w w:val="99"/>
                <w:kern w:val="2"/>
                <w:sz w:val="24"/>
                <w:szCs w:val="24"/>
                <w:highlight w:val="none"/>
              </w:rPr>
              <w:t>饮食炊事机械</w:t>
            </w:r>
          </w:p>
        </w:tc>
        <w:tc>
          <w:tcPr>
            <w:tcW w:w="1954" w:type="dxa"/>
            <w:tcBorders>
              <w:top w:val="single" w:color="000000" w:sz="4" w:space="0"/>
              <w:left w:val="single" w:color="000000" w:sz="4" w:space="0"/>
              <w:bottom w:val="single" w:color="000000" w:sz="4" w:space="0"/>
              <w:right w:val="single" w:color="000000" w:sz="4" w:space="0"/>
            </w:tcBorders>
            <w:vAlign w:val="center"/>
          </w:tcPr>
          <w:p w14:paraId="31B4CCBC">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商用燃</w:t>
            </w:r>
            <w:r>
              <w:rPr>
                <w:rFonts w:hint="eastAsia" w:ascii="宋体" w:hAnsi="宋体" w:cs="宋体"/>
                <w:color w:val="auto"/>
                <w:spacing w:val="2"/>
                <w:w w:val="99"/>
                <w:kern w:val="2"/>
                <w:sz w:val="24"/>
                <w:szCs w:val="24"/>
                <w:highlight w:val="none"/>
              </w:rPr>
              <w:t>气</w:t>
            </w:r>
            <w:r>
              <w:rPr>
                <w:rFonts w:hint="eastAsia" w:ascii="宋体" w:hAnsi="宋体" w:cs="宋体"/>
                <w:color w:val="auto"/>
                <w:w w:val="99"/>
                <w:kern w:val="2"/>
                <w:sz w:val="24"/>
                <w:szCs w:val="24"/>
                <w:highlight w:val="none"/>
              </w:rPr>
              <w:t>灶具</w:t>
            </w:r>
          </w:p>
        </w:tc>
        <w:tc>
          <w:tcPr>
            <w:tcW w:w="1488" w:type="dxa"/>
            <w:tcBorders>
              <w:top w:val="single" w:color="000000" w:sz="4" w:space="0"/>
              <w:left w:val="single" w:color="000000" w:sz="4" w:space="0"/>
              <w:bottom w:val="single" w:color="000000" w:sz="4" w:space="0"/>
              <w:right w:val="single" w:color="000000" w:sz="4" w:space="0"/>
            </w:tcBorders>
            <w:vAlign w:val="center"/>
          </w:tcPr>
          <w:p w14:paraId="1D9E10BB">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255023D3">
            <w:pPr>
              <w:pStyle w:val="63"/>
              <w:spacing w:before="131" w:line="276" w:lineRule="auto"/>
              <w:ind w:left="7" w:right="4"/>
              <w:rPr>
                <w:rFonts w:ascii="宋体" w:hAnsi="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《商用燃气灶具能效限定值及能效等级》（GB30531）</w:t>
            </w:r>
          </w:p>
        </w:tc>
      </w:tr>
      <w:tr w14:paraId="2EBC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488A3599">
            <w:pPr>
              <w:jc w:val="center"/>
              <w:rPr>
                <w:rFonts w:ascii="宋体" w:hAnsi="宋体"/>
                <w:color w:val="auto"/>
                <w:sz w:val="24"/>
                <w:highlight w:val="none"/>
              </w:rPr>
            </w:pPr>
            <w:r>
              <w:rPr>
                <w:rFonts w:hint="eastAsia" w:ascii="宋体" w:hAnsi="宋体"/>
                <w:color w:val="auto"/>
                <w:sz w:val="24"/>
                <w:highlight w:val="none"/>
              </w:rPr>
              <w:t>15</w:t>
            </w:r>
          </w:p>
        </w:tc>
        <w:tc>
          <w:tcPr>
            <w:tcW w:w="1543" w:type="dxa"/>
            <w:vMerge w:val="restart"/>
            <w:tcBorders>
              <w:top w:val="single" w:color="000000" w:sz="4" w:space="0"/>
              <w:left w:val="single" w:color="000000" w:sz="4" w:space="0"/>
              <w:bottom w:val="single" w:color="000000" w:sz="4" w:space="0"/>
              <w:right w:val="single" w:color="000000" w:sz="4" w:space="0"/>
            </w:tcBorders>
            <w:vAlign w:val="center"/>
          </w:tcPr>
          <w:p w14:paraId="054E1E15">
            <w:pPr>
              <w:pStyle w:val="63"/>
              <w:jc w:val="center"/>
              <w:rPr>
                <w:rFonts w:ascii="宋体" w:hAnsi="宋体" w:cs="宋体"/>
                <w:color w:val="auto"/>
                <w:w w:val="99"/>
                <w:kern w:val="2"/>
                <w:sz w:val="24"/>
                <w:szCs w:val="24"/>
                <w:highlight w:val="none"/>
              </w:rPr>
            </w:pPr>
            <w:r>
              <w:rPr>
                <w:rFonts w:hint="eastAsia" w:ascii="宋体" w:hAnsi="宋体" w:cs="宋体"/>
                <w:color w:val="auto"/>
                <w:w w:val="99"/>
                <w:kern w:val="2"/>
                <w:sz w:val="24"/>
                <w:szCs w:val="24"/>
                <w:highlight w:val="none"/>
              </w:rPr>
              <w:t>★</w:t>
            </w:r>
            <w:r>
              <w:rPr>
                <w:rFonts w:hint="eastAsia" w:ascii="宋体" w:hAnsi="宋体" w:cs="仿宋_GB2312"/>
                <w:color w:val="auto"/>
                <w:kern w:val="2"/>
                <w:sz w:val="24"/>
                <w:szCs w:val="24"/>
                <w:highlight w:val="none"/>
              </w:rPr>
              <w:t>A05020105</w:t>
            </w:r>
            <w:r>
              <w:rPr>
                <w:rFonts w:hint="eastAsia" w:ascii="宋体" w:hAnsi="宋体" w:cs="宋体"/>
                <w:color w:val="auto"/>
                <w:w w:val="99"/>
                <w:kern w:val="2"/>
                <w:sz w:val="24"/>
                <w:szCs w:val="24"/>
                <w:highlight w:val="none"/>
              </w:rPr>
              <w:t>便器</w:t>
            </w:r>
          </w:p>
        </w:tc>
        <w:tc>
          <w:tcPr>
            <w:tcW w:w="1954" w:type="dxa"/>
            <w:tcBorders>
              <w:top w:val="single" w:color="000000" w:sz="4" w:space="0"/>
              <w:left w:val="single" w:color="000000" w:sz="4" w:space="0"/>
              <w:bottom w:val="single" w:color="000000" w:sz="4" w:space="0"/>
              <w:right w:val="single" w:color="000000" w:sz="4" w:space="0"/>
            </w:tcBorders>
            <w:vAlign w:val="center"/>
          </w:tcPr>
          <w:p w14:paraId="4DC700B6">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坐便器</w:t>
            </w:r>
          </w:p>
        </w:tc>
        <w:tc>
          <w:tcPr>
            <w:tcW w:w="1488" w:type="dxa"/>
            <w:tcBorders>
              <w:top w:val="single" w:color="000000" w:sz="4" w:space="0"/>
              <w:left w:val="single" w:color="000000" w:sz="4" w:space="0"/>
              <w:bottom w:val="single" w:color="000000" w:sz="4" w:space="0"/>
              <w:right w:val="single" w:color="000000" w:sz="4" w:space="0"/>
            </w:tcBorders>
            <w:vAlign w:val="center"/>
          </w:tcPr>
          <w:p w14:paraId="4FA9AAA3">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4A4CCC5D">
            <w:pPr>
              <w:pStyle w:val="63"/>
              <w:spacing w:before="131" w:line="276" w:lineRule="auto"/>
              <w:ind w:left="7" w:right="4"/>
              <w:rPr>
                <w:rFonts w:ascii="宋体" w:hAnsi="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《坐便器水效限定值及水效等级》</w:t>
            </w:r>
          </w:p>
          <w:p w14:paraId="6489D06B">
            <w:pPr>
              <w:pStyle w:val="63"/>
              <w:spacing w:before="131" w:line="276" w:lineRule="auto"/>
              <w:ind w:left="7" w:right="4"/>
              <w:rPr>
                <w:rFonts w:ascii="宋体" w:hAnsi="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（GB25502）</w:t>
            </w:r>
          </w:p>
        </w:tc>
      </w:tr>
      <w:tr w14:paraId="4ABE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489D478">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3291AEB3">
            <w:pPr>
              <w:widowControl/>
              <w:jc w:val="left"/>
              <w:rPr>
                <w:rFonts w:ascii="宋体" w:hAnsi="宋体" w:cs="宋体"/>
                <w:color w:val="auto"/>
                <w:w w:val="99"/>
                <w:sz w:val="24"/>
                <w:highlight w:val="none"/>
                <w:lang w:eastAsia="en-US"/>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7474B760">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蹲便器</w:t>
            </w:r>
          </w:p>
        </w:tc>
        <w:tc>
          <w:tcPr>
            <w:tcW w:w="1488" w:type="dxa"/>
            <w:tcBorders>
              <w:top w:val="single" w:color="000000" w:sz="4" w:space="0"/>
              <w:left w:val="single" w:color="000000" w:sz="4" w:space="0"/>
              <w:bottom w:val="single" w:color="000000" w:sz="4" w:space="0"/>
              <w:right w:val="single" w:color="000000" w:sz="4" w:space="0"/>
            </w:tcBorders>
            <w:vAlign w:val="center"/>
          </w:tcPr>
          <w:p w14:paraId="7D0281E8">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0631A59D">
            <w:pPr>
              <w:pStyle w:val="63"/>
              <w:spacing w:before="131" w:line="276" w:lineRule="auto"/>
              <w:ind w:left="7" w:right="4"/>
              <w:rPr>
                <w:rFonts w:ascii="宋体" w:hAnsi="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《蹲便器用水效率限定值及用水效率等级》（GB30717）</w:t>
            </w:r>
          </w:p>
        </w:tc>
      </w:tr>
      <w:tr w14:paraId="1D8C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vAlign w:val="center"/>
          </w:tcPr>
          <w:p w14:paraId="6B9C7213">
            <w:pPr>
              <w:widowControl/>
              <w:jc w:val="left"/>
              <w:rPr>
                <w:rFonts w:ascii="宋体" w:hAnsi="宋体"/>
                <w:color w:val="auto"/>
                <w:sz w:val="24"/>
                <w:highlight w:val="none"/>
              </w:rPr>
            </w:pPr>
          </w:p>
        </w:tc>
        <w:tc>
          <w:tcPr>
            <w:tcW w:w="1543" w:type="dxa"/>
            <w:vMerge w:val="continue"/>
            <w:tcBorders>
              <w:top w:val="single" w:color="000000" w:sz="4" w:space="0"/>
              <w:left w:val="single" w:color="000000" w:sz="4" w:space="0"/>
              <w:bottom w:val="single" w:color="000000" w:sz="4" w:space="0"/>
              <w:right w:val="single" w:color="000000" w:sz="4" w:space="0"/>
            </w:tcBorders>
            <w:vAlign w:val="center"/>
          </w:tcPr>
          <w:p w14:paraId="02B28A69">
            <w:pPr>
              <w:widowControl/>
              <w:jc w:val="left"/>
              <w:rPr>
                <w:rFonts w:ascii="宋体" w:hAnsi="宋体" w:cs="宋体"/>
                <w:color w:val="auto"/>
                <w:w w:val="99"/>
                <w:sz w:val="24"/>
                <w:highlight w:val="none"/>
              </w:rPr>
            </w:pPr>
          </w:p>
        </w:tc>
        <w:tc>
          <w:tcPr>
            <w:tcW w:w="1954" w:type="dxa"/>
            <w:tcBorders>
              <w:top w:val="single" w:color="000000" w:sz="4" w:space="0"/>
              <w:left w:val="single" w:color="000000" w:sz="4" w:space="0"/>
              <w:bottom w:val="single" w:color="000000" w:sz="4" w:space="0"/>
              <w:right w:val="single" w:color="000000" w:sz="4" w:space="0"/>
            </w:tcBorders>
            <w:vAlign w:val="center"/>
          </w:tcPr>
          <w:p w14:paraId="21C065CB">
            <w:pPr>
              <w:pStyle w:val="63"/>
              <w:jc w:val="center"/>
              <w:rPr>
                <w:rFonts w:ascii="宋体" w:hAnsi="宋体" w:cs="宋体"/>
                <w:color w:val="auto"/>
                <w:kern w:val="2"/>
                <w:sz w:val="24"/>
                <w:szCs w:val="24"/>
                <w:highlight w:val="none"/>
              </w:rPr>
            </w:pPr>
            <w:r>
              <w:rPr>
                <w:rFonts w:hint="eastAsia" w:ascii="宋体" w:hAnsi="宋体" w:cs="宋体"/>
                <w:color w:val="auto"/>
                <w:w w:val="99"/>
                <w:kern w:val="2"/>
                <w:sz w:val="24"/>
                <w:szCs w:val="24"/>
                <w:highlight w:val="none"/>
              </w:rPr>
              <w:t>小便器</w:t>
            </w:r>
          </w:p>
        </w:tc>
        <w:tc>
          <w:tcPr>
            <w:tcW w:w="1488" w:type="dxa"/>
            <w:tcBorders>
              <w:top w:val="single" w:color="000000" w:sz="4" w:space="0"/>
              <w:left w:val="single" w:color="000000" w:sz="4" w:space="0"/>
              <w:bottom w:val="single" w:color="000000" w:sz="4" w:space="0"/>
              <w:right w:val="single" w:color="000000" w:sz="4" w:space="0"/>
            </w:tcBorders>
            <w:vAlign w:val="center"/>
          </w:tcPr>
          <w:p w14:paraId="22DBA6F7">
            <w:pPr>
              <w:jc w:val="center"/>
              <w:rPr>
                <w:rFonts w:ascii="宋体" w:hAnsi="宋体"/>
                <w:color w:val="auto"/>
                <w:sz w:val="24"/>
                <w:highlight w:val="none"/>
              </w:rPr>
            </w:pPr>
          </w:p>
        </w:tc>
        <w:tc>
          <w:tcPr>
            <w:tcW w:w="4287" w:type="dxa"/>
            <w:tcBorders>
              <w:top w:val="single" w:color="000000" w:sz="4" w:space="0"/>
              <w:left w:val="single" w:color="000000" w:sz="4" w:space="0"/>
              <w:bottom w:val="single" w:color="000000" w:sz="4" w:space="0"/>
              <w:right w:val="single" w:color="000000" w:sz="4" w:space="0"/>
            </w:tcBorders>
          </w:tcPr>
          <w:p w14:paraId="2D5688BF">
            <w:pPr>
              <w:pStyle w:val="63"/>
              <w:spacing w:before="131" w:line="276" w:lineRule="auto"/>
              <w:ind w:left="7" w:right="4"/>
              <w:rPr>
                <w:rFonts w:ascii="宋体" w:hAnsi="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《小便器用水效率限定值及用水效率等级》（GB28377）</w:t>
            </w:r>
          </w:p>
        </w:tc>
      </w:tr>
      <w:tr w14:paraId="74F0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059B495">
            <w:pPr>
              <w:pStyle w:val="63"/>
              <w:jc w:val="center"/>
              <w:rPr>
                <w:rFonts w:ascii="宋体" w:hAnsi="宋体" w:cs="宋体"/>
                <w:color w:val="auto"/>
                <w:kern w:val="2"/>
                <w:sz w:val="24"/>
                <w:szCs w:val="24"/>
                <w:highlight w:val="none"/>
              </w:rPr>
            </w:pPr>
            <w:r>
              <w:rPr>
                <w:rFonts w:hint="eastAsia" w:ascii="宋体" w:hAnsi="宋体"/>
                <w:color w:val="auto"/>
                <w:kern w:val="2"/>
                <w:sz w:val="24"/>
                <w:szCs w:val="24"/>
                <w:highlight w:val="none"/>
              </w:rPr>
              <w:t>16</w:t>
            </w:r>
          </w:p>
        </w:tc>
        <w:tc>
          <w:tcPr>
            <w:tcW w:w="1543" w:type="dxa"/>
            <w:tcBorders>
              <w:top w:val="single" w:color="000000" w:sz="4" w:space="0"/>
              <w:left w:val="single" w:color="000000" w:sz="4" w:space="0"/>
              <w:bottom w:val="single" w:color="000000" w:sz="4" w:space="0"/>
              <w:right w:val="single" w:color="000000" w:sz="4" w:space="0"/>
            </w:tcBorders>
            <w:vAlign w:val="center"/>
          </w:tcPr>
          <w:p w14:paraId="55FEE607">
            <w:pPr>
              <w:pStyle w:val="63"/>
              <w:spacing w:before="153"/>
              <w:ind w:left="7"/>
              <w:jc w:val="center"/>
              <w:rPr>
                <w:rFonts w:ascii="宋体" w:hAnsi="宋体" w:cs="宋体"/>
                <w:color w:val="auto"/>
                <w:kern w:val="2"/>
                <w:sz w:val="24"/>
                <w:szCs w:val="24"/>
                <w:highlight w:val="none"/>
              </w:rPr>
            </w:pPr>
            <w:r>
              <w:rPr>
                <w:rFonts w:hint="eastAsia" w:ascii="宋体" w:hAnsi="宋体" w:cs="宋体"/>
                <w:color w:val="auto"/>
                <w:kern w:val="2"/>
                <w:sz w:val="24"/>
                <w:szCs w:val="24"/>
                <w:highlight w:val="none"/>
              </w:rPr>
              <w:t>★</w:t>
            </w:r>
            <w:r>
              <w:rPr>
                <w:rFonts w:hint="eastAsia" w:ascii="宋体" w:hAnsi="宋体" w:cs="仿宋_GB2312"/>
                <w:color w:val="auto"/>
                <w:kern w:val="2"/>
                <w:sz w:val="24"/>
                <w:szCs w:val="24"/>
                <w:highlight w:val="none"/>
              </w:rPr>
              <w:t>A05020106</w:t>
            </w:r>
            <w:r>
              <w:rPr>
                <w:rFonts w:hint="eastAsia" w:ascii="宋体" w:hAnsi="宋体" w:cs="宋体"/>
                <w:color w:val="auto"/>
                <w:kern w:val="2"/>
                <w:sz w:val="24"/>
                <w:szCs w:val="24"/>
                <w:highlight w:val="none"/>
              </w:rPr>
              <w:t>水</w:t>
            </w:r>
            <w:r>
              <w:rPr>
                <w:rFonts w:hint="eastAsia" w:ascii="宋体" w:hAnsi="宋体" w:cs="宋体"/>
                <w:color w:val="auto"/>
                <w:w w:val="99"/>
                <w:kern w:val="2"/>
                <w:sz w:val="24"/>
                <w:szCs w:val="24"/>
                <w:highlight w:val="none"/>
              </w:rPr>
              <w:t>嘴</w:t>
            </w:r>
          </w:p>
        </w:tc>
        <w:tc>
          <w:tcPr>
            <w:tcW w:w="1954" w:type="dxa"/>
            <w:tcBorders>
              <w:top w:val="single" w:color="000000" w:sz="4" w:space="0"/>
              <w:left w:val="single" w:color="000000" w:sz="4" w:space="0"/>
              <w:bottom w:val="single" w:color="000000" w:sz="4" w:space="0"/>
              <w:right w:val="single" w:color="000000" w:sz="4" w:space="0"/>
            </w:tcBorders>
            <w:vAlign w:val="center"/>
          </w:tcPr>
          <w:p w14:paraId="109CAD85">
            <w:pPr>
              <w:jc w:val="center"/>
              <w:rPr>
                <w:rFonts w:ascii="宋体" w:hAnsi="宋体"/>
                <w:color w:val="auto"/>
                <w:sz w:val="24"/>
                <w:highlight w:val="none"/>
                <w:lang w:eastAsia="en-US"/>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7EDAD57C">
            <w:pPr>
              <w:jc w:val="center"/>
              <w:rPr>
                <w:rFonts w:ascii="宋体" w:hAnsi="宋体"/>
                <w:color w:val="auto"/>
                <w:sz w:val="24"/>
                <w:highlight w:val="none"/>
                <w:lang w:eastAsia="en-US"/>
              </w:rPr>
            </w:pPr>
          </w:p>
        </w:tc>
        <w:tc>
          <w:tcPr>
            <w:tcW w:w="4287" w:type="dxa"/>
            <w:tcBorders>
              <w:top w:val="single" w:color="000000" w:sz="4" w:space="0"/>
              <w:left w:val="single" w:color="000000" w:sz="4" w:space="0"/>
              <w:bottom w:val="single" w:color="000000" w:sz="4" w:space="0"/>
              <w:right w:val="single" w:color="000000" w:sz="4" w:space="0"/>
            </w:tcBorders>
          </w:tcPr>
          <w:p w14:paraId="2D175E97">
            <w:pPr>
              <w:pStyle w:val="63"/>
              <w:spacing w:before="153" w:line="276" w:lineRule="auto"/>
              <w:ind w:left="7" w:right="4"/>
              <w:rPr>
                <w:rFonts w:ascii="宋体" w:hAnsi="宋体" w:cs="宋体"/>
                <w:color w:val="auto"/>
                <w:kern w:val="2"/>
                <w:sz w:val="24"/>
                <w:szCs w:val="24"/>
                <w:highlight w:val="none"/>
                <w:lang w:eastAsia="zh-CN"/>
              </w:rPr>
            </w:pPr>
            <w:r>
              <w:rPr>
                <w:rFonts w:hint="eastAsia" w:ascii="宋体" w:hAnsi="宋体" w:cs="宋体"/>
                <w:color w:val="auto"/>
                <w:spacing w:val="10"/>
                <w:kern w:val="2"/>
                <w:sz w:val="24"/>
                <w:szCs w:val="24"/>
                <w:highlight w:val="none"/>
                <w:lang w:eastAsia="zh-CN"/>
              </w:rPr>
              <w:t>《水嘴用水效率限定值及用水效</w:t>
            </w:r>
            <w:r>
              <w:rPr>
                <w:rFonts w:hint="eastAsia" w:ascii="宋体" w:hAnsi="宋体" w:cs="宋体"/>
                <w:color w:val="auto"/>
                <w:kern w:val="2"/>
                <w:sz w:val="24"/>
                <w:szCs w:val="24"/>
                <w:highlight w:val="none"/>
                <w:lang w:eastAsia="zh-CN"/>
              </w:rPr>
              <w:t>率等级》（GB 25501）</w:t>
            </w:r>
          </w:p>
        </w:tc>
      </w:tr>
      <w:tr w14:paraId="698C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F07FA34">
            <w:pPr>
              <w:pStyle w:val="63"/>
              <w:jc w:val="center"/>
              <w:rPr>
                <w:rFonts w:ascii="宋体" w:hAnsi="宋体" w:cs="宋体"/>
                <w:color w:val="auto"/>
                <w:kern w:val="2"/>
                <w:sz w:val="24"/>
                <w:szCs w:val="24"/>
                <w:highlight w:val="none"/>
              </w:rPr>
            </w:pPr>
            <w:r>
              <w:rPr>
                <w:rFonts w:hint="eastAsia" w:ascii="宋体" w:hAnsi="宋体"/>
                <w:color w:val="auto"/>
                <w:kern w:val="2"/>
                <w:sz w:val="24"/>
                <w:szCs w:val="24"/>
                <w:highlight w:val="none"/>
              </w:rPr>
              <w:t>17</w:t>
            </w:r>
          </w:p>
        </w:tc>
        <w:tc>
          <w:tcPr>
            <w:tcW w:w="1543" w:type="dxa"/>
            <w:tcBorders>
              <w:top w:val="single" w:color="000000" w:sz="4" w:space="0"/>
              <w:left w:val="single" w:color="000000" w:sz="4" w:space="0"/>
              <w:bottom w:val="single" w:color="000000" w:sz="4" w:space="0"/>
              <w:right w:val="single" w:color="000000" w:sz="4" w:space="0"/>
            </w:tcBorders>
            <w:vAlign w:val="center"/>
          </w:tcPr>
          <w:p w14:paraId="5E85DB4D">
            <w:pPr>
              <w:pStyle w:val="63"/>
              <w:spacing w:before="112"/>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A05020107</w:t>
            </w:r>
            <w:r>
              <w:rPr>
                <w:rFonts w:hint="eastAsia" w:ascii="宋体" w:hAnsi="宋体" w:cs="宋体"/>
                <w:color w:val="auto"/>
                <w:kern w:val="2"/>
                <w:sz w:val="24"/>
                <w:szCs w:val="24"/>
                <w:highlight w:val="none"/>
              </w:rPr>
              <w:t>便器冲洗阀</w:t>
            </w:r>
          </w:p>
        </w:tc>
        <w:tc>
          <w:tcPr>
            <w:tcW w:w="1954" w:type="dxa"/>
            <w:tcBorders>
              <w:top w:val="single" w:color="000000" w:sz="4" w:space="0"/>
              <w:left w:val="single" w:color="000000" w:sz="4" w:space="0"/>
              <w:bottom w:val="single" w:color="000000" w:sz="4" w:space="0"/>
              <w:right w:val="single" w:color="000000" w:sz="4" w:space="0"/>
            </w:tcBorders>
            <w:vAlign w:val="center"/>
          </w:tcPr>
          <w:p w14:paraId="4E7F7CD0">
            <w:pPr>
              <w:jc w:val="center"/>
              <w:rPr>
                <w:rFonts w:ascii="宋体" w:hAnsi="宋体"/>
                <w:color w:val="auto"/>
                <w:sz w:val="24"/>
                <w:highlight w:val="none"/>
                <w:lang w:eastAsia="en-US"/>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38F6E86F">
            <w:pPr>
              <w:jc w:val="center"/>
              <w:rPr>
                <w:rFonts w:ascii="宋体" w:hAnsi="宋体"/>
                <w:color w:val="auto"/>
                <w:sz w:val="24"/>
                <w:highlight w:val="none"/>
                <w:lang w:eastAsia="en-US"/>
              </w:rPr>
            </w:pPr>
          </w:p>
        </w:tc>
        <w:tc>
          <w:tcPr>
            <w:tcW w:w="4287" w:type="dxa"/>
            <w:tcBorders>
              <w:top w:val="single" w:color="000000" w:sz="4" w:space="0"/>
              <w:left w:val="single" w:color="000000" w:sz="4" w:space="0"/>
              <w:bottom w:val="single" w:color="000000" w:sz="4" w:space="0"/>
              <w:right w:val="single" w:color="000000" w:sz="4" w:space="0"/>
            </w:tcBorders>
          </w:tcPr>
          <w:p w14:paraId="69F80CE1">
            <w:pPr>
              <w:pStyle w:val="63"/>
              <w:spacing w:before="112" w:line="276" w:lineRule="auto"/>
              <w:ind w:left="7" w:right="4"/>
              <w:rPr>
                <w:rFonts w:ascii="宋体" w:hAnsi="宋体" w:cs="宋体"/>
                <w:color w:val="auto"/>
                <w:kern w:val="2"/>
                <w:sz w:val="24"/>
                <w:szCs w:val="24"/>
                <w:highlight w:val="none"/>
                <w:lang w:eastAsia="zh-CN"/>
              </w:rPr>
            </w:pPr>
            <w:r>
              <w:rPr>
                <w:rFonts w:hint="eastAsia" w:ascii="宋体" w:hAnsi="宋体" w:cs="宋体"/>
                <w:color w:val="auto"/>
                <w:spacing w:val="10"/>
                <w:kern w:val="2"/>
                <w:sz w:val="24"/>
                <w:szCs w:val="24"/>
                <w:highlight w:val="none"/>
                <w:lang w:eastAsia="zh-CN"/>
              </w:rPr>
              <w:t>《便器冲洗阀用水效率限定值及</w:t>
            </w:r>
            <w:r>
              <w:rPr>
                <w:rFonts w:hint="eastAsia" w:ascii="宋体" w:hAnsi="宋体" w:cs="宋体"/>
                <w:color w:val="auto"/>
                <w:kern w:val="2"/>
                <w:sz w:val="24"/>
                <w:szCs w:val="24"/>
                <w:highlight w:val="none"/>
                <w:lang w:eastAsia="zh-CN"/>
              </w:rPr>
              <w:t>用水效率等级》（GB28379）</w:t>
            </w:r>
          </w:p>
        </w:tc>
      </w:tr>
      <w:tr w14:paraId="55D9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0FB0745">
            <w:pPr>
              <w:pStyle w:val="63"/>
              <w:jc w:val="center"/>
              <w:rPr>
                <w:rFonts w:ascii="宋体" w:hAnsi="宋体" w:cs="宋体"/>
                <w:color w:val="auto"/>
                <w:kern w:val="2"/>
                <w:sz w:val="24"/>
                <w:szCs w:val="24"/>
                <w:highlight w:val="none"/>
              </w:rPr>
            </w:pPr>
            <w:r>
              <w:rPr>
                <w:rFonts w:hint="eastAsia" w:ascii="宋体" w:hAnsi="宋体"/>
                <w:color w:val="auto"/>
                <w:kern w:val="2"/>
                <w:sz w:val="24"/>
                <w:szCs w:val="24"/>
                <w:highlight w:val="none"/>
              </w:rPr>
              <w:t>18</w:t>
            </w:r>
          </w:p>
        </w:tc>
        <w:tc>
          <w:tcPr>
            <w:tcW w:w="1543" w:type="dxa"/>
            <w:tcBorders>
              <w:top w:val="single" w:color="000000" w:sz="4" w:space="0"/>
              <w:left w:val="single" w:color="000000" w:sz="4" w:space="0"/>
              <w:bottom w:val="single" w:color="000000" w:sz="4" w:space="0"/>
              <w:right w:val="single" w:color="000000" w:sz="4" w:space="0"/>
            </w:tcBorders>
            <w:vAlign w:val="center"/>
          </w:tcPr>
          <w:p w14:paraId="740B009E">
            <w:pPr>
              <w:pStyle w:val="63"/>
              <w:spacing w:before="131"/>
              <w:ind w:left="7"/>
              <w:jc w:val="center"/>
              <w:rPr>
                <w:rFonts w:ascii="宋体" w:hAnsi="宋体" w:cs="宋体"/>
                <w:color w:val="auto"/>
                <w:kern w:val="2"/>
                <w:sz w:val="24"/>
                <w:szCs w:val="24"/>
                <w:highlight w:val="none"/>
              </w:rPr>
            </w:pPr>
            <w:r>
              <w:rPr>
                <w:rFonts w:hint="eastAsia" w:ascii="宋体" w:hAnsi="宋体" w:cs="仿宋_GB2312"/>
                <w:color w:val="auto"/>
                <w:kern w:val="2"/>
                <w:sz w:val="24"/>
                <w:szCs w:val="24"/>
                <w:highlight w:val="none"/>
              </w:rPr>
              <w:t>A05020110</w:t>
            </w:r>
            <w:r>
              <w:rPr>
                <w:rFonts w:hint="eastAsia" w:ascii="宋体" w:hAnsi="宋体" w:cs="宋体"/>
                <w:color w:val="auto"/>
                <w:kern w:val="2"/>
                <w:sz w:val="24"/>
                <w:szCs w:val="24"/>
                <w:highlight w:val="none"/>
              </w:rPr>
              <w:t>淋浴</w:t>
            </w:r>
            <w:r>
              <w:rPr>
                <w:rFonts w:hint="eastAsia" w:ascii="宋体" w:hAnsi="宋体" w:cs="宋体"/>
                <w:color w:val="auto"/>
                <w:w w:val="99"/>
                <w:kern w:val="2"/>
                <w:sz w:val="24"/>
                <w:szCs w:val="24"/>
                <w:highlight w:val="none"/>
              </w:rPr>
              <w:t>器</w:t>
            </w:r>
          </w:p>
        </w:tc>
        <w:tc>
          <w:tcPr>
            <w:tcW w:w="1954" w:type="dxa"/>
            <w:tcBorders>
              <w:top w:val="single" w:color="000000" w:sz="4" w:space="0"/>
              <w:left w:val="single" w:color="000000" w:sz="4" w:space="0"/>
              <w:bottom w:val="single" w:color="000000" w:sz="4" w:space="0"/>
              <w:right w:val="single" w:color="000000" w:sz="4" w:space="0"/>
            </w:tcBorders>
            <w:vAlign w:val="center"/>
          </w:tcPr>
          <w:p w14:paraId="5487A69F">
            <w:pPr>
              <w:jc w:val="center"/>
              <w:rPr>
                <w:rFonts w:ascii="宋体" w:hAnsi="宋体"/>
                <w:color w:val="auto"/>
                <w:sz w:val="24"/>
                <w:highlight w:val="none"/>
                <w:lang w:eastAsia="en-US"/>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75279834">
            <w:pPr>
              <w:jc w:val="center"/>
              <w:rPr>
                <w:rFonts w:ascii="宋体" w:hAnsi="宋体"/>
                <w:color w:val="auto"/>
                <w:sz w:val="24"/>
                <w:highlight w:val="none"/>
                <w:lang w:eastAsia="en-US"/>
              </w:rPr>
            </w:pPr>
          </w:p>
        </w:tc>
        <w:tc>
          <w:tcPr>
            <w:tcW w:w="4287" w:type="dxa"/>
            <w:tcBorders>
              <w:top w:val="single" w:color="000000" w:sz="4" w:space="0"/>
              <w:left w:val="single" w:color="000000" w:sz="4" w:space="0"/>
              <w:bottom w:val="single" w:color="000000" w:sz="4" w:space="0"/>
              <w:right w:val="single" w:color="000000" w:sz="4" w:space="0"/>
            </w:tcBorders>
          </w:tcPr>
          <w:p w14:paraId="3122AC18">
            <w:pPr>
              <w:pStyle w:val="63"/>
              <w:spacing w:before="131" w:line="276" w:lineRule="auto"/>
              <w:ind w:left="7" w:right="4"/>
              <w:rPr>
                <w:rFonts w:ascii="宋体" w:hAnsi="宋体" w:cs="宋体"/>
                <w:color w:val="auto"/>
                <w:kern w:val="2"/>
                <w:sz w:val="24"/>
                <w:szCs w:val="24"/>
                <w:highlight w:val="none"/>
                <w:lang w:eastAsia="zh-CN"/>
              </w:rPr>
            </w:pPr>
            <w:r>
              <w:rPr>
                <w:rFonts w:hint="eastAsia" w:ascii="宋体" w:hAnsi="宋体" w:cs="宋体"/>
                <w:color w:val="auto"/>
                <w:spacing w:val="10"/>
                <w:kern w:val="2"/>
                <w:sz w:val="24"/>
                <w:szCs w:val="24"/>
                <w:highlight w:val="none"/>
                <w:lang w:eastAsia="zh-CN"/>
              </w:rPr>
              <w:t>《淋浴器用水效率限定值及用水</w:t>
            </w:r>
            <w:r>
              <w:rPr>
                <w:rFonts w:hint="eastAsia" w:ascii="宋体" w:hAnsi="宋体" w:cs="宋体"/>
                <w:color w:val="auto"/>
                <w:kern w:val="2"/>
                <w:sz w:val="24"/>
                <w:szCs w:val="24"/>
                <w:highlight w:val="none"/>
                <w:lang w:eastAsia="zh-CN"/>
              </w:rPr>
              <w:t>效率等级》（GB28378）</w:t>
            </w:r>
          </w:p>
        </w:tc>
      </w:tr>
    </w:tbl>
    <w:p w14:paraId="5E78C456">
      <w:pPr>
        <w:spacing w:line="360" w:lineRule="auto"/>
        <w:ind w:firstLine="470" w:firstLineChars="200"/>
        <w:rPr>
          <w:rFonts w:ascii="楷体" w:hAnsi="楷体" w:eastAsia="楷体" w:cs="宋体"/>
          <w:color w:val="auto"/>
          <w:spacing w:val="-3"/>
          <w:kern w:val="0"/>
          <w:sz w:val="24"/>
          <w:highlight w:val="none"/>
        </w:rPr>
      </w:pPr>
      <w:r>
        <w:rPr>
          <w:rFonts w:hint="eastAsia" w:ascii="楷体" w:hAnsi="楷体" w:eastAsia="楷体" w:cs="宋体"/>
          <w:b/>
          <w:color w:val="auto"/>
          <w:spacing w:val="-3"/>
          <w:kern w:val="0"/>
          <w:sz w:val="24"/>
          <w:highlight w:val="none"/>
        </w:rPr>
        <w:t>注：</w:t>
      </w:r>
      <w:r>
        <w:rPr>
          <w:rFonts w:hint="eastAsia" w:ascii="楷体" w:hAnsi="楷体" w:eastAsia="楷体" w:cs="宋体"/>
          <w:color w:val="auto"/>
          <w:spacing w:val="-3"/>
          <w:kern w:val="0"/>
          <w:sz w:val="24"/>
          <w:highlight w:val="none"/>
        </w:rPr>
        <w:t>1.节能产品认证应依据相关国家标准的最新版本，依据国家标准中二级能效（水效）指标。</w:t>
      </w:r>
    </w:p>
    <w:p w14:paraId="09025473">
      <w:pPr>
        <w:spacing w:line="360" w:lineRule="auto"/>
        <w:ind w:firstLine="468" w:firstLineChars="200"/>
        <w:rPr>
          <w:rFonts w:ascii="楷体" w:hAnsi="楷体" w:eastAsia="楷体" w:cs="宋体"/>
          <w:color w:val="auto"/>
          <w:spacing w:val="-3"/>
          <w:kern w:val="0"/>
          <w:sz w:val="24"/>
          <w:highlight w:val="none"/>
        </w:rPr>
      </w:pPr>
      <w:r>
        <w:rPr>
          <w:rFonts w:hint="eastAsia" w:ascii="楷体" w:hAnsi="楷体" w:eastAsia="楷体" w:cs="宋体"/>
          <w:color w:val="auto"/>
          <w:spacing w:val="-3"/>
          <w:kern w:val="0"/>
          <w:sz w:val="24"/>
          <w:highlight w:val="none"/>
        </w:rPr>
        <w:t>2.以“★”标注的为政府强制采购产品。</w:t>
      </w:r>
    </w:p>
    <w:p w14:paraId="5A4EFA4F">
      <w:pPr>
        <w:pStyle w:val="14"/>
        <w:ind w:firstLine="468" w:firstLineChars="200"/>
        <w:jc w:val="left"/>
        <w:rPr>
          <w:rFonts w:hAnsi="宋体" w:cs="宋体"/>
          <w:color w:val="auto"/>
          <w:sz w:val="24"/>
          <w:szCs w:val="24"/>
          <w:highlight w:val="none"/>
        </w:rPr>
      </w:pPr>
      <w:r>
        <w:rPr>
          <w:rFonts w:hint="eastAsia" w:ascii="楷体" w:hAnsi="楷体" w:eastAsia="楷体" w:cs="宋体"/>
          <w:color w:val="auto"/>
          <w:spacing w:val="-3"/>
          <w:sz w:val="24"/>
          <w:szCs w:val="24"/>
          <w:highlight w:val="none"/>
        </w:rPr>
        <w:t>3.本表格原为《关于印发节能产品政府采购品目清单的通知》（财库〔2019〕19号）规定的表格附件，其中名称及编码已根据《财政部关于印发〈政府采购品目分类目录〉的通知》（财库〔2022〕31号）修改。</w:t>
      </w:r>
    </w:p>
    <w:p w14:paraId="407E0436">
      <w:pPr>
        <w:pStyle w:val="14"/>
        <w:ind w:firstLine="480" w:firstLineChars="200"/>
        <w:jc w:val="left"/>
        <w:rPr>
          <w:rFonts w:hAnsi="宋体" w:cs="宋体"/>
          <w:color w:val="auto"/>
          <w:sz w:val="24"/>
          <w:szCs w:val="24"/>
          <w:highlight w:val="none"/>
        </w:rPr>
      </w:pPr>
      <w:r>
        <w:rPr>
          <w:rFonts w:hint="eastAsia" w:hAnsi="宋体" w:cs="宋体"/>
          <w:color w:val="auto"/>
          <w:sz w:val="24"/>
          <w:szCs w:val="24"/>
          <w:highlight w:val="none"/>
        </w:rPr>
        <w:t>附件2：</w:t>
      </w:r>
    </w:p>
    <w:p w14:paraId="2BB224A9">
      <w:pPr>
        <w:spacing w:line="528" w:lineRule="exact"/>
        <w:ind w:left="22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中小微企业划型标准</w:t>
      </w:r>
    </w:p>
    <w:tbl>
      <w:tblPr>
        <w:tblStyle w:val="26"/>
        <w:tblW w:w="9418" w:type="dxa"/>
        <w:tblInd w:w="250" w:type="dxa"/>
        <w:tblLayout w:type="fixed"/>
        <w:tblCellMar>
          <w:top w:w="0" w:type="dxa"/>
          <w:left w:w="108" w:type="dxa"/>
          <w:bottom w:w="0" w:type="dxa"/>
          <w:right w:w="108" w:type="dxa"/>
        </w:tblCellMar>
      </w:tblPr>
      <w:tblGrid>
        <w:gridCol w:w="2007"/>
        <w:gridCol w:w="1633"/>
        <w:gridCol w:w="1077"/>
        <w:gridCol w:w="1911"/>
        <w:gridCol w:w="1699"/>
        <w:gridCol w:w="1091"/>
      </w:tblGrid>
      <w:tr w14:paraId="4C05B1DD">
        <w:tblPrEx>
          <w:tblCellMar>
            <w:top w:w="0" w:type="dxa"/>
            <w:left w:w="108" w:type="dxa"/>
            <w:bottom w:w="0" w:type="dxa"/>
            <w:right w:w="108" w:type="dxa"/>
          </w:tblCellMar>
        </w:tblPrEx>
        <w:trPr>
          <w:trHeight w:val="364" w:hRule="atLeast"/>
        </w:trPr>
        <w:tc>
          <w:tcPr>
            <w:tcW w:w="2007" w:type="dxa"/>
            <w:tcBorders>
              <w:top w:val="single" w:color="auto" w:sz="4" w:space="0"/>
              <w:left w:val="single" w:color="auto" w:sz="4" w:space="0"/>
              <w:bottom w:val="single" w:color="auto" w:sz="4" w:space="0"/>
              <w:right w:val="single" w:color="auto" w:sz="4" w:space="0"/>
            </w:tcBorders>
            <w:vAlign w:val="center"/>
          </w:tcPr>
          <w:p w14:paraId="7F8ABF09">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行业名称</w:t>
            </w:r>
          </w:p>
        </w:tc>
        <w:tc>
          <w:tcPr>
            <w:tcW w:w="1633" w:type="dxa"/>
            <w:tcBorders>
              <w:top w:val="single" w:color="auto" w:sz="4" w:space="0"/>
              <w:left w:val="nil"/>
              <w:bottom w:val="single" w:color="auto" w:sz="4" w:space="0"/>
              <w:right w:val="single" w:color="auto" w:sz="4" w:space="0"/>
            </w:tcBorders>
            <w:vAlign w:val="center"/>
          </w:tcPr>
          <w:p w14:paraId="325713E9">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指标名称</w:t>
            </w:r>
          </w:p>
        </w:tc>
        <w:tc>
          <w:tcPr>
            <w:tcW w:w="1077" w:type="dxa"/>
            <w:tcBorders>
              <w:top w:val="single" w:color="auto" w:sz="4" w:space="0"/>
              <w:left w:val="nil"/>
              <w:bottom w:val="single" w:color="auto" w:sz="4" w:space="0"/>
              <w:right w:val="single" w:color="auto" w:sz="4" w:space="0"/>
            </w:tcBorders>
            <w:vAlign w:val="center"/>
          </w:tcPr>
          <w:p w14:paraId="1BB363D5">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计量单位</w:t>
            </w:r>
          </w:p>
        </w:tc>
        <w:tc>
          <w:tcPr>
            <w:tcW w:w="1911" w:type="dxa"/>
            <w:tcBorders>
              <w:top w:val="single" w:color="auto" w:sz="4" w:space="0"/>
              <w:left w:val="nil"/>
              <w:bottom w:val="single" w:color="auto" w:sz="4" w:space="0"/>
              <w:right w:val="single" w:color="auto" w:sz="4" w:space="0"/>
            </w:tcBorders>
            <w:vAlign w:val="center"/>
          </w:tcPr>
          <w:p w14:paraId="3C56830A">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中型</w:t>
            </w:r>
          </w:p>
        </w:tc>
        <w:tc>
          <w:tcPr>
            <w:tcW w:w="1699" w:type="dxa"/>
            <w:tcBorders>
              <w:top w:val="single" w:color="auto" w:sz="4" w:space="0"/>
              <w:left w:val="nil"/>
              <w:bottom w:val="single" w:color="auto" w:sz="4" w:space="0"/>
              <w:right w:val="single" w:color="auto" w:sz="4" w:space="0"/>
            </w:tcBorders>
            <w:vAlign w:val="center"/>
          </w:tcPr>
          <w:p w14:paraId="26B7D27B">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小型</w:t>
            </w:r>
          </w:p>
        </w:tc>
        <w:tc>
          <w:tcPr>
            <w:tcW w:w="1091" w:type="dxa"/>
            <w:tcBorders>
              <w:top w:val="single" w:color="auto" w:sz="4" w:space="0"/>
              <w:left w:val="nil"/>
              <w:bottom w:val="single" w:color="auto" w:sz="4" w:space="0"/>
              <w:right w:val="single" w:color="auto" w:sz="4" w:space="0"/>
            </w:tcBorders>
            <w:vAlign w:val="center"/>
          </w:tcPr>
          <w:p w14:paraId="02755036">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微型</w:t>
            </w:r>
          </w:p>
        </w:tc>
      </w:tr>
      <w:tr w14:paraId="7629EDA7">
        <w:tblPrEx>
          <w:tblCellMar>
            <w:top w:w="0" w:type="dxa"/>
            <w:left w:w="108" w:type="dxa"/>
            <w:bottom w:w="0" w:type="dxa"/>
            <w:right w:w="108" w:type="dxa"/>
          </w:tblCellMar>
        </w:tblPrEx>
        <w:trPr>
          <w:trHeight w:val="364" w:hRule="atLeast"/>
        </w:trPr>
        <w:tc>
          <w:tcPr>
            <w:tcW w:w="2007" w:type="dxa"/>
            <w:tcBorders>
              <w:top w:val="nil"/>
              <w:left w:val="single" w:color="auto" w:sz="4" w:space="0"/>
              <w:bottom w:val="single" w:color="auto" w:sz="4" w:space="0"/>
              <w:right w:val="single" w:color="auto" w:sz="4" w:space="0"/>
            </w:tcBorders>
            <w:vAlign w:val="bottom"/>
          </w:tcPr>
          <w:p w14:paraId="58E3BAD3">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农、林、牧、渔</w:t>
            </w:r>
          </w:p>
        </w:tc>
        <w:tc>
          <w:tcPr>
            <w:tcW w:w="1633" w:type="dxa"/>
            <w:tcBorders>
              <w:top w:val="nil"/>
              <w:left w:val="nil"/>
              <w:bottom w:val="single" w:color="auto" w:sz="4" w:space="0"/>
              <w:right w:val="single" w:color="auto" w:sz="4" w:space="0"/>
            </w:tcBorders>
            <w:vAlign w:val="center"/>
          </w:tcPr>
          <w:p w14:paraId="6335D5F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56D094D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1F88E87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500≤Y＜20000</w:t>
            </w:r>
          </w:p>
        </w:tc>
        <w:tc>
          <w:tcPr>
            <w:tcW w:w="1699" w:type="dxa"/>
            <w:tcBorders>
              <w:top w:val="nil"/>
              <w:left w:val="nil"/>
              <w:bottom w:val="single" w:color="auto" w:sz="4" w:space="0"/>
              <w:right w:val="single" w:color="auto" w:sz="4" w:space="0"/>
            </w:tcBorders>
            <w:vAlign w:val="center"/>
          </w:tcPr>
          <w:p w14:paraId="65C376F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50≤Y＜500</w:t>
            </w:r>
          </w:p>
        </w:tc>
        <w:tc>
          <w:tcPr>
            <w:tcW w:w="1091" w:type="dxa"/>
            <w:tcBorders>
              <w:top w:val="nil"/>
              <w:left w:val="nil"/>
              <w:bottom w:val="single" w:color="auto" w:sz="4" w:space="0"/>
              <w:right w:val="single" w:color="auto" w:sz="4" w:space="0"/>
            </w:tcBorders>
            <w:vAlign w:val="center"/>
          </w:tcPr>
          <w:p w14:paraId="0B00FAC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Y＜50</w:t>
            </w:r>
          </w:p>
        </w:tc>
      </w:tr>
      <w:tr w14:paraId="5BA1F5C0">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4735DD3D">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工业</w:t>
            </w:r>
          </w:p>
        </w:tc>
        <w:tc>
          <w:tcPr>
            <w:tcW w:w="1633" w:type="dxa"/>
            <w:tcBorders>
              <w:top w:val="nil"/>
              <w:left w:val="nil"/>
              <w:bottom w:val="single" w:color="auto" w:sz="4" w:space="0"/>
              <w:right w:val="single" w:color="auto" w:sz="4" w:space="0"/>
            </w:tcBorders>
            <w:vAlign w:val="center"/>
          </w:tcPr>
          <w:p w14:paraId="6541E59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73B9FF4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454D9D6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300≤X＜1000</w:t>
            </w:r>
          </w:p>
        </w:tc>
        <w:tc>
          <w:tcPr>
            <w:tcW w:w="1699" w:type="dxa"/>
            <w:tcBorders>
              <w:top w:val="nil"/>
              <w:left w:val="nil"/>
              <w:bottom w:val="single" w:color="auto" w:sz="4" w:space="0"/>
              <w:right w:val="single" w:color="auto" w:sz="4" w:space="0"/>
            </w:tcBorders>
            <w:vAlign w:val="center"/>
          </w:tcPr>
          <w:p w14:paraId="03DC9EE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20≤X＜300</w:t>
            </w:r>
          </w:p>
        </w:tc>
        <w:tc>
          <w:tcPr>
            <w:tcW w:w="1091" w:type="dxa"/>
            <w:tcBorders>
              <w:top w:val="nil"/>
              <w:left w:val="nil"/>
              <w:bottom w:val="single" w:color="auto" w:sz="4" w:space="0"/>
              <w:right w:val="single" w:color="auto" w:sz="4" w:space="0"/>
            </w:tcBorders>
            <w:vAlign w:val="center"/>
          </w:tcPr>
          <w:p w14:paraId="712AA35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X＜20</w:t>
            </w:r>
          </w:p>
        </w:tc>
      </w:tr>
      <w:tr w14:paraId="31AD42E1">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4708CE55">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746321A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7B0F592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2AF1B6C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2000≤Y＜40000</w:t>
            </w:r>
          </w:p>
        </w:tc>
        <w:tc>
          <w:tcPr>
            <w:tcW w:w="1699" w:type="dxa"/>
            <w:tcBorders>
              <w:top w:val="nil"/>
              <w:left w:val="nil"/>
              <w:bottom w:val="single" w:color="auto" w:sz="4" w:space="0"/>
              <w:right w:val="single" w:color="auto" w:sz="4" w:space="0"/>
            </w:tcBorders>
            <w:vAlign w:val="center"/>
          </w:tcPr>
          <w:p w14:paraId="22602FD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300≤Y＜2000</w:t>
            </w:r>
          </w:p>
        </w:tc>
        <w:tc>
          <w:tcPr>
            <w:tcW w:w="1091" w:type="dxa"/>
            <w:tcBorders>
              <w:top w:val="nil"/>
              <w:left w:val="nil"/>
              <w:bottom w:val="single" w:color="auto" w:sz="4" w:space="0"/>
              <w:right w:val="single" w:color="auto" w:sz="4" w:space="0"/>
            </w:tcBorders>
            <w:vAlign w:val="center"/>
          </w:tcPr>
          <w:p w14:paraId="2E16247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Y＜300</w:t>
            </w:r>
          </w:p>
        </w:tc>
      </w:tr>
      <w:tr w14:paraId="4CB1A522">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57EF1B5E">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建筑业</w:t>
            </w:r>
          </w:p>
        </w:tc>
        <w:tc>
          <w:tcPr>
            <w:tcW w:w="1633" w:type="dxa"/>
            <w:tcBorders>
              <w:top w:val="nil"/>
              <w:left w:val="nil"/>
              <w:bottom w:val="single" w:color="auto" w:sz="4" w:space="0"/>
              <w:right w:val="single" w:color="auto" w:sz="4" w:space="0"/>
            </w:tcBorders>
            <w:vAlign w:val="center"/>
          </w:tcPr>
          <w:p w14:paraId="2710FDF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3F1ACB7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6308B24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6000≤Y＜80000</w:t>
            </w:r>
          </w:p>
        </w:tc>
        <w:tc>
          <w:tcPr>
            <w:tcW w:w="1699" w:type="dxa"/>
            <w:tcBorders>
              <w:top w:val="nil"/>
              <w:left w:val="nil"/>
              <w:bottom w:val="single" w:color="auto" w:sz="4" w:space="0"/>
              <w:right w:val="single" w:color="auto" w:sz="4" w:space="0"/>
            </w:tcBorders>
            <w:vAlign w:val="center"/>
          </w:tcPr>
          <w:p w14:paraId="3153960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300≤Y＜6000</w:t>
            </w:r>
          </w:p>
        </w:tc>
        <w:tc>
          <w:tcPr>
            <w:tcW w:w="1091" w:type="dxa"/>
            <w:tcBorders>
              <w:top w:val="nil"/>
              <w:left w:val="nil"/>
              <w:bottom w:val="single" w:color="auto" w:sz="4" w:space="0"/>
              <w:right w:val="single" w:color="auto" w:sz="4" w:space="0"/>
            </w:tcBorders>
            <w:vAlign w:val="center"/>
          </w:tcPr>
          <w:p w14:paraId="48187B5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Y＜300</w:t>
            </w:r>
          </w:p>
        </w:tc>
      </w:tr>
      <w:tr w14:paraId="1498F9C1">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5056E12B">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5DC3476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资产总额（Z）</w:t>
            </w:r>
          </w:p>
        </w:tc>
        <w:tc>
          <w:tcPr>
            <w:tcW w:w="1077" w:type="dxa"/>
            <w:tcBorders>
              <w:top w:val="nil"/>
              <w:left w:val="nil"/>
              <w:bottom w:val="single" w:color="auto" w:sz="4" w:space="0"/>
              <w:right w:val="single" w:color="auto" w:sz="4" w:space="0"/>
            </w:tcBorders>
            <w:vAlign w:val="center"/>
          </w:tcPr>
          <w:p w14:paraId="49FB57D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1C6F83F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5000≤Z＜80000</w:t>
            </w:r>
          </w:p>
        </w:tc>
        <w:tc>
          <w:tcPr>
            <w:tcW w:w="1699" w:type="dxa"/>
            <w:tcBorders>
              <w:top w:val="nil"/>
              <w:left w:val="nil"/>
              <w:bottom w:val="single" w:color="auto" w:sz="4" w:space="0"/>
              <w:right w:val="single" w:color="auto" w:sz="4" w:space="0"/>
            </w:tcBorders>
            <w:vAlign w:val="center"/>
          </w:tcPr>
          <w:p w14:paraId="5D29E53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300≤Z＜5000</w:t>
            </w:r>
          </w:p>
        </w:tc>
        <w:tc>
          <w:tcPr>
            <w:tcW w:w="1091" w:type="dxa"/>
            <w:tcBorders>
              <w:top w:val="nil"/>
              <w:left w:val="nil"/>
              <w:bottom w:val="single" w:color="auto" w:sz="4" w:space="0"/>
              <w:right w:val="single" w:color="auto" w:sz="4" w:space="0"/>
            </w:tcBorders>
            <w:vAlign w:val="center"/>
          </w:tcPr>
          <w:p w14:paraId="111A171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Z＜300</w:t>
            </w:r>
          </w:p>
        </w:tc>
      </w:tr>
      <w:tr w14:paraId="2B258797">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39458403">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批发业</w:t>
            </w:r>
          </w:p>
        </w:tc>
        <w:tc>
          <w:tcPr>
            <w:tcW w:w="1633" w:type="dxa"/>
            <w:tcBorders>
              <w:top w:val="nil"/>
              <w:left w:val="nil"/>
              <w:bottom w:val="single" w:color="auto" w:sz="4" w:space="0"/>
              <w:right w:val="single" w:color="auto" w:sz="4" w:space="0"/>
            </w:tcBorders>
            <w:vAlign w:val="center"/>
          </w:tcPr>
          <w:p w14:paraId="058CE87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0D4A8E8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38D91C7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20≤X＜200</w:t>
            </w:r>
          </w:p>
        </w:tc>
        <w:tc>
          <w:tcPr>
            <w:tcW w:w="1699" w:type="dxa"/>
            <w:tcBorders>
              <w:top w:val="nil"/>
              <w:left w:val="nil"/>
              <w:bottom w:val="single" w:color="auto" w:sz="4" w:space="0"/>
              <w:right w:val="single" w:color="auto" w:sz="4" w:space="0"/>
            </w:tcBorders>
            <w:vAlign w:val="center"/>
          </w:tcPr>
          <w:p w14:paraId="5C17E10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5≤X＜20</w:t>
            </w:r>
          </w:p>
        </w:tc>
        <w:tc>
          <w:tcPr>
            <w:tcW w:w="1091" w:type="dxa"/>
            <w:tcBorders>
              <w:top w:val="nil"/>
              <w:left w:val="nil"/>
              <w:bottom w:val="single" w:color="auto" w:sz="4" w:space="0"/>
              <w:right w:val="single" w:color="auto" w:sz="4" w:space="0"/>
            </w:tcBorders>
            <w:vAlign w:val="center"/>
          </w:tcPr>
          <w:p w14:paraId="5EBEC71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X＜5</w:t>
            </w:r>
          </w:p>
        </w:tc>
      </w:tr>
      <w:tr w14:paraId="059ACD75">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6D122758">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437F9A3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0DEA104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3890F75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5000≤Y＜40000</w:t>
            </w:r>
          </w:p>
        </w:tc>
        <w:tc>
          <w:tcPr>
            <w:tcW w:w="1699" w:type="dxa"/>
            <w:tcBorders>
              <w:top w:val="nil"/>
              <w:left w:val="nil"/>
              <w:bottom w:val="single" w:color="auto" w:sz="4" w:space="0"/>
              <w:right w:val="single" w:color="auto" w:sz="4" w:space="0"/>
            </w:tcBorders>
            <w:vAlign w:val="center"/>
          </w:tcPr>
          <w:p w14:paraId="0EBB2F6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1000≤Y＜5000</w:t>
            </w:r>
          </w:p>
        </w:tc>
        <w:tc>
          <w:tcPr>
            <w:tcW w:w="1091" w:type="dxa"/>
            <w:tcBorders>
              <w:top w:val="nil"/>
              <w:left w:val="nil"/>
              <w:bottom w:val="single" w:color="auto" w:sz="4" w:space="0"/>
              <w:right w:val="single" w:color="auto" w:sz="4" w:space="0"/>
            </w:tcBorders>
            <w:vAlign w:val="center"/>
          </w:tcPr>
          <w:p w14:paraId="5FE619B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Y＜1000</w:t>
            </w:r>
          </w:p>
        </w:tc>
      </w:tr>
      <w:tr w14:paraId="2709C16E">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27DD3D92">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零售业</w:t>
            </w:r>
          </w:p>
        </w:tc>
        <w:tc>
          <w:tcPr>
            <w:tcW w:w="1633" w:type="dxa"/>
            <w:tcBorders>
              <w:top w:val="nil"/>
              <w:left w:val="nil"/>
              <w:bottom w:val="single" w:color="auto" w:sz="4" w:space="0"/>
              <w:right w:val="single" w:color="auto" w:sz="4" w:space="0"/>
            </w:tcBorders>
            <w:vAlign w:val="center"/>
          </w:tcPr>
          <w:p w14:paraId="49B8516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0C9CA97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5E744F6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50≤X＜300</w:t>
            </w:r>
          </w:p>
        </w:tc>
        <w:tc>
          <w:tcPr>
            <w:tcW w:w="1699" w:type="dxa"/>
            <w:tcBorders>
              <w:top w:val="nil"/>
              <w:left w:val="nil"/>
              <w:bottom w:val="single" w:color="auto" w:sz="4" w:space="0"/>
              <w:right w:val="single" w:color="auto" w:sz="4" w:space="0"/>
            </w:tcBorders>
            <w:vAlign w:val="center"/>
          </w:tcPr>
          <w:p w14:paraId="0E9C11F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10≤X＜50</w:t>
            </w:r>
          </w:p>
        </w:tc>
        <w:tc>
          <w:tcPr>
            <w:tcW w:w="1091" w:type="dxa"/>
            <w:tcBorders>
              <w:top w:val="nil"/>
              <w:left w:val="nil"/>
              <w:bottom w:val="single" w:color="auto" w:sz="4" w:space="0"/>
              <w:right w:val="single" w:color="auto" w:sz="4" w:space="0"/>
            </w:tcBorders>
            <w:vAlign w:val="center"/>
          </w:tcPr>
          <w:p w14:paraId="7E58730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r w14:paraId="3DEA8A50">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3951724D">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72CCDA6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70117D1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55D88D4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500≤Y＜20000</w:t>
            </w:r>
          </w:p>
        </w:tc>
        <w:tc>
          <w:tcPr>
            <w:tcW w:w="1699" w:type="dxa"/>
            <w:tcBorders>
              <w:top w:val="nil"/>
              <w:left w:val="nil"/>
              <w:bottom w:val="single" w:color="auto" w:sz="4" w:space="0"/>
              <w:right w:val="single" w:color="auto" w:sz="4" w:space="0"/>
            </w:tcBorders>
            <w:vAlign w:val="center"/>
          </w:tcPr>
          <w:p w14:paraId="40E442C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100≤Y＜500</w:t>
            </w:r>
          </w:p>
        </w:tc>
        <w:tc>
          <w:tcPr>
            <w:tcW w:w="1091" w:type="dxa"/>
            <w:tcBorders>
              <w:top w:val="nil"/>
              <w:left w:val="nil"/>
              <w:bottom w:val="single" w:color="auto" w:sz="4" w:space="0"/>
              <w:right w:val="single" w:color="auto" w:sz="4" w:space="0"/>
            </w:tcBorders>
            <w:vAlign w:val="center"/>
          </w:tcPr>
          <w:p w14:paraId="0481BA4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653A369A">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1ACBCE20">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交通运输业</w:t>
            </w:r>
          </w:p>
        </w:tc>
        <w:tc>
          <w:tcPr>
            <w:tcW w:w="1633" w:type="dxa"/>
            <w:tcBorders>
              <w:top w:val="nil"/>
              <w:left w:val="nil"/>
              <w:bottom w:val="single" w:color="auto" w:sz="4" w:space="0"/>
              <w:right w:val="single" w:color="auto" w:sz="4" w:space="0"/>
            </w:tcBorders>
            <w:vAlign w:val="center"/>
          </w:tcPr>
          <w:p w14:paraId="6DA00D3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78E2EBA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683B29F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300≤X＜1000</w:t>
            </w:r>
          </w:p>
        </w:tc>
        <w:tc>
          <w:tcPr>
            <w:tcW w:w="1699" w:type="dxa"/>
            <w:tcBorders>
              <w:top w:val="nil"/>
              <w:left w:val="nil"/>
              <w:bottom w:val="single" w:color="auto" w:sz="4" w:space="0"/>
              <w:right w:val="single" w:color="auto" w:sz="4" w:space="0"/>
            </w:tcBorders>
            <w:vAlign w:val="center"/>
          </w:tcPr>
          <w:p w14:paraId="46245A4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20≤X＜300</w:t>
            </w:r>
          </w:p>
        </w:tc>
        <w:tc>
          <w:tcPr>
            <w:tcW w:w="1091" w:type="dxa"/>
            <w:tcBorders>
              <w:top w:val="nil"/>
              <w:left w:val="nil"/>
              <w:bottom w:val="single" w:color="auto" w:sz="4" w:space="0"/>
              <w:right w:val="single" w:color="auto" w:sz="4" w:space="0"/>
            </w:tcBorders>
            <w:vAlign w:val="center"/>
          </w:tcPr>
          <w:p w14:paraId="534873A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X＜20</w:t>
            </w:r>
          </w:p>
        </w:tc>
      </w:tr>
      <w:tr w14:paraId="663AEA90">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55E559C2">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67783EC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5ED90DE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0D70C12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3000≤Y＜30000</w:t>
            </w:r>
          </w:p>
        </w:tc>
        <w:tc>
          <w:tcPr>
            <w:tcW w:w="1699" w:type="dxa"/>
            <w:tcBorders>
              <w:top w:val="nil"/>
              <w:left w:val="nil"/>
              <w:bottom w:val="single" w:color="auto" w:sz="4" w:space="0"/>
              <w:right w:val="single" w:color="auto" w:sz="4" w:space="0"/>
            </w:tcBorders>
            <w:vAlign w:val="center"/>
          </w:tcPr>
          <w:p w14:paraId="61516E8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200≤Y＜3000</w:t>
            </w:r>
          </w:p>
        </w:tc>
        <w:tc>
          <w:tcPr>
            <w:tcW w:w="1091" w:type="dxa"/>
            <w:tcBorders>
              <w:top w:val="nil"/>
              <w:left w:val="nil"/>
              <w:bottom w:val="single" w:color="auto" w:sz="4" w:space="0"/>
              <w:right w:val="single" w:color="auto" w:sz="4" w:space="0"/>
            </w:tcBorders>
            <w:vAlign w:val="center"/>
          </w:tcPr>
          <w:p w14:paraId="44EECE1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Y＜200</w:t>
            </w:r>
          </w:p>
        </w:tc>
      </w:tr>
      <w:tr w14:paraId="49E26D35">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307623B6">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仓储业</w:t>
            </w:r>
          </w:p>
        </w:tc>
        <w:tc>
          <w:tcPr>
            <w:tcW w:w="1633" w:type="dxa"/>
            <w:tcBorders>
              <w:top w:val="nil"/>
              <w:left w:val="nil"/>
              <w:bottom w:val="single" w:color="auto" w:sz="4" w:space="0"/>
              <w:right w:val="single" w:color="auto" w:sz="4" w:space="0"/>
            </w:tcBorders>
            <w:vAlign w:val="center"/>
          </w:tcPr>
          <w:p w14:paraId="31BE693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1B2A747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51ACDC8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100≤X＜200</w:t>
            </w:r>
          </w:p>
        </w:tc>
        <w:tc>
          <w:tcPr>
            <w:tcW w:w="1699" w:type="dxa"/>
            <w:tcBorders>
              <w:top w:val="nil"/>
              <w:left w:val="nil"/>
              <w:bottom w:val="single" w:color="auto" w:sz="4" w:space="0"/>
              <w:right w:val="single" w:color="auto" w:sz="4" w:space="0"/>
            </w:tcBorders>
            <w:vAlign w:val="center"/>
          </w:tcPr>
          <w:p w14:paraId="6D0982E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20≤X＜100</w:t>
            </w:r>
          </w:p>
        </w:tc>
        <w:tc>
          <w:tcPr>
            <w:tcW w:w="1091" w:type="dxa"/>
            <w:tcBorders>
              <w:top w:val="nil"/>
              <w:left w:val="nil"/>
              <w:bottom w:val="single" w:color="auto" w:sz="4" w:space="0"/>
              <w:right w:val="single" w:color="auto" w:sz="4" w:space="0"/>
            </w:tcBorders>
            <w:vAlign w:val="center"/>
          </w:tcPr>
          <w:p w14:paraId="30168C0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X＜20</w:t>
            </w:r>
          </w:p>
        </w:tc>
      </w:tr>
      <w:tr w14:paraId="3D4468B6">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531E7753">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1C4E8D3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5F62E08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4610900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1000≤Y＜30000</w:t>
            </w:r>
          </w:p>
        </w:tc>
        <w:tc>
          <w:tcPr>
            <w:tcW w:w="1699" w:type="dxa"/>
            <w:tcBorders>
              <w:top w:val="nil"/>
              <w:left w:val="nil"/>
              <w:bottom w:val="single" w:color="auto" w:sz="4" w:space="0"/>
              <w:right w:val="single" w:color="auto" w:sz="4" w:space="0"/>
            </w:tcBorders>
            <w:vAlign w:val="center"/>
          </w:tcPr>
          <w:p w14:paraId="6652EAC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100≤Y＜1000</w:t>
            </w:r>
          </w:p>
        </w:tc>
        <w:tc>
          <w:tcPr>
            <w:tcW w:w="1091" w:type="dxa"/>
            <w:tcBorders>
              <w:top w:val="nil"/>
              <w:left w:val="nil"/>
              <w:bottom w:val="single" w:color="auto" w:sz="4" w:space="0"/>
              <w:right w:val="single" w:color="auto" w:sz="4" w:space="0"/>
            </w:tcBorders>
            <w:vAlign w:val="center"/>
          </w:tcPr>
          <w:p w14:paraId="2D9B55D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7C77BF20">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66AB8E06">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邮政业</w:t>
            </w:r>
          </w:p>
        </w:tc>
        <w:tc>
          <w:tcPr>
            <w:tcW w:w="1633" w:type="dxa"/>
            <w:tcBorders>
              <w:top w:val="nil"/>
              <w:left w:val="nil"/>
              <w:bottom w:val="single" w:color="auto" w:sz="4" w:space="0"/>
              <w:right w:val="single" w:color="auto" w:sz="4" w:space="0"/>
            </w:tcBorders>
            <w:vAlign w:val="center"/>
          </w:tcPr>
          <w:p w14:paraId="6FFCDF4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33CA5D3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01A8E4B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300≤X＜1000</w:t>
            </w:r>
          </w:p>
        </w:tc>
        <w:tc>
          <w:tcPr>
            <w:tcW w:w="1699" w:type="dxa"/>
            <w:tcBorders>
              <w:top w:val="nil"/>
              <w:left w:val="nil"/>
              <w:bottom w:val="single" w:color="auto" w:sz="4" w:space="0"/>
              <w:right w:val="single" w:color="auto" w:sz="4" w:space="0"/>
            </w:tcBorders>
            <w:vAlign w:val="center"/>
          </w:tcPr>
          <w:p w14:paraId="132F4F6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20≤X＜300</w:t>
            </w:r>
          </w:p>
        </w:tc>
        <w:tc>
          <w:tcPr>
            <w:tcW w:w="1091" w:type="dxa"/>
            <w:tcBorders>
              <w:top w:val="nil"/>
              <w:left w:val="nil"/>
              <w:bottom w:val="single" w:color="auto" w:sz="4" w:space="0"/>
              <w:right w:val="single" w:color="auto" w:sz="4" w:space="0"/>
            </w:tcBorders>
            <w:vAlign w:val="center"/>
          </w:tcPr>
          <w:p w14:paraId="46DF567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X＜20</w:t>
            </w:r>
          </w:p>
        </w:tc>
      </w:tr>
      <w:tr w14:paraId="4E73F188">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0009A2A0">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33114DE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34D37F9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39998A1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2000≤Y＜30000</w:t>
            </w:r>
          </w:p>
        </w:tc>
        <w:tc>
          <w:tcPr>
            <w:tcW w:w="1699" w:type="dxa"/>
            <w:tcBorders>
              <w:top w:val="nil"/>
              <w:left w:val="nil"/>
              <w:bottom w:val="single" w:color="auto" w:sz="4" w:space="0"/>
              <w:right w:val="single" w:color="auto" w:sz="4" w:space="0"/>
            </w:tcBorders>
            <w:vAlign w:val="center"/>
          </w:tcPr>
          <w:p w14:paraId="67CCD8B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100≤Y＜2000</w:t>
            </w:r>
          </w:p>
        </w:tc>
        <w:tc>
          <w:tcPr>
            <w:tcW w:w="1091" w:type="dxa"/>
            <w:tcBorders>
              <w:top w:val="nil"/>
              <w:left w:val="nil"/>
              <w:bottom w:val="single" w:color="auto" w:sz="4" w:space="0"/>
              <w:right w:val="single" w:color="auto" w:sz="4" w:space="0"/>
            </w:tcBorders>
            <w:vAlign w:val="center"/>
          </w:tcPr>
          <w:p w14:paraId="323AD87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51B850FC">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22676500">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住宿业</w:t>
            </w:r>
          </w:p>
        </w:tc>
        <w:tc>
          <w:tcPr>
            <w:tcW w:w="1633" w:type="dxa"/>
            <w:tcBorders>
              <w:top w:val="nil"/>
              <w:left w:val="nil"/>
              <w:bottom w:val="single" w:color="auto" w:sz="4" w:space="0"/>
              <w:right w:val="single" w:color="auto" w:sz="4" w:space="0"/>
            </w:tcBorders>
            <w:vAlign w:val="center"/>
          </w:tcPr>
          <w:p w14:paraId="477B3FF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0FB88D4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39288AA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100≤X＜300</w:t>
            </w:r>
          </w:p>
        </w:tc>
        <w:tc>
          <w:tcPr>
            <w:tcW w:w="1699" w:type="dxa"/>
            <w:tcBorders>
              <w:top w:val="nil"/>
              <w:left w:val="nil"/>
              <w:bottom w:val="single" w:color="auto" w:sz="4" w:space="0"/>
              <w:right w:val="single" w:color="auto" w:sz="4" w:space="0"/>
            </w:tcBorders>
            <w:vAlign w:val="center"/>
          </w:tcPr>
          <w:p w14:paraId="4D18EF1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10≤X＜100</w:t>
            </w:r>
          </w:p>
        </w:tc>
        <w:tc>
          <w:tcPr>
            <w:tcW w:w="1091" w:type="dxa"/>
            <w:tcBorders>
              <w:top w:val="nil"/>
              <w:left w:val="nil"/>
              <w:bottom w:val="single" w:color="auto" w:sz="4" w:space="0"/>
              <w:right w:val="single" w:color="auto" w:sz="4" w:space="0"/>
            </w:tcBorders>
            <w:vAlign w:val="center"/>
          </w:tcPr>
          <w:p w14:paraId="78A01E4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r w14:paraId="56BD6B43">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4647412F">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511C39A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165328D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327C713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2000≤Y＜10000</w:t>
            </w:r>
          </w:p>
        </w:tc>
        <w:tc>
          <w:tcPr>
            <w:tcW w:w="1699" w:type="dxa"/>
            <w:tcBorders>
              <w:top w:val="nil"/>
              <w:left w:val="nil"/>
              <w:bottom w:val="single" w:color="auto" w:sz="4" w:space="0"/>
              <w:right w:val="single" w:color="auto" w:sz="4" w:space="0"/>
            </w:tcBorders>
            <w:vAlign w:val="center"/>
          </w:tcPr>
          <w:p w14:paraId="2BB759F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100≤Y＜2000</w:t>
            </w:r>
          </w:p>
        </w:tc>
        <w:tc>
          <w:tcPr>
            <w:tcW w:w="1091" w:type="dxa"/>
            <w:tcBorders>
              <w:top w:val="nil"/>
              <w:left w:val="nil"/>
              <w:bottom w:val="single" w:color="auto" w:sz="4" w:space="0"/>
              <w:right w:val="single" w:color="auto" w:sz="4" w:space="0"/>
            </w:tcBorders>
            <w:vAlign w:val="center"/>
          </w:tcPr>
          <w:p w14:paraId="7C384F4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3378C2F3">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29E6C7BC">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餐饮业</w:t>
            </w:r>
          </w:p>
        </w:tc>
        <w:tc>
          <w:tcPr>
            <w:tcW w:w="1633" w:type="dxa"/>
            <w:tcBorders>
              <w:top w:val="nil"/>
              <w:left w:val="nil"/>
              <w:bottom w:val="single" w:color="auto" w:sz="4" w:space="0"/>
              <w:right w:val="single" w:color="auto" w:sz="4" w:space="0"/>
            </w:tcBorders>
            <w:vAlign w:val="center"/>
          </w:tcPr>
          <w:p w14:paraId="50A5187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534C5D1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5297C9E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100≤X＜300</w:t>
            </w:r>
          </w:p>
        </w:tc>
        <w:tc>
          <w:tcPr>
            <w:tcW w:w="1699" w:type="dxa"/>
            <w:tcBorders>
              <w:top w:val="nil"/>
              <w:left w:val="nil"/>
              <w:bottom w:val="single" w:color="auto" w:sz="4" w:space="0"/>
              <w:right w:val="single" w:color="auto" w:sz="4" w:space="0"/>
            </w:tcBorders>
            <w:vAlign w:val="center"/>
          </w:tcPr>
          <w:p w14:paraId="52E11CD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10≤X＜100</w:t>
            </w:r>
          </w:p>
        </w:tc>
        <w:tc>
          <w:tcPr>
            <w:tcW w:w="1091" w:type="dxa"/>
            <w:tcBorders>
              <w:top w:val="nil"/>
              <w:left w:val="nil"/>
              <w:bottom w:val="single" w:color="auto" w:sz="4" w:space="0"/>
              <w:right w:val="single" w:color="auto" w:sz="4" w:space="0"/>
            </w:tcBorders>
            <w:vAlign w:val="center"/>
          </w:tcPr>
          <w:p w14:paraId="10EDA39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r w14:paraId="7A421955">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0679F393">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6A4D9F2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2845FB5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52AC283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2000≤Y＜10000</w:t>
            </w:r>
          </w:p>
        </w:tc>
        <w:tc>
          <w:tcPr>
            <w:tcW w:w="1699" w:type="dxa"/>
            <w:tcBorders>
              <w:top w:val="nil"/>
              <w:left w:val="nil"/>
              <w:bottom w:val="single" w:color="auto" w:sz="4" w:space="0"/>
              <w:right w:val="single" w:color="auto" w:sz="4" w:space="0"/>
            </w:tcBorders>
            <w:vAlign w:val="center"/>
          </w:tcPr>
          <w:p w14:paraId="29D963F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100≤Y＜2000</w:t>
            </w:r>
          </w:p>
        </w:tc>
        <w:tc>
          <w:tcPr>
            <w:tcW w:w="1091" w:type="dxa"/>
            <w:tcBorders>
              <w:top w:val="nil"/>
              <w:left w:val="nil"/>
              <w:bottom w:val="single" w:color="auto" w:sz="4" w:space="0"/>
              <w:right w:val="single" w:color="auto" w:sz="4" w:space="0"/>
            </w:tcBorders>
            <w:vAlign w:val="center"/>
          </w:tcPr>
          <w:p w14:paraId="7976B7B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3AD2E76C">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22BB8631">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信息传输业</w:t>
            </w:r>
          </w:p>
        </w:tc>
        <w:tc>
          <w:tcPr>
            <w:tcW w:w="1633" w:type="dxa"/>
            <w:tcBorders>
              <w:top w:val="nil"/>
              <w:left w:val="nil"/>
              <w:bottom w:val="single" w:color="auto" w:sz="4" w:space="0"/>
              <w:right w:val="single" w:color="auto" w:sz="4" w:space="0"/>
            </w:tcBorders>
            <w:vAlign w:val="center"/>
          </w:tcPr>
          <w:p w14:paraId="4FFD7DF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22B4598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6AB6BA1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100≤X＜2000</w:t>
            </w:r>
          </w:p>
        </w:tc>
        <w:tc>
          <w:tcPr>
            <w:tcW w:w="1699" w:type="dxa"/>
            <w:tcBorders>
              <w:top w:val="nil"/>
              <w:left w:val="nil"/>
              <w:bottom w:val="single" w:color="auto" w:sz="4" w:space="0"/>
              <w:right w:val="single" w:color="auto" w:sz="4" w:space="0"/>
            </w:tcBorders>
            <w:vAlign w:val="center"/>
          </w:tcPr>
          <w:p w14:paraId="3DAE467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10≤X＜100</w:t>
            </w:r>
          </w:p>
        </w:tc>
        <w:tc>
          <w:tcPr>
            <w:tcW w:w="1091" w:type="dxa"/>
            <w:tcBorders>
              <w:top w:val="nil"/>
              <w:left w:val="nil"/>
              <w:bottom w:val="single" w:color="auto" w:sz="4" w:space="0"/>
              <w:right w:val="single" w:color="auto" w:sz="4" w:space="0"/>
            </w:tcBorders>
            <w:vAlign w:val="center"/>
          </w:tcPr>
          <w:p w14:paraId="586C83A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r w14:paraId="495624DB">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3C068A88">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093EE37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7D08695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18F0310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1000≤Y＜100000</w:t>
            </w:r>
          </w:p>
        </w:tc>
        <w:tc>
          <w:tcPr>
            <w:tcW w:w="1699" w:type="dxa"/>
            <w:tcBorders>
              <w:top w:val="nil"/>
              <w:left w:val="nil"/>
              <w:bottom w:val="single" w:color="auto" w:sz="4" w:space="0"/>
              <w:right w:val="single" w:color="auto" w:sz="4" w:space="0"/>
            </w:tcBorders>
            <w:vAlign w:val="center"/>
          </w:tcPr>
          <w:p w14:paraId="726E670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100≤Y＜1000</w:t>
            </w:r>
          </w:p>
        </w:tc>
        <w:tc>
          <w:tcPr>
            <w:tcW w:w="1091" w:type="dxa"/>
            <w:tcBorders>
              <w:top w:val="nil"/>
              <w:left w:val="nil"/>
              <w:bottom w:val="single" w:color="auto" w:sz="4" w:space="0"/>
              <w:right w:val="single" w:color="auto" w:sz="4" w:space="0"/>
            </w:tcBorders>
            <w:vAlign w:val="center"/>
          </w:tcPr>
          <w:p w14:paraId="5C9D6A1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20143ED0">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191AEAC4">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软件和信息技术服务业</w:t>
            </w:r>
          </w:p>
        </w:tc>
        <w:tc>
          <w:tcPr>
            <w:tcW w:w="1633" w:type="dxa"/>
            <w:tcBorders>
              <w:top w:val="nil"/>
              <w:left w:val="nil"/>
              <w:bottom w:val="single" w:color="auto" w:sz="4" w:space="0"/>
              <w:right w:val="single" w:color="auto" w:sz="4" w:space="0"/>
            </w:tcBorders>
            <w:vAlign w:val="center"/>
          </w:tcPr>
          <w:p w14:paraId="2641AAA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490C416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2EAE02C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100≤X＜300</w:t>
            </w:r>
          </w:p>
        </w:tc>
        <w:tc>
          <w:tcPr>
            <w:tcW w:w="1699" w:type="dxa"/>
            <w:tcBorders>
              <w:top w:val="nil"/>
              <w:left w:val="nil"/>
              <w:bottom w:val="single" w:color="auto" w:sz="4" w:space="0"/>
              <w:right w:val="single" w:color="auto" w:sz="4" w:space="0"/>
            </w:tcBorders>
            <w:vAlign w:val="center"/>
          </w:tcPr>
          <w:p w14:paraId="2874EF4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10≤X＜100</w:t>
            </w:r>
          </w:p>
        </w:tc>
        <w:tc>
          <w:tcPr>
            <w:tcW w:w="1091" w:type="dxa"/>
            <w:tcBorders>
              <w:top w:val="nil"/>
              <w:left w:val="nil"/>
              <w:bottom w:val="single" w:color="auto" w:sz="4" w:space="0"/>
              <w:right w:val="single" w:color="auto" w:sz="4" w:space="0"/>
            </w:tcBorders>
            <w:vAlign w:val="center"/>
          </w:tcPr>
          <w:p w14:paraId="7EA2C7B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r w14:paraId="31A536E3">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57E52DDA">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207B5EB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2A49514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2C553C5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1000≤Y＜10000</w:t>
            </w:r>
          </w:p>
        </w:tc>
        <w:tc>
          <w:tcPr>
            <w:tcW w:w="1699" w:type="dxa"/>
            <w:tcBorders>
              <w:top w:val="nil"/>
              <w:left w:val="nil"/>
              <w:bottom w:val="single" w:color="auto" w:sz="4" w:space="0"/>
              <w:right w:val="single" w:color="auto" w:sz="4" w:space="0"/>
            </w:tcBorders>
            <w:vAlign w:val="center"/>
          </w:tcPr>
          <w:p w14:paraId="483F283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50≤Y＜1000</w:t>
            </w:r>
          </w:p>
        </w:tc>
        <w:tc>
          <w:tcPr>
            <w:tcW w:w="1091" w:type="dxa"/>
            <w:tcBorders>
              <w:top w:val="nil"/>
              <w:left w:val="nil"/>
              <w:bottom w:val="single" w:color="auto" w:sz="4" w:space="0"/>
              <w:right w:val="single" w:color="auto" w:sz="4" w:space="0"/>
            </w:tcBorders>
            <w:vAlign w:val="center"/>
          </w:tcPr>
          <w:p w14:paraId="56CB36D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Y＜50</w:t>
            </w:r>
          </w:p>
        </w:tc>
      </w:tr>
      <w:tr w14:paraId="66BC9BFA">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67EB8FA2">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房地产开发经营</w:t>
            </w:r>
          </w:p>
        </w:tc>
        <w:tc>
          <w:tcPr>
            <w:tcW w:w="1633" w:type="dxa"/>
            <w:tcBorders>
              <w:top w:val="nil"/>
              <w:left w:val="nil"/>
              <w:bottom w:val="single" w:color="auto" w:sz="4" w:space="0"/>
              <w:right w:val="single" w:color="auto" w:sz="4" w:space="0"/>
            </w:tcBorders>
            <w:vAlign w:val="center"/>
          </w:tcPr>
          <w:p w14:paraId="27671EE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08CA64B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29995D6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1000≤Y＜200000</w:t>
            </w:r>
          </w:p>
        </w:tc>
        <w:tc>
          <w:tcPr>
            <w:tcW w:w="1699" w:type="dxa"/>
            <w:tcBorders>
              <w:top w:val="nil"/>
              <w:left w:val="nil"/>
              <w:bottom w:val="single" w:color="auto" w:sz="4" w:space="0"/>
              <w:right w:val="single" w:color="auto" w:sz="4" w:space="0"/>
            </w:tcBorders>
            <w:vAlign w:val="center"/>
          </w:tcPr>
          <w:p w14:paraId="5C688C2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100≤X＜1000</w:t>
            </w:r>
          </w:p>
        </w:tc>
        <w:tc>
          <w:tcPr>
            <w:tcW w:w="1091" w:type="dxa"/>
            <w:tcBorders>
              <w:top w:val="nil"/>
              <w:left w:val="nil"/>
              <w:bottom w:val="single" w:color="auto" w:sz="4" w:space="0"/>
              <w:right w:val="single" w:color="auto" w:sz="4" w:space="0"/>
            </w:tcBorders>
            <w:vAlign w:val="center"/>
          </w:tcPr>
          <w:p w14:paraId="60DE084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X＜100</w:t>
            </w:r>
          </w:p>
        </w:tc>
      </w:tr>
      <w:tr w14:paraId="07A58753">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43917EB2">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6F59800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资产总额（Z）</w:t>
            </w:r>
          </w:p>
        </w:tc>
        <w:tc>
          <w:tcPr>
            <w:tcW w:w="1077" w:type="dxa"/>
            <w:tcBorders>
              <w:top w:val="nil"/>
              <w:left w:val="nil"/>
              <w:bottom w:val="single" w:color="auto" w:sz="4" w:space="0"/>
              <w:right w:val="single" w:color="auto" w:sz="4" w:space="0"/>
            </w:tcBorders>
            <w:vAlign w:val="center"/>
          </w:tcPr>
          <w:p w14:paraId="4B5CDB7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21B5B57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5000≤Z＜10000</w:t>
            </w:r>
          </w:p>
        </w:tc>
        <w:tc>
          <w:tcPr>
            <w:tcW w:w="1699" w:type="dxa"/>
            <w:tcBorders>
              <w:top w:val="nil"/>
              <w:left w:val="nil"/>
              <w:bottom w:val="single" w:color="auto" w:sz="4" w:space="0"/>
              <w:right w:val="single" w:color="auto" w:sz="4" w:space="0"/>
            </w:tcBorders>
            <w:vAlign w:val="center"/>
          </w:tcPr>
          <w:p w14:paraId="01A57B7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2000≤Y＜5000</w:t>
            </w:r>
          </w:p>
        </w:tc>
        <w:tc>
          <w:tcPr>
            <w:tcW w:w="1091" w:type="dxa"/>
            <w:tcBorders>
              <w:top w:val="nil"/>
              <w:left w:val="nil"/>
              <w:bottom w:val="single" w:color="auto" w:sz="4" w:space="0"/>
              <w:right w:val="single" w:color="auto" w:sz="4" w:space="0"/>
            </w:tcBorders>
            <w:vAlign w:val="center"/>
          </w:tcPr>
          <w:p w14:paraId="06447C0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Y＜2000</w:t>
            </w:r>
          </w:p>
        </w:tc>
      </w:tr>
      <w:tr w14:paraId="1637D231">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07ACA13F">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物业管理</w:t>
            </w:r>
          </w:p>
        </w:tc>
        <w:tc>
          <w:tcPr>
            <w:tcW w:w="1633" w:type="dxa"/>
            <w:tcBorders>
              <w:top w:val="nil"/>
              <w:left w:val="nil"/>
              <w:bottom w:val="single" w:color="auto" w:sz="4" w:space="0"/>
              <w:right w:val="single" w:color="auto" w:sz="4" w:space="0"/>
            </w:tcBorders>
            <w:vAlign w:val="center"/>
          </w:tcPr>
          <w:p w14:paraId="439B881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7331180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74B262B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300≤X＜1000</w:t>
            </w:r>
          </w:p>
        </w:tc>
        <w:tc>
          <w:tcPr>
            <w:tcW w:w="1699" w:type="dxa"/>
            <w:tcBorders>
              <w:top w:val="nil"/>
              <w:left w:val="nil"/>
              <w:bottom w:val="single" w:color="auto" w:sz="4" w:space="0"/>
              <w:right w:val="single" w:color="auto" w:sz="4" w:space="0"/>
            </w:tcBorders>
            <w:vAlign w:val="center"/>
          </w:tcPr>
          <w:p w14:paraId="0E62AEA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100≤X＜300</w:t>
            </w:r>
          </w:p>
        </w:tc>
        <w:tc>
          <w:tcPr>
            <w:tcW w:w="1091" w:type="dxa"/>
            <w:tcBorders>
              <w:top w:val="nil"/>
              <w:left w:val="nil"/>
              <w:bottom w:val="single" w:color="auto" w:sz="4" w:space="0"/>
              <w:right w:val="single" w:color="auto" w:sz="4" w:space="0"/>
            </w:tcBorders>
            <w:vAlign w:val="center"/>
          </w:tcPr>
          <w:p w14:paraId="19FFC35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X＜100</w:t>
            </w:r>
          </w:p>
        </w:tc>
      </w:tr>
      <w:tr w14:paraId="23F4EF49">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689CEE3F">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3F543E1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营业收入（Y）</w:t>
            </w:r>
          </w:p>
        </w:tc>
        <w:tc>
          <w:tcPr>
            <w:tcW w:w="1077" w:type="dxa"/>
            <w:tcBorders>
              <w:top w:val="nil"/>
              <w:left w:val="nil"/>
              <w:bottom w:val="single" w:color="auto" w:sz="4" w:space="0"/>
              <w:right w:val="single" w:color="auto" w:sz="4" w:space="0"/>
            </w:tcBorders>
            <w:vAlign w:val="center"/>
          </w:tcPr>
          <w:p w14:paraId="4B3A702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41A758B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1000≤Y＜5000</w:t>
            </w:r>
          </w:p>
        </w:tc>
        <w:tc>
          <w:tcPr>
            <w:tcW w:w="1699" w:type="dxa"/>
            <w:tcBorders>
              <w:top w:val="nil"/>
              <w:left w:val="nil"/>
              <w:bottom w:val="single" w:color="auto" w:sz="4" w:space="0"/>
              <w:right w:val="single" w:color="auto" w:sz="4" w:space="0"/>
            </w:tcBorders>
            <w:vAlign w:val="center"/>
          </w:tcPr>
          <w:p w14:paraId="2073156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500≤Y＜1000</w:t>
            </w:r>
          </w:p>
        </w:tc>
        <w:tc>
          <w:tcPr>
            <w:tcW w:w="1091" w:type="dxa"/>
            <w:tcBorders>
              <w:top w:val="nil"/>
              <w:left w:val="nil"/>
              <w:bottom w:val="single" w:color="auto" w:sz="4" w:space="0"/>
              <w:right w:val="single" w:color="auto" w:sz="4" w:space="0"/>
            </w:tcBorders>
            <w:vAlign w:val="center"/>
          </w:tcPr>
          <w:p w14:paraId="596E9C4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Y＜500</w:t>
            </w:r>
          </w:p>
        </w:tc>
      </w:tr>
      <w:tr w14:paraId="45B38D15">
        <w:tblPrEx>
          <w:tblCellMar>
            <w:top w:w="0" w:type="dxa"/>
            <w:left w:w="108" w:type="dxa"/>
            <w:bottom w:w="0" w:type="dxa"/>
            <w:right w:w="108" w:type="dxa"/>
          </w:tblCellMar>
        </w:tblPrEx>
        <w:trPr>
          <w:trHeight w:val="364" w:hRule="atLeast"/>
        </w:trPr>
        <w:tc>
          <w:tcPr>
            <w:tcW w:w="2007" w:type="dxa"/>
            <w:vMerge w:val="restart"/>
            <w:tcBorders>
              <w:top w:val="nil"/>
              <w:left w:val="single" w:color="auto" w:sz="4" w:space="0"/>
              <w:bottom w:val="single" w:color="auto" w:sz="4" w:space="0"/>
              <w:right w:val="single" w:color="auto" w:sz="4" w:space="0"/>
            </w:tcBorders>
            <w:vAlign w:val="bottom"/>
          </w:tcPr>
          <w:p w14:paraId="76AC13D4">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租赁和商务服务业</w:t>
            </w:r>
          </w:p>
        </w:tc>
        <w:tc>
          <w:tcPr>
            <w:tcW w:w="1633" w:type="dxa"/>
            <w:tcBorders>
              <w:top w:val="nil"/>
              <w:left w:val="nil"/>
              <w:bottom w:val="single" w:color="auto" w:sz="4" w:space="0"/>
              <w:right w:val="single" w:color="auto" w:sz="4" w:space="0"/>
            </w:tcBorders>
            <w:vAlign w:val="center"/>
          </w:tcPr>
          <w:p w14:paraId="333BF96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1EDB5A6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45151C4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100≤X＜300</w:t>
            </w:r>
          </w:p>
        </w:tc>
        <w:tc>
          <w:tcPr>
            <w:tcW w:w="1699" w:type="dxa"/>
            <w:tcBorders>
              <w:top w:val="nil"/>
              <w:left w:val="nil"/>
              <w:bottom w:val="single" w:color="auto" w:sz="4" w:space="0"/>
              <w:right w:val="single" w:color="auto" w:sz="4" w:space="0"/>
            </w:tcBorders>
            <w:vAlign w:val="center"/>
          </w:tcPr>
          <w:p w14:paraId="5E39A68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10≤X＜100</w:t>
            </w:r>
          </w:p>
        </w:tc>
        <w:tc>
          <w:tcPr>
            <w:tcW w:w="1091" w:type="dxa"/>
            <w:tcBorders>
              <w:top w:val="nil"/>
              <w:left w:val="nil"/>
              <w:bottom w:val="single" w:color="auto" w:sz="4" w:space="0"/>
              <w:right w:val="single" w:color="auto" w:sz="4" w:space="0"/>
            </w:tcBorders>
            <w:vAlign w:val="center"/>
          </w:tcPr>
          <w:p w14:paraId="3E9D410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r w14:paraId="6A220794">
        <w:tblPrEx>
          <w:tblCellMar>
            <w:top w:w="0" w:type="dxa"/>
            <w:left w:w="108" w:type="dxa"/>
            <w:bottom w:w="0" w:type="dxa"/>
            <w:right w:w="108" w:type="dxa"/>
          </w:tblCellMar>
        </w:tblPrEx>
        <w:trPr>
          <w:trHeight w:val="364" w:hRule="atLeast"/>
        </w:trPr>
        <w:tc>
          <w:tcPr>
            <w:tcW w:w="2007" w:type="dxa"/>
            <w:vMerge w:val="continue"/>
            <w:tcBorders>
              <w:top w:val="nil"/>
              <w:left w:val="single" w:color="auto" w:sz="4" w:space="0"/>
              <w:bottom w:val="single" w:color="auto" w:sz="4" w:space="0"/>
              <w:right w:val="single" w:color="auto" w:sz="4" w:space="0"/>
            </w:tcBorders>
            <w:vAlign w:val="center"/>
          </w:tcPr>
          <w:p w14:paraId="7ED0FB86">
            <w:pPr>
              <w:widowControl/>
              <w:jc w:val="left"/>
              <w:rPr>
                <w:rFonts w:ascii="宋体" w:hAnsi="宋体" w:cs="宋体"/>
                <w:b/>
                <w:bCs/>
                <w:color w:val="auto"/>
                <w:kern w:val="0"/>
                <w:sz w:val="20"/>
                <w:szCs w:val="20"/>
                <w:highlight w:val="none"/>
              </w:rPr>
            </w:pPr>
          </w:p>
        </w:tc>
        <w:tc>
          <w:tcPr>
            <w:tcW w:w="1633" w:type="dxa"/>
            <w:tcBorders>
              <w:top w:val="nil"/>
              <w:left w:val="nil"/>
              <w:bottom w:val="single" w:color="auto" w:sz="4" w:space="0"/>
              <w:right w:val="single" w:color="auto" w:sz="4" w:space="0"/>
            </w:tcBorders>
            <w:vAlign w:val="center"/>
          </w:tcPr>
          <w:p w14:paraId="782C4DF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资产总额（Z）</w:t>
            </w:r>
          </w:p>
        </w:tc>
        <w:tc>
          <w:tcPr>
            <w:tcW w:w="1077" w:type="dxa"/>
            <w:tcBorders>
              <w:top w:val="nil"/>
              <w:left w:val="nil"/>
              <w:bottom w:val="single" w:color="auto" w:sz="4" w:space="0"/>
              <w:right w:val="single" w:color="auto" w:sz="4" w:space="0"/>
            </w:tcBorders>
            <w:vAlign w:val="center"/>
          </w:tcPr>
          <w:p w14:paraId="5E27685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万元</w:t>
            </w:r>
          </w:p>
        </w:tc>
        <w:tc>
          <w:tcPr>
            <w:tcW w:w="1911" w:type="dxa"/>
            <w:tcBorders>
              <w:top w:val="nil"/>
              <w:left w:val="nil"/>
              <w:bottom w:val="single" w:color="auto" w:sz="4" w:space="0"/>
              <w:right w:val="single" w:color="auto" w:sz="4" w:space="0"/>
            </w:tcBorders>
            <w:vAlign w:val="center"/>
          </w:tcPr>
          <w:p w14:paraId="22FEB5E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8000≤Z＜120000</w:t>
            </w:r>
          </w:p>
        </w:tc>
        <w:tc>
          <w:tcPr>
            <w:tcW w:w="1699" w:type="dxa"/>
            <w:tcBorders>
              <w:top w:val="nil"/>
              <w:left w:val="nil"/>
              <w:bottom w:val="single" w:color="auto" w:sz="4" w:space="0"/>
              <w:right w:val="single" w:color="auto" w:sz="4" w:space="0"/>
            </w:tcBorders>
            <w:vAlign w:val="center"/>
          </w:tcPr>
          <w:p w14:paraId="0C9DB01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100≤Z＜8000</w:t>
            </w:r>
          </w:p>
        </w:tc>
        <w:tc>
          <w:tcPr>
            <w:tcW w:w="1091" w:type="dxa"/>
            <w:tcBorders>
              <w:top w:val="nil"/>
              <w:left w:val="nil"/>
              <w:bottom w:val="single" w:color="auto" w:sz="4" w:space="0"/>
              <w:right w:val="single" w:color="auto" w:sz="4" w:space="0"/>
            </w:tcBorders>
            <w:vAlign w:val="center"/>
          </w:tcPr>
          <w:p w14:paraId="58C4FFB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Y＜100</w:t>
            </w:r>
          </w:p>
        </w:tc>
      </w:tr>
      <w:tr w14:paraId="4CC93B66">
        <w:tblPrEx>
          <w:tblCellMar>
            <w:top w:w="0" w:type="dxa"/>
            <w:left w:w="108" w:type="dxa"/>
            <w:bottom w:w="0" w:type="dxa"/>
            <w:right w:w="108" w:type="dxa"/>
          </w:tblCellMar>
        </w:tblPrEx>
        <w:trPr>
          <w:trHeight w:val="375" w:hRule="atLeast"/>
        </w:trPr>
        <w:tc>
          <w:tcPr>
            <w:tcW w:w="2007" w:type="dxa"/>
            <w:tcBorders>
              <w:top w:val="nil"/>
              <w:left w:val="single" w:color="auto" w:sz="4" w:space="0"/>
              <w:bottom w:val="single" w:color="auto" w:sz="4" w:space="0"/>
              <w:right w:val="single" w:color="auto" w:sz="4" w:space="0"/>
            </w:tcBorders>
            <w:vAlign w:val="bottom"/>
          </w:tcPr>
          <w:p w14:paraId="31A6EF7E">
            <w:pPr>
              <w:widowControl/>
              <w:jc w:val="center"/>
              <w:rPr>
                <w:rFonts w:ascii="宋体" w:hAnsi="宋体" w:cs="宋体"/>
                <w:b/>
                <w:bCs/>
                <w:color w:val="auto"/>
                <w:kern w:val="0"/>
                <w:sz w:val="20"/>
                <w:szCs w:val="20"/>
                <w:highlight w:val="none"/>
              </w:rPr>
            </w:pPr>
            <w:r>
              <w:rPr>
                <w:rFonts w:hint="eastAsia" w:ascii="宋体" w:hAnsi="宋体" w:cs="宋体"/>
                <w:b/>
                <w:bCs/>
                <w:color w:val="auto"/>
                <w:kern w:val="0"/>
                <w:sz w:val="20"/>
                <w:szCs w:val="20"/>
                <w:highlight w:val="none"/>
              </w:rPr>
              <w:t>其他未列明行业</w:t>
            </w:r>
          </w:p>
        </w:tc>
        <w:tc>
          <w:tcPr>
            <w:tcW w:w="1633" w:type="dxa"/>
            <w:tcBorders>
              <w:top w:val="nil"/>
              <w:left w:val="nil"/>
              <w:bottom w:val="single" w:color="auto" w:sz="4" w:space="0"/>
              <w:right w:val="single" w:color="auto" w:sz="4" w:space="0"/>
            </w:tcBorders>
            <w:vAlign w:val="center"/>
          </w:tcPr>
          <w:p w14:paraId="42E44E2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从业人员（X）</w:t>
            </w:r>
          </w:p>
        </w:tc>
        <w:tc>
          <w:tcPr>
            <w:tcW w:w="1077" w:type="dxa"/>
            <w:tcBorders>
              <w:top w:val="nil"/>
              <w:left w:val="nil"/>
              <w:bottom w:val="single" w:color="auto" w:sz="4" w:space="0"/>
              <w:right w:val="single" w:color="auto" w:sz="4" w:space="0"/>
            </w:tcBorders>
            <w:vAlign w:val="center"/>
          </w:tcPr>
          <w:p w14:paraId="498F710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人</w:t>
            </w:r>
          </w:p>
        </w:tc>
        <w:tc>
          <w:tcPr>
            <w:tcW w:w="1911" w:type="dxa"/>
            <w:tcBorders>
              <w:top w:val="nil"/>
              <w:left w:val="nil"/>
              <w:bottom w:val="single" w:color="auto" w:sz="4" w:space="0"/>
              <w:right w:val="single" w:color="auto" w:sz="4" w:space="0"/>
            </w:tcBorders>
            <w:vAlign w:val="center"/>
          </w:tcPr>
          <w:p w14:paraId="18E97E7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100≤X＜300</w:t>
            </w:r>
          </w:p>
        </w:tc>
        <w:tc>
          <w:tcPr>
            <w:tcW w:w="1699" w:type="dxa"/>
            <w:tcBorders>
              <w:top w:val="nil"/>
              <w:left w:val="nil"/>
              <w:bottom w:val="single" w:color="auto" w:sz="4" w:space="0"/>
              <w:right w:val="single" w:color="auto" w:sz="4" w:space="0"/>
            </w:tcBorders>
            <w:vAlign w:val="center"/>
          </w:tcPr>
          <w:p w14:paraId="011040B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10≤X＜100</w:t>
            </w:r>
          </w:p>
        </w:tc>
        <w:tc>
          <w:tcPr>
            <w:tcW w:w="1091" w:type="dxa"/>
            <w:tcBorders>
              <w:top w:val="nil"/>
              <w:left w:val="nil"/>
              <w:bottom w:val="single" w:color="auto" w:sz="4" w:space="0"/>
              <w:right w:val="single" w:color="auto" w:sz="4" w:space="0"/>
            </w:tcBorders>
            <w:vAlign w:val="center"/>
          </w:tcPr>
          <w:p w14:paraId="00509F6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X＜10</w:t>
            </w:r>
          </w:p>
        </w:tc>
      </w:tr>
    </w:tbl>
    <w:p w14:paraId="76BACF9B">
      <w:pPr>
        <w:spacing w:line="360" w:lineRule="auto"/>
        <w:ind w:firstLine="602" w:firstLineChars="250"/>
        <w:rPr>
          <w:rFonts w:ascii="楷体" w:hAnsi="楷体" w:eastAsia="楷体" w:cs="宋体"/>
          <w:b/>
          <w:color w:val="auto"/>
          <w:sz w:val="24"/>
          <w:highlight w:val="none"/>
        </w:rPr>
      </w:pPr>
      <w:r>
        <w:rPr>
          <w:rFonts w:hint="eastAsia" w:ascii="楷体" w:hAnsi="楷体" w:eastAsia="楷体" w:cs="宋体"/>
          <w:b/>
          <w:color w:val="auto"/>
          <w:sz w:val="24"/>
          <w:highlight w:val="none"/>
        </w:rPr>
        <w:t>说明：</w:t>
      </w:r>
    </w:p>
    <w:p w14:paraId="4D5D6245">
      <w:pPr>
        <w:spacing w:line="360" w:lineRule="auto"/>
        <w:ind w:firstLine="600" w:firstLineChars="250"/>
        <w:rPr>
          <w:rFonts w:ascii="楷体" w:hAnsi="楷体" w:eastAsia="楷体" w:cs="宋体"/>
          <w:color w:val="auto"/>
          <w:sz w:val="24"/>
          <w:highlight w:val="none"/>
        </w:rPr>
      </w:pPr>
      <w:r>
        <w:rPr>
          <w:rFonts w:hint="eastAsia" w:ascii="楷体" w:hAnsi="楷体" w:eastAsia="楷体" w:cs="宋体"/>
          <w:color w:val="auto"/>
          <w:sz w:val="24"/>
          <w:highlight w:val="none"/>
        </w:rPr>
        <w:t>上述标准参照《关于印发中小企业划型标准规定的通知》（工信部联企业</w:t>
      </w:r>
      <w:r>
        <w:rPr>
          <w:rFonts w:ascii="楷体" w:hAnsi="楷体" w:eastAsia="楷体" w:cs="宋体"/>
          <w:color w:val="auto"/>
          <w:sz w:val="24"/>
          <w:highlight w:val="none"/>
        </w:rPr>
        <w:t>[2011]300号），大型、中型和小型企业须同时满足所列指标的下限，否则下划一档；微型企业只须满足所列指标中的一项即可。</w:t>
      </w:r>
    </w:p>
    <w:p w14:paraId="3F7FF2D1">
      <w:pPr>
        <w:widowControl/>
        <w:jc w:val="left"/>
        <w:rPr>
          <w:rFonts w:ascii="宋体" w:hAnsi="宋体" w:cs="宋体"/>
          <w:color w:val="auto"/>
          <w:sz w:val="24"/>
          <w:highlight w:val="none"/>
        </w:rPr>
        <w:sectPr>
          <w:footerReference r:id="rId8" w:type="default"/>
          <w:pgSz w:w="11906" w:h="16838"/>
          <w:pgMar w:top="1134" w:right="1134" w:bottom="1134" w:left="1134" w:header="720" w:footer="720" w:gutter="0"/>
          <w:pgNumType w:start="1"/>
          <w:cols w:space="720" w:num="1"/>
          <w:docGrid w:type="lines" w:linePitch="331" w:charSpace="0"/>
        </w:sectPr>
      </w:pPr>
    </w:p>
    <w:p w14:paraId="484898C1">
      <w:pPr>
        <w:pStyle w:val="2"/>
        <w:spacing w:before="0" w:after="0" w:line="360" w:lineRule="auto"/>
        <w:ind w:firstLine="883" w:firstLineChars="200"/>
        <w:jc w:val="left"/>
        <w:rPr>
          <w:rFonts w:ascii="宋体" w:hAnsi="宋体" w:cs="宋体"/>
          <w:color w:val="auto"/>
          <w:highlight w:val="none"/>
        </w:rPr>
      </w:pPr>
      <w:bookmarkStart w:id="27" w:name="_Toc3333"/>
      <w:r>
        <w:rPr>
          <w:rFonts w:hint="eastAsia" w:ascii="宋体" w:hAnsi="宋体" w:cs="宋体"/>
          <w:color w:val="auto"/>
          <w:highlight w:val="none"/>
        </w:rPr>
        <w:t xml:space="preserve">第四章  </w:t>
      </w:r>
      <w:bookmarkStart w:id="28" w:name="_Hlk68601507"/>
      <w:r>
        <w:rPr>
          <w:rFonts w:hint="eastAsia" w:ascii="宋体" w:hAnsi="宋体" w:cs="宋体"/>
          <w:color w:val="auto"/>
          <w:highlight w:val="none"/>
        </w:rPr>
        <w:t>评审程序和评定成交的标准</w:t>
      </w:r>
      <w:bookmarkEnd w:id="27"/>
      <w:bookmarkEnd w:id="28"/>
    </w:p>
    <w:p w14:paraId="7BE7E3A8">
      <w:pPr>
        <w:spacing w:line="360" w:lineRule="auto"/>
        <w:jc w:val="center"/>
        <w:rPr>
          <w:rFonts w:ascii="宋体" w:hAnsi="宋体" w:cs="宋体"/>
          <w:b/>
          <w:color w:val="auto"/>
          <w:sz w:val="32"/>
          <w:szCs w:val="32"/>
          <w:highlight w:val="none"/>
        </w:rPr>
      </w:pPr>
    </w:p>
    <w:p w14:paraId="5CFAF369">
      <w:pPr>
        <w:jc w:val="center"/>
        <w:rPr>
          <w:rFonts w:ascii="宋体" w:hAnsi="宋体" w:cs="宋体"/>
          <w:b/>
          <w:color w:val="auto"/>
          <w:sz w:val="32"/>
          <w:szCs w:val="32"/>
          <w:highlight w:val="none"/>
        </w:rPr>
      </w:pPr>
      <w:r>
        <w:rPr>
          <w:rFonts w:hint="eastAsia" w:ascii="宋体" w:hAnsi="宋体" w:cs="宋体"/>
          <w:b/>
          <w:color w:val="auto"/>
          <w:sz w:val="32"/>
          <w:szCs w:val="32"/>
          <w:highlight w:val="none"/>
        </w:rPr>
        <w:t>一、评审程序</w:t>
      </w:r>
    </w:p>
    <w:p w14:paraId="40D70374">
      <w:pPr>
        <w:spacing w:line="360" w:lineRule="auto"/>
        <w:ind w:firstLine="482" w:firstLineChars="200"/>
        <w:rPr>
          <w:rFonts w:ascii="宋体" w:hAnsi="宋体" w:cs="宋体"/>
          <w:b/>
          <w:bCs/>
          <w:color w:val="auto"/>
          <w:sz w:val="24"/>
          <w:highlight w:val="none"/>
        </w:rPr>
      </w:pPr>
    </w:p>
    <w:p w14:paraId="590119C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1.确认谈判文件</w:t>
      </w:r>
    </w:p>
    <w:p w14:paraId="4139A4D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由谈判小组确认谈判文件。</w:t>
      </w:r>
    </w:p>
    <w:p w14:paraId="3E93D34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2.资格审查</w:t>
      </w:r>
    </w:p>
    <w:p w14:paraId="6E7272A6">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2.1响应文件开启后，谈判小组依法对供应商的资格证明文件进行审查。</w:t>
      </w:r>
    </w:p>
    <w:p w14:paraId="73E47E1B">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（1）查询渠道：“信用中国”网站（www.creditchina.gov.cn）、中国政府采购网（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sz w:val="24"/>
          <w:highlight w:val="none"/>
        </w:rPr>
        <w:t>www.ccgp.gov.cn</w:t>
      </w:r>
      <w:r>
        <w:rPr>
          <w:rFonts w:hint="eastAsia" w:ascii="宋体" w:hAnsi="宋体" w:cs="宋体"/>
          <w:color w:val="auto"/>
          <w:sz w:val="24"/>
          <w:highlight w:val="none"/>
        </w:rPr>
        <w:fldChar w:fldCharType="end"/>
      </w:r>
      <w:r>
        <w:rPr>
          <w:rFonts w:hint="eastAsia" w:ascii="宋体" w:hAnsi="宋体" w:cs="宋体"/>
          <w:color w:val="auto"/>
          <w:sz w:val="24"/>
          <w:highlight w:val="none"/>
        </w:rPr>
        <w:t xml:space="preserve">） </w:t>
      </w:r>
    </w:p>
    <w:p w14:paraId="2952B5D5">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（2）信用查询截止时点：资格审查结束前</w:t>
      </w:r>
    </w:p>
    <w:p w14:paraId="0D3E610D">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（3）查询记录和证据留存方式：将查询网站中的查询记录截图并作为评审资料保存。</w:t>
      </w:r>
    </w:p>
    <w:p w14:paraId="0230B1DC">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（4）信用信息使用规则：信用信息使用规则：根据财政部《关于在政府采购活动中查询及使用信用记录有关问题的通知》（财库〔2016〕125号）的规定，对在“信用中国”网站(www.creditchina.gov.cn)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0295175">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2.2资格审查标准为本谈判文件中载明对供应商资格要求的条件。本项目资格审查采用合格制，凡符合谈判文件规定的供应商资格要求的供应商均通过资格审查。</w:t>
      </w:r>
    </w:p>
    <w:p w14:paraId="0AC1E55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 供应商有下列情形之一的，资格审查不通过，其响应文件按无效响应处理：</w:t>
      </w:r>
    </w:p>
    <w:p w14:paraId="3B04D268">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（1）不具备谈判文件中规定的资格要求的；</w:t>
      </w:r>
    </w:p>
    <w:p w14:paraId="776C857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（2）响应文件中的资格证明文件缺少任一项“供应商须知前附表”资格证明文件规定的“必须提供”的文件资料的；</w:t>
      </w:r>
    </w:p>
    <w:p w14:paraId="2F04EAE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（3）响应文件中的资格证明文件出现任一项不符合“供应商须知前附表”资格证明文件规定的“必须提供”的文件资料要求或者无效的；</w:t>
      </w:r>
    </w:p>
    <w:p w14:paraId="600379A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（4）同一合同项下的不同供应商，单位负责人为同一人或者存在直接控股、管理关系的；为本项目提供过整体设计、规范编制或者项目管理、监理、检测等服务的供应商，再参加该采购项目的其他采购活动的。</w:t>
      </w:r>
    </w:p>
    <w:p w14:paraId="49751D5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2.4通过资格审查的合格供应商不足3家（本章3.7条规定除外）的，不得进入符合性审查环节，应当重新开展采购活动。</w:t>
      </w:r>
    </w:p>
    <w:p w14:paraId="1AEFC788">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3.符合性审查</w:t>
      </w:r>
    </w:p>
    <w:p w14:paraId="13C1662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3.1由谈判小组对资格审查的合格的供应商的响应文件进行</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报价、商务、技术等实质性要求符合性审查，以确定其是否满足谈判文件的实质性要求。</w:t>
      </w:r>
    </w:p>
    <w:p w14:paraId="3571658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3C423BC">
      <w:pPr>
        <w:spacing w:line="360" w:lineRule="auto"/>
        <w:ind w:firstLine="480" w:firstLineChars="200"/>
        <w:rPr>
          <w:rFonts w:ascii="宋体" w:hAnsi="宋体" w:cs="宋体"/>
          <w:color w:val="auto"/>
          <w:spacing w:val="-6"/>
          <w:sz w:val="24"/>
          <w:highlight w:val="none"/>
        </w:rPr>
      </w:pPr>
      <w:r>
        <w:rPr>
          <w:rFonts w:hint="eastAsia" w:ascii="宋体" w:hAnsi="宋体" w:cs="宋体"/>
          <w:color w:val="auto"/>
          <w:sz w:val="24"/>
          <w:highlight w:val="none"/>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由法定代表人或者其委托代理人签字或者加盖供应商公章。</w:t>
      </w:r>
    </w:p>
    <w:p w14:paraId="475DB8E3">
      <w:pPr>
        <w:spacing w:line="360" w:lineRule="auto"/>
        <w:ind w:firstLine="456" w:firstLineChars="200"/>
        <w:rPr>
          <w:rFonts w:ascii="宋体" w:hAnsi="宋体" w:cs="宋体"/>
          <w:color w:val="auto"/>
          <w:sz w:val="24"/>
          <w:highlight w:val="none"/>
        </w:rPr>
      </w:pPr>
      <w:r>
        <w:rPr>
          <w:rFonts w:hint="eastAsia" w:ascii="宋体" w:hAnsi="宋体" w:cs="宋体"/>
          <w:color w:val="auto"/>
          <w:spacing w:val="-6"/>
          <w:sz w:val="24"/>
          <w:highlight w:val="none"/>
        </w:rPr>
        <w:t>3.4</w:t>
      </w:r>
      <w:r>
        <w:rPr>
          <w:rFonts w:hint="eastAsia" w:ascii="宋体" w:hAnsi="宋体" w:cs="宋体"/>
          <w:color w:val="auto"/>
          <w:sz w:val="24"/>
          <w:highlight w:val="none"/>
        </w:rPr>
        <w:t xml:space="preserve">首次响应文件报价出现前后不一致的，按照下列规定修正： </w:t>
      </w:r>
    </w:p>
    <w:p w14:paraId="134587C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（1）响应文件中报价表内容与响应文件中相应内容不一致的，以报价表为准；</w:t>
      </w:r>
    </w:p>
    <w:p w14:paraId="7127EC0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（2）大写金额和小写金额不一致的，以大写金额为准；</w:t>
      </w:r>
    </w:p>
    <w:p w14:paraId="693A18C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（3）单价金额小数点或者百分比有明显错位的，以报价表的总价为准，并修改单价；</w:t>
      </w:r>
    </w:p>
    <w:p w14:paraId="1050F2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（4）总价金额与按单价汇总金额不一致的，以单价金额计算结果为准。</w:t>
      </w:r>
    </w:p>
    <w:p w14:paraId="4A7488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同时出现两种以上不一致的，按照以上（1）-（4）规定的顺序逐条进行修正。修正后的报价经供应商确认后产生约束力，供应商不确认的，其响应文件按无效响应处理。</w:t>
      </w:r>
    </w:p>
    <w:p w14:paraId="7DBCF28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3.5商务技术报价评审</w:t>
      </w:r>
    </w:p>
    <w:p w14:paraId="74AFDB2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在评审时，如发现下列情形之一的，将被视为响应文件无效响应处理：</w:t>
      </w:r>
    </w:p>
    <w:p w14:paraId="1871372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（1）商务技术评审</w:t>
      </w:r>
    </w:p>
    <w:p w14:paraId="7682292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1）响应文件未按谈判文件要求签署、盖章的；</w:t>
      </w:r>
    </w:p>
    <w:p w14:paraId="025D24C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2）委托代理人未能出具有效身份证或者出具的身份证与授权委托书中的信息不符的； </w:t>
      </w:r>
    </w:p>
    <w:p w14:paraId="1E4294E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3）提交的谈判保证金无效的或者未按照谈判文件的规定提交谈判保证金；</w:t>
      </w:r>
    </w:p>
    <w:p w14:paraId="0E91E41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4）响应文件中的报价商务技术文件出现任一项不符合“供应商须知前附表”中“必须提供”或者“委托时必须提供”文件资料要求的规定或者提供的报价商务技术文件无效。</w:t>
      </w:r>
    </w:p>
    <w:p w14:paraId="3038FF0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5）商务条款中标“▲”的条款发生负偏离或者允许负偏离的条款数超过“供应商须知前附表”规定项数的；</w:t>
      </w:r>
    </w:p>
    <w:p w14:paraId="3E63E64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6）未对</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有效期作出响应或者响应文件承诺的</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有效期不满足谈判文件要求；</w:t>
      </w:r>
    </w:p>
    <w:p w14:paraId="29877E9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7）响应文件的实质性内容未使用中文表述、使用计量单位不符合谈判文件要求的；</w:t>
      </w:r>
    </w:p>
    <w:p w14:paraId="05ACD27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8）响应文件中的文件资料因填写不齐全或者内容虚假或者出现其他情形而导致被谈判小组认定无效的；</w:t>
      </w:r>
    </w:p>
    <w:p w14:paraId="07B28C5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9）响应文件含有采购人不能接受的附加条件的；</w:t>
      </w:r>
    </w:p>
    <w:p w14:paraId="4E3E0F9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10）属于“供应商须知正文”第7.</w:t>
      </w:r>
      <w:r>
        <w:rPr>
          <w:rFonts w:ascii="宋体" w:hAnsi="宋体" w:cs="宋体"/>
          <w:color w:val="auto"/>
          <w:sz w:val="24"/>
          <w:highlight w:val="none"/>
        </w:rPr>
        <w:t>4</w:t>
      </w:r>
      <w:r>
        <w:rPr>
          <w:rFonts w:hint="eastAsia" w:ascii="宋体" w:hAnsi="宋体" w:cs="宋体"/>
          <w:color w:val="auto"/>
          <w:sz w:val="24"/>
          <w:highlight w:val="none"/>
        </w:rPr>
        <w:t>条的情形的；</w:t>
      </w:r>
    </w:p>
    <w:p w14:paraId="2189D65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11）技术要求中标“▲”的条款发生负偏离或允许负偏离的条款数超过“供应商须知前附表”规定项数的；</w:t>
      </w:r>
    </w:p>
    <w:p w14:paraId="7F96BEA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12）虚假响应，或者出现其他情形而导致被谈判小组认定无效的；</w:t>
      </w:r>
    </w:p>
    <w:p w14:paraId="2BDCA2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w:t>
      </w:r>
      <w:bookmarkStart w:id="29" w:name="_Hlk71704147"/>
      <w:r>
        <w:rPr>
          <w:rFonts w:hint="eastAsia" w:ascii="宋体" w:hAnsi="宋体" w:cs="宋体"/>
          <w:color w:val="auto"/>
          <w:sz w:val="24"/>
          <w:highlight w:val="none"/>
        </w:rPr>
        <w:t>谈判文件未载明允许提供备选（替代）响应方案或明确不允许提供备选（替代）响应方案时，供应商提供了备选（替代）响应方案的；</w:t>
      </w:r>
      <w:bookmarkEnd w:id="29"/>
    </w:p>
    <w:p w14:paraId="2FE14F7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14）响应文件标注的项目名称或者项目编号与谈判文件标注的项目名称或者项目编号不一致的；</w:t>
      </w:r>
    </w:p>
    <w:p w14:paraId="59DFEAD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w:t>
      </w:r>
      <w:r>
        <w:rPr>
          <w:rFonts w:hint="eastAsia" w:ascii="宋体" w:hAnsi="宋体" w:cs="宋体"/>
          <w:b/>
          <w:color w:val="auto"/>
          <w:sz w:val="24"/>
          <w:highlight w:val="none"/>
        </w:rPr>
        <w:t>谈判文件明确不允许分包，响应文件拟分包的；</w:t>
      </w:r>
    </w:p>
    <w:p w14:paraId="33D1BA0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16）未响应谈判文件实质性要求；</w:t>
      </w:r>
    </w:p>
    <w:p w14:paraId="251C529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17）法律、法规和谈判文件规定的其他无效情形。</w:t>
      </w:r>
    </w:p>
    <w:p w14:paraId="0E611D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（2）报价评审</w:t>
      </w:r>
    </w:p>
    <w:p w14:paraId="0C9FED5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1）响应文件未提供“供应商须知前附表” 报价商务技术文件中规定的“</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报价表”的；</w:t>
      </w:r>
    </w:p>
    <w:p w14:paraId="7955C11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2）未采用人民币报价或者未按照谈判文件标明的币种报价的；</w:t>
      </w:r>
    </w:p>
    <w:p w14:paraId="42A76B0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3）供应商未就所参与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分标进行报价或者存在漏项报价的；供应商未就所参与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分标的单项内容作唯一报价的；供应商未就所参与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分标的全部内容作完整唯一总价报价的；供应商响应文件中存在有选择、有条件报价的（谈判文件允许有备选方案或者其他约定的除外）；</w:t>
      </w:r>
    </w:p>
    <w:p w14:paraId="5B4C4EB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报价（包含首次报价、最后报价）超过所参与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分标规定的采购预算金额或者最高限价的；</w:t>
      </w:r>
    </w:p>
    <w:p w14:paraId="54CADBB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报价（包含首次报价、最后报价）超过分项采购预算金额或者最高限价的，其响应文件将作无效处理；</w:t>
      </w:r>
    </w:p>
    <w:p w14:paraId="4D09FA14">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6</w:t>
      </w:r>
      <w:r>
        <w:rPr>
          <w:rFonts w:hint="eastAsia" w:ascii="宋体" w:hAnsi="宋体" w:cs="宋体"/>
          <w:color w:val="auto"/>
          <w:sz w:val="24"/>
          <w:highlight w:val="none"/>
        </w:rPr>
        <w:t>）修正后的报价，供应商不确认的；或者经供应商确认修正后的最后报价超过所参与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分标规定的采购预算金额或者最高限价（如本项目公布了最高限价）；</w:t>
      </w:r>
    </w:p>
    <w:p w14:paraId="17FA4799">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7</w:t>
      </w:r>
      <w:r>
        <w:rPr>
          <w:rFonts w:hint="eastAsia" w:ascii="宋体" w:hAnsi="宋体" w:cs="宋体"/>
          <w:color w:val="auto"/>
          <w:sz w:val="24"/>
          <w:highlight w:val="none"/>
        </w:rPr>
        <w:t>）响应文件响应的标的数量及单位与竞争性谈判采购文件要求实质性不一致的。</w:t>
      </w:r>
    </w:p>
    <w:p w14:paraId="32263B4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3.6谈判小组对响应文件进行评审，未实质性响应谈判文件的响应文件按无效响应处理。谈判小组应当将资格和符合性不通过的情况告知有关供应商。谈判小组从符合谈判文件规定的相应资格条件的供应商名单中确定不少于3家的供应商参加谈判。</w:t>
      </w:r>
    </w:p>
    <w:p w14:paraId="5F64136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3.7竞争性谈判方式采购的货物、服务项目，竞争性谈判过程中提交响应文件或者经评审实质性响应文件要求的供应商只有两家时，采购人、采购代理机构按照《政府采购非招标采购方式管理办法》（财政部74号令）第四条经本级财政部门批准后可以与该两家供应商进行竞争性谈判采购，采购人、采购代理机构应当根据</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文件中的采购需求编制谈判文件，成立谈判小组，由谈判小组对谈判文件进行确认。</w:t>
      </w:r>
    </w:p>
    <w:p w14:paraId="1F7FB60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3.8通过符合性审查的合格供应商不足3家的，不得进入谈判环节，应当重新开展采购活动。</w:t>
      </w:r>
    </w:p>
    <w:p w14:paraId="462EAE9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4.谈判程序</w:t>
      </w:r>
    </w:p>
    <w:p w14:paraId="7251EDD0">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4.1谈判小组按照“供应商须知前附表”第26条确定的</w:t>
      </w:r>
      <w:r>
        <w:rPr>
          <w:rFonts w:hint="eastAsia" w:ascii="宋体" w:hAnsi="宋体" w:cs="宋体"/>
          <w:color w:val="auto"/>
          <w:sz w:val="24"/>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响应处理。</w:t>
      </w:r>
    </w:p>
    <w:p w14:paraId="7CBF409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71951F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4.3对谈判文件作出的实质性变动是谈判文件的有效组成部分，谈判小组应当及时以电子谈判记录形式同时通知所有参加谈判的供应商。</w:t>
      </w:r>
    </w:p>
    <w:p w14:paraId="3C81AD8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4.4供应商必须按照谈判文件的变动情况和谈判小组的要求以电子回函的形式重新提交响应文件，并由其法定代表人或者委托代理人签字或者加盖供应商公章。由委托代理人签字的，</w:t>
      </w:r>
      <w:r>
        <w:rPr>
          <w:rFonts w:hint="eastAsia" w:ascii="宋体" w:hAnsi="宋体" w:cs="宋体"/>
          <w:bCs/>
          <w:color w:val="auto"/>
          <w:sz w:val="24"/>
          <w:highlight w:val="none"/>
        </w:rPr>
        <w:t>若委托代理人不是响应文件中授权的委托代理人时，必须同时出示有效的授权委托书原件</w:t>
      </w:r>
      <w:r>
        <w:rPr>
          <w:rFonts w:hint="eastAsia" w:ascii="宋体" w:hAnsi="宋体" w:cs="宋体"/>
          <w:color w:val="auto"/>
          <w:sz w:val="24"/>
          <w:highlight w:val="none"/>
        </w:rPr>
        <w:t>。供应商为自然人的，必须由本人签字并附身份证明。参加谈判的供应商未在规定时间内以电子回函的形式重新提交响应文件的，视同退出谈判，其响应文件按无效响应处理。</w:t>
      </w:r>
    </w:p>
    <w:p w14:paraId="0853AEF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4.5谈判中，谈判的任何一方不得透露与谈判有关的其他供应商的技术资料、价格和其他信息。</w:t>
      </w:r>
    </w:p>
    <w:p w14:paraId="39DEFC48">
      <w:pPr>
        <w:tabs>
          <w:tab w:val="left" w:pos="2835"/>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4.6对谈判过程提交的响应文件进行有效性、完整性和响应程度审查，通过审查的合格供应商不足3家的，采购人或者采购代理机构应当重新开展采购活动。</w:t>
      </w:r>
    </w:p>
    <w:p w14:paraId="17625E4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5.最后报价</w:t>
      </w:r>
    </w:p>
    <w:p w14:paraId="701E5FD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5.1谈判文件能够详细列明采购标的的技术、服务要求的，谈判结束后，谈判小组应当要求所有继续参加谈判的供应商在规定时间内以电子文件形式提交最后报价，提交最后报价的供应商不得少于3家，除本章第3.7条外，否则必须重新采购。</w:t>
      </w:r>
    </w:p>
    <w:p w14:paraId="003D00F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5.2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以电子文件形式提交最后报价。</w:t>
      </w:r>
    </w:p>
    <w:p w14:paraId="3001C5F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5.3最后报价是供应商响应文件的有效组成部分。</w:t>
      </w:r>
    </w:p>
    <w:p w14:paraId="643A3F3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5.4已经提交响应文件的供应商，在提交最后报价之前，可以根据谈判情况退出谈判。采购人、采购代理机构将退还退出谈判的供应商的保证金。</w:t>
      </w:r>
    </w:p>
    <w:p w14:paraId="666DDD2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5.5供应商未在规定时间内提交最后报价的，视为退出谈判，其响应文件按无效响应处理。</w:t>
      </w:r>
    </w:p>
    <w:p w14:paraId="0650C15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5.6谈判小组收齐某一分标最后报价后或达到规定时间后统一开启，谈判小组对最后报价进行有效性、完整性和响应程度的审查。</w:t>
      </w:r>
    </w:p>
    <w:p w14:paraId="5C68CE6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5.7响应文件首次及最后报价出现前后不一致的，按照本章第3.4条的规定修正。 </w:t>
      </w:r>
    </w:p>
    <w:p w14:paraId="19DD026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5.8经供应商确认修正后的最后报价作为评审及签订合同的依据。</w:t>
      </w:r>
    </w:p>
    <w:p w14:paraId="48C0E59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5.9供应商出现最后报价按无效响应处理或者响应文件按无效响应处理时，谈判小组应当告知有关供应商。</w:t>
      </w:r>
    </w:p>
    <w:p w14:paraId="5AC0FB0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5.10最后报价结束后，谈判小组不得再与供应商进行任何形式的商谈。</w:t>
      </w:r>
    </w:p>
    <w:p w14:paraId="1B9D0F67">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5.11政府采购异常低价审查</w:t>
      </w:r>
    </w:p>
    <w:p w14:paraId="47FDAA91">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（一）政府采购评审中出现下列情形之一的，谈判小组应当启动异常低价响应审查程序：</w:t>
      </w:r>
    </w:p>
    <w:p w14:paraId="097B27C7">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1)最后报价低于全部通过符合性审查供应商投标最后报价平均值50%的，即最后报价＜全部通过符合性审查供应商最后报价平均值×50%；</w:t>
      </w:r>
    </w:p>
    <w:p w14:paraId="20BB5EC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2）最后报价低于通过符合性审查的次低报价供应商最后报价50%的，即最后报价＜通过符合性审查的次低报价供应商投标最后报价×50%；</w:t>
      </w:r>
    </w:p>
    <w:p w14:paraId="615808C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3）最后报价低于采购项目最高限价45%的，即最后报价＜采购项目最高限价×45%；</w:t>
      </w:r>
    </w:p>
    <w:p w14:paraId="2522AB88">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4）谈判小组基于专业判断，认为供应商报价过低，有可能影响产品质量或者不能诚信履约的其他情形。</w:t>
      </w:r>
    </w:p>
    <w:p w14:paraId="50D24D06">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二）谈判小组启动异常低价响应审查后，属于前述第1项至第4项情形的，应当要求相关供应商在评审现场合理的时间内对最后报价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70652928">
      <w:pPr>
        <w:spacing w:line="360" w:lineRule="auto"/>
        <w:ind w:firstLine="480" w:firstLineChars="200"/>
        <w:rPr>
          <w:color w:val="auto"/>
          <w:highlight w:val="none"/>
        </w:rPr>
      </w:pPr>
      <w:r>
        <w:rPr>
          <w:rFonts w:hint="eastAsia" w:asciiTheme="minorEastAsia" w:hAnsiTheme="minorEastAsia" w:eastAsiaTheme="minorEastAsia" w:cstheme="minorEastAsia"/>
          <w:color w:val="auto"/>
          <w:sz w:val="24"/>
          <w:highlight w:val="none"/>
        </w:rPr>
        <w:t>谈判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最后报价应当将其作为无效响应处理。</w:t>
      </w:r>
    </w:p>
    <w:p w14:paraId="6F6533EF">
      <w:pPr>
        <w:spacing w:line="360" w:lineRule="auto"/>
        <w:ind w:firstLine="472" w:firstLineChars="196"/>
        <w:rPr>
          <w:rFonts w:ascii="宋体" w:hAnsi="宋体" w:cs="宋体"/>
          <w:b/>
          <w:bCs/>
          <w:color w:val="auto"/>
          <w:sz w:val="24"/>
          <w:highlight w:val="none"/>
        </w:rPr>
      </w:pPr>
      <w:r>
        <w:rPr>
          <w:rFonts w:hint="eastAsia" w:ascii="宋体" w:hAnsi="宋体" w:cs="宋体"/>
          <w:b/>
          <w:bCs/>
          <w:color w:val="auto"/>
          <w:sz w:val="24"/>
          <w:highlight w:val="none"/>
        </w:rPr>
        <w:t>6.最后报价政府采购政策性扣除</w:t>
      </w:r>
    </w:p>
    <w:p w14:paraId="64DD7D0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6.1评标价为供应商的最后报价进行政策性扣除后的价格，评标价只是作为评审时使用。最终成交供应商的成交金额等于最后报价（如有修正，以确认修正后的最后报价为准）。</w:t>
      </w:r>
    </w:p>
    <w:p w14:paraId="5F3B87C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6.2政策性扣除计算方法。</w:t>
      </w:r>
    </w:p>
    <w:p w14:paraId="14E603F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根据《政府采购促进中小企业发展管理办法》</w:t>
      </w:r>
      <w:r>
        <w:rPr>
          <w:rFonts w:hint="eastAsia" w:hAnsi="宋体" w:cs="宋体"/>
          <w:bCs/>
          <w:color w:val="auto"/>
          <w:sz w:val="24"/>
          <w:highlight w:val="none"/>
        </w:rPr>
        <w:t>及《广西壮族自治区财政厅关于持续优化政府采购营商环境推动高质量发展的通知》</w:t>
      </w:r>
      <w:r>
        <w:rPr>
          <w:rFonts w:hint="eastAsia" w:ascii="宋体" w:hAnsi="宋体" w:cs="宋体"/>
          <w:color w:val="auto"/>
          <w:sz w:val="24"/>
          <w:highlight w:val="none"/>
        </w:rPr>
        <w:t>的规定，</w:t>
      </w:r>
      <w:r>
        <w:rPr>
          <w:rFonts w:hint="eastAsia" w:hAnsi="宋体" w:cs="宋体"/>
          <w:bCs/>
          <w:color w:val="auto"/>
          <w:sz w:val="24"/>
          <w:highlight w:val="none"/>
        </w:rPr>
        <w:t>调整对小微企业的价格评审优惠幅度</w:t>
      </w:r>
      <w:r>
        <w:rPr>
          <w:rFonts w:hint="eastAsia" w:ascii="宋体" w:hAnsi="宋体" w:cs="宋体"/>
          <w:color w:val="auto"/>
          <w:sz w:val="24"/>
          <w:highlight w:val="none"/>
        </w:rPr>
        <w:t>，供应商属于《政府采购促进中小企业发展管理办法》规定的小微企业的，对</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给予20%的扣除，用扣除后的价格参加评审；大中型企业与小微企业组成联合体或者大中型企业向一家或者多家小微企业分包，且联合协议或者分包意向协议约定小微企业的合同份额占到合同总金额30%以上的，对联合体或者大中型企业的报价给予6%的扣除，用扣除后的价格参加评审。符合上述规定对报价给予扣除的，扣除后的价格为评标价，即评标价=最后报价×（1 - 扣除比例）。</w:t>
      </w:r>
    </w:p>
    <w:p w14:paraId="28C8951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6460AFA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19E673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6.5除上述情况外，评审价＝最后报价。</w:t>
      </w:r>
    </w:p>
    <w:p w14:paraId="70700EF8">
      <w:pPr>
        <w:spacing w:line="360" w:lineRule="auto"/>
        <w:ind w:firstLine="480" w:firstLineChars="200"/>
        <w:rPr>
          <w:rFonts w:ascii="宋体" w:hAnsi="宋体" w:cs="宋体"/>
          <w:color w:val="auto"/>
          <w:sz w:val="24"/>
          <w:highlight w:val="none"/>
        </w:rPr>
      </w:pPr>
    </w:p>
    <w:p w14:paraId="2C78342C">
      <w:pPr>
        <w:spacing w:line="360" w:lineRule="auto"/>
        <w:jc w:val="center"/>
        <w:rPr>
          <w:rFonts w:ascii="宋体" w:hAnsi="宋体" w:cs="宋体"/>
          <w:b/>
          <w:color w:val="auto"/>
          <w:sz w:val="24"/>
          <w:highlight w:val="none"/>
        </w:rPr>
      </w:pPr>
    </w:p>
    <w:p w14:paraId="4DB065EF">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二、评定成交的标准</w:t>
      </w:r>
    </w:p>
    <w:p w14:paraId="13AAA83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7.成交候选人推荐原则</w:t>
      </w:r>
    </w:p>
    <w:p w14:paraId="383A58A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26条规定的顺序推荐）,并编写评审报告。</w:t>
      </w:r>
    </w:p>
    <w:p w14:paraId="5257D371">
      <w:pPr>
        <w:pStyle w:val="2"/>
        <w:spacing w:before="0" w:after="0" w:line="360" w:lineRule="auto"/>
        <w:jc w:val="center"/>
        <w:rPr>
          <w:rFonts w:ascii="宋体" w:hAnsi="宋体" w:cs="宋体"/>
          <w:color w:val="auto"/>
          <w:highlight w:val="none"/>
        </w:rPr>
      </w:pPr>
      <w:r>
        <w:rPr>
          <w:rFonts w:hint="eastAsia" w:ascii="宋体" w:hAnsi="宋体" w:cs="宋体"/>
          <w:color w:val="auto"/>
          <w:sz w:val="24"/>
          <w:szCs w:val="24"/>
          <w:highlight w:val="none"/>
        </w:rPr>
        <w:br w:type="page"/>
      </w:r>
    </w:p>
    <w:p w14:paraId="1D2387A3">
      <w:pPr>
        <w:rPr>
          <w:rFonts w:ascii="宋体" w:hAnsi="宋体" w:cs="宋体"/>
          <w:color w:val="auto"/>
          <w:highlight w:val="none"/>
        </w:rPr>
      </w:pPr>
    </w:p>
    <w:p w14:paraId="33DF1880">
      <w:pPr>
        <w:pStyle w:val="2"/>
        <w:spacing w:before="0" w:after="0"/>
        <w:jc w:val="center"/>
        <w:rPr>
          <w:rFonts w:ascii="宋体" w:hAnsi="宋体" w:cs="宋体"/>
          <w:color w:val="auto"/>
          <w:highlight w:val="none"/>
        </w:rPr>
      </w:pPr>
      <w:bookmarkStart w:id="30" w:name="_Toc27214"/>
      <w:r>
        <w:rPr>
          <w:rFonts w:hint="eastAsia" w:ascii="宋体" w:hAnsi="宋体" w:cs="宋体"/>
          <w:color w:val="auto"/>
          <w:highlight w:val="none"/>
        </w:rPr>
        <w:t>第五章 响应文件格式</w:t>
      </w:r>
      <w:bookmarkEnd w:id="30"/>
    </w:p>
    <w:p w14:paraId="1E4FC21D">
      <w:pPr>
        <w:spacing w:line="240" w:lineRule="atLeast"/>
        <w:rPr>
          <w:rFonts w:ascii="宋体" w:hAnsi="宋体" w:cs="宋体"/>
          <w:b/>
          <w:color w:val="auto"/>
          <w:sz w:val="32"/>
          <w:szCs w:val="32"/>
          <w:highlight w:val="none"/>
        </w:rPr>
      </w:pPr>
    </w:p>
    <w:p w14:paraId="6378D95D">
      <w:pPr>
        <w:spacing w:line="240" w:lineRule="atLeast"/>
        <w:rPr>
          <w:rFonts w:ascii="宋体" w:hAnsi="宋体" w:cs="宋体"/>
          <w:b/>
          <w:color w:val="auto"/>
          <w:sz w:val="32"/>
          <w:szCs w:val="32"/>
          <w:highlight w:val="none"/>
        </w:rPr>
      </w:pPr>
    </w:p>
    <w:p w14:paraId="6386090D">
      <w:pPr>
        <w:spacing w:line="360" w:lineRule="auto"/>
        <w:rPr>
          <w:rFonts w:ascii="宋体" w:hAnsi="宋体" w:cs="宋体"/>
          <w:b/>
          <w:color w:val="auto"/>
          <w:sz w:val="32"/>
          <w:szCs w:val="32"/>
          <w:highlight w:val="none"/>
        </w:rPr>
      </w:pPr>
      <w:bookmarkStart w:id="31" w:name="_Toc71365382"/>
      <w:bookmarkStart w:id="32" w:name="_Toc71366060"/>
      <w:r>
        <w:rPr>
          <w:rFonts w:hint="eastAsia" w:ascii="宋体" w:hAnsi="宋体" w:cs="宋体"/>
          <w:b/>
          <w:color w:val="auto"/>
          <w:sz w:val="32"/>
          <w:szCs w:val="32"/>
          <w:highlight w:val="none"/>
        </w:rPr>
        <w:t>一、资格证明文件格式</w:t>
      </w:r>
      <w:bookmarkEnd w:id="31"/>
      <w:bookmarkEnd w:id="32"/>
    </w:p>
    <w:p w14:paraId="4B7B64E5">
      <w:pPr>
        <w:snapToGrid w:val="0"/>
        <w:spacing w:line="360" w:lineRule="auto"/>
        <w:jc w:val="left"/>
        <w:rPr>
          <w:rFonts w:ascii="宋体" w:hAnsi="宋体" w:cs="宋体"/>
          <w:b/>
          <w:color w:val="auto"/>
          <w:sz w:val="24"/>
          <w:highlight w:val="none"/>
        </w:rPr>
      </w:pPr>
      <w:r>
        <w:rPr>
          <w:rFonts w:hint="eastAsia" w:ascii="宋体" w:hAnsi="宋体" w:cs="宋体"/>
          <w:b/>
          <w:color w:val="auto"/>
          <w:sz w:val="32"/>
          <w:szCs w:val="32"/>
          <w:highlight w:val="none"/>
        </w:rPr>
        <w:t>1.资格证明文件封面格式：</w:t>
      </w:r>
      <w:r>
        <w:rPr>
          <w:rFonts w:hint="eastAsia" w:ascii="宋体" w:hAnsi="宋体" w:cs="宋体"/>
          <w:b/>
          <w:color w:val="auto"/>
          <w:sz w:val="24"/>
          <w:highlight w:val="none"/>
        </w:rPr>
        <w:t xml:space="preserve"> </w:t>
      </w:r>
    </w:p>
    <w:p w14:paraId="73B1BA90">
      <w:pPr>
        <w:snapToGrid w:val="0"/>
        <w:spacing w:line="360" w:lineRule="auto"/>
        <w:rPr>
          <w:rFonts w:ascii="宋体" w:hAnsi="宋体" w:cs="宋体"/>
          <w:bCs/>
          <w:color w:val="auto"/>
          <w:sz w:val="32"/>
          <w:szCs w:val="20"/>
          <w:highlight w:val="none"/>
        </w:rPr>
      </w:pPr>
      <w:r>
        <w:rPr>
          <w:rFonts w:hint="eastAsia" w:ascii="宋体" w:hAnsi="宋体" w:cs="宋体"/>
          <w:color w:val="auto"/>
          <w:sz w:val="24"/>
          <w:highlight w:val="none"/>
        </w:rPr>
        <w:t xml:space="preserve">                                                  </w:t>
      </w:r>
    </w:p>
    <w:p w14:paraId="086AD648">
      <w:pPr>
        <w:snapToGrid w:val="0"/>
        <w:spacing w:line="360" w:lineRule="auto"/>
        <w:jc w:val="center"/>
        <w:rPr>
          <w:rFonts w:ascii="宋体" w:hAnsi="宋体" w:cs="宋体"/>
          <w:bCs/>
          <w:color w:val="auto"/>
          <w:sz w:val="44"/>
          <w:szCs w:val="44"/>
          <w:highlight w:val="none"/>
        </w:rPr>
      </w:pPr>
    </w:p>
    <w:p w14:paraId="7AB74333">
      <w:pPr>
        <w:snapToGrid w:val="0"/>
        <w:spacing w:line="360" w:lineRule="auto"/>
        <w:jc w:val="center"/>
        <w:rPr>
          <w:rFonts w:ascii="宋体" w:hAnsi="宋体" w:cs="宋体"/>
          <w:bCs/>
          <w:color w:val="auto"/>
          <w:sz w:val="84"/>
          <w:szCs w:val="84"/>
          <w:highlight w:val="none"/>
        </w:rPr>
      </w:pPr>
      <w:r>
        <w:rPr>
          <w:rFonts w:hint="eastAsia" w:ascii="宋体" w:hAnsi="宋体" w:cs="宋体"/>
          <w:bCs/>
          <w:color w:val="auto"/>
          <w:sz w:val="84"/>
          <w:szCs w:val="84"/>
          <w:highlight w:val="none"/>
        </w:rPr>
        <w:t>响  应  文  件</w:t>
      </w:r>
    </w:p>
    <w:p w14:paraId="0917BE48">
      <w:pPr>
        <w:snapToGrid w:val="0"/>
        <w:spacing w:line="360" w:lineRule="auto"/>
        <w:rPr>
          <w:rFonts w:ascii="宋体" w:hAnsi="宋体" w:cs="宋体"/>
          <w:color w:val="auto"/>
          <w:sz w:val="24"/>
          <w:szCs w:val="20"/>
          <w:highlight w:val="none"/>
        </w:rPr>
      </w:pPr>
    </w:p>
    <w:p w14:paraId="1E9B2B3B">
      <w:pPr>
        <w:snapToGrid w:val="0"/>
        <w:spacing w:line="360" w:lineRule="auto"/>
        <w:jc w:val="center"/>
        <w:rPr>
          <w:rFonts w:ascii="宋体" w:hAnsi="宋体" w:cs="宋体"/>
          <w:bCs/>
          <w:color w:val="auto"/>
          <w:sz w:val="32"/>
          <w:szCs w:val="32"/>
          <w:highlight w:val="none"/>
        </w:rPr>
      </w:pPr>
      <w:r>
        <w:rPr>
          <w:rFonts w:hint="eastAsia" w:ascii="宋体" w:hAnsi="宋体" w:cs="宋体"/>
          <w:bCs/>
          <w:color w:val="auto"/>
          <w:sz w:val="32"/>
          <w:szCs w:val="32"/>
          <w:highlight w:val="none"/>
        </w:rPr>
        <w:t>资  格  证  明  文  件</w:t>
      </w:r>
    </w:p>
    <w:p w14:paraId="3947BD85">
      <w:pPr>
        <w:snapToGrid w:val="0"/>
        <w:spacing w:line="360" w:lineRule="auto"/>
        <w:rPr>
          <w:rFonts w:ascii="宋体" w:hAnsi="宋体" w:cs="宋体"/>
          <w:bCs/>
          <w:color w:val="auto"/>
          <w:sz w:val="24"/>
          <w:szCs w:val="20"/>
          <w:highlight w:val="none"/>
        </w:rPr>
      </w:pPr>
    </w:p>
    <w:p w14:paraId="7DB3145E">
      <w:pPr>
        <w:snapToGrid w:val="0"/>
        <w:spacing w:line="360" w:lineRule="auto"/>
        <w:rPr>
          <w:rFonts w:ascii="宋体" w:hAnsi="宋体" w:cs="宋体"/>
          <w:bCs/>
          <w:color w:val="auto"/>
          <w:sz w:val="24"/>
          <w:szCs w:val="20"/>
          <w:highlight w:val="none"/>
        </w:rPr>
      </w:pPr>
    </w:p>
    <w:p w14:paraId="6D0A534B">
      <w:pPr>
        <w:snapToGrid w:val="0"/>
        <w:spacing w:line="360" w:lineRule="auto"/>
        <w:ind w:firstLine="2739" w:firstLineChars="856"/>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1E18E9B8">
      <w:pPr>
        <w:snapToGrid w:val="0"/>
        <w:spacing w:line="360" w:lineRule="auto"/>
        <w:ind w:firstLine="2739" w:firstLineChars="856"/>
        <w:rPr>
          <w:rFonts w:ascii="宋体" w:hAnsi="宋体" w:cs="宋体"/>
          <w:bCs/>
          <w:color w:val="auto"/>
          <w:sz w:val="32"/>
          <w:szCs w:val="32"/>
          <w:highlight w:val="none"/>
        </w:rPr>
      </w:pPr>
      <w:r>
        <w:rPr>
          <w:rFonts w:hint="eastAsia" w:ascii="宋体" w:hAnsi="宋体" w:cs="宋体"/>
          <w:bCs/>
          <w:color w:val="auto"/>
          <w:sz w:val="32"/>
          <w:szCs w:val="32"/>
          <w:highlight w:val="none"/>
        </w:rPr>
        <w:t xml:space="preserve">项目编号： </w:t>
      </w:r>
    </w:p>
    <w:p w14:paraId="61066F57">
      <w:pPr>
        <w:snapToGrid w:val="0"/>
        <w:spacing w:line="360" w:lineRule="auto"/>
        <w:ind w:firstLine="2739" w:firstLineChars="856"/>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w:t>
      </w:r>
    </w:p>
    <w:p w14:paraId="2CB84484">
      <w:pPr>
        <w:pStyle w:val="6"/>
        <w:snapToGrid w:val="0"/>
        <w:spacing w:line="360" w:lineRule="auto"/>
        <w:ind w:firstLine="2739" w:firstLineChars="856"/>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1B349372">
      <w:pPr>
        <w:pStyle w:val="6"/>
        <w:snapToGrid w:val="0"/>
        <w:spacing w:line="360" w:lineRule="auto"/>
        <w:ind w:firstLine="0"/>
        <w:rPr>
          <w:rFonts w:ascii="宋体" w:hAnsi="宋体" w:cs="宋体"/>
          <w:bCs/>
          <w:color w:val="auto"/>
          <w:sz w:val="32"/>
          <w:szCs w:val="32"/>
          <w:highlight w:val="none"/>
        </w:rPr>
      </w:pPr>
    </w:p>
    <w:p w14:paraId="54FA11A9">
      <w:pPr>
        <w:pStyle w:val="6"/>
        <w:snapToGrid w:val="0"/>
        <w:spacing w:line="360" w:lineRule="auto"/>
        <w:ind w:firstLine="1280" w:firstLineChars="400"/>
        <w:rPr>
          <w:rFonts w:ascii="宋体" w:hAnsi="宋体" w:cs="宋体"/>
          <w:bCs/>
          <w:color w:val="auto"/>
          <w:sz w:val="32"/>
          <w:szCs w:val="32"/>
          <w:highlight w:val="none"/>
        </w:rPr>
      </w:pPr>
    </w:p>
    <w:p w14:paraId="315A7369">
      <w:pPr>
        <w:snapToGrid w:val="0"/>
        <w:spacing w:line="360" w:lineRule="auto"/>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0ED22FB3">
      <w:pPr>
        <w:snapToGrid w:val="0"/>
        <w:spacing w:line="360" w:lineRule="auto"/>
        <w:jc w:val="left"/>
        <w:rPr>
          <w:rFonts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2.资格证明文件目录</w:t>
      </w:r>
    </w:p>
    <w:p w14:paraId="797E555D">
      <w:pPr>
        <w:snapToGrid w:val="0"/>
        <w:spacing w:line="360" w:lineRule="auto"/>
        <w:ind w:firstLine="645"/>
        <w:rPr>
          <w:rFonts w:ascii="宋体" w:hAnsi="宋体" w:cs="宋体"/>
          <w:color w:val="auto"/>
          <w:sz w:val="32"/>
          <w:szCs w:val="32"/>
          <w:highlight w:val="none"/>
        </w:rPr>
      </w:pPr>
      <w:r>
        <w:rPr>
          <w:rFonts w:hint="eastAsia" w:ascii="宋体" w:hAnsi="宋体" w:cs="宋体"/>
          <w:color w:val="auto"/>
          <w:sz w:val="32"/>
          <w:szCs w:val="32"/>
          <w:highlight w:val="none"/>
        </w:rPr>
        <w:t>根据谈判文件规定及供应商提供的材料自行编写目录（部分格式后附）。</w:t>
      </w:r>
    </w:p>
    <w:p w14:paraId="69DCB861">
      <w:pPr>
        <w:snapToGrid w:val="0"/>
        <w:spacing w:line="360" w:lineRule="auto"/>
        <w:rPr>
          <w:rFonts w:ascii="宋体" w:hAnsi="宋体" w:cs="宋体"/>
          <w:color w:val="auto"/>
          <w:sz w:val="24"/>
          <w:szCs w:val="20"/>
          <w:highlight w:val="none"/>
        </w:rPr>
      </w:pPr>
      <w:r>
        <w:rPr>
          <w:rFonts w:hint="eastAsia" w:ascii="宋体" w:hAnsi="宋体" w:cs="宋体"/>
          <w:color w:val="auto"/>
          <w:sz w:val="24"/>
          <w:szCs w:val="20"/>
          <w:highlight w:val="none"/>
        </w:rPr>
        <w:t xml:space="preserve"> </w:t>
      </w:r>
    </w:p>
    <w:p w14:paraId="051FD7CB">
      <w:pPr>
        <w:spacing w:line="360" w:lineRule="auto"/>
        <w:rPr>
          <w:rFonts w:ascii="宋体" w:hAnsi="宋体" w:cs="宋体"/>
          <w:color w:val="auto"/>
          <w:szCs w:val="21"/>
          <w:highlight w:val="none"/>
        </w:rPr>
      </w:pPr>
    </w:p>
    <w:p w14:paraId="4FC65EC7">
      <w:pPr>
        <w:spacing w:line="360" w:lineRule="auto"/>
        <w:rPr>
          <w:rFonts w:ascii="宋体" w:hAnsi="宋体" w:cs="宋体"/>
          <w:color w:val="auto"/>
          <w:szCs w:val="21"/>
          <w:highlight w:val="none"/>
        </w:rPr>
      </w:pPr>
    </w:p>
    <w:p w14:paraId="0DBB8262">
      <w:pPr>
        <w:spacing w:line="360" w:lineRule="auto"/>
        <w:rPr>
          <w:rFonts w:ascii="宋体" w:hAnsi="宋体" w:cs="宋体"/>
          <w:color w:val="auto"/>
          <w:szCs w:val="21"/>
          <w:highlight w:val="none"/>
        </w:rPr>
      </w:pPr>
    </w:p>
    <w:p w14:paraId="1525606A">
      <w:pPr>
        <w:spacing w:line="360" w:lineRule="auto"/>
        <w:rPr>
          <w:rFonts w:ascii="宋体" w:hAnsi="宋体" w:cs="宋体"/>
          <w:color w:val="auto"/>
          <w:szCs w:val="21"/>
          <w:highlight w:val="none"/>
        </w:rPr>
      </w:pPr>
    </w:p>
    <w:p w14:paraId="6CBD8D4A">
      <w:pPr>
        <w:spacing w:line="360" w:lineRule="auto"/>
        <w:rPr>
          <w:rFonts w:ascii="宋体" w:hAnsi="宋体" w:cs="宋体"/>
          <w:color w:val="auto"/>
          <w:szCs w:val="21"/>
          <w:highlight w:val="none"/>
        </w:rPr>
      </w:pPr>
    </w:p>
    <w:p w14:paraId="176684D8">
      <w:pPr>
        <w:spacing w:line="360" w:lineRule="auto"/>
        <w:rPr>
          <w:rFonts w:ascii="宋体" w:hAnsi="宋体" w:cs="宋体"/>
          <w:color w:val="auto"/>
          <w:szCs w:val="21"/>
          <w:highlight w:val="none"/>
        </w:rPr>
      </w:pPr>
    </w:p>
    <w:p w14:paraId="5C0AF986">
      <w:pPr>
        <w:spacing w:line="360" w:lineRule="auto"/>
        <w:rPr>
          <w:rFonts w:ascii="宋体" w:hAnsi="宋体" w:cs="宋体"/>
          <w:color w:val="auto"/>
          <w:szCs w:val="21"/>
          <w:highlight w:val="none"/>
        </w:rPr>
      </w:pPr>
    </w:p>
    <w:p w14:paraId="20101743">
      <w:pPr>
        <w:spacing w:line="360" w:lineRule="auto"/>
        <w:rPr>
          <w:rFonts w:ascii="宋体" w:hAnsi="宋体" w:cs="宋体"/>
          <w:color w:val="auto"/>
          <w:szCs w:val="21"/>
          <w:highlight w:val="none"/>
        </w:rPr>
      </w:pPr>
    </w:p>
    <w:p w14:paraId="6D1EEDB1">
      <w:pPr>
        <w:spacing w:line="360" w:lineRule="auto"/>
        <w:rPr>
          <w:rFonts w:ascii="宋体" w:hAnsi="宋体" w:cs="宋体"/>
          <w:color w:val="auto"/>
          <w:szCs w:val="21"/>
          <w:highlight w:val="none"/>
        </w:rPr>
      </w:pPr>
    </w:p>
    <w:p w14:paraId="4EDF0CA7">
      <w:pPr>
        <w:spacing w:line="360" w:lineRule="auto"/>
        <w:rPr>
          <w:rFonts w:ascii="宋体" w:hAnsi="宋体" w:cs="宋体"/>
          <w:color w:val="auto"/>
          <w:szCs w:val="21"/>
          <w:highlight w:val="none"/>
        </w:rPr>
      </w:pPr>
    </w:p>
    <w:p w14:paraId="7690E0C8">
      <w:pPr>
        <w:spacing w:line="360" w:lineRule="auto"/>
        <w:rPr>
          <w:rFonts w:ascii="宋体" w:hAnsi="宋体" w:cs="宋体"/>
          <w:color w:val="auto"/>
          <w:szCs w:val="21"/>
          <w:highlight w:val="none"/>
        </w:rPr>
      </w:pPr>
    </w:p>
    <w:p w14:paraId="60275765">
      <w:pPr>
        <w:spacing w:line="360" w:lineRule="auto"/>
        <w:rPr>
          <w:rFonts w:ascii="宋体" w:hAnsi="宋体" w:cs="宋体"/>
          <w:color w:val="auto"/>
          <w:szCs w:val="21"/>
          <w:highlight w:val="none"/>
        </w:rPr>
      </w:pPr>
    </w:p>
    <w:p w14:paraId="17E83FBE">
      <w:pPr>
        <w:spacing w:line="360" w:lineRule="auto"/>
        <w:rPr>
          <w:rFonts w:ascii="宋体" w:hAnsi="宋体" w:cs="宋体"/>
          <w:color w:val="auto"/>
          <w:szCs w:val="21"/>
          <w:highlight w:val="none"/>
        </w:rPr>
      </w:pPr>
    </w:p>
    <w:p w14:paraId="4929CAD6">
      <w:pPr>
        <w:spacing w:line="360" w:lineRule="auto"/>
        <w:rPr>
          <w:rFonts w:ascii="宋体" w:hAnsi="宋体" w:cs="宋体"/>
          <w:color w:val="auto"/>
          <w:szCs w:val="21"/>
          <w:highlight w:val="none"/>
        </w:rPr>
      </w:pPr>
    </w:p>
    <w:p w14:paraId="318D4A53">
      <w:pPr>
        <w:spacing w:line="360" w:lineRule="auto"/>
        <w:rPr>
          <w:rFonts w:ascii="宋体" w:hAnsi="宋体" w:cs="宋体"/>
          <w:color w:val="auto"/>
          <w:szCs w:val="21"/>
          <w:highlight w:val="none"/>
        </w:rPr>
      </w:pPr>
    </w:p>
    <w:p w14:paraId="39C5016C">
      <w:pPr>
        <w:spacing w:line="360" w:lineRule="auto"/>
        <w:jc w:val="left"/>
        <w:rPr>
          <w:rFonts w:ascii="宋体" w:hAnsi="宋体" w:cs="宋体"/>
          <w:color w:val="auto"/>
          <w:szCs w:val="21"/>
          <w:highlight w:val="none"/>
        </w:rPr>
      </w:pPr>
    </w:p>
    <w:p w14:paraId="376A3BE1">
      <w:pPr>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3.供应商直接控股、管理关系信息表</w:t>
      </w:r>
    </w:p>
    <w:p w14:paraId="7151FD79">
      <w:pPr>
        <w:snapToGrid w:val="0"/>
        <w:spacing w:line="360" w:lineRule="auto"/>
        <w:jc w:val="center"/>
        <w:rPr>
          <w:rFonts w:ascii="宋体" w:hAnsi="宋体" w:cs="宋体"/>
          <w:b/>
          <w:color w:val="auto"/>
          <w:sz w:val="32"/>
          <w:szCs w:val="32"/>
          <w:highlight w:val="none"/>
        </w:rPr>
      </w:pPr>
    </w:p>
    <w:p w14:paraId="7FF045C5">
      <w:pPr>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供应商直接控股股东信息表</w:t>
      </w:r>
    </w:p>
    <w:p w14:paraId="7DD8A731">
      <w:pPr>
        <w:snapToGrid w:val="0"/>
        <w:spacing w:line="360" w:lineRule="auto"/>
        <w:jc w:val="center"/>
        <w:rPr>
          <w:rFonts w:ascii="宋体" w:hAnsi="宋体" w:cs="宋体"/>
          <w:b/>
          <w:color w:val="auto"/>
          <w:sz w:val="32"/>
          <w:szCs w:val="32"/>
          <w:highlight w:val="none"/>
        </w:rPr>
      </w:pPr>
    </w:p>
    <w:tbl>
      <w:tblPr>
        <w:tblStyle w:val="26"/>
        <w:tblW w:w="9318" w:type="dxa"/>
        <w:jc w:val="center"/>
        <w:shd w:val="clear" w:color="auto" w:fill="FBFBFB"/>
        <w:tblLayout w:type="fixed"/>
        <w:tblCellMar>
          <w:top w:w="0" w:type="dxa"/>
          <w:left w:w="0" w:type="dxa"/>
          <w:bottom w:w="0" w:type="dxa"/>
          <w:right w:w="0" w:type="dxa"/>
        </w:tblCellMar>
      </w:tblPr>
      <w:tblGrid>
        <w:gridCol w:w="880"/>
        <w:gridCol w:w="2655"/>
        <w:gridCol w:w="1455"/>
        <w:gridCol w:w="3503"/>
        <w:gridCol w:w="825"/>
      </w:tblGrid>
      <w:tr w14:paraId="57D51DEF">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CD464E0">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7F0366">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120458A">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出资比例</w:t>
            </w:r>
          </w:p>
        </w:tc>
        <w:tc>
          <w:tcPr>
            <w:tcW w:w="3503"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E374A4D">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身份证号码或者统一社会信用代码</w:t>
            </w:r>
          </w:p>
        </w:tc>
        <w:tc>
          <w:tcPr>
            <w:tcW w:w="82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35209E0">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备注</w:t>
            </w:r>
          </w:p>
        </w:tc>
      </w:tr>
      <w:tr w14:paraId="130CE81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3AD753">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08C032">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372A3C">
            <w:pPr>
              <w:widowControl/>
              <w:spacing w:line="360" w:lineRule="auto"/>
              <w:jc w:val="center"/>
              <w:rPr>
                <w:rFonts w:ascii="宋体" w:hAnsi="宋体" w:cs="宋体"/>
                <w:color w:val="auto"/>
                <w:kern w:val="0"/>
                <w:sz w:val="28"/>
                <w:szCs w:val="28"/>
                <w:highlight w:val="none"/>
              </w:rPr>
            </w:pPr>
          </w:p>
        </w:tc>
        <w:tc>
          <w:tcPr>
            <w:tcW w:w="350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D774EA">
            <w:pPr>
              <w:widowControl/>
              <w:spacing w:line="360" w:lineRule="auto"/>
              <w:jc w:val="center"/>
              <w:rPr>
                <w:rFonts w:ascii="宋体" w:hAnsi="宋体" w:cs="宋体"/>
                <w:color w:val="auto"/>
                <w:kern w:val="0"/>
                <w:sz w:val="28"/>
                <w:szCs w:val="28"/>
                <w:highlight w:val="none"/>
              </w:rPr>
            </w:pPr>
          </w:p>
        </w:tc>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5E69AD">
            <w:pPr>
              <w:widowControl/>
              <w:spacing w:line="360" w:lineRule="auto"/>
              <w:jc w:val="center"/>
              <w:rPr>
                <w:rFonts w:ascii="宋体" w:hAnsi="宋体" w:cs="宋体"/>
                <w:color w:val="auto"/>
                <w:kern w:val="0"/>
                <w:sz w:val="28"/>
                <w:szCs w:val="28"/>
                <w:highlight w:val="none"/>
              </w:rPr>
            </w:pPr>
          </w:p>
        </w:tc>
      </w:tr>
      <w:tr w14:paraId="285E23F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CC58B5">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CDF7BE">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F9B200">
            <w:pPr>
              <w:widowControl/>
              <w:spacing w:line="360" w:lineRule="auto"/>
              <w:jc w:val="center"/>
              <w:rPr>
                <w:rFonts w:ascii="宋体" w:hAnsi="宋体" w:cs="宋体"/>
                <w:color w:val="auto"/>
                <w:kern w:val="0"/>
                <w:sz w:val="28"/>
                <w:szCs w:val="28"/>
                <w:highlight w:val="none"/>
              </w:rPr>
            </w:pPr>
          </w:p>
        </w:tc>
        <w:tc>
          <w:tcPr>
            <w:tcW w:w="350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155AD9">
            <w:pPr>
              <w:widowControl/>
              <w:spacing w:line="360" w:lineRule="auto"/>
              <w:jc w:val="center"/>
              <w:rPr>
                <w:rFonts w:ascii="宋体" w:hAnsi="宋体" w:cs="宋体"/>
                <w:color w:val="auto"/>
                <w:kern w:val="0"/>
                <w:sz w:val="28"/>
                <w:szCs w:val="28"/>
                <w:highlight w:val="none"/>
              </w:rPr>
            </w:pPr>
          </w:p>
        </w:tc>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720996">
            <w:pPr>
              <w:widowControl/>
              <w:spacing w:line="360" w:lineRule="auto"/>
              <w:jc w:val="center"/>
              <w:rPr>
                <w:rFonts w:ascii="宋体" w:hAnsi="宋体" w:cs="宋体"/>
                <w:color w:val="auto"/>
                <w:kern w:val="0"/>
                <w:sz w:val="28"/>
                <w:szCs w:val="28"/>
                <w:highlight w:val="none"/>
              </w:rPr>
            </w:pPr>
          </w:p>
        </w:tc>
      </w:tr>
      <w:tr w14:paraId="5CCAF05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BD19A1A">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E3F0D9">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46BEC6">
            <w:pPr>
              <w:widowControl/>
              <w:spacing w:line="360" w:lineRule="auto"/>
              <w:jc w:val="center"/>
              <w:rPr>
                <w:rFonts w:ascii="宋体" w:hAnsi="宋体" w:cs="宋体"/>
                <w:color w:val="auto"/>
                <w:kern w:val="0"/>
                <w:sz w:val="28"/>
                <w:szCs w:val="28"/>
                <w:highlight w:val="none"/>
              </w:rPr>
            </w:pPr>
          </w:p>
        </w:tc>
        <w:tc>
          <w:tcPr>
            <w:tcW w:w="350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C0B3E3">
            <w:pPr>
              <w:widowControl/>
              <w:spacing w:line="360" w:lineRule="auto"/>
              <w:jc w:val="center"/>
              <w:rPr>
                <w:rFonts w:ascii="宋体" w:hAnsi="宋体" w:cs="宋体"/>
                <w:color w:val="auto"/>
                <w:kern w:val="0"/>
                <w:sz w:val="28"/>
                <w:szCs w:val="28"/>
                <w:highlight w:val="none"/>
              </w:rPr>
            </w:pPr>
          </w:p>
        </w:tc>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267186">
            <w:pPr>
              <w:widowControl/>
              <w:spacing w:line="360" w:lineRule="auto"/>
              <w:jc w:val="center"/>
              <w:rPr>
                <w:rFonts w:ascii="宋体" w:hAnsi="宋体" w:cs="宋体"/>
                <w:color w:val="auto"/>
                <w:kern w:val="0"/>
                <w:sz w:val="28"/>
                <w:szCs w:val="28"/>
                <w:highlight w:val="none"/>
              </w:rPr>
            </w:pPr>
          </w:p>
        </w:tc>
      </w:tr>
      <w:tr w14:paraId="542CDD08">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F821B3">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5F42BA">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A4D1FF">
            <w:pPr>
              <w:widowControl/>
              <w:spacing w:line="360" w:lineRule="auto"/>
              <w:jc w:val="center"/>
              <w:rPr>
                <w:rFonts w:ascii="宋体" w:hAnsi="宋体" w:cs="宋体"/>
                <w:color w:val="auto"/>
                <w:kern w:val="0"/>
                <w:sz w:val="28"/>
                <w:szCs w:val="28"/>
                <w:highlight w:val="none"/>
              </w:rPr>
            </w:pPr>
          </w:p>
        </w:tc>
        <w:tc>
          <w:tcPr>
            <w:tcW w:w="350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783EB0">
            <w:pPr>
              <w:widowControl/>
              <w:spacing w:line="360" w:lineRule="auto"/>
              <w:jc w:val="center"/>
              <w:rPr>
                <w:rFonts w:ascii="宋体" w:hAnsi="宋体" w:cs="宋体"/>
                <w:color w:val="auto"/>
                <w:kern w:val="0"/>
                <w:sz w:val="28"/>
                <w:szCs w:val="28"/>
                <w:highlight w:val="none"/>
              </w:rPr>
            </w:pPr>
          </w:p>
        </w:tc>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4D5735">
            <w:pPr>
              <w:widowControl/>
              <w:spacing w:line="360" w:lineRule="auto"/>
              <w:jc w:val="center"/>
              <w:rPr>
                <w:rFonts w:ascii="宋体" w:hAnsi="宋体" w:cs="宋体"/>
                <w:color w:val="auto"/>
                <w:kern w:val="0"/>
                <w:sz w:val="28"/>
                <w:szCs w:val="28"/>
                <w:highlight w:val="none"/>
              </w:rPr>
            </w:pPr>
          </w:p>
        </w:tc>
      </w:tr>
    </w:tbl>
    <w:p w14:paraId="65D0F8DD">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100FD083">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5757BE0">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2.本表所指的控股关系仅限于直接控股关系，不包括间接的控股关系。公司实际控制人与公司之间的关系不属于本表所指的直接控股关系。</w:t>
      </w:r>
    </w:p>
    <w:p w14:paraId="273CCFF4">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3.供应商不存在直接控股股东的，则填“无”。</w:t>
      </w:r>
    </w:p>
    <w:p w14:paraId="71ED0726">
      <w:pPr>
        <w:spacing w:line="360" w:lineRule="auto"/>
        <w:ind w:firstLine="420" w:firstLineChars="200"/>
        <w:contextualSpacing/>
        <w:jc w:val="left"/>
        <w:rPr>
          <w:rFonts w:ascii="宋体" w:hAnsi="宋体" w:cs="宋体"/>
          <w:color w:val="auto"/>
          <w:szCs w:val="21"/>
          <w:highlight w:val="none"/>
        </w:rPr>
      </w:pPr>
    </w:p>
    <w:p w14:paraId="73DC44D8">
      <w:pPr>
        <w:spacing w:line="360" w:lineRule="auto"/>
        <w:ind w:firstLine="560" w:firstLineChars="200"/>
        <w:contextualSpacing/>
        <w:jc w:val="left"/>
        <w:rPr>
          <w:rFonts w:ascii="宋体" w:hAnsi="宋体" w:cs="宋体"/>
          <w:color w:val="auto"/>
          <w:sz w:val="28"/>
          <w:szCs w:val="28"/>
          <w:highlight w:val="none"/>
        </w:rPr>
      </w:pPr>
    </w:p>
    <w:p w14:paraId="0737B17D">
      <w:pPr>
        <w:spacing w:line="360" w:lineRule="auto"/>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法定代表人或者委托代理人签字：</w:t>
      </w:r>
      <w:r>
        <w:rPr>
          <w:rFonts w:hint="eastAsia" w:ascii="宋体" w:hAnsi="宋体" w:cs="宋体"/>
          <w:color w:val="auto"/>
          <w:sz w:val="24"/>
          <w:highlight w:val="none"/>
          <w:u w:val="single"/>
        </w:rPr>
        <w:t xml:space="preserve">                    </w:t>
      </w:r>
    </w:p>
    <w:p w14:paraId="495C59DA">
      <w:pPr>
        <w:spacing w:line="360" w:lineRule="auto"/>
        <w:ind w:firstLine="3120" w:firstLineChars="1300"/>
        <w:contextualSpacing/>
        <w:rPr>
          <w:rFonts w:ascii="宋体" w:hAnsi="宋体" w:cs="宋体"/>
          <w:color w:val="auto"/>
          <w:sz w:val="24"/>
          <w:highlight w:val="none"/>
          <w:u w:val="single"/>
        </w:rPr>
      </w:pPr>
      <w:r>
        <w:rPr>
          <w:rFonts w:hint="eastAsia" w:ascii="宋体" w:hAnsi="宋体" w:cs="宋体"/>
          <w:color w:val="auto"/>
          <w:sz w:val="24"/>
          <w:highlight w:val="none"/>
        </w:rPr>
        <w:t xml:space="preserve">供应商（公章 ）： </w:t>
      </w:r>
      <w:r>
        <w:rPr>
          <w:rFonts w:hint="eastAsia" w:ascii="宋体" w:hAnsi="宋体" w:cs="宋体"/>
          <w:color w:val="auto"/>
          <w:sz w:val="24"/>
          <w:highlight w:val="none"/>
          <w:u w:val="single"/>
        </w:rPr>
        <w:t xml:space="preserve">                              </w:t>
      </w:r>
    </w:p>
    <w:p w14:paraId="034B6159">
      <w:pPr>
        <w:spacing w:line="360" w:lineRule="auto"/>
        <w:ind w:firstLine="3120" w:firstLineChars="1300"/>
        <w:contextualSpacing/>
        <w:rPr>
          <w:rFonts w:ascii="宋体" w:hAnsi="宋体" w:cs="宋体"/>
          <w:b/>
          <w:color w:val="auto"/>
          <w:sz w:val="28"/>
          <w:szCs w:val="28"/>
          <w:highlight w:val="non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r>
        <w:rPr>
          <w:rFonts w:hint="eastAsia" w:ascii="宋体" w:hAnsi="宋体" w:cs="宋体"/>
          <w:b/>
          <w:color w:val="auto"/>
          <w:sz w:val="28"/>
          <w:szCs w:val="28"/>
          <w:highlight w:val="none"/>
        </w:rPr>
        <w:br w:type="page"/>
      </w:r>
    </w:p>
    <w:p w14:paraId="659F03BC">
      <w:pPr>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供应商直接管理关系信息表</w:t>
      </w:r>
    </w:p>
    <w:p w14:paraId="22D00F42">
      <w:pPr>
        <w:snapToGrid w:val="0"/>
        <w:spacing w:line="360" w:lineRule="auto"/>
        <w:jc w:val="center"/>
        <w:rPr>
          <w:rFonts w:ascii="宋体" w:hAnsi="宋体" w:cs="宋体"/>
          <w:b/>
          <w:color w:val="auto"/>
          <w:sz w:val="32"/>
          <w:szCs w:val="32"/>
          <w:highlight w:val="none"/>
        </w:rPr>
      </w:pPr>
    </w:p>
    <w:tbl>
      <w:tblPr>
        <w:tblStyle w:val="26"/>
        <w:tblW w:w="8942" w:type="dxa"/>
        <w:jc w:val="center"/>
        <w:shd w:val="clear" w:color="auto" w:fill="FBFBFB"/>
        <w:tblLayout w:type="fixed"/>
        <w:tblCellMar>
          <w:top w:w="0" w:type="dxa"/>
          <w:left w:w="0" w:type="dxa"/>
          <w:bottom w:w="0" w:type="dxa"/>
          <w:right w:w="0" w:type="dxa"/>
        </w:tblCellMar>
      </w:tblPr>
      <w:tblGrid>
        <w:gridCol w:w="808"/>
        <w:gridCol w:w="3600"/>
        <w:gridCol w:w="3555"/>
        <w:gridCol w:w="979"/>
      </w:tblGrid>
      <w:tr w14:paraId="5E469897">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FB56CFE">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892FE1E">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618D2B0">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统一社会信用代码</w:t>
            </w:r>
          </w:p>
        </w:tc>
        <w:tc>
          <w:tcPr>
            <w:tcW w:w="9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80E0369">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备注</w:t>
            </w:r>
          </w:p>
        </w:tc>
      </w:tr>
      <w:tr w14:paraId="615820E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E87891">
            <w:pPr>
              <w:widowControl/>
              <w:wordWrap w:val="0"/>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AD9C0E0">
            <w:pPr>
              <w:widowControl/>
              <w:wordWrap w:val="0"/>
              <w:spacing w:line="360" w:lineRule="auto"/>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363C91">
            <w:pPr>
              <w:widowControl/>
              <w:wordWrap w:val="0"/>
              <w:spacing w:line="360" w:lineRule="auto"/>
              <w:jc w:val="center"/>
              <w:rPr>
                <w:rFonts w:ascii="宋体" w:hAnsi="宋体" w:cs="宋体"/>
                <w:color w:val="auto"/>
                <w:kern w:val="0"/>
                <w:sz w:val="28"/>
                <w:szCs w:val="28"/>
                <w:highlight w:val="none"/>
              </w:rPr>
            </w:pPr>
          </w:p>
        </w:tc>
        <w:tc>
          <w:tcPr>
            <w:tcW w:w="9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D36A07">
            <w:pPr>
              <w:widowControl/>
              <w:wordWrap w:val="0"/>
              <w:spacing w:line="360" w:lineRule="auto"/>
              <w:jc w:val="center"/>
              <w:rPr>
                <w:rFonts w:ascii="宋体" w:hAnsi="宋体" w:cs="宋体"/>
                <w:color w:val="auto"/>
                <w:kern w:val="0"/>
                <w:sz w:val="28"/>
                <w:szCs w:val="28"/>
                <w:highlight w:val="none"/>
              </w:rPr>
            </w:pPr>
          </w:p>
        </w:tc>
      </w:tr>
      <w:tr w14:paraId="75A2AE7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C3272E">
            <w:pPr>
              <w:widowControl/>
              <w:wordWrap w:val="0"/>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A80187">
            <w:pPr>
              <w:widowControl/>
              <w:wordWrap w:val="0"/>
              <w:spacing w:line="360" w:lineRule="auto"/>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7F42D8">
            <w:pPr>
              <w:widowControl/>
              <w:wordWrap w:val="0"/>
              <w:spacing w:line="360" w:lineRule="auto"/>
              <w:jc w:val="center"/>
              <w:rPr>
                <w:rFonts w:ascii="宋体" w:hAnsi="宋体" w:cs="宋体"/>
                <w:color w:val="auto"/>
                <w:kern w:val="0"/>
                <w:sz w:val="28"/>
                <w:szCs w:val="28"/>
                <w:highlight w:val="none"/>
              </w:rPr>
            </w:pPr>
          </w:p>
        </w:tc>
        <w:tc>
          <w:tcPr>
            <w:tcW w:w="9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BAD013">
            <w:pPr>
              <w:widowControl/>
              <w:wordWrap w:val="0"/>
              <w:spacing w:line="360" w:lineRule="auto"/>
              <w:jc w:val="center"/>
              <w:rPr>
                <w:rFonts w:ascii="宋体" w:hAnsi="宋体" w:cs="宋体"/>
                <w:color w:val="auto"/>
                <w:kern w:val="0"/>
                <w:sz w:val="28"/>
                <w:szCs w:val="28"/>
                <w:highlight w:val="none"/>
              </w:rPr>
            </w:pPr>
          </w:p>
        </w:tc>
      </w:tr>
      <w:tr w14:paraId="4B45080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D28270">
            <w:pPr>
              <w:widowControl/>
              <w:wordWrap w:val="0"/>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DAAFD9">
            <w:pPr>
              <w:widowControl/>
              <w:wordWrap w:val="0"/>
              <w:spacing w:line="360" w:lineRule="auto"/>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7C7C7A">
            <w:pPr>
              <w:widowControl/>
              <w:wordWrap w:val="0"/>
              <w:spacing w:line="360" w:lineRule="auto"/>
              <w:jc w:val="center"/>
              <w:rPr>
                <w:rFonts w:ascii="宋体" w:hAnsi="宋体" w:cs="宋体"/>
                <w:color w:val="auto"/>
                <w:kern w:val="0"/>
                <w:sz w:val="28"/>
                <w:szCs w:val="28"/>
                <w:highlight w:val="none"/>
              </w:rPr>
            </w:pPr>
          </w:p>
        </w:tc>
        <w:tc>
          <w:tcPr>
            <w:tcW w:w="9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188ED8">
            <w:pPr>
              <w:widowControl/>
              <w:wordWrap w:val="0"/>
              <w:spacing w:line="360" w:lineRule="auto"/>
              <w:jc w:val="center"/>
              <w:rPr>
                <w:rFonts w:ascii="宋体" w:hAnsi="宋体" w:cs="宋体"/>
                <w:color w:val="auto"/>
                <w:kern w:val="0"/>
                <w:sz w:val="28"/>
                <w:szCs w:val="28"/>
                <w:highlight w:val="none"/>
              </w:rPr>
            </w:pPr>
          </w:p>
        </w:tc>
      </w:tr>
      <w:tr w14:paraId="5C8271F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F9047F">
            <w:pPr>
              <w:widowControl/>
              <w:wordWrap w:val="0"/>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5DEC3A">
            <w:pPr>
              <w:widowControl/>
              <w:wordWrap w:val="0"/>
              <w:spacing w:line="360" w:lineRule="auto"/>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073414">
            <w:pPr>
              <w:widowControl/>
              <w:wordWrap w:val="0"/>
              <w:spacing w:line="360" w:lineRule="auto"/>
              <w:jc w:val="center"/>
              <w:rPr>
                <w:rFonts w:ascii="宋体" w:hAnsi="宋体" w:cs="宋体"/>
                <w:color w:val="auto"/>
                <w:kern w:val="0"/>
                <w:sz w:val="28"/>
                <w:szCs w:val="28"/>
                <w:highlight w:val="none"/>
              </w:rPr>
            </w:pPr>
          </w:p>
        </w:tc>
        <w:tc>
          <w:tcPr>
            <w:tcW w:w="9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77E268">
            <w:pPr>
              <w:widowControl/>
              <w:wordWrap w:val="0"/>
              <w:spacing w:line="360" w:lineRule="auto"/>
              <w:jc w:val="center"/>
              <w:rPr>
                <w:rFonts w:ascii="宋体" w:hAnsi="宋体" w:cs="宋体"/>
                <w:color w:val="auto"/>
                <w:kern w:val="0"/>
                <w:sz w:val="28"/>
                <w:szCs w:val="28"/>
                <w:highlight w:val="none"/>
              </w:rPr>
            </w:pPr>
          </w:p>
        </w:tc>
      </w:tr>
    </w:tbl>
    <w:p w14:paraId="79E91898">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2B455EEF">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1.管理关系：是指不具有出资持股关系的其他单位之间存在的管理与被管理关系，如一些上下级关系的事业单位和团体组织。</w:t>
      </w:r>
    </w:p>
    <w:p w14:paraId="54DECDD5">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2.</w:t>
      </w:r>
      <w:r>
        <w:rPr>
          <w:rFonts w:hint="eastAsia" w:ascii="楷体" w:hAnsi="楷体" w:eastAsia="楷体" w:cs="宋体"/>
          <w:color w:val="auto"/>
          <w:spacing w:val="-6"/>
          <w:sz w:val="24"/>
          <w:highlight w:val="none"/>
        </w:rPr>
        <w:t>本表所指的管理关系仅限于直接管理关系，不包括间接的管理关系。</w:t>
      </w:r>
    </w:p>
    <w:p w14:paraId="0A40BA25">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3.供应商不存在直接管理关系的，则填“无”。</w:t>
      </w:r>
    </w:p>
    <w:p w14:paraId="06FB205A">
      <w:pPr>
        <w:spacing w:line="360" w:lineRule="auto"/>
        <w:contextualSpacing/>
        <w:jc w:val="left"/>
        <w:rPr>
          <w:rFonts w:ascii="宋体" w:hAnsi="宋体" w:cs="宋体"/>
          <w:color w:val="auto"/>
          <w:sz w:val="28"/>
          <w:szCs w:val="28"/>
          <w:highlight w:val="none"/>
        </w:rPr>
      </w:pPr>
    </w:p>
    <w:p w14:paraId="531E87BA">
      <w:pPr>
        <w:spacing w:line="360" w:lineRule="auto"/>
        <w:contextualSpacing/>
        <w:jc w:val="left"/>
        <w:rPr>
          <w:rFonts w:ascii="宋体" w:hAnsi="宋体" w:cs="宋体"/>
          <w:color w:val="auto"/>
          <w:sz w:val="28"/>
          <w:szCs w:val="28"/>
          <w:highlight w:val="none"/>
        </w:rPr>
      </w:pPr>
    </w:p>
    <w:p w14:paraId="0F22A66B">
      <w:pPr>
        <w:spacing w:line="360" w:lineRule="auto"/>
        <w:contextualSpacing/>
        <w:jc w:val="left"/>
        <w:rPr>
          <w:rFonts w:ascii="宋体" w:hAnsi="宋体" w:cs="宋体"/>
          <w:color w:val="auto"/>
          <w:sz w:val="28"/>
          <w:szCs w:val="28"/>
          <w:highlight w:val="none"/>
        </w:rPr>
      </w:pPr>
    </w:p>
    <w:p w14:paraId="269266DF">
      <w:pPr>
        <w:spacing w:line="360" w:lineRule="auto"/>
        <w:contextualSpacing/>
        <w:jc w:val="left"/>
        <w:rPr>
          <w:rFonts w:ascii="宋体" w:hAnsi="宋体" w:cs="宋体"/>
          <w:color w:val="auto"/>
          <w:sz w:val="28"/>
          <w:szCs w:val="28"/>
          <w:highlight w:val="none"/>
        </w:rPr>
      </w:pPr>
    </w:p>
    <w:p w14:paraId="4BD8EC45">
      <w:pPr>
        <w:spacing w:line="360" w:lineRule="auto"/>
        <w:contextualSpacing/>
        <w:jc w:val="left"/>
        <w:rPr>
          <w:rFonts w:ascii="宋体" w:hAnsi="宋体" w:cs="宋体"/>
          <w:color w:val="auto"/>
          <w:sz w:val="28"/>
          <w:szCs w:val="28"/>
          <w:highlight w:val="none"/>
        </w:rPr>
      </w:pPr>
    </w:p>
    <w:p w14:paraId="34A5049A">
      <w:pPr>
        <w:spacing w:line="360" w:lineRule="auto"/>
        <w:contextualSpacing/>
        <w:jc w:val="left"/>
        <w:rPr>
          <w:rFonts w:ascii="宋体" w:hAnsi="宋体" w:cs="宋体"/>
          <w:color w:val="auto"/>
          <w:sz w:val="28"/>
          <w:szCs w:val="28"/>
          <w:highlight w:val="none"/>
        </w:rPr>
      </w:pPr>
    </w:p>
    <w:p w14:paraId="3A85AD04">
      <w:pPr>
        <w:spacing w:line="360" w:lineRule="auto"/>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法定代表人或者委托代理人签字：</w:t>
      </w:r>
      <w:r>
        <w:rPr>
          <w:rFonts w:hint="eastAsia" w:ascii="宋体" w:hAnsi="宋体" w:cs="宋体"/>
          <w:color w:val="auto"/>
          <w:sz w:val="24"/>
          <w:highlight w:val="none"/>
          <w:u w:val="single"/>
        </w:rPr>
        <w:t xml:space="preserve">                   </w:t>
      </w:r>
    </w:p>
    <w:p w14:paraId="29E11F5E">
      <w:pPr>
        <w:spacing w:line="360" w:lineRule="auto"/>
        <w:ind w:firstLine="3600" w:firstLineChars="150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p>
    <w:p w14:paraId="10D52070">
      <w:pPr>
        <w:spacing w:line="360" w:lineRule="auto"/>
        <w:ind w:firstLine="240" w:firstLineChars="100"/>
        <w:contextualSpacing/>
        <w:jc w:val="center"/>
        <w:rPr>
          <w:rFonts w:ascii="宋体" w:hAnsi="宋体" w:cs="宋体"/>
          <w:color w:val="auto"/>
          <w:sz w:val="28"/>
          <w:szCs w:val="28"/>
          <w:highlight w:val="none"/>
        </w:rPr>
      </w:pPr>
      <w:r>
        <w:rPr>
          <w:rFonts w:hint="eastAsia" w:ascii="宋体" w:hAnsi="宋体" w:cs="宋体"/>
          <w:color w:val="auto"/>
          <w:sz w:val="24"/>
          <w:highlight w:val="none"/>
        </w:rPr>
        <w:t xml:space="preserve">        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2190B196">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参与竞争性谈判声明</w:t>
      </w:r>
    </w:p>
    <w:p w14:paraId="56975EF8">
      <w:pPr>
        <w:spacing w:line="360" w:lineRule="auto"/>
        <w:jc w:val="center"/>
        <w:rPr>
          <w:rFonts w:ascii="宋体" w:hAnsi="宋体" w:cs="宋体"/>
          <w:color w:val="auto"/>
          <w:sz w:val="24"/>
          <w:szCs w:val="20"/>
          <w:highlight w:val="none"/>
        </w:rPr>
      </w:pPr>
    </w:p>
    <w:p w14:paraId="4FB364AB">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D3C76A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4AB580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，为便于贵方公正、择优地确定成交供应商及其参与</w:t>
      </w:r>
      <w:r>
        <w:rPr>
          <w:rFonts w:hint="eastAsia" w:ascii="宋体" w:hAnsi="宋体" w:cs="宋体"/>
          <w:color w:val="auto"/>
          <w:sz w:val="24"/>
          <w:highlight w:val="none"/>
          <w:lang w:bidi="ar"/>
        </w:rPr>
        <w:t>竞争性谈判的</w:t>
      </w:r>
      <w:r>
        <w:rPr>
          <w:rFonts w:hint="eastAsia" w:ascii="宋体" w:hAnsi="宋体" w:cs="宋体"/>
          <w:color w:val="auto"/>
          <w:sz w:val="24"/>
          <w:highlight w:val="none"/>
        </w:rPr>
        <w:t>产品和服务，我方就本次参与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有关事项郑重声明如下：</w:t>
      </w:r>
    </w:p>
    <w:p w14:paraId="13658F2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6B00B9C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14:paraId="722C702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14:paraId="618B5FE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（1）将按谈判文件的约定履行合同责任和义务；</w:t>
      </w:r>
    </w:p>
    <w:p w14:paraId="010E32E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（2）已详细审查全部谈判文件，包括补遗文件（如有）；</w:t>
      </w:r>
    </w:p>
    <w:p w14:paraId="3A0828A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（3）同意提供按照贵方可能要求的与谈判有关的一切数据或者资料；</w:t>
      </w:r>
    </w:p>
    <w:p w14:paraId="1FC1B80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（4）响应谈判文件规定的</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有效期。</w:t>
      </w:r>
    </w:p>
    <w:p w14:paraId="5D57269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7DF0B1A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655EBA3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1D33DFF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387B40C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2688AC2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0A85628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0059C4E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7475F5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D55E5A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77EAD67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789A1EBF">
      <w:pPr>
        <w:pStyle w:val="14"/>
        <w:spacing w:line="360" w:lineRule="auto"/>
        <w:ind w:firstLine="480" w:firstLineChars="200"/>
        <w:contextualSpacing/>
        <w:rPr>
          <w:rFonts w:hAnsi="宋体" w:cs="宋体"/>
          <w:color w:val="auto"/>
          <w:sz w:val="24"/>
          <w:szCs w:val="24"/>
          <w:highlight w:val="none"/>
          <w:u w:val="single"/>
        </w:rPr>
      </w:pPr>
      <w:r>
        <w:rPr>
          <w:rFonts w:hint="eastAsia" w:hAnsi="宋体" w:cs="宋体"/>
          <w:color w:val="auto"/>
          <w:sz w:val="24"/>
          <w:szCs w:val="24"/>
          <w:highlight w:val="none"/>
        </w:rPr>
        <w:t>7.与本谈判有关的一切正式往来信函请寄：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邮政编码：</w:t>
      </w:r>
      <w:r>
        <w:rPr>
          <w:rFonts w:hint="eastAsia" w:hAnsi="宋体" w:cs="宋体"/>
          <w:color w:val="auto"/>
          <w:sz w:val="24"/>
          <w:szCs w:val="24"/>
          <w:highlight w:val="none"/>
          <w:u w:val="single"/>
        </w:rPr>
        <w:t xml:space="preserve">    </w:t>
      </w:r>
    </w:p>
    <w:p w14:paraId="3B2F81F1">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电子函件：</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55868AF8">
      <w:pPr>
        <w:pStyle w:val="12"/>
        <w:tabs>
          <w:tab w:val="left" w:pos="939"/>
        </w:tabs>
        <w:spacing w:line="360" w:lineRule="auto"/>
        <w:ind w:left="0" w:leftChars="0" w:firstLine="360" w:firstLineChars="150"/>
        <w:rPr>
          <w:rFonts w:ascii="宋体" w:hAnsi="宋体" w:cs="宋体"/>
          <w:color w:val="auto"/>
          <w:sz w:val="24"/>
          <w:highlight w:val="none"/>
          <w:u w:val="singl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账号/行号：</w:t>
      </w:r>
      <w:r>
        <w:rPr>
          <w:rFonts w:hint="eastAsia" w:ascii="宋体" w:hAnsi="宋体" w:cs="宋体"/>
          <w:color w:val="auto"/>
          <w:sz w:val="24"/>
          <w:highlight w:val="none"/>
          <w:u w:val="single"/>
        </w:rPr>
        <w:t xml:space="preserve">           </w:t>
      </w:r>
    </w:p>
    <w:p w14:paraId="6F074313">
      <w:pPr>
        <w:pStyle w:val="12"/>
        <w:tabs>
          <w:tab w:val="left" w:pos="939"/>
        </w:tabs>
        <w:spacing w:line="360" w:lineRule="auto"/>
        <w:ind w:left="0" w:leftChars="0" w:firstLine="360" w:firstLineChars="150"/>
        <w:rPr>
          <w:rFonts w:ascii="宋体" w:hAnsi="宋体" w:cs="宋体"/>
          <w:color w:val="auto"/>
          <w:sz w:val="24"/>
          <w:highlight w:val="none"/>
        </w:rPr>
      </w:pPr>
      <w:r>
        <w:rPr>
          <w:rFonts w:ascii="宋体" w:hAnsi="宋体" w:cs="宋体"/>
          <w:color w:val="auto"/>
          <w:sz w:val="24"/>
          <w:highlight w:val="none"/>
        </w:rPr>
        <w:t>8</w:t>
      </w:r>
      <w:r>
        <w:rPr>
          <w:rFonts w:hint="eastAsia" w:ascii="宋体" w:hAnsi="宋体" w:cs="宋体"/>
          <w:color w:val="auto"/>
          <w:sz w:val="24"/>
          <w:highlight w:val="none"/>
        </w:rPr>
        <w:t>.</w:t>
      </w:r>
      <w:r>
        <w:rPr>
          <w:rFonts w:ascii="宋体" w:hAnsi="宋体" w:cs="宋体"/>
          <w:color w:val="auto"/>
          <w:sz w:val="24"/>
          <w:highlight w:val="none"/>
        </w:rPr>
        <w:t>我方若</w:t>
      </w:r>
      <w:r>
        <w:rPr>
          <w:rFonts w:hint="eastAsia" w:ascii="宋体" w:hAnsi="宋体" w:cs="宋体"/>
          <w:color w:val="auto"/>
          <w:sz w:val="24"/>
          <w:highlight w:val="none"/>
        </w:rPr>
        <w:t>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成功</w:t>
      </w:r>
      <w:r>
        <w:rPr>
          <w:rFonts w:ascii="宋体" w:hAnsi="宋体" w:cs="宋体"/>
          <w:color w:val="auto"/>
          <w:sz w:val="24"/>
          <w:highlight w:val="none"/>
        </w:rPr>
        <w:t>，将采取</w:t>
      </w:r>
      <w:r>
        <w:rPr>
          <w:rFonts w:ascii="宋体" w:hAnsi="宋体" w:cs="宋体"/>
          <w:color w:val="auto"/>
          <w:sz w:val="24"/>
          <w:highlight w:val="none"/>
          <w:u w:val="single"/>
        </w:rPr>
        <w:t>      </w:t>
      </w:r>
      <w:r>
        <w:rPr>
          <w:rFonts w:ascii="宋体" w:hAnsi="宋体" w:cs="宋体"/>
          <w:color w:val="auto"/>
          <w:sz w:val="24"/>
          <w:highlight w:val="none"/>
        </w:rPr>
        <w:t>（</w:t>
      </w:r>
      <w:r>
        <w:rPr>
          <w:rFonts w:hint="eastAsia" w:ascii="宋体" w:hAnsi="宋体" w:cs="宋体"/>
          <w:color w:val="auto"/>
          <w:sz w:val="24"/>
          <w:highlight w:val="none"/>
        </w:rPr>
        <w:t>汽车、火车、飞机等</w:t>
      </w:r>
      <w:r>
        <w:rPr>
          <w:rFonts w:ascii="宋体" w:hAnsi="宋体" w:cs="宋体"/>
          <w:color w:val="auto"/>
          <w:sz w:val="24"/>
          <w:highlight w:val="none"/>
        </w:rPr>
        <w:t>）方式运输货物。</w:t>
      </w:r>
    </w:p>
    <w:p w14:paraId="60B33A7C">
      <w:pPr>
        <w:pStyle w:val="12"/>
        <w:tabs>
          <w:tab w:val="left" w:pos="939"/>
        </w:tabs>
        <w:spacing w:line="360" w:lineRule="auto"/>
        <w:ind w:left="0" w:leftChars="0" w:firstLine="360" w:firstLineChars="150"/>
        <w:rPr>
          <w:rFonts w:ascii="宋体" w:hAnsi="宋体" w:cs="宋体"/>
          <w:color w:val="auto"/>
          <w:sz w:val="24"/>
          <w:highlight w:val="none"/>
        </w:rPr>
      </w:pPr>
      <w:r>
        <w:rPr>
          <w:rFonts w:hint="eastAsia" w:ascii="宋体" w:hAnsi="宋体" w:cs="宋体"/>
          <w:color w:val="auto"/>
          <w:sz w:val="24"/>
          <w:highlight w:val="none"/>
        </w:rPr>
        <w:t>9</w:t>
      </w:r>
      <w:r>
        <w:rPr>
          <w:rFonts w:ascii="宋体" w:hAnsi="宋体" w:cs="宋体"/>
          <w:color w:val="auto"/>
          <w:sz w:val="24"/>
          <w:highlight w:val="none"/>
        </w:rPr>
        <w:t>.</w:t>
      </w:r>
      <w:r>
        <w:rPr>
          <w:rFonts w:hint="eastAsia" w:ascii="宋体" w:hAnsi="宋体" w:cs="宋体"/>
          <w:color w:val="auto"/>
          <w:sz w:val="24"/>
          <w:highlight w:val="none"/>
        </w:rPr>
        <w:t>我方若参与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成功，除非发生不可抗力，承诺与采购人及时签订《合同书》。如果放弃，自愿按照本文件之《供应商须知正文》第2</w:t>
      </w:r>
      <w:r>
        <w:rPr>
          <w:rFonts w:ascii="宋体" w:hAnsi="宋体" w:cs="宋体"/>
          <w:color w:val="auto"/>
          <w:sz w:val="24"/>
          <w:highlight w:val="none"/>
        </w:rPr>
        <w:t>7.5</w:t>
      </w:r>
      <w:r>
        <w:rPr>
          <w:rFonts w:hint="eastAsia" w:ascii="宋体" w:hAnsi="宋体" w:cs="宋体"/>
          <w:color w:val="auto"/>
          <w:sz w:val="24"/>
          <w:highlight w:val="none"/>
        </w:rPr>
        <w:t>条的要求承担法律责任和失信惩戒。</w:t>
      </w:r>
    </w:p>
    <w:p w14:paraId="2DCCA48D">
      <w:pPr>
        <w:pStyle w:val="12"/>
        <w:tabs>
          <w:tab w:val="left" w:pos="939"/>
        </w:tabs>
        <w:spacing w:line="360" w:lineRule="auto"/>
        <w:ind w:left="0" w:leftChars="0" w:firstLine="360" w:firstLineChars="150"/>
        <w:rPr>
          <w:rFonts w:ascii="宋体" w:hAnsi="宋体" w:cs="宋体"/>
          <w:color w:val="auto"/>
          <w:sz w:val="24"/>
          <w:highlight w:val="none"/>
        </w:rPr>
      </w:pPr>
      <w:r>
        <w:rPr>
          <w:rFonts w:ascii="宋体" w:hAnsi="宋体" w:cs="宋体"/>
          <w:color w:val="auto"/>
          <w:sz w:val="24"/>
          <w:highlight w:val="none"/>
        </w:rPr>
        <w:t>10</w:t>
      </w:r>
      <w:r>
        <w:rPr>
          <w:rFonts w:hint="eastAsia" w:ascii="宋体" w:hAnsi="宋体" w:cs="宋体"/>
          <w:color w:val="auto"/>
          <w:sz w:val="24"/>
          <w:highlight w:val="none"/>
        </w:rPr>
        <w:t>.以上事项如有虚假或者隐瞒，我方愿意承担一切后果，并不再寻求任何旨在减轻或者免除法律责任的辩解。</w:t>
      </w:r>
    </w:p>
    <w:p w14:paraId="6F9C574D">
      <w:pPr>
        <w:pStyle w:val="12"/>
        <w:tabs>
          <w:tab w:val="left" w:pos="939"/>
        </w:tabs>
        <w:spacing w:line="360" w:lineRule="auto"/>
        <w:ind w:left="0" w:leftChars="0" w:firstLine="360" w:firstLineChars="150"/>
        <w:rPr>
          <w:rFonts w:ascii="宋体" w:hAnsi="宋体" w:cs="宋体"/>
          <w:color w:val="auto"/>
          <w:szCs w:val="21"/>
          <w:highlight w:val="none"/>
        </w:rPr>
      </w:pPr>
      <w:r>
        <w:rPr>
          <w:rFonts w:hint="eastAsia" w:ascii="宋体" w:hAnsi="宋体" w:cs="宋体"/>
          <w:color w:val="auto"/>
          <w:sz w:val="24"/>
          <w:highlight w:val="none"/>
        </w:rPr>
        <w:t>特此承诺。</w:t>
      </w:r>
    </w:p>
    <w:p w14:paraId="0FD194BC">
      <w:pPr>
        <w:spacing w:line="360" w:lineRule="auto"/>
        <w:contextualSpacing/>
        <w:jc w:val="left"/>
        <w:rPr>
          <w:rFonts w:ascii="楷体" w:hAnsi="楷体" w:eastAsia="楷体" w:cs="宋体"/>
          <w:b/>
          <w:color w:val="auto"/>
          <w:sz w:val="24"/>
          <w:highlight w:val="none"/>
        </w:rPr>
      </w:pPr>
      <w:r>
        <w:rPr>
          <w:rFonts w:hint="eastAsia" w:ascii="宋体" w:hAnsi="宋体" w:cs="宋体"/>
          <w:b/>
          <w:color w:val="auto"/>
          <w:sz w:val="24"/>
          <w:highlight w:val="none"/>
        </w:rPr>
        <w:t xml:space="preserve">   </w:t>
      </w:r>
      <w:r>
        <w:rPr>
          <w:rFonts w:hint="eastAsia" w:ascii="楷体" w:hAnsi="楷体" w:eastAsia="楷体" w:cs="宋体"/>
          <w:b/>
          <w:color w:val="auto"/>
          <w:sz w:val="24"/>
          <w:highlight w:val="none"/>
        </w:rPr>
        <w:t xml:space="preserve"> 注：如为联合体参与</w:t>
      </w:r>
      <w:r>
        <w:rPr>
          <w:rFonts w:hint="eastAsia" w:ascii="楷体" w:hAnsi="楷体" w:eastAsia="楷体" w:cs="宋体"/>
          <w:b/>
          <w:color w:val="auto"/>
          <w:sz w:val="24"/>
          <w:highlight w:val="none"/>
          <w:lang w:bidi="ar"/>
        </w:rPr>
        <w:t>竞争性谈判</w:t>
      </w:r>
      <w:r>
        <w:rPr>
          <w:rFonts w:hint="eastAsia" w:ascii="楷体" w:hAnsi="楷体" w:eastAsia="楷体" w:cs="宋体"/>
          <w:b/>
          <w:color w:val="auto"/>
          <w:sz w:val="24"/>
          <w:highlight w:val="none"/>
        </w:rPr>
        <w:t>，盖章处须加盖联合体各方公章并由联合体各方法定代表人分别签署，否则响应文件按无效响应处理。</w:t>
      </w:r>
    </w:p>
    <w:p w14:paraId="7E94B9C3">
      <w:pPr>
        <w:spacing w:line="360" w:lineRule="auto"/>
        <w:contextualSpacing/>
        <w:jc w:val="left"/>
        <w:rPr>
          <w:rFonts w:ascii="宋体" w:hAnsi="宋体" w:cs="宋体"/>
          <w:color w:val="auto"/>
          <w:szCs w:val="21"/>
          <w:highlight w:val="none"/>
        </w:rPr>
      </w:pPr>
    </w:p>
    <w:p w14:paraId="7F56C6E3">
      <w:pPr>
        <w:spacing w:line="360" w:lineRule="auto"/>
        <w:ind w:firstLine="4320" w:firstLineChars="1800"/>
        <w:contextualSpacing/>
        <w:rPr>
          <w:rFonts w:ascii="宋体" w:hAnsi="宋体" w:cs="宋体"/>
          <w:color w:val="auto"/>
          <w:sz w:val="24"/>
          <w:highlight w:val="none"/>
        </w:rPr>
      </w:pPr>
      <w:r>
        <w:rPr>
          <w:rFonts w:hint="eastAsia" w:ascii="宋体" w:hAnsi="宋体" w:cs="宋体"/>
          <w:color w:val="auto"/>
          <w:sz w:val="24"/>
          <w:highlight w:val="none"/>
        </w:rPr>
        <w:t>法定代表人（签字）：</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61213A9">
      <w:pPr>
        <w:spacing w:line="360" w:lineRule="auto"/>
        <w:ind w:firstLine="4320" w:firstLineChars="1800"/>
        <w:contextualSpacing/>
        <w:rPr>
          <w:rFonts w:ascii="宋体" w:hAnsi="宋体" w:cs="宋体"/>
          <w:color w:val="auto"/>
          <w:sz w:val="24"/>
          <w:highlight w:val="none"/>
          <w:u w:val="singl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35FD774C">
      <w:pPr>
        <w:spacing w:line="360" w:lineRule="auto"/>
        <w:ind w:firstLine="240" w:firstLineChars="100"/>
        <w:contextualSpacing/>
        <w:jc w:val="center"/>
        <w:rPr>
          <w:rFonts w:ascii="宋体" w:hAnsi="宋体" w:cs="宋体"/>
          <w:b/>
          <w:color w:val="auto"/>
          <w:sz w:val="32"/>
          <w:szCs w:val="32"/>
          <w:highlight w:val="none"/>
        </w:rPr>
      </w:pPr>
      <w:r>
        <w:rPr>
          <w:rFonts w:hint="eastAsia" w:ascii="宋体" w:hAnsi="宋体" w:cs="宋体"/>
          <w:color w:val="auto"/>
          <w:sz w:val="24"/>
          <w:highlight w:val="none"/>
        </w:rPr>
        <w:t xml:space="preserve">                      日期： </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r>
        <w:rPr>
          <w:rFonts w:hint="eastAsia" w:ascii="宋体" w:hAnsi="宋体" w:cs="宋体"/>
          <w:color w:val="auto"/>
          <w:sz w:val="32"/>
          <w:szCs w:val="32"/>
          <w:highlight w:val="none"/>
        </w:rPr>
        <w:br w:type="page"/>
      </w:r>
      <w:r>
        <w:rPr>
          <w:rFonts w:hint="eastAsia" w:ascii="宋体" w:hAnsi="宋体" w:cs="宋体"/>
          <w:b/>
          <w:color w:val="auto"/>
          <w:sz w:val="32"/>
          <w:szCs w:val="32"/>
          <w:highlight w:val="none"/>
        </w:rPr>
        <w:t>联合体参与竞争性谈判协议书</w:t>
      </w:r>
    </w:p>
    <w:p w14:paraId="4AA573AF">
      <w:pPr>
        <w:pStyle w:val="6"/>
        <w:overflowPunct w:val="0"/>
        <w:spacing w:line="360" w:lineRule="auto"/>
        <w:ind w:firstLine="0"/>
        <w:contextualSpacing/>
        <w:rPr>
          <w:rFonts w:ascii="宋体" w:hAnsi="宋体" w:cs="宋体"/>
          <w:color w:val="auto"/>
          <w:sz w:val="24"/>
          <w:szCs w:val="24"/>
          <w:highlight w:val="none"/>
        </w:rPr>
      </w:pPr>
    </w:p>
    <w:p w14:paraId="714A421D">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（所有成员单位名称）自愿组成</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（联合体名称）联合体，共同参加</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（项目名称）采购项目</w:t>
      </w:r>
      <w:r>
        <w:rPr>
          <w:rFonts w:hint="eastAsia" w:ascii="宋体" w:hAnsi="宋体" w:cs="宋体"/>
          <w:color w:val="auto"/>
          <w:sz w:val="24"/>
          <w:highlight w:val="none"/>
          <w:lang w:bidi="ar"/>
        </w:rPr>
        <w:t>竞争性谈判</w:t>
      </w:r>
      <w:r>
        <w:rPr>
          <w:rFonts w:hint="eastAsia" w:ascii="宋体" w:hAnsi="宋体" w:cs="宋体"/>
          <w:color w:val="auto"/>
          <w:sz w:val="24"/>
          <w:szCs w:val="24"/>
          <w:highlight w:val="none"/>
        </w:rPr>
        <w:t>。现就联合体参与</w:t>
      </w:r>
      <w:r>
        <w:rPr>
          <w:rFonts w:hint="eastAsia" w:ascii="宋体" w:hAnsi="宋体" w:cs="宋体"/>
          <w:color w:val="auto"/>
          <w:sz w:val="24"/>
          <w:highlight w:val="none"/>
          <w:lang w:bidi="ar"/>
        </w:rPr>
        <w:t>竞争性谈判</w:t>
      </w:r>
      <w:r>
        <w:rPr>
          <w:rFonts w:hint="eastAsia" w:ascii="宋体" w:hAnsi="宋体" w:cs="宋体"/>
          <w:color w:val="auto"/>
          <w:sz w:val="24"/>
          <w:szCs w:val="24"/>
          <w:highlight w:val="none"/>
        </w:rPr>
        <w:t>事宜订立如下协议。</w:t>
      </w:r>
    </w:p>
    <w:p w14:paraId="7BB75847">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（某成员单位名称）为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（联合体名称）牵头人。</w:t>
      </w:r>
    </w:p>
    <w:p w14:paraId="278962E2">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2.联合体各成员授权牵头人代表联合体参加</w:t>
      </w:r>
      <w:r>
        <w:rPr>
          <w:rFonts w:hint="eastAsia" w:ascii="宋体" w:hAnsi="宋体" w:cs="宋体"/>
          <w:color w:val="auto"/>
          <w:sz w:val="24"/>
          <w:highlight w:val="none"/>
          <w:lang w:bidi="ar"/>
        </w:rPr>
        <w:t>竞争性谈判</w:t>
      </w:r>
      <w:r>
        <w:rPr>
          <w:rFonts w:hint="eastAsia" w:ascii="宋体" w:hAnsi="宋体" w:cs="宋体"/>
          <w:color w:val="auto"/>
          <w:sz w:val="24"/>
          <w:szCs w:val="24"/>
          <w:highlight w:val="none"/>
        </w:rPr>
        <w:t>活动，签署文件及对文件的盖章，提交和接收相关的资料、信息及指示，进行合同谈判活动，负责合同实施阶段的组织和协调工作，以及处理与本</w:t>
      </w:r>
      <w:r>
        <w:rPr>
          <w:rFonts w:hint="eastAsia" w:ascii="宋体" w:hAnsi="宋体" w:cs="宋体"/>
          <w:color w:val="auto"/>
          <w:sz w:val="24"/>
          <w:highlight w:val="none"/>
          <w:lang w:bidi="ar"/>
        </w:rPr>
        <w:t>竞争性谈判</w:t>
      </w:r>
      <w:r>
        <w:rPr>
          <w:rFonts w:hint="eastAsia" w:ascii="宋体" w:hAnsi="宋体" w:cs="宋体"/>
          <w:color w:val="auto"/>
          <w:sz w:val="24"/>
          <w:szCs w:val="24"/>
          <w:highlight w:val="none"/>
        </w:rPr>
        <w:t>项目有关的一切事宜。</w:t>
      </w:r>
    </w:p>
    <w:p w14:paraId="073B122A">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3.联合体牵头人在本项目中签署和盖章的一切文件和处理的一切事宜，联合体各成员均予以承认。联合体各成员将严格按照谈判文件、响应文件和合同的要求全面履行义务，并向采购人承担连带责任。</w:t>
      </w:r>
    </w:p>
    <w:p w14:paraId="34FB6E7F">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4.联合体各成员单位内部的职责分工如下：</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07BBE1AA">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5.本</w:t>
      </w:r>
      <w:r>
        <w:rPr>
          <w:rFonts w:hint="eastAsia" w:ascii="宋体" w:hAnsi="宋体" w:cs="宋体"/>
          <w:color w:val="auto"/>
          <w:spacing w:val="-6"/>
          <w:sz w:val="24"/>
          <w:szCs w:val="24"/>
          <w:highlight w:val="none"/>
        </w:rPr>
        <w:t>协议书自所有成员单位法定代表人或者其委托代理人签字或者盖单位章之日起生效，合同履行完毕后自动失效。</w:t>
      </w:r>
    </w:p>
    <w:p w14:paraId="64F36860">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6.本协议书一式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rPr>
        <w:t>份，联合体成员和采购人各执壹份。</w:t>
      </w:r>
    </w:p>
    <w:p w14:paraId="63B669D4">
      <w:pPr>
        <w:pStyle w:val="6"/>
        <w:overflowPunct w:val="0"/>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注：本协议书由法定代表人签字的，应附法定代表人身份证明；由委托代理人签字的，应附联合体协议签订授权委托书（格式自拟）。</w:t>
      </w:r>
    </w:p>
    <w:p w14:paraId="5003C3C2">
      <w:pPr>
        <w:pStyle w:val="6"/>
        <w:overflowPunct w:val="0"/>
        <w:spacing w:line="360" w:lineRule="auto"/>
        <w:ind w:firstLineChars="175"/>
        <w:contextualSpacing/>
        <w:rPr>
          <w:rFonts w:ascii="宋体" w:hAnsi="宋体" w:cs="宋体"/>
          <w:color w:val="auto"/>
          <w:sz w:val="24"/>
          <w:szCs w:val="24"/>
          <w:highlight w:val="none"/>
        </w:rPr>
      </w:pPr>
    </w:p>
    <w:p w14:paraId="06FF2BFD">
      <w:pPr>
        <w:pStyle w:val="6"/>
        <w:overflowPunct w:val="0"/>
        <w:spacing w:line="360" w:lineRule="auto"/>
        <w:ind w:firstLine="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联合体牵头人名称（公章）：</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5779C9F2">
      <w:pPr>
        <w:pStyle w:val="6"/>
        <w:overflowPunct w:val="0"/>
        <w:spacing w:line="360" w:lineRule="auto"/>
        <w:ind w:firstLine="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法定代表人或者其委托代理人（签字）：</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5B96C97B">
      <w:pPr>
        <w:pStyle w:val="6"/>
        <w:overflowPunct w:val="0"/>
        <w:spacing w:line="360" w:lineRule="auto"/>
        <w:ind w:firstLine="0"/>
        <w:contextualSpacing/>
        <w:rPr>
          <w:rFonts w:ascii="宋体" w:hAnsi="宋体" w:cs="宋体"/>
          <w:color w:val="auto"/>
          <w:sz w:val="24"/>
          <w:szCs w:val="24"/>
          <w:highlight w:val="none"/>
        </w:rPr>
      </w:pPr>
    </w:p>
    <w:p w14:paraId="50CEE198">
      <w:pPr>
        <w:pStyle w:val="6"/>
        <w:overflowPunct w:val="0"/>
        <w:spacing w:line="360" w:lineRule="auto"/>
        <w:ind w:firstLine="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联合体成员名称（公章）：</w:t>
      </w:r>
      <w:r>
        <w:rPr>
          <w:rFonts w:ascii="宋体" w:hAnsi="宋体" w:cs="宋体"/>
          <w:color w:val="auto"/>
          <w:sz w:val="24"/>
          <w:szCs w:val="24"/>
          <w:highlight w:val="none"/>
          <w:u w:val="single"/>
        </w:rPr>
        <w:t xml:space="preserve">               </w:t>
      </w:r>
    </w:p>
    <w:p w14:paraId="228A9FB1">
      <w:pPr>
        <w:pStyle w:val="6"/>
        <w:overflowPunct w:val="0"/>
        <w:spacing w:line="360" w:lineRule="auto"/>
        <w:ind w:firstLine="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法定代表人或者其委托代理人（签字）：</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7A55F46E">
      <w:pPr>
        <w:pStyle w:val="6"/>
        <w:overflowPunct w:val="0"/>
        <w:spacing w:line="360" w:lineRule="auto"/>
        <w:ind w:firstLine="0"/>
        <w:contextualSpacing/>
        <w:rPr>
          <w:rFonts w:ascii="宋体" w:hAnsi="宋体" w:cs="宋体"/>
          <w:color w:val="auto"/>
          <w:sz w:val="24"/>
          <w:szCs w:val="24"/>
          <w:highlight w:val="none"/>
        </w:rPr>
      </w:pPr>
    </w:p>
    <w:p w14:paraId="3487F8E5">
      <w:pPr>
        <w:pStyle w:val="6"/>
        <w:overflowPunct w:val="0"/>
        <w:spacing w:line="360" w:lineRule="auto"/>
        <w:ind w:firstLine="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联合体成员名称（公章）：</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AB59DAA">
      <w:pPr>
        <w:pStyle w:val="6"/>
        <w:overflowPunct w:val="0"/>
        <w:spacing w:line="360" w:lineRule="auto"/>
        <w:ind w:firstLine="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法定代表人或者其委托代理人（签字）：</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4FB2EDFF">
      <w:pPr>
        <w:pStyle w:val="6"/>
        <w:overflowPunct w:val="0"/>
        <w:spacing w:line="360" w:lineRule="auto"/>
        <w:ind w:firstLine="0"/>
        <w:contextualSpacing/>
        <w:rPr>
          <w:rFonts w:ascii="宋体" w:hAnsi="宋体" w:cs="宋体"/>
          <w:color w:val="auto"/>
          <w:sz w:val="24"/>
          <w:szCs w:val="24"/>
          <w:highlight w:val="none"/>
        </w:rPr>
      </w:pPr>
      <w:r>
        <w:rPr>
          <w:rFonts w:hint="eastAsia" w:ascii="宋体" w:hAnsi="宋体" w:cs="宋体"/>
          <w:color w:val="auto"/>
          <w:sz w:val="24"/>
          <w:szCs w:val="24"/>
          <w:highlight w:val="none"/>
        </w:rPr>
        <w:t>……</w:t>
      </w:r>
    </w:p>
    <w:p w14:paraId="5B684176">
      <w:pPr>
        <w:spacing w:line="360" w:lineRule="auto"/>
        <w:contextualSpacing/>
        <w:jc w:val="right"/>
        <w:rPr>
          <w:rFonts w:hint="eastAsia" w:ascii="宋体" w:hAnsi="宋体" w:cs="宋体"/>
          <w:color w:val="auto"/>
          <w:sz w:val="32"/>
          <w:szCs w:val="32"/>
          <w:highlight w:val="none"/>
        </w:rPr>
        <w:sectPr>
          <w:pgSz w:w="11905" w:h="16838"/>
          <w:pgMar w:top="1134" w:right="1134" w:bottom="1134" w:left="1134" w:header="850" w:footer="992" w:gutter="0"/>
          <w:cols w:space="720" w:num="1"/>
          <w:titlePg/>
          <w:docGrid w:type="lines" w:linePitch="318" w:charSpace="0"/>
        </w:sect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r>
        <w:rPr>
          <w:rFonts w:hint="eastAsia" w:ascii="宋体" w:hAnsi="宋体" w:cs="宋体"/>
          <w:color w:val="auto"/>
          <w:sz w:val="32"/>
          <w:szCs w:val="32"/>
          <w:highlight w:val="none"/>
        </w:rPr>
        <w:t xml:space="preserve"> </w:t>
      </w:r>
    </w:p>
    <w:p w14:paraId="2001AA6F">
      <w:pPr>
        <w:spacing w:line="360" w:lineRule="auto"/>
        <w:rPr>
          <w:rFonts w:ascii="宋体" w:hAnsi="宋体" w:cs="宋体"/>
          <w:color w:val="auto"/>
          <w:szCs w:val="21"/>
          <w:highlight w:val="none"/>
        </w:rPr>
      </w:pPr>
      <w:r>
        <w:rPr>
          <w:rFonts w:hint="eastAsia" w:ascii="宋体" w:hAnsi="宋体" w:cs="宋体"/>
          <w:b/>
          <w:bCs/>
          <w:color w:val="auto"/>
          <w:sz w:val="24"/>
          <w:highlight w:val="none"/>
        </w:rPr>
        <w:t>其他文书、文件格式</w:t>
      </w:r>
    </w:p>
    <w:p w14:paraId="27F31580">
      <w:pPr>
        <w:adjustRightInd w:val="0"/>
        <w:snapToGrid w:val="0"/>
        <w:spacing w:line="360" w:lineRule="auto"/>
        <w:jc w:val="center"/>
        <w:rPr>
          <w:rFonts w:ascii="宋体" w:hAnsi="宋体" w:cs="宋体"/>
          <w:b/>
          <w:bCs/>
          <w:color w:val="auto"/>
          <w:sz w:val="44"/>
          <w:szCs w:val="44"/>
          <w:highlight w:val="none"/>
        </w:rPr>
      </w:pPr>
      <w:bookmarkStart w:id="33" w:name="_Toc71366061"/>
      <w:bookmarkStart w:id="34" w:name="_Toc71365383"/>
      <w:r>
        <w:rPr>
          <w:rFonts w:hint="eastAsia" w:ascii="宋体" w:hAnsi="宋体" w:cs="宋体"/>
          <w:b/>
          <w:bCs/>
          <w:color w:val="auto"/>
          <w:sz w:val="44"/>
          <w:szCs w:val="44"/>
          <w:highlight w:val="none"/>
        </w:rPr>
        <w:t>中小企业声明函（货物）</w:t>
      </w:r>
      <w:bookmarkEnd w:id="33"/>
      <w:bookmarkEnd w:id="34"/>
    </w:p>
    <w:p w14:paraId="752623F1">
      <w:pPr>
        <w:spacing w:line="360" w:lineRule="auto"/>
        <w:rPr>
          <w:rFonts w:ascii="宋体" w:hAnsi="宋体" w:cs="宋体"/>
          <w:color w:val="auto"/>
          <w:highlight w:val="none"/>
        </w:rPr>
      </w:pPr>
    </w:p>
    <w:p w14:paraId="24DA7913">
      <w:pPr>
        <w:pStyle w:val="10"/>
        <w:spacing w:after="0" w:line="360" w:lineRule="auto"/>
        <w:ind w:firstLine="640"/>
        <w:contextualSpacing/>
        <w:rPr>
          <w:rFonts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采购活动，提供的货物全部由符合政策要求的中小企业制造。相关企业（含联合体中的中小企业、签订分包意向协议的中小企业）的具体情况如下：</w:t>
      </w:r>
    </w:p>
    <w:p w14:paraId="0F25D30A">
      <w:pPr>
        <w:tabs>
          <w:tab w:val="left" w:pos="1384"/>
          <w:tab w:val="left" w:pos="4562"/>
          <w:tab w:val="left" w:pos="6803"/>
        </w:tabs>
        <w:spacing w:line="360" w:lineRule="auto"/>
        <w:ind w:firstLine="655"/>
        <w:contextualSpacing/>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2D7F3639">
      <w:pPr>
        <w:tabs>
          <w:tab w:val="left" w:pos="1065"/>
          <w:tab w:val="left" w:pos="6477"/>
        </w:tabs>
        <w:spacing w:line="360" w:lineRule="auto"/>
        <w:ind w:firstLine="655"/>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0AB5BE2D">
      <w:pPr>
        <w:pStyle w:val="10"/>
        <w:spacing w:after="0"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w:t>
      </w:r>
    </w:p>
    <w:p w14:paraId="04758B06">
      <w:pPr>
        <w:pStyle w:val="10"/>
        <w:spacing w:after="0" w:line="360" w:lineRule="auto"/>
        <w:ind w:firstLine="453" w:firstLineChars="189"/>
        <w:contextualSpacing/>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76EF8B32">
      <w:pPr>
        <w:pStyle w:val="10"/>
        <w:spacing w:after="0" w:line="360" w:lineRule="auto"/>
        <w:ind w:firstLine="567"/>
        <w:contextualSpacing/>
        <w:rPr>
          <w:rFonts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3179BB87">
      <w:pPr>
        <w:pStyle w:val="10"/>
        <w:spacing w:after="0" w:line="360" w:lineRule="auto"/>
        <w:contextualSpacing/>
        <w:rPr>
          <w:rFonts w:ascii="宋体" w:hAnsi="宋体" w:cs="宋体"/>
          <w:color w:val="auto"/>
          <w:sz w:val="24"/>
          <w:highlight w:val="none"/>
        </w:rPr>
      </w:pPr>
    </w:p>
    <w:p w14:paraId="30800F36">
      <w:pPr>
        <w:pStyle w:val="10"/>
        <w:spacing w:after="0" w:line="360" w:lineRule="auto"/>
        <w:ind w:firstLine="3360" w:firstLineChars="1400"/>
        <w:contextualSpacing/>
        <w:rPr>
          <w:rFonts w:ascii="宋体" w:hAnsi="宋体" w:cs="宋体"/>
          <w:color w:val="auto"/>
          <w:sz w:val="24"/>
          <w:highlight w:val="none"/>
          <w:u w:val="single"/>
        </w:rPr>
      </w:pPr>
      <w:r>
        <w:rPr>
          <w:rFonts w:hint="eastAsia" w:ascii="宋体" w:hAnsi="宋体" w:cs="宋体"/>
          <w:color w:val="auto"/>
          <w:sz w:val="24"/>
          <w:highlight w:val="none"/>
        </w:rPr>
        <w:t xml:space="preserve">企业名称（公章）： </w:t>
      </w:r>
      <w:r>
        <w:rPr>
          <w:rFonts w:ascii="宋体" w:hAnsi="宋体" w:cs="宋体"/>
          <w:color w:val="auto"/>
          <w:sz w:val="24"/>
          <w:highlight w:val="none"/>
          <w:u w:val="single"/>
        </w:rPr>
        <w:t xml:space="preserve">                   </w:t>
      </w:r>
    </w:p>
    <w:p w14:paraId="76F3A016">
      <w:pPr>
        <w:pStyle w:val="10"/>
        <w:spacing w:after="0" w:line="360" w:lineRule="auto"/>
        <w:ind w:firstLine="3360" w:firstLineChars="1400"/>
        <w:contextualSpacing/>
        <w:rPr>
          <w:rFonts w:ascii="宋体" w:hAnsi="宋体" w:cs="宋体"/>
          <w:color w:val="auto"/>
          <w:sz w:val="24"/>
          <w:highlight w:val="none"/>
        </w:rPr>
      </w:pPr>
      <w:r>
        <w:rPr>
          <w:rFonts w:hint="eastAsia" w:ascii="宋体" w:hAnsi="宋体" w:cs="宋体"/>
          <w:color w:val="auto"/>
          <w:sz w:val="24"/>
          <w:highlight w:val="none"/>
        </w:rPr>
        <w:t>日 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173E33F0">
      <w:pPr>
        <w:pStyle w:val="10"/>
        <w:spacing w:after="0" w:line="360" w:lineRule="auto"/>
        <w:contextualSpacing/>
        <w:rPr>
          <w:rFonts w:ascii="宋体" w:hAnsi="宋体" w:cs="宋体"/>
          <w:color w:val="auto"/>
          <w:highlight w:val="none"/>
        </w:rPr>
      </w:pPr>
    </w:p>
    <w:p w14:paraId="41C304DC">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65D51DA1">
      <w:pPr>
        <w:spacing w:line="360" w:lineRule="auto"/>
        <w:ind w:firstLine="480" w:firstLineChars="200"/>
        <w:contextualSpacing/>
        <w:jc w:val="left"/>
        <w:rPr>
          <w:rFonts w:ascii="楷体" w:hAnsi="楷体" w:eastAsia="楷体" w:cs="宋体"/>
          <w:color w:val="auto"/>
          <w:sz w:val="24"/>
          <w:highlight w:val="none"/>
        </w:rPr>
      </w:pPr>
      <w:r>
        <w:rPr>
          <w:rFonts w:hint="eastAsia" w:ascii="楷体" w:hAnsi="楷体" w:eastAsia="楷体" w:cs="宋体"/>
          <w:color w:val="auto"/>
          <w:sz w:val="24"/>
          <w:highlight w:val="none"/>
        </w:rPr>
        <w:t>享受《政府采购促进中小企业发展管理办法》（财库〔</w:t>
      </w:r>
      <w:r>
        <w:rPr>
          <w:rFonts w:ascii="楷体" w:hAnsi="楷体" w:eastAsia="楷体" w:cs="宋体"/>
          <w:color w:val="auto"/>
          <w:sz w:val="24"/>
          <w:highlight w:val="none"/>
        </w:rPr>
        <w:t>2020〕46号）规定的中小企业扶持政策的，采购人、采购代理机构应当随成交结果公开成交供应商的《中小企业声明函》。从业人员、营业收入、资产总额填报上一年度数据，无上一年度数据的新成立企业可不填报。</w:t>
      </w:r>
    </w:p>
    <w:p w14:paraId="1712A6F3">
      <w:pPr>
        <w:spacing w:line="360" w:lineRule="auto"/>
        <w:contextualSpacing/>
        <w:jc w:val="center"/>
        <w:rPr>
          <w:rFonts w:ascii="宋体" w:hAnsi="宋体" w:cs="宋体"/>
          <w:color w:val="auto"/>
          <w:sz w:val="24"/>
          <w:highlight w:val="none"/>
        </w:rPr>
      </w:pPr>
    </w:p>
    <w:p w14:paraId="73332959">
      <w:pPr>
        <w:spacing w:line="360" w:lineRule="auto"/>
        <w:contextualSpacing/>
        <w:jc w:val="center"/>
        <w:rPr>
          <w:rFonts w:ascii="宋体" w:hAnsi="宋体" w:cs="宋体"/>
          <w:color w:val="auto"/>
          <w:sz w:val="24"/>
          <w:highlight w:val="none"/>
        </w:rPr>
      </w:pPr>
    </w:p>
    <w:p w14:paraId="34644BA1">
      <w:pPr>
        <w:spacing w:line="360" w:lineRule="auto"/>
        <w:ind w:firstLine="800" w:firstLineChars="250"/>
        <w:jc w:val="center"/>
        <w:rPr>
          <w:rFonts w:ascii="宋体" w:hAnsi="宋体" w:cs="宋体"/>
          <w:b/>
          <w:color w:val="auto"/>
          <w:sz w:val="32"/>
          <w:szCs w:val="32"/>
          <w:highlight w:val="none"/>
        </w:rPr>
      </w:pPr>
      <w:r>
        <w:rPr>
          <w:rFonts w:hint="eastAsia" w:hAnsi="宋体" w:cs="宋体"/>
          <w:color w:val="auto"/>
          <w:sz w:val="32"/>
          <w:szCs w:val="32"/>
          <w:highlight w:val="none"/>
        </w:rPr>
        <w:br w:type="page"/>
      </w:r>
      <w:r>
        <w:rPr>
          <w:rFonts w:hint="eastAsia" w:ascii="宋体" w:hAnsi="宋体" w:cs="宋体"/>
          <w:b/>
          <w:color w:val="auto"/>
          <w:sz w:val="44"/>
          <w:szCs w:val="44"/>
          <w:highlight w:val="none"/>
        </w:rPr>
        <w:t>残疾人福利性单位声明函</w:t>
      </w:r>
    </w:p>
    <w:p w14:paraId="4474C7B8">
      <w:pPr>
        <w:spacing w:line="360" w:lineRule="auto"/>
        <w:rPr>
          <w:rFonts w:ascii="宋体" w:hAnsi="宋体" w:cs="宋体"/>
          <w:color w:val="auto"/>
          <w:sz w:val="32"/>
          <w:szCs w:val="32"/>
          <w:highlight w:val="none"/>
        </w:rPr>
      </w:pPr>
    </w:p>
    <w:p w14:paraId="7321A9F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69EC72A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131C4FF3">
      <w:pPr>
        <w:spacing w:line="360" w:lineRule="auto"/>
        <w:contextualSpacing/>
        <w:rPr>
          <w:rFonts w:ascii="宋体" w:hAnsi="宋体" w:cs="宋体"/>
          <w:color w:val="auto"/>
          <w:sz w:val="24"/>
          <w:highlight w:val="none"/>
        </w:rPr>
      </w:pPr>
    </w:p>
    <w:p w14:paraId="47EF259D">
      <w:pPr>
        <w:spacing w:line="360" w:lineRule="auto"/>
        <w:contextualSpacing/>
        <w:rPr>
          <w:rFonts w:ascii="宋体" w:hAnsi="宋体" w:cs="宋体"/>
          <w:color w:val="auto"/>
          <w:sz w:val="24"/>
          <w:highlight w:val="none"/>
        </w:rPr>
      </w:pPr>
    </w:p>
    <w:p w14:paraId="0919CB25">
      <w:pPr>
        <w:spacing w:line="360" w:lineRule="auto"/>
        <w:contextualSpacing/>
        <w:rPr>
          <w:rFonts w:ascii="宋体" w:hAnsi="宋体" w:cs="宋体"/>
          <w:color w:val="auto"/>
          <w:sz w:val="24"/>
          <w:highlight w:val="none"/>
        </w:rPr>
      </w:pPr>
    </w:p>
    <w:p w14:paraId="5A163FF1">
      <w:pPr>
        <w:spacing w:line="360" w:lineRule="auto"/>
        <w:ind w:firstLine="3600" w:firstLineChars="1500"/>
        <w:contextualSpacing/>
        <w:rPr>
          <w:rFonts w:ascii="宋体" w:hAnsi="宋体" w:cs="宋体"/>
          <w:color w:val="auto"/>
          <w:sz w:val="24"/>
          <w:highlight w:val="none"/>
          <w:u w:val="single"/>
        </w:rPr>
      </w:pPr>
      <w:r>
        <w:rPr>
          <w:rFonts w:hint="eastAsia" w:ascii="宋体" w:hAnsi="宋体" w:cs="宋体"/>
          <w:color w:val="auto"/>
          <w:sz w:val="24"/>
          <w:highlight w:val="none"/>
        </w:rPr>
        <w:t>单位名称（公章）：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30093AA4">
      <w:pPr>
        <w:spacing w:line="360" w:lineRule="auto"/>
        <w:ind w:firstLine="3600" w:firstLineChars="1500"/>
        <w:contextualSpacing/>
        <w:rPr>
          <w:rFonts w:ascii="宋体" w:hAnsi="宋体" w:cs="宋体"/>
          <w:color w:val="auto"/>
          <w:sz w:val="24"/>
          <w:highlight w:val="none"/>
        </w:rPr>
      </w:pPr>
      <w:r>
        <w:rPr>
          <w:rFonts w:hint="eastAsia" w:ascii="宋体" w:hAnsi="宋体" w:cs="宋体"/>
          <w:color w:val="auto"/>
          <w:sz w:val="24"/>
          <w:highlight w:val="none"/>
        </w:rPr>
        <w:t>日  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58B240AD">
      <w:pPr>
        <w:spacing w:line="360" w:lineRule="auto"/>
        <w:contextualSpacing/>
        <w:rPr>
          <w:rFonts w:ascii="宋体" w:hAnsi="宋体" w:cs="宋体"/>
          <w:color w:val="auto"/>
          <w:sz w:val="24"/>
          <w:highlight w:val="none"/>
        </w:rPr>
      </w:pPr>
    </w:p>
    <w:p w14:paraId="2B254F5D">
      <w:pPr>
        <w:spacing w:line="360" w:lineRule="auto"/>
        <w:contextualSpacing/>
        <w:rPr>
          <w:rFonts w:ascii="宋体" w:hAnsi="宋体" w:cs="宋体"/>
          <w:color w:val="auto"/>
          <w:sz w:val="24"/>
          <w:highlight w:val="none"/>
        </w:rPr>
      </w:pPr>
    </w:p>
    <w:p w14:paraId="3EC7056B">
      <w:pPr>
        <w:spacing w:line="360" w:lineRule="auto"/>
        <w:contextualSpacing/>
        <w:rPr>
          <w:rFonts w:ascii="宋体" w:hAnsi="宋体" w:cs="宋体"/>
          <w:color w:val="auto"/>
          <w:sz w:val="24"/>
          <w:highlight w:val="none"/>
        </w:rPr>
      </w:pPr>
    </w:p>
    <w:p w14:paraId="34E0EAC4">
      <w:pPr>
        <w:spacing w:line="360" w:lineRule="auto"/>
        <w:contextualSpacing/>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4FC80C66">
      <w:pPr>
        <w:spacing w:line="360" w:lineRule="auto"/>
        <w:ind w:firstLine="480" w:firstLineChars="200"/>
        <w:contextualSpacing/>
        <w:rPr>
          <w:rFonts w:ascii="楷体" w:hAnsi="楷体" w:eastAsia="楷体" w:cs="宋体"/>
          <w:color w:val="auto"/>
          <w:sz w:val="24"/>
          <w:highlight w:val="none"/>
        </w:rPr>
      </w:pPr>
      <w:r>
        <w:rPr>
          <w:rFonts w:hint="eastAsia" w:ascii="楷体" w:hAnsi="楷体" w:eastAsia="楷体" w:cs="宋体"/>
          <w:color w:val="auto"/>
          <w:sz w:val="24"/>
          <w:highlight w:val="none"/>
        </w:rPr>
        <w:t>请根据自己的真实情况出具《残疾人福利性单位声明函》。依法享受中小企业优惠政策的，采购人或者采购代理机构在公告</w:t>
      </w:r>
      <w:r>
        <w:rPr>
          <w:rFonts w:hint="eastAsia" w:ascii="楷体" w:hAnsi="楷体" w:eastAsia="楷体" w:cs="宋体"/>
          <w:color w:val="auto"/>
          <w:sz w:val="24"/>
          <w:highlight w:val="none"/>
          <w:lang w:val="en-US" w:eastAsia="zh-CN"/>
        </w:rPr>
        <w:t>成交</w:t>
      </w:r>
      <w:r>
        <w:rPr>
          <w:rFonts w:hint="eastAsia" w:ascii="楷体" w:hAnsi="楷体" w:eastAsia="楷体" w:cs="宋体"/>
          <w:color w:val="auto"/>
          <w:sz w:val="24"/>
          <w:highlight w:val="none"/>
        </w:rPr>
        <w:t>结果时，同时公告其《残疾人福利性单位声明函》，接受社会监督。</w:t>
      </w:r>
    </w:p>
    <w:p w14:paraId="2679E897">
      <w:pPr>
        <w:rPr>
          <w:rFonts w:ascii="宋体" w:hAnsi="宋体" w:cs="宋体"/>
          <w:color w:val="auto"/>
          <w:sz w:val="24"/>
          <w:highlight w:val="none"/>
        </w:rPr>
      </w:pPr>
      <w:r>
        <w:rPr>
          <w:rFonts w:hint="eastAsia" w:ascii="宋体" w:hAnsi="宋体" w:cs="宋体"/>
          <w:color w:val="auto"/>
          <w:sz w:val="24"/>
          <w:highlight w:val="none"/>
        </w:rPr>
        <w:br w:type="page"/>
      </w:r>
    </w:p>
    <w:p w14:paraId="076C7AE8">
      <w:pPr>
        <w:spacing w:line="360" w:lineRule="auto"/>
        <w:contextualSpacing/>
        <w:jc w:val="right"/>
        <w:rPr>
          <w:rFonts w:hint="eastAsia" w:ascii="宋体" w:hAnsi="宋体" w:cs="宋体"/>
          <w:color w:val="auto"/>
          <w:sz w:val="32"/>
          <w:szCs w:val="32"/>
          <w:highlight w:val="none"/>
        </w:rPr>
        <w:sectPr>
          <w:pgSz w:w="11905" w:h="16838"/>
          <w:pgMar w:top="1134" w:right="1134" w:bottom="1134" w:left="1134" w:header="850" w:footer="992" w:gutter="0"/>
          <w:cols w:space="720" w:num="1"/>
          <w:titlePg/>
          <w:docGrid w:type="lines" w:linePitch="318" w:charSpace="0"/>
        </w:sectPr>
      </w:pPr>
    </w:p>
    <w:p w14:paraId="5587D298">
      <w:pPr>
        <w:spacing w:line="360" w:lineRule="auto"/>
        <w:contextualSpacing/>
        <w:jc w:val="left"/>
        <w:rPr>
          <w:rFonts w:ascii="宋体" w:hAnsi="宋体" w:cs="宋体"/>
          <w:b/>
          <w:color w:val="auto"/>
          <w:sz w:val="32"/>
          <w:szCs w:val="32"/>
          <w:highlight w:val="none"/>
        </w:rPr>
      </w:pPr>
      <w:r>
        <w:rPr>
          <w:rFonts w:hint="eastAsia" w:ascii="宋体" w:hAnsi="宋体" w:cs="宋体"/>
          <w:b/>
          <w:bCs/>
          <w:color w:val="auto"/>
          <w:sz w:val="32"/>
          <w:szCs w:val="32"/>
          <w:highlight w:val="none"/>
        </w:rPr>
        <w:t>二、</w:t>
      </w:r>
      <w:r>
        <w:rPr>
          <w:rFonts w:hint="eastAsia" w:ascii="宋体" w:hAnsi="宋体" w:cs="宋体"/>
          <w:b/>
          <w:color w:val="auto"/>
          <w:sz w:val="32"/>
          <w:szCs w:val="32"/>
          <w:highlight w:val="none"/>
        </w:rPr>
        <w:t xml:space="preserve">报价商务技术文件格式 </w:t>
      </w:r>
    </w:p>
    <w:p w14:paraId="47E1589C">
      <w:pPr>
        <w:snapToGrid w:val="0"/>
        <w:spacing w:line="360" w:lineRule="auto"/>
        <w:jc w:val="left"/>
        <w:rPr>
          <w:rFonts w:ascii="宋体" w:hAnsi="宋体" w:cs="宋体"/>
          <w:b/>
          <w:color w:val="auto"/>
          <w:sz w:val="32"/>
          <w:szCs w:val="32"/>
          <w:highlight w:val="none"/>
        </w:rPr>
      </w:pPr>
      <w:r>
        <w:rPr>
          <w:rFonts w:hint="eastAsia" w:ascii="宋体" w:hAnsi="宋体" w:cs="宋体"/>
          <w:b/>
          <w:color w:val="auto"/>
          <w:sz w:val="32"/>
          <w:szCs w:val="32"/>
          <w:highlight w:val="none"/>
        </w:rPr>
        <w:t>1.报价商务技术文件封面格式</w:t>
      </w:r>
    </w:p>
    <w:p w14:paraId="412C61E2">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0A914632">
      <w:pPr>
        <w:snapToGrid w:val="0"/>
        <w:spacing w:line="360" w:lineRule="auto"/>
        <w:rPr>
          <w:rFonts w:ascii="宋体" w:hAnsi="宋体" w:cs="宋体"/>
          <w:color w:val="auto"/>
          <w:sz w:val="24"/>
          <w:highlight w:val="none"/>
        </w:rPr>
      </w:pPr>
    </w:p>
    <w:p w14:paraId="095FB363">
      <w:pPr>
        <w:snapToGrid w:val="0"/>
        <w:spacing w:line="360" w:lineRule="auto"/>
        <w:rPr>
          <w:rFonts w:ascii="宋体" w:hAnsi="宋体" w:cs="宋体"/>
          <w:color w:val="auto"/>
          <w:sz w:val="24"/>
          <w:szCs w:val="20"/>
          <w:highlight w:val="none"/>
        </w:rPr>
      </w:pPr>
    </w:p>
    <w:p w14:paraId="5A819606">
      <w:pPr>
        <w:snapToGrid w:val="0"/>
        <w:spacing w:line="360" w:lineRule="auto"/>
        <w:jc w:val="center"/>
        <w:rPr>
          <w:rFonts w:ascii="宋体" w:hAnsi="宋体" w:cs="宋体"/>
          <w:bCs/>
          <w:color w:val="auto"/>
          <w:sz w:val="84"/>
          <w:szCs w:val="84"/>
          <w:highlight w:val="none"/>
        </w:rPr>
      </w:pPr>
      <w:r>
        <w:rPr>
          <w:rFonts w:hint="eastAsia" w:ascii="宋体" w:hAnsi="宋体" w:cs="宋体"/>
          <w:b/>
          <w:color w:val="auto"/>
          <w:sz w:val="84"/>
          <w:szCs w:val="84"/>
          <w:highlight w:val="none"/>
        </w:rPr>
        <w:t>响  应  文  件</w:t>
      </w:r>
    </w:p>
    <w:p w14:paraId="028330D4">
      <w:pPr>
        <w:snapToGrid w:val="0"/>
        <w:spacing w:line="360" w:lineRule="auto"/>
        <w:rPr>
          <w:rFonts w:ascii="宋体" w:hAnsi="宋体" w:cs="宋体"/>
          <w:color w:val="auto"/>
          <w:sz w:val="24"/>
          <w:szCs w:val="20"/>
          <w:highlight w:val="none"/>
        </w:rPr>
      </w:pPr>
    </w:p>
    <w:p w14:paraId="04FAF326">
      <w:pPr>
        <w:snapToGrid w:val="0"/>
        <w:spacing w:line="360" w:lineRule="auto"/>
        <w:jc w:val="center"/>
        <w:rPr>
          <w:rFonts w:ascii="宋体" w:hAnsi="宋体" w:cs="宋体"/>
          <w:bCs/>
          <w:color w:val="auto"/>
          <w:sz w:val="32"/>
          <w:szCs w:val="32"/>
          <w:highlight w:val="none"/>
        </w:rPr>
      </w:pPr>
      <w:r>
        <w:rPr>
          <w:rFonts w:hint="eastAsia" w:ascii="宋体" w:hAnsi="宋体" w:cs="宋体"/>
          <w:bCs/>
          <w:color w:val="auto"/>
          <w:sz w:val="32"/>
          <w:szCs w:val="32"/>
          <w:highlight w:val="none"/>
        </w:rPr>
        <w:t>报价商务技术文件</w:t>
      </w:r>
    </w:p>
    <w:p w14:paraId="539BCF14">
      <w:pPr>
        <w:snapToGrid w:val="0"/>
        <w:spacing w:line="360" w:lineRule="auto"/>
        <w:rPr>
          <w:rFonts w:ascii="宋体" w:hAnsi="宋体" w:cs="宋体"/>
          <w:bCs/>
          <w:color w:val="auto"/>
          <w:sz w:val="28"/>
          <w:szCs w:val="28"/>
          <w:highlight w:val="none"/>
        </w:rPr>
      </w:pPr>
    </w:p>
    <w:p w14:paraId="0E7F1720">
      <w:pPr>
        <w:snapToGrid w:val="0"/>
        <w:spacing w:line="360" w:lineRule="auto"/>
        <w:rPr>
          <w:rFonts w:ascii="宋体" w:hAnsi="宋体" w:cs="宋体"/>
          <w:bCs/>
          <w:color w:val="auto"/>
          <w:sz w:val="28"/>
          <w:szCs w:val="28"/>
          <w:highlight w:val="none"/>
        </w:rPr>
      </w:pPr>
    </w:p>
    <w:p w14:paraId="7AC215AA">
      <w:pPr>
        <w:snapToGrid w:val="0"/>
        <w:spacing w:line="360" w:lineRule="auto"/>
        <w:ind w:firstLine="1680" w:firstLineChars="600"/>
        <w:rPr>
          <w:rFonts w:ascii="宋体" w:hAnsi="宋体" w:cs="宋体"/>
          <w:bCs/>
          <w:color w:val="auto"/>
          <w:sz w:val="28"/>
          <w:szCs w:val="28"/>
          <w:highlight w:val="none"/>
        </w:rPr>
      </w:pPr>
      <w:r>
        <w:rPr>
          <w:rFonts w:hint="eastAsia" w:ascii="宋体" w:hAnsi="宋体" w:cs="宋体"/>
          <w:bCs/>
          <w:color w:val="auto"/>
          <w:sz w:val="28"/>
          <w:szCs w:val="28"/>
          <w:highlight w:val="none"/>
        </w:rPr>
        <w:t>项目名称：</w:t>
      </w:r>
    </w:p>
    <w:p w14:paraId="1DA5275E">
      <w:pPr>
        <w:snapToGrid w:val="0"/>
        <w:spacing w:line="360" w:lineRule="auto"/>
        <w:ind w:firstLine="1680" w:firstLineChars="600"/>
        <w:rPr>
          <w:rFonts w:ascii="宋体" w:hAnsi="宋体" w:cs="宋体"/>
          <w:bCs/>
          <w:color w:val="auto"/>
          <w:sz w:val="28"/>
          <w:szCs w:val="28"/>
          <w:highlight w:val="none"/>
        </w:rPr>
      </w:pPr>
      <w:r>
        <w:rPr>
          <w:rFonts w:hint="eastAsia" w:ascii="宋体" w:hAnsi="宋体" w:cs="宋体"/>
          <w:bCs/>
          <w:color w:val="auto"/>
          <w:sz w:val="28"/>
          <w:szCs w:val="28"/>
          <w:highlight w:val="none"/>
        </w:rPr>
        <w:t xml:space="preserve">项目编号： </w:t>
      </w:r>
    </w:p>
    <w:p w14:paraId="38AC146F">
      <w:pPr>
        <w:snapToGrid w:val="0"/>
        <w:spacing w:line="360" w:lineRule="auto"/>
        <w:ind w:firstLine="1680" w:firstLineChars="600"/>
        <w:rPr>
          <w:rFonts w:ascii="宋体" w:hAnsi="宋体" w:cs="宋体"/>
          <w:bCs/>
          <w:color w:val="auto"/>
          <w:sz w:val="28"/>
          <w:szCs w:val="28"/>
          <w:highlight w:val="none"/>
        </w:rPr>
      </w:pPr>
      <w:r>
        <w:rPr>
          <w:rFonts w:hint="eastAsia" w:ascii="宋体" w:hAnsi="宋体" w:cs="宋体"/>
          <w:bCs/>
          <w:color w:val="auto"/>
          <w:sz w:val="28"/>
          <w:szCs w:val="28"/>
          <w:highlight w:val="none"/>
        </w:rPr>
        <w:t>所竞分标（如有）：</w:t>
      </w:r>
    </w:p>
    <w:p w14:paraId="3B786C0B">
      <w:pPr>
        <w:pStyle w:val="6"/>
        <w:snapToGrid w:val="0"/>
        <w:spacing w:line="360" w:lineRule="auto"/>
        <w:ind w:firstLine="1680" w:firstLineChars="600"/>
        <w:rPr>
          <w:rFonts w:ascii="宋体" w:hAnsi="宋体" w:cs="宋体"/>
          <w:bCs/>
          <w:color w:val="auto"/>
          <w:sz w:val="28"/>
          <w:szCs w:val="28"/>
          <w:highlight w:val="none"/>
        </w:rPr>
      </w:pPr>
      <w:r>
        <w:rPr>
          <w:rFonts w:hint="eastAsia" w:ascii="宋体" w:hAnsi="宋体" w:cs="宋体"/>
          <w:bCs/>
          <w:color w:val="auto"/>
          <w:sz w:val="28"/>
          <w:szCs w:val="28"/>
          <w:highlight w:val="none"/>
        </w:rPr>
        <w:t>供应商名称：</w:t>
      </w:r>
    </w:p>
    <w:p w14:paraId="795DA8BE">
      <w:pPr>
        <w:pStyle w:val="6"/>
        <w:snapToGrid w:val="0"/>
        <w:spacing w:line="360" w:lineRule="auto"/>
        <w:ind w:firstLine="1680" w:firstLineChars="600"/>
        <w:rPr>
          <w:rFonts w:ascii="宋体" w:hAnsi="宋体" w:cs="宋体"/>
          <w:bCs/>
          <w:color w:val="auto"/>
          <w:sz w:val="28"/>
          <w:szCs w:val="28"/>
          <w:highlight w:val="none"/>
        </w:rPr>
      </w:pPr>
    </w:p>
    <w:p w14:paraId="0A887836">
      <w:pPr>
        <w:snapToGrid w:val="0"/>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年    月    日</w:t>
      </w:r>
    </w:p>
    <w:p w14:paraId="194DE2F3">
      <w:pPr>
        <w:snapToGrid w:val="0"/>
        <w:spacing w:line="360" w:lineRule="auto"/>
        <w:jc w:val="left"/>
        <w:rPr>
          <w:rFonts w:ascii="宋体" w:hAnsi="宋体" w:cs="宋体"/>
          <w:b/>
          <w:bCs/>
          <w:color w:val="auto"/>
          <w:sz w:val="24"/>
          <w:highlight w:val="none"/>
        </w:rPr>
      </w:pPr>
      <w:r>
        <w:rPr>
          <w:rFonts w:hint="eastAsia" w:ascii="宋体" w:hAnsi="宋体" w:cs="宋体"/>
          <w:color w:val="auto"/>
          <w:sz w:val="28"/>
          <w:szCs w:val="28"/>
          <w:highlight w:val="none"/>
        </w:rPr>
        <w:br w:type="page"/>
      </w:r>
      <w:r>
        <w:rPr>
          <w:rFonts w:hint="eastAsia" w:ascii="宋体" w:hAnsi="宋体" w:cs="宋体"/>
          <w:b/>
          <w:bCs/>
          <w:color w:val="auto"/>
          <w:sz w:val="32"/>
          <w:szCs w:val="32"/>
          <w:highlight w:val="none"/>
        </w:rPr>
        <w:t>2.报价商务技术文件目录</w:t>
      </w:r>
    </w:p>
    <w:p w14:paraId="08C49709">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根据谈判文件规定及供应商提供的材料自行编写目录（部分格式后附）。</w:t>
      </w:r>
    </w:p>
    <w:p w14:paraId="3AE60862">
      <w:pPr>
        <w:spacing w:line="360" w:lineRule="auto"/>
        <w:rPr>
          <w:rFonts w:ascii="宋体" w:hAnsi="宋体" w:cs="宋体"/>
          <w:color w:val="auto"/>
          <w:sz w:val="32"/>
          <w:szCs w:val="32"/>
          <w:highlight w:val="none"/>
        </w:rPr>
      </w:pPr>
    </w:p>
    <w:p w14:paraId="0E9608B3">
      <w:pPr>
        <w:spacing w:line="360" w:lineRule="auto"/>
        <w:jc w:val="center"/>
        <w:rPr>
          <w:rFonts w:ascii="宋体" w:hAnsi="宋体" w:cs="宋体"/>
          <w:b/>
          <w:color w:val="auto"/>
          <w:sz w:val="32"/>
          <w:szCs w:val="32"/>
          <w:highlight w:val="none"/>
        </w:rPr>
      </w:pPr>
      <w:r>
        <w:rPr>
          <w:rFonts w:hint="eastAsia" w:ascii="宋体" w:hAnsi="宋体" w:cs="宋体"/>
          <w:color w:val="auto"/>
          <w:sz w:val="44"/>
          <w:szCs w:val="44"/>
          <w:highlight w:val="none"/>
        </w:rPr>
        <w:br w:type="page"/>
      </w:r>
      <w:r>
        <w:rPr>
          <w:rFonts w:hint="eastAsia" w:ascii="宋体" w:hAnsi="宋体" w:cs="宋体"/>
          <w:b/>
          <w:color w:val="auto"/>
          <w:sz w:val="44"/>
          <w:szCs w:val="44"/>
          <w:highlight w:val="none"/>
        </w:rPr>
        <w:t>无串通参与竞争性谈判行为的承诺函</w:t>
      </w:r>
    </w:p>
    <w:p w14:paraId="56C16053">
      <w:pPr>
        <w:spacing w:line="360" w:lineRule="auto"/>
        <w:ind w:firstLine="640" w:firstLineChars="200"/>
        <w:contextualSpacing/>
        <w:rPr>
          <w:rFonts w:ascii="宋体" w:hAnsi="宋体" w:cs="宋体"/>
          <w:color w:val="auto"/>
          <w:sz w:val="32"/>
          <w:szCs w:val="32"/>
          <w:highlight w:val="none"/>
        </w:rPr>
      </w:pPr>
    </w:p>
    <w:p w14:paraId="60B9D94E">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一、我方承诺无下列相互串通参与</w:t>
      </w:r>
      <w:r>
        <w:rPr>
          <w:rFonts w:hint="eastAsia" w:ascii="宋体" w:hAnsi="宋体" w:cs="宋体"/>
          <w:b/>
          <w:color w:val="auto"/>
          <w:sz w:val="24"/>
          <w:highlight w:val="none"/>
          <w:lang w:bidi="ar"/>
        </w:rPr>
        <w:t>竞争性谈判</w:t>
      </w:r>
      <w:r>
        <w:rPr>
          <w:rFonts w:hint="eastAsia" w:ascii="宋体" w:hAnsi="宋体" w:cs="宋体"/>
          <w:b/>
          <w:bCs/>
          <w:color w:val="auto"/>
          <w:sz w:val="24"/>
          <w:highlight w:val="none"/>
        </w:rPr>
        <w:t>的情形：</w:t>
      </w:r>
    </w:p>
    <w:p w14:paraId="7806E43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1.不同供应商的响应文件由同一单位或者个人编制；或者上传提交响应文件硬件设备CPU编号、硬盘编号、网卡地址一致的情况；</w:t>
      </w:r>
    </w:p>
    <w:p w14:paraId="380783F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2.不同供应商委托同一单位或者个人办理参与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事宜；</w:t>
      </w:r>
    </w:p>
    <w:p w14:paraId="23DB279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3.不同的供应商的响应文件载明的项目管理员为同一个人；</w:t>
      </w:r>
    </w:p>
    <w:p w14:paraId="75CE3F6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同供应商的响应文件异常一致或者参与</w:t>
      </w:r>
      <w:r>
        <w:rPr>
          <w:rFonts w:hint="eastAsia" w:ascii="宋体" w:hAnsi="宋体" w:cs="宋体"/>
          <w:color w:val="auto"/>
          <w:sz w:val="24"/>
          <w:highlight w:val="none"/>
          <w:lang w:bidi="ar"/>
        </w:rPr>
        <w:t>竞争性谈判的</w:t>
      </w:r>
      <w:r>
        <w:rPr>
          <w:rFonts w:hint="eastAsia" w:ascii="宋体" w:hAnsi="宋体" w:cs="宋体"/>
          <w:color w:val="auto"/>
          <w:spacing w:val="-6"/>
          <w:sz w:val="24"/>
          <w:highlight w:val="none"/>
        </w:rPr>
        <w:t>报价呈规律性差异；</w:t>
      </w:r>
    </w:p>
    <w:p w14:paraId="1B03C1C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3AC2A1C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6.不同供应商的谈判保证金从同一单位或者个人账户转出。</w:t>
      </w:r>
    </w:p>
    <w:p w14:paraId="7DF368C2">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6395CB3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6F0FAD7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66009BE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732F29B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2765EC4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5.供应商之间事先约定一致抬高或者压低</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报价,或者在竞争性谈判项目中事先约定轮流以高价位或者低价位成交,或者事先约定由某一特定供应商成交,然后再参加</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w:t>
      </w:r>
    </w:p>
    <w:p w14:paraId="36931C2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1010EFD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48E52FE8">
      <w:pPr>
        <w:spacing w:line="360" w:lineRule="auto"/>
        <w:ind w:firstLine="480" w:firstLineChars="200"/>
        <w:contextualSpacing/>
        <w:rPr>
          <w:rFonts w:ascii="宋体" w:hAnsi="宋体" w:cs="宋体"/>
          <w:color w:val="auto"/>
          <w:sz w:val="24"/>
          <w:highlight w:val="none"/>
        </w:rPr>
      </w:pPr>
    </w:p>
    <w:p w14:paraId="4B7B6A41">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14:paraId="71A8D88A">
      <w:pPr>
        <w:spacing w:line="360" w:lineRule="auto"/>
        <w:ind w:firstLine="480" w:firstLineChars="200"/>
        <w:contextualSpacing/>
        <w:rPr>
          <w:rFonts w:ascii="宋体" w:hAnsi="宋体" w:cs="宋体"/>
          <w:color w:val="auto"/>
          <w:sz w:val="24"/>
          <w:highlight w:val="none"/>
        </w:rPr>
      </w:pPr>
    </w:p>
    <w:p w14:paraId="04BF62EB">
      <w:pPr>
        <w:spacing w:line="360" w:lineRule="auto"/>
        <w:ind w:firstLine="3600" w:firstLineChars="1500"/>
        <w:contextualSpacing/>
        <w:rPr>
          <w:rFonts w:ascii="宋体" w:hAnsi="宋体" w:cs="宋体"/>
          <w:color w:val="auto"/>
          <w:sz w:val="24"/>
          <w:highlight w:val="none"/>
          <w:u w:val="single"/>
        </w:rPr>
      </w:pPr>
      <w:r>
        <w:rPr>
          <w:rFonts w:hint="eastAsia" w:ascii="宋体" w:hAnsi="宋体" w:cs="宋体"/>
          <w:color w:val="auto"/>
          <w:sz w:val="24"/>
          <w:highlight w:val="none"/>
        </w:rPr>
        <w:t>供应商（公章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5A646F9A">
      <w:pPr>
        <w:spacing w:line="360" w:lineRule="auto"/>
        <w:ind w:firstLine="480" w:firstLineChars="200"/>
        <w:contextualSpacing/>
        <w:jc w:val="center"/>
        <w:rPr>
          <w:rFonts w:ascii="宋体" w:hAnsi="宋体" w:cs="宋体"/>
          <w:color w:val="auto"/>
          <w:sz w:val="24"/>
          <w:highlight w:val="none"/>
        </w:rPr>
      </w:pPr>
      <w:r>
        <w:rPr>
          <w:rFonts w:hint="eastAsia" w:ascii="宋体" w:hAnsi="宋体" w:cs="宋体"/>
          <w:color w:val="auto"/>
          <w:sz w:val="24"/>
          <w:highlight w:val="none"/>
        </w:rPr>
        <w:t xml:space="preserve">                              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7B4DE01C">
      <w:pPr>
        <w:tabs>
          <w:tab w:val="left" w:pos="3479"/>
        </w:tabs>
        <w:spacing w:line="360" w:lineRule="auto"/>
        <w:jc w:val="center"/>
        <w:rPr>
          <w:rFonts w:ascii="宋体" w:hAnsi="宋体" w:cs="宋体"/>
          <w:b/>
          <w:bCs/>
          <w:color w:val="auto"/>
          <w:sz w:val="32"/>
          <w:szCs w:val="32"/>
          <w:highlight w:val="none"/>
        </w:rPr>
      </w:pPr>
      <w:r>
        <w:rPr>
          <w:rFonts w:hint="eastAsia" w:ascii="宋体" w:hAnsi="宋体" w:cs="宋体"/>
          <w:b/>
          <w:bCs/>
          <w:color w:val="auto"/>
          <w:sz w:val="44"/>
          <w:szCs w:val="44"/>
          <w:highlight w:val="none"/>
        </w:rPr>
        <w:t>竞争性谈判报价表</w:t>
      </w:r>
    </w:p>
    <w:p w14:paraId="1B83952E">
      <w:pPr>
        <w:spacing w:line="360" w:lineRule="auto"/>
        <w:jc w:val="center"/>
        <w:rPr>
          <w:rFonts w:ascii="宋体" w:hAnsi="宋体" w:cs="宋体"/>
          <w:bCs/>
          <w:color w:val="auto"/>
          <w:sz w:val="24"/>
          <w:highlight w:val="none"/>
        </w:rPr>
      </w:pPr>
    </w:p>
    <w:p w14:paraId="6B6F2BC4">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分标（如有）：</w:t>
      </w:r>
      <w:r>
        <w:rPr>
          <w:rFonts w:hint="eastAsia" w:ascii="宋体" w:hAnsi="宋体" w:cs="宋体"/>
          <w:color w:val="auto"/>
          <w:sz w:val="24"/>
          <w:highlight w:val="none"/>
          <w:u w:val="single"/>
        </w:rPr>
        <w:t xml:space="preserve">            </w:t>
      </w:r>
    </w:p>
    <w:p w14:paraId="2C898CC2">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6F74E6D">
      <w:pPr>
        <w:snapToGrid w:val="0"/>
        <w:spacing w:line="360" w:lineRule="auto"/>
        <w:ind w:firstLine="5520" w:firstLineChars="2300"/>
        <w:rPr>
          <w:rFonts w:ascii="宋体" w:hAnsi="宋体" w:cs="宋体"/>
          <w:color w:val="auto"/>
          <w:sz w:val="24"/>
          <w:highlight w:val="none"/>
        </w:rPr>
      </w:pPr>
      <w:r>
        <w:rPr>
          <w:rFonts w:hint="eastAsia" w:ascii="宋体" w:hAnsi="宋体" w:cs="宋体"/>
          <w:color w:val="auto"/>
          <w:sz w:val="24"/>
          <w:highlight w:val="none"/>
        </w:rPr>
        <w:t>货币单位：人民币元</w:t>
      </w:r>
    </w:p>
    <w:tbl>
      <w:tblPr>
        <w:tblStyle w:val="26"/>
        <w:tblW w:w="10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34"/>
        <w:gridCol w:w="1134"/>
        <w:gridCol w:w="1276"/>
        <w:gridCol w:w="1134"/>
        <w:gridCol w:w="992"/>
        <w:gridCol w:w="709"/>
        <w:gridCol w:w="830"/>
        <w:gridCol w:w="1722"/>
        <w:gridCol w:w="1276"/>
      </w:tblGrid>
      <w:tr w14:paraId="2215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09" w:type="dxa"/>
            <w:vAlign w:val="center"/>
          </w:tcPr>
          <w:p w14:paraId="5DB92E11">
            <w:pPr>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1034" w:type="dxa"/>
            <w:vAlign w:val="center"/>
          </w:tcPr>
          <w:p w14:paraId="50667F88">
            <w:pPr>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货物名称</w:t>
            </w:r>
          </w:p>
        </w:tc>
        <w:tc>
          <w:tcPr>
            <w:tcW w:w="1134" w:type="dxa"/>
            <w:vAlign w:val="center"/>
          </w:tcPr>
          <w:p w14:paraId="7CABCBE9">
            <w:pPr>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品牌</w:t>
            </w:r>
          </w:p>
        </w:tc>
        <w:tc>
          <w:tcPr>
            <w:tcW w:w="1276" w:type="dxa"/>
            <w:vAlign w:val="center"/>
          </w:tcPr>
          <w:p w14:paraId="2485CCB4">
            <w:pPr>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型号（与铭牌一致）</w:t>
            </w:r>
          </w:p>
        </w:tc>
        <w:tc>
          <w:tcPr>
            <w:tcW w:w="1134" w:type="dxa"/>
            <w:vAlign w:val="center"/>
          </w:tcPr>
          <w:p w14:paraId="7FA66B32">
            <w:pPr>
              <w:snapToGrid w:val="0"/>
              <w:jc w:val="center"/>
              <w:rPr>
                <w:rFonts w:ascii="宋体" w:hAnsi="宋体" w:cs="宋体"/>
                <w:color w:val="auto"/>
                <w:sz w:val="24"/>
                <w:highlight w:val="none"/>
              </w:rPr>
            </w:pPr>
            <w:r>
              <w:rPr>
                <w:rFonts w:hint="eastAsia" w:ascii="宋体" w:hAnsi="宋体" w:cs="宋体"/>
                <w:color w:val="auto"/>
                <w:sz w:val="24"/>
                <w:highlight w:val="none"/>
              </w:rPr>
              <w:t>生产厂家</w:t>
            </w:r>
          </w:p>
        </w:tc>
        <w:tc>
          <w:tcPr>
            <w:tcW w:w="992" w:type="dxa"/>
            <w:vAlign w:val="center"/>
          </w:tcPr>
          <w:p w14:paraId="55FB58FB">
            <w:pPr>
              <w:snapToGrid w:val="0"/>
              <w:jc w:val="center"/>
              <w:rPr>
                <w:rFonts w:ascii="宋体" w:hAnsi="宋体" w:cs="宋体"/>
                <w:color w:val="auto"/>
                <w:sz w:val="24"/>
                <w:highlight w:val="none"/>
              </w:rPr>
            </w:pPr>
            <w:r>
              <w:rPr>
                <w:rFonts w:hint="eastAsia" w:ascii="宋体" w:hAnsi="宋体" w:cs="宋体"/>
                <w:color w:val="auto"/>
                <w:sz w:val="24"/>
                <w:highlight w:val="none"/>
              </w:rPr>
              <w:t>产地</w:t>
            </w:r>
          </w:p>
        </w:tc>
        <w:tc>
          <w:tcPr>
            <w:tcW w:w="709" w:type="dxa"/>
            <w:vAlign w:val="center"/>
          </w:tcPr>
          <w:p w14:paraId="393AD897">
            <w:pPr>
              <w:snapToGrid w:val="0"/>
              <w:jc w:val="center"/>
              <w:rPr>
                <w:rFonts w:ascii="宋体" w:hAnsi="宋体" w:cs="宋体"/>
                <w:color w:val="auto"/>
                <w:sz w:val="24"/>
                <w:highlight w:val="none"/>
              </w:rPr>
            </w:pPr>
            <w:r>
              <w:rPr>
                <w:rFonts w:hint="eastAsia" w:ascii="宋体" w:hAnsi="宋体" w:cs="宋体"/>
                <w:color w:val="auto"/>
                <w:sz w:val="24"/>
                <w:highlight w:val="none"/>
              </w:rPr>
              <w:t>数  量①</w:t>
            </w:r>
          </w:p>
        </w:tc>
        <w:tc>
          <w:tcPr>
            <w:tcW w:w="830" w:type="dxa"/>
            <w:vAlign w:val="center"/>
          </w:tcPr>
          <w:p w14:paraId="620A1349">
            <w:pPr>
              <w:snapToGrid w:val="0"/>
              <w:jc w:val="center"/>
              <w:rPr>
                <w:rFonts w:ascii="宋体" w:hAnsi="宋体" w:cs="宋体"/>
                <w:color w:val="auto"/>
                <w:sz w:val="24"/>
                <w:highlight w:val="none"/>
              </w:rPr>
            </w:pPr>
            <w:r>
              <w:rPr>
                <w:rFonts w:hint="eastAsia" w:ascii="宋体" w:hAnsi="宋体" w:cs="宋体"/>
                <w:color w:val="auto"/>
                <w:sz w:val="24"/>
                <w:highlight w:val="none"/>
              </w:rPr>
              <w:t>单位</w:t>
            </w:r>
          </w:p>
        </w:tc>
        <w:tc>
          <w:tcPr>
            <w:tcW w:w="1722" w:type="dxa"/>
            <w:vAlign w:val="center"/>
          </w:tcPr>
          <w:p w14:paraId="38DFEB71">
            <w:pPr>
              <w:snapToGrid w:val="0"/>
              <w:jc w:val="center"/>
              <w:rPr>
                <w:rFonts w:ascii="宋体" w:hAnsi="宋体" w:cs="宋体"/>
                <w:color w:val="auto"/>
                <w:sz w:val="24"/>
                <w:highlight w:val="none"/>
              </w:rPr>
            </w:pPr>
            <w:r>
              <w:rPr>
                <w:rFonts w:hint="eastAsia" w:ascii="宋体" w:hAnsi="宋体" w:cs="宋体"/>
                <w:color w:val="auto"/>
                <w:sz w:val="24"/>
                <w:highlight w:val="none"/>
              </w:rPr>
              <w:t>单  价</w:t>
            </w:r>
          </w:p>
          <w:p w14:paraId="5F8A2F91">
            <w:pPr>
              <w:snapToGrid w:val="0"/>
              <w:jc w:val="center"/>
              <w:rPr>
                <w:rFonts w:ascii="宋体" w:hAnsi="宋体" w:cs="宋体"/>
                <w:color w:val="auto"/>
                <w:sz w:val="24"/>
                <w:highlight w:val="none"/>
              </w:rPr>
            </w:pPr>
            <w:r>
              <w:rPr>
                <w:rFonts w:hint="eastAsia" w:ascii="宋体" w:hAnsi="宋体" w:cs="宋体"/>
                <w:color w:val="auto"/>
                <w:sz w:val="24"/>
                <w:highlight w:val="none"/>
              </w:rPr>
              <w:t>②</w:t>
            </w:r>
          </w:p>
        </w:tc>
        <w:tc>
          <w:tcPr>
            <w:tcW w:w="1276" w:type="dxa"/>
            <w:vAlign w:val="center"/>
          </w:tcPr>
          <w:p w14:paraId="045675C2">
            <w:pPr>
              <w:snapToGrid w:val="0"/>
              <w:spacing w:before="50" w:after="50" w:line="360" w:lineRule="auto"/>
              <w:jc w:val="center"/>
              <w:rPr>
                <w:rFonts w:ascii="宋体" w:hAnsi="宋体" w:cs="宋体"/>
                <w:color w:val="auto"/>
                <w:sz w:val="24"/>
                <w:highlight w:val="none"/>
              </w:rPr>
            </w:pPr>
            <w:r>
              <w:rPr>
                <w:rFonts w:hint="eastAsia" w:ascii="宋体" w:hAnsi="宋体" w:cs="宋体"/>
                <w:color w:val="auto"/>
                <w:sz w:val="24"/>
                <w:highlight w:val="none"/>
                <w:lang w:bidi="ar"/>
              </w:rPr>
              <w:t>竞争性谈判</w:t>
            </w:r>
            <w:r>
              <w:rPr>
                <w:rFonts w:hint="eastAsia" w:ascii="宋体" w:hAnsi="宋体" w:cs="宋体"/>
                <w:color w:val="auto"/>
                <w:sz w:val="24"/>
                <w:highlight w:val="none"/>
              </w:rPr>
              <w:t>报价</w:t>
            </w:r>
          </w:p>
          <w:p w14:paraId="5EDED908">
            <w:pPr>
              <w:snapToGrid w:val="0"/>
              <w:jc w:val="center"/>
              <w:rPr>
                <w:rFonts w:ascii="宋体" w:hAnsi="宋体" w:cs="宋体"/>
                <w:color w:val="auto"/>
                <w:sz w:val="24"/>
                <w:highlight w:val="none"/>
              </w:rPr>
            </w:pPr>
            <w:r>
              <w:rPr>
                <w:rFonts w:hint="eastAsia" w:ascii="宋体" w:hAnsi="宋体" w:cs="宋体"/>
                <w:color w:val="auto"/>
                <w:sz w:val="24"/>
                <w:highlight w:val="none"/>
              </w:rPr>
              <w:t>③=①×②</w:t>
            </w:r>
          </w:p>
        </w:tc>
      </w:tr>
      <w:tr w14:paraId="5F88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09" w:type="dxa"/>
            <w:vAlign w:val="center"/>
          </w:tcPr>
          <w:p w14:paraId="7D01BD78">
            <w:pPr>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1034" w:type="dxa"/>
            <w:vAlign w:val="center"/>
          </w:tcPr>
          <w:p w14:paraId="0436D53F">
            <w:pPr>
              <w:snapToGrid w:val="0"/>
              <w:spacing w:line="460" w:lineRule="exact"/>
              <w:jc w:val="center"/>
              <w:rPr>
                <w:rFonts w:ascii="宋体" w:hAnsi="宋体" w:cs="宋体"/>
                <w:color w:val="auto"/>
                <w:sz w:val="24"/>
                <w:highlight w:val="none"/>
              </w:rPr>
            </w:pPr>
          </w:p>
        </w:tc>
        <w:tc>
          <w:tcPr>
            <w:tcW w:w="1134" w:type="dxa"/>
            <w:vAlign w:val="center"/>
          </w:tcPr>
          <w:p w14:paraId="2FC0A396">
            <w:pPr>
              <w:snapToGrid w:val="0"/>
              <w:spacing w:line="460" w:lineRule="exact"/>
              <w:jc w:val="center"/>
              <w:rPr>
                <w:rFonts w:ascii="宋体" w:hAnsi="宋体" w:cs="宋体"/>
                <w:color w:val="auto"/>
                <w:sz w:val="24"/>
                <w:highlight w:val="none"/>
              </w:rPr>
            </w:pPr>
          </w:p>
        </w:tc>
        <w:tc>
          <w:tcPr>
            <w:tcW w:w="1276" w:type="dxa"/>
            <w:vAlign w:val="center"/>
          </w:tcPr>
          <w:p w14:paraId="620B95F3">
            <w:pPr>
              <w:snapToGrid w:val="0"/>
              <w:spacing w:line="460" w:lineRule="exact"/>
              <w:jc w:val="center"/>
              <w:rPr>
                <w:rFonts w:ascii="宋体" w:hAnsi="宋体" w:cs="宋体"/>
                <w:color w:val="auto"/>
                <w:sz w:val="24"/>
                <w:highlight w:val="none"/>
              </w:rPr>
            </w:pPr>
          </w:p>
        </w:tc>
        <w:tc>
          <w:tcPr>
            <w:tcW w:w="1134" w:type="dxa"/>
          </w:tcPr>
          <w:p w14:paraId="25F7270F">
            <w:pPr>
              <w:snapToGrid w:val="0"/>
              <w:spacing w:line="460" w:lineRule="exact"/>
              <w:jc w:val="center"/>
              <w:rPr>
                <w:rFonts w:ascii="宋体" w:hAnsi="宋体" w:cs="宋体"/>
                <w:color w:val="auto"/>
                <w:sz w:val="24"/>
                <w:highlight w:val="none"/>
              </w:rPr>
            </w:pPr>
          </w:p>
        </w:tc>
        <w:tc>
          <w:tcPr>
            <w:tcW w:w="992" w:type="dxa"/>
            <w:vAlign w:val="center"/>
          </w:tcPr>
          <w:p w14:paraId="29C5F21B">
            <w:pPr>
              <w:snapToGrid w:val="0"/>
              <w:spacing w:line="460" w:lineRule="exact"/>
              <w:jc w:val="center"/>
              <w:rPr>
                <w:rFonts w:ascii="宋体" w:hAnsi="宋体" w:cs="宋体"/>
                <w:color w:val="auto"/>
                <w:sz w:val="24"/>
                <w:highlight w:val="none"/>
              </w:rPr>
            </w:pPr>
          </w:p>
        </w:tc>
        <w:tc>
          <w:tcPr>
            <w:tcW w:w="709" w:type="dxa"/>
            <w:vAlign w:val="center"/>
          </w:tcPr>
          <w:p w14:paraId="4EB83BC7">
            <w:pPr>
              <w:pStyle w:val="39"/>
              <w:snapToGrid w:val="0"/>
              <w:spacing w:line="460" w:lineRule="exact"/>
              <w:ind w:left="360" w:firstLine="0" w:firstLineChars="0"/>
              <w:rPr>
                <w:rFonts w:ascii="宋体" w:hAnsi="宋体" w:cs="宋体"/>
                <w:color w:val="auto"/>
                <w:sz w:val="24"/>
                <w:highlight w:val="none"/>
              </w:rPr>
            </w:pPr>
          </w:p>
        </w:tc>
        <w:tc>
          <w:tcPr>
            <w:tcW w:w="830" w:type="dxa"/>
          </w:tcPr>
          <w:p w14:paraId="1EDEF3D6">
            <w:pPr>
              <w:snapToGrid w:val="0"/>
              <w:spacing w:line="460" w:lineRule="exact"/>
              <w:jc w:val="center"/>
              <w:rPr>
                <w:rFonts w:ascii="宋体" w:hAnsi="宋体" w:cs="宋体"/>
                <w:color w:val="auto"/>
                <w:sz w:val="24"/>
                <w:highlight w:val="none"/>
              </w:rPr>
            </w:pPr>
          </w:p>
        </w:tc>
        <w:tc>
          <w:tcPr>
            <w:tcW w:w="1722" w:type="dxa"/>
            <w:vAlign w:val="center"/>
          </w:tcPr>
          <w:p w14:paraId="1A6A91B0">
            <w:pPr>
              <w:pStyle w:val="39"/>
              <w:snapToGrid w:val="0"/>
              <w:spacing w:line="460" w:lineRule="exact"/>
              <w:ind w:left="360" w:firstLine="0" w:firstLineChars="0"/>
              <w:rPr>
                <w:rFonts w:ascii="宋体" w:hAnsi="宋体" w:cs="宋体"/>
                <w:color w:val="auto"/>
                <w:sz w:val="24"/>
                <w:highlight w:val="none"/>
              </w:rPr>
            </w:pPr>
          </w:p>
        </w:tc>
        <w:tc>
          <w:tcPr>
            <w:tcW w:w="1276" w:type="dxa"/>
          </w:tcPr>
          <w:p w14:paraId="577784B9">
            <w:pPr>
              <w:snapToGrid w:val="0"/>
              <w:spacing w:line="460" w:lineRule="exact"/>
              <w:jc w:val="center"/>
              <w:rPr>
                <w:rFonts w:ascii="宋体" w:hAnsi="宋体" w:cs="宋体"/>
                <w:color w:val="auto"/>
                <w:sz w:val="24"/>
                <w:highlight w:val="none"/>
              </w:rPr>
            </w:pPr>
          </w:p>
        </w:tc>
      </w:tr>
      <w:tr w14:paraId="5820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jc w:val="center"/>
        </w:trPr>
        <w:tc>
          <w:tcPr>
            <w:tcW w:w="10816" w:type="dxa"/>
            <w:gridSpan w:val="10"/>
          </w:tcPr>
          <w:p w14:paraId="21A12400">
            <w:pPr>
              <w:snapToGrid w:val="0"/>
              <w:spacing w:line="460" w:lineRule="exact"/>
              <w:jc w:val="left"/>
              <w:rPr>
                <w:color w:val="auto"/>
                <w:highlight w:val="none"/>
              </w:rPr>
            </w:pPr>
            <w:r>
              <w:rPr>
                <w:rFonts w:hint="eastAsia" w:ascii="宋体" w:hAnsi="宋体" w:cs="宋体"/>
                <w:color w:val="auto"/>
                <w:sz w:val="24"/>
                <w:highlight w:val="none"/>
              </w:rPr>
              <w:t>合计金额（人民币大写</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b/>
                <w:bCs/>
                <w:color w:val="auto"/>
                <w:sz w:val="24"/>
                <w:highlight w:val="none"/>
                <w:u w:val="single"/>
              </w:rPr>
              <w:t xml:space="preserve"> </w:t>
            </w:r>
            <w:r>
              <w:rPr>
                <w:rFonts w:ascii="宋体" w:hAnsi="宋体" w:cs="宋体"/>
                <w:b/>
                <w:bCs/>
                <w:color w:val="auto"/>
                <w:sz w:val="24"/>
                <w:highlight w:val="none"/>
                <w:u w:val="single"/>
              </w:rPr>
              <w:t xml:space="preserve">              </w:t>
            </w:r>
            <w:r>
              <w:rPr>
                <w:rFonts w:hint="eastAsia" w:ascii="宋体" w:hAnsi="宋体" w:cs="宋体"/>
                <w:bCs/>
                <w:color w:val="auto"/>
                <w:sz w:val="24"/>
                <w:highlight w:val="none"/>
                <w:u w:val="single"/>
              </w:rPr>
              <w:t>元整</w:t>
            </w:r>
            <w:r>
              <w:rPr>
                <w:rFonts w:hint="eastAsia" w:ascii="宋体" w:hAnsi="宋体" w:cs="宋体"/>
                <w:bCs/>
                <w:color w:val="auto"/>
                <w:sz w:val="24"/>
                <w:highlight w:val="none"/>
              </w:rPr>
              <w:t>（小写）</w:t>
            </w:r>
            <w:r>
              <w:rPr>
                <w:rFonts w:hint="eastAsia" w:ascii="宋体" w:hAnsi="宋体" w:cs="宋体"/>
                <w:bCs/>
                <w:color w:val="auto"/>
                <w:sz w:val="24"/>
                <w:highlight w:val="none"/>
                <w:u w:val="single"/>
              </w:rPr>
              <w:t xml:space="preserve">¥ </w:t>
            </w:r>
            <w:r>
              <w:rPr>
                <w:rFonts w:ascii="宋体" w:hAnsi="宋体" w:cs="宋体"/>
                <w:bCs/>
                <w:color w:val="auto"/>
                <w:sz w:val="24"/>
                <w:highlight w:val="none"/>
                <w:u w:val="single"/>
              </w:rPr>
              <w:t xml:space="preserve">         </w:t>
            </w:r>
          </w:p>
        </w:tc>
      </w:tr>
      <w:tr w14:paraId="3555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jc w:val="center"/>
        </w:trPr>
        <w:tc>
          <w:tcPr>
            <w:tcW w:w="10816" w:type="dxa"/>
            <w:gridSpan w:val="10"/>
          </w:tcPr>
          <w:p w14:paraId="0735D16B">
            <w:pPr>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交货时间：合同签订后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日内全部完成设备的供货并安装调试完毕。</w:t>
            </w:r>
          </w:p>
        </w:tc>
      </w:tr>
    </w:tbl>
    <w:p w14:paraId="3B89DBB0">
      <w:pPr>
        <w:pStyle w:val="38"/>
        <w:rPr>
          <w:color w:val="auto"/>
          <w:highlight w:val="none"/>
        </w:rPr>
      </w:pPr>
    </w:p>
    <w:p w14:paraId="2203F4B7">
      <w:pPr>
        <w:spacing w:line="300" w:lineRule="exact"/>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r>
        <w:rPr>
          <w:rFonts w:ascii="楷体" w:hAnsi="楷体" w:eastAsia="楷体" w:cs="宋体"/>
          <w:b/>
          <w:color w:val="auto"/>
          <w:sz w:val="24"/>
          <w:highlight w:val="none"/>
        </w:rPr>
        <w:t xml:space="preserve">: </w:t>
      </w:r>
    </w:p>
    <w:p w14:paraId="18ED0C99">
      <w:pPr>
        <w:spacing w:line="300" w:lineRule="exact"/>
        <w:ind w:firstLine="480" w:firstLineChars="200"/>
        <w:contextualSpacing/>
        <w:jc w:val="left"/>
        <w:rPr>
          <w:rFonts w:ascii="楷体" w:hAnsi="楷体" w:eastAsia="楷体" w:cs="宋体"/>
          <w:b/>
          <w:color w:val="auto"/>
          <w:sz w:val="24"/>
          <w:highlight w:val="none"/>
        </w:rPr>
      </w:pPr>
      <w:r>
        <w:rPr>
          <w:rFonts w:ascii="楷体" w:hAnsi="楷体" w:eastAsia="楷体" w:cs="宋体"/>
          <w:color w:val="auto"/>
          <w:sz w:val="24"/>
          <w:highlight w:val="none"/>
        </w:rPr>
        <w:t>1.</w:t>
      </w:r>
      <w:r>
        <w:rPr>
          <w:rFonts w:hint="eastAsia" w:ascii="楷体" w:hAnsi="楷体" w:eastAsia="楷体" w:cs="宋体"/>
          <w:color w:val="auto"/>
          <w:sz w:val="24"/>
          <w:highlight w:val="none"/>
        </w:rPr>
        <w:t>竞争性谈判报价表中“货物名称、数量、单位、品牌、型号、生产厂家、产地”必须如实填写完整，定制产品在型号栏中填写“定制”。</w:t>
      </w:r>
      <w:r>
        <w:rPr>
          <w:rFonts w:hint="eastAsia" w:ascii="楷体" w:hAnsi="楷体" w:eastAsia="楷体" w:cs="宋体"/>
          <w:b/>
          <w:color w:val="auto"/>
          <w:sz w:val="24"/>
          <w:highlight w:val="none"/>
        </w:rPr>
        <w:t>填写有缺漏</w:t>
      </w:r>
      <w:r>
        <w:rPr>
          <w:rFonts w:hint="eastAsia" w:ascii="楷体" w:hAnsi="楷体" w:eastAsia="楷体" w:cs="宋体"/>
          <w:b/>
          <w:bCs/>
          <w:color w:val="auto"/>
          <w:sz w:val="24"/>
          <w:highlight w:val="none"/>
        </w:rPr>
        <w:t>的，</w:t>
      </w:r>
      <w:r>
        <w:rPr>
          <w:rFonts w:hint="eastAsia" w:ascii="楷体" w:hAnsi="楷体" w:eastAsia="楷体" w:cs="宋体"/>
          <w:b/>
          <w:color w:val="auto"/>
          <w:sz w:val="24"/>
          <w:highlight w:val="none"/>
        </w:rPr>
        <w:t>其响应文件按无效响应处理。</w:t>
      </w:r>
    </w:p>
    <w:p w14:paraId="6E2D873C">
      <w:pPr>
        <w:snapToGrid w:val="0"/>
        <w:spacing w:before="50" w:after="50" w:line="300" w:lineRule="exact"/>
        <w:ind w:firstLine="482" w:firstLineChars="200"/>
        <w:jc w:val="left"/>
        <w:rPr>
          <w:rFonts w:ascii="楷体" w:hAnsi="楷体" w:eastAsia="楷体"/>
          <w:color w:val="auto"/>
          <w:highlight w:val="none"/>
        </w:rPr>
      </w:pPr>
      <w:r>
        <w:rPr>
          <w:rFonts w:ascii="楷体" w:hAnsi="楷体" w:eastAsia="楷体" w:cs="宋体"/>
          <w:b/>
          <w:color w:val="auto"/>
          <w:sz w:val="24"/>
          <w:highlight w:val="none"/>
        </w:rPr>
        <w:t>2.所填写的型号与货物铭牌一致。</w:t>
      </w:r>
    </w:p>
    <w:p w14:paraId="0D3D26B3">
      <w:pPr>
        <w:spacing w:line="300" w:lineRule="exact"/>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3.供应商的报价表必须加盖供应商公章并由法定代表人或者委托代理人签字，</w:t>
      </w:r>
      <w:r>
        <w:rPr>
          <w:rFonts w:hint="eastAsia" w:ascii="楷体" w:hAnsi="楷体" w:eastAsia="楷体" w:cs="宋体"/>
          <w:b/>
          <w:color w:val="auto"/>
          <w:sz w:val="24"/>
          <w:highlight w:val="none"/>
        </w:rPr>
        <w:t>否则其响应文件按无效响应处理</w:t>
      </w:r>
      <w:r>
        <w:rPr>
          <w:rFonts w:hint="eastAsia" w:ascii="楷体" w:hAnsi="楷体" w:eastAsia="楷体" w:cs="宋体"/>
          <w:color w:val="auto"/>
          <w:sz w:val="24"/>
          <w:highlight w:val="none"/>
        </w:rPr>
        <w:t>。</w:t>
      </w:r>
    </w:p>
    <w:p w14:paraId="4F215D86">
      <w:pPr>
        <w:spacing w:line="300" w:lineRule="exact"/>
        <w:ind w:firstLine="480" w:firstLineChars="200"/>
        <w:contextualSpacing/>
        <w:jc w:val="left"/>
        <w:rPr>
          <w:rFonts w:ascii="楷体" w:hAnsi="楷体" w:eastAsia="楷体" w:cs="宋体"/>
          <w:b/>
          <w:color w:val="auto"/>
          <w:sz w:val="24"/>
          <w:highlight w:val="none"/>
        </w:rPr>
      </w:pPr>
      <w:r>
        <w:rPr>
          <w:rFonts w:ascii="楷体" w:hAnsi="楷体" w:eastAsia="楷体" w:cs="宋体"/>
          <w:bCs/>
          <w:color w:val="auto"/>
          <w:sz w:val="24"/>
          <w:highlight w:val="none"/>
        </w:rPr>
        <w:t>4.</w:t>
      </w:r>
      <w:r>
        <w:rPr>
          <w:rFonts w:hint="eastAsia" w:ascii="楷体" w:hAnsi="楷体" w:eastAsia="楷体" w:cs="宋体"/>
          <w:color w:val="auto"/>
          <w:sz w:val="24"/>
          <w:highlight w:val="none"/>
        </w:rPr>
        <w:t>报价一经涂改，应在涂改处加盖供应商公章或者由法定代表人或者授权委托人签字或者盖章</w:t>
      </w:r>
      <w:r>
        <w:rPr>
          <w:rFonts w:hint="eastAsia" w:ascii="楷体" w:hAnsi="楷体" w:eastAsia="楷体" w:cs="宋体"/>
          <w:b/>
          <w:color w:val="auto"/>
          <w:sz w:val="24"/>
          <w:highlight w:val="none"/>
        </w:rPr>
        <w:t>，否则其响应文件按无效响应处理。</w:t>
      </w:r>
    </w:p>
    <w:p w14:paraId="320A01F7">
      <w:pPr>
        <w:spacing w:line="300" w:lineRule="exact"/>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5.谈判文件中列明采购专用耗材的，应按谈判文件规定的耗材量或者按耗材的常规</w:t>
      </w:r>
      <w:r>
        <w:rPr>
          <w:rFonts w:hint="eastAsia" w:ascii="楷体" w:hAnsi="楷体" w:eastAsia="楷体" w:cs="宋体"/>
          <w:color w:val="auto"/>
          <w:sz w:val="24"/>
          <w:highlight w:val="none"/>
        </w:rPr>
        <w:t>使用量提供报价。</w:t>
      </w:r>
    </w:p>
    <w:p w14:paraId="5A78A5FE">
      <w:pPr>
        <w:spacing w:line="300" w:lineRule="exact"/>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6.如为联合体</w:t>
      </w:r>
      <w:r>
        <w:rPr>
          <w:rFonts w:hint="eastAsia" w:ascii="楷体" w:hAnsi="楷体" w:eastAsia="楷体" w:cs="宋体"/>
          <w:color w:val="auto"/>
          <w:sz w:val="24"/>
          <w:highlight w:val="none"/>
        </w:rPr>
        <w:t>参与竞争性谈判</w:t>
      </w:r>
      <w:r>
        <w:rPr>
          <w:rFonts w:ascii="楷体" w:hAnsi="楷体" w:eastAsia="楷体" w:cs="宋体"/>
          <w:color w:val="auto"/>
          <w:sz w:val="24"/>
          <w:highlight w:val="none"/>
        </w:rPr>
        <w:t>,“供应商名称”处必须列明联合体各方名称，标注联合体牵头人名称，</w:t>
      </w:r>
      <w:r>
        <w:rPr>
          <w:rFonts w:hint="eastAsia" w:ascii="楷体" w:hAnsi="楷体" w:eastAsia="楷体" w:cs="宋体"/>
          <w:b/>
          <w:color w:val="auto"/>
          <w:sz w:val="24"/>
          <w:highlight w:val="none"/>
        </w:rPr>
        <w:t>否则其响应文件按无效响应处理。（采购人可根据项目情况自行修改是否需要联合体各方签字盖章）</w:t>
      </w:r>
    </w:p>
    <w:p w14:paraId="03F6F878">
      <w:pPr>
        <w:spacing w:line="300" w:lineRule="exact"/>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7.如为联合体</w:t>
      </w:r>
      <w:r>
        <w:rPr>
          <w:rFonts w:hint="eastAsia" w:ascii="楷体" w:hAnsi="楷体" w:eastAsia="楷体" w:cs="宋体"/>
          <w:color w:val="auto"/>
          <w:sz w:val="24"/>
          <w:highlight w:val="none"/>
        </w:rPr>
        <w:t>参与竞争性谈判</w:t>
      </w:r>
      <w:r>
        <w:rPr>
          <w:rFonts w:ascii="楷体" w:hAnsi="楷体" w:eastAsia="楷体" w:cs="宋体"/>
          <w:color w:val="auto"/>
          <w:sz w:val="24"/>
          <w:highlight w:val="none"/>
        </w:rPr>
        <w:t>,盖章处须加盖联合体各方公章，</w:t>
      </w:r>
      <w:r>
        <w:rPr>
          <w:rFonts w:hint="eastAsia" w:ascii="楷体" w:hAnsi="楷体" w:eastAsia="楷体" w:cs="宋体"/>
          <w:b/>
          <w:color w:val="auto"/>
          <w:sz w:val="24"/>
          <w:highlight w:val="none"/>
        </w:rPr>
        <w:t>否则其响应文件按无效响应处理。</w:t>
      </w:r>
    </w:p>
    <w:p w14:paraId="032AF3D3">
      <w:pPr>
        <w:spacing w:line="300" w:lineRule="exact"/>
        <w:ind w:firstLine="480" w:firstLineChars="200"/>
        <w:contextualSpacing/>
        <w:rPr>
          <w:rFonts w:ascii="楷体" w:hAnsi="楷体" w:eastAsia="楷体" w:cs="宋体"/>
          <w:b/>
          <w:color w:val="auto"/>
          <w:sz w:val="24"/>
          <w:highlight w:val="none"/>
        </w:rPr>
      </w:pPr>
      <w:r>
        <w:rPr>
          <w:rFonts w:ascii="楷体" w:hAnsi="楷体" w:eastAsia="楷体" w:cs="宋体"/>
          <w:color w:val="auto"/>
          <w:sz w:val="24"/>
          <w:highlight w:val="none"/>
        </w:rPr>
        <w:t>8.</w:t>
      </w:r>
      <w:r>
        <w:rPr>
          <w:rFonts w:hint="eastAsia" w:ascii="楷体" w:hAnsi="楷体" w:eastAsia="楷体" w:cs="宋体"/>
          <w:color w:val="auto"/>
          <w:spacing w:val="-6"/>
          <w:sz w:val="24"/>
          <w:highlight w:val="none"/>
        </w:rPr>
        <w:t>如有多分标，分别列明各分标的报价表，</w:t>
      </w:r>
      <w:r>
        <w:rPr>
          <w:rFonts w:hint="eastAsia" w:ascii="楷体" w:hAnsi="楷体" w:eastAsia="楷体" w:cs="宋体"/>
          <w:b/>
          <w:color w:val="auto"/>
          <w:spacing w:val="-6"/>
          <w:sz w:val="24"/>
          <w:highlight w:val="none"/>
        </w:rPr>
        <w:t>否则其响应文件按无效响应处理。</w:t>
      </w:r>
      <w:r>
        <w:rPr>
          <w:rFonts w:hint="eastAsia" w:ascii="楷体" w:hAnsi="楷体" w:eastAsia="楷体" w:cs="宋体"/>
          <w:b/>
          <w:color w:val="auto"/>
          <w:sz w:val="24"/>
          <w:highlight w:val="none"/>
        </w:rPr>
        <w:t>（采购人可根据项目情况自行修改是否需要联合体各方签字盖章）</w:t>
      </w:r>
    </w:p>
    <w:p w14:paraId="293E12B7">
      <w:pPr>
        <w:pStyle w:val="38"/>
        <w:rPr>
          <w:color w:val="auto"/>
          <w:highlight w:val="none"/>
        </w:rPr>
      </w:pPr>
    </w:p>
    <w:p w14:paraId="77E4870E">
      <w:pPr>
        <w:spacing w:line="360" w:lineRule="auto"/>
        <w:ind w:firstLine="2640" w:firstLineChars="1100"/>
        <w:contextualSpacing/>
        <w:rPr>
          <w:rFonts w:ascii="宋体" w:hAnsi="宋体" w:cs="宋体"/>
          <w:color w:val="auto"/>
          <w:sz w:val="24"/>
          <w:highlight w:val="non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4607F2F6">
      <w:pPr>
        <w:spacing w:line="360" w:lineRule="auto"/>
        <w:ind w:firstLine="2640" w:firstLineChars="110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C58CB90">
      <w:pPr>
        <w:spacing w:line="360" w:lineRule="auto"/>
        <w:ind w:firstLine="2640" w:firstLineChars="1100"/>
        <w:contextualSpacing/>
        <w:rPr>
          <w:rFonts w:ascii="宋体" w:hAnsi="宋体" w:cs="宋体"/>
          <w:b/>
          <w:color w:val="auto"/>
          <w:sz w:val="24"/>
          <w:highlight w:val="non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428AB87F">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bCs/>
          <w:color w:val="auto"/>
          <w:sz w:val="44"/>
          <w:szCs w:val="44"/>
          <w:highlight w:val="none"/>
        </w:rPr>
        <w:t>法定代表人身份证明</w:t>
      </w:r>
    </w:p>
    <w:p w14:paraId="28E2B4D4">
      <w:pPr>
        <w:spacing w:line="360" w:lineRule="auto"/>
        <w:contextualSpacing/>
        <w:rPr>
          <w:rFonts w:ascii="宋体" w:hAnsi="宋体" w:cs="宋体"/>
          <w:color w:val="auto"/>
          <w:sz w:val="32"/>
          <w:szCs w:val="32"/>
          <w:highlight w:val="none"/>
        </w:rPr>
      </w:pPr>
    </w:p>
    <w:p w14:paraId="38C7A076">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3EACBB40">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60676F66">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4264F882">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3B0C4264">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65A9DE04">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的法定代表人。</w:t>
      </w:r>
    </w:p>
    <w:p w14:paraId="30DB553B">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特此证明。</w:t>
      </w:r>
    </w:p>
    <w:p w14:paraId="4B7F14B7">
      <w:pPr>
        <w:spacing w:line="360" w:lineRule="auto"/>
        <w:contextualSpacing/>
        <w:rPr>
          <w:rFonts w:ascii="宋体" w:hAnsi="宋体" w:cs="宋体"/>
          <w:color w:val="auto"/>
          <w:sz w:val="24"/>
          <w:highlight w:val="none"/>
        </w:rPr>
      </w:pPr>
    </w:p>
    <w:p w14:paraId="75FC6BE1">
      <w:pPr>
        <w:spacing w:line="360" w:lineRule="auto"/>
        <w:contextualSpacing/>
        <w:rPr>
          <w:rFonts w:ascii="宋体" w:hAnsi="宋体" w:cs="宋体"/>
          <w:color w:val="auto"/>
          <w:sz w:val="24"/>
          <w:highlight w:val="none"/>
        </w:rPr>
      </w:pPr>
    </w:p>
    <w:p w14:paraId="2AAA1514">
      <w:pPr>
        <w:spacing w:line="360" w:lineRule="auto"/>
        <w:contextualSpacing/>
        <w:rPr>
          <w:rFonts w:ascii="宋体" w:hAnsi="宋体" w:cs="宋体"/>
          <w:color w:val="auto"/>
          <w:sz w:val="24"/>
          <w:highlight w:val="none"/>
        </w:rPr>
      </w:pPr>
    </w:p>
    <w:p w14:paraId="37810345">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68EEBCD2">
      <w:pPr>
        <w:spacing w:line="360" w:lineRule="auto"/>
        <w:contextualSpacing/>
        <w:rPr>
          <w:rFonts w:ascii="宋体" w:hAnsi="宋体" w:cs="宋体"/>
          <w:color w:val="auto"/>
          <w:sz w:val="24"/>
          <w:highlight w:val="none"/>
        </w:rPr>
      </w:pPr>
    </w:p>
    <w:p w14:paraId="65D7E409">
      <w:pPr>
        <w:spacing w:line="360" w:lineRule="auto"/>
        <w:ind w:right="960" w:firstLine="5040" w:firstLineChars="210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p>
    <w:p w14:paraId="0D1BA7D7">
      <w:pPr>
        <w:spacing w:line="360" w:lineRule="auto"/>
        <w:ind w:firstLine="5040" w:firstLineChars="2100"/>
        <w:contextualSpacing/>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5EA469A8">
      <w:pPr>
        <w:spacing w:line="360" w:lineRule="auto"/>
        <w:contextualSpacing/>
        <w:jc w:val="center"/>
        <w:rPr>
          <w:rFonts w:ascii="宋体" w:hAnsi="宋体" w:cs="宋体"/>
          <w:b/>
          <w:color w:val="auto"/>
          <w:sz w:val="24"/>
          <w:highlight w:val="none"/>
        </w:rPr>
      </w:pPr>
    </w:p>
    <w:p w14:paraId="5D905FC6">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087702B8">
      <w:pPr>
        <w:spacing w:line="360" w:lineRule="auto"/>
        <w:ind w:firstLine="480" w:firstLineChars="200"/>
        <w:contextualSpacing/>
        <w:jc w:val="left"/>
        <w:rPr>
          <w:rFonts w:ascii="楷体" w:hAnsi="楷体" w:eastAsia="楷体" w:cs="宋体"/>
          <w:color w:val="auto"/>
          <w:sz w:val="24"/>
          <w:highlight w:val="none"/>
        </w:rPr>
      </w:pPr>
      <w:r>
        <w:rPr>
          <w:rFonts w:hint="eastAsia" w:ascii="楷体" w:hAnsi="楷体" w:eastAsia="楷体" w:cs="宋体"/>
          <w:color w:val="auto"/>
          <w:sz w:val="24"/>
          <w:highlight w:val="none"/>
        </w:rPr>
        <w:t>自然人参与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highlight w:val="none"/>
        </w:rPr>
        <w:t>的无需提供，联合体参与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highlight w:val="none"/>
        </w:rPr>
        <w:t>的只需牵头人出具。</w:t>
      </w:r>
    </w:p>
    <w:p w14:paraId="5884AD68">
      <w:pPr>
        <w:adjustRightInd w:val="0"/>
        <w:snapToGrid w:val="0"/>
        <w:spacing w:line="360" w:lineRule="auto"/>
        <w:jc w:val="left"/>
        <w:rPr>
          <w:rFonts w:ascii="楷体" w:hAnsi="楷体" w:eastAsia="楷体" w:cs="宋体"/>
          <w:b/>
          <w:color w:val="auto"/>
          <w:szCs w:val="21"/>
          <w:highlight w:val="none"/>
        </w:rPr>
      </w:pPr>
    </w:p>
    <w:p w14:paraId="5DA8C434">
      <w:pPr>
        <w:spacing w:line="360" w:lineRule="auto"/>
        <w:jc w:val="center"/>
        <w:rPr>
          <w:rFonts w:ascii="宋体" w:hAnsi="宋体" w:cs="宋体"/>
          <w:b/>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44"/>
          <w:szCs w:val="44"/>
          <w:highlight w:val="none"/>
        </w:rPr>
        <w:t>授权委托书</w:t>
      </w:r>
    </w:p>
    <w:p w14:paraId="5A0A4C44">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（非联合体参与竞争性谈判格式）</w:t>
      </w:r>
    </w:p>
    <w:p w14:paraId="65FA1BF5">
      <w:pPr>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（如有委托时）</w:t>
      </w:r>
    </w:p>
    <w:p w14:paraId="600AD2E9">
      <w:pPr>
        <w:spacing w:line="360" w:lineRule="auto"/>
        <w:contextualSpacing/>
        <w:rPr>
          <w:rFonts w:ascii="宋体" w:hAnsi="宋体" w:cs="宋体"/>
          <w:color w:val="auto"/>
          <w:sz w:val="32"/>
          <w:szCs w:val="32"/>
          <w:highlight w:val="none"/>
        </w:rPr>
      </w:pPr>
    </w:p>
    <w:p w14:paraId="234D4F1C">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13C0B54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w:t>
      </w:r>
      <w:r>
        <w:rPr>
          <w:rFonts w:hint="eastAsia" w:ascii="宋体" w:hAnsi="宋体" w:cs="宋体"/>
          <w:color w:val="auto"/>
          <w:sz w:val="24"/>
          <w:highlight w:val="none"/>
          <w:lang w:bidi="ar"/>
        </w:rPr>
        <w:t>竞争性谈判</w:t>
      </w:r>
      <w:r>
        <w:rPr>
          <w:rFonts w:hint="eastAsia" w:ascii="宋体" w:hAnsi="宋体" w:cs="宋体"/>
          <w:color w:val="auto"/>
          <w:sz w:val="24"/>
          <w:highlight w:val="none"/>
        </w:rPr>
        <w:t>活动，并代表我方全权办理针对上述项目的所有采购程序和环节的具体事务和签署相关文件。</w:t>
      </w:r>
    </w:p>
    <w:p w14:paraId="7A55EE56">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408CB47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2FFD06E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6F3579B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附：法定代表人身份证明及委托代理人有效身份证正反面复印件</w:t>
      </w:r>
    </w:p>
    <w:p w14:paraId="123878A5">
      <w:pPr>
        <w:spacing w:line="360" w:lineRule="auto"/>
        <w:contextualSpacing/>
        <w:rPr>
          <w:rFonts w:ascii="宋体" w:hAnsi="宋体" w:cs="宋体"/>
          <w:color w:val="auto"/>
          <w:sz w:val="24"/>
          <w:highlight w:val="none"/>
        </w:rPr>
      </w:pPr>
    </w:p>
    <w:p w14:paraId="3ECF6AE9">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法定代表人（签字）：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55A0A0A0">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委托代理人身份证号码：</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5BE16C6A">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w:t>
      </w:r>
    </w:p>
    <w:p w14:paraId="28267C8B">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DDF1CE9">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7D5E503C">
      <w:pPr>
        <w:spacing w:line="360" w:lineRule="auto"/>
        <w:contextualSpacing/>
        <w:rPr>
          <w:rFonts w:ascii="宋体" w:hAnsi="宋体" w:cs="宋体"/>
          <w:color w:val="auto"/>
          <w:sz w:val="24"/>
          <w:highlight w:val="none"/>
        </w:rPr>
      </w:pPr>
    </w:p>
    <w:p w14:paraId="19EAFB02">
      <w:pPr>
        <w:spacing w:line="360" w:lineRule="auto"/>
        <w:contextualSpacing/>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0935EAD6">
      <w:pPr>
        <w:spacing w:line="360" w:lineRule="auto"/>
        <w:ind w:firstLine="480" w:firstLineChars="200"/>
        <w:contextualSpacing/>
        <w:rPr>
          <w:rFonts w:ascii="楷体" w:hAnsi="楷体" w:eastAsia="楷体" w:cs="宋体"/>
          <w:color w:val="auto"/>
          <w:sz w:val="24"/>
          <w:highlight w:val="none"/>
        </w:rPr>
      </w:pPr>
      <w:r>
        <w:rPr>
          <w:rFonts w:ascii="楷体" w:hAnsi="楷体" w:eastAsia="楷体" w:cs="宋体"/>
          <w:color w:val="auto"/>
          <w:sz w:val="24"/>
          <w:highlight w:val="none"/>
        </w:rPr>
        <w:t>1.</w:t>
      </w:r>
      <w:r>
        <w:rPr>
          <w:rFonts w:hint="eastAsia" w:ascii="楷体" w:hAnsi="楷体" w:eastAsia="楷体" w:cs="宋体"/>
          <w:color w:val="auto"/>
          <w:sz w:val="24"/>
          <w:highlight w:val="none"/>
        </w:rPr>
        <w:t>法定代表人必须在授权委托书上亲笔签字或者盖章，委托代理人必须在授权委托书上亲笔签字，</w:t>
      </w:r>
      <w:r>
        <w:rPr>
          <w:rFonts w:hint="eastAsia" w:ascii="楷体" w:hAnsi="楷体" w:eastAsia="楷体" w:cs="宋体"/>
          <w:b/>
          <w:color w:val="auto"/>
          <w:sz w:val="24"/>
          <w:highlight w:val="none"/>
        </w:rPr>
        <w:t>否则其响应文件按无效响应处理。</w:t>
      </w:r>
    </w:p>
    <w:p w14:paraId="7D97B8FC">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2.法人、其他组织</w:t>
      </w:r>
      <w:r>
        <w:rPr>
          <w:rFonts w:hint="eastAsia" w:ascii="楷体" w:hAnsi="楷体" w:eastAsia="楷体" w:cs="宋体"/>
          <w:color w:val="auto"/>
          <w:sz w:val="24"/>
          <w:highlight w:val="none"/>
        </w:rPr>
        <w:t>参与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highlight w:val="none"/>
        </w:rPr>
        <w:t>时“我方”是指“我单位”，自然人参与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highlight w:val="none"/>
        </w:rPr>
        <w:t>时“我方”是指“本人”。</w:t>
      </w:r>
    </w:p>
    <w:p w14:paraId="1CEB3F30">
      <w:pPr>
        <w:spacing w:line="360" w:lineRule="auto"/>
        <w:ind w:firstLine="420" w:firstLineChars="200"/>
        <w:contextualSpacing/>
        <w:jc w:val="left"/>
        <w:rPr>
          <w:rFonts w:ascii="宋体" w:hAnsi="宋体" w:cs="宋体"/>
          <w:color w:val="auto"/>
          <w:szCs w:val="21"/>
          <w:highlight w:val="none"/>
        </w:rPr>
      </w:pPr>
    </w:p>
    <w:p w14:paraId="40B88599">
      <w:pPr>
        <w:spacing w:line="360" w:lineRule="auto"/>
        <w:contextualSpacing/>
        <w:jc w:val="center"/>
        <w:rPr>
          <w:rFonts w:ascii="宋体" w:hAnsi="宋体" w:cs="宋体"/>
          <w:b/>
          <w:color w:val="auto"/>
          <w:sz w:val="44"/>
          <w:szCs w:val="44"/>
          <w:highlight w:val="none"/>
        </w:rPr>
      </w:pPr>
      <w:r>
        <w:rPr>
          <w:rFonts w:hint="eastAsia" w:ascii="宋体" w:hAnsi="宋体" w:cs="宋体"/>
          <w:color w:val="auto"/>
          <w:szCs w:val="21"/>
          <w:highlight w:val="none"/>
        </w:rPr>
        <w:br w:type="page"/>
      </w:r>
      <w:r>
        <w:rPr>
          <w:rFonts w:hint="eastAsia" w:ascii="宋体" w:hAnsi="宋体" w:cs="宋体"/>
          <w:b/>
          <w:color w:val="auto"/>
          <w:sz w:val="44"/>
          <w:szCs w:val="44"/>
          <w:highlight w:val="none"/>
        </w:rPr>
        <w:t>授权委托书</w:t>
      </w:r>
    </w:p>
    <w:p w14:paraId="2ADD37D0">
      <w:pPr>
        <w:spacing w:line="360" w:lineRule="auto"/>
        <w:contextualSpacing/>
        <w:jc w:val="center"/>
        <w:rPr>
          <w:rFonts w:ascii="宋体" w:hAnsi="宋体" w:cs="宋体"/>
          <w:color w:val="auto"/>
          <w:sz w:val="28"/>
          <w:szCs w:val="28"/>
          <w:highlight w:val="none"/>
        </w:rPr>
      </w:pPr>
      <w:r>
        <w:rPr>
          <w:rFonts w:hint="eastAsia" w:ascii="宋体" w:hAnsi="宋体" w:cs="宋体"/>
          <w:color w:val="auto"/>
          <w:sz w:val="28"/>
          <w:szCs w:val="28"/>
          <w:highlight w:val="none"/>
        </w:rPr>
        <w:t>（联合体参与竞争性谈判格式）</w:t>
      </w:r>
    </w:p>
    <w:p w14:paraId="2623F349">
      <w:pPr>
        <w:spacing w:line="360" w:lineRule="auto"/>
        <w:contextualSpacing/>
        <w:jc w:val="center"/>
        <w:rPr>
          <w:rFonts w:ascii="宋体" w:hAnsi="宋体" w:cs="宋体"/>
          <w:color w:val="auto"/>
          <w:sz w:val="28"/>
          <w:szCs w:val="28"/>
          <w:highlight w:val="none"/>
        </w:rPr>
      </w:pPr>
      <w:r>
        <w:rPr>
          <w:rFonts w:hint="eastAsia" w:ascii="宋体" w:hAnsi="宋体" w:cs="宋体"/>
          <w:color w:val="auto"/>
          <w:sz w:val="28"/>
          <w:szCs w:val="28"/>
          <w:highlight w:val="none"/>
        </w:rPr>
        <w:t>（如有委托时）</w:t>
      </w:r>
    </w:p>
    <w:p w14:paraId="4CA98997">
      <w:pPr>
        <w:spacing w:line="360" w:lineRule="auto"/>
        <w:contextualSpacing/>
        <w:rPr>
          <w:rFonts w:ascii="宋体" w:hAnsi="宋体" w:cs="宋体"/>
          <w:color w:val="auto"/>
          <w:sz w:val="32"/>
          <w:szCs w:val="32"/>
          <w:highlight w:val="none"/>
        </w:rPr>
      </w:pPr>
    </w:p>
    <w:p w14:paraId="29DAE784">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本授权委托书声明：根据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（联合体其他成员名称）签订的《联合体参与竞争性谈判协议书》的内容，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（牵头人名称）的法定代表人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（姓名）现授权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（姓名）为联合委托代理人，并代表我方全权办理针对上述项目的所有采购程序和环节的具体事务和签署相关文件。</w:t>
      </w:r>
    </w:p>
    <w:p w14:paraId="42AF137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2D6085B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11FB5A4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2B07F2F1">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附：法定代表人身份证明及委托代理人有效身份证正反面复印件</w:t>
      </w:r>
    </w:p>
    <w:p w14:paraId="5FCE9EC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牵头人法定代表人（签字）：</w:t>
      </w:r>
    </w:p>
    <w:p w14:paraId="4D560B2B">
      <w:pPr>
        <w:spacing w:line="360" w:lineRule="auto"/>
        <w:ind w:firstLine="3120" w:firstLineChars="1300"/>
        <w:contextualSpacing/>
        <w:rPr>
          <w:rFonts w:ascii="宋体" w:hAnsi="宋体" w:cs="宋体"/>
          <w:color w:val="auto"/>
          <w:sz w:val="24"/>
          <w:highlight w:val="none"/>
          <w:u w:val="single"/>
        </w:rPr>
      </w:pPr>
      <w:r>
        <w:rPr>
          <w:rFonts w:hint="eastAsia" w:ascii="宋体" w:hAnsi="宋体" w:cs="宋体"/>
          <w:color w:val="auto"/>
          <w:sz w:val="24"/>
          <w:highlight w:val="none"/>
        </w:rPr>
        <w:t>牵头人（公章）：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1C31D017">
      <w:pPr>
        <w:spacing w:line="360" w:lineRule="auto"/>
        <w:ind w:firstLine="3840" w:firstLineChars="1600"/>
        <w:contextualSpacing/>
        <w:rPr>
          <w:rFonts w:ascii="宋体" w:hAnsi="宋体" w:cs="宋体"/>
          <w:color w:val="auto"/>
          <w:sz w:val="24"/>
          <w:highlight w:val="non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7C54B7A9">
      <w:pPr>
        <w:spacing w:line="360" w:lineRule="auto"/>
        <w:contextualSpacing/>
        <w:rPr>
          <w:rFonts w:ascii="宋体" w:hAnsi="宋体" w:cs="宋体"/>
          <w:color w:val="auto"/>
          <w:sz w:val="24"/>
          <w:highlight w:val="none"/>
        </w:rPr>
      </w:pPr>
    </w:p>
    <w:p w14:paraId="4CCA8E6F">
      <w:pPr>
        <w:spacing w:line="360" w:lineRule="auto"/>
        <w:ind w:firstLine="3120" w:firstLineChars="1300"/>
        <w:contextualSpacing/>
        <w:rPr>
          <w:rFonts w:ascii="宋体" w:hAnsi="宋体" w:cs="宋体"/>
          <w:color w:val="auto"/>
          <w:sz w:val="24"/>
          <w:highlight w:val="none"/>
          <w:u w:val="single"/>
        </w:rPr>
      </w:pPr>
      <w:r>
        <w:rPr>
          <w:rFonts w:hint="eastAsia" w:ascii="宋体" w:hAnsi="宋体" w:cs="宋体"/>
          <w:color w:val="auto"/>
          <w:sz w:val="24"/>
          <w:highlight w:val="none"/>
        </w:rPr>
        <w:t>被授权人（签字）：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537245B0">
      <w:pPr>
        <w:spacing w:line="360" w:lineRule="auto"/>
        <w:ind w:firstLine="3840" w:firstLineChars="1600"/>
        <w:contextualSpacing/>
        <w:rPr>
          <w:rFonts w:ascii="宋体" w:hAnsi="宋体" w:cs="宋体"/>
          <w:color w:val="auto"/>
          <w:sz w:val="24"/>
          <w:highlight w:val="non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2A65701B">
      <w:pPr>
        <w:spacing w:line="360" w:lineRule="auto"/>
        <w:contextualSpacing/>
        <w:rPr>
          <w:rFonts w:ascii="宋体" w:hAnsi="宋体" w:cs="宋体"/>
          <w:color w:val="auto"/>
          <w:sz w:val="24"/>
          <w:highlight w:val="none"/>
        </w:rPr>
      </w:pPr>
    </w:p>
    <w:p w14:paraId="1C635E23">
      <w:pPr>
        <w:spacing w:line="360" w:lineRule="auto"/>
        <w:contextualSpacing/>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608226A9">
      <w:pPr>
        <w:spacing w:line="360" w:lineRule="auto"/>
        <w:ind w:firstLine="480" w:firstLineChars="200"/>
        <w:contextualSpacing/>
        <w:rPr>
          <w:rFonts w:ascii="楷体" w:hAnsi="楷体" w:eastAsia="楷体" w:cs="宋体"/>
          <w:color w:val="auto"/>
          <w:sz w:val="24"/>
          <w:highlight w:val="none"/>
        </w:rPr>
      </w:pPr>
      <w:r>
        <w:rPr>
          <w:rFonts w:ascii="楷体" w:hAnsi="楷体" w:eastAsia="楷体" w:cs="宋体"/>
          <w:color w:val="auto"/>
          <w:sz w:val="24"/>
          <w:highlight w:val="none"/>
        </w:rPr>
        <w:t>1.</w:t>
      </w:r>
      <w:r>
        <w:rPr>
          <w:rFonts w:hint="eastAsia" w:ascii="楷体" w:hAnsi="楷体" w:eastAsia="楷体" w:cs="宋体"/>
          <w:color w:val="auto"/>
          <w:sz w:val="24"/>
          <w:highlight w:val="none"/>
        </w:rPr>
        <w:t>法定代表人必须在授权委托书上亲笔签字或者盖章，委托代理人必须在授权委托书上亲笔签字，</w:t>
      </w:r>
      <w:r>
        <w:rPr>
          <w:rFonts w:hint="eastAsia" w:ascii="楷体" w:hAnsi="楷体" w:eastAsia="楷体" w:cs="宋体"/>
          <w:b/>
          <w:bCs/>
          <w:color w:val="auto"/>
          <w:sz w:val="24"/>
          <w:highlight w:val="none"/>
        </w:rPr>
        <w:t>否</w:t>
      </w:r>
      <w:r>
        <w:rPr>
          <w:rFonts w:hint="eastAsia" w:ascii="楷体" w:hAnsi="楷体" w:eastAsia="楷体" w:cs="宋体"/>
          <w:b/>
          <w:color w:val="auto"/>
          <w:sz w:val="24"/>
          <w:highlight w:val="none"/>
        </w:rPr>
        <w:t>则其响应文件按无效响应处理。</w:t>
      </w:r>
    </w:p>
    <w:p w14:paraId="5BB89D61">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2.本授权委托书应由联合体牵头人的法定代表人按上述规定签署。</w:t>
      </w:r>
    </w:p>
    <w:p w14:paraId="2FC82124">
      <w:pPr>
        <w:spacing w:line="360" w:lineRule="auto"/>
        <w:ind w:firstLine="480" w:firstLineChars="200"/>
        <w:contextualSpacing/>
        <w:jc w:val="left"/>
        <w:rPr>
          <w:rFonts w:ascii="楷体" w:hAnsi="楷体" w:eastAsia="楷体" w:cs="宋体"/>
          <w:color w:val="auto"/>
          <w:szCs w:val="21"/>
          <w:highlight w:val="none"/>
        </w:rPr>
      </w:pPr>
      <w:r>
        <w:rPr>
          <w:rFonts w:ascii="楷体" w:hAnsi="楷体" w:eastAsia="楷体" w:cs="宋体"/>
          <w:color w:val="auto"/>
          <w:sz w:val="24"/>
          <w:highlight w:val="none"/>
        </w:rPr>
        <w:t>3.法人、其他组织</w:t>
      </w:r>
      <w:r>
        <w:rPr>
          <w:rFonts w:hint="eastAsia" w:ascii="楷体" w:hAnsi="楷体" w:eastAsia="楷体" w:cs="宋体"/>
          <w:color w:val="auto"/>
          <w:sz w:val="24"/>
          <w:highlight w:val="none"/>
        </w:rPr>
        <w:t>参与竞争性谈判时“我方”是指“我单位”，自然人参与竞争性谈判时“我方”是指“本人”。</w:t>
      </w:r>
    </w:p>
    <w:p w14:paraId="498DC2FD">
      <w:pPr>
        <w:spacing w:line="360" w:lineRule="auto"/>
        <w:jc w:val="center"/>
        <w:rPr>
          <w:rFonts w:ascii="宋体" w:hAnsi="宋体" w:cs="宋体"/>
          <w:b/>
          <w:bCs/>
          <w:color w:val="auto"/>
          <w:sz w:val="44"/>
          <w:szCs w:val="44"/>
          <w:highlight w:val="none"/>
        </w:rPr>
      </w:pPr>
      <w:r>
        <w:rPr>
          <w:rFonts w:hint="eastAsia" w:ascii="宋体" w:hAnsi="宋体" w:cs="宋体"/>
          <w:color w:val="auto"/>
          <w:sz w:val="32"/>
          <w:szCs w:val="32"/>
          <w:highlight w:val="none"/>
        </w:rPr>
        <w:br w:type="page"/>
      </w:r>
      <w:r>
        <w:rPr>
          <w:rFonts w:hint="eastAsia" w:ascii="宋体" w:hAnsi="宋体" w:cs="宋体"/>
          <w:b/>
          <w:bCs/>
          <w:color w:val="auto"/>
          <w:sz w:val="44"/>
          <w:szCs w:val="44"/>
          <w:highlight w:val="none"/>
        </w:rPr>
        <w:t>商务要求偏离表格式</w:t>
      </w:r>
    </w:p>
    <w:p w14:paraId="42B40623">
      <w:pPr>
        <w:spacing w:line="360" w:lineRule="auto"/>
        <w:jc w:val="center"/>
        <w:rPr>
          <w:rFonts w:ascii="宋体" w:hAnsi="宋体" w:cs="宋体"/>
          <w:b/>
          <w:color w:val="auto"/>
          <w:sz w:val="28"/>
          <w:szCs w:val="28"/>
          <w:highlight w:val="none"/>
        </w:rPr>
      </w:pPr>
      <w:r>
        <w:rPr>
          <w:rFonts w:hint="eastAsia" w:ascii="宋体" w:hAnsi="宋体" w:cs="宋体"/>
          <w:bCs/>
          <w:color w:val="auto"/>
          <w:sz w:val="28"/>
          <w:szCs w:val="28"/>
          <w:highlight w:val="none"/>
        </w:rPr>
        <w:t>（注：按采购需求具体条款修改）</w:t>
      </w:r>
    </w:p>
    <w:p w14:paraId="616B703E">
      <w:pPr>
        <w:snapToGrid w:val="0"/>
        <w:spacing w:line="360" w:lineRule="auto"/>
        <w:jc w:val="left"/>
        <w:rPr>
          <w:rFonts w:ascii="宋体" w:hAnsi="宋体" w:cs="宋体"/>
          <w:color w:val="auto"/>
          <w:sz w:val="24"/>
          <w:highlight w:val="none"/>
        </w:rPr>
      </w:pPr>
    </w:p>
    <w:p w14:paraId="48D7F78C">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06096DF6">
      <w:pPr>
        <w:spacing w:line="360" w:lineRule="auto"/>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035AF292">
      <w:pPr>
        <w:spacing w:line="360" w:lineRule="auto"/>
        <w:rPr>
          <w:rFonts w:ascii="宋体" w:hAnsi="宋体" w:cs="宋体"/>
          <w:color w:val="auto"/>
          <w:sz w:val="24"/>
          <w:highlight w:val="none"/>
          <w:u w:val="single"/>
        </w:rPr>
      </w:pPr>
      <w:r>
        <w:rPr>
          <w:rFonts w:hint="eastAsia" w:ascii="宋体" w:hAnsi="宋体" w:cs="宋体"/>
          <w:color w:val="auto"/>
          <w:sz w:val="24"/>
          <w:highlight w:val="none"/>
        </w:rPr>
        <w:t>分标号：</w:t>
      </w:r>
      <w:r>
        <w:rPr>
          <w:rFonts w:hint="eastAsia" w:ascii="宋体" w:hAnsi="宋体" w:cs="宋体"/>
          <w:color w:val="auto"/>
          <w:sz w:val="24"/>
          <w:highlight w:val="none"/>
          <w:u w:val="single"/>
        </w:rPr>
        <w:t xml:space="preserve">                       </w:t>
      </w:r>
    </w:p>
    <w:tbl>
      <w:tblPr>
        <w:tblStyle w:val="26"/>
        <w:tblpPr w:leftFromText="180" w:rightFromText="180" w:vertAnchor="text" w:horzAnchor="margin" w:tblpY="311"/>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483492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14:paraId="5BDD22B4">
            <w:pPr>
              <w:snapToGrid w:val="0"/>
              <w:spacing w:line="500" w:lineRule="exact"/>
              <w:jc w:val="center"/>
              <w:rPr>
                <w:rFonts w:ascii="宋体" w:hAnsi="宋体" w:cs="宋体"/>
                <w:color w:val="auto"/>
                <w:sz w:val="24"/>
                <w:highlight w:val="none"/>
              </w:rPr>
            </w:pPr>
            <w:r>
              <w:rPr>
                <w:rFonts w:hint="eastAsia" w:ascii="宋体" w:hAnsi="宋体" w:cs="宋体"/>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6C02EC77">
            <w:pPr>
              <w:snapToGrid w:val="0"/>
              <w:spacing w:line="500" w:lineRule="exact"/>
              <w:jc w:val="center"/>
              <w:rPr>
                <w:rFonts w:ascii="宋体" w:hAnsi="宋体" w:cs="宋体"/>
                <w:color w:val="auto"/>
                <w:sz w:val="24"/>
                <w:highlight w:val="none"/>
              </w:rPr>
            </w:pPr>
            <w:r>
              <w:rPr>
                <w:rFonts w:hint="eastAsia" w:ascii="宋体" w:hAnsi="宋体" w:cs="宋体"/>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vAlign w:val="center"/>
          </w:tcPr>
          <w:p w14:paraId="2C3C82F8">
            <w:pPr>
              <w:snapToGrid w:val="0"/>
              <w:spacing w:line="500" w:lineRule="exact"/>
              <w:jc w:val="center"/>
              <w:rPr>
                <w:rFonts w:ascii="宋体" w:hAnsi="宋体" w:cs="宋体"/>
                <w:color w:val="auto"/>
                <w:sz w:val="24"/>
                <w:highlight w:val="none"/>
              </w:rPr>
            </w:pPr>
            <w:r>
              <w:rPr>
                <w:rFonts w:hint="eastAsia" w:ascii="宋体" w:hAnsi="宋体" w:cs="宋体"/>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vAlign w:val="center"/>
          </w:tcPr>
          <w:p w14:paraId="35F35807">
            <w:pPr>
              <w:snapToGrid w:val="0"/>
              <w:spacing w:line="500" w:lineRule="exact"/>
              <w:jc w:val="center"/>
              <w:rPr>
                <w:rFonts w:ascii="宋体" w:hAnsi="宋体" w:cs="宋体"/>
                <w:color w:val="auto"/>
                <w:sz w:val="24"/>
                <w:highlight w:val="none"/>
              </w:rPr>
            </w:pPr>
            <w:r>
              <w:rPr>
                <w:rFonts w:hint="eastAsia" w:ascii="宋体" w:hAnsi="宋体" w:cs="宋体"/>
                <w:color w:val="auto"/>
                <w:sz w:val="24"/>
                <w:highlight w:val="none"/>
              </w:rPr>
              <w:t>偏离说明</w:t>
            </w:r>
          </w:p>
        </w:tc>
      </w:tr>
      <w:tr w14:paraId="41DDE8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178" w:type="dxa"/>
            <w:tcBorders>
              <w:top w:val="single" w:color="auto" w:sz="4" w:space="0"/>
              <w:left w:val="single" w:color="auto" w:sz="4" w:space="0"/>
              <w:bottom w:val="single" w:color="auto" w:sz="4" w:space="0"/>
              <w:right w:val="single" w:color="auto" w:sz="4" w:space="0"/>
            </w:tcBorders>
            <w:vAlign w:val="center"/>
          </w:tcPr>
          <w:p w14:paraId="079DADE6">
            <w:pPr>
              <w:spacing w:line="500" w:lineRule="exact"/>
              <w:jc w:val="center"/>
              <w:rPr>
                <w:rFonts w:ascii="宋体" w:hAnsi="宋体" w:cs="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76E50201">
            <w:pPr>
              <w:spacing w:line="500" w:lineRule="exact"/>
              <w:jc w:val="center"/>
              <w:rPr>
                <w:rFonts w:ascii="宋体" w:hAnsi="宋体" w:cs="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028F8B57">
            <w:pPr>
              <w:snapToGrid w:val="0"/>
              <w:spacing w:line="500" w:lineRule="exact"/>
              <w:jc w:val="center"/>
              <w:rPr>
                <w:rFonts w:ascii="宋体" w:hAnsi="宋体" w:cs="宋体"/>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52954084">
            <w:pPr>
              <w:snapToGrid w:val="0"/>
              <w:spacing w:line="500" w:lineRule="exact"/>
              <w:jc w:val="center"/>
              <w:rPr>
                <w:rFonts w:ascii="宋体" w:hAnsi="宋体" w:cs="宋体"/>
                <w:color w:val="auto"/>
                <w:sz w:val="24"/>
                <w:highlight w:val="none"/>
              </w:rPr>
            </w:pPr>
          </w:p>
        </w:tc>
      </w:tr>
      <w:tr w14:paraId="3F8478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vAlign w:val="center"/>
          </w:tcPr>
          <w:p w14:paraId="1A4CDB74">
            <w:pPr>
              <w:spacing w:line="500" w:lineRule="exact"/>
              <w:jc w:val="center"/>
              <w:rPr>
                <w:rFonts w:ascii="宋体" w:hAnsi="宋体" w:cs="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73D5DB2F">
            <w:pPr>
              <w:spacing w:line="500" w:lineRule="exact"/>
              <w:jc w:val="center"/>
              <w:rPr>
                <w:rFonts w:ascii="宋体" w:hAnsi="宋体" w:cs="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1CB5C6F1">
            <w:pPr>
              <w:snapToGrid w:val="0"/>
              <w:spacing w:line="500" w:lineRule="exact"/>
              <w:jc w:val="center"/>
              <w:rPr>
                <w:rFonts w:ascii="宋体" w:hAnsi="宋体" w:cs="宋体"/>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6A58D7ED">
            <w:pPr>
              <w:snapToGrid w:val="0"/>
              <w:spacing w:line="500" w:lineRule="exact"/>
              <w:jc w:val="center"/>
              <w:rPr>
                <w:rFonts w:ascii="宋体" w:hAnsi="宋体" w:cs="宋体"/>
                <w:color w:val="auto"/>
                <w:sz w:val="24"/>
                <w:highlight w:val="none"/>
              </w:rPr>
            </w:pPr>
          </w:p>
        </w:tc>
      </w:tr>
      <w:tr w14:paraId="3C6F1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14:paraId="681F483E">
            <w:pPr>
              <w:snapToGrid w:val="0"/>
              <w:spacing w:line="500" w:lineRule="exact"/>
              <w:jc w:val="center"/>
              <w:rPr>
                <w:rFonts w:ascii="宋体" w:hAnsi="宋体" w:cs="宋体"/>
                <w:color w:val="auto"/>
                <w:sz w:val="24"/>
                <w:highlight w:val="none"/>
              </w:rPr>
            </w:pPr>
            <w:r>
              <w:rPr>
                <w:rFonts w:hint="eastAsia" w:ascii="宋体" w:hAnsi="宋体" w:cs="宋体"/>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vAlign w:val="center"/>
          </w:tcPr>
          <w:p w14:paraId="40E48244">
            <w:pPr>
              <w:snapToGrid w:val="0"/>
              <w:spacing w:line="500" w:lineRule="exact"/>
              <w:jc w:val="center"/>
              <w:rPr>
                <w:rFonts w:ascii="宋体" w:hAnsi="宋体" w:cs="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2AA8BA74">
            <w:pPr>
              <w:snapToGrid w:val="0"/>
              <w:spacing w:line="500" w:lineRule="exact"/>
              <w:jc w:val="center"/>
              <w:rPr>
                <w:rFonts w:ascii="宋体" w:hAnsi="宋体" w:cs="宋体"/>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0F9EBDA4">
            <w:pPr>
              <w:snapToGrid w:val="0"/>
              <w:spacing w:line="500" w:lineRule="exact"/>
              <w:jc w:val="center"/>
              <w:rPr>
                <w:rFonts w:ascii="宋体" w:hAnsi="宋体" w:cs="宋体"/>
                <w:color w:val="auto"/>
                <w:sz w:val="24"/>
                <w:highlight w:val="none"/>
              </w:rPr>
            </w:pPr>
          </w:p>
        </w:tc>
      </w:tr>
    </w:tbl>
    <w:p w14:paraId="6F1297D5">
      <w:pPr>
        <w:pStyle w:val="9"/>
        <w:spacing w:after="0" w:line="360" w:lineRule="auto"/>
        <w:contextualSpacing/>
        <w:rPr>
          <w:rFonts w:ascii="楷体" w:hAnsi="楷体" w:eastAsia="楷体" w:cs="宋体"/>
          <w:b/>
          <w:color w:val="auto"/>
          <w:kern w:val="0"/>
          <w:sz w:val="24"/>
          <w:szCs w:val="24"/>
          <w:highlight w:val="none"/>
        </w:rPr>
      </w:pPr>
      <w:r>
        <w:rPr>
          <w:rFonts w:hint="eastAsia" w:ascii="楷体" w:hAnsi="楷体" w:eastAsia="楷体" w:cs="宋体"/>
          <w:b/>
          <w:color w:val="auto"/>
          <w:kern w:val="0"/>
          <w:sz w:val="24"/>
          <w:szCs w:val="24"/>
          <w:highlight w:val="none"/>
        </w:rPr>
        <w:t>注：</w:t>
      </w:r>
    </w:p>
    <w:p w14:paraId="6A40DC1A">
      <w:pPr>
        <w:pStyle w:val="9"/>
        <w:spacing w:after="0" w:line="360" w:lineRule="auto"/>
        <w:ind w:firstLine="480" w:firstLineChars="200"/>
        <w:contextualSpacing/>
        <w:rPr>
          <w:rFonts w:ascii="楷体" w:hAnsi="楷体" w:eastAsia="楷体" w:cs="宋体"/>
          <w:color w:val="auto"/>
          <w:kern w:val="0"/>
          <w:sz w:val="24"/>
          <w:szCs w:val="24"/>
          <w:highlight w:val="none"/>
        </w:rPr>
      </w:pPr>
      <w:r>
        <w:rPr>
          <w:rFonts w:ascii="楷体" w:hAnsi="楷体" w:eastAsia="楷体" w:cs="宋体"/>
          <w:color w:val="auto"/>
          <w:kern w:val="0"/>
          <w:sz w:val="24"/>
          <w:szCs w:val="24"/>
          <w:highlight w:val="none"/>
        </w:rPr>
        <w:t xml:space="preserve">1.说明：应对照谈判文件“第三章 </w:t>
      </w:r>
      <w:r>
        <w:rPr>
          <w:rFonts w:hint="eastAsia" w:ascii="楷体" w:hAnsi="楷体" w:eastAsia="楷体" w:cs="宋体"/>
          <w:color w:val="auto"/>
          <w:kern w:val="0"/>
          <w:sz w:val="24"/>
          <w:szCs w:val="24"/>
          <w:highlight w:val="none"/>
        </w:rPr>
        <w:t>采购需求”中的商务要求逐条明确响应，并作出偏离说明。</w:t>
      </w:r>
    </w:p>
    <w:p w14:paraId="70078A8E">
      <w:pPr>
        <w:pStyle w:val="9"/>
        <w:spacing w:after="0" w:line="360" w:lineRule="auto"/>
        <w:ind w:firstLine="480" w:firstLineChars="200"/>
        <w:contextualSpacing/>
        <w:rPr>
          <w:rFonts w:ascii="楷体" w:hAnsi="楷体" w:eastAsia="楷体" w:cs="宋体"/>
          <w:color w:val="auto"/>
          <w:kern w:val="0"/>
          <w:sz w:val="24"/>
          <w:szCs w:val="24"/>
          <w:highlight w:val="none"/>
        </w:rPr>
      </w:pPr>
      <w:r>
        <w:rPr>
          <w:rFonts w:ascii="楷体" w:hAnsi="楷体" w:eastAsia="楷体" w:cs="宋体"/>
          <w:color w:val="auto"/>
          <w:kern w:val="0"/>
          <w:sz w:val="24"/>
          <w:szCs w:val="24"/>
          <w:highlight w:val="none"/>
        </w:rPr>
        <w:t>2.供应商应根据自身的承诺，对照谈判文件要求在“偏离说明”中注明“正偏离”、“负偏离”或者“无偏离”。既不属于“正偏离”也不属于“负偏离”即为“无偏离”。</w:t>
      </w:r>
    </w:p>
    <w:p w14:paraId="435005E1">
      <w:pPr>
        <w:spacing w:line="360" w:lineRule="auto"/>
        <w:contextualSpacing/>
        <w:jc w:val="left"/>
        <w:rPr>
          <w:rFonts w:ascii="宋体" w:hAnsi="宋体" w:cs="宋体"/>
          <w:color w:val="auto"/>
          <w:sz w:val="24"/>
          <w:highlight w:val="none"/>
          <w:u w:val="single"/>
        </w:rPr>
      </w:pPr>
    </w:p>
    <w:p w14:paraId="3B666CF1">
      <w:pPr>
        <w:spacing w:line="360" w:lineRule="auto"/>
        <w:contextualSpacing/>
        <w:jc w:val="left"/>
        <w:rPr>
          <w:rFonts w:ascii="宋体" w:hAnsi="宋体" w:cs="宋体"/>
          <w:color w:val="auto"/>
          <w:sz w:val="24"/>
          <w:highlight w:val="none"/>
          <w:u w:val="single"/>
        </w:rPr>
      </w:pPr>
    </w:p>
    <w:p w14:paraId="1A708349">
      <w:pPr>
        <w:spacing w:line="360" w:lineRule="auto"/>
        <w:contextualSpacing/>
        <w:rPr>
          <w:rFonts w:ascii="宋体" w:hAnsi="宋体" w:cs="宋体"/>
          <w:color w:val="auto"/>
          <w:sz w:val="24"/>
          <w:highlight w:val="none"/>
        </w:rPr>
      </w:pPr>
    </w:p>
    <w:p w14:paraId="50710127">
      <w:pPr>
        <w:spacing w:line="360" w:lineRule="auto"/>
        <w:contextualSpacing/>
        <w:jc w:val="center"/>
        <w:rPr>
          <w:rFonts w:ascii="宋体" w:hAnsi="宋体" w:cs="宋体"/>
          <w:color w:val="auto"/>
          <w:sz w:val="24"/>
          <w:highlight w:val="none"/>
          <w:u w:val="singl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6FAE3E4D">
      <w:pPr>
        <w:spacing w:line="360" w:lineRule="auto"/>
        <w:ind w:firstLine="3240" w:firstLineChars="135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456AD9A1">
      <w:pPr>
        <w:spacing w:line="360" w:lineRule="auto"/>
        <w:ind w:firstLine="3240" w:firstLineChars="1350"/>
        <w:contextualSpacing/>
        <w:rPr>
          <w:rFonts w:ascii="宋体" w:hAnsi="宋体" w:cs="宋体"/>
          <w:color w:val="auto"/>
          <w:sz w:val="24"/>
          <w:highlight w:val="non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2FF3A2FD">
      <w:pPr>
        <w:adjustRightInd w:val="0"/>
        <w:snapToGrid w:val="0"/>
        <w:spacing w:line="360" w:lineRule="auto"/>
        <w:ind w:firstLine="7040" w:firstLineChars="1600"/>
        <w:jc w:val="center"/>
        <w:rPr>
          <w:rFonts w:ascii="宋体" w:hAnsi="宋体" w:cs="宋体"/>
          <w:bCs/>
          <w:color w:val="auto"/>
          <w:sz w:val="44"/>
          <w:szCs w:val="44"/>
          <w:highlight w:val="none"/>
        </w:rPr>
      </w:pPr>
    </w:p>
    <w:p w14:paraId="592BD482">
      <w:pPr>
        <w:adjustRightInd w:val="0"/>
        <w:snapToGrid w:val="0"/>
        <w:spacing w:line="360" w:lineRule="auto"/>
        <w:jc w:val="center"/>
        <w:rPr>
          <w:rFonts w:ascii="宋体" w:hAnsi="宋体" w:cs="宋体"/>
          <w:b/>
          <w:color w:val="auto"/>
          <w:sz w:val="32"/>
          <w:szCs w:val="32"/>
          <w:highlight w:val="none"/>
        </w:rPr>
      </w:pPr>
      <w:r>
        <w:rPr>
          <w:rFonts w:hint="eastAsia" w:ascii="宋体" w:hAnsi="宋体" w:cs="宋体"/>
          <w:bCs/>
          <w:color w:val="auto"/>
          <w:sz w:val="44"/>
          <w:szCs w:val="44"/>
          <w:highlight w:val="none"/>
        </w:rPr>
        <w:br w:type="page"/>
      </w:r>
      <w:r>
        <w:rPr>
          <w:rFonts w:hint="eastAsia" w:ascii="宋体" w:hAnsi="宋体" w:cs="宋体"/>
          <w:b/>
          <w:bCs/>
          <w:color w:val="auto"/>
          <w:sz w:val="44"/>
          <w:szCs w:val="44"/>
          <w:highlight w:val="none"/>
        </w:rPr>
        <w:t>货物配置清单</w:t>
      </w:r>
    </w:p>
    <w:p w14:paraId="210863E9">
      <w:pPr>
        <w:spacing w:line="360" w:lineRule="auto"/>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593BBCE2">
      <w:pPr>
        <w:spacing w:line="360" w:lineRule="auto"/>
        <w:rPr>
          <w:rFonts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36CAD90B">
      <w:pPr>
        <w:spacing w:line="360" w:lineRule="auto"/>
        <w:rPr>
          <w:rFonts w:ascii="宋体" w:hAnsi="宋体" w:cs="宋体"/>
          <w:color w:val="auto"/>
          <w:sz w:val="24"/>
          <w:highlight w:val="none"/>
          <w:u w:val="single"/>
        </w:rPr>
      </w:pPr>
      <w:r>
        <w:rPr>
          <w:rFonts w:hint="eastAsia" w:ascii="宋体" w:hAnsi="宋体" w:cs="宋体"/>
          <w:color w:val="auto"/>
          <w:sz w:val="24"/>
          <w:highlight w:val="none"/>
        </w:rPr>
        <w:t>所竞分标（如有）：</w:t>
      </w:r>
      <w:r>
        <w:rPr>
          <w:rFonts w:hint="eastAsia" w:ascii="宋体" w:hAnsi="宋体" w:cs="宋体"/>
          <w:color w:val="auto"/>
          <w:sz w:val="24"/>
          <w:highlight w:val="none"/>
          <w:u w:val="single"/>
        </w:rPr>
        <w:t xml:space="preserve">                 </w:t>
      </w:r>
    </w:p>
    <w:tbl>
      <w:tblPr>
        <w:tblStyle w:val="26"/>
        <w:tblW w:w="1081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1293"/>
        <w:gridCol w:w="929"/>
        <w:gridCol w:w="1854"/>
        <w:gridCol w:w="1293"/>
        <w:gridCol w:w="765"/>
        <w:gridCol w:w="797"/>
        <w:gridCol w:w="971"/>
        <w:gridCol w:w="2147"/>
      </w:tblGrid>
      <w:tr w14:paraId="3553F5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67" w:type="dxa"/>
            <w:tcBorders>
              <w:top w:val="single" w:color="auto" w:sz="4" w:space="0"/>
              <w:left w:val="single" w:color="auto" w:sz="4" w:space="0"/>
              <w:bottom w:val="single" w:color="auto" w:sz="4" w:space="0"/>
              <w:right w:val="single" w:color="auto" w:sz="4" w:space="0"/>
            </w:tcBorders>
            <w:vAlign w:val="center"/>
          </w:tcPr>
          <w:p w14:paraId="3C195964">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93" w:type="dxa"/>
            <w:tcBorders>
              <w:top w:val="single" w:color="auto" w:sz="4" w:space="0"/>
              <w:left w:val="single" w:color="auto" w:sz="4" w:space="0"/>
              <w:bottom w:val="single" w:color="auto" w:sz="4" w:space="0"/>
              <w:right w:val="single" w:color="auto" w:sz="4" w:space="0"/>
            </w:tcBorders>
            <w:vAlign w:val="center"/>
          </w:tcPr>
          <w:p w14:paraId="275305DB">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货物名称</w:t>
            </w:r>
          </w:p>
        </w:tc>
        <w:tc>
          <w:tcPr>
            <w:tcW w:w="929" w:type="dxa"/>
            <w:tcBorders>
              <w:top w:val="single" w:color="auto" w:sz="4" w:space="0"/>
              <w:left w:val="single" w:color="auto" w:sz="4" w:space="0"/>
              <w:bottom w:val="single" w:color="auto" w:sz="4" w:space="0"/>
              <w:right w:val="single" w:color="auto" w:sz="4" w:space="0"/>
            </w:tcBorders>
            <w:vAlign w:val="center"/>
          </w:tcPr>
          <w:p w14:paraId="26F6846E">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品牌</w:t>
            </w:r>
          </w:p>
        </w:tc>
        <w:tc>
          <w:tcPr>
            <w:tcW w:w="1854" w:type="dxa"/>
            <w:tcBorders>
              <w:top w:val="single" w:color="auto" w:sz="4" w:space="0"/>
              <w:left w:val="single" w:color="auto" w:sz="4" w:space="0"/>
              <w:bottom w:val="single" w:color="auto" w:sz="4" w:space="0"/>
              <w:right w:val="single" w:color="auto" w:sz="4" w:space="0"/>
            </w:tcBorders>
            <w:vAlign w:val="center"/>
          </w:tcPr>
          <w:p w14:paraId="4BB603B9">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型号</w:t>
            </w:r>
          </w:p>
        </w:tc>
        <w:tc>
          <w:tcPr>
            <w:tcW w:w="1293" w:type="dxa"/>
            <w:tcBorders>
              <w:top w:val="single" w:color="auto" w:sz="4" w:space="0"/>
              <w:left w:val="single" w:color="auto" w:sz="4" w:space="0"/>
              <w:bottom w:val="single" w:color="auto" w:sz="4" w:space="0"/>
              <w:right w:val="single" w:color="auto" w:sz="4" w:space="0"/>
            </w:tcBorders>
            <w:vAlign w:val="center"/>
          </w:tcPr>
          <w:p w14:paraId="1CC7AB27">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生产厂家</w:t>
            </w:r>
          </w:p>
        </w:tc>
        <w:tc>
          <w:tcPr>
            <w:tcW w:w="765" w:type="dxa"/>
            <w:tcBorders>
              <w:top w:val="single" w:color="auto" w:sz="4" w:space="0"/>
              <w:left w:val="single" w:color="auto" w:sz="4" w:space="0"/>
              <w:bottom w:val="single" w:color="auto" w:sz="4" w:space="0"/>
              <w:right w:val="single" w:color="auto" w:sz="4" w:space="0"/>
            </w:tcBorders>
            <w:vAlign w:val="center"/>
          </w:tcPr>
          <w:p w14:paraId="05DE9652">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产地</w:t>
            </w:r>
          </w:p>
        </w:tc>
        <w:tc>
          <w:tcPr>
            <w:tcW w:w="797" w:type="dxa"/>
            <w:tcBorders>
              <w:top w:val="single" w:color="auto" w:sz="4" w:space="0"/>
              <w:left w:val="single" w:color="auto" w:sz="4" w:space="0"/>
              <w:bottom w:val="single" w:color="auto" w:sz="4" w:space="0"/>
              <w:right w:val="single" w:color="auto" w:sz="4" w:space="0"/>
            </w:tcBorders>
            <w:vAlign w:val="center"/>
          </w:tcPr>
          <w:p w14:paraId="0F4D6A57">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数量</w:t>
            </w:r>
          </w:p>
        </w:tc>
        <w:tc>
          <w:tcPr>
            <w:tcW w:w="971" w:type="dxa"/>
            <w:tcBorders>
              <w:top w:val="single" w:color="auto" w:sz="4" w:space="0"/>
              <w:left w:val="single" w:color="auto" w:sz="4" w:space="0"/>
              <w:bottom w:val="single" w:color="auto" w:sz="4" w:space="0"/>
              <w:right w:val="single" w:color="auto" w:sz="4" w:space="0"/>
            </w:tcBorders>
            <w:vAlign w:val="center"/>
          </w:tcPr>
          <w:p w14:paraId="058177BB">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单位</w:t>
            </w:r>
          </w:p>
        </w:tc>
        <w:tc>
          <w:tcPr>
            <w:tcW w:w="2147" w:type="dxa"/>
            <w:tcBorders>
              <w:top w:val="single" w:color="auto" w:sz="4" w:space="0"/>
              <w:left w:val="single" w:color="auto" w:sz="4" w:space="0"/>
              <w:bottom w:val="single" w:color="auto" w:sz="4" w:space="0"/>
              <w:right w:val="single" w:color="auto" w:sz="4" w:space="0"/>
            </w:tcBorders>
            <w:vAlign w:val="center"/>
          </w:tcPr>
          <w:p w14:paraId="642D5177">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参数性能、指标及配置</w:t>
            </w:r>
          </w:p>
        </w:tc>
      </w:tr>
      <w:tr w14:paraId="0EA742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67" w:type="dxa"/>
            <w:tcBorders>
              <w:top w:val="single" w:color="auto" w:sz="4" w:space="0"/>
              <w:left w:val="single" w:color="auto" w:sz="4" w:space="0"/>
              <w:bottom w:val="single" w:color="auto" w:sz="4" w:space="0"/>
              <w:right w:val="single" w:color="auto" w:sz="4" w:space="0"/>
            </w:tcBorders>
            <w:vAlign w:val="center"/>
          </w:tcPr>
          <w:p w14:paraId="4DAA48D8">
            <w:pPr>
              <w:snapToGrid w:val="0"/>
              <w:spacing w:before="50" w:after="50"/>
              <w:jc w:val="center"/>
              <w:rPr>
                <w:rFonts w:ascii="宋体" w:hAnsi="宋体" w:cs="宋体"/>
                <w:color w:val="auto"/>
                <w:sz w:val="24"/>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5D6AA320">
            <w:pPr>
              <w:snapToGrid w:val="0"/>
              <w:spacing w:before="50" w:after="50"/>
              <w:jc w:val="center"/>
              <w:rPr>
                <w:rFonts w:ascii="宋体" w:hAnsi="宋体" w:cs="宋体"/>
                <w:color w:val="auto"/>
                <w:sz w:val="24"/>
                <w:highlight w:val="none"/>
              </w:rPr>
            </w:pPr>
          </w:p>
        </w:tc>
        <w:tc>
          <w:tcPr>
            <w:tcW w:w="929" w:type="dxa"/>
            <w:tcBorders>
              <w:top w:val="single" w:color="auto" w:sz="4" w:space="0"/>
              <w:left w:val="single" w:color="auto" w:sz="4" w:space="0"/>
              <w:bottom w:val="single" w:color="auto" w:sz="4" w:space="0"/>
              <w:right w:val="single" w:color="auto" w:sz="4" w:space="0"/>
            </w:tcBorders>
            <w:vAlign w:val="center"/>
          </w:tcPr>
          <w:p w14:paraId="13A8F5BB">
            <w:pPr>
              <w:snapToGrid w:val="0"/>
              <w:spacing w:before="50" w:after="50"/>
              <w:jc w:val="center"/>
              <w:rPr>
                <w:rFonts w:ascii="宋体" w:hAnsi="宋体" w:cs="宋体"/>
                <w:color w:val="auto"/>
                <w:sz w:val="24"/>
                <w:highlight w:val="none"/>
              </w:rPr>
            </w:pPr>
          </w:p>
        </w:tc>
        <w:tc>
          <w:tcPr>
            <w:tcW w:w="1854" w:type="dxa"/>
            <w:tcBorders>
              <w:top w:val="single" w:color="auto" w:sz="4" w:space="0"/>
              <w:left w:val="single" w:color="auto" w:sz="4" w:space="0"/>
              <w:bottom w:val="single" w:color="auto" w:sz="4" w:space="0"/>
              <w:right w:val="single" w:color="auto" w:sz="4" w:space="0"/>
            </w:tcBorders>
          </w:tcPr>
          <w:p w14:paraId="2BAB85E3">
            <w:pPr>
              <w:snapToGrid w:val="0"/>
              <w:spacing w:before="50" w:after="50"/>
              <w:jc w:val="center"/>
              <w:rPr>
                <w:rFonts w:ascii="宋体" w:hAnsi="宋体" w:cs="宋体"/>
                <w:color w:val="auto"/>
                <w:sz w:val="24"/>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4A2086F0">
            <w:pPr>
              <w:snapToGrid w:val="0"/>
              <w:spacing w:before="50" w:after="50"/>
              <w:jc w:val="center"/>
              <w:rPr>
                <w:rFonts w:ascii="宋体" w:hAnsi="宋体" w:cs="宋体"/>
                <w:color w:val="auto"/>
                <w:sz w:val="24"/>
                <w:highlight w:val="none"/>
              </w:rPr>
            </w:pPr>
          </w:p>
        </w:tc>
        <w:tc>
          <w:tcPr>
            <w:tcW w:w="765" w:type="dxa"/>
            <w:tcBorders>
              <w:top w:val="single" w:color="auto" w:sz="4" w:space="0"/>
              <w:left w:val="single" w:color="auto" w:sz="4" w:space="0"/>
              <w:bottom w:val="single" w:color="auto" w:sz="4" w:space="0"/>
              <w:right w:val="single" w:color="auto" w:sz="4" w:space="0"/>
            </w:tcBorders>
            <w:vAlign w:val="center"/>
          </w:tcPr>
          <w:p w14:paraId="59D4FB7E">
            <w:pPr>
              <w:snapToGrid w:val="0"/>
              <w:spacing w:before="50" w:after="50"/>
              <w:jc w:val="center"/>
              <w:rPr>
                <w:rFonts w:ascii="宋体" w:hAnsi="宋体" w:cs="宋体"/>
                <w:color w:val="auto"/>
                <w:sz w:val="24"/>
                <w:highlight w:val="none"/>
              </w:rPr>
            </w:pPr>
          </w:p>
        </w:tc>
        <w:tc>
          <w:tcPr>
            <w:tcW w:w="797" w:type="dxa"/>
            <w:tcBorders>
              <w:top w:val="single" w:color="auto" w:sz="4" w:space="0"/>
              <w:left w:val="single" w:color="auto" w:sz="4" w:space="0"/>
              <w:bottom w:val="single" w:color="auto" w:sz="4" w:space="0"/>
              <w:right w:val="single" w:color="auto" w:sz="4" w:space="0"/>
            </w:tcBorders>
          </w:tcPr>
          <w:p w14:paraId="6E90CA80">
            <w:pPr>
              <w:snapToGrid w:val="0"/>
              <w:spacing w:before="50" w:after="50"/>
              <w:jc w:val="center"/>
              <w:rPr>
                <w:rFonts w:ascii="宋体" w:hAnsi="宋体" w:cs="宋体"/>
                <w:color w:val="auto"/>
                <w:sz w:val="24"/>
                <w:highlight w:val="none"/>
              </w:rPr>
            </w:pPr>
          </w:p>
        </w:tc>
        <w:tc>
          <w:tcPr>
            <w:tcW w:w="971" w:type="dxa"/>
            <w:tcBorders>
              <w:top w:val="single" w:color="auto" w:sz="4" w:space="0"/>
              <w:left w:val="single" w:color="auto" w:sz="4" w:space="0"/>
              <w:bottom w:val="single" w:color="auto" w:sz="4" w:space="0"/>
              <w:right w:val="single" w:color="auto" w:sz="4" w:space="0"/>
            </w:tcBorders>
          </w:tcPr>
          <w:p w14:paraId="6083AEE9">
            <w:pPr>
              <w:snapToGrid w:val="0"/>
              <w:spacing w:before="50" w:after="50"/>
              <w:jc w:val="center"/>
              <w:rPr>
                <w:rFonts w:ascii="宋体" w:hAnsi="宋体" w:cs="宋体"/>
                <w:color w:val="auto"/>
                <w:sz w:val="24"/>
                <w:highlight w:val="none"/>
              </w:rPr>
            </w:pPr>
          </w:p>
        </w:tc>
        <w:tc>
          <w:tcPr>
            <w:tcW w:w="2147" w:type="dxa"/>
            <w:tcBorders>
              <w:top w:val="single" w:color="auto" w:sz="4" w:space="0"/>
              <w:left w:val="single" w:color="auto" w:sz="4" w:space="0"/>
              <w:bottom w:val="single" w:color="auto" w:sz="4" w:space="0"/>
              <w:right w:val="single" w:color="auto" w:sz="4" w:space="0"/>
            </w:tcBorders>
            <w:vAlign w:val="center"/>
          </w:tcPr>
          <w:p w14:paraId="67760FBD">
            <w:pPr>
              <w:snapToGrid w:val="0"/>
              <w:spacing w:before="50" w:after="50"/>
              <w:jc w:val="center"/>
              <w:rPr>
                <w:rFonts w:ascii="宋体" w:hAnsi="宋体" w:cs="宋体"/>
                <w:color w:val="auto"/>
                <w:sz w:val="24"/>
                <w:highlight w:val="none"/>
              </w:rPr>
            </w:pPr>
          </w:p>
        </w:tc>
      </w:tr>
      <w:tr w14:paraId="6924DE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67" w:type="dxa"/>
            <w:tcBorders>
              <w:top w:val="single" w:color="auto" w:sz="4" w:space="0"/>
              <w:left w:val="single" w:color="auto" w:sz="4" w:space="0"/>
              <w:bottom w:val="single" w:color="auto" w:sz="4" w:space="0"/>
              <w:right w:val="single" w:color="auto" w:sz="4" w:space="0"/>
            </w:tcBorders>
            <w:vAlign w:val="center"/>
          </w:tcPr>
          <w:p w14:paraId="291F29E4">
            <w:pPr>
              <w:snapToGrid w:val="0"/>
              <w:spacing w:before="50" w:after="50"/>
              <w:jc w:val="center"/>
              <w:rPr>
                <w:rFonts w:ascii="宋体" w:hAnsi="宋体" w:cs="宋体"/>
                <w:color w:val="auto"/>
                <w:sz w:val="24"/>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4B1D3686">
            <w:pPr>
              <w:snapToGrid w:val="0"/>
              <w:spacing w:before="50" w:after="50"/>
              <w:jc w:val="center"/>
              <w:rPr>
                <w:rFonts w:ascii="宋体" w:hAnsi="宋体" w:cs="宋体"/>
                <w:color w:val="auto"/>
                <w:sz w:val="24"/>
                <w:highlight w:val="none"/>
              </w:rPr>
            </w:pPr>
          </w:p>
        </w:tc>
        <w:tc>
          <w:tcPr>
            <w:tcW w:w="929" w:type="dxa"/>
            <w:tcBorders>
              <w:top w:val="single" w:color="auto" w:sz="4" w:space="0"/>
              <w:left w:val="single" w:color="auto" w:sz="4" w:space="0"/>
              <w:bottom w:val="single" w:color="auto" w:sz="4" w:space="0"/>
              <w:right w:val="single" w:color="auto" w:sz="4" w:space="0"/>
            </w:tcBorders>
            <w:vAlign w:val="center"/>
          </w:tcPr>
          <w:p w14:paraId="64176E62">
            <w:pPr>
              <w:snapToGrid w:val="0"/>
              <w:spacing w:before="50" w:after="50"/>
              <w:jc w:val="center"/>
              <w:rPr>
                <w:rFonts w:ascii="宋体" w:hAnsi="宋体" w:cs="宋体"/>
                <w:color w:val="auto"/>
                <w:sz w:val="24"/>
                <w:highlight w:val="none"/>
              </w:rPr>
            </w:pPr>
          </w:p>
        </w:tc>
        <w:tc>
          <w:tcPr>
            <w:tcW w:w="1854" w:type="dxa"/>
            <w:tcBorders>
              <w:top w:val="single" w:color="auto" w:sz="4" w:space="0"/>
              <w:left w:val="single" w:color="auto" w:sz="4" w:space="0"/>
              <w:bottom w:val="single" w:color="auto" w:sz="4" w:space="0"/>
              <w:right w:val="single" w:color="auto" w:sz="4" w:space="0"/>
            </w:tcBorders>
          </w:tcPr>
          <w:p w14:paraId="09DC7C1E">
            <w:pPr>
              <w:snapToGrid w:val="0"/>
              <w:spacing w:before="50" w:after="50"/>
              <w:jc w:val="center"/>
              <w:rPr>
                <w:rFonts w:ascii="宋体" w:hAnsi="宋体" w:cs="宋体"/>
                <w:color w:val="auto"/>
                <w:sz w:val="24"/>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658663A1">
            <w:pPr>
              <w:snapToGrid w:val="0"/>
              <w:spacing w:before="50" w:after="50"/>
              <w:jc w:val="center"/>
              <w:rPr>
                <w:rFonts w:ascii="宋体" w:hAnsi="宋体" w:cs="宋体"/>
                <w:color w:val="auto"/>
                <w:sz w:val="24"/>
                <w:highlight w:val="none"/>
              </w:rPr>
            </w:pPr>
          </w:p>
        </w:tc>
        <w:tc>
          <w:tcPr>
            <w:tcW w:w="765" w:type="dxa"/>
            <w:tcBorders>
              <w:top w:val="single" w:color="auto" w:sz="4" w:space="0"/>
              <w:left w:val="single" w:color="auto" w:sz="4" w:space="0"/>
              <w:bottom w:val="single" w:color="auto" w:sz="4" w:space="0"/>
              <w:right w:val="single" w:color="auto" w:sz="4" w:space="0"/>
            </w:tcBorders>
            <w:vAlign w:val="center"/>
          </w:tcPr>
          <w:p w14:paraId="225F51B7">
            <w:pPr>
              <w:snapToGrid w:val="0"/>
              <w:spacing w:before="50" w:after="50"/>
              <w:jc w:val="center"/>
              <w:rPr>
                <w:rFonts w:ascii="宋体" w:hAnsi="宋体" w:cs="宋体"/>
                <w:color w:val="auto"/>
                <w:sz w:val="24"/>
                <w:highlight w:val="none"/>
              </w:rPr>
            </w:pPr>
          </w:p>
        </w:tc>
        <w:tc>
          <w:tcPr>
            <w:tcW w:w="797" w:type="dxa"/>
            <w:tcBorders>
              <w:top w:val="single" w:color="auto" w:sz="4" w:space="0"/>
              <w:left w:val="single" w:color="auto" w:sz="4" w:space="0"/>
              <w:bottom w:val="single" w:color="auto" w:sz="4" w:space="0"/>
              <w:right w:val="single" w:color="auto" w:sz="4" w:space="0"/>
            </w:tcBorders>
          </w:tcPr>
          <w:p w14:paraId="2D5C7B95">
            <w:pPr>
              <w:snapToGrid w:val="0"/>
              <w:spacing w:before="50" w:after="50"/>
              <w:jc w:val="center"/>
              <w:rPr>
                <w:rFonts w:ascii="宋体" w:hAnsi="宋体" w:cs="宋体"/>
                <w:color w:val="auto"/>
                <w:sz w:val="24"/>
                <w:highlight w:val="none"/>
              </w:rPr>
            </w:pPr>
          </w:p>
        </w:tc>
        <w:tc>
          <w:tcPr>
            <w:tcW w:w="971" w:type="dxa"/>
            <w:tcBorders>
              <w:top w:val="single" w:color="auto" w:sz="4" w:space="0"/>
              <w:left w:val="single" w:color="auto" w:sz="4" w:space="0"/>
              <w:bottom w:val="single" w:color="auto" w:sz="4" w:space="0"/>
              <w:right w:val="single" w:color="auto" w:sz="4" w:space="0"/>
            </w:tcBorders>
          </w:tcPr>
          <w:p w14:paraId="190410EA">
            <w:pPr>
              <w:snapToGrid w:val="0"/>
              <w:spacing w:before="50" w:after="50"/>
              <w:jc w:val="center"/>
              <w:rPr>
                <w:rFonts w:ascii="宋体" w:hAnsi="宋体" w:cs="宋体"/>
                <w:color w:val="auto"/>
                <w:sz w:val="24"/>
                <w:highlight w:val="none"/>
              </w:rPr>
            </w:pPr>
          </w:p>
        </w:tc>
        <w:tc>
          <w:tcPr>
            <w:tcW w:w="2147" w:type="dxa"/>
            <w:tcBorders>
              <w:top w:val="single" w:color="auto" w:sz="4" w:space="0"/>
              <w:left w:val="single" w:color="auto" w:sz="4" w:space="0"/>
              <w:bottom w:val="single" w:color="auto" w:sz="4" w:space="0"/>
              <w:right w:val="single" w:color="auto" w:sz="4" w:space="0"/>
            </w:tcBorders>
            <w:vAlign w:val="center"/>
          </w:tcPr>
          <w:p w14:paraId="6C842096">
            <w:pPr>
              <w:snapToGrid w:val="0"/>
              <w:spacing w:before="50" w:after="50"/>
              <w:jc w:val="center"/>
              <w:rPr>
                <w:rFonts w:ascii="宋体" w:hAnsi="宋体" w:cs="宋体"/>
                <w:color w:val="auto"/>
                <w:sz w:val="24"/>
                <w:highlight w:val="none"/>
              </w:rPr>
            </w:pPr>
          </w:p>
        </w:tc>
      </w:tr>
      <w:tr w14:paraId="4E38D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67" w:type="dxa"/>
            <w:tcBorders>
              <w:top w:val="single" w:color="auto" w:sz="4" w:space="0"/>
              <w:left w:val="single" w:color="auto" w:sz="4" w:space="0"/>
              <w:bottom w:val="single" w:color="auto" w:sz="4" w:space="0"/>
              <w:right w:val="single" w:color="auto" w:sz="4" w:space="0"/>
            </w:tcBorders>
            <w:vAlign w:val="center"/>
          </w:tcPr>
          <w:p w14:paraId="66B5745A">
            <w:pPr>
              <w:snapToGrid w:val="0"/>
              <w:spacing w:before="50" w:after="50"/>
              <w:jc w:val="center"/>
              <w:rPr>
                <w:rFonts w:ascii="宋体" w:hAnsi="宋体" w:cs="宋体"/>
                <w:color w:val="auto"/>
                <w:sz w:val="24"/>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7183A274">
            <w:pPr>
              <w:snapToGrid w:val="0"/>
              <w:spacing w:before="50" w:after="50"/>
              <w:jc w:val="center"/>
              <w:rPr>
                <w:rFonts w:ascii="宋体" w:hAnsi="宋体" w:cs="宋体"/>
                <w:color w:val="auto"/>
                <w:sz w:val="24"/>
                <w:highlight w:val="none"/>
              </w:rPr>
            </w:pPr>
          </w:p>
        </w:tc>
        <w:tc>
          <w:tcPr>
            <w:tcW w:w="929" w:type="dxa"/>
            <w:tcBorders>
              <w:top w:val="single" w:color="auto" w:sz="4" w:space="0"/>
              <w:left w:val="single" w:color="auto" w:sz="4" w:space="0"/>
              <w:bottom w:val="single" w:color="auto" w:sz="4" w:space="0"/>
              <w:right w:val="single" w:color="auto" w:sz="4" w:space="0"/>
            </w:tcBorders>
            <w:vAlign w:val="center"/>
          </w:tcPr>
          <w:p w14:paraId="17074C41">
            <w:pPr>
              <w:snapToGrid w:val="0"/>
              <w:spacing w:before="50" w:after="50"/>
              <w:jc w:val="center"/>
              <w:rPr>
                <w:rFonts w:ascii="宋体" w:hAnsi="宋体" w:cs="宋体"/>
                <w:color w:val="auto"/>
                <w:sz w:val="24"/>
                <w:highlight w:val="none"/>
              </w:rPr>
            </w:pPr>
          </w:p>
        </w:tc>
        <w:tc>
          <w:tcPr>
            <w:tcW w:w="1854" w:type="dxa"/>
            <w:tcBorders>
              <w:top w:val="single" w:color="auto" w:sz="4" w:space="0"/>
              <w:left w:val="single" w:color="auto" w:sz="4" w:space="0"/>
              <w:bottom w:val="single" w:color="auto" w:sz="4" w:space="0"/>
              <w:right w:val="single" w:color="auto" w:sz="4" w:space="0"/>
            </w:tcBorders>
          </w:tcPr>
          <w:p w14:paraId="1C591D24">
            <w:pPr>
              <w:snapToGrid w:val="0"/>
              <w:spacing w:before="50" w:after="50"/>
              <w:jc w:val="center"/>
              <w:rPr>
                <w:rFonts w:ascii="宋体" w:hAnsi="宋体" w:cs="宋体"/>
                <w:color w:val="auto"/>
                <w:sz w:val="24"/>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5E19A491">
            <w:pPr>
              <w:snapToGrid w:val="0"/>
              <w:spacing w:before="50" w:after="50"/>
              <w:jc w:val="center"/>
              <w:rPr>
                <w:rFonts w:ascii="宋体" w:hAnsi="宋体" w:cs="宋体"/>
                <w:color w:val="auto"/>
                <w:sz w:val="24"/>
                <w:highlight w:val="none"/>
              </w:rPr>
            </w:pPr>
          </w:p>
        </w:tc>
        <w:tc>
          <w:tcPr>
            <w:tcW w:w="765" w:type="dxa"/>
            <w:tcBorders>
              <w:top w:val="single" w:color="auto" w:sz="4" w:space="0"/>
              <w:left w:val="single" w:color="auto" w:sz="4" w:space="0"/>
              <w:bottom w:val="single" w:color="auto" w:sz="4" w:space="0"/>
              <w:right w:val="single" w:color="auto" w:sz="4" w:space="0"/>
            </w:tcBorders>
            <w:vAlign w:val="center"/>
          </w:tcPr>
          <w:p w14:paraId="0E8DABF1">
            <w:pPr>
              <w:snapToGrid w:val="0"/>
              <w:spacing w:before="50" w:after="50"/>
              <w:jc w:val="center"/>
              <w:rPr>
                <w:rFonts w:ascii="宋体" w:hAnsi="宋体" w:cs="宋体"/>
                <w:color w:val="auto"/>
                <w:sz w:val="24"/>
                <w:highlight w:val="none"/>
              </w:rPr>
            </w:pPr>
          </w:p>
        </w:tc>
        <w:tc>
          <w:tcPr>
            <w:tcW w:w="797" w:type="dxa"/>
            <w:tcBorders>
              <w:top w:val="single" w:color="auto" w:sz="4" w:space="0"/>
              <w:left w:val="single" w:color="auto" w:sz="4" w:space="0"/>
              <w:bottom w:val="single" w:color="auto" w:sz="4" w:space="0"/>
              <w:right w:val="single" w:color="auto" w:sz="4" w:space="0"/>
            </w:tcBorders>
          </w:tcPr>
          <w:p w14:paraId="5698EBBB">
            <w:pPr>
              <w:snapToGrid w:val="0"/>
              <w:spacing w:before="50" w:after="50"/>
              <w:jc w:val="center"/>
              <w:rPr>
                <w:rFonts w:ascii="宋体" w:hAnsi="宋体" w:cs="宋体"/>
                <w:color w:val="auto"/>
                <w:sz w:val="24"/>
                <w:highlight w:val="none"/>
              </w:rPr>
            </w:pPr>
          </w:p>
        </w:tc>
        <w:tc>
          <w:tcPr>
            <w:tcW w:w="971" w:type="dxa"/>
            <w:tcBorders>
              <w:top w:val="single" w:color="auto" w:sz="4" w:space="0"/>
              <w:left w:val="single" w:color="auto" w:sz="4" w:space="0"/>
              <w:bottom w:val="single" w:color="auto" w:sz="4" w:space="0"/>
              <w:right w:val="single" w:color="auto" w:sz="4" w:space="0"/>
            </w:tcBorders>
          </w:tcPr>
          <w:p w14:paraId="3232B672">
            <w:pPr>
              <w:snapToGrid w:val="0"/>
              <w:spacing w:before="50" w:after="50"/>
              <w:jc w:val="center"/>
              <w:rPr>
                <w:rFonts w:ascii="宋体" w:hAnsi="宋体" w:cs="宋体"/>
                <w:color w:val="auto"/>
                <w:sz w:val="24"/>
                <w:highlight w:val="none"/>
              </w:rPr>
            </w:pPr>
          </w:p>
        </w:tc>
        <w:tc>
          <w:tcPr>
            <w:tcW w:w="2147" w:type="dxa"/>
            <w:tcBorders>
              <w:top w:val="single" w:color="auto" w:sz="4" w:space="0"/>
              <w:left w:val="single" w:color="auto" w:sz="4" w:space="0"/>
              <w:bottom w:val="single" w:color="auto" w:sz="4" w:space="0"/>
              <w:right w:val="single" w:color="auto" w:sz="4" w:space="0"/>
            </w:tcBorders>
            <w:vAlign w:val="center"/>
          </w:tcPr>
          <w:p w14:paraId="17F8FEA5">
            <w:pPr>
              <w:snapToGrid w:val="0"/>
              <w:spacing w:before="50" w:after="50"/>
              <w:jc w:val="center"/>
              <w:rPr>
                <w:rFonts w:ascii="宋体" w:hAnsi="宋体" w:cs="宋体"/>
                <w:color w:val="auto"/>
                <w:sz w:val="24"/>
                <w:highlight w:val="none"/>
              </w:rPr>
            </w:pPr>
          </w:p>
        </w:tc>
      </w:tr>
    </w:tbl>
    <w:p w14:paraId="36760C7E">
      <w:pPr>
        <w:spacing w:line="360" w:lineRule="auto"/>
        <w:contextualSpacing/>
        <w:rPr>
          <w:rFonts w:ascii="楷体" w:hAnsi="楷体" w:eastAsia="楷体" w:cs="宋体"/>
          <w:b/>
          <w:color w:val="auto"/>
          <w:sz w:val="24"/>
          <w:highlight w:val="none"/>
        </w:rPr>
      </w:pPr>
      <w:r>
        <w:rPr>
          <w:rFonts w:hint="eastAsia" w:ascii="楷体" w:hAnsi="楷体" w:eastAsia="楷体" w:cs="宋体"/>
          <w:b/>
          <w:color w:val="auto"/>
          <w:sz w:val="24"/>
          <w:highlight w:val="none"/>
        </w:rPr>
        <w:t>备注：</w:t>
      </w:r>
    </w:p>
    <w:p w14:paraId="10C322CC">
      <w:pPr>
        <w:tabs>
          <w:tab w:val="left" w:pos="1065"/>
        </w:tabs>
        <w:adjustRightInd w:val="0"/>
        <w:spacing w:line="360" w:lineRule="auto"/>
        <w:ind w:firstLine="482" w:firstLineChars="200"/>
        <w:contextualSpacing/>
        <w:rPr>
          <w:rFonts w:ascii="楷体" w:hAnsi="楷体" w:eastAsia="楷体" w:cs="宋体"/>
          <w:color w:val="auto"/>
          <w:sz w:val="24"/>
          <w:highlight w:val="none"/>
        </w:rPr>
      </w:pPr>
      <w:r>
        <w:rPr>
          <w:rFonts w:hint="eastAsia" w:ascii="楷体" w:hAnsi="楷体" w:eastAsia="楷体" w:cs="宋体"/>
          <w:b/>
          <w:bCs/>
          <w:color w:val="auto"/>
          <w:sz w:val="24"/>
          <w:highlight w:val="none"/>
        </w:rPr>
        <w:t>以上货物配置清单中“货物名称、数量、单位、品牌、型号、生产厂家、产地、参数性能、指标及配置”必须如实填写完整，定制产品在型号栏中填写“定制”。填写有缺漏的，响应文件按无效响应处理</w:t>
      </w:r>
      <w:r>
        <w:rPr>
          <w:rFonts w:hint="eastAsia" w:ascii="楷体" w:hAnsi="楷体" w:eastAsia="楷体" w:cs="宋体"/>
          <w:b/>
          <w:color w:val="auto"/>
          <w:sz w:val="24"/>
          <w:highlight w:val="none"/>
        </w:rPr>
        <w:t>。</w:t>
      </w:r>
      <w:r>
        <w:rPr>
          <w:rFonts w:hint="eastAsia" w:ascii="楷体" w:hAnsi="楷体" w:eastAsia="楷体" w:cs="宋体"/>
          <w:color w:val="auto"/>
          <w:sz w:val="24"/>
          <w:highlight w:val="none"/>
        </w:rPr>
        <w:t>货物名称、数量、单位、品牌等必须与“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highlight w:val="none"/>
        </w:rPr>
        <w:t>报价表”一致，</w:t>
      </w:r>
      <w:r>
        <w:rPr>
          <w:rFonts w:hint="eastAsia" w:ascii="楷体" w:hAnsi="楷体" w:eastAsia="楷体" w:cs="宋体"/>
          <w:bCs/>
          <w:color w:val="auto"/>
          <w:sz w:val="24"/>
          <w:highlight w:val="none"/>
        </w:rPr>
        <w:t>否则响应文件按无效响应处理</w:t>
      </w:r>
      <w:r>
        <w:rPr>
          <w:rFonts w:hint="eastAsia" w:ascii="楷体" w:hAnsi="楷体" w:eastAsia="楷体" w:cs="宋体"/>
          <w:b/>
          <w:color w:val="auto"/>
          <w:sz w:val="24"/>
          <w:highlight w:val="none"/>
        </w:rPr>
        <w:t>。</w:t>
      </w:r>
      <w:r>
        <w:rPr>
          <w:rFonts w:ascii="楷体" w:hAnsi="楷体" w:eastAsia="楷体" w:cs="宋体"/>
          <w:color w:val="auto"/>
          <w:sz w:val="24"/>
          <w:highlight w:val="none"/>
        </w:rPr>
        <w:tab/>
      </w:r>
    </w:p>
    <w:p w14:paraId="5963C8D0">
      <w:pPr>
        <w:adjustRightInd w:val="0"/>
        <w:spacing w:line="360" w:lineRule="auto"/>
        <w:contextualSpacing/>
        <w:jc w:val="left"/>
        <w:rPr>
          <w:rFonts w:ascii="宋体" w:hAnsi="宋体" w:cs="宋体"/>
          <w:color w:val="auto"/>
          <w:sz w:val="24"/>
          <w:highlight w:val="none"/>
        </w:rPr>
      </w:pPr>
    </w:p>
    <w:p w14:paraId="484C0060">
      <w:pPr>
        <w:adjustRightInd w:val="0"/>
        <w:spacing w:line="360" w:lineRule="auto"/>
        <w:contextualSpacing/>
        <w:jc w:val="left"/>
        <w:rPr>
          <w:rFonts w:ascii="宋体" w:hAnsi="宋体" w:cs="宋体"/>
          <w:color w:val="auto"/>
          <w:sz w:val="24"/>
          <w:highlight w:val="none"/>
        </w:rPr>
      </w:pPr>
    </w:p>
    <w:p w14:paraId="07AC8E7F">
      <w:pPr>
        <w:adjustRightInd w:val="0"/>
        <w:spacing w:line="360" w:lineRule="auto"/>
        <w:contextualSpacing/>
        <w:jc w:val="left"/>
        <w:rPr>
          <w:rFonts w:ascii="宋体" w:hAnsi="宋体" w:cs="宋体"/>
          <w:color w:val="auto"/>
          <w:sz w:val="24"/>
          <w:highlight w:val="none"/>
        </w:rPr>
      </w:pPr>
    </w:p>
    <w:p w14:paraId="52B2E260">
      <w:pPr>
        <w:spacing w:line="360" w:lineRule="auto"/>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78748192">
      <w:pPr>
        <w:spacing w:line="360" w:lineRule="auto"/>
        <w:ind w:firstLine="3240" w:firstLineChars="135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7D04710">
      <w:pPr>
        <w:spacing w:line="360" w:lineRule="auto"/>
        <w:ind w:firstLine="3240" w:firstLineChars="1350"/>
        <w:contextualSpacing/>
        <w:rPr>
          <w:rFonts w:ascii="宋体" w:hAnsi="宋体" w:cs="宋体"/>
          <w:color w:val="auto"/>
          <w:szCs w:val="21"/>
          <w:highlight w:val="none"/>
          <w:u w:val="singl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110081B2">
      <w:pPr>
        <w:adjustRightInd w:val="0"/>
        <w:snapToGrid w:val="0"/>
        <w:spacing w:line="360" w:lineRule="auto"/>
        <w:rPr>
          <w:rFonts w:ascii="宋体" w:hAnsi="宋体" w:cs="宋体"/>
          <w:color w:val="auto"/>
          <w:szCs w:val="21"/>
          <w:highlight w:val="none"/>
          <w:u w:val="single"/>
        </w:rPr>
      </w:pPr>
    </w:p>
    <w:p w14:paraId="53285C13">
      <w:pPr>
        <w:adjustRightInd w:val="0"/>
        <w:snapToGrid w:val="0"/>
        <w:spacing w:line="360" w:lineRule="auto"/>
        <w:rPr>
          <w:rFonts w:ascii="宋体" w:hAnsi="宋体" w:cs="宋体"/>
          <w:color w:val="auto"/>
          <w:szCs w:val="21"/>
          <w:highlight w:val="none"/>
          <w:u w:val="single"/>
        </w:rPr>
      </w:pPr>
    </w:p>
    <w:p w14:paraId="45AF7A44">
      <w:pPr>
        <w:adjustRightInd w:val="0"/>
        <w:snapToGrid w:val="0"/>
        <w:spacing w:line="360" w:lineRule="auto"/>
        <w:rPr>
          <w:rFonts w:ascii="宋体" w:hAnsi="宋体" w:cs="宋体"/>
          <w:color w:val="auto"/>
          <w:szCs w:val="21"/>
          <w:highlight w:val="none"/>
          <w:u w:val="single"/>
        </w:rPr>
      </w:pPr>
    </w:p>
    <w:p w14:paraId="1285E65B">
      <w:pPr>
        <w:adjustRightInd w:val="0"/>
        <w:snapToGrid w:val="0"/>
        <w:spacing w:line="360" w:lineRule="auto"/>
        <w:rPr>
          <w:rFonts w:ascii="宋体" w:hAnsi="宋体" w:cs="宋体"/>
          <w:color w:val="auto"/>
          <w:szCs w:val="21"/>
          <w:highlight w:val="none"/>
          <w:u w:val="single"/>
        </w:rPr>
      </w:pPr>
    </w:p>
    <w:p w14:paraId="53A19C0A">
      <w:pPr>
        <w:adjustRightInd w:val="0"/>
        <w:snapToGrid w:val="0"/>
        <w:spacing w:line="360" w:lineRule="auto"/>
        <w:rPr>
          <w:rFonts w:ascii="宋体" w:hAnsi="宋体" w:cs="宋体"/>
          <w:color w:val="auto"/>
          <w:szCs w:val="21"/>
          <w:highlight w:val="none"/>
          <w:u w:val="single"/>
        </w:rPr>
      </w:pPr>
    </w:p>
    <w:p w14:paraId="004026AB">
      <w:pPr>
        <w:adjustRightInd w:val="0"/>
        <w:snapToGrid w:val="0"/>
        <w:spacing w:line="360" w:lineRule="auto"/>
        <w:jc w:val="center"/>
        <w:rPr>
          <w:rFonts w:ascii="宋体" w:hAnsi="宋体" w:cs="宋体"/>
          <w:b/>
          <w:bCs/>
          <w:color w:val="auto"/>
          <w:sz w:val="44"/>
          <w:szCs w:val="44"/>
          <w:highlight w:val="none"/>
        </w:rPr>
      </w:pPr>
      <w:r>
        <w:rPr>
          <w:rFonts w:hint="eastAsia" w:ascii="宋体" w:hAnsi="宋体" w:cs="宋体"/>
          <w:bCs/>
          <w:color w:val="auto"/>
          <w:sz w:val="44"/>
          <w:szCs w:val="44"/>
          <w:highlight w:val="none"/>
        </w:rPr>
        <w:br w:type="page"/>
      </w:r>
      <w:r>
        <w:rPr>
          <w:rFonts w:hint="eastAsia" w:ascii="宋体" w:hAnsi="宋体" w:cs="宋体"/>
          <w:b/>
          <w:bCs/>
          <w:color w:val="auto"/>
          <w:sz w:val="44"/>
          <w:szCs w:val="44"/>
          <w:highlight w:val="none"/>
        </w:rPr>
        <w:t>技术要求偏离表</w:t>
      </w:r>
    </w:p>
    <w:p w14:paraId="07A249D0">
      <w:pPr>
        <w:spacing w:line="360" w:lineRule="auto"/>
        <w:rPr>
          <w:rFonts w:ascii="宋体" w:hAnsi="宋体" w:cs="宋体"/>
          <w:color w:val="auto"/>
          <w:sz w:val="32"/>
          <w:szCs w:val="32"/>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79868BB0">
      <w:pPr>
        <w:spacing w:line="360" w:lineRule="auto"/>
        <w:rPr>
          <w:rFonts w:ascii="宋体" w:hAnsi="宋体" w:cs="宋体"/>
          <w:color w:val="auto"/>
          <w:sz w:val="24"/>
          <w:highlight w:val="non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556E42AF">
      <w:pPr>
        <w:spacing w:line="360" w:lineRule="auto"/>
        <w:rPr>
          <w:rFonts w:ascii="宋体" w:hAnsi="宋体" w:cs="宋体"/>
          <w:color w:val="auto"/>
          <w:sz w:val="24"/>
          <w:highlight w:val="none"/>
          <w:u w:val="single"/>
        </w:rPr>
      </w:pPr>
      <w:r>
        <w:rPr>
          <w:rFonts w:hint="eastAsia" w:ascii="宋体" w:hAnsi="宋体" w:cs="宋体"/>
          <w:color w:val="auto"/>
          <w:sz w:val="24"/>
          <w:highlight w:val="none"/>
        </w:rPr>
        <w:t>分标号：</w:t>
      </w:r>
      <w:r>
        <w:rPr>
          <w:rFonts w:hint="eastAsia" w:ascii="宋体" w:hAnsi="宋体" w:cs="宋体"/>
          <w:color w:val="auto"/>
          <w:sz w:val="24"/>
          <w:highlight w:val="none"/>
          <w:u w:val="single"/>
        </w:rPr>
        <w:t xml:space="preserve">                       </w:t>
      </w:r>
    </w:p>
    <w:tbl>
      <w:tblPr>
        <w:tblStyle w:val="26"/>
        <w:tblW w:w="985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89"/>
        <w:gridCol w:w="990"/>
        <w:gridCol w:w="3293"/>
        <w:gridCol w:w="2964"/>
        <w:gridCol w:w="1617"/>
      </w:tblGrid>
      <w:tr w14:paraId="0A55F4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89" w:type="dxa"/>
            <w:vAlign w:val="center"/>
          </w:tcPr>
          <w:p w14:paraId="5187C276">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序号</w:t>
            </w:r>
          </w:p>
        </w:tc>
        <w:tc>
          <w:tcPr>
            <w:tcW w:w="990" w:type="dxa"/>
            <w:tcBorders>
              <w:right w:val="single" w:color="auto" w:sz="4" w:space="0"/>
            </w:tcBorders>
            <w:vAlign w:val="center"/>
          </w:tcPr>
          <w:p w14:paraId="6C369F78">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货物名称</w:t>
            </w:r>
          </w:p>
        </w:tc>
        <w:tc>
          <w:tcPr>
            <w:tcW w:w="3293" w:type="dxa"/>
            <w:tcBorders>
              <w:left w:val="single" w:color="auto" w:sz="4" w:space="0"/>
            </w:tcBorders>
            <w:vAlign w:val="center"/>
          </w:tcPr>
          <w:p w14:paraId="7C5C4C52">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技术要求</w:t>
            </w:r>
          </w:p>
        </w:tc>
        <w:tc>
          <w:tcPr>
            <w:tcW w:w="2964" w:type="dxa"/>
            <w:vAlign w:val="center"/>
          </w:tcPr>
          <w:p w14:paraId="6411A4A9">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竞争性谈判响应</w:t>
            </w:r>
          </w:p>
        </w:tc>
        <w:tc>
          <w:tcPr>
            <w:tcW w:w="1617" w:type="dxa"/>
            <w:vAlign w:val="center"/>
          </w:tcPr>
          <w:p w14:paraId="31508418">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偏离说明</w:t>
            </w:r>
          </w:p>
        </w:tc>
      </w:tr>
      <w:tr w14:paraId="57F052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89" w:type="dxa"/>
            <w:vAlign w:val="center"/>
          </w:tcPr>
          <w:p w14:paraId="696BBF21">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w:t>
            </w:r>
          </w:p>
        </w:tc>
        <w:tc>
          <w:tcPr>
            <w:tcW w:w="990" w:type="dxa"/>
            <w:tcBorders>
              <w:right w:val="single" w:color="auto" w:sz="4" w:space="0"/>
            </w:tcBorders>
            <w:vAlign w:val="center"/>
          </w:tcPr>
          <w:p w14:paraId="06D56E9D">
            <w:pPr>
              <w:pStyle w:val="11"/>
              <w:spacing w:line="500" w:lineRule="exact"/>
              <w:ind w:firstLine="0" w:firstLineChars="0"/>
              <w:jc w:val="center"/>
              <w:rPr>
                <w:rFonts w:ascii="宋体" w:hAnsi="宋体" w:eastAsia="宋体" w:cs="宋体"/>
                <w:color w:val="auto"/>
                <w:kern w:val="2"/>
                <w:sz w:val="24"/>
                <w:szCs w:val="24"/>
                <w:highlight w:val="none"/>
              </w:rPr>
            </w:pPr>
          </w:p>
        </w:tc>
        <w:tc>
          <w:tcPr>
            <w:tcW w:w="3293" w:type="dxa"/>
            <w:tcBorders>
              <w:left w:val="single" w:color="auto" w:sz="4" w:space="0"/>
            </w:tcBorders>
            <w:vAlign w:val="center"/>
          </w:tcPr>
          <w:p w14:paraId="7E6955E7">
            <w:pPr>
              <w:pStyle w:val="11"/>
              <w:spacing w:line="500" w:lineRule="exact"/>
              <w:ind w:firstLine="0" w:firstLineChars="0"/>
              <w:jc w:val="center"/>
              <w:rPr>
                <w:rFonts w:ascii="宋体" w:hAnsi="宋体" w:eastAsia="宋体" w:cs="宋体"/>
                <w:color w:val="auto"/>
                <w:kern w:val="2"/>
                <w:sz w:val="24"/>
                <w:szCs w:val="24"/>
                <w:highlight w:val="none"/>
              </w:rPr>
            </w:pPr>
          </w:p>
        </w:tc>
        <w:tc>
          <w:tcPr>
            <w:tcW w:w="2964" w:type="dxa"/>
            <w:vAlign w:val="center"/>
          </w:tcPr>
          <w:p w14:paraId="5407F520">
            <w:pPr>
              <w:pStyle w:val="11"/>
              <w:spacing w:line="500" w:lineRule="exact"/>
              <w:ind w:firstLine="0" w:firstLineChars="0"/>
              <w:jc w:val="center"/>
              <w:rPr>
                <w:rFonts w:ascii="宋体" w:hAnsi="宋体" w:eastAsia="宋体" w:cs="宋体"/>
                <w:color w:val="auto"/>
                <w:kern w:val="2"/>
                <w:sz w:val="24"/>
                <w:szCs w:val="24"/>
                <w:highlight w:val="none"/>
              </w:rPr>
            </w:pPr>
          </w:p>
        </w:tc>
        <w:tc>
          <w:tcPr>
            <w:tcW w:w="1617" w:type="dxa"/>
            <w:vAlign w:val="center"/>
          </w:tcPr>
          <w:p w14:paraId="1038E351">
            <w:pPr>
              <w:pStyle w:val="11"/>
              <w:spacing w:line="500" w:lineRule="exact"/>
              <w:ind w:firstLine="0" w:firstLineChars="0"/>
              <w:jc w:val="center"/>
              <w:rPr>
                <w:rFonts w:ascii="宋体" w:hAnsi="宋体" w:eastAsia="宋体" w:cs="宋体"/>
                <w:color w:val="auto"/>
                <w:kern w:val="2"/>
                <w:sz w:val="24"/>
                <w:szCs w:val="24"/>
                <w:highlight w:val="none"/>
              </w:rPr>
            </w:pPr>
          </w:p>
        </w:tc>
      </w:tr>
      <w:tr w14:paraId="6E8493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89" w:type="dxa"/>
            <w:vAlign w:val="center"/>
          </w:tcPr>
          <w:p w14:paraId="0B4EAB7F">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w:t>
            </w:r>
          </w:p>
        </w:tc>
        <w:tc>
          <w:tcPr>
            <w:tcW w:w="990" w:type="dxa"/>
            <w:tcBorders>
              <w:right w:val="single" w:color="auto" w:sz="4" w:space="0"/>
            </w:tcBorders>
            <w:vAlign w:val="center"/>
          </w:tcPr>
          <w:p w14:paraId="417C7E3C">
            <w:pPr>
              <w:pStyle w:val="11"/>
              <w:spacing w:line="500" w:lineRule="exact"/>
              <w:ind w:firstLine="0" w:firstLineChars="0"/>
              <w:jc w:val="center"/>
              <w:rPr>
                <w:rFonts w:ascii="宋体" w:hAnsi="宋体" w:eastAsia="宋体" w:cs="宋体"/>
                <w:color w:val="auto"/>
                <w:kern w:val="2"/>
                <w:sz w:val="24"/>
                <w:szCs w:val="24"/>
                <w:highlight w:val="none"/>
              </w:rPr>
            </w:pPr>
          </w:p>
        </w:tc>
        <w:tc>
          <w:tcPr>
            <w:tcW w:w="3293" w:type="dxa"/>
            <w:tcBorders>
              <w:left w:val="single" w:color="auto" w:sz="4" w:space="0"/>
            </w:tcBorders>
            <w:vAlign w:val="center"/>
          </w:tcPr>
          <w:p w14:paraId="79AA6E0D">
            <w:pPr>
              <w:pStyle w:val="11"/>
              <w:spacing w:line="500" w:lineRule="exact"/>
              <w:ind w:firstLine="0" w:firstLineChars="0"/>
              <w:jc w:val="center"/>
              <w:rPr>
                <w:rFonts w:ascii="宋体" w:hAnsi="宋体" w:eastAsia="宋体" w:cs="宋体"/>
                <w:color w:val="auto"/>
                <w:kern w:val="2"/>
                <w:sz w:val="24"/>
                <w:szCs w:val="24"/>
                <w:highlight w:val="none"/>
              </w:rPr>
            </w:pPr>
          </w:p>
        </w:tc>
        <w:tc>
          <w:tcPr>
            <w:tcW w:w="2964" w:type="dxa"/>
            <w:vAlign w:val="center"/>
          </w:tcPr>
          <w:p w14:paraId="0E9D04AD">
            <w:pPr>
              <w:pStyle w:val="11"/>
              <w:spacing w:line="500" w:lineRule="exact"/>
              <w:ind w:firstLine="0" w:firstLineChars="0"/>
              <w:jc w:val="center"/>
              <w:rPr>
                <w:rFonts w:ascii="宋体" w:hAnsi="宋体" w:eastAsia="宋体" w:cs="宋体"/>
                <w:color w:val="auto"/>
                <w:kern w:val="2"/>
                <w:sz w:val="24"/>
                <w:szCs w:val="24"/>
                <w:highlight w:val="none"/>
              </w:rPr>
            </w:pPr>
          </w:p>
        </w:tc>
        <w:tc>
          <w:tcPr>
            <w:tcW w:w="1617" w:type="dxa"/>
            <w:vAlign w:val="center"/>
          </w:tcPr>
          <w:p w14:paraId="37B91D3B">
            <w:pPr>
              <w:pStyle w:val="11"/>
              <w:spacing w:line="500" w:lineRule="exact"/>
              <w:ind w:firstLine="0" w:firstLineChars="0"/>
              <w:jc w:val="center"/>
              <w:rPr>
                <w:rFonts w:ascii="宋体" w:hAnsi="宋体" w:eastAsia="宋体" w:cs="宋体"/>
                <w:color w:val="auto"/>
                <w:kern w:val="2"/>
                <w:sz w:val="24"/>
                <w:szCs w:val="24"/>
                <w:highlight w:val="none"/>
              </w:rPr>
            </w:pPr>
          </w:p>
        </w:tc>
      </w:tr>
      <w:tr w14:paraId="54BA7F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89" w:type="dxa"/>
            <w:vAlign w:val="center"/>
          </w:tcPr>
          <w:p w14:paraId="34129FF7">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p>
        </w:tc>
        <w:tc>
          <w:tcPr>
            <w:tcW w:w="990" w:type="dxa"/>
            <w:tcBorders>
              <w:right w:val="single" w:color="auto" w:sz="4" w:space="0"/>
            </w:tcBorders>
            <w:vAlign w:val="center"/>
          </w:tcPr>
          <w:p w14:paraId="3886C4AB">
            <w:pPr>
              <w:pStyle w:val="11"/>
              <w:spacing w:line="500" w:lineRule="exact"/>
              <w:ind w:firstLine="0" w:firstLineChars="0"/>
              <w:jc w:val="center"/>
              <w:rPr>
                <w:rFonts w:ascii="宋体" w:hAnsi="宋体" w:eastAsia="宋体" w:cs="宋体"/>
                <w:color w:val="auto"/>
                <w:kern w:val="2"/>
                <w:sz w:val="24"/>
                <w:szCs w:val="24"/>
                <w:highlight w:val="none"/>
              </w:rPr>
            </w:pPr>
          </w:p>
        </w:tc>
        <w:tc>
          <w:tcPr>
            <w:tcW w:w="3293" w:type="dxa"/>
            <w:tcBorders>
              <w:left w:val="single" w:color="auto" w:sz="4" w:space="0"/>
            </w:tcBorders>
            <w:vAlign w:val="center"/>
          </w:tcPr>
          <w:p w14:paraId="162CE412">
            <w:pPr>
              <w:pStyle w:val="11"/>
              <w:spacing w:line="500" w:lineRule="exact"/>
              <w:ind w:firstLine="0" w:firstLineChars="0"/>
              <w:jc w:val="center"/>
              <w:rPr>
                <w:rFonts w:ascii="宋体" w:hAnsi="宋体" w:eastAsia="宋体" w:cs="宋体"/>
                <w:color w:val="auto"/>
                <w:kern w:val="2"/>
                <w:sz w:val="24"/>
                <w:szCs w:val="24"/>
                <w:highlight w:val="none"/>
              </w:rPr>
            </w:pPr>
          </w:p>
        </w:tc>
        <w:tc>
          <w:tcPr>
            <w:tcW w:w="2964" w:type="dxa"/>
            <w:vAlign w:val="center"/>
          </w:tcPr>
          <w:p w14:paraId="6CBB9E4A">
            <w:pPr>
              <w:pStyle w:val="11"/>
              <w:spacing w:line="500" w:lineRule="exact"/>
              <w:ind w:firstLine="0" w:firstLineChars="0"/>
              <w:jc w:val="center"/>
              <w:rPr>
                <w:rFonts w:ascii="宋体" w:hAnsi="宋体" w:eastAsia="宋体" w:cs="宋体"/>
                <w:color w:val="auto"/>
                <w:kern w:val="2"/>
                <w:sz w:val="24"/>
                <w:szCs w:val="24"/>
                <w:highlight w:val="none"/>
              </w:rPr>
            </w:pPr>
          </w:p>
        </w:tc>
        <w:tc>
          <w:tcPr>
            <w:tcW w:w="1617" w:type="dxa"/>
            <w:vAlign w:val="center"/>
          </w:tcPr>
          <w:p w14:paraId="4E4E9670">
            <w:pPr>
              <w:pStyle w:val="11"/>
              <w:spacing w:line="500" w:lineRule="exact"/>
              <w:ind w:firstLine="0" w:firstLineChars="0"/>
              <w:jc w:val="center"/>
              <w:rPr>
                <w:rFonts w:ascii="宋体" w:hAnsi="宋体" w:eastAsia="宋体" w:cs="宋体"/>
                <w:color w:val="auto"/>
                <w:kern w:val="2"/>
                <w:sz w:val="24"/>
                <w:szCs w:val="24"/>
                <w:highlight w:val="none"/>
              </w:rPr>
            </w:pPr>
          </w:p>
        </w:tc>
      </w:tr>
      <w:tr w14:paraId="54CFDD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89" w:type="dxa"/>
            <w:vAlign w:val="center"/>
          </w:tcPr>
          <w:p w14:paraId="5E950209">
            <w:pPr>
              <w:pStyle w:val="11"/>
              <w:spacing w:line="500" w:lineRule="exact"/>
              <w:ind w:firstLine="0" w:firstLineChars="0"/>
              <w:jc w:val="center"/>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w:t>
            </w:r>
          </w:p>
        </w:tc>
        <w:tc>
          <w:tcPr>
            <w:tcW w:w="990" w:type="dxa"/>
            <w:tcBorders>
              <w:right w:val="single" w:color="auto" w:sz="4" w:space="0"/>
            </w:tcBorders>
            <w:vAlign w:val="center"/>
          </w:tcPr>
          <w:p w14:paraId="3D54BEF7">
            <w:pPr>
              <w:pStyle w:val="11"/>
              <w:spacing w:line="500" w:lineRule="exact"/>
              <w:ind w:firstLine="0" w:firstLineChars="0"/>
              <w:jc w:val="center"/>
              <w:rPr>
                <w:rFonts w:ascii="宋体" w:hAnsi="宋体" w:eastAsia="宋体" w:cs="宋体"/>
                <w:color w:val="auto"/>
                <w:kern w:val="2"/>
                <w:sz w:val="24"/>
                <w:szCs w:val="24"/>
                <w:highlight w:val="none"/>
              </w:rPr>
            </w:pPr>
          </w:p>
        </w:tc>
        <w:tc>
          <w:tcPr>
            <w:tcW w:w="3293" w:type="dxa"/>
            <w:tcBorders>
              <w:left w:val="single" w:color="auto" w:sz="4" w:space="0"/>
            </w:tcBorders>
            <w:vAlign w:val="center"/>
          </w:tcPr>
          <w:p w14:paraId="7FE720CF">
            <w:pPr>
              <w:pStyle w:val="11"/>
              <w:spacing w:line="500" w:lineRule="exact"/>
              <w:ind w:firstLine="0" w:firstLineChars="0"/>
              <w:jc w:val="center"/>
              <w:rPr>
                <w:rFonts w:ascii="宋体" w:hAnsi="宋体" w:eastAsia="宋体" w:cs="宋体"/>
                <w:color w:val="auto"/>
                <w:kern w:val="2"/>
                <w:sz w:val="24"/>
                <w:szCs w:val="24"/>
                <w:highlight w:val="none"/>
              </w:rPr>
            </w:pPr>
          </w:p>
        </w:tc>
        <w:tc>
          <w:tcPr>
            <w:tcW w:w="2964" w:type="dxa"/>
            <w:vAlign w:val="center"/>
          </w:tcPr>
          <w:p w14:paraId="68D08016">
            <w:pPr>
              <w:pStyle w:val="11"/>
              <w:spacing w:line="500" w:lineRule="exact"/>
              <w:ind w:firstLine="0" w:firstLineChars="0"/>
              <w:jc w:val="center"/>
              <w:rPr>
                <w:rFonts w:ascii="宋体" w:hAnsi="宋体" w:eastAsia="宋体" w:cs="宋体"/>
                <w:color w:val="auto"/>
                <w:kern w:val="2"/>
                <w:sz w:val="24"/>
                <w:szCs w:val="24"/>
                <w:highlight w:val="none"/>
              </w:rPr>
            </w:pPr>
          </w:p>
        </w:tc>
        <w:tc>
          <w:tcPr>
            <w:tcW w:w="1617" w:type="dxa"/>
            <w:tcBorders>
              <w:right w:val="single" w:color="auto" w:sz="4" w:space="0"/>
            </w:tcBorders>
            <w:vAlign w:val="center"/>
          </w:tcPr>
          <w:p w14:paraId="091ABC1A">
            <w:pPr>
              <w:pStyle w:val="11"/>
              <w:spacing w:line="500" w:lineRule="exact"/>
              <w:ind w:firstLine="0" w:firstLineChars="0"/>
              <w:jc w:val="center"/>
              <w:rPr>
                <w:rFonts w:ascii="宋体" w:hAnsi="宋体" w:eastAsia="宋体" w:cs="宋体"/>
                <w:color w:val="auto"/>
                <w:kern w:val="2"/>
                <w:sz w:val="24"/>
                <w:szCs w:val="24"/>
                <w:highlight w:val="none"/>
              </w:rPr>
            </w:pPr>
          </w:p>
        </w:tc>
      </w:tr>
    </w:tbl>
    <w:p w14:paraId="274B2A96">
      <w:pPr>
        <w:pStyle w:val="11"/>
        <w:spacing w:line="360" w:lineRule="auto"/>
        <w:ind w:firstLine="0" w:firstLineChars="0"/>
        <w:contextualSpacing/>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注：</w:t>
      </w:r>
    </w:p>
    <w:p w14:paraId="23554216">
      <w:pPr>
        <w:pStyle w:val="11"/>
        <w:spacing w:line="360" w:lineRule="auto"/>
        <w:ind w:firstLine="480" w:firstLineChars="200"/>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1.</w:t>
      </w:r>
      <w:r>
        <w:rPr>
          <w:rFonts w:hint="eastAsia" w:ascii="楷体" w:hAnsi="楷体" w:eastAsia="楷体" w:cs="宋体"/>
          <w:color w:val="auto"/>
          <w:sz w:val="24"/>
          <w:szCs w:val="24"/>
          <w:highlight w:val="none"/>
        </w:rPr>
        <w:t>说明：应对照谈判文件“第三章</w:t>
      </w:r>
      <w:r>
        <w:rPr>
          <w:rFonts w:ascii="楷体" w:hAnsi="楷体" w:eastAsia="楷体" w:cs="宋体"/>
          <w:color w:val="auto"/>
          <w:sz w:val="24"/>
          <w:szCs w:val="24"/>
          <w:highlight w:val="none"/>
        </w:rPr>
        <w:t xml:space="preserve"> </w:t>
      </w:r>
      <w:r>
        <w:rPr>
          <w:rFonts w:hint="eastAsia" w:ascii="楷体" w:hAnsi="楷体" w:eastAsia="楷体" w:cs="宋体"/>
          <w:color w:val="auto"/>
          <w:sz w:val="24"/>
          <w:szCs w:val="24"/>
          <w:highlight w:val="none"/>
        </w:rPr>
        <w:t>采购需求”中的技术要求逐条实质性响应，并作出偏离说明。</w:t>
      </w:r>
    </w:p>
    <w:p w14:paraId="72A02801">
      <w:pPr>
        <w:pStyle w:val="11"/>
        <w:spacing w:line="360" w:lineRule="auto"/>
        <w:ind w:firstLine="480" w:firstLineChars="200"/>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2.供应商应根据</w:t>
      </w:r>
      <w:r>
        <w:rPr>
          <w:rFonts w:hint="eastAsia" w:ascii="楷体" w:hAnsi="楷体" w:eastAsia="楷体" w:cs="宋体"/>
          <w:color w:val="auto"/>
          <w:sz w:val="24"/>
          <w:szCs w:val="24"/>
          <w:highlight w:val="none"/>
        </w:rPr>
        <w:t>其参与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szCs w:val="24"/>
          <w:highlight w:val="none"/>
        </w:rPr>
        <w:t>设备的性能指标，对照谈判文件要求，在“偏离说明”中注明“正偏离”、“负偏离”或者“无偏离”。既不属于“正偏离”也不属于“负偏离”即为“无偏离”。</w:t>
      </w:r>
    </w:p>
    <w:p w14:paraId="0C760598">
      <w:pPr>
        <w:pStyle w:val="11"/>
        <w:spacing w:line="360" w:lineRule="auto"/>
        <w:ind w:firstLine="480" w:firstLineChars="200"/>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3.供应商认为其</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szCs w:val="24"/>
          <w:highlight w:val="none"/>
        </w:rPr>
        <w:t>响应有正偏离的，请在技术偏离表中列明，且在响应文件中提供参与</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szCs w:val="24"/>
          <w:highlight w:val="none"/>
        </w:rPr>
        <w:t>产品的彩页或国家认可有资质的第三方检测机构出具的检测报告复印件或产品生产厂家出具的技术参数说明证明作为佐证，以上佐证材料均需加盖生产厂家或代理商（附生产厂家授权资料）公章。</w:t>
      </w:r>
    </w:p>
    <w:p w14:paraId="0D27C72F">
      <w:pPr>
        <w:pStyle w:val="11"/>
        <w:spacing w:line="360" w:lineRule="auto"/>
        <w:ind w:firstLine="480" w:firstLineChars="200"/>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4.</w:t>
      </w:r>
      <w:r>
        <w:rPr>
          <w:rFonts w:hint="eastAsia" w:ascii="楷体" w:hAnsi="楷体" w:eastAsia="楷体" w:cs="宋体"/>
          <w:color w:val="auto"/>
          <w:sz w:val="24"/>
          <w:szCs w:val="24"/>
          <w:highlight w:val="none"/>
        </w:rPr>
        <w:t>如技术偏离表中的</w:t>
      </w:r>
      <w:r>
        <w:rPr>
          <w:rFonts w:hint="eastAsia" w:ascii="楷体" w:hAnsi="楷体" w:eastAsia="楷体" w:cs="宋体"/>
          <w:color w:val="auto"/>
          <w:sz w:val="24"/>
          <w:highlight w:val="none"/>
          <w:lang w:bidi="ar"/>
        </w:rPr>
        <w:t>竞争性谈判</w:t>
      </w:r>
      <w:r>
        <w:rPr>
          <w:rFonts w:hint="eastAsia" w:ascii="楷体" w:hAnsi="楷体" w:eastAsia="楷体" w:cs="宋体"/>
          <w:color w:val="auto"/>
          <w:sz w:val="24"/>
          <w:szCs w:val="24"/>
          <w:highlight w:val="none"/>
        </w:rPr>
        <w:t>响应与佐证材料不一致的，以佐证材料为准。</w:t>
      </w:r>
    </w:p>
    <w:p w14:paraId="4FB6D7F5">
      <w:pPr>
        <w:pStyle w:val="11"/>
        <w:spacing w:line="360" w:lineRule="auto"/>
        <w:ind w:firstLine="0" w:firstLineChars="0"/>
        <w:contextualSpacing/>
        <w:rPr>
          <w:rFonts w:ascii="宋体" w:hAnsi="宋体" w:eastAsia="宋体" w:cs="宋体"/>
          <w:color w:val="auto"/>
          <w:sz w:val="24"/>
          <w:szCs w:val="24"/>
          <w:highlight w:val="none"/>
        </w:rPr>
      </w:pPr>
    </w:p>
    <w:p w14:paraId="4EECE44D">
      <w:pPr>
        <w:spacing w:line="360" w:lineRule="auto"/>
        <w:contextualSpacing/>
        <w:rPr>
          <w:rFonts w:ascii="宋体" w:hAnsi="宋体" w:cs="宋体"/>
          <w:color w:val="auto"/>
          <w:sz w:val="24"/>
          <w:highlight w:val="none"/>
        </w:rPr>
      </w:pPr>
    </w:p>
    <w:p w14:paraId="2EB10C42">
      <w:pPr>
        <w:spacing w:line="360" w:lineRule="auto"/>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04D09C69">
      <w:pPr>
        <w:spacing w:line="360" w:lineRule="auto"/>
        <w:ind w:firstLine="2880" w:firstLineChars="120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10319A86">
      <w:pPr>
        <w:spacing w:line="360" w:lineRule="auto"/>
        <w:ind w:firstLine="2880" w:firstLineChars="1200"/>
        <w:contextualSpacing/>
        <w:rPr>
          <w:rFonts w:ascii="宋体" w:hAnsi="宋体" w:cs="宋体"/>
          <w:color w:val="auto"/>
          <w:sz w:val="32"/>
          <w:szCs w:val="32"/>
          <w:highlight w:val="none"/>
        </w:rPr>
      </w:pPr>
      <w:r>
        <w:rPr>
          <w:rFonts w:hint="eastAsia" w:ascii="宋体" w:hAnsi="宋体" w:cs="宋体"/>
          <w:color w:val="auto"/>
          <w:sz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6A8F91E3">
      <w:pPr>
        <w:rPr>
          <w:rFonts w:ascii="宋体" w:hAnsi="宋体" w:cs="宋体"/>
          <w:color w:val="auto"/>
          <w:sz w:val="24"/>
          <w:highlight w:val="none"/>
        </w:rPr>
      </w:pPr>
      <w:r>
        <w:rPr>
          <w:rFonts w:hint="eastAsia" w:ascii="宋体" w:hAnsi="宋体" w:cs="宋体"/>
          <w:b/>
          <w:bCs/>
          <w:color w:val="auto"/>
          <w:sz w:val="24"/>
          <w:highlight w:val="none"/>
        </w:rPr>
        <w:br w:type="page"/>
      </w:r>
    </w:p>
    <w:p w14:paraId="7C5D1B1C">
      <w:pP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如供应商提供的产品属于本国产品，按以下格式提供关于符合本国产品标准的声明函</w:t>
      </w:r>
    </w:p>
    <w:p w14:paraId="683933A0">
      <w:pPr>
        <w:rPr>
          <w:rFonts w:asciiTheme="minorEastAsia" w:hAnsiTheme="minorEastAsia" w:eastAsiaTheme="minorEastAsia" w:cstheme="minorEastAsia"/>
          <w:color w:val="auto"/>
          <w:highlight w:val="none"/>
        </w:rPr>
      </w:pPr>
    </w:p>
    <w:p w14:paraId="1106D9A8">
      <w:pPr>
        <w:spacing w:line="360" w:lineRule="auto"/>
        <w:jc w:val="center"/>
        <w:rPr>
          <w:rFonts w:asciiTheme="minorEastAsia" w:hAnsiTheme="minorEastAsia" w:eastAsiaTheme="minorEastAsia" w:cstheme="minorEastAsia"/>
          <w:b/>
          <w:color w:val="auto"/>
          <w:sz w:val="44"/>
          <w:szCs w:val="44"/>
          <w:highlight w:val="none"/>
        </w:rPr>
      </w:pPr>
      <w:r>
        <w:rPr>
          <w:rFonts w:hint="eastAsia" w:asciiTheme="minorEastAsia" w:hAnsiTheme="minorEastAsia" w:eastAsiaTheme="minorEastAsia" w:cstheme="minorEastAsia"/>
          <w:b/>
          <w:color w:val="auto"/>
          <w:sz w:val="44"/>
          <w:szCs w:val="44"/>
          <w:highlight w:val="none"/>
        </w:rPr>
        <w:t>关于符合本国产品标准的声明函</w:t>
      </w:r>
    </w:p>
    <w:p w14:paraId="2A2ADABC">
      <w:pPr>
        <w:rPr>
          <w:rFonts w:asciiTheme="minorEastAsia" w:hAnsiTheme="minorEastAsia" w:eastAsiaTheme="minorEastAsia" w:cstheme="minorEastAsia"/>
          <w:color w:val="auto"/>
          <w:highlight w:val="none"/>
        </w:rPr>
      </w:pPr>
    </w:p>
    <w:p w14:paraId="49BABCAC">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46F3314A">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color w:val="auto"/>
          <w:sz w:val="24"/>
          <w:highlight w:val="none"/>
          <w:u w:val="single"/>
        </w:rPr>
        <w:t>（产品名称1）1</w:t>
      </w:r>
      <w:r>
        <w:rPr>
          <w:rFonts w:hint="eastAsia" w:asciiTheme="minorEastAsia" w:hAnsiTheme="minorEastAsia" w:eastAsiaTheme="minorEastAsia" w:cstheme="minorEastAsia"/>
          <w:color w:val="auto"/>
          <w:sz w:val="24"/>
          <w:highlight w:val="none"/>
        </w:rPr>
        <w:t>，生产厂为</w:t>
      </w:r>
      <w:r>
        <w:rPr>
          <w:rFonts w:hint="eastAsia" w:asciiTheme="minorEastAsia" w:hAnsiTheme="minorEastAsia" w:eastAsiaTheme="minorEastAsia" w:cstheme="minorEastAsia"/>
          <w:color w:val="auto"/>
          <w:sz w:val="24"/>
          <w:highlight w:val="none"/>
          <w:u w:val="single"/>
        </w:rPr>
        <w:t>（厂名）2</w:t>
      </w:r>
      <w:r>
        <w:rPr>
          <w:rFonts w:hint="eastAsia" w:asciiTheme="minorEastAsia" w:hAnsiTheme="minorEastAsia" w:eastAsiaTheme="minorEastAsia" w:cstheme="minorEastAsia"/>
          <w:color w:val="auto"/>
          <w:sz w:val="24"/>
          <w:highlight w:val="none"/>
        </w:rPr>
        <w:t>，厂址为</w:t>
      </w:r>
      <w:r>
        <w:rPr>
          <w:rFonts w:hint="eastAsia" w:asciiTheme="minorEastAsia" w:hAnsiTheme="minorEastAsia" w:eastAsiaTheme="minorEastAsia" w:cstheme="minorEastAsia"/>
          <w:color w:val="auto"/>
          <w:sz w:val="24"/>
          <w:highlight w:val="none"/>
          <w:u w:val="single"/>
        </w:rPr>
        <w:t>（生产厂址）</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（产品名称1）</w:t>
      </w:r>
      <w:r>
        <w:rPr>
          <w:rFonts w:hint="eastAsia" w:asciiTheme="minorEastAsia" w:hAnsiTheme="minorEastAsia" w:eastAsiaTheme="minorEastAsia" w:cstheme="minorEastAsia"/>
          <w:color w:val="auto"/>
          <w:sz w:val="24"/>
          <w:highlight w:val="none"/>
        </w:rPr>
        <w:t>的中国境内生产的组件成本占比≥</w:t>
      </w:r>
      <w:r>
        <w:rPr>
          <w:rFonts w:hint="eastAsia" w:asciiTheme="minorEastAsia" w:hAnsiTheme="minorEastAsia" w:eastAsiaTheme="minorEastAsia" w:cstheme="minorEastAsia"/>
          <w:color w:val="auto"/>
          <w:sz w:val="24"/>
          <w:highlight w:val="none"/>
          <w:u w:val="single"/>
        </w:rPr>
        <w:t>（规定比例）3</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（产品名称1）</w:t>
      </w:r>
      <w:r>
        <w:rPr>
          <w:rFonts w:hint="eastAsia" w:asciiTheme="minorEastAsia" w:hAnsiTheme="minorEastAsia" w:eastAsiaTheme="minorEastAsia" w:cstheme="minorEastAsia"/>
          <w:color w:val="auto"/>
          <w:sz w:val="24"/>
          <w:highlight w:val="none"/>
        </w:rPr>
        <w:t>的</w:t>
      </w:r>
      <w:r>
        <w:rPr>
          <w:rFonts w:hint="eastAsia" w:asciiTheme="minorEastAsia" w:hAnsiTheme="minorEastAsia" w:eastAsiaTheme="minorEastAsia" w:cstheme="minorEastAsia"/>
          <w:color w:val="auto"/>
          <w:sz w:val="24"/>
          <w:highlight w:val="none"/>
          <w:u w:val="single"/>
        </w:rPr>
        <w:t>（关键组件）4</w:t>
      </w:r>
      <w:r>
        <w:rPr>
          <w:rFonts w:hint="eastAsia" w:asciiTheme="minorEastAsia" w:hAnsiTheme="minorEastAsia" w:eastAsiaTheme="minorEastAsia" w:cstheme="minorEastAsia"/>
          <w:color w:val="auto"/>
          <w:sz w:val="24"/>
          <w:highlight w:val="none"/>
        </w:rPr>
        <w:t>在中国境内生产。（产品名称1）的（关键工序）5在中国境内完成。</w:t>
      </w:r>
    </w:p>
    <w:p w14:paraId="10127557">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color w:val="auto"/>
          <w:sz w:val="24"/>
          <w:highlight w:val="none"/>
          <w:u w:val="single"/>
        </w:rPr>
        <w:t>（产品名称2）</w:t>
      </w:r>
      <w:r>
        <w:rPr>
          <w:rFonts w:hint="eastAsia" w:asciiTheme="minorEastAsia" w:hAnsiTheme="minorEastAsia" w:eastAsiaTheme="minorEastAsia" w:cstheme="minorEastAsia"/>
          <w:color w:val="auto"/>
          <w:sz w:val="24"/>
          <w:highlight w:val="none"/>
        </w:rPr>
        <w:t>，生产厂为</w:t>
      </w:r>
      <w:r>
        <w:rPr>
          <w:rFonts w:hint="eastAsia" w:asciiTheme="minorEastAsia" w:hAnsiTheme="minorEastAsia" w:eastAsiaTheme="minorEastAsia" w:cstheme="minorEastAsia"/>
          <w:color w:val="auto"/>
          <w:sz w:val="24"/>
          <w:highlight w:val="none"/>
          <w:u w:val="single"/>
        </w:rPr>
        <w:t>（厂名）</w:t>
      </w:r>
      <w:r>
        <w:rPr>
          <w:rFonts w:hint="eastAsia" w:asciiTheme="minorEastAsia" w:hAnsiTheme="minorEastAsia" w:eastAsiaTheme="minorEastAsia" w:cstheme="minorEastAsia"/>
          <w:color w:val="auto"/>
          <w:sz w:val="24"/>
          <w:highlight w:val="none"/>
        </w:rPr>
        <w:t>，厂址为</w:t>
      </w:r>
      <w:r>
        <w:rPr>
          <w:rFonts w:hint="eastAsia" w:asciiTheme="minorEastAsia" w:hAnsiTheme="minorEastAsia" w:eastAsiaTheme="minorEastAsia" w:cstheme="minorEastAsia"/>
          <w:color w:val="auto"/>
          <w:sz w:val="24"/>
          <w:highlight w:val="none"/>
          <w:u w:val="single"/>
        </w:rPr>
        <w:t>（生产厂址）</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（产品名称2）</w:t>
      </w:r>
      <w:r>
        <w:rPr>
          <w:rFonts w:hint="eastAsia" w:asciiTheme="minorEastAsia" w:hAnsiTheme="minorEastAsia" w:eastAsiaTheme="minorEastAsia" w:cstheme="minorEastAsia"/>
          <w:color w:val="auto"/>
          <w:sz w:val="24"/>
          <w:highlight w:val="none"/>
        </w:rPr>
        <w:t>的中国境内生产的组件成本占比≥</w:t>
      </w:r>
      <w:r>
        <w:rPr>
          <w:rFonts w:hint="eastAsia" w:asciiTheme="minorEastAsia" w:hAnsiTheme="minorEastAsia" w:eastAsiaTheme="minorEastAsia" w:cstheme="minorEastAsia"/>
          <w:color w:val="auto"/>
          <w:sz w:val="24"/>
          <w:highlight w:val="none"/>
          <w:u w:val="single"/>
        </w:rPr>
        <w:t>（规定比例）</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（产品名称2）</w:t>
      </w:r>
      <w:r>
        <w:rPr>
          <w:rFonts w:hint="eastAsia" w:asciiTheme="minorEastAsia" w:hAnsiTheme="minorEastAsia" w:eastAsiaTheme="minorEastAsia" w:cstheme="minorEastAsia"/>
          <w:color w:val="auto"/>
          <w:sz w:val="24"/>
          <w:highlight w:val="none"/>
        </w:rPr>
        <w:t>的</w:t>
      </w:r>
      <w:r>
        <w:rPr>
          <w:rFonts w:hint="eastAsia" w:asciiTheme="minorEastAsia" w:hAnsiTheme="minorEastAsia" w:eastAsiaTheme="minorEastAsia" w:cstheme="minorEastAsia"/>
          <w:color w:val="auto"/>
          <w:sz w:val="24"/>
          <w:highlight w:val="none"/>
          <w:u w:val="single"/>
        </w:rPr>
        <w:t>（关键组件）</w:t>
      </w:r>
      <w:r>
        <w:rPr>
          <w:rFonts w:hint="eastAsia" w:asciiTheme="minorEastAsia" w:hAnsiTheme="minorEastAsia" w:eastAsiaTheme="minorEastAsia" w:cstheme="minorEastAsia"/>
          <w:color w:val="auto"/>
          <w:sz w:val="24"/>
          <w:highlight w:val="none"/>
        </w:rPr>
        <w:t>在中国境内生产。</w:t>
      </w:r>
      <w:r>
        <w:rPr>
          <w:rFonts w:hint="eastAsia" w:asciiTheme="minorEastAsia" w:hAnsiTheme="minorEastAsia" w:eastAsiaTheme="minorEastAsia" w:cstheme="minorEastAsia"/>
          <w:color w:val="auto"/>
          <w:sz w:val="24"/>
          <w:highlight w:val="none"/>
          <w:u w:val="single"/>
        </w:rPr>
        <w:t>（产品名称2）</w:t>
      </w:r>
      <w:r>
        <w:rPr>
          <w:rFonts w:hint="eastAsia" w:asciiTheme="minorEastAsia" w:hAnsiTheme="minorEastAsia" w:eastAsiaTheme="minorEastAsia" w:cstheme="minorEastAsia"/>
          <w:color w:val="auto"/>
          <w:sz w:val="24"/>
          <w:highlight w:val="none"/>
        </w:rPr>
        <w:t>的</w:t>
      </w:r>
      <w:r>
        <w:rPr>
          <w:rFonts w:hint="eastAsia" w:asciiTheme="minorEastAsia" w:hAnsiTheme="minorEastAsia" w:eastAsiaTheme="minorEastAsia" w:cstheme="minorEastAsia"/>
          <w:color w:val="auto"/>
          <w:sz w:val="24"/>
          <w:highlight w:val="none"/>
          <w:u w:val="single"/>
        </w:rPr>
        <w:t>（关键工序）</w:t>
      </w:r>
      <w:r>
        <w:rPr>
          <w:rFonts w:hint="eastAsia" w:asciiTheme="minorEastAsia" w:hAnsiTheme="minorEastAsia" w:eastAsiaTheme="minorEastAsia" w:cstheme="minorEastAsia"/>
          <w:color w:val="auto"/>
          <w:sz w:val="24"/>
          <w:highlight w:val="none"/>
        </w:rPr>
        <w:t>在中国境内完成。</w:t>
      </w:r>
    </w:p>
    <w:p w14:paraId="284E62D2">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p>
    <w:p w14:paraId="7B1B1F89">
      <w:pPr>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本公司（单位）对上述声明内容的真实性负责。如有虚假，愿承担相应法律责任。</w:t>
      </w:r>
    </w:p>
    <w:p w14:paraId="29B0D0DF">
      <w:pPr>
        <w:spacing w:line="360" w:lineRule="auto"/>
        <w:rPr>
          <w:rFonts w:asciiTheme="minorEastAsia" w:hAnsiTheme="minorEastAsia" w:eastAsiaTheme="minorEastAsia" w:cstheme="minorEastAsia"/>
          <w:color w:val="auto"/>
          <w:sz w:val="24"/>
          <w:highlight w:val="none"/>
        </w:rPr>
      </w:pPr>
    </w:p>
    <w:p w14:paraId="42D08C51">
      <w:pPr>
        <w:spacing w:line="360" w:lineRule="auto"/>
        <w:ind w:firstLine="4080" w:firstLineChars="17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单位名称（公章）：                   </w:t>
      </w:r>
    </w:p>
    <w:p w14:paraId="07042D2C">
      <w:pPr>
        <w:spacing w:line="360" w:lineRule="auto"/>
        <w:ind w:firstLine="4080" w:firstLineChars="17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  期：     年    月    日</w:t>
      </w:r>
    </w:p>
    <w:p w14:paraId="7AF93FB5">
      <w:pPr>
        <w:spacing w:line="360" w:lineRule="auto"/>
        <w:rPr>
          <w:rFonts w:asciiTheme="minorEastAsia" w:hAnsiTheme="minorEastAsia" w:eastAsiaTheme="minorEastAsia" w:cstheme="minorEastAsia"/>
          <w:color w:val="auto"/>
          <w:sz w:val="24"/>
          <w:highlight w:val="none"/>
        </w:rPr>
      </w:pPr>
    </w:p>
    <w:p w14:paraId="277DF5EF">
      <w:pPr>
        <w:spacing w:line="360" w:lineRule="auto"/>
        <w:contextualSpacing/>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color w:val="auto"/>
          <w:sz w:val="24"/>
          <w:highlight w:val="none"/>
        </w:rPr>
        <w:t>注：</w:t>
      </w:r>
    </w:p>
    <w:p w14:paraId="40478AE1">
      <w:pPr>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1.产品如有型号，请在“产品名称”栏一并填写。</w:t>
      </w:r>
    </w:p>
    <w:p w14:paraId="71D3C4AE">
      <w:pPr>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2.生产厂名与厂址应与生产厂营业执照载明的相关信息保持一致。</w:t>
      </w:r>
    </w:p>
    <w:p w14:paraId="67C4B0E4">
      <w:pPr>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3.该产品的中国境内生产的组件成本占比相关要求实施前，“规定比例”栏可不填，下同。</w:t>
      </w:r>
    </w:p>
    <w:p w14:paraId="30073F73">
      <w:pPr>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4.该产品的关键组件要求实施前，“关键组件”栏可不填，下同。</w:t>
      </w:r>
    </w:p>
    <w:p w14:paraId="0F6F8B40">
      <w:pPr>
        <w:spacing w:line="360" w:lineRule="auto"/>
        <w:rPr>
          <w:rFonts w:asciiTheme="minorEastAsia" w:hAnsiTheme="minorEastAsia" w:eastAsiaTheme="minorEastAsia" w:cstheme="minorEastAsia"/>
          <w:color w:val="auto"/>
          <w:szCs w:val="21"/>
          <w:highlight w:val="none"/>
        </w:rPr>
        <w:sectPr>
          <w:pgSz w:w="11905" w:h="16838"/>
          <w:pgMar w:top="1134" w:right="1134" w:bottom="1134" w:left="1134" w:header="850" w:footer="992" w:gutter="0"/>
          <w:cols w:space="720" w:num="1"/>
          <w:titlePg/>
          <w:docGrid w:type="lines" w:linePitch="318" w:charSpace="0"/>
        </w:sectPr>
      </w:pPr>
      <w:r>
        <w:rPr>
          <w:rFonts w:hint="eastAsia" w:asciiTheme="minorEastAsia" w:hAnsiTheme="minorEastAsia" w:eastAsiaTheme="minorEastAsia" w:cstheme="minorEastAsia"/>
          <w:color w:val="auto"/>
          <w:szCs w:val="21"/>
          <w:highlight w:val="none"/>
        </w:rPr>
        <w:t>5.该产品的关键工序要求实施前，“关键工序”栏可不填，下同</w:t>
      </w:r>
    </w:p>
    <w:p w14:paraId="280D2FEB">
      <w:pPr>
        <w:spacing w:line="360" w:lineRule="auto"/>
        <w:jc w:val="center"/>
        <w:rPr>
          <w:rFonts w:ascii="宋体" w:hAnsi="宋体" w:cs="宋体"/>
          <w:b/>
          <w:bCs/>
          <w:color w:val="auto"/>
          <w:sz w:val="32"/>
          <w:szCs w:val="32"/>
          <w:highlight w:val="none"/>
        </w:rPr>
      </w:pPr>
      <w:r>
        <w:rPr>
          <w:rFonts w:hint="eastAsia" w:ascii="宋体" w:hAnsi="宋体" w:cs="宋体"/>
          <w:b/>
          <w:color w:val="auto"/>
          <w:sz w:val="44"/>
          <w:szCs w:val="44"/>
          <w:highlight w:val="none"/>
        </w:rPr>
        <w:t>质疑函</w:t>
      </w:r>
      <w:r>
        <w:rPr>
          <w:rFonts w:hint="eastAsia" w:ascii="宋体" w:hAnsi="宋体" w:cs="宋体"/>
          <w:color w:val="auto"/>
          <w:sz w:val="28"/>
          <w:szCs w:val="28"/>
          <w:highlight w:val="none"/>
        </w:rPr>
        <w:t>（格式）</w:t>
      </w:r>
    </w:p>
    <w:p w14:paraId="6C6BE3B9">
      <w:pPr>
        <w:spacing w:line="360" w:lineRule="auto"/>
        <w:jc w:val="center"/>
        <w:rPr>
          <w:rFonts w:ascii="宋体" w:hAnsi="宋体" w:cs="宋体"/>
          <w:b/>
          <w:bCs/>
          <w:color w:val="auto"/>
          <w:sz w:val="32"/>
          <w:szCs w:val="32"/>
          <w:highlight w:val="none"/>
        </w:rPr>
      </w:pPr>
    </w:p>
    <w:p w14:paraId="18A91568">
      <w:pPr>
        <w:pStyle w:val="14"/>
        <w:spacing w:line="360" w:lineRule="auto"/>
        <w:ind w:firstLine="482" w:firstLineChars="200"/>
        <w:contextualSpacing/>
        <w:rPr>
          <w:rFonts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3DEAB6FF">
      <w:pPr>
        <w:pStyle w:val="14"/>
        <w:spacing w:line="360" w:lineRule="auto"/>
        <w:ind w:firstLine="480" w:firstLineChars="200"/>
        <w:contextualSpacing/>
        <w:rPr>
          <w:rFonts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42472E83">
      <w:pPr>
        <w:pStyle w:val="14"/>
        <w:spacing w:line="360" w:lineRule="auto"/>
        <w:ind w:firstLine="480" w:firstLineChars="200"/>
        <w:contextualSpacing/>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047FD6A">
      <w:pPr>
        <w:pStyle w:val="14"/>
        <w:spacing w:line="360" w:lineRule="auto"/>
        <w:ind w:firstLine="480" w:firstLineChars="200"/>
        <w:contextualSpacing/>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3ED8AEC3">
      <w:pPr>
        <w:pStyle w:val="14"/>
        <w:spacing w:line="360" w:lineRule="auto"/>
        <w:ind w:firstLine="480" w:firstLineChars="200"/>
        <w:contextualSpacing/>
        <w:rPr>
          <w:rFonts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3F61C373">
      <w:pPr>
        <w:pStyle w:val="14"/>
        <w:spacing w:line="360" w:lineRule="auto"/>
        <w:ind w:firstLine="480" w:firstLineChars="200"/>
        <w:contextualSpacing/>
        <w:rPr>
          <w:rFonts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4BC3D010">
      <w:pPr>
        <w:pStyle w:val="14"/>
        <w:spacing w:line="360" w:lineRule="auto"/>
        <w:ind w:firstLine="480" w:firstLineChars="200"/>
        <w:contextualSpacing/>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DE10F9C">
      <w:pPr>
        <w:pStyle w:val="14"/>
        <w:spacing w:line="360" w:lineRule="auto"/>
        <w:ind w:firstLine="482" w:firstLineChars="200"/>
        <w:contextualSpacing/>
        <w:rPr>
          <w:rFonts w:hAnsi="宋体" w:cs="宋体"/>
          <w:b/>
          <w:bCs/>
          <w:color w:val="auto"/>
          <w:sz w:val="24"/>
          <w:szCs w:val="24"/>
          <w:highlight w:val="none"/>
        </w:rPr>
      </w:pPr>
      <w:r>
        <w:rPr>
          <w:rFonts w:hint="eastAsia" w:hAnsi="宋体" w:cs="宋体"/>
          <w:b/>
          <w:bCs/>
          <w:color w:val="auto"/>
          <w:sz w:val="24"/>
          <w:szCs w:val="24"/>
          <w:highlight w:val="none"/>
        </w:rPr>
        <w:t>二、质疑项目基本情况：</w:t>
      </w:r>
    </w:p>
    <w:p w14:paraId="4E253466">
      <w:pPr>
        <w:pStyle w:val="14"/>
        <w:spacing w:line="360" w:lineRule="auto"/>
        <w:ind w:firstLine="472" w:firstLineChars="197"/>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7EA23942">
      <w:pPr>
        <w:pStyle w:val="14"/>
        <w:spacing w:line="360" w:lineRule="auto"/>
        <w:ind w:firstLine="472" w:firstLineChars="197"/>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6D6C22A8">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7BD100AF">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质疑事项：</w:t>
      </w:r>
    </w:p>
    <w:p w14:paraId="4905FF4E">
      <w:pPr>
        <w:pStyle w:val="14"/>
        <w:spacing w:line="360" w:lineRule="auto"/>
        <w:ind w:firstLine="352" w:firstLineChars="147"/>
        <w:contextualSpacing/>
        <w:rPr>
          <w:rFonts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14:paraId="278257BC">
      <w:pPr>
        <w:pStyle w:val="14"/>
        <w:spacing w:line="360" w:lineRule="auto"/>
        <w:ind w:firstLine="352" w:firstLineChars="147"/>
        <w:contextualSpacing/>
        <w:rPr>
          <w:rFonts w:hAnsi="宋体" w:cs="宋体"/>
          <w:color w:val="auto"/>
          <w:sz w:val="24"/>
          <w:szCs w:val="24"/>
          <w:highlight w:val="none"/>
        </w:rPr>
      </w:pPr>
      <w:r>
        <w:rPr>
          <w:rFonts w:hint="eastAsia" w:hAnsi="宋体" w:cs="宋体"/>
          <w:color w:val="auto"/>
          <w:sz w:val="24"/>
          <w:szCs w:val="24"/>
          <w:highlight w:val="none"/>
        </w:rPr>
        <w:t xml:space="preserve">□采购过程   </w:t>
      </w:r>
    </w:p>
    <w:p w14:paraId="17F0F513">
      <w:pPr>
        <w:pStyle w:val="14"/>
        <w:spacing w:line="360" w:lineRule="auto"/>
        <w:ind w:firstLine="352" w:firstLineChars="147"/>
        <w:contextualSpacing/>
        <w:rPr>
          <w:rFonts w:hAnsi="宋体" w:cs="宋体"/>
          <w:bCs/>
          <w:color w:val="auto"/>
          <w:sz w:val="24"/>
          <w:szCs w:val="24"/>
          <w:highlight w:val="none"/>
          <w:u w:val="single"/>
        </w:rPr>
      </w:pPr>
      <w:r>
        <w:rPr>
          <w:rFonts w:hint="eastAsia" w:hAnsi="宋体" w:cs="宋体"/>
          <w:color w:val="auto"/>
          <w:sz w:val="24"/>
          <w:szCs w:val="24"/>
          <w:highlight w:val="none"/>
        </w:rPr>
        <w:t xml:space="preserve">□成交结果   </w:t>
      </w:r>
    </w:p>
    <w:p w14:paraId="47FF9CD1">
      <w:pPr>
        <w:pStyle w:val="14"/>
        <w:spacing w:line="360" w:lineRule="auto"/>
        <w:ind w:firstLine="472" w:firstLineChars="196"/>
        <w:contextualSpacing/>
        <w:rPr>
          <w:rFonts w:hAnsi="宋体" w:cs="宋体"/>
          <w:b/>
          <w:color w:val="auto"/>
          <w:sz w:val="24"/>
          <w:szCs w:val="24"/>
          <w:highlight w:val="none"/>
        </w:rPr>
      </w:pPr>
      <w:r>
        <w:rPr>
          <w:rFonts w:hint="eastAsia" w:hAnsi="宋体" w:cs="宋体"/>
          <w:b/>
          <w:color w:val="auto"/>
          <w:sz w:val="24"/>
          <w:szCs w:val="24"/>
          <w:highlight w:val="none"/>
        </w:rPr>
        <w:t>三、质疑事项具体内容</w:t>
      </w:r>
    </w:p>
    <w:p w14:paraId="3ECB46E9">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000B8CD1">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47DB8D27">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2FCD2B82">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质疑事项2</w:t>
      </w:r>
    </w:p>
    <w:p w14:paraId="3BB0CE27">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w:t>
      </w:r>
    </w:p>
    <w:p w14:paraId="4C3214D2">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四、与质疑事项相关的质疑请求：</w:t>
      </w:r>
    </w:p>
    <w:p w14:paraId="55131A14">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065C2C54">
      <w:pPr>
        <w:pStyle w:val="14"/>
        <w:spacing w:line="360" w:lineRule="auto"/>
        <w:ind w:firstLine="352" w:firstLineChars="147"/>
        <w:contextualSpacing/>
        <w:rPr>
          <w:rFonts w:hAnsi="宋体" w:cs="宋体"/>
          <w:color w:val="auto"/>
          <w:sz w:val="24"/>
          <w:szCs w:val="24"/>
          <w:highlight w:val="none"/>
        </w:rPr>
      </w:pPr>
    </w:p>
    <w:p w14:paraId="23392019">
      <w:pPr>
        <w:pStyle w:val="14"/>
        <w:spacing w:line="360" w:lineRule="auto"/>
        <w:ind w:firstLine="472" w:firstLineChars="197"/>
        <w:contextualSpacing/>
        <w:rPr>
          <w:rFonts w:hAnsi="宋体" w:cs="宋体"/>
          <w:color w:val="auto"/>
          <w:sz w:val="24"/>
          <w:szCs w:val="24"/>
          <w:highlight w:val="none"/>
          <w:u w:val="single"/>
        </w:rPr>
      </w:pPr>
      <w:r>
        <w:rPr>
          <w:rFonts w:hint="eastAsia" w:hAnsi="宋体" w:cs="宋体"/>
          <w:color w:val="auto"/>
          <w:sz w:val="24"/>
          <w:szCs w:val="24"/>
          <w:highlight w:val="none"/>
        </w:rPr>
        <w:t>签字（签章）：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 xml:space="preserve">                     公章：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p>
    <w:p w14:paraId="2C12C374">
      <w:pPr>
        <w:pStyle w:val="14"/>
        <w:spacing w:line="360" w:lineRule="auto"/>
        <w:ind w:firstLine="472" w:firstLineChars="197"/>
        <w:contextualSpacing/>
        <w:rPr>
          <w:rFonts w:hAnsi="宋体" w:cs="宋体"/>
          <w:color w:val="auto"/>
          <w:sz w:val="24"/>
          <w:szCs w:val="24"/>
          <w:highlight w:val="none"/>
        </w:rPr>
      </w:pPr>
      <w:r>
        <w:rPr>
          <w:rFonts w:hint="eastAsia" w:hAnsi="宋体" w:cs="宋体"/>
          <w:color w:val="auto"/>
          <w:sz w:val="24"/>
          <w:szCs w:val="24"/>
          <w:highlight w:val="none"/>
        </w:rPr>
        <w:t>日期：</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p>
    <w:p w14:paraId="2DC29A5F">
      <w:pPr>
        <w:pStyle w:val="14"/>
        <w:spacing w:line="360" w:lineRule="auto"/>
        <w:contextualSpacing/>
        <w:rPr>
          <w:rFonts w:hAnsi="宋体" w:cs="宋体"/>
          <w:b/>
          <w:color w:val="auto"/>
          <w:sz w:val="24"/>
          <w:szCs w:val="24"/>
          <w:highlight w:val="none"/>
        </w:rPr>
      </w:pPr>
    </w:p>
    <w:p w14:paraId="420592EF">
      <w:pPr>
        <w:pStyle w:val="14"/>
        <w:spacing w:line="360" w:lineRule="auto"/>
        <w:contextualSpacing/>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说明：</w:t>
      </w:r>
    </w:p>
    <w:p w14:paraId="5870DF27">
      <w:pPr>
        <w:pStyle w:val="14"/>
        <w:spacing w:line="360" w:lineRule="auto"/>
        <w:ind w:firstLine="354" w:firstLineChars="147"/>
        <w:contextualSpacing/>
        <w:rPr>
          <w:rFonts w:ascii="楷体" w:hAnsi="楷体" w:eastAsia="楷体" w:cs="宋体"/>
          <w:b/>
          <w:bCs/>
          <w:color w:val="auto"/>
          <w:sz w:val="24"/>
          <w:szCs w:val="24"/>
          <w:highlight w:val="none"/>
        </w:rPr>
      </w:pPr>
      <w:r>
        <w:rPr>
          <w:rFonts w:ascii="楷体" w:hAnsi="楷体" w:eastAsia="楷体" w:cs="宋体"/>
          <w:b/>
          <w:color w:val="auto"/>
          <w:sz w:val="24"/>
          <w:szCs w:val="24"/>
          <w:highlight w:val="none"/>
        </w:rPr>
        <w:t>1.供应商提出质疑时，应提交质疑函和必要的证明材料</w:t>
      </w:r>
      <w:r>
        <w:rPr>
          <w:rFonts w:hint="eastAsia" w:ascii="楷体" w:hAnsi="楷体" w:eastAsia="楷体" w:cs="宋体"/>
          <w:b/>
          <w:bCs/>
          <w:color w:val="auto"/>
          <w:sz w:val="24"/>
          <w:szCs w:val="24"/>
          <w:highlight w:val="none"/>
        </w:rPr>
        <w:t>。</w:t>
      </w:r>
    </w:p>
    <w:p w14:paraId="0745624E">
      <w:pPr>
        <w:pStyle w:val="14"/>
        <w:spacing w:line="360" w:lineRule="auto"/>
        <w:ind w:firstLine="354" w:firstLineChars="147"/>
        <w:contextualSpacing/>
        <w:rPr>
          <w:rFonts w:ascii="楷体" w:hAnsi="楷体" w:eastAsia="楷体" w:cs="宋体"/>
          <w:b/>
          <w:color w:val="auto"/>
          <w:sz w:val="24"/>
          <w:szCs w:val="24"/>
          <w:highlight w:val="none"/>
        </w:rPr>
      </w:pPr>
      <w:r>
        <w:rPr>
          <w:rFonts w:ascii="楷体" w:hAnsi="楷体" w:eastAsia="楷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1809DB5">
      <w:pPr>
        <w:pStyle w:val="14"/>
        <w:spacing w:line="360" w:lineRule="auto"/>
        <w:ind w:firstLine="354" w:firstLineChars="147"/>
        <w:contextualSpacing/>
        <w:rPr>
          <w:rFonts w:ascii="楷体" w:hAnsi="楷体" w:eastAsia="楷体" w:cs="宋体"/>
          <w:b/>
          <w:color w:val="auto"/>
          <w:sz w:val="24"/>
          <w:szCs w:val="24"/>
          <w:highlight w:val="none"/>
        </w:rPr>
      </w:pPr>
      <w:r>
        <w:rPr>
          <w:rFonts w:ascii="楷体" w:hAnsi="楷体" w:eastAsia="楷体" w:cs="宋体"/>
          <w:b/>
          <w:color w:val="auto"/>
          <w:sz w:val="24"/>
          <w:szCs w:val="24"/>
          <w:highlight w:val="none"/>
        </w:rPr>
        <w:t>3.质疑函的质疑事项应具体、明确，并有必要的事实依据和法律依据。</w:t>
      </w:r>
    </w:p>
    <w:p w14:paraId="184B149A">
      <w:pPr>
        <w:pStyle w:val="14"/>
        <w:spacing w:line="360" w:lineRule="auto"/>
        <w:ind w:firstLine="354" w:firstLineChars="147"/>
        <w:contextualSpacing/>
        <w:rPr>
          <w:rFonts w:ascii="楷体" w:hAnsi="楷体" w:eastAsia="楷体" w:cs="宋体"/>
          <w:b/>
          <w:color w:val="auto"/>
          <w:sz w:val="24"/>
          <w:szCs w:val="24"/>
          <w:highlight w:val="none"/>
        </w:rPr>
      </w:pPr>
      <w:r>
        <w:rPr>
          <w:rFonts w:ascii="楷体" w:hAnsi="楷体" w:eastAsia="楷体" w:cs="宋体"/>
          <w:b/>
          <w:color w:val="auto"/>
          <w:sz w:val="24"/>
          <w:szCs w:val="24"/>
          <w:highlight w:val="none"/>
        </w:rPr>
        <w:t>4.质疑函的质疑请求应与质疑事项相关。</w:t>
      </w:r>
    </w:p>
    <w:p w14:paraId="62036766">
      <w:pPr>
        <w:pStyle w:val="14"/>
        <w:spacing w:line="360" w:lineRule="auto"/>
        <w:ind w:firstLine="354" w:firstLineChars="147"/>
        <w:contextualSpacing/>
        <w:rPr>
          <w:rFonts w:ascii="楷体" w:hAnsi="楷体" w:eastAsia="楷体" w:cs="宋体"/>
          <w:b/>
          <w:color w:val="auto"/>
          <w:highlight w:val="none"/>
        </w:rPr>
      </w:pPr>
      <w:r>
        <w:rPr>
          <w:rFonts w:ascii="楷体" w:hAnsi="楷体" w:eastAsia="楷体" w:cs="宋体"/>
          <w:b/>
          <w:color w:val="auto"/>
          <w:sz w:val="24"/>
          <w:szCs w:val="24"/>
          <w:highlight w:val="none"/>
        </w:rPr>
        <w:t>5.质疑供应商为法人或者其他组织的，质疑函应由法定代表人、主要负责人，或者其授权代表签字或者盖章，并加盖公章。</w:t>
      </w:r>
    </w:p>
    <w:p w14:paraId="39616D9F">
      <w:pPr>
        <w:pStyle w:val="14"/>
        <w:snapToGrid w:val="0"/>
        <w:spacing w:line="360" w:lineRule="auto"/>
        <w:rPr>
          <w:rFonts w:hAnsi="宋体" w:cs="宋体"/>
          <w:b/>
          <w:color w:val="auto"/>
          <w:sz w:val="24"/>
          <w:szCs w:val="24"/>
          <w:highlight w:val="none"/>
        </w:rPr>
      </w:pPr>
    </w:p>
    <w:p w14:paraId="5B2AC6AA">
      <w:pPr>
        <w:spacing w:line="360" w:lineRule="auto"/>
        <w:rPr>
          <w:rFonts w:ascii="宋体" w:hAnsi="宋体" w:cs="宋体"/>
          <w:color w:val="auto"/>
          <w:highlight w:val="none"/>
        </w:rPr>
      </w:pPr>
      <w:r>
        <w:rPr>
          <w:rFonts w:hint="eastAsia" w:ascii="宋体" w:hAnsi="宋体" w:cs="宋体"/>
          <w:color w:val="auto"/>
          <w:highlight w:val="none"/>
        </w:rPr>
        <w:br w:type="page"/>
      </w:r>
    </w:p>
    <w:p w14:paraId="04EC9337">
      <w:pPr>
        <w:spacing w:line="360" w:lineRule="auto"/>
        <w:jc w:val="center"/>
        <w:rPr>
          <w:rFonts w:ascii="宋体" w:hAnsi="宋体" w:cs="宋体"/>
          <w:color w:val="auto"/>
          <w:sz w:val="44"/>
          <w:szCs w:val="44"/>
          <w:highlight w:val="none"/>
        </w:rPr>
      </w:pPr>
      <w:r>
        <w:rPr>
          <w:rFonts w:hint="eastAsia" w:ascii="宋体" w:hAnsi="宋体" w:cs="宋体"/>
          <w:b/>
          <w:color w:val="auto"/>
          <w:sz w:val="44"/>
          <w:szCs w:val="44"/>
          <w:highlight w:val="none"/>
        </w:rPr>
        <w:t>投诉书</w:t>
      </w:r>
      <w:r>
        <w:rPr>
          <w:rFonts w:hint="eastAsia" w:ascii="宋体" w:hAnsi="宋体" w:cs="宋体"/>
          <w:color w:val="auto"/>
          <w:sz w:val="28"/>
          <w:szCs w:val="28"/>
          <w:highlight w:val="none"/>
        </w:rPr>
        <w:t>（格式）</w:t>
      </w:r>
    </w:p>
    <w:p w14:paraId="240D85F4">
      <w:pPr>
        <w:pStyle w:val="14"/>
        <w:snapToGrid w:val="0"/>
        <w:spacing w:line="360" w:lineRule="auto"/>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5511423E">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DD7DC4A">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1D99FC03">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2B914CC3">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5A152C63">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148DD099">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19DDDF84">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1A90138">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被投诉人1：</w:t>
      </w:r>
    </w:p>
    <w:p w14:paraId="2640C30A">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00D685CD">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CD01962">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21DFA974">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被投诉人2：</w:t>
      </w:r>
    </w:p>
    <w:p w14:paraId="4DA5CAAB">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w:t>
      </w:r>
    </w:p>
    <w:p w14:paraId="1E6CE256">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42DD7F5E">
      <w:pPr>
        <w:pStyle w:val="14"/>
        <w:snapToGrid w:val="0"/>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37B71194">
      <w:pPr>
        <w:pStyle w:val="14"/>
        <w:snapToGrid w:val="0"/>
        <w:spacing w:line="360" w:lineRule="auto"/>
        <w:ind w:firstLine="480" w:firstLineChars="200"/>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9A0AE9F">
      <w:pPr>
        <w:pStyle w:val="14"/>
        <w:snapToGrid w:val="0"/>
        <w:spacing w:line="360" w:lineRule="auto"/>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二、投诉项目基本情况：</w:t>
      </w:r>
    </w:p>
    <w:p w14:paraId="6BE1FC78">
      <w:pPr>
        <w:pStyle w:val="14"/>
        <w:spacing w:line="360" w:lineRule="auto"/>
        <w:ind w:firstLine="472" w:firstLineChars="197"/>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6CD6F54F">
      <w:pPr>
        <w:pStyle w:val="14"/>
        <w:spacing w:line="360" w:lineRule="auto"/>
        <w:ind w:firstLine="472" w:firstLineChars="197"/>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4BED1136">
      <w:pPr>
        <w:pStyle w:val="14"/>
        <w:spacing w:line="360" w:lineRule="auto"/>
        <w:ind w:firstLine="472" w:firstLineChars="197"/>
        <w:rPr>
          <w:rFonts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4F53B7B4">
      <w:pPr>
        <w:pStyle w:val="14"/>
        <w:spacing w:line="360" w:lineRule="auto"/>
        <w:ind w:firstLine="472" w:firstLineChars="197"/>
        <w:rPr>
          <w:rFonts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4BC51B9F">
      <w:pPr>
        <w:pStyle w:val="14"/>
        <w:spacing w:line="360" w:lineRule="auto"/>
        <w:ind w:firstLine="472" w:firstLineChars="197"/>
        <w:rPr>
          <w:rFonts w:hAnsi="宋体" w:cs="宋体"/>
          <w:bCs/>
          <w:color w:val="auto"/>
          <w:sz w:val="24"/>
          <w:szCs w:val="24"/>
          <w:highlight w:val="none"/>
          <w:u w:val="single"/>
        </w:rPr>
      </w:pPr>
      <w:r>
        <w:rPr>
          <w:rFonts w:hint="eastAsia" w:hAnsi="宋体" w:cs="宋体"/>
          <w:bCs/>
          <w:color w:val="auto"/>
          <w:sz w:val="24"/>
          <w:szCs w:val="24"/>
          <w:highlight w:val="none"/>
        </w:rPr>
        <w:t>采购文件公告：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1206C4AF">
      <w:pPr>
        <w:pStyle w:val="14"/>
        <w:spacing w:line="360" w:lineRule="auto"/>
        <w:ind w:firstLine="472" w:firstLineChars="197"/>
        <w:rPr>
          <w:rFonts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457BFCCB">
      <w:pPr>
        <w:pStyle w:val="14"/>
        <w:spacing w:line="360" w:lineRule="auto"/>
        <w:ind w:firstLine="472" w:firstLineChars="196"/>
        <w:rPr>
          <w:rFonts w:hAnsi="宋体" w:cs="宋体"/>
          <w:b/>
          <w:color w:val="auto"/>
          <w:sz w:val="24"/>
          <w:szCs w:val="24"/>
          <w:highlight w:val="none"/>
        </w:rPr>
      </w:pPr>
      <w:r>
        <w:rPr>
          <w:rFonts w:hint="eastAsia" w:hAnsi="宋体" w:cs="宋体"/>
          <w:b/>
          <w:color w:val="auto"/>
          <w:sz w:val="24"/>
          <w:szCs w:val="24"/>
          <w:highlight w:val="none"/>
        </w:rPr>
        <w:t>三、质疑基本情况</w:t>
      </w:r>
    </w:p>
    <w:p w14:paraId="55710EB7">
      <w:pPr>
        <w:pStyle w:val="14"/>
        <w:spacing w:line="360" w:lineRule="auto"/>
        <w:ind w:left="479" w:leftChars="228" w:firstLine="60" w:firstLineChars="25"/>
        <w:rPr>
          <w:rFonts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52E95E80">
      <w:pPr>
        <w:pStyle w:val="14"/>
        <w:spacing w:line="360" w:lineRule="auto"/>
        <w:ind w:firstLine="540" w:firstLineChars="225"/>
        <w:rPr>
          <w:rFonts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66F50611">
      <w:pPr>
        <w:pStyle w:val="14"/>
        <w:spacing w:line="360" w:lineRule="auto"/>
        <w:ind w:firstLine="540" w:firstLineChars="225"/>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514B1546">
      <w:pPr>
        <w:pStyle w:val="14"/>
        <w:spacing w:line="360" w:lineRule="auto"/>
        <w:ind w:firstLine="540" w:firstLineChars="225"/>
        <w:rPr>
          <w:rFonts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390418E6">
      <w:pPr>
        <w:pStyle w:val="14"/>
        <w:spacing w:line="360" w:lineRule="auto"/>
        <w:ind w:firstLine="472" w:firstLineChars="196"/>
        <w:rPr>
          <w:rFonts w:hAnsi="宋体" w:cs="宋体"/>
          <w:b/>
          <w:color w:val="auto"/>
          <w:sz w:val="24"/>
          <w:szCs w:val="24"/>
          <w:highlight w:val="none"/>
        </w:rPr>
      </w:pPr>
      <w:r>
        <w:rPr>
          <w:rFonts w:hint="eastAsia" w:hAnsi="宋体" w:cs="宋体"/>
          <w:b/>
          <w:color w:val="auto"/>
          <w:sz w:val="24"/>
          <w:szCs w:val="24"/>
          <w:highlight w:val="none"/>
        </w:rPr>
        <w:t>四、投诉事项具体内容</w:t>
      </w:r>
    </w:p>
    <w:p w14:paraId="1CFBA677">
      <w:pPr>
        <w:pStyle w:val="14"/>
        <w:spacing w:line="360" w:lineRule="auto"/>
        <w:ind w:firstLine="472" w:firstLineChars="197"/>
        <w:rPr>
          <w:rFonts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547E04DD">
      <w:pPr>
        <w:pStyle w:val="14"/>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0FDAFBC6">
      <w:pPr>
        <w:pStyle w:val="14"/>
        <w:spacing w:line="360" w:lineRule="auto"/>
        <w:ind w:firstLine="472" w:firstLineChars="197"/>
        <w:rPr>
          <w:rFonts w:hAnsi="宋体" w:cs="宋体"/>
          <w:color w:val="auto"/>
          <w:sz w:val="24"/>
          <w:szCs w:val="24"/>
          <w:highlight w:val="none"/>
        </w:rPr>
      </w:pPr>
      <w:r>
        <w:rPr>
          <w:rFonts w:hint="eastAsia" w:hAnsi="宋体" w:cs="宋体"/>
          <w:bCs/>
          <w:color w:val="auto"/>
          <w:sz w:val="24"/>
          <w:szCs w:val="24"/>
          <w:highlight w:val="none"/>
          <w:u w:val="single"/>
        </w:rPr>
        <w:t xml:space="preserve">                                                                                        </w:t>
      </w:r>
    </w:p>
    <w:p w14:paraId="29ACA4AB">
      <w:pPr>
        <w:pStyle w:val="14"/>
        <w:spacing w:line="360" w:lineRule="auto"/>
        <w:ind w:firstLine="480" w:firstLineChars="200"/>
        <w:rPr>
          <w:rFonts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161429E7">
      <w:pPr>
        <w:pStyle w:val="14"/>
        <w:spacing w:line="360" w:lineRule="auto"/>
        <w:ind w:firstLine="352" w:firstLineChars="147"/>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4E060E2B">
      <w:pPr>
        <w:pStyle w:val="14"/>
        <w:spacing w:line="360" w:lineRule="auto"/>
        <w:ind w:firstLine="472" w:firstLineChars="197"/>
        <w:rPr>
          <w:rFonts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7BBC8448">
      <w:pPr>
        <w:pStyle w:val="14"/>
        <w:spacing w:line="360" w:lineRule="auto"/>
        <w:ind w:firstLine="472" w:firstLineChars="197"/>
        <w:rPr>
          <w:rFonts w:hAnsi="宋体" w:cs="宋体"/>
          <w:bCs/>
          <w:color w:val="auto"/>
          <w:sz w:val="24"/>
          <w:szCs w:val="24"/>
          <w:highlight w:val="none"/>
        </w:rPr>
      </w:pPr>
      <w:r>
        <w:rPr>
          <w:rFonts w:hint="eastAsia" w:hAnsi="宋体" w:cs="宋体"/>
          <w:bCs/>
          <w:color w:val="auto"/>
          <w:sz w:val="24"/>
          <w:szCs w:val="24"/>
          <w:highlight w:val="none"/>
        </w:rPr>
        <w:t>……</w:t>
      </w:r>
    </w:p>
    <w:p w14:paraId="701C09D0">
      <w:pPr>
        <w:pStyle w:val="14"/>
        <w:spacing w:line="360" w:lineRule="auto"/>
        <w:ind w:firstLine="472" w:firstLineChars="196"/>
        <w:rPr>
          <w:rFonts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6EF422EB">
      <w:pPr>
        <w:pStyle w:val="14"/>
        <w:spacing w:line="360" w:lineRule="auto"/>
        <w:ind w:firstLine="472" w:firstLineChars="197"/>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39C909F1">
      <w:pPr>
        <w:pStyle w:val="14"/>
        <w:spacing w:line="360" w:lineRule="auto"/>
        <w:ind w:firstLine="352" w:firstLineChars="147"/>
        <w:rPr>
          <w:rFonts w:hAnsi="宋体" w:cs="宋体"/>
          <w:color w:val="auto"/>
          <w:sz w:val="24"/>
          <w:szCs w:val="24"/>
          <w:highlight w:val="none"/>
        </w:rPr>
      </w:pPr>
    </w:p>
    <w:p w14:paraId="3EE14DF0">
      <w:pPr>
        <w:pStyle w:val="14"/>
        <w:spacing w:line="360" w:lineRule="auto"/>
        <w:ind w:firstLine="472" w:firstLineChars="197"/>
        <w:rPr>
          <w:rFonts w:hAnsi="宋体" w:cs="宋体"/>
          <w:color w:val="auto"/>
          <w:sz w:val="24"/>
          <w:szCs w:val="24"/>
          <w:highlight w:val="none"/>
          <w:u w:val="single"/>
        </w:rPr>
      </w:pPr>
      <w:r>
        <w:rPr>
          <w:rFonts w:hint="eastAsia" w:hAnsi="宋体" w:cs="宋体"/>
          <w:color w:val="auto"/>
          <w:sz w:val="24"/>
          <w:szCs w:val="24"/>
          <w:highlight w:val="none"/>
        </w:rPr>
        <w:t>签字（签章）：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 xml:space="preserve">                          公章：</w:t>
      </w:r>
      <w:r>
        <w:rPr>
          <w:rFonts w:hAnsi="宋体" w:cs="宋体"/>
          <w:color w:val="auto"/>
          <w:sz w:val="24"/>
          <w:szCs w:val="24"/>
          <w:highlight w:val="none"/>
          <w:u w:val="single"/>
        </w:rPr>
        <w:t xml:space="preserve">            </w:t>
      </w:r>
    </w:p>
    <w:p w14:paraId="1E0D1647">
      <w:pPr>
        <w:pStyle w:val="14"/>
        <w:spacing w:line="360" w:lineRule="auto"/>
        <w:ind w:firstLine="352" w:firstLineChars="147"/>
        <w:rPr>
          <w:rFonts w:hAnsi="宋体" w:cs="宋体"/>
          <w:color w:val="auto"/>
          <w:sz w:val="24"/>
          <w:szCs w:val="24"/>
          <w:highlight w:val="none"/>
        </w:rPr>
      </w:pPr>
    </w:p>
    <w:p w14:paraId="40FC5B29">
      <w:pPr>
        <w:pStyle w:val="14"/>
        <w:spacing w:line="360" w:lineRule="auto"/>
        <w:ind w:firstLine="472" w:firstLineChars="197"/>
        <w:rPr>
          <w:rFonts w:hAnsi="宋体" w:cs="宋体"/>
          <w:color w:val="auto"/>
          <w:sz w:val="24"/>
          <w:szCs w:val="24"/>
          <w:highlight w:val="none"/>
        </w:rPr>
      </w:pPr>
      <w:r>
        <w:rPr>
          <w:rFonts w:hint="eastAsia" w:hAnsi="宋体" w:cs="宋体"/>
          <w:color w:val="auto"/>
          <w:sz w:val="24"/>
          <w:szCs w:val="24"/>
          <w:highlight w:val="none"/>
        </w:rPr>
        <w:t>日期：</w:t>
      </w:r>
      <w:r>
        <w:rPr>
          <w:rFonts w:hint="eastAsia" w:hAnsi="宋体" w:cs="宋体"/>
          <w:bCs/>
          <w:color w:val="auto"/>
          <w:sz w:val="24"/>
          <w:szCs w:val="24"/>
          <w:highlight w:val="none"/>
        </w:rPr>
        <w:t xml:space="preserve">    </w:t>
      </w:r>
      <w:r>
        <w:rPr>
          <w:rFonts w:hint="eastAsia" w:cs="宋体" w:asciiTheme="minorEastAsia" w:hAnsiTheme="minorEastAsia" w:eastAsiaTheme="minorEastAsia"/>
          <w:color w:val="auto"/>
          <w:spacing w:val="20"/>
          <w:sz w:val="24"/>
          <w:highlight w:val="none"/>
          <w:u w:val="single"/>
        </w:rPr>
        <w:t xml:space="preserve"> </w:t>
      </w:r>
      <w:r>
        <w:rPr>
          <w:rFonts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年</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月</w:t>
      </w:r>
      <w:r>
        <w:rPr>
          <w:rFonts w:hint="eastAsia" w:cs="宋体" w:asciiTheme="minorEastAsia" w:hAnsiTheme="minorEastAsia" w:eastAsiaTheme="minorEastAsia"/>
          <w:color w:val="auto"/>
          <w:spacing w:val="20"/>
          <w:sz w:val="24"/>
          <w:highlight w:val="none"/>
          <w:u w:val="single"/>
        </w:rPr>
        <w:t xml:space="preserve">  </w:t>
      </w:r>
      <w:r>
        <w:rPr>
          <w:rFonts w:hint="eastAsia" w:cs="宋体" w:asciiTheme="minorEastAsia" w:hAnsiTheme="minorEastAsia" w:eastAsiaTheme="minorEastAsia"/>
          <w:color w:val="auto"/>
          <w:spacing w:val="20"/>
          <w:sz w:val="24"/>
          <w:highlight w:val="none"/>
        </w:rPr>
        <w:t>日</w:t>
      </w:r>
      <w:r>
        <w:rPr>
          <w:rFonts w:hint="eastAsia" w:cs="宋体" w:asciiTheme="minorEastAsia" w:hAnsiTheme="minorEastAsia" w:eastAsiaTheme="minorEastAsia"/>
          <w:bCs/>
          <w:color w:val="auto"/>
          <w:sz w:val="24"/>
          <w:szCs w:val="24"/>
          <w:highlight w:val="none"/>
        </w:rPr>
        <w:t xml:space="preserve"> </w:t>
      </w:r>
      <w:r>
        <w:rPr>
          <w:rFonts w:hint="eastAsia" w:hAnsi="宋体" w:cs="宋体"/>
          <w:bCs/>
          <w:color w:val="auto"/>
          <w:sz w:val="24"/>
          <w:szCs w:val="24"/>
          <w:highlight w:val="none"/>
        </w:rPr>
        <w:t xml:space="preserve">                                                        </w:t>
      </w:r>
    </w:p>
    <w:p w14:paraId="6525DCB8">
      <w:pPr>
        <w:pStyle w:val="14"/>
        <w:snapToGrid w:val="0"/>
        <w:spacing w:line="360" w:lineRule="auto"/>
        <w:rPr>
          <w:rFonts w:hAnsi="宋体" w:cs="宋体"/>
          <w:b/>
          <w:color w:val="auto"/>
          <w:sz w:val="24"/>
          <w:szCs w:val="24"/>
          <w:highlight w:val="none"/>
        </w:rPr>
      </w:pPr>
    </w:p>
    <w:p w14:paraId="6304294E">
      <w:pPr>
        <w:pStyle w:val="14"/>
        <w:snapToGrid w:val="0"/>
        <w:spacing w:line="360" w:lineRule="auto"/>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说明：</w:t>
      </w:r>
    </w:p>
    <w:p w14:paraId="1FB41B6A">
      <w:pPr>
        <w:pStyle w:val="14"/>
        <w:spacing w:line="360" w:lineRule="auto"/>
        <w:ind w:firstLine="354" w:firstLineChars="147"/>
        <w:rPr>
          <w:rFonts w:ascii="楷体" w:hAnsi="楷体" w:eastAsia="楷体" w:cs="宋体"/>
          <w:b/>
          <w:bCs/>
          <w:color w:val="auto"/>
          <w:sz w:val="24"/>
          <w:szCs w:val="24"/>
          <w:highlight w:val="none"/>
        </w:rPr>
      </w:pPr>
      <w:r>
        <w:rPr>
          <w:rFonts w:ascii="楷体" w:hAnsi="楷体" w:eastAsia="楷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楷体" w:hAnsi="楷体" w:eastAsia="楷体" w:cs="宋体"/>
          <w:b/>
          <w:bCs/>
          <w:color w:val="auto"/>
          <w:sz w:val="24"/>
          <w:szCs w:val="24"/>
          <w:highlight w:val="none"/>
        </w:rPr>
        <w:t>。</w:t>
      </w:r>
    </w:p>
    <w:p w14:paraId="6EB4345F">
      <w:pPr>
        <w:pStyle w:val="14"/>
        <w:spacing w:line="360" w:lineRule="auto"/>
        <w:ind w:firstLine="354" w:firstLineChars="147"/>
        <w:rPr>
          <w:rFonts w:ascii="楷体" w:hAnsi="楷体" w:eastAsia="楷体" w:cs="宋体"/>
          <w:b/>
          <w:color w:val="auto"/>
          <w:sz w:val="24"/>
          <w:szCs w:val="24"/>
          <w:highlight w:val="none"/>
        </w:rPr>
      </w:pPr>
      <w:r>
        <w:rPr>
          <w:rFonts w:ascii="楷体" w:hAnsi="楷体" w:eastAsia="楷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39B587F">
      <w:pPr>
        <w:pStyle w:val="14"/>
        <w:spacing w:line="360" w:lineRule="auto"/>
        <w:ind w:firstLine="354" w:firstLineChars="147"/>
        <w:rPr>
          <w:rFonts w:ascii="楷体" w:hAnsi="楷体" w:eastAsia="楷体" w:cs="宋体"/>
          <w:b/>
          <w:color w:val="auto"/>
          <w:sz w:val="24"/>
          <w:szCs w:val="24"/>
          <w:highlight w:val="none"/>
        </w:rPr>
      </w:pPr>
      <w:r>
        <w:rPr>
          <w:rFonts w:ascii="楷体" w:hAnsi="楷体" w:eastAsia="楷体" w:cs="宋体"/>
          <w:b/>
          <w:color w:val="auto"/>
          <w:sz w:val="24"/>
          <w:szCs w:val="24"/>
          <w:highlight w:val="none"/>
        </w:rPr>
        <w:t>3.投诉书应简要列明质疑事项，质疑函、质疑答复等作为附件材料提供。</w:t>
      </w:r>
    </w:p>
    <w:p w14:paraId="1238D66B">
      <w:pPr>
        <w:pStyle w:val="14"/>
        <w:spacing w:line="360" w:lineRule="auto"/>
        <w:ind w:firstLine="354" w:firstLineChars="147"/>
        <w:rPr>
          <w:rFonts w:ascii="楷体" w:hAnsi="楷体" w:eastAsia="楷体" w:cs="宋体"/>
          <w:b/>
          <w:color w:val="auto"/>
          <w:sz w:val="24"/>
          <w:szCs w:val="24"/>
          <w:highlight w:val="none"/>
        </w:rPr>
      </w:pPr>
      <w:r>
        <w:rPr>
          <w:rFonts w:ascii="楷体" w:hAnsi="楷体" w:eastAsia="楷体" w:cs="宋体"/>
          <w:b/>
          <w:color w:val="auto"/>
          <w:sz w:val="24"/>
          <w:szCs w:val="24"/>
          <w:highlight w:val="none"/>
        </w:rPr>
        <w:t>4.投诉书的投诉事项应具体、明确，并有必要的事实依据和法律依据。</w:t>
      </w:r>
    </w:p>
    <w:p w14:paraId="5B21CCDE">
      <w:pPr>
        <w:pStyle w:val="14"/>
        <w:spacing w:line="360" w:lineRule="auto"/>
        <w:ind w:firstLine="354" w:firstLineChars="147"/>
        <w:rPr>
          <w:rFonts w:ascii="楷体" w:hAnsi="楷体" w:eastAsia="楷体" w:cs="宋体"/>
          <w:b/>
          <w:color w:val="auto"/>
          <w:sz w:val="24"/>
          <w:szCs w:val="24"/>
          <w:highlight w:val="none"/>
        </w:rPr>
      </w:pPr>
      <w:r>
        <w:rPr>
          <w:rFonts w:ascii="楷体" w:hAnsi="楷体" w:eastAsia="楷体" w:cs="宋体"/>
          <w:b/>
          <w:color w:val="auto"/>
          <w:sz w:val="24"/>
          <w:szCs w:val="24"/>
          <w:highlight w:val="none"/>
        </w:rPr>
        <w:t>5.投诉书的投诉请求应与投诉事项相关。</w:t>
      </w:r>
    </w:p>
    <w:p w14:paraId="4412D35F">
      <w:pPr>
        <w:pStyle w:val="14"/>
        <w:spacing w:line="360" w:lineRule="auto"/>
        <w:ind w:firstLine="354" w:firstLineChars="147"/>
        <w:rPr>
          <w:rFonts w:ascii="楷体" w:hAnsi="楷体" w:eastAsia="楷体" w:cs="宋体"/>
          <w:b/>
          <w:color w:val="auto"/>
          <w:sz w:val="24"/>
          <w:szCs w:val="24"/>
          <w:highlight w:val="none"/>
        </w:rPr>
      </w:pPr>
      <w:r>
        <w:rPr>
          <w:rFonts w:ascii="楷体" w:hAnsi="楷体" w:eastAsia="楷体" w:cs="宋体"/>
          <w:b/>
          <w:color w:val="auto"/>
          <w:sz w:val="24"/>
          <w:szCs w:val="24"/>
          <w:highlight w:val="none"/>
        </w:rPr>
        <w:t>6.投诉人为法人或者其他组织的，投诉书应由法定代表人、主要负责人，或者其授权代表签字或者盖章，并加盖公章。</w:t>
      </w:r>
    </w:p>
    <w:p w14:paraId="5CC299B1">
      <w:pPr>
        <w:pStyle w:val="2"/>
        <w:spacing w:before="0" w:after="0" w:line="360" w:lineRule="auto"/>
        <w:jc w:val="center"/>
        <w:rPr>
          <w:rFonts w:ascii="宋体" w:hAnsi="宋体" w:cs="宋体"/>
          <w:color w:val="auto"/>
          <w:highlight w:val="none"/>
        </w:rPr>
      </w:pPr>
      <w:bookmarkStart w:id="35" w:name="_Toc27857"/>
      <w:r>
        <w:rPr>
          <w:rFonts w:hint="eastAsia" w:ascii="宋体" w:hAnsi="宋体" w:cs="宋体"/>
          <w:color w:val="auto"/>
          <w:highlight w:val="none"/>
        </w:rPr>
        <w:t>第六章 合同文本</w:t>
      </w:r>
      <w:bookmarkEnd w:id="35"/>
    </w:p>
    <w:p w14:paraId="36EC1059">
      <w:pPr>
        <w:adjustRightInd w:val="0"/>
        <w:snapToGrid w:val="0"/>
        <w:spacing w:line="360" w:lineRule="auto"/>
        <w:ind w:firstLine="420" w:firstLineChars="200"/>
        <w:rPr>
          <w:rFonts w:ascii="宋体" w:hAnsi="宋体" w:cs="宋体"/>
          <w:color w:val="auto"/>
          <w:szCs w:val="21"/>
          <w:highlight w:val="none"/>
        </w:rPr>
      </w:pPr>
    </w:p>
    <w:p w14:paraId="2A15C1EE">
      <w:pPr>
        <w:spacing w:line="360" w:lineRule="auto"/>
        <w:rPr>
          <w:rFonts w:ascii="宋体" w:hAnsi="宋体" w:cs="宋体"/>
          <w:b/>
          <w:color w:val="auto"/>
          <w:sz w:val="32"/>
          <w:szCs w:val="32"/>
          <w:highlight w:val="none"/>
        </w:rPr>
      </w:pPr>
      <w:r>
        <w:rPr>
          <w:rFonts w:hint="eastAsia" w:ascii="宋体" w:hAnsi="宋体" w:cs="宋体"/>
          <w:b/>
          <w:color w:val="auto"/>
          <w:sz w:val="32"/>
          <w:szCs w:val="32"/>
          <w:highlight w:val="none"/>
        </w:rPr>
        <w:t>一般货物类</w:t>
      </w:r>
    </w:p>
    <w:p w14:paraId="30E3DC55">
      <w:pPr>
        <w:spacing w:line="440" w:lineRule="exact"/>
        <w:rPr>
          <w:rFonts w:ascii="宋体" w:hAnsi="宋体" w:cs="宋体"/>
          <w:color w:val="auto"/>
          <w:sz w:val="24"/>
          <w:highlight w:val="none"/>
        </w:rPr>
      </w:pPr>
      <w:r>
        <w:rPr>
          <w:rFonts w:hint="eastAsia" w:ascii="宋体" w:hAnsi="宋体" w:cs="宋体"/>
          <w:color w:val="auto"/>
          <w:sz w:val="24"/>
          <w:highlight w:val="none"/>
        </w:rPr>
        <w:t>项目名称：</w:t>
      </w:r>
    </w:p>
    <w:p w14:paraId="551C5619">
      <w:pPr>
        <w:spacing w:line="440" w:lineRule="exact"/>
        <w:rPr>
          <w:rFonts w:ascii="宋体" w:hAnsi="宋体" w:cs="宋体"/>
          <w:color w:val="auto"/>
          <w:sz w:val="24"/>
          <w:highlight w:val="none"/>
        </w:rPr>
      </w:pPr>
      <w:r>
        <w:rPr>
          <w:rFonts w:hint="eastAsia" w:ascii="宋体" w:hAnsi="宋体" w:cs="宋体"/>
          <w:color w:val="auto"/>
          <w:sz w:val="24"/>
          <w:highlight w:val="none"/>
        </w:rPr>
        <w:t>合同编号：GXZC2026-J1-000***</w:t>
      </w:r>
      <w:r>
        <w:rPr>
          <w:rFonts w:ascii="宋体" w:hAnsi="宋体" w:cs="宋体"/>
          <w:color w:val="auto"/>
          <w:sz w:val="24"/>
          <w:highlight w:val="none"/>
        </w:rPr>
        <w:t>-</w:t>
      </w:r>
      <w:r>
        <w:rPr>
          <w:rFonts w:hint="eastAsia" w:ascii="宋体" w:hAnsi="宋体" w:cs="宋体"/>
          <w:color w:val="auto"/>
          <w:sz w:val="24"/>
          <w:highlight w:val="none"/>
        </w:rPr>
        <w:t>****</w:t>
      </w:r>
    </w:p>
    <w:p w14:paraId="5953C7D8">
      <w:pPr>
        <w:spacing w:line="440" w:lineRule="exact"/>
        <w:rPr>
          <w:rFonts w:ascii="宋体" w:hAnsi="宋体" w:cs="宋体"/>
          <w:color w:val="auto"/>
          <w:sz w:val="24"/>
          <w:highlight w:val="none"/>
        </w:rPr>
      </w:pPr>
      <w:r>
        <w:rPr>
          <w:rFonts w:hint="eastAsia" w:ascii="宋体" w:hAnsi="宋体" w:cs="宋体"/>
          <w:color w:val="auto"/>
          <w:sz w:val="24"/>
          <w:highlight w:val="none"/>
        </w:rPr>
        <w:t>采购人（甲方）：</w:t>
      </w:r>
      <w:r>
        <w:rPr>
          <w:rFonts w:hint="eastAsia" w:ascii="宋体" w:hAnsi="宋体" w:cs="宋体"/>
          <w:color w:val="auto"/>
          <w:sz w:val="24"/>
          <w:highlight w:val="none"/>
          <w:lang w:eastAsia="zh-CN"/>
        </w:rPr>
        <w:t xml:space="preserve"> 广西信息职业技术学院</w:t>
      </w:r>
      <w:r>
        <w:rPr>
          <w:rFonts w:hint="eastAsia" w:ascii="宋体" w:hAnsi="宋体" w:cs="宋体"/>
          <w:color w:val="auto"/>
          <w:sz w:val="24"/>
          <w:highlight w:val="none"/>
        </w:rPr>
        <w:t xml:space="preserve">                      </w:t>
      </w:r>
    </w:p>
    <w:p w14:paraId="21B8EF87">
      <w:pPr>
        <w:spacing w:line="440" w:lineRule="exact"/>
        <w:rPr>
          <w:rFonts w:ascii="宋体" w:hAnsi="宋体" w:cs="宋体"/>
          <w:color w:val="auto"/>
          <w:sz w:val="24"/>
          <w:highlight w:val="none"/>
        </w:rPr>
      </w:pPr>
      <w:r>
        <w:rPr>
          <w:rFonts w:hint="eastAsia" w:ascii="宋体" w:hAnsi="宋体" w:cs="宋体"/>
          <w:color w:val="auto"/>
          <w:sz w:val="24"/>
          <w:highlight w:val="none"/>
        </w:rPr>
        <w:t xml:space="preserve">供应商（乙方）：   </w:t>
      </w:r>
    </w:p>
    <w:p w14:paraId="0D6C59B3">
      <w:pPr>
        <w:spacing w:line="440" w:lineRule="exact"/>
        <w:rPr>
          <w:rFonts w:ascii="宋体" w:hAnsi="宋体" w:cs="宋体"/>
          <w:color w:val="auto"/>
          <w:sz w:val="24"/>
          <w:highlight w:val="none"/>
        </w:rPr>
      </w:pPr>
      <w:r>
        <w:rPr>
          <w:rFonts w:hint="eastAsia" w:ascii="宋体" w:hAnsi="宋体" w:cs="宋体"/>
          <w:color w:val="auto"/>
          <w:sz w:val="24"/>
          <w:highlight w:val="none"/>
        </w:rPr>
        <w:t>项目编号：</w:t>
      </w:r>
      <w:r>
        <w:rPr>
          <w:rFonts w:ascii="宋体" w:hAnsi="宋体" w:cs="宋体"/>
          <w:color w:val="auto"/>
          <w:sz w:val="24"/>
          <w:highlight w:val="none"/>
          <w:u w:val="single"/>
        </w:rPr>
        <w:t>GXZC20</w:t>
      </w:r>
      <w:r>
        <w:rPr>
          <w:rFonts w:hint="eastAsia" w:ascii="宋体" w:hAnsi="宋体" w:cs="宋体"/>
          <w:color w:val="auto"/>
          <w:sz w:val="24"/>
          <w:highlight w:val="none"/>
          <w:u w:val="single"/>
        </w:rPr>
        <w:t>26</w:t>
      </w:r>
      <w:r>
        <w:rPr>
          <w:rFonts w:ascii="宋体" w:hAnsi="宋体" w:cs="宋体"/>
          <w:color w:val="auto"/>
          <w:sz w:val="24"/>
          <w:highlight w:val="none"/>
          <w:u w:val="single"/>
        </w:rPr>
        <w:t>-J1-000***-****</w:t>
      </w:r>
    </w:p>
    <w:p w14:paraId="49C512A4">
      <w:pPr>
        <w:spacing w:line="440" w:lineRule="exact"/>
        <w:rPr>
          <w:rFonts w:ascii="宋体" w:hAnsi="宋体" w:cs="宋体"/>
          <w:color w:val="auto"/>
          <w:sz w:val="24"/>
          <w:highlight w:val="none"/>
        </w:rPr>
      </w:pPr>
      <w:r>
        <w:rPr>
          <w:rFonts w:hint="eastAsia" w:ascii="宋体" w:hAnsi="宋体" w:cs="宋体"/>
          <w:color w:val="auto"/>
          <w:sz w:val="24"/>
          <w:highlight w:val="none"/>
        </w:rPr>
        <w:t>签订地点：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2D860EF">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本合同为中小企业预留合同：（是</w:t>
      </w:r>
      <w:r>
        <w:rPr>
          <w:rFonts w:hint="eastAsia" w:ascii="黑体" w:hAnsi="黑体" w:eastAsia="黑体" w:cs="宋体"/>
          <w:b/>
          <w:color w:val="auto"/>
          <w:sz w:val="24"/>
          <w:highlight w:val="none"/>
        </w:rPr>
        <w:t>□</w:t>
      </w:r>
      <w:r>
        <w:rPr>
          <w:rFonts w:hint="eastAsia" w:ascii="宋体" w:hAnsi="宋体" w:cs="宋体"/>
          <w:color w:val="auto"/>
          <w:sz w:val="24"/>
          <w:highlight w:val="none"/>
        </w:rPr>
        <w:t>/否</w:t>
      </w:r>
      <w:r>
        <w:rPr>
          <w:rFonts w:hint="eastAsia" w:ascii="黑体" w:hAnsi="黑体" w:eastAsia="黑体" w:cs="宋体"/>
          <w:b/>
          <w:color w:val="auto"/>
          <w:sz w:val="24"/>
          <w:highlight w:val="none"/>
        </w:rPr>
        <w:t>□</w:t>
      </w:r>
      <w:r>
        <w:rPr>
          <w:rFonts w:hint="eastAsia" w:ascii="宋体" w:hAnsi="宋体" w:cs="宋体"/>
          <w:color w:val="auto"/>
          <w:sz w:val="24"/>
          <w:highlight w:val="none"/>
        </w:rPr>
        <w:t>）</w:t>
      </w:r>
    </w:p>
    <w:p w14:paraId="18205108">
      <w:pPr>
        <w:pStyle w:val="38"/>
        <w:rPr>
          <w:color w:val="auto"/>
          <w:highlight w:val="none"/>
        </w:rPr>
      </w:pPr>
    </w:p>
    <w:p w14:paraId="21EDDB02">
      <w:pPr>
        <w:snapToGrid w:val="0"/>
        <w:spacing w:line="360" w:lineRule="auto"/>
        <w:ind w:firstLine="480" w:firstLineChars="200"/>
        <w:rPr>
          <w:rFonts w:ascii="宋体" w:hAnsi="宋体" w:cs="宋体"/>
          <w:color w:val="auto"/>
          <w:sz w:val="24"/>
          <w:highlight w:val="none"/>
        </w:rPr>
      </w:pPr>
      <w:bookmarkStart w:id="36" w:name="_Hlk55381736"/>
    </w:p>
    <w:p w14:paraId="34741E72">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根据《中华人民共和国政府采购法》《中华人民共和国民法典》等法律、法规规定，按照竞争性谈判采购文件规定条款和成交供应商承诺，甲乙双方签订本合同。</w:t>
      </w:r>
    </w:p>
    <w:p w14:paraId="293947B6">
      <w:pPr>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第一条　合同标的</w:t>
      </w:r>
    </w:p>
    <w:p w14:paraId="40D09BB9">
      <w:pPr>
        <w:snapToGri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1</w:t>
      </w:r>
      <w:r>
        <w:rPr>
          <w:rFonts w:ascii="宋体" w:hAnsi="宋体" w:cs="宋体"/>
          <w:color w:val="auto"/>
          <w:sz w:val="24"/>
          <w:highlight w:val="none"/>
        </w:rPr>
        <w:t>.</w:t>
      </w:r>
      <w:r>
        <w:rPr>
          <w:rFonts w:hint="eastAsia" w:ascii="宋体" w:hAnsi="宋体" w:cs="宋体"/>
          <w:color w:val="auto"/>
          <w:sz w:val="24"/>
          <w:highlight w:val="none"/>
        </w:rPr>
        <w:t>供货一览表</w:t>
      </w:r>
    </w:p>
    <w:tbl>
      <w:tblPr>
        <w:tblStyle w:val="26"/>
        <w:tblW w:w="10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34"/>
        <w:gridCol w:w="1134"/>
        <w:gridCol w:w="1276"/>
        <w:gridCol w:w="1134"/>
        <w:gridCol w:w="992"/>
        <w:gridCol w:w="709"/>
        <w:gridCol w:w="830"/>
        <w:gridCol w:w="1722"/>
        <w:gridCol w:w="1276"/>
      </w:tblGrid>
      <w:tr w14:paraId="1E5E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09" w:type="dxa"/>
            <w:vAlign w:val="center"/>
          </w:tcPr>
          <w:p w14:paraId="15FF9A72">
            <w:pPr>
              <w:snapToGrid w:val="0"/>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034" w:type="dxa"/>
            <w:vAlign w:val="center"/>
          </w:tcPr>
          <w:p w14:paraId="4F41FD5B">
            <w:pPr>
              <w:snapToGrid w:val="0"/>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标的名称</w:t>
            </w:r>
          </w:p>
        </w:tc>
        <w:tc>
          <w:tcPr>
            <w:tcW w:w="1134" w:type="dxa"/>
            <w:vAlign w:val="center"/>
          </w:tcPr>
          <w:p w14:paraId="4CE16A6F">
            <w:pPr>
              <w:snapToGrid w:val="0"/>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商标品牌</w:t>
            </w:r>
          </w:p>
        </w:tc>
        <w:tc>
          <w:tcPr>
            <w:tcW w:w="1276" w:type="dxa"/>
            <w:vAlign w:val="center"/>
          </w:tcPr>
          <w:p w14:paraId="73C576C4">
            <w:pPr>
              <w:snapToGrid w:val="0"/>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规格型号</w:t>
            </w:r>
          </w:p>
        </w:tc>
        <w:tc>
          <w:tcPr>
            <w:tcW w:w="1134" w:type="dxa"/>
            <w:vAlign w:val="center"/>
          </w:tcPr>
          <w:p w14:paraId="27B3023D">
            <w:pPr>
              <w:snapToGrid w:val="0"/>
              <w:jc w:val="center"/>
              <w:rPr>
                <w:rFonts w:ascii="宋体" w:hAnsi="宋体" w:cs="宋体"/>
                <w:b/>
                <w:color w:val="auto"/>
                <w:sz w:val="24"/>
                <w:highlight w:val="none"/>
              </w:rPr>
            </w:pPr>
            <w:r>
              <w:rPr>
                <w:rFonts w:hint="eastAsia" w:ascii="宋体" w:hAnsi="宋体" w:cs="宋体"/>
                <w:b/>
                <w:color w:val="auto"/>
                <w:sz w:val="24"/>
                <w:highlight w:val="none"/>
              </w:rPr>
              <w:t>生产厂家</w:t>
            </w:r>
          </w:p>
        </w:tc>
        <w:tc>
          <w:tcPr>
            <w:tcW w:w="992" w:type="dxa"/>
            <w:vAlign w:val="center"/>
          </w:tcPr>
          <w:p w14:paraId="3C77BB7A">
            <w:pPr>
              <w:snapToGrid w:val="0"/>
              <w:jc w:val="center"/>
              <w:rPr>
                <w:rFonts w:ascii="宋体" w:hAnsi="宋体" w:cs="宋体"/>
                <w:b/>
                <w:color w:val="auto"/>
                <w:sz w:val="24"/>
                <w:highlight w:val="none"/>
              </w:rPr>
            </w:pPr>
            <w:r>
              <w:rPr>
                <w:rFonts w:hint="eastAsia" w:ascii="宋体" w:hAnsi="宋体" w:cs="宋体"/>
                <w:b/>
                <w:color w:val="auto"/>
                <w:sz w:val="24"/>
                <w:highlight w:val="none"/>
              </w:rPr>
              <w:t>产地</w:t>
            </w:r>
          </w:p>
        </w:tc>
        <w:tc>
          <w:tcPr>
            <w:tcW w:w="709" w:type="dxa"/>
            <w:vAlign w:val="center"/>
          </w:tcPr>
          <w:p w14:paraId="40417C56">
            <w:pPr>
              <w:snapToGrid w:val="0"/>
              <w:jc w:val="center"/>
              <w:rPr>
                <w:rFonts w:ascii="宋体" w:hAnsi="宋体" w:cs="宋体"/>
                <w:b/>
                <w:color w:val="auto"/>
                <w:sz w:val="24"/>
                <w:highlight w:val="none"/>
              </w:rPr>
            </w:pPr>
            <w:r>
              <w:rPr>
                <w:rFonts w:hint="eastAsia" w:ascii="宋体" w:hAnsi="宋体" w:cs="宋体"/>
                <w:b/>
                <w:color w:val="auto"/>
                <w:sz w:val="24"/>
                <w:highlight w:val="none"/>
              </w:rPr>
              <w:t>数  量</w:t>
            </w:r>
          </w:p>
        </w:tc>
        <w:tc>
          <w:tcPr>
            <w:tcW w:w="830" w:type="dxa"/>
            <w:vAlign w:val="center"/>
          </w:tcPr>
          <w:p w14:paraId="3946C019">
            <w:pPr>
              <w:snapToGrid w:val="0"/>
              <w:jc w:val="center"/>
              <w:rPr>
                <w:rFonts w:ascii="宋体" w:hAnsi="宋体" w:cs="宋体"/>
                <w:b/>
                <w:color w:val="auto"/>
                <w:sz w:val="24"/>
                <w:highlight w:val="none"/>
              </w:rPr>
            </w:pPr>
            <w:r>
              <w:rPr>
                <w:rFonts w:hint="eastAsia" w:ascii="宋体" w:hAnsi="宋体" w:cs="宋体"/>
                <w:b/>
                <w:color w:val="auto"/>
                <w:sz w:val="24"/>
                <w:highlight w:val="none"/>
              </w:rPr>
              <w:t>单位</w:t>
            </w:r>
          </w:p>
        </w:tc>
        <w:tc>
          <w:tcPr>
            <w:tcW w:w="1722" w:type="dxa"/>
            <w:vAlign w:val="center"/>
          </w:tcPr>
          <w:p w14:paraId="0C412BE7">
            <w:pPr>
              <w:snapToGrid w:val="0"/>
              <w:jc w:val="center"/>
              <w:rPr>
                <w:rFonts w:ascii="宋体" w:hAnsi="宋体" w:cs="宋体"/>
                <w:b/>
                <w:color w:val="auto"/>
                <w:sz w:val="24"/>
                <w:highlight w:val="none"/>
              </w:rPr>
            </w:pPr>
            <w:r>
              <w:rPr>
                <w:rFonts w:hint="eastAsia" w:ascii="宋体" w:hAnsi="宋体" w:cs="宋体"/>
                <w:b/>
                <w:color w:val="auto"/>
                <w:sz w:val="24"/>
                <w:highlight w:val="none"/>
              </w:rPr>
              <w:t>单  价</w:t>
            </w:r>
          </w:p>
          <w:p w14:paraId="0E1E7D52">
            <w:pPr>
              <w:snapToGrid w:val="0"/>
              <w:jc w:val="center"/>
              <w:rPr>
                <w:rFonts w:ascii="宋体" w:hAnsi="宋体" w:cs="宋体"/>
                <w:b/>
                <w:color w:val="auto"/>
                <w:sz w:val="24"/>
                <w:highlight w:val="none"/>
              </w:rPr>
            </w:pPr>
            <w:r>
              <w:rPr>
                <w:rFonts w:hint="eastAsia" w:ascii="宋体" w:hAnsi="宋体" w:cs="宋体"/>
                <w:b/>
                <w:color w:val="auto"/>
                <w:sz w:val="24"/>
                <w:highlight w:val="none"/>
              </w:rPr>
              <w:t>（元/人民币）</w:t>
            </w:r>
          </w:p>
        </w:tc>
        <w:tc>
          <w:tcPr>
            <w:tcW w:w="1276" w:type="dxa"/>
            <w:vAlign w:val="center"/>
          </w:tcPr>
          <w:p w14:paraId="37A4ABAA">
            <w:pPr>
              <w:snapToGrid w:val="0"/>
              <w:jc w:val="center"/>
              <w:rPr>
                <w:rFonts w:ascii="宋体" w:hAnsi="宋体" w:cs="宋体"/>
                <w:b/>
                <w:color w:val="auto"/>
                <w:sz w:val="24"/>
                <w:highlight w:val="none"/>
              </w:rPr>
            </w:pPr>
            <w:r>
              <w:rPr>
                <w:rFonts w:hint="eastAsia" w:ascii="宋体" w:hAnsi="宋体" w:cs="宋体"/>
                <w:b/>
                <w:color w:val="auto"/>
                <w:sz w:val="24"/>
                <w:highlight w:val="none"/>
              </w:rPr>
              <w:t>单项合计</w:t>
            </w:r>
            <w:r>
              <w:rPr>
                <w:rFonts w:hint="eastAsia" w:ascii="宋体" w:hAnsi="宋体" w:cs="宋体"/>
                <w:b/>
                <w:color w:val="auto"/>
                <w:szCs w:val="21"/>
                <w:highlight w:val="none"/>
              </w:rPr>
              <w:t>（元/人民币）</w:t>
            </w:r>
          </w:p>
        </w:tc>
      </w:tr>
      <w:tr w14:paraId="5169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vAlign w:val="center"/>
          </w:tcPr>
          <w:p w14:paraId="0B8C3A02">
            <w:pPr>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1034" w:type="dxa"/>
            <w:vAlign w:val="center"/>
          </w:tcPr>
          <w:p w14:paraId="21104C93">
            <w:pPr>
              <w:snapToGrid w:val="0"/>
              <w:spacing w:line="460" w:lineRule="exact"/>
              <w:jc w:val="center"/>
              <w:rPr>
                <w:rFonts w:ascii="宋体" w:hAnsi="宋体" w:cs="宋体"/>
                <w:color w:val="auto"/>
                <w:sz w:val="24"/>
                <w:highlight w:val="none"/>
              </w:rPr>
            </w:pPr>
          </w:p>
        </w:tc>
        <w:tc>
          <w:tcPr>
            <w:tcW w:w="1134" w:type="dxa"/>
            <w:vAlign w:val="center"/>
          </w:tcPr>
          <w:p w14:paraId="0084577E">
            <w:pPr>
              <w:snapToGrid w:val="0"/>
              <w:spacing w:line="460" w:lineRule="exact"/>
              <w:jc w:val="center"/>
              <w:rPr>
                <w:rFonts w:ascii="宋体" w:hAnsi="宋体" w:cs="宋体"/>
                <w:color w:val="auto"/>
                <w:sz w:val="24"/>
                <w:highlight w:val="none"/>
              </w:rPr>
            </w:pPr>
          </w:p>
        </w:tc>
        <w:tc>
          <w:tcPr>
            <w:tcW w:w="1276" w:type="dxa"/>
            <w:vAlign w:val="center"/>
          </w:tcPr>
          <w:p w14:paraId="79DB3721">
            <w:pPr>
              <w:snapToGrid w:val="0"/>
              <w:spacing w:line="460" w:lineRule="exact"/>
              <w:jc w:val="center"/>
              <w:rPr>
                <w:rFonts w:ascii="宋体" w:hAnsi="宋体" w:cs="宋体"/>
                <w:color w:val="auto"/>
                <w:sz w:val="24"/>
                <w:highlight w:val="none"/>
              </w:rPr>
            </w:pPr>
          </w:p>
        </w:tc>
        <w:tc>
          <w:tcPr>
            <w:tcW w:w="1134" w:type="dxa"/>
          </w:tcPr>
          <w:p w14:paraId="0261329C">
            <w:pPr>
              <w:snapToGrid w:val="0"/>
              <w:spacing w:line="460" w:lineRule="exact"/>
              <w:jc w:val="center"/>
              <w:rPr>
                <w:rFonts w:ascii="宋体" w:hAnsi="宋体" w:cs="宋体"/>
                <w:color w:val="auto"/>
                <w:sz w:val="24"/>
                <w:highlight w:val="none"/>
              </w:rPr>
            </w:pPr>
          </w:p>
        </w:tc>
        <w:tc>
          <w:tcPr>
            <w:tcW w:w="992" w:type="dxa"/>
            <w:vAlign w:val="center"/>
          </w:tcPr>
          <w:p w14:paraId="2BE1552F">
            <w:pPr>
              <w:snapToGrid w:val="0"/>
              <w:spacing w:line="460" w:lineRule="exact"/>
              <w:jc w:val="center"/>
              <w:rPr>
                <w:rFonts w:ascii="宋体" w:hAnsi="宋体" w:cs="宋体"/>
                <w:color w:val="auto"/>
                <w:sz w:val="24"/>
                <w:highlight w:val="none"/>
              </w:rPr>
            </w:pPr>
          </w:p>
        </w:tc>
        <w:tc>
          <w:tcPr>
            <w:tcW w:w="709" w:type="dxa"/>
            <w:vAlign w:val="center"/>
          </w:tcPr>
          <w:p w14:paraId="335C0FD4">
            <w:pPr>
              <w:snapToGrid w:val="0"/>
              <w:spacing w:line="460" w:lineRule="exact"/>
              <w:jc w:val="center"/>
              <w:rPr>
                <w:rFonts w:ascii="宋体" w:hAnsi="宋体" w:cs="宋体"/>
                <w:color w:val="auto"/>
                <w:sz w:val="24"/>
                <w:highlight w:val="none"/>
              </w:rPr>
            </w:pPr>
          </w:p>
        </w:tc>
        <w:tc>
          <w:tcPr>
            <w:tcW w:w="830" w:type="dxa"/>
          </w:tcPr>
          <w:p w14:paraId="57340208">
            <w:pPr>
              <w:snapToGrid w:val="0"/>
              <w:spacing w:line="460" w:lineRule="exact"/>
              <w:jc w:val="center"/>
              <w:rPr>
                <w:rFonts w:ascii="宋体" w:hAnsi="宋体" w:cs="宋体"/>
                <w:color w:val="auto"/>
                <w:sz w:val="24"/>
                <w:highlight w:val="none"/>
              </w:rPr>
            </w:pPr>
          </w:p>
        </w:tc>
        <w:tc>
          <w:tcPr>
            <w:tcW w:w="1722" w:type="dxa"/>
            <w:vAlign w:val="center"/>
          </w:tcPr>
          <w:p w14:paraId="3C9961FF">
            <w:pPr>
              <w:snapToGrid w:val="0"/>
              <w:spacing w:line="460" w:lineRule="exact"/>
              <w:jc w:val="center"/>
              <w:rPr>
                <w:rFonts w:ascii="宋体" w:hAnsi="宋体" w:cs="宋体"/>
                <w:color w:val="auto"/>
                <w:sz w:val="24"/>
                <w:highlight w:val="none"/>
              </w:rPr>
            </w:pPr>
          </w:p>
        </w:tc>
        <w:tc>
          <w:tcPr>
            <w:tcW w:w="1276" w:type="dxa"/>
          </w:tcPr>
          <w:p w14:paraId="0D115FC2">
            <w:pPr>
              <w:snapToGrid w:val="0"/>
              <w:spacing w:line="460" w:lineRule="exact"/>
              <w:jc w:val="center"/>
              <w:rPr>
                <w:rFonts w:ascii="宋体" w:hAnsi="宋体" w:cs="宋体"/>
                <w:color w:val="auto"/>
                <w:sz w:val="24"/>
                <w:highlight w:val="none"/>
              </w:rPr>
            </w:pPr>
          </w:p>
        </w:tc>
      </w:tr>
      <w:tr w14:paraId="6E75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vAlign w:val="center"/>
          </w:tcPr>
          <w:p w14:paraId="67FF5672">
            <w:pPr>
              <w:snapToGrid w:val="0"/>
              <w:spacing w:line="460" w:lineRule="exact"/>
              <w:jc w:val="center"/>
              <w:rPr>
                <w:rFonts w:ascii="宋体" w:hAnsi="宋体" w:cs="宋体"/>
                <w:color w:val="auto"/>
                <w:sz w:val="24"/>
                <w:highlight w:val="none"/>
              </w:rPr>
            </w:pPr>
          </w:p>
        </w:tc>
        <w:tc>
          <w:tcPr>
            <w:tcW w:w="1034" w:type="dxa"/>
            <w:vAlign w:val="center"/>
          </w:tcPr>
          <w:p w14:paraId="684624FF">
            <w:pPr>
              <w:snapToGrid w:val="0"/>
              <w:spacing w:line="460" w:lineRule="exact"/>
              <w:jc w:val="center"/>
              <w:rPr>
                <w:rFonts w:ascii="宋体" w:hAnsi="宋体" w:cs="宋体"/>
                <w:color w:val="auto"/>
                <w:sz w:val="24"/>
                <w:highlight w:val="none"/>
              </w:rPr>
            </w:pPr>
          </w:p>
        </w:tc>
        <w:tc>
          <w:tcPr>
            <w:tcW w:w="1134" w:type="dxa"/>
            <w:vAlign w:val="center"/>
          </w:tcPr>
          <w:p w14:paraId="21F69F6F">
            <w:pPr>
              <w:snapToGrid w:val="0"/>
              <w:spacing w:line="460" w:lineRule="exact"/>
              <w:jc w:val="center"/>
              <w:rPr>
                <w:rFonts w:ascii="宋体" w:hAnsi="宋体" w:cs="宋体"/>
                <w:color w:val="auto"/>
                <w:sz w:val="24"/>
                <w:highlight w:val="none"/>
              </w:rPr>
            </w:pPr>
          </w:p>
        </w:tc>
        <w:tc>
          <w:tcPr>
            <w:tcW w:w="1276" w:type="dxa"/>
            <w:vAlign w:val="center"/>
          </w:tcPr>
          <w:p w14:paraId="68E7E30F">
            <w:pPr>
              <w:snapToGrid w:val="0"/>
              <w:spacing w:line="460" w:lineRule="exact"/>
              <w:jc w:val="center"/>
              <w:rPr>
                <w:rFonts w:ascii="宋体" w:hAnsi="宋体" w:cs="宋体"/>
                <w:color w:val="auto"/>
                <w:sz w:val="24"/>
                <w:highlight w:val="none"/>
              </w:rPr>
            </w:pPr>
          </w:p>
        </w:tc>
        <w:tc>
          <w:tcPr>
            <w:tcW w:w="1134" w:type="dxa"/>
          </w:tcPr>
          <w:p w14:paraId="5F469BBB">
            <w:pPr>
              <w:snapToGrid w:val="0"/>
              <w:spacing w:line="460" w:lineRule="exact"/>
              <w:jc w:val="center"/>
              <w:rPr>
                <w:rFonts w:ascii="宋体" w:hAnsi="宋体" w:cs="宋体"/>
                <w:color w:val="auto"/>
                <w:sz w:val="24"/>
                <w:highlight w:val="none"/>
              </w:rPr>
            </w:pPr>
          </w:p>
        </w:tc>
        <w:tc>
          <w:tcPr>
            <w:tcW w:w="992" w:type="dxa"/>
            <w:vAlign w:val="center"/>
          </w:tcPr>
          <w:p w14:paraId="4C17362B">
            <w:pPr>
              <w:snapToGrid w:val="0"/>
              <w:spacing w:line="460" w:lineRule="exact"/>
              <w:jc w:val="center"/>
              <w:rPr>
                <w:rFonts w:ascii="宋体" w:hAnsi="宋体" w:cs="宋体"/>
                <w:color w:val="auto"/>
                <w:sz w:val="24"/>
                <w:highlight w:val="none"/>
              </w:rPr>
            </w:pPr>
          </w:p>
        </w:tc>
        <w:tc>
          <w:tcPr>
            <w:tcW w:w="709" w:type="dxa"/>
            <w:vAlign w:val="center"/>
          </w:tcPr>
          <w:p w14:paraId="6D33202B">
            <w:pPr>
              <w:snapToGrid w:val="0"/>
              <w:spacing w:line="460" w:lineRule="exact"/>
              <w:jc w:val="center"/>
              <w:rPr>
                <w:rFonts w:ascii="宋体" w:hAnsi="宋体" w:cs="宋体"/>
                <w:color w:val="auto"/>
                <w:sz w:val="24"/>
                <w:highlight w:val="none"/>
              </w:rPr>
            </w:pPr>
          </w:p>
        </w:tc>
        <w:tc>
          <w:tcPr>
            <w:tcW w:w="830" w:type="dxa"/>
          </w:tcPr>
          <w:p w14:paraId="1A368AE1">
            <w:pPr>
              <w:snapToGrid w:val="0"/>
              <w:spacing w:line="460" w:lineRule="exact"/>
              <w:jc w:val="center"/>
              <w:rPr>
                <w:rFonts w:ascii="宋体" w:hAnsi="宋体" w:cs="宋体"/>
                <w:color w:val="auto"/>
                <w:sz w:val="24"/>
                <w:highlight w:val="none"/>
              </w:rPr>
            </w:pPr>
          </w:p>
        </w:tc>
        <w:tc>
          <w:tcPr>
            <w:tcW w:w="1722" w:type="dxa"/>
            <w:vAlign w:val="center"/>
          </w:tcPr>
          <w:p w14:paraId="341232E0">
            <w:pPr>
              <w:snapToGrid w:val="0"/>
              <w:spacing w:line="460" w:lineRule="exact"/>
              <w:jc w:val="center"/>
              <w:rPr>
                <w:rFonts w:ascii="宋体" w:hAnsi="宋体" w:cs="宋体"/>
                <w:color w:val="auto"/>
                <w:sz w:val="24"/>
                <w:highlight w:val="none"/>
              </w:rPr>
            </w:pPr>
          </w:p>
        </w:tc>
        <w:tc>
          <w:tcPr>
            <w:tcW w:w="1276" w:type="dxa"/>
          </w:tcPr>
          <w:p w14:paraId="706F2853">
            <w:pPr>
              <w:snapToGrid w:val="0"/>
              <w:spacing w:line="460" w:lineRule="exact"/>
              <w:jc w:val="center"/>
              <w:rPr>
                <w:rFonts w:ascii="宋体" w:hAnsi="宋体" w:cs="宋体"/>
                <w:color w:val="auto"/>
                <w:sz w:val="24"/>
                <w:highlight w:val="none"/>
              </w:rPr>
            </w:pPr>
          </w:p>
        </w:tc>
      </w:tr>
      <w:tr w14:paraId="0A35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jc w:val="center"/>
        </w:trPr>
        <w:tc>
          <w:tcPr>
            <w:tcW w:w="10816" w:type="dxa"/>
            <w:gridSpan w:val="10"/>
          </w:tcPr>
          <w:p w14:paraId="50F92EB9">
            <w:pPr>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合计金额（人民币大写</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b/>
                <w:bCs/>
                <w:color w:val="auto"/>
                <w:sz w:val="24"/>
                <w:highlight w:val="none"/>
                <w:u w:val="single"/>
              </w:rPr>
              <w:t xml:space="preserve"> </w:t>
            </w:r>
            <w:r>
              <w:rPr>
                <w:rFonts w:ascii="宋体" w:hAnsi="宋体" w:cs="宋体"/>
                <w:b/>
                <w:bCs/>
                <w:color w:val="auto"/>
                <w:sz w:val="24"/>
                <w:highlight w:val="none"/>
                <w:u w:val="single"/>
              </w:rPr>
              <w:t xml:space="preserve">            </w:t>
            </w:r>
            <w:r>
              <w:rPr>
                <w:rFonts w:ascii="宋体" w:hAnsi="宋体" w:cs="宋体"/>
                <w:bCs/>
                <w:color w:val="auto"/>
                <w:sz w:val="24"/>
                <w:highlight w:val="none"/>
                <w:u w:val="single"/>
              </w:rPr>
              <w:t xml:space="preserve"> </w:t>
            </w:r>
            <w:r>
              <w:rPr>
                <w:rFonts w:hint="eastAsia" w:ascii="宋体" w:hAnsi="宋体" w:cs="宋体"/>
                <w:bCs/>
                <w:color w:val="auto"/>
                <w:sz w:val="24"/>
                <w:highlight w:val="none"/>
              </w:rPr>
              <w:t>（小写）</w:t>
            </w:r>
            <w:r>
              <w:rPr>
                <w:rFonts w:hint="eastAsia" w:ascii="宋体" w:hAnsi="宋体" w:cs="宋体"/>
                <w:bCs/>
                <w:color w:val="auto"/>
                <w:sz w:val="24"/>
                <w:highlight w:val="none"/>
                <w:u w:val="single"/>
              </w:rPr>
              <w:t xml:space="preserve">¥ </w:t>
            </w:r>
            <w:r>
              <w:rPr>
                <w:rFonts w:ascii="宋体" w:hAnsi="宋体" w:cs="宋体"/>
                <w:bCs/>
                <w:color w:val="auto"/>
                <w:sz w:val="24"/>
                <w:highlight w:val="none"/>
                <w:u w:val="single"/>
              </w:rPr>
              <w:t xml:space="preserve">         .**</w:t>
            </w:r>
          </w:p>
        </w:tc>
      </w:tr>
    </w:tbl>
    <w:p w14:paraId="3F6F568C">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合同合计金额包括货物价款、配套软件、标准附件、随配附件、备品备件、辅助材料、专用工具、包装、运抵指定交货地点、运输、装卸、完工清场清洁、货到就位、安装、调试、检验、技术培训、技术资料、售后服务、保险、投标费用、预验收及履约验收及售后服务、人工费、一切税费等全部费用，甲方不再支付合同合计金额以外的其他费用。</w:t>
      </w:r>
    </w:p>
    <w:p w14:paraId="04651696">
      <w:pPr>
        <w:snapToGrid w:val="0"/>
        <w:spacing w:line="46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第二条　质量要求</w:t>
      </w:r>
    </w:p>
    <w:p w14:paraId="2A555535">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1.乙方所提供的产品名称、商标品牌、生产厂家、规格型号、技术参数等质量必须与采购文件规定及响应文件承诺相一致。乙方提供的节能和环保产品必须是列入政府采购品目清单的产品。</w:t>
      </w:r>
    </w:p>
    <w:p w14:paraId="103CB458">
      <w:pPr>
        <w:snapToGrid w:val="0"/>
        <w:spacing w:line="460" w:lineRule="exact"/>
        <w:ind w:firstLine="480" w:firstLineChars="200"/>
        <w:rPr>
          <w:color w:val="auto"/>
          <w:highlight w:val="none"/>
        </w:rPr>
      </w:pPr>
      <w:r>
        <w:rPr>
          <w:rFonts w:hint="eastAsia" w:ascii="宋体" w:hAnsi="宋体" w:cs="宋体"/>
          <w:color w:val="auto"/>
          <w:sz w:val="24"/>
          <w:highlight w:val="none"/>
        </w:rPr>
        <w:t>2.乙方所提供的货物必须是全新、未使用的原装产品，且在正常安装、使用和保养条件下，其使用寿命期内各项指标均达到采购文件规定或者响应文件承诺的质量要求。</w:t>
      </w:r>
    </w:p>
    <w:p w14:paraId="6B77BAE2">
      <w:pPr>
        <w:snapToGrid w:val="0"/>
        <w:spacing w:line="46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第三条　权利保证</w:t>
      </w:r>
    </w:p>
    <w:p w14:paraId="26E37AB5">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1.乙方应保证所提供货物在使用时不会侵犯任何第三方的专利权、商标权、工业设计权或者其他权利。</w:t>
      </w:r>
    </w:p>
    <w:p w14:paraId="7711DB3C">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2.乙方应按采购文件规定或者响应文件承诺的时间向甲方提供使用货物的有关技术资料。</w:t>
      </w:r>
    </w:p>
    <w:p w14:paraId="54AAC886">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24010B41">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4.乙方保证将要交付的货物的所有权完全属于乙方且无任何抵押、质押、查封等产权瑕疵。</w:t>
      </w:r>
    </w:p>
    <w:p w14:paraId="6F402761">
      <w:pPr>
        <w:snapToGrid w:val="0"/>
        <w:spacing w:line="4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第四条　包装、运输和签收</w:t>
      </w:r>
    </w:p>
    <w:p w14:paraId="34E9AB10">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1.乙方提供的货物均应包装完整，每一包装单元内应附详细的装箱单和质量合格证。</w:t>
      </w:r>
    </w:p>
    <w:p w14:paraId="4C187120">
      <w:pPr>
        <w:pStyle w:val="14"/>
        <w:snapToGrid w:val="0"/>
        <w:spacing w:line="44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2.货物的运输：</w:t>
      </w:r>
      <w:r>
        <w:rPr>
          <w:rFonts w:hAnsi="宋体" w:cs="宋体"/>
          <w:color w:val="auto"/>
          <w:sz w:val="24"/>
          <w:szCs w:val="24"/>
          <w:highlight w:val="none"/>
          <w:u w:val="single"/>
        </w:rPr>
        <w:t xml:space="preserve"> </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w:t>
      </w:r>
    </w:p>
    <w:p w14:paraId="6DEEB716">
      <w:pPr>
        <w:pStyle w:val="14"/>
        <w:snapToGrid w:val="0"/>
        <w:spacing w:line="44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3. 乙方负责货物运输，货物运输合理损耗及计算方法：</w:t>
      </w:r>
      <w:r>
        <w:rPr>
          <w:rFonts w:hint="eastAsia" w:hAnsi="宋体" w:cs="宋体"/>
          <w:color w:val="auto"/>
          <w:sz w:val="24"/>
          <w:szCs w:val="24"/>
          <w:highlight w:val="none"/>
          <w:u w:val="single"/>
        </w:rPr>
        <w:t>甲方不接受损耗。</w:t>
      </w:r>
    </w:p>
    <w:p w14:paraId="3F66A3E1">
      <w:pPr>
        <w:pStyle w:val="14"/>
        <w:snapToGrid w:val="0"/>
        <w:spacing w:line="440" w:lineRule="exact"/>
        <w:ind w:firstLine="480" w:firstLineChars="200"/>
        <w:rPr>
          <w:rFonts w:hAnsi="宋体" w:cs="宋体"/>
          <w:color w:val="auto"/>
          <w:sz w:val="24"/>
          <w:szCs w:val="24"/>
          <w:highlight w:val="none"/>
        </w:rPr>
      </w:pPr>
      <w:r>
        <w:rPr>
          <w:rFonts w:hAnsi="宋体" w:cs="宋体"/>
          <w:color w:val="auto"/>
          <w:sz w:val="24"/>
          <w:szCs w:val="24"/>
          <w:highlight w:val="none"/>
        </w:rPr>
        <w:t>4.</w:t>
      </w:r>
      <w:r>
        <w:rPr>
          <w:rFonts w:hint="eastAsia" w:hAnsi="宋体" w:cs="宋体"/>
          <w:color w:val="auto"/>
          <w:sz w:val="24"/>
          <w:szCs w:val="24"/>
          <w:highlight w:val="none"/>
        </w:rPr>
        <w:t>乙方应在货物发运前对其进行满足运输距离、防潮、防震、防锈和防破损装卸等要求包装，以保证货物安全运达甲方指定地点。</w:t>
      </w:r>
    </w:p>
    <w:p w14:paraId="3940328A">
      <w:pPr>
        <w:pStyle w:val="14"/>
        <w:snapToGrid w:val="0"/>
        <w:spacing w:line="440" w:lineRule="exact"/>
        <w:ind w:firstLine="480" w:firstLineChars="200"/>
        <w:rPr>
          <w:rFonts w:hAnsi="宋体" w:cs="宋体"/>
          <w:color w:val="auto"/>
          <w:sz w:val="24"/>
          <w:szCs w:val="24"/>
          <w:highlight w:val="none"/>
        </w:rPr>
      </w:pPr>
      <w:r>
        <w:rPr>
          <w:rFonts w:hAnsi="宋体" w:cs="宋体"/>
          <w:color w:val="auto"/>
          <w:sz w:val="24"/>
          <w:szCs w:val="24"/>
          <w:highlight w:val="none"/>
        </w:rPr>
        <w:t>5.</w:t>
      </w:r>
      <w:r>
        <w:rPr>
          <w:rFonts w:hint="eastAsia" w:hAnsi="宋体" w:cs="宋体"/>
          <w:color w:val="auto"/>
          <w:sz w:val="24"/>
          <w:szCs w:val="24"/>
          <w:highlight w:val="none"/>
        </w:rPr>
        <w:t xml:space="preserve"> 使用说明书（货物属于进口产品的，供货时应同时附上中文使用说明书）、质量检验证明书、随配附件和工具以及清单一并附于货物内。</w:t>
      </w:r>
    </w:p>
    <w:p w14:paraId="54B04BDE">
      <w:pPr>
        <w:pStyle w:val="14"/>
        <w:snapToGrid w:val="0"/>
        <w:spacing w:line="440" w:lineRule="exact"/>
        <w:ind w:firstLine="480" w:firstLineChars="200"/>
        <w:rPr>
          <w:rFonts w:hAnsi="宋体" w:cs="宋体"/>
          <w:color w:val="auto"/>
          <w:sz w:val="24"/>
          <w:szCs w:val="24"/>
          <w:highlight w:val="none"/>
        </w:rPr>
      </w:pPr>
      <w:r>
        <w:rPr>
          <w:rFonts w:hAnsi="宋体" w:cs="宋体"/>
          <w:color w:val="auto"/>
          <w:sz w:val="24"/>
          <w:szCs w:val="24"/>
          <w:highlight w:val="none"/>
        </w:rPr>
        <w:t>6</w:t>
      </w:r>
      <w:r>
        <w:rPr>
          <w:rFonts w:hint="eastAsia" w:hAnsi="宋体" w:cs="宋体"/>
          <w:color w:val="auto"/>
          <w:sz w:val="24"/>
          <w:szCs w:val="24"/>
          <w:highlight w:val="none"/>
        </w:rPr>
        <w:t>.乙方在货物发运手续办理完毕后2</w:t>
      </w:r>
      <w:r>
        <w:rPr>
          <w:rFonts w:hAnsi="宋体" w:cs="宋体"/>
          <w:color w:val="auto"/>
          <w:sz w:val="24"/>
          <w:szCs w:val="24"/>
          <w:highlight w:val="none"/>
        </w:rPr>
        <w:t>4</w:t>
      </w:r>
      <w:r>
        <w:rPr>
          <w:rFonts w:hint="eastAsia" w:hAnsi="宋体" w:cs="宋体"/>
          <w:color w:val="auto"/>
          <w:sz w:val="24"/>
          <w:szCs w:val="24"/>
          <w:highlight w:val="none"/>
        </w:rPr>
        <w:t>小时内或者货到甲方4</w:t>
      </w:r>
      <w:r>
        <w:rPr>
          <w:rFonts w:hAnsi="宋体" w:cs="宋体"/>
          <w:color w:val="auto"/>
          <w:sz w:val="24"/>
          <w:szCs w:val="24"/>
          <w:highlight w:val="none"/>
        </w:rPr>
        <w:t>8</w:t>
      </w:r>
      <w:r>
        <w:rPr>
          <w:rFonts w:hint="eastAsia" w:hAnsi="宋体" w:cs="宋体"/>
          <w:color w:val="auto"/>
          <w:sz w:val="24"/>
          <w:szCs w:val="24"/>
          <w:highlight w:val="none"/>
        </w:rPr>
        <w:t>小时前通知甲方，以准备接货。</w:t>
      </w:r>
    </w:p>
    <w:p w14:paraId="2D56A43B">
      <w:pPr>
        <w:pStyle w:val="14"/>
        <w:snapToGrid w:val="0"/>
        <w:spacing w:line="440" w:lineRule="exact"/>
        <w:ind w:firstLine="480" w:firstLineChars="200"/>
        <w:rPr>
          <w:rFonts w:hAnsi="宋体" w:cs="宋体"/>
          <w:color w:val="auto"/>
          <w:sz w:val="24"/>
          <w:szCs w:val="24"/>
          <w:highlight w:val="none"/>
        </w:rPr>
      </w:pPr>
      <w:r>
        <w:rPr>
          <w:rFonts w:hAnsi="宋体" w:cs="宋体"/>
          <w:color w:val="auto"/>
          <w:sz w:val="24"/>
          <w:szCs w:val="24"/>
          <w:highlight w:val="none"/>
        </w:rPr>
        <w:t>7</w:t>
      </w:r>
      <w:r>
        <w:rPr>
          <w:rFonts w:hint="eastAsia" w:hAnsi="宋体" w:cs="宋体"/>
          <w:color w:val="auto"/>
          <w:sz w:val="24"/>
          <w:szCs w:val="24"/>
          <w:highlight w:val="none"/>
        </w:rPr>
        <w:t>.货物在规定的交付期限内由乙方送达甲方指定的地点，乙方同时需通知甲方货物已送达，甲方清点货物后签收，货物签收不作为最终验收合格的依据。</w:t>
      </w:r>
    </w:p>
    <w:p w14:paraId="70ACF2EE">
      <w:pPr>
        <w:snapToGrid w:val="0"/>
        <w:spacing w:line="460" w:lineRule="exact"/>
        <w:ind w:firstLine="482" w:firstLineChars="200"/>
        <w:rPr>
          <w:rFonts w:hAnsi="宋体" w:cs="宋体"/>
          <w:b/>
          <w:color w:val="auto"/>
          <w:sz w:val="24"/>
          <w:highlight w:val="none"/>
        </w:rPr>
      </w:pPr>
      <w:r>
        <w:rPr>
          <w:rFonts w:hint="eastAsia" w:ascii="宋体" w:hAnsi="宋体" w:cs="宋体"/>
          <w:b/>
          <w:color w:val="auto"/>
          <w:sz w:val="24"/>
          <w:highlight w:val="none"/>
        </w:rPr>
        <w:t>第五条　</w:t>
      </w:r>
      <w:r>
        <w:rPr>
          <w:rFonts w:hint="eastAsia" w:hAnsi="宋体" w:cs="宋体"/>
          <w:b/>
          <w:color w:val="auto"/>
          <w:sz w:val="24"/>
          <w:highlight w:val="none"/>
        </w:rPr>
        <w:t>安装和培训</w:t>
      </w:r>
    </w:p>
    <w:p w14:paraId="7A44EEA2">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1.甲方应提供必要安装条件（如场地、电源、水源等）。</w:t>
      </w:r>
    </w:p>
    <w:p w14:paraId="49225648">
      <w:pPr>
        <w:snapToGrid w:val="0"/>
        <w:spacing w:line="460" w:lineRule="exact"/>
        <w:ind w:firstLine="480" w:firstLineChars="200"/>
        <w:rPr>
          <w:rFonts w:ascii="宋体" w:hAnsi="宋体" w:cs="宋体"/>
          <w:color w:val="auto"/>
          <w:sz w:val="24"/>
          <w:highlight w:val="none"/>
          <w:u w:val="single"/>
        </w:rPr>
      </w:pPr>
      <w:r>
        <w:rPr>
          <w:rFonts w:hint="eastAsia" w:ascii="宋体" w:hAnsi="宋体" w:cs="宋体"/>
          <w:color w:val="auto"/>
          <w:sz w:val="24"/>
          <w:highlight w:val="none"/>
        </w:rPr>
        <w:t>2.乙方响应文件承诺负责甲方有关人员的培训：</w:t>
      </w:r>
      <w:r>
        <w:rPr>
          <w:rFonts w:hint="eastAsia" w:ascii="宋体" w:hAnsi="宋体" w:cs="宋体"/>
          <w:color w:val="auto"/>
          <w:sz w:val="24"/>
          <w:highlight w:val="none"/>
          <w:u w:val="single"/>
        </w:rPr>
        <w:t>根据甲方要求开展。</w:t>
      </w:r>
    </w:p>
    <w:p w14:paraId="3A29E1B6">
      <w:pPr>
        <w:snapToGrid w:val="0"/>
        <w:spacing w:line="460" w:lineRule="exact"/>
        <w:ind w:firstLine="480" w:firstLineChars="200"/>
        <w:rPr>
          <w:color w:val="auto"/>
          <w:highlight w:val="none"/>
        </w:rPr>
      </w:pPr>
      <w:r>
        <w:rPr>
          <w:rFonts w:hint="eastAsia" w:ascii="宋体" w:hAnsi="宋体" w:cs="宋体"/>
          <w:color w:val="auto"/>
          <w:sz w:val="24"/>
          <w:highlight w:val="none"/>
        </w:rPr>
        <w:t>3.培训时间、地点：</w:t>
      </w:r>
      <w:r>
        <w:rPr>
          <w:rFonts w:hint="eastAsia" w:ascii="宋体" w:hAnsi="宋体" w:cs="宋体"/>
          <w:color w:val="auto"/>
          <w:sz w:val="24"/>
          <w:highlight w:val="none"/>
          <w:u w:val="single"/>
        </w:rPr>
        <w:t>甲方指定。</w:t>
      </w:r>
    </w:p>
    <w:p w14:paraId="7B668733">
      <w:pPr>
        <w:snapToGrid w:val="0"/>
        <w:spacing w:line="46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第六条　调试、交付和验收</w:t>
      </w:r>
    </w:p>
    <w:p w14:paraId="2DF61960">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1.交货时间：</w:t>
      </w:r>
      <w:r>
        <w:rPr>
          <w:rFonts w:hint="eastAsia" w:ascii="宋体" w:hAnsi="宋体" w:cs="宋体"/>
          <w:color w:val="auto"/>
          <w:sz w:val="24"/>
          <w:highlight w:val="none"/>
          <w:u w:val="single"/>
        </w:rPr>
        <w:t>合同签订后    日内全部完成设备的供货并安装调试完毕。</w:t>
      </w:r>
    </w:p>
    <w:p w14:paraId="188F04F6">
      <w:pPr>
        <w:snapToGrid w:val="0"/>
        <w:spacing w:line="460" w:lineRule="exact"/>
        <w:ind w:firstLine="720" w:firstLineChars="300"/>
        <w:rPr>
          <w:rFonts w:ascii="宋体" w:hAnsi="宋体" w:cs="宋体"/>
          <w:color w:val="auto"/>
          <w:sz w:val="24"/>
          <w:highlight w:val="none"/>
          <w:u w:val="single"/>
        </w:rPr>
      </w:pPr>
      <w:r>
        <w:rPr>
          <w:rFonts w:hint="eastAsia" w:ascii="宋体" w:hAnsi="宋体" w:cs="宋体"/>
          <w:color w:val="auto"/>
          <w:sz w:val="24"/>
          <w:highlight w:val="none"/>
        </w:rPr>
        <w:t>交货地点：</w:t>
      </w:r>
      <w:r>
        <w:rPr>
          <w:rFonts w:hint="eastAsia" w:ascii="宋体" w:hAnsi="宋体" w:cs="宋体"/>
          <w:color w:val="auto"/>
          <w:sz w:val="24"/>
          <w:highlight w:val="none"/>
          <w:u w:val="single"/>
        </w:rPr>
        <w:t>甲方指定地点。</w:t>
      </w:r>
    </w:p>
    <w:p w14:paraId="1895CC34">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2.乙方提供不符合采购文件规定或者响应文件承诺的和本合同规定的货物，甲方有权拒绝接受。</w:t>
      </w:r>
    </w:p>
    <w:p w14:paraId="4541C20C">
      <w:pPr>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3.乙方提供不符合招标文件要求或提供虚假承诺、虚假检测报告等虚假材料的，甲方有权拒绝验收并认定乙方违约，甲方有权单方面解除合同，乙方承担所有责任和费用，甲方保留进一步追究责任的权利。</w:t>
      </w:r>
    </w:p>
    <w:p w14:paraId="7D9BDA6E">
      <w:pPr>
        <w:snapToGrid w:val="0"/>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乙方应将所提供货物的装箱清单、用户手册、原厂保修卡、随机资料、工具和备品、备件等交付给甲方，货物属于进口产品的，供货时应同时附上中文使用说明书，如有缺失应在5个工作日内补齐，否则视为逾期交货。</w:t>
      </w:r>
    </w:p>
    <w:p w14:paraId="7B3A489D">
      <w:pPr>
        <w:snapToGrid w:val="0"/>
        <w:spacing w:line="360" w:lineRule="auto"/>
        <w:ind w:firstLine="480" w:firstLineChars="200"/>
        <w:rPr>
          <w:rFonts w:ascii="宋体" w:hAnsi="宋体" w:cs="宋体"/>
          <w:color w:val="auto"/>
          <w:sz w:val="24"/>
          <w:highlight w:val="none"/>
        </w:rPr>
      </w:pPr>
      <w:r>
        <w:rPr>
          <w:rFonts w:ascii="宋体" w:hAnsi="宋体"/>
          <w:color w:val="auto"/>
          <w:sz w:val="24"/>
          <w:highlight w:val="none"/>
        </w:rPr>
        <w:t>5.</w:t>
      </w:r>
      <w:r>
        <w:rPr>
          <w:rFonts w:hint="eastAsia" w:ascii="宋体" w:hAnsi="宋体" w:cs="宋体"/>
          <w:color w:val="auto"/>
          <w:sz w:val="24"/>
          <w:highlight w:val="none"/>
        </w:rPr>
        <w:t>乙方应对产品作出全面检查和对验收文件进行整理，并列出清单，作为甲方验收和使用的技术条件依据，检验的结果应随货物交甲方。</w:t>
      </w:r>
    </w:p>
    <w:p w14:paraId="3AE6EF68">
      <w:pPr>
        <w:pStyle w:val="14"/>
        <w:snapToGrid w:val="0"/>
        <w:spacing w:line="360" w:lineRule="auto"/>
        <w:ind w:firstLine="480" w:firstLineChars="200"/>
        <w:rPr>
          <w:rFonts w:hAnsi="宋体" w:cs="宋体"/>
          <w:color w:val="auto"/>
          <w:sz w:val="24"/>
          <w:szCs w:val="24"/>
          <w:highlight w:val="none"/>
        </w:rPr>
      </w:pPr>
      <w:r>
        <w:rPr>
          <w:rFonts w:hAnsi="宋体"/>
          <w:color w:val="auto"/>
          <w:sz w:val="24"/>
          <w:szCs w:val="24"/>
          <w:highlight w:val="none"/>
        </w:rPr>
        <w:t>6.</w:t>
      </w:r>
      <w:r>
        <w:rPr>
          <w:rFonts w:hint="eastAsia" w:hAnsi="宋体" w:cs="宋体"/>
          <w:color w:val="auto"/>
          <w:sz w:val="24"/>
          <w:szCs w:val="24"/>
          <w:highlight w:val="none"/>
        </w:rPr>
        <w:t>甲方对乙方提供的货物在使用前进行调试时，乙方需负责安装并培训甲方的使用操作人员，并协助甲方一起调试，直到符合技术要求，甲方才做最终验收。</w:t>
      </w:r>
    </w:p>
    <w:p w14:paraId="502255BD">
      <w:pPr>
        <w:snapToGrid w:val="0"/>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7.</w:t>
      </w:r>
      <w:r>
        <w:rPr>
          <w:rFonts w:hint="eastAsia" w:ascii="宋体" w:hAnsi="宋体" w:cs="宋体"/>
          <w:color w:val="auto"/>
          <w:sz w:val="24"/>
          <w:highlight w:val="none"/>
        </w:rPr>
        <w:t>乙方应当在到货并安装、调试完毕后，达到验收条件时以书面形式提请甲方进行验收，甲方应在收到乙方书面验收请求后</w:t>
      </w:r>
      <w:r>
        <w:rPr>
          <w:rFonts w:ascii="宋体" w:hAnsi="宋体" w:cs="宋体"/>
          <w:color w:val="auto"/>
          <w:sz w:val="24"/>
          <w:highlight w:val="none"/>
        </w:rPr>
        <w:t>7</w:t>
      </w:r>
      <w:r>
        <w:rPr>
          <w:rFonts w:hint="eastAsia" w:ascii="宋体" w:hAnsi="宋体" w:cs="宋体"/>
          <w:color w:val="auto"/>
          <w:sz w:val="24"/>
          <w:highlight w:val="none"/>
        </w:rPr>
        <w:t>个工作日内组织开展履约验收（预验收）。验收合格后由甲乙双方签署货物验收单并加盖甲方公章，甲乙双方各执壹份。甲方使用单位预验收及甲方履约验收过程中所产生的一切费用均由乙方承担。</w:t>
      </w:r>
    </w:p>
    <w:p w14:paraId="0187F02B">
      <w:pPr>
        <w:pStyle w:val="14"/>
        <w:snapToGrid w:val="0"/>
        <w:spacing w:line="360" w:lineRule="auto"/>
        <w:ind w:firstLine="480" w:firstLineChars="200"/>
        <w:rPr>
          <w:rFonts w:hint="default" w:hAnsi="宋体" w:eastAsia="宋体" w:cs="宋体"/>
          <w:color w:val="auto"/>
          <w:sz w:val="24"/>
          <w:szCs w:val="24"/>
          <w:highlight w:val="none"/>
          <w:lang w:val="en-US" w:eastAsia="zh-CN"/>
        </w:rPr>
      </w:pPr>
      <w:r>
        <w:rPr>
          <w:rFonts w:hAnsi="宋体"/>
          <w:color w:val="auto"/>
          <w:sz w:val="24"/>
          <w:szCs w:val="24"/>
          <w:highlight w:val="none"/>
        </w:rPr>
        <w:t>8.</w:t>
      </w:r>
      <w:r>
        <w:rPr>
          <w:rFonts w:hint="eastAsia" w:hAnsi="宋体" w:cs="宋体"/>
          <w:color w:val="auto"/>
          <w:sz w:val="24"/>
          <w:szCs w:val="24"/>
          <w:highlight w:val="none"/>
        </w:rPr>
        <w:t>对技术复杂的货物，甲方可请国家认可的专业检测机构参与初步验收及最终验收，并由其出具质量检测报告。</w:t>
      </w:r>
      <w:r>
        <w:rPr>
          <w:rFonts w:hint="eastAsia" w:hAnsi="宋体" w:cs="宋体"/>
          <w:color w:val="auto"/>
          <w:sz w:val="24"/>
          <w:szCs w:val="24"/>
          <w:highlight w:val="none"/>
          <w:lang w:val="en-US" w:eastAsia="zh-CN"/>
        </w:rPr>
        <w:t>验收费用由乙方承担。</w:t>
      </w:r>
    </w:p>
    <w:p w14:paraId="739A124E">
      <w:pPr>
        <w:snapToGrid w:val="0"/>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9.</w:t>
      </w:r>
      <w:r>
        <w:rPr>
          <w:rFonts w:hint="eastAsia" w:ascii="宋体" w:hAnsi="宋体" w:cs="宋体"/>
          <w:color w:val="auto"/>
          <w:sz w:val="24"/>
          <w:highlight w:val="none"/>
        </w:rPr>
        <w:t>预验收未通过或者履约验收未通过的，应限期整改或进行退换货处理，整改完成后重新组织履约验收。整改后仍不能通过验收的，依法追究相关责任。</w:t>
      </w:r>
    </w:p>
    <w:p w14:paraId="107B3AFA">
      <w:pPr>
        <w:snapToGrid w:val="0"/>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10.</w:t>
      </w:r>
      <w:r>
        <w:rPr>
          <w:rFonts w:hint="eastAsia" w:ascii="宋体" w:hAnsi="宋体" w:cs="宋体"/>
          <w:color w:val="auto"/>
          <w:sz w:val="24"/>
          <w:highlight w:val="none"/>
        </w:rPr>
        <w:t>在验收过程中发现乙方有违约情形，可暂缓资金结算，待乙方违约情形整改后，方可办理资金结算事宜。</w:t>
      </w:r>
    </w:p>
    <w:p w14:paraId="161AD6A8">
      <w:pPr>
        <w:snapToGrid w:val="0"/>
        <w:spacing w:line="360" w:lineRule="auto"/>
        <w:ind w:firstLine="480" w:firstLineChars="200"/>
        <w:rPr>
          <w:rFonts w:ascii="宋体" w:hAnsi="宋体" w:cs="宋体"/>
          <w:color w:val="auto"/>
          <w:sz w:val="24"/>
          <w:highlight w:val="none"/>
          <w:u w:val="single"/>
        </w:rPr>
      </w:pPr>
      <w:r>
        <w:rPr>
          <w:rFonts w:ascii="宋体" w:hAnsi="宋体" w:cs="宋体"/>
          <w:color w:val="auto"/>
          <w:sz w:val="24"/>
          <w:highlight w:val="none"/>
        </w:rPr>
        <w:t>11.</w:t>
      </w:r>
      <w:r>
        <w:rPr>
          <w:rFonts w:hint="eastAsia" w:ascii="宋体" w:hAnsi="宋体" w:cs="宋体"/>
          <w:color w:val="auto"/>
          <w:sz w:val="24"/>
          <w:highlight w:val="none"/>
        </w:rPr>
        <w:t>甲方对验收有异议的，在验收后</w:t>
      </w:r>
      <w:r>
        <w:rPr>
          <w:rFonts w:ascii="宋体" w:hAnsi="宋体" w:cs="宋体"/>
          <w:color w:val="auto"/>
          <w:sz w:val="24"/>
          <w:highlight w:val="none"/>
        </w:rPr>
        <w:t>5</w:t>
      </w:r>
      <w:r>
        <w:rPr>
          <w:rFonts w:hint="eastAsia" w:ascii="宋体" w:hAnsi="宋体" w:cs="宋体"/>
          <w:color w:val="auto"/>
          <w:sz w:val="24"/>
          <w:highlight w:val="none"/>
        </w:rPr>
        <w:t>个工作日内以书面形式向乙方提出，乙方应自收到甲方书面异议后</w:t>
      </w:r>
      <w:r>
        <w:rPr>
          <w:rFonts w:ascii="宋体" w:hAnsi="宋体" w:cs="宋体"/>
          <w:color w:val="auto"/>
          <w:sz w:val="24"/>
          <w:highlight w:val="none"/>
        </w:rPr>
        <w:t>7</w:t>
      </w:r>
      <w:r>
        <w:rPr>
          <w:rFonts w:hint="eastAsia" w:ascii="宋体" w:hAnsi="宋体" w:cs="宋体"/>
          <w:color w:val="auto"/>
          <w:sz w:val="24"/>
          <w:highlight w:val="none"/>
        </w:rPr>
        <w:t>日内及时予以解决。</w:t>
      </w:r>
    </w:p>
    <w:p w14:paraId="41BB73FF">
      <w:pPr>
        <w:snapToGrid w:val="0"/>
        <w:spacing w:line="360" w:lineRule="auto"/>
        <w:ind w:left="-61" w:firstLine="514"/>
        <w:rPr>
          <w:rFonts w:ascii="宋体" w:hAnsi="宋体" w:cs="宋体"/>
          <w:color w:val="auto"/>
          <w:sz w:val="24"/>
          <w:highlight w:val="none"/>
        </w:rPr>
      </w:pPr>
      <w:r>
        <w:rPr>
          <w:rFonts w:ascii="宋体" w:hAnsi="宋体" w:cs="宋体"/>
          <w:color w:val="auto"/>
          <w:sz w:val="24"/>
          <w:highlight w:val="none"/>
        </w:rPr>
        <w:t>12.</w:t>
      </w:r>
      <w:r>
        <w:rPr>
          <w:rFonts w:hint="eastAsia" w:ascii="宋体" w:hAnsi="宋体" w:cs="宋体"/>
          <w:color w:val="auto"/>
          <w:sz w:val="24"/>
          <w:highlight w:val="none"/>
        </w:rPr>
        <w:t>验收时乙方必须在现场，验收完毕后作出验收结果报告；验收过程所产生的一切费用均由乙方承担。</w:t>
      </w:r>
    </w:p>
    <w:p w14:paraId="4AD97812">
      <w:pPr>
        <w:snapToGrid w:val="0"/>
        <w:spacing w:line="360" w:lineRule="auto"/>
        <w:ind w:left="-61" w:firstLine="514"/>
        <w:rPr>
          <w:rFonts w:hAnsi="宋体" w:cs="宋体"/>
          <w:color w:val="auto"/>
          <w:sz w:val="24"/>
          <w:highlight w:val="none"/>
        </w:rPr>
      </w:pPr>
      <w:r>
        <w:rPr>
          <w:rFonts w:ascii="宋体" w:hAnsi="宋体" w:cs="宋体"/>
          <w:color w:val="auto"/>
          <w:sz w:val="24"/>
          <w:highlight w:val="none"/>
        </w:rPr>
        <w:t>13.</w:t>
      </w:r>
      <w:r>
        <w:rPr>
          <w:rFonts w:hint="eastAsia" w:ascii="宋体" w:hAnsi="宋体" w:cs="宋体"/>
          <w:color w:val="auto"/>
          <w:sz w:val="24"/>
          <w:highlight w:val="none"/>
        </w:rPr>
        <w:t>货物在验收合同交付甲方前发生的风险均由乙方负责。</w:t>
      </w:r>
    </w:p>
    <w:p w14:paraId="462BABB4">
      <w:pPr>
        <w:pStyle w:val="10"/>
        <w:ind w:firstLine="480" w:firstLineChars="200"/>
        <w:rPr>
          <w:color w:val="auto"/>
          <w:highlight w:val="none"/>
        </w:rPr>
      </w:pPr>
      <w:r>
        <w:rPr>
          <w:rFonts w:ascii="宋体" w:hAnsi="宋体" w:cs="宋体"/>
          <w:color w:val="auto"/>
          <w:sz w:val="24"/>
          <w:highlight w:val="none"/>
        </w:rPr>
        <w:t>14.</w:t>
      </w:r>
      <w:r>
        <w:rPr>
          <w:rFonts w:hint="eastAsia" w:ascii="宋体" w:hAnsi="宋体" w:cs="宋体"/>
          <w:color w:val="auto"/>
          <w:sz w:val="24"/>
          <w:highlight w:val="none"/>
        </w:rPr>
        <w:t>本合同的验收条款与采购需求商务条款中的货物验收条款互为补充。</w:t>
      </w:r>
    </w:p>
    <w:p w14:paraId="2C64C913">
      <w:pPr>
        <w:snapToGrid w:val="0"/>
        <w:spacing w:line="360" w:lineRule="auto"/>
        <w:ind w:left="-61" w:firstLine="514"/>
        <w:rPr>
          <w:rFonts w:ascii="宋体" w:hAnsi="宋体" w:cs="宋体"/>
          <w:b/>
          <w:color w:val="auto"/>
          <w:sz w:val="24"/>
          <w:highlight w:val="none"/>
        </w:rPr>
      </w:pPr>
      <w:r>
        <w:rPr>
          <w:rFonts w:hint="eastAsia" w:ascii="宋体" w:hAnsi="宋体" w:cs="宋体"/>
          <w:b/>
          <w:color w:val="auto"/>
          <w:sz w:val="24"/>
          <w:highlight w:val="none"/>
        </w:rPr>
        <w:t>第七条　付款方式</w:t>
      </w:r>
    </w:p>
    <w:p w14:paraId="394B49AB">
      <w:pPr>
        <w:widowControl/>
        <w:spacing w:line="400" w:lineRule="exact"/>
        <w:ind w:firstLine="420" w:firstLineChars="200"/>
        <w:textAlignment w:val="center"/>
        <w:rPr>
          <w:rFonts w:hint="eastAsia"/>
          <w:color w:val="auto"/>
          <w:highlight w:val="none"/>
        </w:rPr>
      </w:pPr>
      <w:r>
        <w:rPr>
          <w:rFonts w:hint="eastAsia"/>
          <w:color w:val="auto"/>
          <w:highlight w:val="none"/>
        </w:rPr>
        <w:t>（1）签订合同后十个工作日内，甲方支付乙方合同总金额的</w:t>
      </w:r>
      <w:r>
        <w:rPr>
          <w:rFonts w:hint="default"/>
          <w:color w:val="auto"/>
          <w:highlight w:val="none"/>
          <w:lang w:val="en-US"/>
        </w:rPr>
        <w:t>3</w:t>
      </w:r>
      <w:r>
        <w:rPr>
          <w:rFonts w:hint="eastAsia"/>
          <w:color w:val="auto"/>
          <w:highlight w:val="none"/>
        </w:rPr>
        <w:t>0%（金额：元）做为预付款。</w:t>
      </w:r>
    </w:p>
    <w:p w14:paraId="7E0E3413">
      <w:pPr>
        <w:widowControl/>
        <w:spacing w:line="400" w:lineRule="exact"/>
        <w:ind w:firstLine="420" w:firstLineChars="200"/>
        <w:textAlignment w:val="center"/>
        <w:rPr>
          <w:rFonts w:hint="eastAsia"/>
          <w:color w:val="auto"/>
          <w:highlight w:val="none"/>
        </w:rPr>
      </w:pPr>
      <w:r>
        <w:rPr>
          <w:rFonts w:hint="eastAsia"/>
          <w:color w:val="auto"/>
          <w:highlight w:val="none"/>
        </w:rPr>
        <w:t>（2）提交服务成果验收合格后，在10个工作日内，支付剩余总金额的</w:t>
      </w:r>
      <w:r>
        <w:rPr>
          <w:rFonts w:hint="default"/>
          <w:color w:val="auto"/>
          <w:highlight w:val="none"/>
          <w:lang w:val="en-US"/>
        </w:rPr>
        <w:t>7</w:t>
      </w:r>
      <w:r>
        <w:rPr>
          <w:rFonts w:hint="eastAsia"/>
          <w:color w:val="auto"/>
          <w:highlight w:val="none"/>
        </w:rPr>
        <w:t>0%（金额：元）。</w:t>
      </w:r>
    </w:p>
    <w:p w14:paraId="5B8D76B8">
      <w:pPr>
        <w:snapToGrid w:val="0"/>
        <w:spacing w:line="360" w:lineRule="auto"/>
        <w:ind w:left="0" w:firstLine="420" w:firstLineChars="200"/>
        <w:rPr>
          <w:color w:val="auto"/>
          <w:highlight w:val="none"/>
        </w:rPr>
      </w:pPr>
      <w:r>
        <w:rPr>
          <w:rFonts w:hint="eastAsia"/>
          <w:color w:val="auto"/>
          <w:highlight w:val="none"/>
        </w:rPr>
        <w:t>（3）乙方在申请款项时，应按国家相关规定向甲方开具相应金额的正式发票，乙方逾期提供发票的，甲方有权延期付款且不视为违约。</w:t>
      </w:r>
    </w:p>
    <w:p w14:paraId="04D22A53">
      <w:pPr>
        <w:snapToGrid w:val="0"/>
        <w:spacing w:line="4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第八条　履约保证金</w:t>
      </w:r>
    </w:p>
    <w:p w14:paraId="084BB700">
      <w:pPr>
        <w:widowControl/>
        <w:spacing w:line="40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1.成交人于合同签订前按成交金额的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5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%(金额：元)</w:t>
      </w:r>
      <w:r>
        <w:rPr>
          <w:rFonts w:hint="eastAsia" w:ascii="宋体" w:hAnsi="宋体" w:cs="宋体"/>
          <w:color w:val="auto"/>
          <w:szCs w:val="21"/>
          <w:highlight w:val="none"/>
        </w:rPr>
        <w:t>成交通知书发出</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个工作日内，成交供应商须向采购人提交履约保证金。成交供应商不按时交纳履约保证金，视为成交供应商自行放弃成交资格。</w:t>
      </w:r>
      <w:r>
        <w:rPr>
          <w:rFonts w:hint="eastAsia" w:ascii="宋体" w:hAnsi="宋体" w:cs="宋体"/>
          <w:color w:val="auto"/>
          <w:szCs w:val="21"/>
          <w:highlight w:val="none"/>
        </w:rPr>
        <w:t>（若成交供应商被认定为中小企业的，中小企业缴纳数额为成交金额的2%）。</w:t>
      </w:r>
    </w:p>
    <w:p w14:paraId="6B45D61A">
      <w:pPr>
        <w:widowControl/>
        <w:spacing w:line="400" w:lineRule="exact"/>
        <w:ind w:firstLine="420" w:firstLineChars="200"/>
        <w:textAlignment w:val="center"/>
        <w:rPr>
          <w:rFonts w:hint="eastAsia" w:ascii="宋体" w:hAnsi="宋体" w:cs="宋体"/>
          <w:color w:val="auto"/>
          <w:szCs w:val="21"/>
          <w:highlight w:val="none"/>
        </w:rPr>
      </w:pPr>
      <w:r>
        <w:rPr>
          <w:rFonts w:hint="eastAsia" w:ascii="宋体" w:hAnsi="宋体" w:cs="宋体"/>
          <w:color w:val="auto"/>
          <w:szCs w:val="21"/>
          <w:highlight w:val="none"/>
        </w:rPr>
        <w:t>2.递交方式：银行转账、支票、汇票、本票或者金融、担保机构出具的保函等非现金方式。</w:t>
      </w:r>
    </w:p>
    <w:p w14:paraId="5ED67D4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3、履约保证金退付方式、时间及条件：在质保期内乙方提供的服务符合合同约定，质保期满后无质量问题</w:t>
      </w:r>
      <w:r>
        <w:rPr>
          <w:rFonts w:hint="eastAsia" w:ascii="宋体" w:hAnsi="宋体" w:cs="宋体"/>
          <w:color w:val="auto"/>
          <w:szCs w:val="21"/>
          <w:highlight w:val="none"/>
          <w:lang w:val="en-US" w:eastAsia="zh-CN"/>
        </w:rPr>
        <w:t>并按照合同约定完成合同所有服务</w:t>
      </w:r>
      <w:r>
        <w:rPr>
          <w:rFonts w:hint="eastAsia" w:ascii="宋体" w:hAnsi="宋体" w:cs="宋体"/>
          <w:color w:val="auto"/>
          <w:szCs w:val="21"/>
          <w:highlight w:val="none"/>
        </w:rPr>
        <w:t>，乙方向甲方</w:t>
      </w:r>
      <w:r>
        <w:rPr>
          <w:rFonts w:hint="eastAsia" w:ascii="宋体" w:hAnsi="宋体" w:cs="宋体"/>
          <w:color w:val="auto"/>
          <w:szCs w:val="21"/>
          <w:highlight w:val="none"/>
          <w:lang w:val="en-US" w:eastAsia="zh-CN"/>
        </w:rPr>
        <w:t>申请</w:t>
      </w:r>
      <w:r>
        <w:rPr>
          <w:rFonts w:hint="eastAsia" w:ascii="宋体" w:hAnsi="宋体" w:cs="宋体"/>
          <w:color w:val="auto"/>
          <w:szCs w:val="21"/>
          <w:highlight w:val="none"/>
        </w:rPr>
        <w:t>办理退付手续，甲方在收到完整且合格的退付申请资料后15个工作日内以银行转账方式原路退还乙方（不计利息）。涉及违约的违约金和损失赔偿从履约保证金中扣减，履约保证金不足以支付违约金、赔偿损失的，乙方仍应承担相应的违约赔偿责任。</w:t>
      </w:r>
    </w:p>
    <w:p w14:paraId="0F78E54A">
      <w:pPr>
        <w:widowControl/>
        <w:snapToGrid/>
        <w:spacing w:line="400" w:lineRule="exact"/>
        <w:ind w:firstLine="420" w:firstLineChars="200"/>
        <w:textAlignment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、履约保证金指定账户：</w:t>
      </w:r>
    </w:p>
    <w:p w14:paraId="54EF0F6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开户名称：广西信息职业技术学院</w:t>
      </w:r>
    </w:p>
    <w:p w14:paraId="16C27EEA">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开户银行：农业银行南宁青年国际支行</w:t>
      </w:r>
    </w:p>
    <w:p w14:paraId="4B43EC8E">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银行账号：20023301040009198</w:t>
      </w:r>
    </w:p>
    <w:p w14:paraId="37F62BA0">
      <w:pPr>
        <w:spacing w:line="300" w:lineRule="exact"/>
        <w:ind w:firstLine="422" w:firstLineChars="200"/>
        <w:jc w:val="left"/>
        <w:rPr>
          <w:rFonts w:hint="default" w:ascii="宋体" w:hAnsi="宋体" w:eastAsia="宋体"/>
          <w:color w:val="auto"/>
          <w:szCs w:val="21"/>
          <w:highlight w:val="none"/>
          <w:u w:val="single"/>
          <w:lang w:val="en-US" w:eastAsia="zh-CN"/>
        </w:rPr>
      </w:pPr>
      <w:r>
        <w:rPr>
          <w:rFonts w:hint="eastAsia" w:ascii="宋体" w:hAnsi="宋体" w:cs="宋体"/>
          <w:b/>
          <w:bCs/>
          <w:color w:val="auto"/>
          <w:szCs w:val="21"/>
          <w:highlight w:val="none"/>
          <w:lang w:val="en-US" w:eastAsia="zh-CN"/>
        </w:rPr>
        <w:t>转账</w:t>
      </w:r>
      <w:r>
        <w:rPr>
          <w:rFonts w:hint="eastAsia" w:ascii="宋体" w:hAnsi="宋体" w:cs="宋体"/>
          <w:b/>
          <w:bCs/>
          <w:color w:val="auto"/>
          <w:szCs w:val="21"/>
          <w:highlight w:val="none"/>
        </w:rPr>
        <w:t>备注</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必填项</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w:t>
      </w:r>
      <w:r>
        <w:rPr>
          <w:rFonts w:hint="eastAsia" w:ascii="宋体" w:hAnsi="宋体" w:cs="Times New Roman"/>
          <w:b w:val="0"/>
          <w:bCs w:val="0"/>
          <w:color w:val="auto"/>
          <w:szCs w:val="21"/>
          <w:highlight w:val="none"/>
          <w:u w:val="single"/>
          <w:lang w:val="en-US" w:eastAsia="zh-CN"/>
        </w:rPr>
        <w:t>xxx</w:t>
      </w:r>
      <w:r>
        <w:rPr>
          <w:rFonts w:hint="eastAsia" w:ascii="宋体" w:hAnsi="宋体" w:cs="Times New Roman"/>
          <w:color w:val="auto"/>
          <w:szCs w:val="21"/>
          <w:highlight w:val="none"/>
          <w:u w:val="single"/>
        </w:rPr>
        <w:t>项</w:t>
      </w:r>
      <w:r>
        <w:rPr>
          <w:rFonts w:hint="eastAsia" w:ascii="宋体" w:hAnsi="宋体"/>
          <w:color w:val="auto"/>
          <w:szCs w:val="21"/>
          <w:highlight w:val="none"/>
          <w:u w:val="single"/>
        </w:rPr>
        <w:t>目</w:t>
      </w:r>
      <w:r>
        <w:rPr>
          <w:rFonts w:hint="eastAsia" w:ascii="宋体" w:hAnsi="宋体"/>
          <w:color w:val="auto"/>
          <w:szCs w:val="21"/>
          <w:highlight w:val="none"/>
          <w:u w:val="single"/>
          <w:lang w:val="en-US" w:eastAsia="zh-CN"/>
        </w:rPr>
        <w:t>履约保证金</w:t>
      </w:r>
    </w:p>
    <w:p w14:paraId="6DA7AF44">
      <w:pPr>
        <w:snapToGrid w:val="0"/>
        <w:spacing w:line="460" w:lineRule="exact"/>
        <w:ind w:firstLine="514"/>
        <w:rPr>
          <w:rFonts w:ascii="宋体" w:hAnsi="宋体" w:cs="宋体"/>
          <w:b/>
          <w:color w:val="auto"/>
          <w:sz w:val="24"/>
          <w:highlight w:val="none"/>
        </w:rPr>
      </w:pPr>
      <w:r>
        <w:rPr>
          <w:rFonts w:hint="eastAsia" w:ascii="宋体" w:hAnsi="宋体" w:cs="宋体"/>
          <w:b/>
          <w:color w:val="auto"/>
          <w:sz w:val="24"/>
          <w:highlight w:val="none"/>
        </w:rPr>
        <w:t>第九条  税费</w:t>
      </w:r>
    </w:p>
    <w:p w14:paraId="3289F74A">
      <w:pPr>
        <w:snapToGrid w:val="0"/>
        <w:spacing w:line="460" w:lineRule="exact"/>
        <w:ind w:firstLine="514"/>
        <w:rPr>
          <w:rFonts w:ascii="宋体" w:hAnsi="宋体" w:cs="宋体"/>
          <w:color w:val="auto"/>
          <w:sz w:val="24"/>
          <w:highlight w:val="none"/>
        </w:rPr>
      </w:pPr>
      <w:r>
        <w:rPr>
          <w:rFonts w:hint="eastAsia" w:ascii="宋体" w:hAnsi="宋体" w:cs="宋体"/>
          <w:color w:val="auto"/>
          <w:sz w:val="24"/>
          <w:highlight w:val="none"/>
        </w:rPr>
        <w:t>本合同执行中相关的一切税费均由乙方负担，合同另有约定的除外。合同执行期间税费发生变化的，由乙方承担。</w:t>
      </w:r>
    </w:p>
    <w:p w14:paraId="4BA1D3A4">
      <w:pPr>
        <w:snapToGrid w:val="0"/>
        <w:spacing w:line="460" w:lineRule="exact"/>
        <w:ind w:firstLine="514"/>
        <w:rPr>
          <w:rFonts w:ascii="宋体" w:hAnsi="宋体" w:cs="宋体"/>
          <w:color w:val="auto"/>
          <w:sz w:val="24"/>
          <w:highlight w:val="none"/>
        </w:rPr>
      </w:pPr>
      <w:r>
        <w:rPr>
          <w:rFonts w:hint="eastAsia" w:ascii="宋体" w:hAnsi="宋体" w:cs="宋体"/>
          <w:b/>
          <w:color w:val="auto"/>
          <w:sz w:val="24"/>
          <w:highlight w:val="none"/>
        </w:rPr>
        <w:t>第十条  质量保证、售后服务</w:t>
      </w:r>
    </w:p>
    <w:p w14:paraId="1B01A556">
      <w:pPr>
        <w:snapToGrid w:val="0"/>
        <w:spacing w:line="460" w:lineRule="exact"/>
        <w:ind w:firstLine="480" w:firstLineChars="200"/>
        <w:rPr>
          <w:rFonts w:ascii="宋体" w:hAnsi="宋体" w:cs="宋体"/>
          <w:bCs/>
          <w:color w:val="auto"/>
          <w:kern w:val="0"/>
          <w:sz w:val="24"/>
          <w:highlight w:val="none"/>
        </w:rPr>
      </w:pPr>
      <w:r>
        <w:rPr>
          <w:rFonts w:hint="eastAsia" w:hAnsi="宋体" w:cs="宋体"/>
          <w:color w:val="auto"/>
          <w:sz w:val="24"/>
          <w:highlight w:val="none"/>
        </w:rPr>
        <w:t>1</w:t>
      </w:r>
      <w:r>
        <w:rPr>
          <w:rFonts w:hint="eastAsia" w:ascii="宋体" w:hAnsi="宋体" w:cs="宋体"/>
          <w:bCs/>
          <w:color w:val="auto"/>
          <w:kern w:val="0"/>
          <w:sz w:val="24"/>
          <w:highlight w:val="none"/>
        </w:rPr>
        <w:t>.乙方应按照国家有关法律法规和“三包”规定以及采购文件要求、响应文件承诺和本合同所附的《售后服务承诺》，为甲方提供售后服务。</w:t>
      </w:r>
    </w:p>
    <w:p w14:paraId="689FCAE4">
      <w:pPr>
        <w:snapToGrid w:val="0"/>
        <w:spacing w:line="46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2.乙方应按采购文件规定的设备和软件性能、技术要求、质量标准向甲方提供未经使用的全新产品。对达不到要求者，根据实际情况，经双方协商，可按以下办法处理：</w:t>
      </w:r>
    </w:p>
    <w:p w14:paraId="5F61C41B">
      <w:pPr>
        <w:snapToGrid w:val="0"/>
        <w:spacing w:line="46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（1）更换：由乙方承担所发生的全部费用。</w:t>
      </w:r>
    </w:p>
    <w:p w14:paraId="6DF2F8FB">
      <w:pPr>
        <w:snapToGrid w:val="0"/>
        <w:spacing w:line="46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（2）贬值处理：由甲乙双方合议定价。</w:t>
      </w:r>
    </w:p>
    <w:p w14:paraId="3F78A246">
      <w:pPr>
        <w:snapToGrid w:val="0"/>
        <w:spacing w:line="46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（3）退货处理：乙方应退还甲方支付的合同款，同时应承担该货物的直接费用（运输、保险、检验、货款利息及银行手续费等）。</w:t>
      </w:r>
    </w:p>
    <w:p w14:paraId="33D32129">
      <w:pPr>
        <w:snapToGrid w:val="0"/>
        <w:spacing w:line="460" w:lineRule="exact"/>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如果双方不能就上述第（1）、（2）项达成协议，则甲方有权单方选择第（3）项方式。</w:t>
      </w:r>
    </w:p>
    <w:p w14:paraId="456E8412">
      <w:pPr>
        <w:snapToGrid w:val="0"/>
        <w:spacing w:line="460" w:lineRule="exact"/>
        <w:ind w:firstLine="480" w:firstLineChars="200"/>
        <w:rPr>
          <w:rFonts w:ascii="宋体" w:hAnsi="宋体" w:cs="宋体"/>
          <w:bCs/>
          <w:color w:val="auto"/>
          <w:kern w:val="0"/>
          <w:sz w:val="24"/>
          <w:highlight w:val="none"/>
        </w:rPr>
      </w:pPr>
      <w:r>
        <w:rPr>
          <w:rFonts w:ascii="宋体" w:hAnsi="宋体" w:cs="宋体"/>
          <w:bCs/>
          <w:color w:val="auto"/>
          <w:kern w:val="0"/>
          <w:sz w:val="24"/>
          <w:highlight w:val="none"/>
        </w:rPr>
        <w:t>3</w:t>
      </w:r>
      <w:r>
        <w:rPr>
          <w:rFonts w:hint="eastAsia" w:ascii="宋体" w:hAnsi="宋体" w:cs="宋体"/>
          <w:bCs/>
          <w:color w:val="auto"/>
          <w:kern w:val="0"/>
          <w:sz w:val="24"/>
          <w:highlight w:val="none"/>
        </w:rPr>
        <w:t>.乙方提供的服务承诺和售后服务及质量保证期责任等其他具体约定事项（见合同附件）。</w:t>
      </w:r>
    </w:p>
    <w:p w14:paraId="4071C132">
      <w:pPr>
        <w:snapToGrid w:val="0"/>
        <w:spacing w:line="460" w:lineRule="exact"/>
        <w:ind w:firstLine="480" w:firstLineChars="200"/>
        <w:rPr>
          <w:rFonts w:ascii="宋体" w:hAnsi="宋体" w:cs="宋体"/>
          <w:bCs/>
          <w:color w:val="auto"/>
          <w:kern w:val="0"/>
          <w:sz w:val="24"/>
          <w:highlight w:val="none"/>
        </w:rPr>
      </w:pPr>
      <w:r>
        <w:rPr>
          <w:rFonts w:hAnsi="宋体" w:cs="宋体"/>
          <w:color w:val="auto"/>
          <w:sz w:val="24"/>
          <w:highlight w:val="none"/>
        </w:rPr>
        <w:t>4</w:t>
      </w:r>
      <w:r>
        <w:rPr>
          <w:rFonts w:hint="eastAsia" w:ascii="宋体" w:hAnsi="宋体" w:cs="宋体"/>
          <w:bCs/>
          <w:color w:val="auto"/>
          <w:kern w:val="0"/>
          <w:sz w:val="24"/>
          <w:highlight w:val="none"/>
        </w:rPr>
        <w:t>.乙方除承担运输、安装、调试、验收与培训等义务外，还将为甲方提供技术支持，包括质量保证期外的技术指导。</w:t>
      </w:r>
    </w:p>
    <w:p w14:paraId="1727AFD5">
      <w:pPr>
        <w:snapToGrid w:val="0"/>
        <w:spacing w:line="460" w:lineRule="exact"/>
        <w:ind w:firstLine="480" w:firstLineChars="200"/>
        <w:rPr>
          <w:rFonts w:ascii="宋体" w:hAnsi="宋体" w:cs="宋体"/>
          <w:bCs/>
          <w:color w:val="auto"/>
          <w:kern w:val="0"/>
          <w:sz w:val="24"/>
          <w:highlight w:val="none"/>
        </w:rPr>
      </w:pPr>
      <w:r>
        <w:rPr>
          <w:rFonts w:hAnsi="宋体" w:cs="宋体"/>
          <w:color w:val="auto"/>
          <w:sz w:val="24"/>
          <w:highlight w:val="none"/>
        </w:rPr>
        <w:t>5</w:t>
      </w:r>
      <w:r>
        <w:rPr>
          <w:rFonts w:hint="eastAsia" w:ascii="宋体" w:hAnsi="宋体" w:cs="宋体"/>
          <w:bCs/>
          <w:color w:val="auto"/>
          <w:kern w:val="0"/>
          <w:sz w:val="24"/>
          <w:highlight w:val="none"/>
        </w:rPr>
        <w:t>.在质保期内，乙方应对货物出现的质量及安全问题负责处理解决并承担一切费用。</w:t>
      </w:r>
    </w:p>
    <w:p w14:paraId="396E2597">
      <w:pPr>
        <w:snapToGrid w:val="0"/>
        <w:spacing w:line="460" w:lineRule="exact"/>
        <w:ind w:firstLine="480" w:firstLineChars="200"/>
        <w:rPr>
          <w:rFonts w:ascii="宋体" w:hAnsi="宋体" w:cs="宋体"/>
          <w:bCs/>
          <w:color w:val="auto"/>
          <w:kern w:val="0"/>
          <w:sz w:val="24"/>
          <w:highlight w:val="none"/>
        </w:rPr>
      </w:pPr>
      <w:r>
        <w:rPr>
          <w:rFonts w:hAnsi="宋体" w:cs="宋体"/>
          <w:color w:val="auto"/>
          <w:sz w:val="24"/>
          <w:highlight w:val="none"/>
        </w:rPr>
        <w:t>6</w:t>
      </w:r>
      <w:r>
        <w:rPr>
          <w:rFonts w:hint="eastAsia" w:ascii="宋体" w:hAnsi="宋体" w:cs="宋体"/>
          <w:bCs/>
          <w:color w:val="auto"/>
          <w:kern w:val="0"/>
          <w:sz w:val="24"/>
          <w:highlight w:val="none"/>
        </w:rPr>
        <w:t>.超过质量保证期的机器设备，终身维修，维修时只收部件成本费。</w:t>
      </w:r>
    </w:p>
    <w:p w14:paraId="3E19FC18">
      <w:pPr>
        <w:snapToGrid w:val="0"/>
        <w:spacing w:line="460" w:lineRule="exact"/>
        <w:ind w:firstLine="480" w:firstLineChars="200"/>
        <w:rPr>
          <w:rFonts w:ascii="宋体" w:hAnsi="宋体" w:cs="宋体"/>
          <w:color w:val="auto"/>
          <w:sz w:val="24"/>
          <w:highlight w:val="none"/>
        </w:rPr>
      </w:pPr>
      <w:r>
        <w:rPr>
          <w:rFonts w:hAnsi="宋体" w:cs="宋体"/>
          <w:color w:val="auto"/>
          <w:sz w:val="24"/>
          <w:highlight w:val="none"/>
        </w:rPr>
        <w:t>7</w:t>
      </w:r>
      <w:r>
        <w:rPr>
          <w:rFonts w:hint="eastAsia" w:ascii="宋体" w:hAnsi="宋体" w:cs="宋体"/>
          <w:bCs/>
          <w:color w:val="auto"/>
          <w:kern w:val="0"/>
          <w:sz w:val="24"/>
          <w:highlight w:val="none"/>
        </w:rPr>
        <w:t>.货物质量保证期：</w:t>
      </w:r>
      <w:r>
        <w:rPr>
          <w:rFonts w:hint="eastAsia" w:ascii="宋体" w:hAnsi="宋体" w:cs="宋体"/>
          <w:color w:val="auto"/>
          <w:sz w:val="24"/>
          <w:highlight w:val="none"/>
          <w:u w:val="single"/>
        </w:rPr>
        <w:t>按国家有关产品“三包”规定执行“三包”，质量保证期不少于</w:t>
      </w:r>
      <w:r>
        <w:rPr>
          <w:rFonts w:ascii="宋体" w:hAnsi="宋体" w:cs="宋体"/>
          <w:color w:val="auto"/>
          <w:sz w:val="24"/>
          <w:highlight w:val="none"/>
          <w:u w:val="single"/>
        </w:rPr>
        <w:t>*</w:t>
      </w:r>
      <w:r>
        <w:rPr>
          <w:rFonts w:hint="eastAsia" w:ascii="宋体" w:hAnsi="宋体" w:cs="宋体"/>
          <w:color w:val="auto"/>
          <w:sz w:val="24"/>
          <w:highlight w:val="none"/>
          <w:u w:val="single"/>
        </w:rPr>
        <w:t>年（质量保证期自货物验收合格之日起计。分项货物或配置有明确要求的按分项要求；生产厂家承诺的</w:t>
      </w:r>
      <w:r>
        <w:rPr>
          <w:rFonts w:hint="eastAsia" w:ascii="宋体" w:hAnsi="宋体" w:cs="宋体"/>
          <w:bCs/>
          <w:color w:val="auto"/>
          <w:kern w:val="0"/>
          <w:sz w:val="24"/>
          <w:highlight w:val="none"/>
          <w:u w:val="single"/>
        </w:rPr>
        <w:t>质量保证期</w:t>
      </w:r>
      <w:r>
        <w:rPr>
          <w:rFonts w:hint="eastAsia" w:ascii="宋体" w:hAnsi="宋体" w:cs="宋体"/>
          <w:color w:val="auto"/>
          <w:sz w:val="24"/>
          <w:highlight w:val="none"/>
          <w:u w:val="single"/>
        </w:rPr>
        <w:t>更长的按生产厂家的承诺；</w:t>
      </w:r>
      <w:r>
        <w:rPr>
          <w:rFonts w:hint="eastAsia" w:ascii="宋体" w:hAnsi="宋体" w:cs="宋体"/>
          <w:bCs/>
          <w:color w:val="auto"/>
          <w:kern w:val="0"/>
          <w:sz w:val="24"/>
          <w:highlight w:val="none"/>
          <w:u w:val="single"/>
        </w:rPr>
        <w:t>乙方响应文件承诺更优的，以乙方响应文件承诺为准</w:t>
      </w:r>
      <w:r>
        <w:rPr>
          <w:rFonts w:hint="eastAsia" w:ascii="宋体" w:hAnsi="宋体" w:cs="宋体"/>
          <w:color w:val="auto"/>
          <w:sz w:val="24"/>
          <w:highlight w:val="none"/>
          <w:u w:val="single"/>
        </w:rPr>
        <w:t>）</w:t>
      </w:r>
      <w:r>
        <w:rPr>
          <w:rFonts w:hint="eastAsia" w:ascii="宋体" w:hAnsi="宋体" w:cs="宋体"/>
          <w:bCs/>
          <w:color w:val="auto"/>
          <w:kern w:val="0"/>
          <w:sz w:val="24"/>
          <w:highlight w:val="none"/>
          <w:u w:val="single"/>
        </w:rPr>
        <w:t>。</w:t>
      </w:r>
    </w:p>
    <w:p w14:paraId="4EAEAC5A">
      <w:pPr>
        <w:snapToGrid w:val="0"/>
        <w:spacing w:line="4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第十一条　违约责任</w:t>
      </w:r>
    </w:p>
    <w:p w14:paraId="36E04710">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1.乙方所提供的产品名称、商标品牌、生产厂家、规格型号、技术参数等质量不合格的，应及时更换，更换不及时的按逾期交货处理；因质量问题甲方不同意接收的或者特殊情况甲方同意接收的，乙方应按</w:t>
      </w:r>
      <w:r>
        <w:rPr>
          <w:rFonts w:hint="eastAsia" w:hAnsi="宋体" w:cs="宋体"/>
          <w:color w:val="auto"/>
          <w:sz w:val="24"/>
          <w:szCs w:val="24"/>
          <w:highlight w:val="none"/>
          <w:lang w:val="en-US" w:eastAsia="zh-CN"/>
        </w:rPr>
        <w:t>合同金</w:t>
      </w:r>
      <w:r>
        <w:rPr>
          <w:rFonts w:hint="eastAsia" w:hAnsi="宋体" w:cs="宋体"/>
          <w:color w:val="auto"/>
          <w:sz w:val="24"/>
          <w:szCs w:val="24"/>
          <w:highlight w:val="none"/>
        </w:rPr>
        <w:t>额</w:t>
      </w:r>
      <w:r>
        <w:rPr>
          <w:rFonts w:hint="eastAsia" w:hAnsi="宋体" w:cs="宋体"/>
          <w:color w:val="auto"/>
          <w:sz w:val="24"/>
          <w:szCs w:val="24"/>
          <w:highlight w:val="none"/>
          <w:lang w:val="en-US" w:eastAsia="zh-CN"/>
        </w:rPr>
        <w:t>20</w:t>
      </w:r>
      <w:r>
        <w:rPr>
          <w:rFonts w:hint="eastAsia" w:hAnsi="宋体" w:cs="宋体"/>
          <w:color w:val="auto"/>
          <w:sz w:val="24"/>
          <w:szCs w:val="24"/>
          <w:highlight w:val="none"/>
        </w:rPr>
        <w:t xml:space="preserve">%向甲方支付违约金并赔偿甲方经济损失。                                       </w:t>
      </w:r>
    </w:p>
    <w:p w14:paraId="6F8FE7B8">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2.乙方提供的货物如侵犯了第三方合法权益而引发的任何纠纷或者诉讼，均由乙方负责交涉并承担全部责任</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包括但不限于赔偿甲方因参与诉讼产生的诉讼费、律师费、保函保险费等</w:t>
      </w:r>
      <w:r>
        <w:rPr>
          <w:rFonts w:hint="eastAsia" w:hAnsi="宋体" w:cs="宋体"/>
          <w:color w:val="auto"/>
          <w:sz w:val="24"/>
          <w:szCs w:val="24"/>
          <w:highlight w:val="none"/>
          <w:lang w:eastAsia="zh-CN"/>
        </w:rPr>
        <w:t>）</w:t>
      </w:r>
      <w:r>
        <w:rPr>
          <w:rFonts w:hint="eastAsia" w:hAnsi="宋体" w:cs="宋体"/>
          <w:color w:val="auto"/>
          <w:sz w:val="24"/>
          <w:szCs w:val="24"/>
          <w:highlight w:val="none"/>
        </w:rPr>
        <w:t>。</w:t>
      </w:r>
    </w:p>
    <w:p w14:paraId="48C67740">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3.因包装、运输引起的货物损坏，按质量不合格处理。</w:t>
      </w:r>
    </w:p>
    <w:p w14:paraId="610D71D6">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4.合同一方不履行合同义务、履行合同义务不符合约定或者违反合同项下所作保证的，应向对方承担继续履行、采取修理、更换、退货等补救措施或者赔偿损失等违约责任。</w:t>
      </w:r>
    </w:p>
    <w:p w14:paraId="1C02ED3E">
      <w:pPr>
        <w:pStyle w:val="14"/>
        <w:snapToGrid w:val="0"/>
        <w:spacing w:line="460" w:lineRule="exact"/>
        <w:ind w:firstLine="470" w:firstLineChars="196"/>
        <w:rPr>
          <w:rFonts w:hint="default" w:hAnsi="宋体" w:eastAsia="宋体" w:cs="宋体"/>
          <w:color w:val="auto"/>
          <w:sz w:val="24"/>
          <w:szCs w:val="24"/>
          <w:highlight w:val="none"/>
          <w:lang w:val="en-US" w:eastAsia="zh-CN"/>
        </w:rPr>
      </w:pPr>
      <w:r>
        <w:rPr>
          <w:rFonts w:hint="eastAsia" w:hAnsi="宋体" w:cs="宋体"/>
          <w:color w:val="auto"/>
          <w:sz w:val="24"/>
          <w:szCs w:val="24"/>
          <w:highlight w:val="none"/>
        </w:rPr>
        <w:t>5.乙方未能按时交付货物的，应向甲方支付迟延交付违约金。迟延交付违约金的计算方法如下：</w:t>
      </w:r>
      <w:r>
        <w:rPr>
          <w:rFonts w:hint="eastAsia" w:hAnsi="宋体" w:cs="宋体"/>
          <w:color w:val="auto"/>
          <w:sz w:val="24"/>
          <w:szCs w:val="24"/>
          <w:highlight w:val="none"/>
          <w:lang w:val="en-US" w:eastAsia="zh-CN"/>
        </w:rPr>
        <w:t>每逾期一日按照合同金额的万分之五支付违约金，逾期超过30日的，甲方有权单方解除合同并由乙方按照合同金额的20%支付违约金，并赔偿甲方的损失。</w:t>
      </w:r>
    </w:p>
    <w:p w14:paraId="6BC5A7C7">
      <w:pPr>
        <w:pStyle w:val="14"/>
        <w:snapToGrid w:val="0"/>
        <w:spacing w:line="460" w:lineRule="exact"/>
        <w:ind w:firstLine="470" w:firstLineChars="196"/>
        <w:rPr>
          <w:rFonts w:hint="default" w:hAnsi="宋体" w:eastAsia="宋体" w:cs="宋体"/>
          <w:color w:val="auto"/>
          <w:sz w:val="24"/>
          <w:szCs w:val="24"/>
          <w:highlight w:val="none"/>
          <w:lang w:val="en-US" w:eastAsia="zh-CN"/>
        </w:rPr>
      </w:pPr>
      <w:r>
        <w:rPr>
          <w:rFonts w:hint="eastAsia" w:hAnsi="宋体" w:cs="宋体"/>
          <w:color w:val="auto"/>
          <w:sz w:val="24"/>
          <w:szCs w:val="24"/>
          <w:highlight w:val="none"/>
        </w:rPr>
        <w:t>6.甲方未能按合同约定支付合同价款的，应向乙方支付延迟付款违约金。迟延付款违约金的计算方法如下：</w:t>
      </w:r>
      <w:r>
        <w:rPr>
          <w:rFonts w:hint="eastAsia" w:hAnsi="宋体" w:cs="宋体"/>
          <w:color w:val="auto"/>
          <w:sz w:val="24"/>
          <w:szCs w:val="24"/>
          <w:highlight w:val="none"/>
          <w:lang w:val="en-US" w:eastAsia="zh-CN"/>
        </w:rPr>
        <w:t>每逾期一日按照应付未付金额的万分之五支付违约金。</w:t>
      </w:r>
    </w:p>
    <w:p w14:paraId="5017555E">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7.乙方未按本合同和响应文件承诺提供售后服务的，乙方应按本合同总价的</w:t>
      </w:r>
      <w:r>
        <w:rPr>
          <w:rFonts w:hint="eastAsia" w:hAnsi="宋体" w:cs="宋体"/>
          <w:color w:val="auto"/>
          <w:sz w:val="24"/>
          <w:szCs w:val="24"/>
          <w:highlight w:val="none"/>
          <w:lang w:val="en-US" w:eastAsia="zh-CN"/>
        </w:rPr>
        <w:t>10</w:t>
      </w:r>
      <w:r>
        <w:rPr>
          <w:rFonts w:hint="eastAsia" w:hAnsi="宋体" w:cs="宋体"/>
          <w:color w:val="auto"/>
          <w:sz w:val="24"/>
          <w:szCs w:val="24"/>
          <w:highlight w:val="none"/>
        </w:rPr>
        <w:t>%向甲方支付违约金。</w:t>
      </w:r>
    </w:p>
    <w:p w14:paraId="780A552C">
      <w:pPr>
        <w:pStyle w:val="14"/>
        <w:snapToGrid w:val="0"/>
        <w:spacing w:line="440" w:lineRule="exact"/>
        <w:ind w:firstLine="480" w:firstLineChars="200"/>
        <w:rPr>
          <w:rFonts w:cs="宋体"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8.</w:t>
      </w:r>
      <w:r>
        <w:rPr>
          <w:rFonts w:hint="eastAsia" w:asciiTheme="minorEastAsia" w:hAnsiTheme="minorEastAsia" w:eastAsiaTheme="minorEastAsia"/>
          <w:color w:val="auto"/>
          <w:sz w:val="24"/>
          <w:szCs w:val="24"/>
          <w:highlight w:val="none"/>
        </w:rPr>
        <w:t>乙方违约</w:t>
      </w:r>
      <w:r>
        <w:rPr>
          <w:rFonts w:hint="eastAsia" w:asciiTheme="minorEastAsia" w:hAnsiTheme="minorEastAsia" w:eastAsiaTheme="minorEastAsia"/>
          <w:color w:val="auto"/>
          <w:sz w:val="24"/>
          <w:szCs w:val="24"/>
          <w:highlight w:val="none"/>
          <w:lang w:val="en-US" w:eastAsia="zh-CN"/>
        </w:rPr>
        <w:t>导致甲方无法实现合同目的的</w:t>
      </w:r>
      <w:r>
        <w:rPr>
          <w:rFonts w:hint="eastAsia" w:asciiTheme="minorEastAsia" w:hAnsiTheme="minorEastAsia" w:eastAsiaTheme="minorEastAsia"/>
          <w:color w:val="auto"/>
          <w:sz w:val="24"/>
          <w:szCs w:val="24"/>
          <w:highlight w:val="none"/>
        </w:rPr>
        <w:t>，甲方对本合同享有单方解除权。</w:t>
      </w:r>
    </w:p>
    <w:p w14:paraId="482AD240">
      <w:pPr>
        <w:pStyle w:val="14"/>
        <w:snapToGrid w:val="0"/>
        <w:spacing w:line="440" w:lineRule="exact"/>
        <w:ind w:firstLine="480" w:firstLineChars="200"/>
        <w:rPr>
          <w:rFonts w:cs="宋体" w:asciiTheme="minorEastAsia" w:hAnsiTheme="minorEastAsia" w:eastAsiaTheme="minorEastAsia"/>
          <w:color w:val="auto"/>
          <w:sz w:val="24"/>
          <w:szCs w:val="24"/>
          <w:highlight w:val="none"/>
        </w:rPr>
      </w:pPr>
      <w:r>
        <w:rPr>
          <w:rFonts w:cs="宋体" w:asciiTheme="minorEastAsia" w:hAnsiTheme="minorEastAsia" w:eastAsiaTheme="minorEastAsia"/>
          <w:color w:val="auto"/>
          <w:sz w:val="24"/>
          <w:szCs w:val="24"/>
          <w:highlight w:val="none"/>
        </w:rPr>
        <w:t>9</w:t>
      </w:r>
      <w:r>
        <w:rPr>
          <w:rFonts w:hint="eastAsia" w:cs="宋体" w:asciiTheme="minorEastAsia" w:hAnsiTheme="minorEastAsia" w:eastAsiaTheme="minorEastAsia"/>
          <w:color w:val="auto"/>
          <w:sz w:val="24"/>
          <w:szCs w:val="24"/>
          <w:highlight w:val="none"/>
        </w:rPr>
        <w:t>.因某一方</w:t>
      </w:r>
      <w:r>
        <w:rPr>
          <w:rFonts w:hint="eastAsia" w:asciiTheme="minorEastAsia" w:hAnsiTheme="minorEastAsia" w:eastAsiaTheme="minorEastAsia"/>
          <w:bCs/>
          <w:color w:val="auto"/>
          <w:sz w:val="24"/>
          <w:highlight w:val="none"/>
          <w:shd w:val="clear" w:color="auto" w:fill="FFFFFF"/>
        </w:rPr>
        <w:t>单方面</w:t>
      </w:r>
      <w:r>
        <w:rPr>
          <w:rFonts w:hint="eastAsia" w:cs="宋体" w:asciiTheme="minorEastAsia" w:hAnsiTheme="minorEastAsia" w:eastAsiaTheme="minorEastAsia"/>
          <w:color w:val="auto"/>
          <w:sz w:val="24"/>
          <w:szCs w:val="24"/>
          <w:highlight w:val="none"/>
        </w:rPr>
        <w:t>原因导致变更、中止或者终止</w:t>
      </w:r>
      <w:bookmarkStart w:id="37" w:name="_Hlk123747227"/>
      <w:r>
        <w:rPr>
          <w:rFonts w:hint="eastAsia" w:asciiTheme="minorEastAsia" w:hAnsiTheme="minorEastAsia" w:eastAsiaTheme="minorEastAsia"/>
          <w:bCs/>
          <w:color w:val="auto"/>
          <w:sz w:val="24"/>
          <w:highlight w:val="none"/>
          <w:shd w:val="clear" w:color="auto" w:fill="FFFFFF"/>
        </w:rPr>
        <w:t>本</w:t>
      </w:r>
      <w:bookmarkEnd w:id="37"/>
      <w:r>
        <w:rPr>
          <w:rFonts w:hint="eastAsia" w:cs="宋体" w:asciiTheme="minorEastAsia" w:hAnsiTheme="minorEastAsia" w:eastAsiaTheme="minorEastAsia"/>
          <w:color w:val="auto"/>
          <w:sz w:val="24"/>
          <w:szCs w:val="24"/>
          <w:highlight w:val="none"/>
        </w:rPr>
        <w:t>合同的，该方应当对另一方</w:t>
      </w:r>
      <w:r>
        <w:rPr>
          <w:rFonts w:hint="eastAsia" w:asciiTheme="minorEastAsia" w:hAnsiTheme="minorEastAsia" w:eastAsiaTheme="minorEastAsia"/>
          <w:bCs/>
          <w:color w:val="auto"/>
          <w:sz w:val="24"/>
          <w:highlight w:val="none"/>
          <w:shd w:val="clear" w:color="auto" w:fill="FFFFFF"/>
        </w:rPr>
        <w:t>因此</w:t>
      </w:r>
      <w:r>
        <w:rPr>
          <w:rFonts w:hint="eastAsia" w:cs="宋体" w:asciiTheme="minorEastAsia" w:hAnsiTheme="minorEastAsia" w:eastAsiaTheme="minorEastAsia"/>
          <w:color w:val="auto"/>
          <w:sz w:val="24"/>
          <w:szCs w:val="24"/>
          <w:highlight w:val="none"/>
        </w:rPr>
        <w:t>受到的损失予以赔偿或者补偿。</w:t>
      </w:r>
    </w:p>
    <w:p w14:paraId="2503BF31">
      <w:pPr>
        <w:pStyle w:val="14"/>
        <w:snapToGrid w:val="0"/>
        <w:spacing w:line="440" w:lineRule="exact"/>
        <w:ind w:firstLine="480" w:firstLineChars="200"/>
        <w:rPr>
          <w:rFonts w:hAnsi="宋体" w:cs="宋体"/>
          <w:color w:val="auto"/>
          <w:sz w:val="24"/>
          <w:szCs w:val="24"/>
          <w:highlight w:val="none"/>
        </w:rPr>
      </w:pPr>
      <w:r>
        <w:rPr>
          <w:rFonts w:hAnsi="宋体" w:cs="宋体"/>
          <w:color w:val="auto"/>
          <w:sz w:val="24"/>
          <w:szCs w:val="24"/>
          <w:highlight w:val="none"/>
        </w:rPr>
        <w:t>10</w:t>
      </w:r>
      <w:r>
        <w:rPr>
          <w:rFonts w:hint="eastAsia" w:hAnsi="宋体" w:cs="宋体"/>
          <w:color w:val="auto"/>
          <w:sz w:val="24"/>
          <w:szCs w:val="24"/>
          <w:highlight w:val="none"/>
        </w:rPr>
        <w:t>.乙方提供的货物在质量保证期内，因设计、工艺或者材料的缺陷和其它质量原因造成的问题，由乙方负责</w:t>
      </w:r>
      <w:r>
        <w:rPr>
          <w:rFonts w:hint="eastAsia" w:hAnsi="宋体" w:cs="宋体"/>
          <w:color w:val="auto"/>
          <w:sz w:val="24"/>
          <w:szCs w:val="24"/>
          <w:highlight w:val="none"/>
          <w:lang w:val="en-US" w:eastAsia="zh-CN"/>
        </w:rPr>
        <w:t>维修或赔偿损失</w:t>
      </w:r>
      <w:r>
        <w:rPr>
          <w:rFonts w:hint="eastAsia" w:hAnsi="宋体" w:cs="宋体"/>
          <w:color w:val="auto"/>
          <w:sz w:val="24"/>
          <w:szCs w:val="24"/>
          <w:highlight w:val="none"/>
        </w:rPr>
        <w:t>，费用从余款或者履约保证金中扣除，不足另补。</w:t>
      </w:r>
    </w:p>
    <w:p w14:paraId="0ECC12C3">
      <w:pPr>
        <w:pStyle w:val="14"/>
        <w:snapToGrid w:val="0"/>
        <w:spacing w:line="44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1</w:t>
      </w:r>
      <w:r>
        <w:rPr>
          <w:rFonts w:hAnsi="宋体" w:cs="宋体"/>
          <w:color w:val="auto"/>
          <w:sz w:val="24"/>
          <w:szCs w:val="24"/>
          <w:highlight w:val="none"/>
        </w:rPr>
        <w:t>1</w:t>
      </w:r>
      <w:r>
        <w:rPr>
          <w:rFonts w:hint="eastAsia" w:hAnsi="宋体" w:cs="宋体"/>
          <w:color w:val="auto"/>
          <w:sz w:val="24"/>
          <w:szCs w:val="24"/>
          <w:highlight w:val="none"/>
        </w:rPr>
        <w:t>.甲乙双方有其他违约行为的，由违约方向对方支付违约货款额的5%，违约货款额的5%不足以赔偿经济损失的，须按实际损失作出赔偿。若双方通过诉讼解决合同纠纷，</w:t>
      </w:r>
      <w:r>
        <w:rPr>
          <w:rFonts w:hint="eastAsia" w:hAnsi="宋体" w:cs="宋体"/>
          <w:color w:val="auto"/>
          <w:sz w:val="24"/>
          <w:szCs w:val="24"/>
          <w:highlight w:val="none"/>
          <w:lang w:val="en-US" w:eastAsia="zh-CN"/>
        </w:rPr>
        <w:t>违约</w:t>
      </w:r>
      <w:r>
        <w:rPr>
          <w:rFonts w:hint="eastAsia" w:hAnsi="宋体" w:cs="宋体"/>
          <w:color w:val="auto"/>
          <w:sz w:val="24"/>
          <w:szCs w:val="24"/>
          <w:highlight w:val="none"/>
        </w:rPr>
        <w:t>方还应承担</w:t>
      </w:r>
      <w:r>
        <w:rPr>
          <w:rFonts w:hint="eastAsia" w:hAnsi="宋体" w:cs="宋体"/>
          <w:color w:val="auto"/>
          <w:sz w:val="24"/>
          <w:szCs w:val="24"/>
          <w:highlight w:val="none"/>
          <w:lang w:val="en-US" w:eastAsia="zh-CN"/>
        </w:rPr>
        <w:t>守约</w:t>
      </w:r>
      <w:r>
        <w:rPr>
          <w:rFonts w:hint="eastAsia" w:hAnsi="宋体" w:cs="宋体"/>
          <w:color w:val="auto"/>
          <w:sz w:val="24"/>
          <w:szCs w:val="24"/>
          <w:highlight w:val="none"/>
        </w:rPr>
        <w:t>方在诉讼期间支出的相关费用（包括但不限于诉讼费、律师费、诉讼期间差旅费、鉴定费、执行费、保全费、保全保险费等）。</w:t>
      </w:r>
    </w:p>
    <w:p w14:paraId="280C417B">
      <w:pPr>
        <w:pStyle w:val="14"/>
        <w:snapToGrid w:val="0"/>
        <w:spacing w:line="460" w:lineRule="exact"/>
        <w:ind w:firstLine="472" w:firstLineChars="196"/>
        <w:rPr>
          <w:rFonts w:hAnsi="宋体" w:cs="宋体"/>
          <w:b/>
          <w:bCs/>
          <w:color w:val="auto"/>
          <w:sz w:val="24"/>
          <w:szCs w:val="24"/>
          <w:highlight w:val="none"/>
        </w:rPr>
      </w:pPr>
      <w:r>
        <w:rPr>
          <w:rFonts w:hint="eastAsia" w:hAnsi="宋体" w:cs="宋体"/>
          <w:b/>
          <w:bCs/>
          <w:color w:val="auto"/>
          <w:sz w:val="24"/>
          <w:szCs w:val="24"/>
          <w:highlight w:val="none"/>
        </w:rPr>
        <w:t>第十二条  不可抗力事件处理</w:t>
      </w:r>
    </w:p>
    <w:p w14:paraId="7D81BFDF">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1.在合同有效期内，任何一方因不可抗力事件导致不能履行合同，则合同履行期可延长，其延长期与不可抗力影响期相同。</w:t>
      </w:r>
    </w:p>
    <w:p w14:paraId="6023E01F">
      <w:pPr>
        <w:pStyle w:val="14"/>
        <w:snapToGrid w:val="0"/>
        <w:spacing w:line="46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2.不可抗力事件发生后，应立即通知对方，并寄送有关权威机构出具的证明。</w:t>
      </w:r>
    </w:p>
    <w:p w14:paraId="06D5444D">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3.不可抗力事件延续</w:t>
      </w:r>
      <w:r>
        <w:rPr>
          <w:rFonts w:ascii="宋体" w:hAnsi="宋体" w:cs="宋体"/>
          <w:color w:val="auto"/>
          <w:sz w:val="24"/>
          <w:highlight w:val="none"/>
        </w:rPr>
        <w:t>60</w:t>
      </w:r>
      <w:r>
        <w:rPr>
          <w:rFonts w:hint="eastAsia" w:ascii="宋体" w:hAnsi="宋体" w:cs="宋体"/>
          <w:color w:val="auto"/>
          <w:sz w:val="24"/>
          <w:highlight w:val="none"/>
        </w:rPr>
        <w:t>天以上，双方应通过友好协商，确定是否继续履行合同。</w:t>
      </w:r>
    </w:p>
    <w:p w14:paraId="116BCA82">
      <w:pPr>
        <w:snapToGrid w:val="0"/>
        <w:spacing w:line="46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第十三条  合同争议解决</w:t>
      </w:r>
    </w:p>
    <w:p w14:paraId="75F1C900">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1.因货物质量问题发生争议的，应邀请国家认可的质量检测机构对货物质量进行鉴定。货物符合标准的，鉴定费由甲方承担；货物不符合标准的，鉴定费由乙方承担。</w:t>
      </w:r>
    </w:p>
    <w:p w14:paraId="48A782B1">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2.因履行本合同引起的或者与本合同有关的争议，甲乙双方应首先通过友好协商解决，如果协商不能解决，任何一方可向甲方所在地有管辖权的人民法院提起诉讼。</w:t>
      </w:r>
    </w:p>
    <w:p w14:paraId="54759E53">
      <w:pPr>
        <w:pStyle w:val="14"/>
        <w:snapToGrid w:val="0"/>
        <w:spacing w:line="460" w:lineRule="exact"/>
        <w:ind w:firstLine="472" w:firstLineChars="196"/>
        <w:rPr>
          <w:rFonts w:hAnsi="宋体" w:cs="宋体"/>
          <w:b/>
          <w:color w:val="auto"/>
          <w:sz w:val="24"/>
          <w:szCs w:val="24"/>
          <w:highlight w:val="none"/>
        </w:rPr>
      </w:pPr>
      <w:r>
        <w:rPr>
          <w:rFonts w:hint="eastAsia" w:hAnsi="宋体" w:cs="宋体"/>
          <w:b/>
          <w:color w:val="auto"/>
          <w:sz w:val="24"/>
          <w:szCs w:val="24"/>
          <w:highlight w:val="none"/>
        </w:rPr>
        <w:t>第十四条  合同生效及其他</w:t>
      </w:r>
    </w:p>
    <w:p w14:paraId="150FFD02">
      <w:pPr>
        <w:pStyle w:val="14"/>
        <w:snapToGrid w:val="0"/>
        <w:spacing w:line="460" w:lineRule="exact"/>
        <w:ind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1.合同自双方法定代表人或者委托代理人签字并加盖单位公章或合同专用章之日起生效（委托代理人签字的须后附授权委托书，格式自拟）。</w:t>
      </w:r>
    </w:p>
    <w:p w14:paraId="7CA1078D">
      <w:pPr>
        <w:pStyle w:val="14"/>
        <w:snapToGrid w:val="0"/>
        <w:spacing w:line="460" w:lineRule="exact"/>
        <w:ind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2.本合同未尽事宜，遵照《中华人民共和国民法典》有关条文执行。</w:t>
      </w:r>
    </w:p>
    <w:p w14:paraId="7FA00FC4">
      <w:pPr>
        <w:pStyle w:val="14"/>
        <w:snapToGrid w:val="0"/>
        <w:spacing w:line="460" w:lineRule="exact"/>
        <w:ind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3</w:t>
      </w:r>
      <w:r>
        <w:rPr>
          <w:rFonts w:hAnsi="宋体" w:cs="宋体"/>
          <w:color w:val="auto"/>
          <w:kern w:val="2"/>
          <w:sz w:val="24"/>
          <w:szCs w:val="24"/>
          <w:highlight w:val="none"/>
        </w:rPr>
        <w:t>.</w:t>
      </w:r>
      <w:r>
        <w:rPr>
          <w:rFonts w:hint="eastAsia" w:hAnsi="宋体" w:cs="宋体"/>
          <w:color w:val="auto"/>
          <w:kern w:val="2"/>
          <w:sz w:val="24"/>
          <w:szCs w:val="24"/>
          <w:highlight w:val="none"/>
        </w:rPr>
        <w:t>双方确认本合同落款通讯地址作为文书送达地址，该通讯地址适用于包括双方合同履行过程中的各类通知、补充协议等文件，以及因履行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或拒绝接听快递员投递电话等原因，导致文书未能被实际接收的，邮寄文书被退回之日视为送达之日。</w:t>
      </w:r>
    </w:p>
    <w:p w14:paraId="7D3F03C7">
      <w:pPr>
        <w:snapToGrid w:val="0"/>
        <w:spacing w:line="4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第十五条　合同的变更、终止与转让</w:t>
      </w:r>
    </w:p>
    <w:p w14:paraId="02345DEA">
      <w:pPr>
        <w:snapToGrid w:val="0"/>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1.除《中华人民共和国政府采购法》第五十条规定的情形外，本合同一经签订，甲乙双方不得擅自变更、中止或者终止。</w:t>
      </w:r>
    </w:p>
    <w:p w14:paraId="734FF961">
      <w:pPr>
        <w:snapToGrid w:val="0"/>
        <w:spacing w:line="460" w:lineRule="exact"/>
        <w:ind w:firstLine="514"/>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2.乙方不得擅自转让其应履行的合同义务。</w:t>
      </w:r>
      <w:r>
        <w:rPr>
          <w:rFonts w:hint="eastAsia" w:ascii="宋体" w:hAnsi="宋体" w:cs="宋体"/>
          <w:color w:val="auto"/>
          <w:sz w:val="24"/>
          <w:highlight w:val="none"/>
          <w:lang w:val="en-US" w:eastAsia="zh-CN"/>
        </w:rPr>
        <w:t>否则甲方有权解除本合同并由乙方按照合同金额的20%支付违约金，并赔偿甲方损失。</w:t>
      </w:r>
    </w:p>
    <w:p w14:paraId="3B353944">
      <w:pPr>
        <w:pStyle w:val="14"/>
        <w:snapToGrid w:val="0"/>
        <w:spacing w:line="460" w:lineRule="exact"/>
        <w:ind w:firstLine="472" w:firstLineChars="196"/>
        <w:rPr>
          <w:rFonts w:hAnsi="宋体" w:cs="宋体"/>
          <w:color w:val="auto"/>
          <w:sz w:val="24"/>
          <w:szCs w:val="24"/>
          <w:highlight w:val="none"/>
        </w:rPr>
      </w:pPr>
      <w:r>
        <w:rPr>
          <w:rFonts w:hint="eastAsia" w:hAnsi="宋体" w:cs="宋体"/>
          <w:b/>
          <w:color w:val="auto"/>
          <w:sz w:val="24"/>
          <w:szCs w:val="24"/>
          <w:highlight w:val="none"/>
        </w:rPr>
        <w:t>第十六条　</w:t>
      </w:r>
      <w:r>
        <w:rPr>
          <w:rFonts w:hint="eastAsia" w:hAnsi="宋体" w:cs="宋体"/>
          <w:color w:val="auto"/>
          <w:spacing w:val="-2"/>
          <w:sz w:val="24"/>
          <w:szCs w:val="24"/>
          <w:highlight w:val="none"/>
        </w:rPr>
        <w:t>本</w:t>
      </w:r>
      <w:r>
        <w:rPr>
          <w:rFonts w:hint="eastAsia" w:hAnsi="宋体" w:cs="宋体"/>
          <w:color w:val="auto"/>
          <w:sz w:val="24"/>
          <w:szCs w:val="24"/>
          <w:highlight w:val="none"/>
        </w:rPr>
        <w:t>合同书</w:t>
      </w:r>
      <w:r>
        <w:rPr>
          <w:rFonts w:hint="eastAsia" w:hAnsi="宋体" w:cs="宋体"/>
          <w:color w:val="auto"/>
          <w:spacing w:val="-2"/>
          <w:sz w:val="24"/>
          <w:szCs w:val="24"/>
          <w:highlight w:val="none"/>
        </w:rPr>
        <w:t>与</w:t>
      </w:r>
      <w:r>
        <w:rPr>
          <w:rFonts w:hint="eastAsia" w:hAnsi="宋体" w:cs="宋体"/>
          <w:color w:val="auto"/>
          <w:sz w:val="24"/>
          <w:szCs w:val="24"/>
          <w:highlight w:val="none"/>
        </w:rPr>
        <w:t>下</w:t>
      </w:r>
      <w:r>
        <w:rPr>
          <w:rFonts w:hint="eastAsia" w:hAnsi="宋体" w:cs="宋体"/>
          <w:color w:val="auto"/>
          <w:spacing w:val="-2"/>
          <w:sz w:val="24"/>
          <w:szCs w:val="24"/>
          <w:highlight w:val="none"/>
        </w:rPr>
        <w:t>列</w:t>
      </w:r>
      <w:r>
        <w:rPr>
          <w:rFonts w:hint="eastAsia" w:hAnsi="宋体" w:cs="宋体"/>
          <w:color w:val="auto"/>
          <w:sz w:val="24"/>
          <w:szCs w:val="24"/>
          <w:highlight w:val="none"/>
        </w:rPr>
        <w:t>文</w:t>
      </w:r>
      <w:r>
        <w:rPr>
          <w:rFonts w:hint="eastAsia" w:hAnsi="宋体" w:cs="宋体"/>
          <w:color w:val="auto"/>
          <w:spacing w:val="-2"/>
          <w:sz w:val="24"/>
          <w:szCs w:val="24"/>
          <w:highlight w:val="none"/>
        </w:rPr>
        <w:t>件一</w:t>
      </w:r>
      <w:r>
        <w:rPr>
          <w:rFonts w:hint="eastAsia" w:hAnsi="宋体" w:cs="宋体"/>
          <w:color w:val="auto"/>
          <w:sz w:val="24"/>
          <w:szCs w:val="24"/>
          <w:highlight w:val="none"/>
        </w:rPr>
        <w:t>起构</w:t>
      </w:r>
      <w:r>
        <w:rPr>
          <w:rFonts w:hint="eastAsia" w:hAnsi="宋体" w:cs="宋体"/>
          <w:color w:val="auto"/>
          <w:spacing w:val="-2"/>
          <w:sz w:val="24"/>
          <w:szCs w:val="24"/>
          <w:highlight w:val="none"/>
        </w:rPr>
        <w:t>成</w:t>
      </w:r>
      <w:r>
        <w:rPr>
          <w:rFonts w:hint="eastAsia" w:hAnsi="宋体" w:cs="宋体"/>
          <w:color w:val="auto"/>
          <w:sz w:val="24"/>
          <w:szCs w:val="24"/>
          <w:highlight w:val="none"/>
        </w:rPr>
        <w:t>合</w:t>
      </w:r>
      <w:r>
        <w:rPr>
          <w:rFonts w:hint="eastAsia" w:hAnsi="宋体" w:cs="宋体"/>
          <w:color w:val="auto"/>
          <w:spacing w:val="-2"/>
          <w:sz w:val="24"/>
          <w:szCs w:val="24"/>
          <w:highlight w:val="none"/>
        </w:rPr>
        <w:t>同</w:t>
      </w:r>
      <w:r>
        <w:rPr>
          <w:rFonts w:hint="eastAsia" w:hAnsi="宋体" w:cs="宋体"/>
          <w:color w:val="auto"/>
          <w:sz w:val="24"/>
          <w:szCs w:val="24"/>
          <w:highlight w:val="none"/>
        </w:rPr>
        <w:t>文</w:t>
      </w:r>
      <w:r>
        <w:rPr>
          <w:rFonts w:hint="eastAsia" w:hAnsi="宋体" w:cs="宋体"/>
          <w:color w:val="auto"/>
          <w:spacing w:val="-2"/>
          <w:sz w:val="24"/>
          <w:szCs w:val="24"/>
          <w:highlight w:val="none"/>
        </w:rPr>
        <w:t>件</w:t>
      </w:r>
    </w:p>
    <w:p w14:paraId="058A43E5">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1.成交通知书</w:t>
      </w:r>
    </w:p>
    <w:p w14:paraId="09851F5F">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2.采购需求</w:t>
      </w:r>
    </w:p>
    <w:p w14:paraId="552A062D">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3.</w:t>
      </w:r>
      <w:r>
        <w:rPr>
          <w:rFonts w:hint="eastAsia" w:hAnsi="宋体" w:cs="宋体"/>
          <w:color w:val="auto"/>
          <w:sz w:val="24"/>
          <w:highlight w:val="none"/>
        </w:rPr>
        <w:t>参与竞争性谈判</w:t>
      </w:r>
      <w:r>
        <w:rPr>
          <w:rFonts w:hint="eastAsia" w:hAnsi="宋体" w:cs="宋体"/>
          <w:color w:val="auto"/>
          <w:sz w:val="24"/>
          <w:szCs w:val="24"/>
          <w:highlight w:val="none"/>
        </w:rPr>
        <w:t>声明函</w:t>
      </w:r>
    </w:p>
    <w:p w14:paraId="45E5838F">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4.</w:t>
      </w:r>
      <w:r>
        <w:rPr>
          <w:rFonts w:hint="eastAsia" w:hAnsi="宋体" w:cs="宋体"/>
          <w:color w:val="auto"/>
          <w:sz w:val="24"/>
          <w:highlight w:val="none"/>
        </w:rPr>
        <w:t>竞争性谈判</w:t>
      </w:r>
      <w:r>
        <w:rPr>
          <w:rFonts w:hint="eastAsia" w:hAnsi="宋体" w:cs="宋体"/>
          <w:color w:val="auto"/>
          <w:sz w:val="24"/>
          <w:szCs w:val="24"/>
          <w:highlight w:val="none"/>
        </w:rPr>
        <w:t>报价表及货物配置清单</w:t>
      </w:r>
    </w:p>
    <w:p w14:paraId="1AACC174">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5.商务要求偏离表和技术要求偏离表</w:t>
      </w:r>
    </w:p>
    <w:p w14:paraId="63A0E15F">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6.售后服务承诺</w:t>
      </w:r>
    </w:p>
    <w:p w14:paraId="7A1ACA23">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7.其他合同文件</w:t>
      </w:r>
    </w:p>
    <w:p w14:paraId="4CE9746A">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上述合同文件互相补充和解释。如果合同文件之间存在矛盾或者不一致之处，以上述文件的排列顺序在先者为准。</w:t>
      </w:r>
    </w:p>
    <w:p w14:paraId="0087D74D">
      <w:pPr>
        <w:pStyle w:val="14"/>
        <w:snapToGrid w:val="0"/>
        <w:spacing w:line="460" w:lineRule="exact"/>
        <w:ind w:firstLine="472" w:firstLineChars="196"/>
        <w:rPr>
          <w:rFonts w:hAnsi="宋体" w:cs="宋体"/>
          <w:color w:val="auto"/>
          <w:sz w:val="24"/>
          <w:highlight w:val="none"/>
        </w:rPr>
      </w:pPr>
      <w:r>
        <w:rPr>
          <w:rFonts w:hint="eastAsia" w:hAnsi="宋体" w:cs="宋体"/>
          <w:b/>
          <w:color w:val="auto"/>
          <w:sz w:val="24"/>
          <w:highlight w:val="none"/>
        </w:rPr>
        <w:t>第十七条　</w:t>
      </w:r>
      <w:r>
        <w:rPr>
          <w:rFonts w:hint="eastAsia" w:hAnsi="宋体" w:cs="宋体"/>
          <w:color w:val="auto"/>
          <w:sz w:val="24"/>
          <w:szCs w:val="24"/>
          <w:highlight w:val="none"/>
        </w:rPr>
        <w:t>本合同一式柒份，具有同等法律效力，甲方叁份，乙方叁份，采购代理机构壹份。</w:t>
      </w:r>
    </w:p>
    <w:p w14:paraId="33F2CB7F">
      <w:pPr>
        <w:pStyle w:val="14"/>
        <w:snapToGrid w:val="0"/>
        <w:spacing w:line="460" w:lineRule="exact"/>
        <w:ind w:firstLine="470" w:firstLineChars="196"/>
        <w:rPr>
          <w:rFonts w:hAnsi="宋体" w:cs="宋体"/>
          <w:color w:val="auto"/>
          <w:sz w:val="24"/>
          <w:szCs w:val="24"/>
          <w:highlight w:val="none"/>
        </w:rPr>
      </w:pPr>
      <w:r>
        <w:rPr>
          <w:rFonts w:hint="eastAsia" w:hAnsi="宋体" w:cs="宋体"/>
          <w:color w:val="auto"/>
          <w:sz w:val="24"/>
          <w:szCs w:val="24"/>
          <w:highlight w:val="none"/>
        </w:rPr>
        <w:t>（以下无正文）</w:t>
      </w:r>
    </w:p>
    <w:p w14:paraId="7AE928A7">
      <w:pPr>
        <w:pStyle w:val="14"/>
        <w:snapToGrid w:val="0"/>
        <w:spacing w:line="460" w:lineRule="exact"/>
        <w:ind w:firstLine="470" w:firstLineChars="196"/>
        <w:rPr>
          <w:rFonts w:hAnsi="宋体" w:cs="宋体"/>
          <w:color w:val="auto"/>
          <w:sz w:val="24"/>
          <w:highlight w:val="none"/>
        </w:rPr>
      </w:pPr>
    </w:p>
    <w:bookmarkEnd w:id="36"/>
    <w:tbl>
      <w:tblPr>
        <w:tblStyle w:val="26"/>
        <w:tblW w:w="8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9"/>
        <w:gridCol w:w="4360"/>
      </w:tblGrid>
      <w:tr w14:paraId="65F7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1" w:hRule="atLeast"/>
          <w:jc w:val="center"/>
        </w:trPr>
        <w:tc>
          <w:tcPr>
            <w:tcW w:w="4359" w:type="dxa"/>
            <w:vAlign w:val="center"/>
          </w:tcPr>
          <w:p w14:paraId="2C63F90B">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 xml:space="preserve">甲方（章）           </w:t>
            </w:r>
          </w:p>
          <w:p w14:paraId="05BFDECF">
            <w:pPr>
              <w:snapToGrid w:val="0"/>
              <w:spacing w:line="4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 xml:space="preserve"> 广西信息职业技术学院</w:t>
            </w:r>
          </w:p>
          <w:p w14:paraId="1F0F4EA6">
            <w:pPr>
              <w:snapToGrid w:val="0"/>
              <w:spacing w:line="460" w:lineRule="exact"/>
              <w:ind w:firstLine="1080" w:firstLineChars="450"/>
              <w:jc w:val="right"/>
              <w:rPr>
                <w:rFonts w:ascii="宋体" w:hAnsi="宋体" w:cs="宋体"/>
                <w:color w:val="auto"/>
                <w:sz w:val="24"/>
                <w:highlight w:val="none"/>
              </w:rPr>
            </w:pPr>
            <w:r>
              <w:rPr>
                <w:rFonts w:hint="eastAsia" w:ascii="宋体" w:hAnsi="宋体" w:cs="宋体"/>
                <w:color w:val="auto"/>
                <w:sz w:val="24"/>
                <w:highlight w:val="none"/>
              </w:rPr>
              <w:t>年   月   日</w:t>
            </w:r>
          </w:p>
        </w:tc>
        <w:tc>
          <w:tcPr>
            <w:tcW w:w="4360" w:type="dxa"/>
            <w:vAlign w:val="center"/>
          </w:tcPr>
          <w:p w14:paraId="6F512ECD">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 xml:space="preserve">乙方（章）              </w:t>
            </w:r>
          </w:p>
          <w:p w14:paraId="3F0BB448">
            <w:pPr>
              <w:snapToGrid w:val="0"/>
              <w:spacing w:line="460" w:lineRule="exact"/>
              <w:jc w:val="right"/>
              <w:rPr>
                <w:rFonts w:ascii="宋体" w:hAnsi="宋体" w:cs="宋体"/>
                <w:color w:val="auto"/>
                <w:sz w:val="24"/>
                <w:highlight w:val="none"/>
              </w:rPr>
            </w:pPr>
            <w:r>
              <w:rPr>
                <w:rFonts w:hint="eastAsia" w:ascii="宋体" w:hAnsi="宋体" w:cs="宋体"/>
                <w:color w:val="auto"/>
                <w:sz w:val="24"/>
                <w:highlight w:val="none"/>
              </w:rPr>
              <w:t xml:space="preserve"> 年   月   日</w:t>
            </w:r>
          </w:p>
        </w:tc>
      </w:tr>
      <w:tr w14:paraId="7113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5" w:hRule="atLeast"/>
          <w:jc w:val="center"/>
        </w:trPr>
        <w:tc>
          <w:tcPr>
            <w:tcW w:w="4359" w:type="dxa"/>
            <w:vAlign w:val="center"/>
          </w:tcPr>
          <w:p w14:paraId="2D47C353">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单位地址：</w:t>
            </w:r>
            <w:r>
              <w:rPr>
                <w:rFonts w:hint="eastAsia" w:ascii="宋体" w:hAnsi="宋体" w:eastAsia="宋体" w:cs="宋体"/>
                <w:i w:val="0"/>
                <w:iCs w:val="0"/>
                <w:caps w:val="0"/>
                <w:color w:val="auto"/>
                <w:spacing w:val="0"/>
                <w:sz w:val="24"/>
                <w:szCs w:val="24"/>
                <w:highlight w:val="none"/>
                <w:shd w:val="clear"/>
              </w:rPr>
              <w:t>广西南宁市邕宁区步云路31号</w:t>
            </w:r>
          </w:p>
        </w:tc>
        <w:tc>
          <w:tcPr>
            <w:tcW w:w="4360" w:type="dxa"/>
            <w:vAlign w:val="center"/>
          </w:tcPr>
          <w:p w14:paraId="0EE39A3E">
            <w:pPr>
              <w:pStyle w:val="22"/>
              <w:widowControl/>
              <w:spacing w:line="460" w:lineRule="exact"/>
              <w:rPr>
                <w:rFonts w:ascii="宋体" w:hAnsi="宋体" w:cs="宋体"/>
                <w:color w:val="auto"/>
                <w:highlight w:val="none"/>
              </w:rPr>
            </w:pPr>
            <w:r>
              <w:rPr>
                <w:rFonts w:hint="eastAsia" w:ascii="宋体" w:hAnsi="宋体" w:cs="宋体"/>
                <w:color w:val="auto"/>
                <w:highlight w:val="none"/>
              </w:rPr>
              <w:t>单位地址：</w:t>
            </w:r>
          </w:p>
        </w:tc>
      </w:tr>
      <w:tr w14:paraId="6A38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4359" w:type="dxa"/>
            <w:vAlign w:val="center"/>
          </w:tcPr>
          <w:p w14:paraId="25BFC128">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法定代表人（签字）：</w:t>
            </w:r>
          </w:p>
        </w:tc>
        <w:tc>
          <w:tcPr>
            <w:tcW w:w="4360" w:type="dxa"/>
            <w:vAlign w:val="center"/>
          </w:tcPr>
          <w:p w14:paraId="66B91787">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法定代表人（签字）：</w:t>
            </w:r>
          </w:p>
        </w:tc>
      </w:tr>
      <w:tr w14:paraId="080C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4359" w:type="dxa"/>
            <w:vAlign w:val="center"/>
          </w:tcPr>
          <w:p w14:paraId="430813D6">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委托代理人（签字）：</w:t>
            </w:r>
          </w:p>
        </w:tc>
        <w:tc>
          <w:tcPr>
            <w:tcW w:w="4360" w:type="dxa"/>
            <w:vAlign w:val="center"/>
          </w:tcPr>
          <w:p w14:paraId="2385461A">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委托代理人（签字）：</w:t>
            </w:r>
          </w:p>
        </w:tc>
      </w:tr>
      <w:tr w14:paraId="2456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4359" w:type="dxa"/>
            <w:vAlign w:val="center"/>
          </w:tcPr>
          <w:p w14:paraId="0C97BA8D">
            <w:pPr>
              <w:snapToGrid w:val="0"/>
              <w:spacing w:line="460" w:lineRule="exact"/>
              <w:rPr>
                <w:rFonts w:ascii="宋体" w:hAnsi="宋体" w:cs="宋体"/>
                <w:color w:val="auto"/>
                <w:sz w:val="24"/>
                <w:highlight w:val="none"/>
              </w:rPr>
            </w:pPr>
            <w:r>
              <w:rPr>
                <w:rFonts w:hint="eastAsia" w:ascii="宋体" w:hAnsi="宋体" w:cs="宋体"/>
                <w:color w:val="auto"/>
                <w:sz w:val="24"/>
                <w:highlight w:val="none"/>
              </w:rPr>
              <w:t>电话：</w:t>
            </w:r>
          </w:p>
        </w:tc>
        <w:tc>
          <w:tcPr>
            <w:tcW w:w="4360" w:type="dxa"/>
            <w:vAlign w:val="center"/>
          </w:tcPr>
          <w:p w14:paraId="67263240">
            <w:pPr>
              <w:widowControl/>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电话：</w:t>
            </w:r>
            <w:r>
              <w:rPr>
                <w:rFonts w:hint="eastAsia" w:ascii="宋体" w:hAnsi="宋体" w:cs="宋体"/>
                <w:color w:val="auto"/>
                <w:kern w:val="0"/>
                <w:sz w:val="24"/>
                <w:highlight w:val="none"/>
                <w:lang w:bidi="ar"/>
              </w:rPr>
              <w:t xml:space="preserve"> </w:t>
            </w:r>
          </w:p>
        </w:tc>
      </w:tr>
      <w:tr w14:paraId="5B80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4359" w:type="dxa"/>
            <w:vAlign w:val="center"/>
          </w:tcPr>
          <w:p w14:paraId="38E148BD">
            <w:pPr>
              <w:snapToGrid w:val="0"/>
              <w:spacing w:line="460" w:lineRule="exact"/>
              <w:rPr>
                <w:rFonts w:ascii="宋体" w:hAnsi="宋体" w:cs="宋体"/>
                <w:color w:val="auto"/>
                <w:kern w:val="0"/>
                <w:sz w:val="24"/>
                <w:highlight w:val="none"/>
              </w:rPr>
            </w:pPr>
            <w:r>
              <w:rPr>
                <w:rFonts w:hint="eastAsia" w:ascii="宋体" w:hAnsi="宋体" w:cs="宋体"/>
                <w:color w:val="auto"/>
                <w:kern w:val="0"/>
                <w:sz w:val="24"/>
                <w:highlight w:val="none"/>
              </w:rPr>
              <w:t>电子邮箱：</w:t>
            </w:r>
          </w:p>
        </w:tc>
        <w:tc>
          <w:tcPr>
            <w:tcW w:w="4360" w:type="dxa"/>
            <w:vAlign w:val="center"/>
          </w:tcPr>
          <w:p w14:paraId="43435111">
            <w:pPr>
              <w:snapToGrid w:val="0"/>
              <w:spacing w:line="460" w:lineRule="exact"/>
              <w:rPr>
                <w:rFonts w:ascii="宋体" w:hAnsi="宋体" w:cs="宋体"/>
                <w:color w:val="auto"/>
                <w:kern w:val="0"/>
                <w:sz w:val="24"/>
                <w:highlight w:val="none"/>
              </w:rPr>
            </w:pPr>
            <w:r>
              <w:rPr>
                <w:rFonts w:hint="eastAsia" w:ascii="宋体" w:hAnsi="宋体" w:cs="宋体"/>
                <w:color w:val="auto"/>
                <w:kern w:val="0"/>
                <w:sz w:val="24"/>
                <w:highlight w:val="none"/>
              </w:rPr>
              <w:t>电子邮箱：</w:t>
            </w:r>
          </w:p>
        </w:tc>
      </w:tr>
      <w:tr w14:paraId="0C9D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5" w:hRule="atLeast"/>
          <w:jc w:val="center"/>
        </w:trPr>
        <w:tc>
          <w:tcPr>
            <w:tcW w:w="4359" w:type="dxa"/>
            <w:vAlign w:val="center"/>
          </w:tcPr>
          <w:p w14:paraId="7F40B22D">
            <w:pPr>
              <w:snapToGrid w:val="0"/>
              <w:spacing w:line="460" w:lineRule="exact"/>
              <w:rPr>
                <w:rFonts w:ascii="宋体" w:hAnsi="宋体" w:cs="宋体"/>
                <w:color w:val="auto"/>
                <w:kern w:val="0"/>
                <w:sz w:val="24"/>
                <w:highlight w:val="none"/>
              </w:rPr>
            </w:pPr>
            <w:r>
              <w:rPr>
                <w:rFonts w:hint="eastAsia" w:ascii="宋体" w:hAnsi="宋体" w:cs="宋体"/>
                <w:color w:val="auto"/>
                <w:kern w:val="0"/>
                <w:sz w:val="24"/>
                <w:highlight w:val="none"/>
              </w:rPr>
              <w:t>开户银行：</w:t>
            </w:r>
          </w:p>
        </w:tc>
        <w:tc>
          <w:tcPr>
            <w:tcW w:w="4360" w:type="dxa"/>
            <w:vAlign w:val="center"/>
          </w:tcPr>
          <w:p w14:paraId="03AF6261">
            <w:pPr>
              <w:widowControl/>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开户银行：</w:t>
            </w:r>
          </w:p>
        </w:tc>
      </w:tr>
      <w:tr w14:paraId="6684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4359" w:type="dxa"/>
            <w:vAlign w:val="center"/>
          </w:tcPr>
          <w:p w14:paraId="08002437">
            <w:pPr>
              <w:pStyle w:val="22"/>
              <w:widowControl/>
              <w:rPr>
                <w:rFonts w:ascii="宋体" w:hAnsi="宋体" w:cs="宋体"/>
                <w:color w:val="auto"/>
                <w:highlight w:val="none"/>
              </w:rPr>
            </w:pPr>
            <w:r>
              <w:rPr>
                <w:rFonts w:hint="eastAsia" w:ascii="宋体" w:hAnsi="宋体" w:cs="宋体"/>
                <w:color w:val="auto"/>
                <w:highlight w:val="none"/>
              </w:rPr>
              <w:t>账号：</w:t>
            </w:r>
          </w:p>
        </w:tc>
        <w:tc>
          <w:tcPr>
            <w:tcW w:w="4360" w:type="dxa"/>
            <w:vAlign w:val="center"/>
          </w:tcPr>
          <w:p w14:paraId="0942E973">
            <w:pPr>
              <w:widowControl/>
              <w:spacing w:line="460" w:lineRule="exact"/>
              <w:jc w:val="left"/>
              <w:rPr>
                <w:rFonts w:ascii="宋体" w:hAnsi="宋体" w:cs="宋体"/>
                <w:color w:val="auto"/>
                <w:highlight w:val="none"/>
              </w:rPr>
            </w:pPr>
            <w:r>
              <w:rPr>
                <w:rFonts w:hint="eastAsia" w:ascii="宋体" w:hAnsi="宋体" w:cs="宋体"/>
                <w:color w:val="auto"/>
                <w:highlight w:val="none"/>
              </w:rPr>
              <w:t>账号：</w:t>
            </w:r>
          </w:p>
        </w:tc>
      </w:tr>
      <w:tr w14:paraId="3952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4359" w:type="dxa"/>
            <w:vAlign w:val="center"/>
          </w:tcPr>
          <w:p w14:paraId="6A050ABA">
            <w:pPr>
              <w:pStyle w:val="22"/>
              <w:widowControl/>
              <w:rPr>
                <w:rFonts w:ascii="宋体" w:hAnsi="宋体" w:cs="宋体"/>
                <w:color w:val="auto"/>
                <w:highlight w:val="none"/>
              </w:rPr>
            </w:pPr>
            <w:r>
              <w:rPr>
                <w:rFonts w:hint="eastAsia" w:ascii="宋体" w:hAnsi="宋体" w:cs="宋体"/>
                <w:color w:val="auto"/>
                <w:highlight w:val="none"/>
              </w:rPr>
              <w:t>邮政编码：</w:t>
            </w:r>
          </w:p>
        </w:tc>
        <w:tc>
          <w:tcPr>
            <w:tcW w:w="4360" w:type="dxa"/>
            <w:vAlign w:val="center"/>
          </w:tcPr>
          <w:p w14:paraId="144BA736">
            <w:pPr>
              <w:widowControl/>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邮政编码：</w:t>
            </w:r>
          </w:p>
        </w:tc>
      </w:tr>
    </w:tbl>
    <w:p w14:paraId="7B950844">
      <w:pPr>
        <w:spacing w:line="460" w:lineRule="exact"/>
        <w:rPr>
          <w:rFonts w:ascii="宋体" w:hAnsi="宋体" w:cs="宋体"/>
          <w:b/>
          <w:bCs/>
          <w:color w:val="auto"/>
          <w:kern w:val="0"/>
          <w:sz w:val="24"/>
          <w:highlight w:val="none"/>
        </w:rPr>
      </w:pPr>
      <w:r>
        <w:rPr>
          <w:rFonts w:hint="eastAsia" w:ascii="宋体" w:hAnsi="宋体" w:cs="宋体"/>
          <w:b/>
          <w:bCs/>
          <w:color w:val="auto"/>
          <w:kern w:val="0"/>
          <w:sz w:val="24"/>
          <w:highlight w:val="none"/>
        </w:rPr>
        <w:br w:type="page"/>
      </w:r>
    </w:p>
    <w:p w14:paraId="001E20CB">
      <w:pPr>
        <w:jc w:val="center"/>
        <w:rPr>
          <w:rFonts w:ascii="宋体" w:hAnsi="宋体" w:cs="宋体"/>
          <w:color w:val="auto"/>
          <w:sz w:val="32"/>
          <w:szCs w:val="32"/>
          <w:highlight w:val="none"/>
        </w:rPr>
      </w:pPr>
      <w:r>
        <w:rPr>
          <w:rFonts w:hint="eastAsia" w:ascii="宋体" w:hAnsi="宋体" w:cs="宋体"/>
          <w:b/>
          <w:bCs/>
          <w:color w:val="auto"/>
          <w:kern w:val="0"/>
          <w:sz w:val="32"/>
          <w:szCs w:val="32"/>
          <w:highlight w:val="none"/>
          <w:lang w:eastAsia="zh-CN"/>
        </w:rPr>
        <w:t xml:space="preserve"> 广西信息职业技术学院</w:t>
      </w:r>
      <w:r>
        <w:rPr>
          <w:rFonts w:hint="eastAsia" w:ascii="宋体" w:hAnsi="宋体" w:cs="宋体"/>
          <w:b/>
          <w:bCs/>
          <w:color w:val="auto"/>
          <w:kern w:val="0"/>
          <w:sz w:val="32"/>
          <w:szCs w:val="32"/>
          <w:highlight w:val="none"/>
        </w:rPr>
        <w:t>采购项目履约保证金退付意见书</w:t>
      </w:r>
    </w:p>
    <w:p w14:paraId="2470C972">
      <w:pPr>
        <w:snapToGrid w:val="0"/>
        <w:spacing w:line="400" w:lineRule="exact"/>
        <w:jc w:val="center"/>
        <w:rPr>
          <w:rFonts w:ascii="宋体" w:hAnsi="宋体" w:cs="宋体"/>
          <w:b/>
          <w:color w:val="auto"/>
          <w:sz w:val="24"/>
          <w:highlight w:val="none"/>
        </w:rPr>
      </w:pPr>
    </w:p>
    <w:tbl>
      <w:tblPr>
        <w:tblStyle w:val="26"/>
        <w:tblW w:w="89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7174"/>
      </w:tblGrid>
      <w:tr w14:paraId="408D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730" w:type="dxa"/>
            <w:vMerge w:val="restart"/>
            <w:vAlign w:val="center"/>
          </w:tcPr>
          <w:p w14:paraId="31ADF59C">
            <w:pPr>
              <w:jc w:val="center"/>
              <w:rPr>
                <w:rFonts w:ascii="宋体" w:hAnsi="宋体"/>
                <w:color w:val="auto"/>
                <w:sz w:val="24"/>
                <w:highlight w:val="none"/>
              </w:rPr>
            </w:pPr>
            <w:r>
              <w:rPr>
                <w:rFonts w:hint="eastAsia" w:ascii="宋体" w:hAnsi="宋体"/>
                <w:color w:val="auto"/>
                <w:sz w:val="24"/>
                <w:highlight w:val="none"/>
              </w:rPr>
              <w:t>供应商申请</w:t>
            </w:r>
          </w:p>
        </w:tc>
        <w:tc>
          <w:tcPr>
            <w:tcW w:w="7174" w:type="dxa"/>
            <w:vAlign w:val="center"/>
          </w:tcPr>
          <w:p w14:paraId="276FCAC7">
            <w:pPr>
              <w:rPr>
                <w:rFonts w:ascii="宋体" w:hAnsi="宋体"/>
                <w:color w:val="auto"/>
                <w:sz w:val="24"/>
                <w:highlight w:val="none"/>
              </w:rPr>
            </w:pPr>
            <w:r>
              <w:rPr>
                <w:rFonts w:hint="eastAsia" w:ascii="宋体" w:hAnsi="宋体"/>
                <w:color w:val="auto"/>
                <w:sz w:val="24"/>
                <w:highlight w:val="none"/>
              </w:rPr>
              <w:t>项目名称：</w:t>
            </w:r>
          </w:p>
        </w:tc>
      </w:tr>
      <w:tr w14:paraId="0FFB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730" w:type="dxa"/>
            <w:vMerge w:val="continue"/>
          </w:tcPr>
          <w:p w14:paraId="4FE5E262">
            <w:pPr>
              <w:rPr>
                <w:rFonts w:ascii="宋体" w:hAnsi="宋体"/>
                <w:color w:val="auto"/>
                <w:sz w:val="24"/>
                <w:highlight w:val="none"/>
              </w:rPr>
            </w:pPr>
          </w:p>
        </w:tc>
        <w:tc>
          <w:tcPr>
            <w:tcW w:w="7174" w:type="dxa"/>
            <w:vAlign w:val="center"/>
          </w:tcPr>
          <w:p w14:paraId="3F73B75F">
            <w:pPr>
              <w:rPr>
                <w:rFonts w:ascii="宋体" w:hAnsi="宋体"/>
                <w:color w:val="auto"/>
                <w:sz w:val="24"/>
                <w:highlight w:val="none"/>
              </w:rPr>
            </w:pPr>
            <w:r>
              <w:rPr>
                <w:rFonts w:hint="eastAsia" w:ascii="宋体" w:hAnsi="宋体"/>
                <w:color w:val="auto"/>
                <w:sz w:val="24"/>
                <w:highlight w:val="none"/>
              </w:rPr>
              <w:t>合同编号：</w:t>
            </w:r>
          </w:p>
        </w:tc>
      </w:tr>
      <w:tr w14:paraId="60B0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trPr>
        <w:tc>
          <w:tcPr>
            <w:tcW w:w="1730" w:type="dxa"/>
            <w:vMerge w:val="continue"/>
          </w:tcPr>
          <w:p w14:paraId="6EBB135A">
            <w:pPr>
              <w:rPr>
                <w:rFonts w:ascii="宋体" w:hAnsi="宋体"/>
                <w:color w:val="auto"/>
                <w:sz w:val="24"/>
                <w:highlight w:val="none"/>
              </w:rPr>
            </w:pPr>
          </w:p>
        </w:tc>
        <w:tc>
          <w:tcPr>
            <w:tcW w:w="7174" w:type="dxa"/>
          </w:tcPr>
          <w:p w14:paraId="6DEA3DBA">
            <w:pPr>
              <w:rPr>
                <w:rFonts w:ascii="宋体" w:hAnsi="宋体"/>
                <w:color w:val="auto"/>
                <w:sz w:val="24"/>
                <w:highlight w:val="none"/>
              </w:rPr>
            </w:pPr>
          </w:p>
          <w:p w14:paraId="25F9A636">
            <w:pPr>
              <w:ind w:firstLine="600" w:firstLineChars="250"/>
              <w:rPr>
                <w:rFonts w:ascii="宋体" w:hAnsi="宋体"/>
                <w:color w:val="auto"/>
                <w:sz w:val="24"/>
                <w:highlight w:val="none"/>
              </w:rPr>
            </w:pPr>
            <w:r>
              <w:rPr>
                <w:rFonts w:hint="eastAsia" w:ascii="宋体" w:hAnsi="宋体"/>
                <w:color w:val="auto"/>
                <w:sz w:val="24"/>
                <w:highlight w:val="none"/>
              </w:rPr>
              <w:t>该项目已于   年    月   日按合同要求履约完成。根据合同规定，可将履约保证金（大写）人民币</w:t>
            </w:r>
            <w:r>
              <w:rPr>
                <w:rFonts w:hint="eastAsia" w:ascii="宋体" w:hAnsi="宋体"/>
                <w:color w:val="auto"/>
                <w:sz w:val="24"/>
                <w:highlight w:val="none"/>
                <w:u w:val="single"/>
              </w:rPr>
              <w:t xml:space="preserve">                  </w:t>
            </w:r>
            <w:r>
              <w:rPr>
                <w:rFonts w:hint="eastAsia" w:ascii="宋体" w:hAnsi="宋体"/>
                <w:color w:val="auto"/>
                <w:sz w:val="24"/>
                <w:highlight w:val="none"/>
              </w:rPr>
              <w:t>（小写）￥</w:t>
            </w:r>
            <w:r>
              <w:rPr>
                <w:rFonts w:hint="eastAsia" w:ascii="宋体" w:hAnsi="宋体"/>
                <w:color w:val="auto"/>
                <w:sz w:val="24"/>
                <w:highlight w:val="none"/>
                <w:u w:val="single"/>
              </w:rPr>
              <w:t xml:space="preserve">            </w:t>
            </w:r>
            <w:r>
              <w:rPr>
                <w:rFonts w:ascii="宋体" w:hAnsi="宋体"/>
                <w:color w:val="auto"/>
                <w:sz w:val="24"/>
                <w:highlight w:val="none"/>
                <w:u w:val="single"/>
              </w:rPr>
              <w:t>.00</w:t>
            </w:r>
            <w:r>
              <w:rPr>
                <w:rFonts w:hint="eastAsia" w:ascii="宋体" w:hAnsi="宋体"/>
                <w:color w:val="auto"/>
                <w:sz w:val="24"/>
                <w:highlight w:val="none"/>
              </w:rPr>
              <w:t>退付到达以下账户：</w:t>
            </w:r>
          </w:p>
          <w:p w14:paraId="4AF8DB7F">
            <w:pPr>
              <w:rPr>
                <w:rFonts w:ascii="宋体" w:hAnsi="宋体"/>
                <w:color w:val="auto"/>
                <w:sz w:val="24"/>
                <w:highlight w:val="none"/>
              </w:rPr>
            </w:pPr>
          </w:p>
          <w:p w14:paraId="58B6C105">
            <w:pPr>
              <w:spacing w:line="420" w:lineRule="exact"/>
              <w:rPr>
                <w:rFonts w:ascii="宋体" w:hAnsi="宋体"/>
                <w:color w:val="auto"/>
                <w:sz w:val="24"/>
                <w:highlight w:val="none"/>
              </w:rPr>
            </w:pPr>
            <w:r>
              <w:rPr>
                <w:rFonts w:hint="eastAsia" w:ascii="宋体" w:hAnsi="宋体"/>
                <w:color w:val="auto"/>
                <w:sz w:val="24"/>
                <w:highlight w:val="none"/>
              </w:rPr>
              <w:t>单位名称：</w:t>
            </w:r>
          </w:p>
          <w:p w14:paraId="6537FDC2">
            <w:pPr>
              <w:spacing w:line="420" w:lineRule="exact"/>
              <w:rPr>
                <w:rFonts w:ascii="宋体" w:hAnsi="宋体"/>
                <w:color w:val="auto"/>
                <w:sz w:val="24"/>
                <w:highlight w:val="none"/>
              </w:rPr>
            </w:pPr>
            <w:r>
              <w:rPr>
                <w:rFonts w:hint="eastAsia" w:ascii="宋体" w:hAnsi="宋体"/>
                <w:color w:val="auto"/>
                <w:sz w:val="24"/>
                <w:highlight w:val="none"/>
              </w:rPr>
              <w:t>开户银行：</w:t>
            </w:r>
          </w:p>
          <w:p w14:paraId="2F33127E">
            <w:pPr>
              <w:spacing w:line="420" w:lineRule="exact"/>
              <w:rPr>
                <w:rFonts w:ascii="宋体" w:hAnsi="宋体"/>
                <w:color w:val="auto"/>
                <w:sz w:val="24"/>
                <w:highlight w:val="none"/>
              </w:rPr>
            </w:pPr>
            <w:r>
              <w:rPr>
                <w:rFonts w:hint="eastAsia" w:ascii="宋体" w:hAnsi="宋体"/>
                <w:color w:val="auto"/>
                <w:sz w:val="24"/>
                <w:highlight w:val="none"/>
              </w:rPr>
              <w:t>银行账号：</w:t>
            </w:r>
          </w:p>
          <w:p w14:paraId="3114D82A">
            <w:pPr>
              <w:rPr>
                <w:rFonts w:ascii="宋体" w:hAnsi="宋体"/>
                <w:color w:val="auto"/>
                <w:sz w:val="24"/>
                <w:highlight w:val="none"/>
              </w:rPr>
            </w:pPr>
          </w:p>
          <w:p w14:paraId="6F07801A">
            <w:pPr>
              <w:spacing w:line="420" w:lineRule="exact"/>
              <w:rPr>
                <w:rFonts w:ascii="宋体" w:hAnsi="宋体"/>
                <w:color w:val="auto"/>
                <w:sz w:val="24"/>
                <w:highlight w:val="none"/>
              </w:rPr>
            </w:pPr>
            <w:r>
              <w:rPr>
                <w:rFonts w:hint="eastAsia" w:ascii="宋体" w:hAnsi="宋体"/>
                <w:color w:val="auto"/>
                <w:sz w:val="24"/>
                <w:highlight w:val="none"/>
              </w:rPr>
              <w:t>联系人：</w:t>
            </w:r>
          </w:p>
          <w:p w14:paraId="417147B2">
            <w:pPr>
              <w:spacing w:line="420" w:lineRule="exact"/>
              <w:rPr>
                <w:rFonts w:ascii="宋体" w:hAnsi="宋体"/>
                <w:color w:val="auto"/>
                <w:sz w:val="24"/>
                <w:highlight w:val="none"/>
              </w:rPr>
            </w:pPr>
            <w:r>
              <w:rPr>
                <w:rFonts w:hint="eastAsia" w:ascii="宋体" w:hAnsi="宋体"/>
                <w:color w:val="auto"/>
                <w:sz w:val="24"/>
                <w:highlight w:val="none"/>
              </w:rPr>
              <w:t>联系电话：</w:t>
            </w:r>
          </w:p>
          <w:p w14:paraId="7210029A">
            <w:pPr>
              <w:rPr>
                <w:rFonts w:ascii="宋体" w:hAnsi="宋体"/>
                <w:color w:val="auto"/>
                <w:sz w:val="24"/>
                <w:highlight w:val="none"/>
              </w:rPr>
            </w:pPr>
          </w:p>
          <w:p w14:paraId="5C5B85F7">
            <w:pPr>
              <w:spacing w:line="420" w:lineRule="exact"/>
              <w:rPr>
                <w:rFonts w:ascii="宋体" w:hAnsi="宋体"/>
                <w:color w:val="auto"/>
                <w:sz w:val="24"/>
                <w:highlight w:val="none"/>
                <w:u w:val="single"/>
              </w:rPr>
            </w:pPr>
            <w:r>
              <w:rPr>
                <w:rFonts w:hint="eastAsia" w:ascii="宋体" w:hAnsi="宋体"/>
                <w:color w:val="auto"/>
                <w:sz w:val="24"/>
                <w:highlight w:val="none"/>
              </w:rPr>
              <w:t xml:space="preserve">                                 供应商（签章）：</w:t>
            </w:r>
          </w:p>
          <w:p w14:paraId="721BEB5C">
            <w:pPr>
              <w:spacing w:line="420" w:lineRule="exac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35E8B195">
            <w:pPr>
              <w:rPr>
                <w:rFonts w:ascii="宋体" w:hAnsi="宋体"/>
                <w:color w:val="auto"/>
                <w:sz w:val="24"/>
                <w:highlight w:val="none"/>
              </w:rPr>
            </w:pPr>
          </w:p>
        </w:tc>
      </w:tr>
      <w:tr w14:paraId="3C9C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3" w:hRule="atLeast"/>
        </w:trPr>
        <w:tc>
          <w:tcPr>
            <w:tcW w:w="1730" w:type="dxa"/>
            <w:vAlign w:val="center"/>
          </w:tcPr>
          <w:p w14:paraId="1F8C603A">
            <w:pPr>
              <w:jc w:val="center"/>
              <w:rPr>
                <w:rFonts w:ascii="宋体" w:hAnsi="宋体"/>
                <w:color w:val="auto"/>
                <w:sz w:val="24"/>
                <w:highlight w:val="none"/>
              </w:rPr>
            </w:pPr>
            <w:r>
              <w:rPr>
                <w:rFonts w:hint="eastAsia" w:ascii="宋体" w:hAnsi="宋体"/>
                <w:color w:val="auto"/>
                <w:sz w:val="24"/>
                <w:highlight w:val="none"/>
              </w:rPr>
              <w:t>使用单位</w:t>
            </w:r>
          </w:p>
          <w:p w14:paraId="7287224E">
            <w:pPr>
              <w:jc w:val="center"/>
              <w:rPr>
                <w:rFonts w:ascii="宋体" w:hAnsi="宋体"/>
                <w:color w:val="auto"/>
                <w:sz w:val="24"/>
                <w:highlight w:val="none"/>
              </w:rPr>
            </w:pPr>
            <w:r>
              <w:rPr>
                <w:rFonts w:hint="eastAsia" w:ascii="宋体" w:hAnsi="宋体"/>
                <w:color w:val="auto"/>
                <w:sz w:val="24"/>
                <w:highlight w:val="none"/>
              </w:rPr>
              <w:t>意见</w:t>
            </w:r>
          </w:p>
        </w:tc>
        <w:tc>
          <w:tcPr>
            <w:tcW w:w="7174" w:type="dxa"/>
          </w:tcPr>
          <w:p w14:paraId="6D151460">
            <w:pPr>
              <w:rPr>
                <w:rFonts w:ascii="宋体" w:hAnsi="宋体"/>
                <w:color w:val="auto"/>
                <w:sz w:val="24"/>
                <w:highlight w:val="none"/>
              </w:rPr>
            </w:pPr>
            <w:r>
              <w:rPr>
                <w:rFonts w:hint="eastAsia" w:ascii="宋体" w:hAnsi="宋体"/>
                <w:color w:val="auto"/>
                <w:sz w:val="24"/>
                <w:highlight w:val="none"/>
              </w:rPr>
              <w:t>（退付意见：是否同意退付履约保证金）</w:t>
            </w:r>
          </w:p>
          <w:p w14:paraId="70CF2981">
            <w:pPr>
              <w:spacing w:line="420" w:lineRule="exact"/>
              <w:rPr>
                <w:rFonts w:ascii="宋体" w:hAnsi="宋体"/>
                <w:color w:val="auto"/>
                <w:sz w:val="24"/>
                <w:highlight w:val="none"/>
              </w:rPr>
            </w:pPr>
          </w:p>
          <w:p w14:paraId="212D1675">
            <w:pPr>
              <w:spacing w:line="420" w:lineRule="exact"/>
              <w:rPr>
                <w:rFonts w:ascii="宋体" w:hAnsi="宋体"/>
                <w:color w:val="auto"/>
                <w:sz w:val="24"/>
                <w:highlight w:val="none"/>
              </w:rPr>
            </w:pPr>
            <w:r>
              <w:rPr>
                <w:rFonts w:hint="eastAsia" w:ascii="宋体" w:hAnsi="宋体"/>
                <w:color w:val="auto"/>
                <w:sz w:val="24"/>
                <w:highlight w:val="none"/>
              </w:rPr>
              <w:t>项目负责人意见：</w:t>
            </w:r>
          </w:p>
          <w:p w14:paraId="7FD65447">
            <w:pPr>
              <w:spacing w:line="420" w:lineRule="exact"/>
              <w:rPr>
                <w:rFonts w:ascii="宋体" w:hAnsi="宋体"/>
                <w:color w:val="auto"/>
                <w:sz w:val="24"/>
                <w:highlight w:val="none"/>
              </w:rPr>
            </w:pPr>
          </w:p>
          <w:p w14:paraId="3B718464">
            <w:pPr>
              <w:spacing w:line="420" w:lineRule="exact"/>
              <w:rPr>
                <w:rFonts w:ascii="宋体" w:hAnsi="宋体"/>
                <w:color w:val="auto"/>
                <w:sz w:val="24"/>
                <w:highlight w:val="none"/>
              </w:rPr>
            </w:pPr>
            <w:r>
              <w:rPr>
                <w:rFonts w:hint="eastAsia" w:ascii="宋体" w:hAnsi="宋体"/>
                <w:color w:val="auto"/>
                <w:sz w:val="24"/>
                <w:highlight w:val="none"/>
              </w:rPr>
              <w:t>联系人：</w:t>
            </w:r>
          </w:p>
          <w:p w14:paraId="656F897B">
            <w:pPr>
              <w:spacing w:line="420" w:lineRule="exact"/>
              <w:rPr>
                <w:rFonts w:ascii="宋体" w:hAnsi="宋体"/>
                <w:color w:val="auto"/>
                <w:sz w:val="24"/>
                <w:highlight w:val="none"/>
              </w:rPr>
            </w:pPr>
            <w:r>
              <w:rPr>
                <w:rFonts w:hint="eastAsia" w:ascii="宋体" w:hAnsi="宋体"/>
                <w:color w:val="auto"/>
                <w:sz w:val="24"/>
                <w:highlight w:val="none"/>
              </w:rPr>
              <w:t>联系电话：</w:t>
            </w:r>
          </w:p>
          <w:p w14:paraId="43730543">
            <w:pPr>
              <w:rPr>
                <w:rFonts w:ascii="宋体" w:hAnsi="宋体"/>
                <w:color w:val="auto"/>
                <w:sz w:val="24"/>
                <w:highlight w:val="none"/>
              </w:rPr>
            </w:pPr>
          </w:p>
          <w:p w14:paraId="7B5159D9">
            <w:pPr>
              <w:rPr>
                <w:rFonts w:ascii="宋体" w:hAnsi="宋体"/>
                <w:color w:val="auto"/>
                <w:sz w:val="24"/>
                <w:highlight w:val="none"/>
                <w:u w:val="single"/>
              </w:rPr>
            </w:pPr>
            <w:r>
              <w:rPr>
                <w:rFonts w:hint="eastAsia" w:ascii="宋体" w:hAnsi="宋体"/>
                <w:color w:val="auto"/>
                <w:sz w:val="24"/>
                <w:highlight w:val="none"/>
              </w:rPr>
              <w:t xml:space="preserve">                                   单位（签章）：</w:t>
            </w:r>
          </w:p>
          <w:p w14:paraId="3F76A1BD">
            <w:pPr>
              <w:spacing w:line="420" w:lineRule="exac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tc>
      </w:tr>
      <w:tr w14:paraId="5952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1730" w:type="dxa"/>
            <w:vAlign w:val="center"/>
          </w:tcPr>
          <w:p w14:paraId="17C11176">
            <w:pPr>
              <w:jc w:val="center"/>
              <w:rPr>
                <w:rFonts w:ascii="宋体" w:hAnsi="宋体"/>
                <w:color w:val="auto"/>
                <w:sz w:val="24"/>
                <w:highlight w:val="none"/>
              </w:rPr>
            </w:pPr>
            <w:r>
              <w:rPr>
                <w:rFonts w:hint="eastAsia" w:ascii="宋体" w:hAnsi="宋体"/>
                <w:color w:val="auto"/>
                <w:sz w:val="24"/>
                <w:highlight w:val="none"/>
              </w:rPr>
              <w:t>国有资产与实验室管理处（招标与采购管理中心）意见</w:t>
            </w:r>
          </w:p>
        </w:tc>
        <w:tc>
          <w:tcPr>
            <w:tcW w:w="7174" w:type="dxa"/>
          </w:tcPr>
          <w:p w14:paraId="0D997E11">
            <w:pPr>
              <w:rPr>
                <w:rFonts w:ascii="宋体" w:hAnsi="宋体"/>
                <w:color w:val="auto"/>
                <w:sz w:val="24"/>
                <w:highlight w:val="none"/>
              </w:rPr>
            </w:pPr>
          </w:p>
          <w:p w14:paraId="655274A0">
            <w:pPr>
              <w:rPr>
                <w:rFonts w:ascii="宋体" w:hAnsi="宋体"/>
                <w:color w:val="auto"/>
                <w:sz w:val="24"/>
                <w:highlight w:val="none"/>
              </w:rPr>
            </w:pPr>
          </w:p>
          <w:p w14:paraId="00FB5944">
            <w:pPr>
              <w:rPr>
                <w:rFonts w:ascii="宋体" w:hAnsi="宋体"/>
                <w:color w:val="auto"/>
                <w:sz w:val="24"/>
                <w:highlight w:val="none"/>
              </w:rPr>
            </w:pPr>
          </w:p>
          <w:p w14:paraId="2EB4B390">
            <w:pPr>
              <w:rPr>
                <w:rFonts w:ascii="宋体" w:hAnsi="宋体"/>
                <w:color w:val="auto"/>
                <w:sz w:val="24"/>
                <w:highlight w:val="none"/>
              </w:rPr>
            </w:pPr>
            <w:r>
              <w:rPr>
                <w:rFonts w:hint="eastAsia" w:ascii="宋体" w:hAnsi="宋体"/>
                <w:color w:val="auto"/>
                <w:sz w:val="24"/>
                <w:highlight w:val="none"/>
              </w:rPr>
              <w:t xml:space="preserve">                  </w:t>
            </w:r>
          </w:p>
          <w:p w14:paraId="79E8A946">
            <w:pPr>
              <w:rPr>
                <w:rFonts w:ascii="宋体" w:hAnsi="宋体"/>
                <w:color w:val="auto"/>
                <w:sz w:val="24"/>
                <w:highlight w:val="none"/>
              </w:rPr>
            </w:pPr>
          </w:p>
          <w:p w14:paraId="6B94DFE7">
            <w:pPr>
              <w:ind w:firstLine="4080" w:firstLineChars="1700"/>
              <w:rPr>
                <w:rFonts w:ascii="宋体" w:hAnsi="宋体"/>
                <w:color w:val="auto"/>
                <w:sz w:val="24"/>
                <w:highlight w:val="none"/>
              </w:rPr>
            </w:pPr>
            <w:r>
              <w:rPr>
                <w:rFonts w:hint="eastAsia" w:ascii="宋体" w:hAnsi="宋体"/>
                <w:color w:val="auto"/>
                <w:sz w:val="24"/>
                <w:highlight w:val="none"/>
              </w:rPr>
              <w:t>单位（签章）：</w:t>
            </w:r>
          </w:p>
          <w:p w14:paraId="5F8F1B02">
            <w:pPr>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tc>
      </w:tr>
    </w:tbl>
    <w:p w14:paraId="5859E568">
      <w:pPr>
        <w:snapToGrid w:val="0"/>
        <w:spacing w:line="360" w:lineRule="auto"/>
        <w:rPr>
          <w:rFonts w:ascii="宋体" w:hAnsi="宋体" w:cs="宋体"/>
          <w:color w:val="auto"/>
          <w:sz w:val="24"/>
          <w:highlight w:val="none"/>
        </w:rPr>
      </w:pPr>
    </w:p>
    <w:sectPr>
      <w:footerReference r:id="rId9" w:type="first"/>
      <w:pgSz w:w="11905" w:h="16838"/>
      <w:pgMar w:top="1417" w:right="1417" w:bottom="1417" w:left="1417" w:header="850" w:footer="992" w:gutter="0"/>
      <w:cols w:space="720" w:num="1"/>
      <w:titlePg/>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51059BB-F131-4ED1-AF11-50E065DDE7F5}"/>
  </w:font>
  <w:font w:name="Arial">
    <w:panose1 w:val="020B0604020202020204"/>
    <w:charset w:val="01"/>
    <w:family w:val="swiss"/>
    <w:pitch w:val="default"/>
    <w:sig w:usb0="E0002EFF" w:usb1="C000785B" w:usb2="00000009" w:usb3="00000000" w:csb0="400001FF" w:csb1="FFFF0000"/>
    <w:embedRegular r:id="rId2" w:fontKey="{E77A4654-8A08-4A98-920F-F00892052839}"/>
  </w:font>
  <w:font w:name="黑体">
    <w:panose1 w:val="02010609060101010101"/>
    <w:charset w:val="86"/>
    <w:family w:val="auto"/>
    <w:pitch w:val="default"/>
    <w:sig w:usb0="800002BF" w:usb1="38CF7CFA" w:usb2="00000016" w:usb3="00000000" w:csb0="00040001" w:csb1="00000000"/>
    <w:embedRegular r:id="rId3" w:fontKey="{0F6ACF7C-ED11-407F-9420-63EAD646FD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625A05E4-1536-4838-84DA-94DB5E39A321}"/>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方正书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embedRegular r:id="rId5" w:fontKey="{185D75F9-A4D4-4360-8BB3-C18DBDCE58EF}"/>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7FFAEFF" w:usb1="F9DFFFFF" w:usb2="0000007F" w:usb3="00000000" w:csb0="203F01FF" w:csb1="DFFF0000"/>
    <w:embedRegular r:id="rId6" w:fontKey="{90EFEA86-0DE6-433A-89E2-0E7565791567}"/>
  </w:font>
  <w:font w:name="楷体">
    <w:panose1 w:val="02010609060101010101"/>
    <w:charset w:val="86"/>
    <w:family w:val="modern"/>
    <w:pitch w:val="default"/>
    <w:sig w:usb0="800002BF" w:usb1="38CF7CFA" w:usb2="00000016" w:usb3="00000000" w:csb0="00040001" w:csb1="00000000"/>
    <w:embedRegular r:id="rId7" w:fontKey="{E2048DA6-B79C-4787-A05B-4D3B8EEDAB97}"/>
  </w:font>
  <w:font w:name="Segoe UI Symbol">
    <w:panose1 w:val="020B0502040204020203"/>
    <w:charset w:val="00"/>
    <w:family w:val="swiss"/>
    <w:pitch w:val="default"/>
    <w:sig w:usb0="800001E3" w:usb1="1200FFEF" w:usb2="00040000" w:usb3="04000000" w:csb0="00000001" w:csb1="40000000"/>
    <w:embedRegular r:id="rId8" w:fontKey="{013717C2-BC31-4600-92C6-C34BA596E73B}"/>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978B8">
    <w:pPr>
      <w:pStyle w:val="17"/>
      <w:framePr w:wrap="around" w:vAnchor="text" w:hAnchor="margin" w:xAlign="center" w:y="1"/>
      <w:jc w:val="center"/>
      <w:rPr>
        <w:rStyle w:val="30"/>
      </w:rPr>
    </w:pPr>
    <w:r>
      <w:fldChar w:fldCharType="begin"/>
    </w:r>
    <w:r>
      <w:rPr>
        <w:rStyle w:val="30"/>
      </w:rPr>
      <w:instrText xml:space="preserve">PAGE  </w:instrText>
    </w:r>
    <w:r>
      <w:fldChar w:fldCharType="separate"/>
    </w:r>
    <w:r>
      <w:rPr>
        <w:rStyle w:val="30"/>
      </w:rPr>
      <w:t>27</w:t>
    </w:r>
    <w:r>
      <w:fldChar w:fldCharType="end"/>
    </w:r>
  </w:p>
  <w:p w14:paraId="5FBA9364">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05ED6">
    <w:pPr>
      <w:pStyle w:val="17"/>
      <w:framePr w:wrap="around" w:vAnchor="text" w:hAnchor="margin" w:xAlign="center" w:y="1"/>
      <w:rPr>
        <w:rStyle w:val="30"/>
      </w:rPr>
    </w:pPr>
    <w:r>
      <w:fldChar w:fldCharType="begin"/>
    </w:r>
    <w:r>
      <w:rPr>
        <w:rStyle w:val="30"/>
      </w:rPr>
      <w:instrText xml:space="preserve">PAGE  </w:instrText>
    </w:r>
    <w:r>
      <w:fldChar w:fldCharType="separate"/>
    </w:r>
    <w:r>
      <w:rPr>
        <w:rStyle w:val="30"/>
      </w:rPr>
      <w:t>1</w:t>
    </w:r>
    <w:r>
      <w:fldChar w:fldCharType="end"/>
    </w:r>
  </w:p>
  <w:p w14:paraId="1F7BD6B5">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A876B">
    <w:pPr>
      <w:pStyle w:val="17"/>
      <w:jc w:val="center"/>
    </w:pPr>
    <w:r>
      <w:fldChar w:fldCharType="begin"/>
    </w:r>
    <w:r>
      <w:instrText xml:space="preserve"> PAGE   \* MERGEFORMAT </w:instrText>
    </w:r>
    <w:r>
      <w:fldChar w:fldCharType="separate"/>
    </w:r>
    <w:r>
      <w:rPr>
        <w:lang w:val="zh-CN"/>
      </w:rPr>
      <w:t>28</w:t>
    </w:r>
    <w:r>
      <w:fldChar w:fldCharType="end"/>
    </w:r>
  </w:p>
  <w:p w14:paraId="61594EDA">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92C19">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51A73">
                          <w:pPr>
                            <w:pStyle w:val="17"/>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7C51A73">
                    <w:pPr>
                      <w:pStyle w:val="17"/>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9AF76">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C79917">
                          <w:pPr>
                            <w:pStyle w:val="17"/>
                          </w:pPr>
                          <w:r>
                            <w:rPr>
                              <w:rFonts w:hint="eastAsia"/>
                            </w:rPr>
                            <w:fldChar w:fldCharType="begin"/>
                          </w:r>
                          <w:r>
                            <w:rPr>
                              <w:rFonts w:hint="eastAsia"/>
                            </w:rPr>
                            <w:instrText xml:space="preserve"> PAGE  \* MERGEFORMAT </w:instrText>
                          </w:r>
                          <w:r>
                            <w:rPr>
                              <w:rFonts w:hint="eastAsia"/>
                            </w:rPr>
                            <w:fldChar w:fldCharType="separate"/>
                          </w:r>
                          <w:r>
                            <w:t>78</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M7uMX7FAQAAkAMAAA4AAAAAAAAAAQAgAAAAHgEAAGRycy9lMm9Eb2MueG1s&#10;UEsFBgAAAAAGAAYAWQEAAFUFAAAAAA==&#10;">
              <v:fill on="f" focussize="0,0"/>
              <v:stroke on="f"/>
              <v:imagedata o:title=""/>
              <o:lock v:ext="edit" aspectratio="f"/>
              <v:textbox inset="0mm,0mm,0mm,0mm" style="mso-fit-shape-to-text:t;">
                <w:txbxContent>
                  <w:p w14:paraId="05C79917">
                    <w:pPr>
                      <w:pStyle w:val="17"/>
                    </w:pPr>
                    <w:r>
                      <w:rPr>
                        <w:rFonts w:hint="eastAsia"/>
                      </w:rPr>
                      <w:fldChar w:fldCharType="begin"/>
                    </w:r>
                    <w:r>
                      <w:rPr>
                        <w:rFonts w:hint="eastAsia"/>
                      </w:rPr>
                      <w:instrText xml:space="preserve"> PAGE  \* MERGEFORMAT </w:instrText>
                    </w:r>
                    <w:r>
                      <w:rPr>
                        <w:rFonts w:hint="eastAsia"/>
                      </w:rPr>
                      <w:fldChar w:fldCharType="separate"/>
                    </w:r>
                    <w:r>
                      <w:t>78</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3395">
    <w:pPr>
      <w:pStyle w:val="18"/>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2B720">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037755"/>
    <w:multiLevelType w:val="singleLevel"/>
    <w:tmpl w:val="15037755"/>
    <w:lvl w:ilvl="0" w:tentative="0">
      <w:start w:val="1"/>
      <w:numFmt w:val="chineseCounting"/>
      <w:suff w:val="nothing"/>
      <w:lvlText w:val="%1、"/>
      <w:lvlJc w:val="left"/>
      <w:rPr>
        <w:rFonts w:hint="eastAsia"/>
      </w:rPr>
    </w:lvl>
  </w:abstractNum>
  <w:abstractNum w:abstractNumId="1">
    <w:nsid w:val="43AF41CA"/>
    <w:multiLevelType w:val="singleLevel"/>
    <w:tmpl w:val="43AF41CA"/>
    <w:lvl w:ilvl="0" w:tentative="0">
      <w:start w:val="1"/>
      <w:numFmt w:val="decimal"/>
      <w:lvlText w:val="%1."/>
      <w:lvlJc w:val="left"/>
      <w:pPr>
        <w:tabs>
          <w:tab w:val="left" w:pos="312"/>
        </w:tabs>
      </w:pPr>
    </w:lvl>
  </w:abstractNum>
  <w:abstractNum w:abstractNumId="2">
    <w:nsid w:val="53D2E3EF"/>
    <w:multiLevelType w:val="singleLevel"/>
    <w:tmpl w:val="53D2E3EF"/>
    <w:lvl w:ilvl="0" w:tentative="0">
      <w:start w:val="1"/>
      <w:numFmt w:val="decimal"/>
      <w:lvlText w:val="%1."/>
      <w:lvlJc w:val="left"/>
      <w:pPr>
        <w:tabs>
          <w:tab w:val="left" w:pos="312"/>
        </w:tabs>
      </w:pPr>
    </w:lvl>
  </w:abstractNum>
  <w:abstractNum w:abstractNumId="3">
    <w:nsid w:val="61BF1AE8"/>
    <w:multiLevelType w:val="multilevel"/>
    <w:tmpl w:val="61BF1AE8"/>
    <w:lvl w:ilvl="0" w:tentative="0">
      <w:start w:val="1"/>
      <w:numFmt w:val="japaneseCounting"/>
      <w:lvlText w:val="第%1章"/>
      <w:lvlJc w:val="left"/>
      <w:pPr>
        <w:ind w:left="1545" w:hanging="154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TrueTypeFonts/>
  <w:saveSubsetFonts/>
  <w:bordersDoNotSurroundHeader w:val="0"/>
  <w:bordersDoNotSurroundFooter w:val="0"/>
  <w:hideSpellingErrors/>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ZlZWE4NGM4OTliODc5MjQyODg4MzM0MTNlMjk3ODUifQ=="/>
  </w:docVars>
  <w:rsids>
    <w:rsidRoot w:val="00F34B14"/>
    <w:rsid w:val="00000672"/>
    <w:rsid w:val="00001799"/>
    <w:rsid w:val="000022D9"/>
    <w:rsid w:val="00002D29"/>
    <w:rsid w:val="000040C5"/>
    <w:rsid w:val="000045C6"/>
    <w:rsid w:val="00004A8A"/>
    <w:rsid w:val="0000574C"/>
    <w:rsid w:val="00005B07"/>
    <w:rsid w:val="00005E55"/>
    <w:rsid w:val="00005FDF"/>
    <w:rsid w:val="00006586"/>
    <w:rsid w:val="000065BA"/>
    <w:rsid w:val="0001045D"/>
    <w:rsid w:val="00010D39"/>
    <w:rsid w:val="000112BB"/>
    <w:rsid w:val="0001149B"/>
    <w:rsid w:val="0001172C"/>
    <w:rsid w:val="00012854"/>
    <w:rsid w:val="00012E50"/>
    <w:rsid w:val="00012EA6"/>
    <w:rsid w:val="000139DC"/>
    <w:rsid w:val="00013D8C"/>
    <w:rsid w:val="00013DFE"/>
    <w:rsid w:val="00013F03"/>
    <w:rsid w:val="000141EA"/>
    <w:rsid w:val="00014385"/>
    <w:rsid w:val="00014D2F"/>
    <w:rsid w:val="000159F6"/>
    <w:rsid w:val="00016447"/>
    <w:rsid w:val="00016960"/>
    <w:rsid w:val="00017396"/>
    <w:rsid w:val="000177DB"/>
    <w:rsid w:val="00020227"/>
    <w:rsid w:val="000203E4"/>
    <w:rsid w:val="00020455"/>
    <w:rsid w:val="00020CCE"/>
    <w:rsid w:val="00022731"/>
    <w:rsid w:val="00022792"/>
    <w:rsid w:val="00022A07"/>
    <w:rsid w:val="000242CE"/>
    <w:rsid w:val="00025382"/>
    <w:rsid w:val="00025636"/>
    <w:rsid w:val="00025E36"/>
    <w:rsid w:val="00026627"/>
    <w:rsid w:val="00026886"/>
    <w:rsid w:val="0002793A"/>
    <w:rsid w:val="00030496"/>
    <w:rsid w:val="000329E0"/>
    <w:rsid w:val="000333A0"/>
    <w:rsid w:val="00034060"/>
    <w:rsid w:val="000352E9"/>
    <w:rsid w:val="00035983"/>
    <w:rsid w:val="00036A07"/>
    <w:rsid w:val="00036E33"/>
    <w:rsid w:val="00036FAD"/>
    <w:rsid w:val="00037363"/>
    <w:rsid w:val="00037E2D"/>
    <w:rsid w:val="00040571"/>
    <w:rsid w:val="0004156E"/>
    <w:rsid w:val="00041597"/>
    <w:rsid w:val="00041800"/>
    <w:rsid w:val="0004440C"/>
    <w:rsid w:val="00045880"/>
    <w:rsid w:val="000462CB"/>
    <w:rsid w:val="00046B5E"/>
    <w:rsid w:val="0004783A"/>
    <w:rsid w:val="000509D9"/>
    <w:rsid w:val="0005398D"/>
    <w:rsid w:val="000552A6"/>
    <w:rsid w:val="00055D41"/>
    <w:rsid w:val="000569C7"/>
    <w:rsid w:val="00057CEC"/>
    <w:rsid w:val="00060DCE"/>
    <w:rsid w:val="00061A5A"/>
    <w:rsid w:val="000623B4"/>
    <w:rsid w:val="000634A3"/>
    <w:rsid w:val="000634A7"/>
    <w:rsid w:val="00063E85"/>
    <w:rsid w:val="00063F81"/>
    <w:rsid w:val="00064847"/>
    <w:rsid w:val="0006484B"/>
    <w:rsid w:val="000673E2"/>
    <w:rsid w:val="000703B6"/>
    <w:rsid w:val="000711E4"/>
    <w:rsid w:val="000719F9"/>
    <w:rsid w:val="0007228C"/>
    <w:rsid w:val="000722D1"/>
    <w:rsid w:val="00072AED"/>
    <w:rsid w:val="00073B38"/>
    <w:rsid w:val="00073F47"/>
    <w:rsid w:val="00075B7E"/>
    <w:rsid w:val="00077C70"/>
    <w:rsid w:val="00080B57"/>
    <w:rsid w:val="00081BA3"/>
    <w:rsid w:val="00081D2E"/>
    <w:rsid w:val="00081E30"/>
    <w:rsid w:val="0008267B"/>
    <w:rsid w:val="00082D02"/>
    <w:rsid w:val="000833E9"/>
    <w:rsid w:val="00083B91"/>
    <w:rsid w:val="0008520B"/>
    <w:rsid w:val="000871B8"/>
    <w:rsid w:val="00087DB6"/>
    <w:rsid w:val="000913BE"/>
    <w:rsid w:val="000918F8"/>
    <w:rsid w:val="00092442"/>
    <w:rsid w:val="00094183"/>
    <w:rsid w:val="00095233"/>
    <w:rsid w:val="0009588E"/>
    <w:rsid w:val="000959EE"/>
    <w:rsid w:val="00095B51"/>
    <w:rsid w:val="00097DA0"/>
    <w:rsid w:val="000A0D6B"/>
    <w:rsid w:val="000A1389"/>
    <w:rsid w:val="000A166E"/>
    <w:rsid w:val="000A2B0E"/>
    <w:rsid w:val="000A398F"/>
    <w:rsid w:val="000A509C"/>
    <w:rsid w:val="000A5516"/>
    <w:rsid w:val="000A6007"/>
    <w:rsid w:val="000A65A6"/>
    <w:rsid w:val="000A7275"/>
    <w:rsid w:val="000A7A12"/>
    <w:rsid w:val="000A7CA5"/>
    <w:rsid w:val="000B039A"/>
    <w:rsid w:val="000B1801"/>
    <w:rsid w:val="000B1D0C"/>
    <w:rsid w:val="000B2D03"/>
    <w:rsid w:val="000B3815"/>
    <w:rsid w:val="000B3C7B"/>
    <w:rsid w:val="000B5B24"/>
    <w:rsid w:val="000B666F"/>
    <w:rsid w:val="000B6C95"/>
    <w:rsid w:val="000C06D3"/>
    <w:rsid w:val="000C0C58"/>
    <w:rsid w:val="000C1679"/>
    <w:rsid w:val="000C2F89"/>
    <w:rsid w:val="000C30BB"/>
    <w:rsid w:val="000C366E"/>
    <w:rsid w:val="000C3B94"/>
    <w:rsid w:val="000C4635"/>
    <w:rsid w:val="000C548E"/>
    <w:rsid w:val="000C5698"/>
    <w:rsid w:val="000C5775"/>
    <w:rsid w:val="000C6DE4"/>
    <w:rsid w:val="000C716B"/>
    <w:rsid w:val="000C7C12"/>
    <w:rsid w:val="000D01EB"/>
    <w:rsid w:val="000D056E"/>
    <w:rsid w:val="000D0675"/>
    <w:rsid w:val="000D0A89"/>
    <w:rsid w:val="000D1389"/>
    <w:rsid w:val="000D1798"/>
    <w:rsid w:val="000D1A2A"/>
    <w:rsid w:val="000D1A53"/>
    <w:rsid w:val="000D2626"/>
    <w:rsid w:val="000D2B7D"/>
    <w:rsid w:val="000D4A06"/>
    <w:rsid w:val="000D6DCD"/>
    <w:rsid w:val="000D73DD"/>
    <w:rsid w:val="000D7D9B"/>
    <w:rsid w:val="000E18E2"/>
    <w:rsid w:val="000E28AB"/>
    <w:rsid w:val="000E28C1"/>
    <w:rsid w:val="000E2E3E"/>
    <w:rsid w:val="000E33C5"/>
    <w:rsid w:val="000E3583"/>
    <w:rsid w:val="000E3AF0"/>
    <w:rsid w:val="000E3D53"/>
    <w:rsid w:val="000E4E04"/>
    <w:rsid w:val="000E684C"/>
    <w:rsid w:val="000E6EC9"/>
    <w:rsid w:val="000E70B4"/>
    <w:rsid w:val="000F06FC"/>
    <w:rsid w:val="000F0742"/>
    <w:rsid w:val="000F3281"/>
    <w:rsid w:val="000F3733"/>
    <w:rsid w:val="000F4D88"/>
    <w:rsid w:val="000F4FC9"/>
    <w:rsid w:val="000F64AA"/>
    <w:rsid w:val="000F7AF4"/>
    <w:rsid w:val="000F7C33"/>
    <w:rsid w:val="000F7F0C"/>
    <w:rsid w:val="00100246"/>
    <w:rsid w:val="001004D6"/>
    <w:rsid w:val="00100D90"/>
    <w:rsid w:val="00102309"/>
    <w:rsid w:val="00102ECA"/>
    <w:rsid w:val="00103918"/>
    <w:rsid w:val="00104889"/>
    <w:rsid w:val="00104897"/>
    <w:rsid w:val="00104D7E"/>
    <w:rsid w:val="00104EDE"/>
    <w:rsid w:val="00105AA1"/>
    <w:rsid w:val="00105FAC"/>
    <w:rsid w:val="00106BEE"/>
    <w:rsid w:val="00110339"/>
    <w:rsid w:val="00110C92"/>
    <w:rsid w:val="00113134"/>
    <w:rsid w:val="00113AC0"/>
    <w:rsid w:val="00114851"/>
    <w:rsid w:val="00115E11"/>
    <w:rsid w:val="00115F56"/>
    <w:rsid w:val="00117CBD"/>
    <w:rsid w:val="0012006A"/>
    <w:rsid w:val="00120990"/>
    <w:rsid w:val="001217B5"/>
    <w:rsid w:val="00121979"/>
    <w:rsid w:val="00122064"/>
    <w:rsid w:val="0012378B"/>
    <w:rsid w:val="00123B26"/>
    <w:rsid w:val="00125004"/>
    <w:rsid w:val="001263B8"/>
    <w:rsid w:val="00126763"/>
    <w:rsid w:val="00130217"/>
    <w:rsid w:val="00130783"/>
    <w:rsid w:val="00130990"/>
    <w:rsid w:val="001312CB"/>
    <w:rsid w:val="00132B47"/>
    <w:rsid w:val="00132E64"/>
    <w:rsid w:val="00134816"/>
    <w:rsid w:val="001351CB"/>
    <w:rsid w:val="001359A2"/>
    <w:rsid w:val="00135E37"/>
    <w:rsid w:val="00136020"/>
    <w:rsid w:val="00136445"/>
    <w:rsid w:val="0013746E"/>
    <w:rsid w:val="001374F3"/>
    <w:rsid w:val="00140132"/>
    <w:rsid w:val="00141C9C"/>
    <w:rsid w:val="00142668"/>
    <w:rsid w:val="001434BE"/>
    <w:rsid w:val="00144275"/>
    <w:rsid w:val="0014479F"/>
    <w:rsid w:val="001452B4"/>
    <w:rsid w:val="00146EC6"/>
    <w:rsid w:val="001478D2"/>
    <w:rsid w:val="00151C48"/>
    <w:rsid w:val="00152A87"/>
    <w:rsid w:val="00154486"/>
    <w:rsid w:val="00154663"/>
    <w:rsid w:val="00156D0E"/>
    <w:rsid w:val="00156DD9"/>
    <w:rsid w:val="0016086E"/>
    <w:rsid w:val="00160D0C"/>
    <w:rsid w:val="00161172"/>
    <w:rsid w:val="0016139E"/>
    <w:rsid w:val="00161E65"/>
    <w:rsid w:val="00162597"/>
    <w:rsid w:val="001629AF"/>
    <w:rsid w:val="00162C1D"/>
    <w:rsid w:val="001633A3"/>
    <w:rsid w:val="0016428A"/>
    <w:rsid w:val="001647C9"/>
    <w:rsid w:val="00164837"/>
    <w:rsid w:val="001661A3"/>
    <w:rsid w:val="0016782B"/>
    <w:rsid w:val="00170B05"/>
    <w:rsid w:val="00173256"/>
    <w:rsid w:val="001733E1"/>
    <w:rsid w:val="00173F74"/>
    <w:rsid w:val="00175086"/>
    <w:rsid w:val="00175BA6"/>
    <w:rsid w:val="0017617F"/>
    <w:rsid w:val="00176CA7"/>
    <w:rsid w:val="001778C5"/>
    <w:rsid w:val="00177E56"/>
    <w:rsid w:val="00177F0A"/>
    <w:rsid w:val="00183852"/>
    <w:rsid w:val="00185617"/>
    <w:rsid w:val="00186ADE"/>
    <w:rsid w:val="00187F35"/>
    <w:rsid w:val="0019171E"/>
    <w:rsid w:val="0019220F"/>
    <w:rsid w:val="001928B1"/>
    <w:rsid w:val="00194ED5"/>
    <w:rsid w:val="00195424"/>
    <w:rsid w:val="001955FF"/>
    <w:rsid w:val="0019692F"/>
    <w:rsid w:val="00197EDD"/>
    <w:rsid w:val="00197F70"/>
    <w:rsid w:val="001A02B3"/>
    <w:rsid w:val="001A0322"/>
    <w:rsid w:val="001A04BB"/>
    <w:rsid w:val="001A08D0"/>
    <w:rsid w:val="001A14B1"/>
    <w:rsid w:val="001A1B39"/>
    <w:rsid w:val="001A1E51"/>
    <w:rsid w:val="001A2492"/>
    <w:rsid w:val="001A2E69"/>
    <w:rsid w:val="001A3C34"/>
    <w:rsid w:val="001A3EDE"/>
    <w:rsid w:val="001A4222"/>
    <w:rsid w:val="001A50EA"/>
    <w:rsid w:val="001A5E24"/>
    <w:rsid w:val="001A6D8B"/>
    <w:rsid w:val="001B079E"/>
    <w:rsid w:val="001B0CDA"/>
    <w:rsid w:val="001B0E26"/>
    <w:rsid w:val="001B125A"/>
    <w:rsid w:val="001B1EBA"/>
    <w:rsid w:val="001B2142"/>
    <w:rsid w:val="001B26CF"/>
    <w:rsid w:val="001B2F2B"/>
    <w:rsid w:val="001B327A"/>
    <w:rsid w:val="001B35DE"/>
    <w:rsid w:val="001B3A13"/>
    <w:rsid w:val="001B59FF"/>
    <w:rsid w:val="001B636D"/>
    <w:rsid w:val="001B65D7"/>
    <w:rsid w:val="001B6752"/>
    <w:rsid w:val="001B6768"/>
    <w:rsid w:val="001B6F1F"/>
    <w:rsid w:val="001B7ECC"/>
    <w:rsid w:val="001C25A7"/>
    <w:rsid w:val="001C318C"/>
    <w:rsid w:val="001C38B0"/>
    <w:rsid w:val="001C4287"/>
    <w:rsid w:val="001C4479"/>
    <w:rsid w:val="001C76B7"/>
    <w:rsid w:val="001C76FB"/>
    <w:rsid w:val="001D1165"/>
    <w:rsid w:val="001D2764"/>
    <w:rsid w:val="001D324F"/>
    <w:rsid w:val="001D3697"/>
    <w:rsid w:val="001D51DE"/>
    <w:rsid w:val="001D540E"/>
    <w:rsid w:val="001D58A1"/>
    <w:rsid w:val="001D5A8A"/>
    <w:rsid w:val="001D735E"/>
    <w:rsid w:val="001D73C8"/>
    <w:rsid w:val="001D74D4"/>
    <w:rsid w:val="001D756D"/>
    <w:rsid w:val="001D778C"/>
    <w:rsid w:val="001D7E1F"/>
    <w:rsid w:val="001E0756"/>
    <w:rsid w:val="001E0A8D"/>
    <w:rsid w:val="001E0FFB"/>
    <w:rsid w:val="001E129E"/>
    <w:rsid w:val="001E1F33"/>
    <w:rsid w:val="001E2B9F"/>
    <w:rsid w:val="001E30C0"/>
    <w:rsid w:val="001E3221"/>
    <w:rsid w:val="001E33BA"/>
    <w:rsid w:val="001E49F2"/>
    <w:rsid w:val="001E4A8D"/>
    <w:rsid w:val="001E5A94"/>
    <w:rsid w:val="001E6D88"/>
    <w:rsid w:val="001E7648"/>
    <w:rsid w:val="001F127B"/>
    <w:rsid w:val="001F15A8"/>
    <w:rsid w:val="001F2A2E"/>
    <w:rsid w:val="001F3B72"/>
    <w:rsid w:val="001F3C63"/>
    <w:rsid w:val="001F4460"/>
    <w:rsid w:val="001F5DAF"/>
    <w:rsid w:val="001F637C"/>
    <w:rsid w:val="001F6B6C"/>
    <w:rsid w:val="001F711A"/>
    <w:rsid w:val="001F75B0"/>
    <w:rsid w:val="001F7686"/>
    <w:rsid w:val="0020035F"/>
    <w:rsid w:val="0020072B"/>
    <w:rsid w:val="00200CE5"/>
    <w:rsid w:val="002014DB"/>
    <w:rsid w:val="00201E12"/>
    <w:rsid w:val="00202AEC"/>
    <w:rsid w:val="002031E2"/>
    <w:rsid w:val="002033B5"/>
    <w:rsid w:val="0020382C"/>
    <w:rsid w:val="0020437A"/>
    <w:rsid w:val="00204B5F"/>
    <w:rsid w:val="0020532C"/>
    <w:rsid w:val="00205D23"/>
    <w:rsid w:val="0021064F"/>
    <w:rsid w:val="002114C7"/>
    <w:rsid w:val="00212756"/>
    <w:rsid w:val="00212D97"/>
    <w:rsid w:val="0021302C"/>
    <w:rsid w:val="00213045"/>
    <w:rsid w:val="00213483"/>
    <w:rsid w:val="00213B1C"/>
    <w:rsid w:val="00214202"/>
    <w:rsid w:val="002146F3"/>
    <w:rsid w:val="002148E3"/>
    <w:rsid w:val="00215373"/>
    <w:rsid w:val="0021552D"/>
    <w:rsid w:val="002156AE"/>
    <w:rsid w:val="002177BD"/>
    <w:rsid w:val="00217861"/>
    <w:rsid w:val="0022054D"/>
    <w:rsid w:val="00220949"/>
    <w:rsid w:val="002225FA"/>
    <w:rsid w:val="0022413B"/>
    <w:rsid w:val="00224DE1"/>
    <w:rsid w:val="002255B2"/>
    <w:rsid w:val="00225664"/>
    <w:rsid w:val="00226463"/>
    <w:rsid w:val="002269DC"/>
    <w:rsid w:val="00227C28"/>
    <w:rsid w:val="00227F2D"/>
    <w:rsid w:val="00231851"/>
    <w:rsid w:val="002319FB"/>
    <w:rsid w:val="00231B89"/>
    <w:rsid w:val="00231B8E"/>
    <w:rsid w:val="00233727"/>
    <w:rsid w:val="002355BE"/>
    <w:rsid w:val="00236D82"/>
    <w:rsid w:val="00236DE9"/>
    <w:rsid w:val="00237342"/>
    <w:rsid w:val="00237D5A"/>
    <w:rsid w:val="00241300"/>
    <w:rsid w:val="00241D3C"/>
    <w:rsid w:val="002439AB"/>
    <w:rsid w:val="002442F6"/>
    <w:rsid w:val="002450D5"/>
    <w:rsid w:val="00245587"/>
    <w:rsid w:val="002458A7"/>
    <w:rsid w:val="00245F2B"/>
    <w:rsid w:val="00246F95"/>
    <w:rsid w:val="0024703E"/>
    <w:rsid w:val="00247676"/>
    <w:rsid w:val="00247F3A"/>
    <w:rsid w:val="00250122"/>
    <w:rsid w:val="00250755"/>
    <w:rsid w:val="00250AE3"/>
    <w:rsid w:val="00251C4A"/>
    <w:rsid w:val="0025271C"/>
    <w:rsid w:val="00252A91"/>
    <w:rsid w:val="00252C5C"/>
    <w:rsid w:val="002533CD"/>
    <w:rsid w:val="002544C1"/>
    <w:rsid w:val="00254EAB"/>
    <w:rsid w:val="002557AF"/>
    <w:rsid w:val="00256474"/>
    <w:rsid w:val="002566B1"/>
    <w:rsid w:val="002575E3"/>
    <w:rsid w:val="002603C1"/>
    <w:rsid w:val="002609A1"/>
    <w:rsid w:val="002612B1"/>
    <w:rsid w:val="0026327C"/>
    <w:rsid w:val="00265600"/>
    <w:rsid w:val="00266165"/>
    <w:rsid w:val="002666A1"/>
    <w:rsid w:val="0026782A"/>
    <w:rsid w:val="002708B3"/>
    <w:rsid w:val="0027125E"/>
    <w:rsid w:val="00271767"/>
    <w:rsid w:val="002719C1"/>
    <w:rsid w:val="00272293"/>
    <w:rsid w:val="002723C8"/>
    <w:rsid w:val="00273379"/>
    <w:rsid w:val="00273CBE"/>
    <w:rsid w:val="00277F24"/>
    <w:rsid w:val="00280240"/>
    <w:rsid w:val="002802D7"/>
    <w:rsid w:val="0028232C"/>
    <w:rsid w:val="002827F1"/>
    <w:rsid w:val="00282EC3"/>
    <w:rsid w:val="002835B0"/>
    <w:rsid w:val="0028407E"/>
    <w:rsid w:val="0028410F"/>
    <w:rsid w:val="002854BF"/>
    <w:rsid w:val="00286603"/>
    <w:rsid w:val="00286A98"/>
    <w:rsid w:val="00286FB5"/>
    <w:rsid w:val="00287763"/>
    <w:rsid w:val="00290606"/>
    <w:rsid w:val="00290F9D"/>
    <w:rsid w:val="002918A7"/>
    <w:rsid w:val="00291D6D"/>
    <w:rsid w:val="00291FF1"/>
    <w:rsid w:val="002923F6"/>
    <w:rsid w:val="00293361"/>
    <w:rsid w:val="00293BAA"/>
    <w:rsid w:val="00294AE8"/>
    <w:rsid w:val="00295137"/>
    <w:rsid w:val="00295287"/>
    <w:rsid w:val="002952B1"/>
    <w:rsid w:val="00295D11"/>
    <w:rsid w:val="00295FA0"/>
    <w:rsid w:val="00297626"/>
    <w:rsid w:val="00297A7A"/>
    <w:rsid w:val="002A0620"/>
    <w:rsid w:val="002A0C3A"/>
    <w:rsid w:val="002A1130"/>
    <w:rsid w:val="002A14D3"/>
    <w:rsid w:val="002A1880"/>
    <w:rsid w:val="002A1D47"/>
    <w:rsid w:val="002A23B7"/>
    <w:rsid w:val="002A3A57"/>
    <w:rsid w:val="002A6D22"/>
    <w:rsid w:val="002A6DEF"/>
    <w:rsid w:val="002A7411"/>
    <w:rsid w:val="002A7C24"/>
    <w:rsid w:val="002B013E"/>
    <w:rsid w:val="002B058D"/>
    <w:rsid w:val="002B0C16"/>
    <w:rsid w:val="002B11C9"/>
    <w:rsid w:val="002B169E"/>
    <w:rsid w:val="002B2621"/>
    <w:rsid w:val="002B2AC5"/>
    <w:rsid w:val="002B3528"/>
    <w:rsid w:val="002B3539"/>
    <w:rsid w:val="002B3B2B"/>
    <w:rsid w:val="002B6D17"/>
    <w:rsid w:val="002B6E71"/>
    <w:rsid w:val="002B6FA5"/>
    <w:rsid w:val="002B7169"/>
    <w:rsid w:val="002C0C1C"/>
    <w:rsid w:val="002C0F5A"/>
    <w:rsid w:val="002C184E"/>
    <w:rsid w:val="002C28F5"/>
    <w:rsid w:val="002C54C2"/>
    <w:rsid w:val="002C5D34"/>
    <w:rsid w:val="002C5EA7"/>
    <w:rsid w:val="002C661A"/>
    <w:rsid w:val="002C7C6E"/>
    <w:rsid w:val="002D0AF5"/>
    <w:rsid w:val="002D1C54"/>
    <w:rsid w:val="002D1FAA"/>
    <w:rsid w:val="002D2231"/>
    <w:rsid w:val="002D25FC"/>
    <w:rsid w:val="002D318B"/>
    <w:rsid w:val="002D3380"/>
    <w:rsid w:val="002D44D6"/>
    <w:rsid w:val="002D4925"/>
    <w:rsid w:val="002D4AC6"/>
    <w:rsid w:val="002D5C7B"/>
    <w:rsid w:val="002D6DFC"/>
    <w:rsid w:val="002D7648"/>
    <w:rsid w:val="002D7909"/>
    <w:rsid w:val="002D7AB7"/>
    <w:rsid w:val="002E109C"/>
    <w:rsid w:val="002E115E"/>
    <w:rsid w:val="002E131F"/>
    <w:rsid w:val="002E1439"/>
    <w:rsid w:val="002E193E"/>
    <w:rsid w:val="002E1D76"/>
    <w:rsid w:val="002E243C"/>
    <w:rsid w:val="002E26C4"/>
    <w:rsid w:val="002E30B3"/>
    <w:rsid w:val="002E33E9"/>
    <w:rsid w:val="002E4B37"/>
    <w:rsid w:val="002E4BF9"/>
    <w:rsid w:val="002E6F5B"/>
    <w:rsid w:val="002F16DD"/>
    <w:rsid w:val="002F199D"/>
    <w:rsid w:val="002F23B2"/>
    <w:rsid w:val="002F2558"/>
    <w:rsid w:val="002F4084"/>
    <w:rsid w:val="002F4672"/>
    <w:rsid w:val="002F4A08"/>
    <w:rsid w:val="002F4ADB"/>
    <w:rsid w:val="002F531E"/>
    <w:rsid w:val="002F5ACC"/>
    <w:rsid w:val="002F6C2C"/>
    <w:rsid w:val="002F704B"/>
    <w:rsid w:val="002F72C3"/>
    <w:rsid w:val="002F768C"/>
    <w:rsid w:val="002F7D1E"/>
    <w:rsid w:val="00301839"/>
    <w:rsid w:val="00301A68"/>
    <w:rsid w:val="003026AF"/>
    <w:rsid w:val="00302929"/>
    <w:rsid w:val="00302F0F"/>
    <w:rsid w:val="00303243"/>
    <w:rsid w:val="00303BCC"/>
    <w:rsid w:val="00303F2B"/>
    <w:rsid w:val="00303F8D"/>
    <w:rsid w:val="00304541"/>
    <w:rsid w:val="00304580"/>
    <w:rsid w:val="0030586A"/>
    <w:rsid w:val="003074C5"/>
    <w:rsid w:val="00307A3C"/>
    <w:rsid w:val="00307AF8"/>
    <w:rsid w:val="00307FA4"/>
    <w:rsid w:val="00310CC1"/>
    <w:rsid w:val="00313026"/>
    <w:rsid w:val="00313213"/>
    <w:rsid w:val="00313C14"/>
    <w:rsid w:val="0031421F"/>
    <w:rsid w:val="00314B31"/>
    <w:rsid w:val="00314B36"/>
    <w:rsid w:val="00315158"/>
    <w:rsid w:val="00315346"/>
    <w:rsid w:val="00315A65"/>
    <w:rsid w:val="00316E85"/>
    <w:rsid w:val="00317BA7"/>
    <w:rsid w:val="00320BE2"/>
    <w:rsid w:val="00321886"/>
    <w:rsid w:val="00321902"/>
    <w:rsid w:val="00323694"/>
    <w:rsid w:val="00324D63"/>
    <w:rsid w:val="003255AF"/>
    <w:rsid w:val="003256EB"/>
    <w:rsid w:val="003259DB"/>
    <w:rsid w:val="00325F20"/>
    <w:rsid w:val="00326039"/>
    <w:rsid w:val="003267F2"/>
    <w:rsid w:val="003300EA"/>
    <w:rsid w:val="00331A48"/>
    <w:rsid w:val="003330C9"/>
    <w:rsid w:val="0033364C"/>
    <w:rsid w:val="00334415"/>
    <w:rsid w:val="00335460"/>
    <w:rsid w:val="0033591B"/>
    <w:rsid w:val="0033691E"/>
    <w:rsid w:val="00336CCB"/>
    <w:rsid w:val="0033745F"/>
    <w:rsid w:val="00337631"/>
    <w:rsid w:val="00337F44"/>
    <w:rsid w:val="003401AC"/>
    <w:rsid w:val="003411D1"/>
    <w:rsid w:val="003416BA"/>
    <w:rsid w:val="00341BD6"/>
    <w:rsid w:val="00342A8A"/>
    <w:rsid w:val="00342F99"/>
    <w:rsid w:val="0034339D"/>
    <w:rsid w:val="00344726"/>
    <w:rsid w:val="003454A4"/>
    <w:rsid w:val="00345988"/>
    <w:rsid w:val="00350E6C"/>
    <w:rsid w:val="003518A6"/>
    <w:rsid w:val="00351E7F"/>
    <w:rsid w:val="003526FD"/>
    <w:rsid w:val="00352953"/>
    <w:rsid w:val="00354062"/>
    <w:rsid w:val="003542B0"/>
    <w:rsid w:val="00355C0D"/>
    <w:rsid w:val="0035622C"/>
    <w:rsid w:val="003566A9"/>
    <w:rsid w:val="00356988"/>
    <w:rsid w:val="00356B20"/>
    <w:rsid w:val="00357128"/>
    <w:rsid w:val="0035755E"/>
    <w:rsid w:val="00357A80"/>
    <w:rsid w:val="00361B8B"/>
    <w:rsid w:val="00363F39"/>
    <w:rsid w:val="003643C6"/>
    <w:rsid w:val="003644A3"/>
    <w:rsid w:val="00364AB0"/>
    <w:rsid w:val="00365A6E"/>
    <w:rsid w:val="003664B8"/>
    <w:rsid w:val="003667B0"/>
    <w:rsid w:val="003667DD"/>
    <w:rsid w:val="00366842"/>
    <w:rsid w:val="00366B48"/>
    <w:rsid w:val="00367764"/>
    <w:rsid w:val="00370316"/>
    <w:rsid w:val="00370DC7"/>
    <w:rsid w:val="0037156C"/>
    <w:rsid w:val="00371CBD"/>
    <w:rsid w:val="00373CBE"/>
    <w:rsid w:val="003740CC"/>
    <w:rsid w:val="0037435E"/>
    <w:rsid w:val="00374E79"/>
    <w:rsid w:val="00375388"/>
    <w:rsid w:val="00375B7E"/>
    <w:rsid w:val="00375FB9"/>
    <w:rsid w:val="00376851"/>
    <w:rsid w:val="00376FA2"/>
    <w:rsid w:val="00377A3B"/>
    <w:rsid w:val="00377E3C"/>
    <w:rsid w:val="00380B5C"/>
    <w:rsid w:val="00380BBE"/>
    <w:rsid w:val="00381D70"/>
    <w:rsid w:val="00382128"/>
    <w:rsid w:val="0038235E"/>
    <w:rsid w:val="003829D0"/>
    <w:rsid w:val="00382FBA"/>
    <w:rsid w:val="003835DD"/>
    <w:rsid w:val="0038444F"/>
    <w:rsid w:val="00384E83"/>
    <w:rsid w:val="00385C34"/>
    <w:rsid w:val="00386B36"/>
    <w:rsid w:val="00387051"/>
    <w:rsid w:val="00387ECF"/>
    <w:rsid w:val="0039021B"/>
    <w:rsid w:val="00390429"/>
    <w:rsid w:val="00391298"/>
    <w:rsid w:val="0039327C"/>
    <w:rsid w:val="003933A2"/>
    <w:rsid w:val="0039366C"/>
    <w:rsid w:val="003938F3"/>
    <w:rsid w:val="00393C4B"/>
    <w:rsid w:val="00393DE7"/>
    <w:rsid w:val="00393EC8"/>
    <w:rsid w:val="00395E42"/>
    <w:rsid w:val="00396052"/>
    <w:rsid w:val="00396A2D"/>
    <w:rsid w:val="00396FC3"/>
    <w:rsid w:val="003A1A94"/>
    <w:rsid w:val="003A204E"/>
    <w:rsid w:val="003A2D25"/>
    <w:rsid w:val="003A4DDB"/>
    <w:rsid w:val="003A60E7"/>
    <w:rsid w:val="003B07DF"/>
    <w:rsid w:val="003B0B6A"/>
    <w:rsid w:val="003B0F79"/>
    <w:rsid w:val="003B29CF"/>
    <w:rsid w:val="003B54DF"/>
    <w:rsid w:val="003B6659"/>
    <w:rsid w:val="003B7733"/>
    <w:rsid w:val="003B7BC8"/>
    <w:rsid w:val="003B7D9A"/>
    <w:rsid w:val="003C0166"/>
    <w:rsid w:val="003C21AA"/>
    <w:rsid w:val="003C2B79"/>
    <w:rsid w:val="003C350C"/>
    <w:rsid w:val="003C3903"/>
    <w:rsid w:val="003C3BA0"/>
    <w:rsid w:val="003C4580"/>
    <w:rsid w:val="003C52D8"/>
    <w:rsid w:val="003C5C5E"/>
    <w:rsid w:val="003C6746"/>
    <w:rsid w:val="003C7133"/>
    <w:rsid w:val="003C7555"/>
    <w:rsid w:val="003C7898"/>
    <w:rsid w:val="003D0FF5"/>
    <w:rsid w:val="003D2D1B"/>
    <w:rsid w:val="003D30AB"/>
    <w:rsid w:val="003D3D94"/>
    <w:rsid w:val="003D48C7"/>
    <w:rsid w:val="003D4C08"/>
    <w:rsid w:val="003D51ED"/>
    <w:rsid w:val="003D7CE8"/>
    <w:rsid w:val="003E1032"/>
    <w:rsid w:val="003E1904"/>
    <w:rsid w:val="003E2114"/>
    <w:rsid w:val="003E285E"/>
    <w:rsid w:val="003E3300"/>
    <w:rsid w:val="003E5B89"/>
    <w:rsid w:val="003E6340"/>
    <w:rsid w:val="003E65AC"/>
    <w:rsid w:val="003E6948"/>
    <w:rsid w:val="003E6E24"/>
    <w:rsid w:val="003E72B9"/>
    <w:rsid w:val="003E755C"/>
    <w:rsid w:val="003E7ED4"/>
    <w:rsid w:val="003F0E52"/>
    <w:rsid w:val="003F0EF2"/>
    <w:rsid w:val="003F0F6B"/>
    <w:rsid w:val="003F1F40"/>
    <w:rsid w:val="003F1FE3"/>
    <w:rsid w:val="003F3865"/>
    <w:rsid w:val="003F3A0A"/>
    <w:rsid w:val="003F4632"/>
    <w:rsid w:val="003F47BA"/>
    <w:rsid w:val="003F5DA1"/>
    <w:rsid w:val="003F6617"/>
    <w:rsid w:val="0040063B"/>
    <w:rsid w:val="00401070"/>
    <w:rsid w:val="004013C0"/>
    <w:rsid w:val="00402332"/>
    <w:rsid w:val="004025C2"/>
    <w:rsid w:val="00403E55"/>
    <w:rsid w:val="00404532"/>
    <w:rsid w:val="00404681"/>
    <w:rsid w:val="0040496D"/>
    <w:rsid w:val="00405010"/>
    <w:rsid w:val="0040595A"/>
    <w:rsid w:val="00406923"/>
    <w:rsid w:val="0040713A"/>
    <w:rsid w:val="0040763D"/>
    <w:rsid w:val="004105B0"/>
    <w:rsid w:val="00410DC1"/>
    <w:rsid w:val="00410EC5"/>
    <w:rsid w:val="00411B1F"/>
    <w:rsid w:val="004133A8"/>
    <w:rsid w:val="00413821"/>
    <w:rsid w:val="00413D43"/>
    <w:rsid w:val="004141A3"/>
    <w:rsid w:val="004143E9"/>
    <w:rsid w:val="00414909"/>
    <w:rsid w:val="00415E66"/>
    <w:rsid w:val="00416112"/>
    <w:rsid w:val="00416DF0"/>
    <w:rsid w:val="00417AE0"/>
    <w:rsid w:val="00417BAA"/>
    <w:rsid w:val="00420BA9"/>
    <w:rsid w:val="00420D7A"/>
    <w:rsid w:val="00420D9E"/>
    <w:rsid w:val="004223DE"/>
    <w:rsid w:val="00422718"/>
    <w:rsid w:val="0042293E"/>
    <w:rsid w:val="00422A10"/>
    <w:rsid w:val="00424A07"/>
    <w:rsid w:val="00424D17"/>
    <w:rsid w:val="00425DFD"/>
    <w:rsid w:val="004263A3"/>
    <w:rsid w:val="00426903"/>
    <w:rsid w:val="00427713"/>
    <w:rsid w:val="00427CCC"/>
    <w:rsid w:val="00427D54"/>
    <w:rsid w:val="00427DB8"/>
    <w:rsid w:val="0043013A"/>
    <w:rsid w:val="00430421"/>
    <w:rsid w:val="00430B4F"/>
    <w:rsid w:val="004314B1"/>
    <w:rsid w:val="00431AD0"/>
    <w:rsid w:val="00431E65"/>
    <w:rsid w:val="00432589"/>
    <w:rsid w:val="00432A94"/>
    <w:rsid w:val="00433827"/>
    <w:rsid w:val="00434617"/>
    <w:rsid w:val="00435041"/>
    <w:rsid w:val="004360C8"/>
    <w:rsid w:val="0044006B"/>
    <w:rsid w:val="0044033F"/>
    <w:rsid w:val="00440630"/>
    <w:rsid w:val="00441123"/>
    <w:rsid w:val="0044127B"/>
    <w:rsid w:val="00441705"/>
    <w:rsid w:val="00442095"/>
    <w:rsid w:val="00442965"/>
    <w:rsid w:val="00444157"/>
    <w:rsid w:val="0044417C"/>
    <w:rsid w:val="00444DB3"/>
    <w:rsid w:val="004452B9"/>
    <w:rsid w:val="00445A2F"/>
    <w:rsid w:val="00446328"/>
    <w:rsid w:val="00446341"/>
    <w:rsid w:val="0044684E"/>
    <w:rsid w:val="004473DD"/>
    <w:rsid w:val="004479CA"/>
    <w:rsid w:val="004503A4"/>
    <w:rsid w:val="00450555"/>
    <w:rsid w:val="00450DC6"/>
    <w:rsid w:val="004516A5"/>
    <w:rsid w:val="004535AE"/>
    <w:rsid w:val="00453C42"/>
    <w:rsid w:val="0045463A"/>
    <w:rsid w:val="00454AC9"/>
    <w:rsid w:val="004554A3"/>
    <w:rsid w:val="00455A6E"/>
    <w:rsid w:val="004569CD"/>
    <w:rsid w:val="00456F2B"/>
    <w:rsid w:val="004578EB"/>
    <w:rsid w:val="00460303"/>
    <w:rsid w:val="00460697"/>
    <w:rsid w:val="004609AB"/>
    <w:rsid w:val="0046247F"/>
    <w:rsid w:val="00462593"/>
    <w:rsid w:val="00465EEF"/>
    <w:rsid w:val="00466D03"/>
    <w:rsid w:val="0046711B"/>
    <w:rsid w:val="00467312"/>
    <w:rsid w:val="00471156"/>
    <w:rsid w:val="00472429"/>
    <w:rsid w:val="004725E5"/>
    <w:rsid w:val="004726FE"/>
    <w:rsid w:val="00472751"/>
    <w:rsid w:val="00473128"/>
    <w:rsid w:val="0047470A"/>
    <w:rsid w:val="00475078"/>
    <w:rsid w:val="00475226"/>
    <w:rsid w:val="004777F1"/>
    <w:rsid w:val="004779A0"/>
    <w:rsid w:val="004808E3"/>
    <w:rsid w:val="0048097D"/>
    <w:rsid w:val="00481016"/>
    <w:rsid w:val="004814C8"/>
    <w:rsid w:val="004814D3"/>
    <w:rsid w:val="0048204C"/>
    <w:rsid w:val="004821BB"/>
    <w:rsid w:val="00482233"/>
    <w:rsid w:val="004826FE"/>
    <w:rsid w:val="004827D5"/>
    <w:rsid w:val="004830C9"/>
    <w:rsid w:val="00483347"/>
    <w:rsid w:val="00483D06"/>
    <w:rsid w:val="00483E2E"/>
    <w:rsid w:val="00484B69"/>
    <w:rsid w:val="00485406"/>
    <w:rsid w:val="0048590F"/>
    <w:rsid w:val="004867A5"/>
    <w:rsid w:val="00486D60"/>
    <w:rsid w:val="00487C87"/>
    <w:rsid w:val="00492A25"/>
    <w:rsid w:val="0049474A"/>
    <w:rsid w:val="004951C8"/>
    <w:rsid w:val="00496350"/>
    <w:rsid w:val="00496F91"/>
    <w:rsid w:val="00497274"/>
    <w:rsid w:val="0049797C"/>
    <w:rsid w:val="00497C2C"/>
    <w:rsid w:val="00497E9D"/>
    <w:rsid w:val="004A036E"/>
    <w:rsid w:val="004A1405"/>
    <w:rsid w:val="004A1FC6"/>
    <w:rsid w:val="004A3C03"/>
    <w:rsid w:val="004A3DB7"/>
    <w:rsid w:val="004A3FB3"/>
    <w:rsid w:val="004A5088"/>
    <w:rsid w:val="004A5255"/>
    <w:rsid w:val="004A6097"/>
    <w:rsid w:val="004A6CB0"/>
    <w:rsid w:val="004A70FF"/>
    <w:rsid w:val="004B1B84"/>
    <w:rsid w:val="004B29AC"/>
    <w:rsid w:val="004B29E3"/>
    <w:rsid w:val="004B35DF"/>
    <w:rsid w:val="004B3627"/>
    <w:rsid w:val="004B3F3A"/>
    <w:rsid w:val="004B4779"/>
    <w:rsid w:val="004B4922"/>
    <w:rsid w:val="004B57DF"/>
    <w:rsid w:val="004C0238"/>
    <w:rsid w:val="004C03A0"/>
    <w:rsid w:val="004C2138"/>
    <w:rsid w:val="004C2ED0"/>
    <w:rsid w:val="004C32D4"/>
    <w:rsid w:val="004C3940"/>
    <w:rsid w:val="004C51FD"/>
    <w:rsid w:val="004C5A9D"/>
    <w:rsid w:val="004C65A8"/>
    <w:rsid w:val="004C786C"/>
    <w:rsid w:val="004C7963"/>
    <w:rsid w:val="004D2314"/>
    <w:rsid w:val="004D2F63"/>
    <w:rsid w:val="004D35BA"/>
    <w:rsid w:val="004D45B8"/>
    <w:rsid w:val="004D4701"/>
    <w:rsid w:val="004D47C7"/>
    <w:rsid w:val="004D618D"/>
    <w:rsid w:val="004D6202"/>
    <w:rsid w:val="004D62A9"/>
    <w:rsid w:val="004D6FC3"/>
    <w:rsid w:val="004D7476"/>
    <w:rsid w:val="004E0306"/>
    <w:rsid w:val="004E0572"/>
    <w:rsid w:val="004E0C97"/>
    <w:rsid w:val="004E25A8"/>
    <w:rsid w:val="004E2AA0"/>
    <w:rsid w:val="004E3930"/>
    <w:rsid w:val="004E3ED9"/>
    <w:rsid w:val="004E5362"/>
    <w:rsid w:val="004E5866"/>
    <w:rsid w:val="004E6097"/>
    <w:rsid w:val="004E61EF"/>
    <w:rsid w:val="004E6772"/>
    <w:rsid w:val="004E76A7"/>
    <w:rsid w:val="004E7736"/>
    <w:rsid w:val="004E7B03"/>
    <w:rsid w:val="004F0064"/>
    <w:rsid w:val="004F069F"/>
    <w:rsid w:val="004F06AC"/>
    <w:rsid w:val="004F1AE6"/>
    <w:rsid w:val="004F243F"/>
    <w:rsid w:val="004F3E0C"/>
    <w:rsid w:val="004F6523"/>
    <w:rsid w:val="004F6929"/>
    <w:rsid w:val="004F6A2D"/>
    <w:rsid w:val="004F7160"/>
    <w:rsid w:val="00500258"/>
    <w:rsid w:val="0050175E"/>
    <w:rsid w:val="00501A99"/>
    <w:rsid w:val="00502569"/>
    <w:rsid w:val="00502CF3"/>
    <w:rsid w:val="00503180"/>
    <w:rsid w:val="0050417C"/>
    <w:rsid w:val="00505450"/>
    <w:rsid w:val="005100B7"/>
    <w:rsid w:val="005111C2"/>
    <w:rsid w:val="005113C9"/>
    <w:rsid w:val="0051280C"/>
    <w:rsid w:val="00512842"/>
    <w:rsid w:val="005128BE"/>
    <w:rsid w:val="00512B7B"/>
    <w:rsid w:val="00512E6C"/>
    <w:rsid w:val="0051356F"/>
    <w:rsid w:val="00513E7C"/>
    <w:rsid w:val="005140BB"/>
    <w:rsid w:val="005143C2"/>
    <w:rsid w:val="00514FD9"/>
    <w:rsid w:val="0051518F"/>
    <w:rsid w:val="00515FB2"/>
    <w:rsid w:val="0051608F"/>
    <w:rsid w:val="005165E9"/>
    <w:rsid w:val="005210F7"/>
    <w:rsid w:val="00521753"/>
    <w:rsid w:val="00521A44"/>
    <w:rsid w:val="00521D16"/>
    <w:rsid w:val="005222BE"/>
    <w:rsid w:val="005224EE"/>
    <w:rsid w:val="00523BB1"/>
    <w:rsid w:val="005242CF"/>
    <w:rsid w:val="00524401"/>
    <w:rsid w:val="0052451A"/>
    <w:rsid w:val="00524737"/>
    <w:rsid w:val="005253E7"/>
    <w:rsid w:val="005258DF"/>
    <w:rsid w:val="00526265"/>
    <w:rsid w:val="0052652D"/>
    <w:rsid w:val="0052655D"/>
    <w:rsid w:val="005265E0"/>
    <w:rsid w:val="00526930"/>
    <w:rsid w:val="00526BC3"/>
    <w:rsid w:val="00530F9E"/>
    <w:rsid w:val="00531A72"/>
    <w:rsid w:val="0053274E"/>
    <w:rsid w:val="0053358A"/>
    <w:rsid w:val="00534668"/>
    <w:rsid w:val="00534D38"/>
    <w:rsid w:val="00534DDD"/>
    <w:rsid w:val="00535291"/>
    <w:rsid w:val="00535A94"/>
    <w:rsid w:val="00537874"/>
    <w:rsid w:val="00537909"/>
    <w:rsid w:val="00540204"/>
    <w:rsid w:val="00540578"/>
    <w:rsid w:val="005407D2"/>
    <w:rsid w:val="00540808"/>
    <w:rsid w:val="0054080E"/>
    <w:rsid w:val="005408B4"/>
    <w:rsid w:val="00540EA1"/>
    <w:rsid w:val="005423B1"/>
    <w:rsid w:val="0054358E"/>
    <w:rsid w:val="00543AF4"/>
    <w:rsid w:val="00544191"/>
    <w:rsid w:val="00544F39"/>
    <w:rsid w:val="00547EFB"/>
    <w:rsid w:val="005531DF"/>
    <w:rsid w:val="00553874"/>
    <w:rsid w:val="00553ACC"/>
    <w:rsid w:val="00554AD8"/>
    <w:rsid w:val="00554F78"/>
    <w:rsid w:val="005556A5"/>
    <w:rsid w:val="005561F0"/>
    <w:rsid w:val="00556BF7"/>
    <w:rsid w:val="00560838"/>
    <w:rsid w:val="00560DB5"/>
    <w:rsid w:val="00562149"/>
    <w:rsid w:val="005630D8"/>
    <w:rsid w:val="00563FFD"/>
    <w:rsid w:val="00565855"/>
    <w:rsid w:val="005677CE"/>
    <w:rsid w:val="00567B5D"/>
    <w:rsid w:val="00570445"/>
    <w:rsid w:val="00572E9A"/>
    <w:rsid w:val="00573733"/>
    <w:rsid w:val="005739F5"/>
    <w:rsid w:val="00574064"/>
    <w:rsid w:val="00574554"/>
    <w:rsid w:val="00576089"/>
    <w:rsid w:val="005764B1"/>
    <w:rsid w:val="00576A0D"/>
    <w:rsid w:val="00576A56"/>
    <w:rsid w:val="00576D06"/>
    <w:rsid w:val="005777CA"/>
    <w:rsid w:val="005779E4"/>
    <w:rsid w:val="00580AC5"/>
    <w:rsid w:val="005815E5"/>
    <w:rsid w:val="0058289C"/>
    <w:rsid w:val="00582C35"/>
    <w:rsid w:val="00582DC6"/>
    <w:rsid w:val="005836C7"/>
    <w:rsid w:val="0058408E"/>
    <w:rsid w:val="00585374"/>
    <w:rsid w:val="005876DF"/>
    <w:rsid w:val="0058789A"/>
    <w:rsid w:val="00590B77"/>
    <w:rsid w:val="005913A3"/>
    <w:rsid w:val="00591DCD"/>
    <w:rsid w:val="00594A7B"/>
    <w:rsid w:val="00594AFA"/>
    <w:rsid w:val="0059580E"/>
    <w:rsid w:val="00596A6F"/>
    <w:rsid w:val="005976E1"/>
    <w:rsid w:val="005A0541"/>
    <w:rsid w:val="005A0D64"/>
    <w:rsid w:val="005A1525"/>
    <w:rsid w:val="005A1EC3"/>
    <w:rsid w:val="005A252B"/>
    <w:rsid w:val="005A2A71"/>
    <w:rsid w:val="005A3204"/>
    <w:rsid w:val="005A32B6"/>
    <w:rsid w:val="005A3341"/>
    <w:rsid w:val="005A46EC"/>
    <w:rsid w:val="005A47AA"/>
    <w:rsid w:val="005A4847"/>
    <w:rsid w:val="005A494F"/>
    <w:rsid w:val="005B0160"/>
    <w:rsid w:val="005B0185"/>
    <w:rsid w:val="005B07EC"/>
    <w:rsid w:val="005B09D8"/>
    <w:rsid w:val="005B24F3"/>
    <w:rsid w:val="005B28A1"/>
    <w:rsid w:val="005B2B11"/>
    <w:rsid w:val="005B2E00"/>
    <w:rsid w:val="005B370E"/>
    <w:rsid w:val="005B4DA3"/>
    <w:rsid w:val="005B5B71"/>
    <w:rsid w:val="005B5BEE"/>
    <w:rsid w:val="005B7784"/>
    <w:rsid w:val="005B77D2"/>
    <w:rsid w:val="005C019B"/>
    <w:rsid w:val="005C144E"/>
    <w:rsid w:val="005C1625"/>
    <w:rsid w:val="005C2D0A"/>
    <w:rsid w:val="005C30F5"/>
    <w:rsid w:val="005C357E"/>
    <w:rsid w:val="005C3604"/>
    <w:rsid w:val="005C51A5"/>
    <w:rsid w:val="005C5403"/>
    <w:rsid w:val="005C557A"/>
    <w:rsid w:val="005C5A03"/>
    <w:rsid w:val="005C61DD"/>
    <w:rsid w:val="005C6438"/>
    <w:rsid w:val="005C6B8B"/>
    <w:rsid w:val="005D02E3"/>
    <w:rsid w:val="005D1F34"/>
    <w:rsid w:val="005D2529"/>
    <w:rsid w:val="005D25BF"/>
    <w:rsid w:val="005D2C1F"/>
    <w:rsid w:val="005D34B2"/>
    <w:rsid w:val="005D3B54"/>
    <w:rsid w:val="005D40CD"/>
    <w:rsid w:val="005D6B59"/>
    <w:rsid w:val="005D7037"/>
    <w:rsid w:val="005E03E4"/>
    <w:rsid w:val="005E0454"/>
    <w:rsid w:val="005E171D"/>
    <w:rsid w:val="005E34C2"/>
    <w:rsid w:val="005E35C6"/>
    <w:rsid w:val="005E3711"/>
    <w:rsid w:val="005E3AF9"/>
    <w:rsid w:val="005E5099"/>
    <w:rsid w:val="005E5B01"/>
    <w:rsid w:val="005E7933"/>
    <w:rsid w:val="005E7E0B"/>
    <w:rsid w:val="005F009E"/>
    <w:rsid w:val="005F080C"/>
    <w:rsid w:val="005F0A88"/>
    <w:rsid w:val="005F0DF1"/>
    <w:rsid w:val="005F1516"/>
    <w:rsid w:val="005F229E"/>
    <w:rsid w:val="005F2564"/>
    <w:rsid w:val="005F3822"/>
    <w:rsid w:val="005F3E0B"/>
    <w:rsid w:val="005F4D16"/>
    <w:rsid w:val="005F4E52"/>
    <w:rsid w:val="005F5967"/>
    <w:rsid w:val="005F77C8"/>
    <w:rsid w:val="0060058E"/>
    <w:rsid w:val="00602A3C"/>
    <w:rsid w:val="00602EA4"/>
    <w:rsid w:val="00603EFD"/>
    <w:rsid w:val="006041DF"/>
    <w:rsid w:val="0060475B"/>
    <w:rsid w:val="00604FB6"/>
    <w:rsid w:val="00604FD6"/>
    <w:rsid w:val="00605387"/>
    <w:rsid w:val="00606302"/>
    <w:rsid w:val="006072EF"/>
    <w:rsid w:val="006076FD"/>
    <w:rsid w:val="00607BA3"/>
    <w:rsid w:val="00610CAA"/>
    <w:rsid w:val="0061143F"/>
    <w:rsid w:val="006114D8"/>
    <w:rsid w:val="00611585"/>
    <w:rsid w:val="00612931"/>
    <w:rsid w:val="00613601"/>
    <w:rsid w:val="00613791"/>
    <w:rsid w:val="00613AAB"/>
    <w:rsid w:val="006148C7"/>
    <w:rsid w:val="006150D6"/>
    <w:rsid w:val="006166A3"/>
    <w:rsid w:val="00617EEE"/>
    <w:rsid w:val="006210FE"/>
    <w:rsid w:val="00622811"/>
    <w:rsid w:val="00622878"/>
    <w:rsid w:val="00622894"/>
    <w:rsid w:val="00622BB7"/>
    <w:rsid w:val="00622F3B"/>
    <w:rsid w:val="00623130"/>
    <w:rsid w:val="00623389"/>
    <w:rsid w:val="0062352A"/>
    <w:rsid w:val="00625E45"/>
    <w:rsid w:val="006265C4"/>
    <w:rsid w:val="00626DB1"/>
    <w:rsid w:val="00627383"/>
    <w:rsid w:val="00627733"/>
    <w:rsid w:val="006301BB"/>
    <w:rsid w:val="00632605"/>
    <w:rsid w:val="00633F8D"/>
    <w:rsid w:val="006341EF"/>
    <w:rsid w:val="00634BED"/>
    <w:rsid w:val="00635A4A"/>
    <w:rsid w:val="00635F1C"/>
    <w:rsid w:val="00635FB9"/>
    <w:rsid w:val="00636765"/>
    <w:rsid w:val="00637774"/>
    <w:rsid w:val="0064024C"/>
    <w:rsid w:val="00640291"/>
    <w:rsid w:val="00641FAC"/>
    <w:rsid w:val="0064262E"/>
    <w:rsid w:val="006432A5"/>
    <w:rsid w:val="00643664"/>
    <w:rsid w:val="00643CAA"/>
    <w:rsid w:val="0064448B"/>
    <w:rsid w:val="00647B97"/>
    <w:rsid w:val="00652137"/>
    <w:rsid w:val="00652680"/>
    <w:rsid w:val="00652A09"/>
    <w:rsid w:val="006530A1"/>
    <w:rsid w:val="0065371D"/>
    <w:rsid w:val="00653CDE"/>
    <w:rsid w:val="006540B4"/>
    <w:rsid w:val="0065636A"/>
    <w:rsid w:val="00656C3C"/>
    <w:rsid w:val="00657003"/>
    <w:rsid w:val="00657126"/>
    <w:rsid w:val="006572C1"/>
    <w:rsid w:val="00660238"/>
    <w:rsid w:val="006602EF"/>
    <w:rsid w:val="00661277"/>
    <w:rsid w:val="006616FE"/>
    <w:rsid w:val="00661717"/>
    <w:rsid w:val="006619D1"/>
    <w:rsid w:val="006628AD"/>
    <w:rsid w:val="00663FEA"/>
    <w:rsid w:val="00664253"/>
    <w:rsid w:val="00664803"/>
    <w:rsid w:val="006661A4"/>
    <w:rsid w:val="006670E0"/>
    <w:rsid w:val="00667532"/>
    <w:rsid w:val="006704FD"/>
    <w:rsid w:val="00670F3A"/>
    <w:rsid w:val="006715E6"/>
    <w:rsid w:val="0067294B"/>
    <w:rsid w:val="00673AA4"/>
    <w:rsid w:val="00674066"/>
    <w:rsid w:val="00674187"/>
    <w:rsid w:val="0067508F"/>
    <w:rsid w:val="00675349"/>
    <w:rsid w:val="00675E7E"/>
    <w:rsid w:val="0068051E"/>
    <w:rsid w:val="00680B9D"/>
    <w:rsid w:val="00681F13"/>
    <w:rsid w:val="0068231C"/>
    <w:rsid w:val="00682344"/>
    <w:rsid w:val="00682E78"/>
    <w:rsid w:val="00682F28"/>
    <w:rsid w:val="00684842"/>
    <w:rsid w:val="00685BD6"/>
    <w:rsid w:val="00686433"/>
    <w:rsid w:val="006878A6"/>
    <w:rsid w:val="00690437"/>
    <w:rsid w:val="00690E65"/>
    <w:rsid w:val="0069188E"/>
    <w:rsid w:val="00691974"/>
    <w:rsid w:val="00691A3F"/>
    <w:rsid w:val="00692CE6"/>
    <w:rsid w:val="00692DA8"/>
    <w:rsid w:val="00693B6C"/>
    <w:rsid w:val="006942AE"/>
    <w:rsid w:val="0069483C"/>
    <w:rsid w:val="00695421"/>
    <w:rsid w:val="00695AE4"/>
    <w:rsid w:val="00696D4B"/>
    <w:rsid w:val="006977A8"/>
    <w:rsid w:val="00697BD3"/>
    <w:rsid w:val="00697DFA"/>
    <w:rsid w:val="006A10F3"/>
    <w:rsid w:val="006A16D5"/>
    <w:rsid w:val="006A1772"/>
    <w:rsid w:val="006A1780"/>
    <w:rsid w:val="006A25A5"/>
    <w:rsid w:val="006A2790"/>
    <w:rsid w:val="006A3CEC"/>
    <w:rsid w:val="006A3F75"/>
    <w:rsid w:val="006A4838"/>
    <w:rsid w:val="006A4FB3"/>
    <w:rsid w:val="006A5A3E"/>
    <w:rsid w:val="006A5BAB"/>
    <w:rsid w:val="006A6CA7"/>
    <w:rsid w:val="006A703E"/>
    <w:rsid w:val="006A7BE3"/>
    <w:rsid w:val="006B01D1"/>
    <w:rsid w:val="006B16EA"/>
    <w:rsid w:val="006B1780"/>
    <w:rsid w:val="006B224E"/>
    <w:rsid w:val="006B362D"/>
    <w:rsid w:val="006B376E"/>
    <w:rsid w:val="006B4589"/>
    <w:rsid w:val="006B6805"/>
    <w:rsid w:val="006B6BBE"/>
    <w:rsid w:val="006B6DE0"/>
    <w:rsid w:val="006B7D5F"/>
    <w:rsid w:val="006C0FCC"/>
    <w:rsid w:val="006C2D83"/>
    <w:rsid w:val="006C32F4"/>
    <w:rsid w:val="006C3382"/>
    <w:rsid w:val="006C3C54"/>
    <w:rsid w:val="006C40F4"/>
    <w:rsid w:val="006C427B"/>
    <w:rsid w:val="006C4F9F"/>
    <w:rsid w:val="006C5019"/>
    <w:rsid w:val="006C5778"/>
    <w:rsid w:val="006C61AB"/>
    <w:rsid w:val="006C650D"/>
    <w:rsid w:val="006C686A"/>
    <w:rsid w:val="006C7479"/>
    <w:rsid w:val="006C748D"/>
    <w:rsid w:val="006D0C1D"/>
    <w:rsid w:val="006D0CE1"/>
    <w:rsid w:val="006D2004"/>
    <w:rsid w:val="006D2A8C"/>
    <w:rsid w:val="006D2E9D"/>
    <w:rsid w:val="006D32EB"/>
    <w:rsid w:val="006D4C1E"/>
    <w:rsid w:val="006D4C42"/>
    <w:rsid w:val="006D5809"/>
    <w:rsid w:val="006D630A"/>
    <w:rsid w:val="006D668D"/>
    <w:rsid w:val="006D7363"/>
    <w:rsid w:val="006D74F2"/>
    <w:rsid w:val="006E04C8"/>
    <w:rsid w:val="006E061F"/>
    <w:rsid w:val="006E0712"/>
    <w:rsid w:val="006E0754"/>
    <w:rsid w:val="006E2668"/>
    <w:rsid w:val="006E2D39"/>
    <w:rsid w:val="006E32B0"/>
    <w:rsid w:val="006E36D8"/>
    <w:rsid w:val="006E396A"/>
    <w:rsid w:val="006E3A73"/>
    <w:rsid w:val="006E5825"/>
    <w:rsid w:val="006E5DD8"/>
    <w:rsid w:val="006E5EA1"/>
    <w:rsid w:val="006E6A4C"/>
    <w:rsid w:val="006E7ABC"/>
    <w:rsid w:val="006F0760"/>
    <w:rsid w:val="006F0FF1"/>
    <w:rsid w:val="006F11E2"/>
    <w:rsid w:val="006F12F5"/>
    <w:rsid w:val="006F2574"/>
    <w:rsid w:val="006F3231"/>
    <w:rsid w:val="006F3582"/>
    <w:rsid w:val="006F3DE3"/>
    <w:rsid w:val="006F4C05"/>
    <w:rsid w:val="006F511F"/>
    <w:rsid w:val="006F61D8"/>
    <w:rsid w:val="006F62B7"/>
    <w:rsid w:val="006F70BC"/>
    <w:rsid w:val="006F713A"/>
    <w:rsid w:val="006F76BF"/>
    <w:rsid w:val="006F7C48"/>
    <w:rsid w:val="00705161"/>
    <w:rsid w:val="007066A4"/>
    <w:rsid w:val="00706F37"/>
    <w:rsid w:val="00707D09"/>
    <w:rsid w:val="00710760"/>
    <w:rsid w:val="0071209F"/>
    <w:rsid w:val="007125A2"/>
    <w:rsid w:val="00713F79"/>
    <w:rsid w:val="007148A8"/>
    <w:rsid w:val="00715A9B"/>
    <w:rsid w:val="00716125"/>
    <w:rsid w:val="00716C9F"/>
    <w:rsid w:val="007171E0"/>
    <w:rsid w:val="0071740B"/>
    <w:rsid w:val="00717C40"/>
    <w:rsid w:val="0072033C"/>
    <w:rsid w:val="00720B1B"/>
    <w:rsid w:val="00721062"/>
    <w:rsid w:val="00721A4E"/>
    <w:rsid w:val="00721E5D"/>
    <w:rsid w:val="007229D4"/>
    <w:rsid w:val="007230F8"/>
    <w:rsid w:val="007233F4"/>
    <w:rsid w:val="00723646"/>
    <w:rsid w:val="00724044"/>
    <w:rsid w:val="007244E1"/>
    <w:rsid w:val="007248D3"/>
    <w:rsid w:val="00725137"/>
    <w:rsid w:val="00725C63"/>
    <w:rsid w:val="007263ED"/>
    <w:rsid w:val="0072653B"/>
    <w:rsid w:val="00726C9E"/>
    <w:rsid w:val="00727A43"/>
    <w:rsid w:val="00727FF2"/>
    <w:rsid w:val="007323E0"/>
    <w:rsid w:val="007324ED"/>
    <w:rsid w:val="00733791"/>
    <w:rsid w:val="00733857"/>
    <w:rsid w:val="00733DE2"/>
    <w:rsid w:val="00734328"/>
    <w:rsid w:val="007346E7"/>
    <w:rsid w:val="007352EA"/>
    <w:rsid w:val="00736032"/>
    <w:rsid w:val="007364E5"/>
    <w:rsid w:val="0073792F"/>
    <w:rsid w:val="00737C48"/>
    <w:rsid w:val="007409CA"/>
    <w:rsid w:val="00740DA6"/>
    <w:rsid w:val="00741A0E"/>
    <w:rsid w:val="00741D1E"/>
    <w:rsid w:val="00741EE2"/>
    <w:rsid w:val="00742367"/>
    <w:rsid w:val="00742EAA"/>
    <w:rsid w:val="00743818"/>
    <w:rsid w:val="007439E2"/>
    <w:rsid w:val="00743E9C"/>
    <w:rsid w:val="007441FB"/>
    <w:rsid w:val="00744517"/>
    <w:rsid w:val="00744810"/>
    <w:rsid w:val="00747079"/>
    <w:rsid w:val="00747DD4"/>
    <w:rsid w:val="00747DE2"/>
    <w:rsid w:val="007504BF"/>
    <w:rsid w:val="007506CD"/>
    <w:rsid w:val="007525DB"/>
    <w:rsid w:val="0075267F"/>
    <w:rsid w:val="007526EC"/>
    <w:rsid w:val="0075310C"/>
    <w:rsid w:val="00753347"/>
    <w:rsid w:val="00753C48"/>
    <w:rsid w:val="007545C1"/>
    <w:rsid w:val="00754C97"/>
    <w:rsid w:val="00754FE4"/>
    <w:rsid w:val="00755538"/>
    <w:rsid w:val="00755971"/>
    <w:rsid w:val="00756236"/>
    <w:rsid w:val="00756271"/>
    <w:rsid w:val="00756521"/>
    <w:rsid w:val="00756AB7"/>
    <w:rsid w:val="0075745C"/>
    <w:rsid w:val="00760477"/>
    <w:rsid w:val="007615CE"/>
    <w:rsid w:val="00761AF4"/>
    <w:rsid w:val="00762071"/>
    <w:rsid w:val="007623FB"/>
    <w:rsid w:val="0076376A"/>
    <w:rsid w:val="0076500F"/>
    <w:rsid w:val="0076504E"/>
    <w:rsid w:val="00765D24"/>
    <w:rsid w:val="00765E6A"/>
    <w:rsid w:val="007664E0"/>
    <w:rsid w:val="00767EA0"/>
    <w:rsid w:val="0077068F"/>
    <w:rsid w:val="007711EA"/>
    <w:rsid w:val="00771870"/>
    <w:rsid w:val="0077408D"/>
    <w:rsid w:val="007741CF"/>
    <w:rsid w:val="00774270"/>
    <w:rsid w:val="00775679"/>
    <w:rsid w:val="00775803"/>
    <w:rsid w:val="007761F1"/>
    <w:rsid w:val="00777B32"/>
    <w:rsid w:val="0078051E"/>
    <w:rsid w:val="00781FDD"/>
    <w:rsid w:val="00782A9F"/>
    <w:rsid w:val="0078508A"/>
    <w:rsid w:val="00786D5C"/>
    <w:rsid w:val="00786E96"/>
    <w:rsid w:val="00787F93"/>
    <w:rsid w:val="00790684"/>
    <w:rsid w:val="007907CA"/>
    <w:rsid w:val="00791170"/>
    <w:rsid w:val="00791E6D"/>
    <w:rsid w:val="007928DC"/>
    <w:rsid w:val="00792CB3"/>
    <w:rsid w:val="00792E53"/>
    <w:rsid w:val="007933DF"/>
    <w:rsid w:val="0079384D"/>
    <w:rsid w:val="007939CC"/>
    <w:rsid w:val="00796FB8"/>
    <w:rsid w:val="007A11C2"/>
    <w:rsid w:val="007A2367"/>
    <w:rsid w:val="007A41BF"/>
    <w:rsid w:val="007A490A"/>
    <w:rsid w:val="007A581D"/>
    <w:rsid w:val="007A7B95"/>
    <w:rsid w:val="007B0297"/>
    <w:rsid w:val="007B0F53"/>
    <w:rsid w:val="007B1DD8"/>
    <w:rsid w:val="007B21AE"/>
    <w:rsid w:val="007B2570"/>
    <w:rsid w:val="007B2C31"/>
    <w:rsid w:val="007B3113"/>
    <w:rsid w:val="007B3304"/>
    <w:rsid w:val="007B332B"/>
    <w:rsid w:val="007B394D"/>
    <w:rsid w:val="007B53FA"/>
    <w:rsid w:val="007B6423"/>
    <w:rsid w:val="007B7490"/>
    <w:rsid w:val="007B774A"/>
    <w:rsid w:val="007C0525"/>
    <w:rsid w:val="007C0B56"/>
    <w:rsid w:val="007C13F7"/>
    <w:rsid w:val="007C218D"/>
    <w:rsid w:val="007C2D28"/>
    <w:rsid w:val="007C3E22"/>
    <w:rsid w:val="007C67C6"/>
    <w:rsid w:val="007C707A"/>
    <w:rsid w:val="007C7E59"/>
    <w:rsid w:val="007D0A39"/>
    <w:rsid w:val="007D0B91"/>
    <w:rsid w:val="007D1452"/>
    <w:rsid w:val="007D1E29"/>
    <w:rsid w:val="007D460C"/>
    <w:rsid w:val="007D484A"/>
    <w:rsid w:val="007D4AD3"/>
    <w:rsid w:val="007D4C8D"/>
    <w:rsid w:val="007D5D19"/>
    <w:rsid w:val="007D5FDC"/>
    <w:rsid w:val="007D6D68"/>
    <w:rsid w:val="007E01DA"/>
    <w:rsid w:val="007E0ADB"/>
    <w:rsid w:val="007E1603"/>
    <w:rsid w:val="007E2E85"/>
    <w:rsid w:val="007E32DA"/>
    <w:rsid w:val="007E3896"/>
    <w:rsid w:val="007E3FFB"/>
    <w:rsid w:val="007E4998"/>
    <w:rsid w:val="007E4A9C"/>
    <w:rsid w:val="007E4B2B"/>
    <w:rsid w:val="007E6914"/>
    <w:rsid w:val="007E7F78"/>
    <w:rsid w:val="007F0C8B"/>
    <w:rsid w:val="007F1517"/>
    <w:rsid w:val="007F1D44"/>
    <w:rsid w:val="007F23A5"/>
    <w:rsid w:val="007F2C13"/>
    <w:rsid w:val="007F2CEC"/>
    <w:rsid w:val="007F4949"/>
    <w:rsid w:val="007F55DE"/>
    <w:rsid w:val="007F5605"/>
    <w:rsid w:val="007F6147"/>
    <w:rsid w:val="007F78FF"/>
    <w:rsid w:val="00800F6C"/>
    <w:rsid w:val="008025BE"/>
    <w:rsid w:val="0080381C"/>
    <w:rsid w:val="00804C86"/>
    <w:rsid w:val="008051FC"/>
    <w:rsid w:val="008055A9"/>
    <w:rsid w:val="008070EB"/>
    <w:rsid w:val="00807376"/>
    <w:rsid w:val="00810B0E"/>
    <w:rsid w:val="00810B14"/>
    <w:rsid w:val="00810E8E"/>
    <w:rsid w:val="0081142D"/>
    <w:rsid w:val="00812462"/>
    <w:rsid w:val="008126E2"/>
    <w:rsid w:val="008133A5"/>
    <w:rsid w:val="0081481D"/>
    <w:rsid w:val="00814BE8"/>
    <w:rsid w:val="00814F6E"/>
    <w:rsid w:val="0081565F"/>
    <w:rsid w:val="00815B84"/>
    <w:rsid w:val="00821A3D"/>
    <w:rsid w:val="00821B06"/>
    <w:rsid w:val="00822037"/>
    <w:rsid w:val="00822634"/>
    <w:rsid w:val="00823FC6"/>
    <w:rsid w:val="00823FFC"/>
    <w:rsid w:val="00824811"/>
    <w:rsid w:val="00825C74"/>
    <w:rsid w:val="00826AB9"/>
    <w:rsid w:val="00826E0E"/>
    <w:rsid w:val="0082731F"/>
    <w:rsid w:val="00827D11"/>
    <w:rsid w:val="00827E0F"/>
    <w:rsid w:val="00827F6E"/>
    <w:rsid w:val="00831758"/>
    <w:rsid w:val="00831977"/>
    <w:rsid w:val="0083279F"/>
    <w:rsid w:val="00833B7F"/>
    <w:rsid w:val="00834906"/>
    <w:rsid w:val="00835A99"/>
    <w:rsid w:val="00836075"/>
    <w:rsid w:val="00836417"/>
    <w:rsid w:val="008377F7"/>
    <w:rsid w:val="008411F9"/>
    <w:rsid w:val="008413AB"/>
    <w:rsid w:val="00842D10"/>
    <w:rsid w:val="0084322B"/>
    <w:rsid w:val="00843B93"/>
    <w:rsid w:val="00843C08"/>
    <w:rsid w:val="00843F81"/>
    <w:rsid w:val="00844087"/>
    <w:rsid w:val="0084519E"/>
    <w:rsid w:val="00846370"/>
    <w:rsid w:val="00847C2B"/>
    <w:rsid w:val="00851256"/>
    <w:rsid w:val="00851A7C"/>
    <w:rsid w:val="00852438"/>
    <w:rsid w:val="0085270D"/>
    <w:rsid w:val="008532BF"/>
    <w:rsid w:val="00853BF4"/>
    <w:rsid w:val="00854294"/>
    <w:rsid w:val="008555FB"/>
    <w:rsid w:val="0085788B"/>
    <w:rsid w:val="00857941"/>
    <w:rsid w:val="00857A9E"/>
    <w:rsid w:val="00857DE2"/>
    <w:rsid w:val="00863E7D"/>
    <w:rsid w:val="0086407F"/>
    <w:rsid w:val="00864548"/>
    <w:rsid w:val="00864D9C"/>
    <w:rsid w:val="00864E79"/>
    <w:rsid w:val="00866111"/>
    <w:rsid w:val="0086661F"/>
    <w:rsid w:val="00866A0D"/>
    <w:rsid w:val="00866DB5"/>
    <w:rsid w:val="0086784E"/>
    <w:rsid w:val="00867AF1"/>
    <w:rsid w:val="00870EE1"/>
    <w:rsid w:val="008720B3"/>
    <w:rsid w:val="00872118"/>
    <w:rsid w:val="008727CE"/>
    <w:rsid w:val="00872827"/>
    <w:rsid w:val="00872A32"/>
    <w:rsid w:val="00874ECA"/>
    <w:rsid w:val="00875D0E"/>
    <w:rsid w:val="00876EAE"/>
    <w:rsid w:val="00880F95"/>
    <w:rsid w:val="00881F68"/>
    <w:rsid w:val="00882B44"/>
    <w:rsid w:val="00882FE5"/>
    <w:rsid w:val="00886138"/>
    <w:rsid w:val="00886E66"/>
    <w:rsid w:val="008871B0"/>
    <w:rsid w:val="008912F5"/>
    <w:rsid w:val="008915A7"/>
    <w:rsid w:val="008918EB"/>
    <w:rsid w:val="0089217C"/>
    <w:rsid w:val="008928A1"/>
    <w:rsid w:val="00893671"/>
    <w:rsid w:val="00895838"/>
    <w:rsid w:val="00895A72"/>
    <w:rsid w:val="00895CDF"/>
    <w:rsid w:val="008968C7"/>
    <w:rsid w:val="00896AFD"/>
    <w:rsid w:val="00897A55"/>
    <w:rsid w:val="008A0154"/>
    <w:rsid w:val="008A0FC9"/>
    <w:rsid w:val="008A1956"/>
    <w:rsid w:val="008A40D3"/>
    <w:rsid w:val="008A469C"/>
    <w:rsid w:val="008A484A"/>
    <w:rsid w:val="008A5877"/>
    <w:rsid w:val="008A6539"/>
    <w:rsid w:val="008A701C"/>
    <w:rsid w:val="008B05DD"/>
    <w:rsid w:val="008B17E8"/>
    <w:rsid w:val="008B266C"/>
    <w:rsid w:val="008B2D03"/>
    <w:rsid w:val="008B2E7C"/>
    <w:rsid w:val="008B3703"/>
    <w:rsid w:val="008B42AB"/>
    <w:rsid w:val="008B45A7"/>
    <w:rsid w:val="008B4A70"/>
    <w:rsid w:val="008B502F"/>
    <w:rsid w:val="008B5142"/>
    <w:rsid w:val="008B67CB"/>
    <w:rsid w:val="008B6A63"/>
    <w:rsid w:val="008B6AFE"/>
    <w:rsid w:val="008B6B83"/>
    <w:rsid w:val="008B7034"/>
    <w:rsid w:val="008B7227"/>
    <w:rsid w:val="008C03DD"/>
    <w:rsid w:val="008C191C"/>
    <w:rsid w:val="008C1DA4"/>
    <w:rsid w:val="008C2CD5"/>
    <w:rsid w:val="008C2E29"/>
    <w:rsid w:val="008C32B7"/>
    <w:rsid w:val="008C360C"/>
    <w:rsid w:val="008C3618"/>
    <w:rsid w:val="008C3F20"/>
    <w:rsid w:val="008C43AD"/>
    <w:rsid w:val="008C4B6C"/>
    <w:rsid w:val="008C59FB"/>
    <w:rsid w:val="008C619E"/>
    <w:rsid w:val="008C6687"/>
    <w:rsid w:val="008C68F0"/>
    <w:rsid w:val="008C6F92"/>
    <w:rsid w:val="008C731F"/>
    <w:rsid w:val="008C74D9"/>
    <w:rsid w:val="008C79C3"/>
    <w:rsid w:val="008C7A47"/>
    <w:rsid w:val="008D0170"/>
    <w:rsid w:val="008D1052"/>
    <w:rsid w:val="008D124C"/>
    <w:rsid w:val="008D1983"/>
    <w:rsid w:val="008D1BB3"/>
    <w:rsid w:val="008D1C32"/>
    <w:rsid w:val="008D22AE"/>
    <w:rsid w:val="008D234A"/>
    <w:rsid w:val="008D238C"/>
    <w:rsid w:val="008D566C"/>
    <w:rsid w:val="008D58D9"/>
    <w:rsid w:val="008D64F5"/>
    <w:rsid w:val="008D66EA"/>
    <w:rsid w:val="008D6E59"/>
    <w:rsid w:val="008D6F92"/>
    <w:rsid w:val="008D7155"/>
    <w:rsid w:val="008D7DE4"/>
    <w:rsid w:val="008E09B3"/>
    <w:rsid w:val="008E141A"/>
    <w:rsid w:val="008E1A44"/>
    <w:rsid w:val="008E28E6"/>
    <w:rsid w:val="008E2B60"/>
    <w:rsid w:val="008E3232"/>
    <w:rsid w:val="008E3674"/>
    <w:rsid w:val="008E3B6C"/>
    <w:rsid w:val="008E41A8"/>
    <w:rsid w:val="008E688C"/>
    <w:rsid w:val="008E68BB"/>
    <w:rsid w:val="008E6C9B"/>
    <w:rsid w:val="008E77D4"/>
    <w:rsid w:val="008F0981"/>
    <w:rsid w:val="008F0AFD"/>
    <w:rsid w:val="008F1287"/>
    <w:rsid w:val="008F17B2"/>
    <w:rsid w:val="008F28EE"/>
    <w:rsid w:val="008F357B"/>
    <w:rsid w:val="008F44CA"/>
    <w:rsid w:val="008F49B9"/>
    <w:rsid w:val="008F49D3"/>
    <w:rsid w:val="008F5081"/>
    <w:rsid w:val="008F6519"/>
    <w:rsid w:val="008F68DC"/>
    <w:rsid w:val="008F7012"/>
    <w:rsid w:val="008F7B17"/>
    <w:rsid w:val="00900042"/>
    <w:rsid w:val="0090034B"/>
    <w:rsid w:val="00902623"/>
    <w:rsid w:val="00902890"/>
    <w:rsid w:val="00904778"/>
    <w:rsid w:val="00904BE4"/>
    <w:rsid w:val="0090504A"/>
    <w:rsid w:val="00905D7E"/>
    <w:rsid w:val="009063B7"/>
    <w:rsid w:val="00907037"/>
    <w:rsid w:val="0091160A"/>
    <w:rsid w:val="00912838"/>
    <w:rsid w:val="00913258"/>
    <w:rsid w:val="00913883"/>
    <w:rsid w:val="0091564D"/>
    <w:rsid w:val="009156DA"/>
    <w:rsid w:val="00915CF3"/>
    <w:rsid w:val="00916BC5"/>
    <w:rsid w:val="0091726A"/>
    <w:rsid w:val="00920184"/>
    <w:rsid w:val="00920EA4"/>
    <w:rsid w:val="00921792"/>
    <w:rsid w:val="00921BEA"/>
    <w:rsid w:val="00922DB0"/>
    <w:rsid w:val="00923998"/>
    <w:rsid w:val="00923DB4"/>
    <w:rsid w:val="0092430E"/>
    <w:rsid w:val="0092625F"/>
    <w:rsid w:val="009268A9"/>
    <w:rsid w:val="00927B37"/>
    <w:rsid w:val="009301B2"/>
    <w:rsid w:val="0093065F"/>
    <w:rsid w:val="00931215"/>
    <w:rsid w:val="009313DD"/>
    <w:rsid w:val="00931BDE"/>
    <w:rsid w:val="009321B1"/>
    <w:rsid w:val="00932ED7"/>
    <w:rsid w:val="0093357E"/>
    <w:rsid w:val="0093422D"/>
    <w:rsid w:val="00934DD7"/>
    <w:rsid w:val="009369A9"/>
    <w:rsid w:val="00936CF7"/>
    <w:rsid w:val="00937201"/>
    <w:rsid w:val="0093734A"/>
    <w:rsid w:val="00937783"/>
    <w:rsid w:val="009377C3"/>
    <w:rsid w:val="00937D89"/>
    <w:rsid w:val="00940515"/>
    <w:rsid w:val="0094059D"/>
    <w:rsid w:val="009409B4"/>
    <w:rsid w:val="00940FE1"/>
    <w:rsid w:val="00942306"/>
    <w:rsid w:val="009424B8"/>
    <w:rsid w:val="009433A4"/>
    <w:rsid w:val="0094435B"/>
    <w:rsid w:val="00944668"/>
    <w:rsid w:val="00944DC6"/>
    <w:rsid w:val="0094537D"/>
    <w:rsid w:val="0094573F"/>
    <w:rsid w:val="009458B0"/>
    <w:rsid w:val="00945B52"/>
    <w:rsid w:val="00945DC0"/>
    <w:rsid w:val="00945F05"/>
    <w:rsid w:val="00946348"/>
    <w:rsid w:val="009471AD"/>
    <w:rsid w:val="00947233"/>
    <w:rsid w:val="009478A2"/>
    <w:rsid w:val="0095053B"/>
    <w:rsid w:val="0095074A"/>
    <w:rsid w:val="009512AB"/>
    <w:rsid w:val="00951474"/>
    <w:rsid w:val="00952DE9"/>
    <w:rsid w:val="00955643"/>
    <w:rsid w:val="00955FBB"/>
    <w:rsid w:val="0095694B"/>
    <w:rsid w:val="00956BD5"/>
    <w:rsid w:val="009574BB"/>
    <w:rsid w:val="009577B5"/>
    <w:rsid w:val="009608E6"/>
    <w:rsid w:val="009609E4"/>
    <w:rsid w:val="00961779"/>
    <w:rsid w:val="00962D00"/>
    <w:rsid w:val="00962EB1"/>
    <w:rsid w:val="0096612A"/>
    <w:rsid w:val="00966522"/>
    <w:rsid w:val="00967D3F"/>
    <w:rsid w:val="00967E78"/>
    <w:rsid w:val="00970D7E"/>
    <w:rsid w:val="00970F18"/>
    <w:rsid w:val="00971CF1"/>
    <w:rsid w:val="009721E9"/>
    <w:rsid w:val="00972A58"/>
    <w:rsid w:val="00973772"/>
    <w:rsid w:val="0097451E"/>
    <w:rsid w:val="00975598"/>
    <w:rsid w:val="00975E1E"/>
    <w:rsid w:val="00975E70"/>
    <w:rsid w:val="00977B8F"/>
    <w:rsid w:val="00977CD6"/>
    <w:rsid w:val="00980162"/>
    <w:rsid w:val="00981D18"/>
    <w:rsid w:val="00982481"/>
    <w:rsid w:val="00982D26"/>
    <w:rsid w:val="0098330E"/>
    <w:rsid w:val="00983CB2"/>
    <w:rsid w:val="009849E9"/>
    <w:rsid w:val="00985F96"/>
    <w:rsid w:val="00987812"/>
    <w:rsid w:val="00990225"/>
    <w:rsid w:val="00990DF5"/>
    <w:rsid w:val="00991622"/>
    <w:rsid w:val="0099244B"/>
    <w:rsid w:val="009947B6"/>
    <w:rsid w:val="00995150"/>
    <w:rsid w:val="009957F3"/>
    <w:rsid w:val="00995D67"/>
    <w:rsid w:val="009970BF"/>
    <w:rsid w:val="009A013B"/>
    <w:rsid w:val="009A02F4"/>
    <w:rsid w:val="009A1F12"/>
    <w:rsid w:val="009A2494"/>
    <w:rsid w:val="009A26CA"/>
    <w:rsid w:val="009A36F2"/>
    <w:rsid w:val="009A47CC"/>
    <w:rsid w:val="009A5749"/>
    <w:rsid w:val="009A57D0"/>
    <w:rsid w:val="009A6559"/>
    <w:rsid w:val="009A68FC"/>
    <w:rsid w:val="009A6D4F"/>
    <w:rsid w:val="009A7514"/>
    <w:rsid w:val="009A7E7A"/>
    <w:rsid w:val="009B1584"/>
    <w:rsid w:val="009B2469"/>
    <w:rsid w:val="009B314F"/>
    <w:rsid w:val="009B439C"/>
    <w:rsid w:val="009B4A6C"/>
    <w:rsid w:val="009B5777"/>
    <w:rsid w:val="009B5779"/>
    <w:rsid w:val="009B6753"/>
    <w:rsid w:val="009B6A26"/>
    <w:rsid w:val="009C079D"/>
    <w:rsid w:val="009C0D70"/>
    <w:rsid w:val="009C13D1"/>
    <w:rsid w:val="009C2913"/>
    <w:rsid w:val="009C3008"/>
    <w:rsid w:val="009C365F"/>
    <w:rsid w:val="009C5AFE"/>
    <w:rsid w:val="009C6606"/>
    <w:rsid w:val="009C6CE5"/>
    <w:rsid w:val="009C6D50"/>
    <w:rsid w:val="009C72B6"/>
    <w:rsid w:val="009C7547"/>
    <w:rsid w:val="009D1678"/>
    <w:rsid w:val="009D1693"/>
    <w:rsid w:val="009D1C49"/>
    <w:rsid w:val="009D2721"/>
    <w:rsid w:val="009D2F60"/>
    <w:rsid w:val="009D3299"/>
    <w:rsid w:val="009D338C"/>
    <w:rsid w:val="009D3D0D"/>
    <w:rsid w:val="009D4944"/>
    <w:rsid w:val="009D5BAC"/>
    <w:rsid w:val="009D64BD"/>
    <w:rsid w:val="009D7B2F"/>
    <w:rsid w:val="009D7B6C"/>
    <w:rsid w:val="009D7F83"/>
    <w:rsid w:val="009E0D0A"/>
    <w:rsid w:val="009E0D1A"/>
    <w:rsid w:val="009E153F"/>
    <w:rsid w:val="009E2D6C"/>
    <w:rsid w:val="009E388B"/>
    <w:rsid w:val="009E393E"/>
    <w:rsid w:val="009E444E"/>
    <w:rsid w:val="009E45AF"/>
    <w:rsid w:val="009E4968"/>
    <w:rsid w:val="009E52F1"/>
    <w:rsid w:val="009E663C"/>
    <w:rsid w:val="009E6BB1"/>
    <w:rsid w:val="009F0092"/>
    <w:rsid w:val="009F0CD9"/>
    <w:rsid w:val="009F1A79"/>
    <w:rsid w:val="009F1F57"/>
    <w:rsid w:val="009F2E26"/>
    <w:rsid w:val="009F4FCF"/>
    <w:rsid w:val="009F5DE2"/>
    <w:rsid w:val="009F65F4"/>
    <w:rsid w:val="009F676B"/>
    <w:rsid w:val="009F6A30"/>
    <w:rsid w:val="009F74FE"/>
    <w:rsid w:val="00A004DF"/>
    <w:rsid w:val="00A00D29"/>
    <w:rsid w:val="00A00FD5"/>
    <w:rsid w:val="00A019A8"/>
    <w:rsid w:val="00A01B03"/>
    <w:rsid w:val="00A02C66"/>
    <w:rsid w:val="00A03861"/>
    <w:rsid w:val="00A0464C"/>
    <w:rsid w:val="00A054E0"/>
    <w:rsid w:val="00A0663F"/>
    <w:rsid w:val="00A066CE"/>
    <w:rsid w:val="00A0740B"/>
    <w:rsid w:val="00A07427"/>
    <w:rsid w:val="00A075A9"/>
    <w:rsid w:val="00A077E2"/>
    <w:rsid w:val="00A1080F"/>
    <w:rsid w:val="00A11042"/>
    <w:rsid w:val="00A133D8"/>
    <w:rsid w:val="00A14E97"/>
    <w:rsid w:val="00A17A9D"/>
    <w:rsid w:val="00A20069"/>
    <w:rsid w:val="00A20280"/>
    <w:rsid w:val="00A2163F"/>
    <w:rsid w:val="00A2244D"/>
    <w:rsid w:val="00A2253D"/>
    <w:rsid w:val="00A22AEC"/>
    <w:rsid w:val="00A2418A"/>
    <w:rsid w:val="00A247B8"/>
    <w:rsid w:val="00A24D39"/>
    <w:rsid w:val="00A24D8F"/>
    <w:rsid w:val="00A25B8B"/>
    <w:rsid w:val="00A269C3"/>
    <w:rsid w:val="00A26ECA"/>
    <w:rsid w:val="00A27374"/>
    <w:rsid w:val="00A309F1"/>
    <w:rsid w:val="00A30F68"/>
    <w:rsid w:val="00A317A5"/>
    <w:rsid w:val="00A324C1"/>
    <w:rsid w:val="00A337DB"/>
    <w:rsid w:val="00A3467F"/>
    <w:rsid w:val="00A34D34"/>
    <w:rsid w:val="00A3551A"/>
    <w:rsid w:val="00A373F4"/>
    <w:rsid w:val="00A376E8"/>
    <w:rsid w:val="00A37E69"/>
    <w:rsid w:val="00A37F8E"/>
    <w:rsid w:val="00A40979"/>
    <w:rsid w:val="00A41737"/>
    <w:rsid w:val="00A42B8F"/>
    <w:rsid w:val="00A43254"/>
    <w:rsid w:val="00A43896"/>
    <w:rsid w:val="00A43A26"/>
    <w:rsid w:val="00A447A0"/>
    <w:rsid w:val="00A457B2"/>
    <w:rsid w:val="00A459F5"/>
    <w:rsid w:val="00A45FC0"/>
    <w:rsid w:val="00A46B32"/>
    <w:rsid w:val="00A46EB8"/>
    <w:rsid w:val="00A478D2"/>
    <w:rsid w:val="00A47ECC"/>
    <w:rsid w:val="00A5008C"/>
    <w:rsid w:val="00A50171"/>
    <w:rsid w:val="00A5102E"/>
    <w:rsid w:val="00A51083"/>
    <w:rsid w:val="00A5132E"/>
    <w:rsid w:val="00A51533"/>
    <w:rsid w:val="00A51A4D"/>
    <w:rsid w:val="00A51E68"/>
    <w:rsid w:val="00A52F3B"/>
    <w:rsid w:val="00A531D4"/>
    <w:rsid w:val="00A55ACD"/>
    <w:rsid w:val="00A55CFA"/>
    <w:rsid w:val="00A5613B"/>
    <w:rsid w:val="00A575B8"/>
    <w:rsid w:val="00A647B1"/>
    <w:rsid w:val="00A64DEF"/>
    <w:rsid w:val="00A64F9E"/>
    <w:rsid w:val="00A657E1"/>
    <w:rsid w:val="00A65E4E"/>
    <w:rsid w:val="00A665DF"/>
    <w:rsid w:val="00A67F1B"/>
    <w:rsid w:val="00A67FCC"/>
    <w:rsid w:val="00A709F3"/>
    <w:rsid w:val="00A716DC"/>
    <w:rsid w:val="00A720AF"/>
    <w:rsid w:val="00A7217B"/>
    <w:rsid w:val="00A7293E"/>
    <w:rsid w:val="00A72EE4"/>
    <w:rsid w:val="00A73067"/>
    <w:rsid w:val="00A737C4"/>
    <w:rsid w:val="00A739A6"/>
    <w:rsid w:val="00A73C3B"/>
    <w:rsid w:val="00A75EF9"/>
    <w:rsid w:val="00A7627C"/>
    <w:rsid w:val="00A76BC9"/>
    <w:rsid w:val="00A77566"/>
    <w:rsid w:val="00A77956"/>
    <w:rsid w:val="00A80563"/>
    <w:rsid w:val="00A8311C"/>
    <w:rsid w:val="00A84BC8"/>
    <w:rsid w:val="00A84C5F"/>
    <w:rsid w:val="00A85D91"/>
    <w:rsid w:val="00A86973"/>
    <w:rsid w:val="00A8721F"/>
    <w:rsid w:val="00A8740B"/>
    <w:rsid w:val="00A87519"/>
    <w:rsid w:val="00A905A2"/>
    <w:rsid w:val="00A9246D"/>
    <w:rsid w:val="00A93644"/>
    <w:rsid w:val="00A93BD0"/>
    <w:rsid w:val="00A944A1"/>
    <w:rsid w:val="00A95D69"/>
    <w:rsid w:val="00A97122"/>
    <w:rsid w:val="00A975A4"/>
    <w:rsid w:val="00A977B3"/>
    <w:rsid w:val="00A97DC8"/>
    <w:rsid w:val="00AA1418"/>
    <w:rsid w:val="00AA1C43"/>
    <w:rsid w:val="00AA2001"/>
    <w:rsid w:val="00AA2B5C"/>
    <w:rsid w:val="00AA4E59"/>
    <w:rsid w:val="00AA5328"/>
    <w:rsid w:val="00AA5393"/>
    <w:rsid w:val="00AA63D4"/>
    <w:rsid w:val="00AA6767"/>
    <w:rsid w:val="00AA790B"/>
    <w:rsid w:val="00AB03FD"/>
    <w:rsid w:val="00AB1412"/>
    <w:rsid w:val="00AB38CB"/>
    <w:rsid w:val="00AB3BEC"/>
    <w:rsid w:val="00AB44E4"/>
    <w:rsid w:val="00AB4AEB"/>
    <w:rsid w:val="00AB5352"/>
    <w:rsid w:val="00AB56AE"/>
    <w:rsid w:val="00AB62D5"/>
    <w:rsid w:val="00AB65B5"/>
    <w:rsid w:val="00AB6DCD"/>
    <w:rsid w:val="00AB6EE0"/>
    <w:rsid w:val="00AB7579"/>
    <w:rsid w:val="00AC2DFD"/>
    <w:rsid w:val="00AC352D"/>
    <w:rsid w:val="00AC40B7"/>
    <w:rsid w:val="00AC5122"/>
    <w:rsid w:val="00AC531F"/>
    <w:rsid w:val="00AC6121"/>
    <w:rsid w:val="00AC626D"/>
    <w:rsid w:val="00AC64BF"/>
    <w:rsid w:val="00AC6CB1"/>
    <w:rsid w:val="00AC79DA"/>
    <w:rsid w:val="00AD0091"/>
    <w:rsid w:val="00AD0843"/>
    <w:rsid w:val="00AD23D8"/>
    <w:rsid w:val="00AD23EF"/>
    <w:rsid w:val="00AD2F0F"/>
    <w:rsid w:val="00AD307B"/>
    <w:rsid w:val="00AD31F9"/>
    <w:rsid w:val="00AD41B3"/>
    <w:rsid w:val="00AD456B"/>
    <w:rsid w:val="00AD4B31"/>
    <w:rsid w:val="00AD4C48"/>
    <w:rsid w:val="00AD57AF"/>
    <w:rsid w:val="00AD6267"/>
    <w:rsid w:val="00AD6292"/>
    <w:rsid w:val="00AD7317"/>
    <w:rsid w:val="00AD754C"/>
    <w:rsid w:val="00AE01A8"/>
    <w:rsid w:val="00AE069F"/>
    <w:rsid w:val="00AE0789"/>
    <w:rsid w:val="00AE0CBD"/>
    <w:rsid w:val="00AE123A"/>
    <w:rsid w:val="00AE1A1E"/>
    <w:rsid w:val="00AE2591"/>
    <w:rsid w:val="00AE28A7"/>
    <w:rsid w:val="00AE33A6"/>
    <w:rsid w:val="00AE36D5"/>
    <w:rsid w:val="00AE3715"/>
    <w:rsid w:val="00AE3729"/>
    <w:rsid w:val="00AE55B2"/>
    <w:rsid w:val="00AE5C6A"/>
    <w:rsid w:val="00AE65F7"/>
    <w:rsid w:val="00AE7280"/>
    <w:rsid w:val="00AF033A"/>
    <w:rsid w:val="00AF1699"/>
    <w:rsid w:val="00AF3896"/>
    <w:rsid w:val="00AF3CEE"/>
    <w:rsid w:val="00AF5706"/>
    <w:rsid w:val="00AF6479"/>
    <w:rsid w:val="00AF6C33"/>
    <w:rsid w:val="00B0098A"/>
    <w:rsid w:val="00B00A5F"/>
    <w:rsid w:val="00B0225F"/>
    <w:rsid w:val="00B029B8"/>
    <w:rsid w:val="00B02F60"/>
    <w:rsid w:val="00B032B8"/>
    <w:rsid w:val="00B03ABB"/>
    <w:rsid w:val="00B04B46"/>
    <w:rsid w:val="00B05050"/>
    <w:rsid w:val="00B0534D"/>
    <w:rsid w:val="00B06368"/>
    <w:rsid w:val="00B06FC6"/>
    <w:rsid w:val="00B07163"/>
    <w:rsid w:val="00B07429"/>
    <w:rsid w:val="00B11847"/>
    <w:rsid w:val="00B12DF9"/>
    <w:rsid w:val="00B12FE6"/>
    <w:rsid w:val="00B1303F"/>
    <w:rsid w:val="00B1364A"/>
    <w:rsid w:val="00B13D3C"/>
    <w:rsid w:val="00B1525C"/>
    <w:rsid w:val="00B16715"/>
    <w:rsid w:val="00B17910"/>
    <w:rsid w:val="00B2041B"/>
    <w:rsid w:val="00B20F18"/>
    <w:rsid w:val="00B21516"/>
    <w:rsid w:val="00B22CE0"/>
    <w:rsid w:val="00B23738"/>
    <w:rsid w:val="00B23BEF"/>
    <w:rsid w:val="00B247BB"/>
    <w:rsid w:val="00B25C11"/>
    <w:rsid w:val="00B25EDF"/>
    <w:rsid w:val="00B25EE6"/>
    <w:rsid w:val="00B27BC0"/>
    <w:rsid w:val="00B3115A"/>
    <w:rsid w:val="00B31A5C"/>
    <w:rsid w:val="00B33C19"/>
    <w:rsid w:val="00B33F84"/>
    <w:rsid w:val="00B3433E"/>
    <w:rsid w:val="00B34861"/>
    <w:rsid w:val="00B34B77"/>
    <w:rsid w:val="00B363BD"/>
    <w:rsid w:val="00B36844"/>
    <w:rsid w:val="00B369F7"/>
    <w:rsid w:val="00B36A99"/>
    <w:rsid w:val="00B37537"/>
    <w:rsid w:val="00B41B81"/>
    <w:rsid w:val="00B42980"/>
    <w:rsid w:val="00B434B2"/>
    <w:rsid w:val="00B434C7"/>
    <w:rsid w:val="00B43580"/>
    <w:rsid w:val="00B43D45"/>
    <w:rsid w:val="00B44771"/>
    <w:rsid w:val="00B4650E"/>
    <w:rsid w:val="00B468F2"/>
    <w:rsid w:val="00B46B45"/>
    <w:rsid w:val="00B46D3D"/>
    <w:rsid w:val="00B46F6B"/>
    <w:rsid w:val="00B47286"/>
    <w:rsid w:val="00B47894"/>
    <w:rsid w:val="00B47DDE"/>
    <w:rsid w:val="00B50234"/>
    <w:rsid w:val="00B51BF4"/>
    <w:rsid w:val="00B51F4B"/>
    <w:rsid w:val="00B52C68"/>
    <w:rsid w:val="00B542FE"/>
    <w:rsid w:val="00B551CE"/>
    <w:rsid w:val="00B55A1B"/>
    <w:rsid w:val="00B561DB"/>
    <w:rsid w:val="00B57494"/>
    <w:rsid w:val="00B61DCE"/>
    <w:rsid w:val="00B62188"/>
    <w:rsid w:val="00B62467"/>
    <w:rsid w:val="00B62F79"/>
    <w:rsid w:val="00B62F82"/>
    <w:rsid w:val="00B648FA"/>
    <w:rsid w:val="00B662FF"/>
    <w:rsid w:val="00B708C2"/>
    <w:rsid w:val="00B72C80"/>
    <w:rsid w:val="00B730B4"/>
    <w:rsid w:val="00B74340"/>
    <w:rsid w:val="00B744E0"/>
    <w:rsid w:val="00B7481A"/>
    <w:rsid w:val="00B74F2F"/>
    <w:rsid w:val="00B756FB"/>
    <w:rsid w:val="00B762CA"/>
    <w:rsid w:val="00B769BC"/>
    <w:rsid w:val="00B77349"/>
    <w:rsid w:val="00B7761E"/>
    <w:rsid w:val="00B80A37"/>
    <w:rsid w:val="00B80A3D"/>
    <w:rsid w:val="00B81902"/>
    <w:rsid w:val="00B823E0"/>
    <w:rsid w:val="00B82B78"/>
    <w:rsid w:val="00B84662"/>
    <w:rsid w:val="00B85402"/>
    <w:rsid w:val="00B864A3"/>
    <w:rsid w:val="00B86C2A"/>
    <w:rsid w:val="00B877F1"/>
    <w:rsid w:val="00B902A5"/>
    <w:rsid w:val="00B90420"/>
    <w:rsid w:val="00B913E4"/>
    <w:rsid w:val="00B91DB9"/>
    <w:rsid w:val="00B93487"/>
    <w:rsid w:val="00B93A82"/>
    <w:rsid w:val="00B93EFE"/>
    <w:rsid w:val="00B94956"/>
    <w:rsid w:val="00B94C7F"/>
    <w:rsid w:val="00B956B5"/>
    <w:rsid w:val="00B95C3A"/>
    <w:rsid w:val="00B95FCE"/>
    <w:rsid w:val="00BA0D44"/>
    <w:rsid w:val="00BA0E26"/>
    <w:rsid w:val="00BA31BF"/>
    <w:rsid w:val="00BA3EBF"/>
    <w:rsid w:val="00BA43FC"/>
    <w:rsid w:val="00BA478B"/>
    <w:rsid w:val="00BA5224"/>
    <w:rsid w:val="00BA70B3"/>
    <w:rsid w:val="00BA7B27"/>
    <w:rsid w:val="00BA7E3B"/>
    <w:rsid w:val="00BB079C"/>
    <w:rsid w:val="00BB2B56"/>
    <w:rsid w:val="00BB39C1"/>
    <w:rsid w:val="00BB4901"/>
    <w:rsid w:val="00BB5D16"/>
    <w:rsid w:val="00BB6180"/>
    <w:rsid w:val="00BB69E6"/>
    <w:rsid w:val="00BB7D2A"/>
    <w:rsid w:val="00BC0760"/>
    <w:rsid w:val="00BC1B7A"/>
    <w:rsid w:val="00BC2BC7"/>
    <w:rsid w:val="00BC2C17"/>
    <w:rsid w:val="00BC3ACD"/>
    <w:rsid w:val="00BC3C33"/>
    <w:rsid w:val="00BC66D7"/>
    <w:rsid w:val="00BC6E73"/>
    <w:rsid w:val="00BD0014"/>
    <w:rsid w:val="00BD01D8"/>
    <w:rsid w:val="00BD0CBE"/>
    <w:rsid w:val="00BD2512"/>
    <w:rsid w:val="00BD255F"/>
    <w:rsid w:val="00BD383D"/>
    <w:rsid w:val="00BD4236"/>
    <w:rsid w:val="00BD575B"/>
    <w:rsid w:val="00BD5CCA"/>
    <w:rsid w:val="00BD5CD4"/>
    <w:rsid w:val="00BD6652"/>
    <w:rsid w:val="00BD6EF9"/>
    <w:rsid w:val="00BD77DD"/>
    <w:rsid w:val="00BE0ACB"/>
    <w:rsid w:val="00BE0E74"/>
    <w:rsid w:val="00BE1A90"/>
    <w:rsid w:val="00BE3537"/>
    <w:rsid w:val="00BE360F"/>
    <w:rsid w:val="00BE50FD"/>
    <w:rsid w:val="00BE51CA"/>
    <w:rsid w:val="00BE5E5A"/>
    <w:rsid w:val="00BE6D47"/>
    <w:rsid w:val="00BE7032"/>
    <w:rsid w:val="00BE7330"/>
    <w:rsid w:val="00BF01C5"/>
    <w:rsid w:val="00BF066A"/>
    <w:rsid w:val="00BF361C"/>
    <w:rsid w:val="00BF4342"/>
    <w:rsid w:val="00BF5050"/>
    <w:rsid w:val="00BF5422"/>
    <w:rsid w:val="00BF54CF"/>
    <w:rsid w:val="00BF59B1"/>
    <w:rsid w:val="00BF6A78"/>
    <w:rsid w:val="00BF6E19"/>
    <w:rsid w:val="00BF79B4"/>
    <w:rsid w:val="00C01427"/>
    <w:rsid w:val="00C016A1"/>
    <w:rsid w:val="00C04C49"/>
    <w:rsid w:val="00C0508D"/>
    <w:rsid w:val="00C058AF"/>
    <w:rsid w:val="00C11AAA"/>
    <w:rsid w:val="00C124C1"/>
    <w:rsid w:val="00C128AE"/>
    <w:rsid w:val="00C1300C"/>
    <w:rsid w:val="00C136D6"/>
    <w:rsid w:val="00C13D5B"/>
    <w:rsid w:val="00C16047"/>
    <w:rsid w:val="00C17AE2"/>
    <w:rsid w:val="00C20F27"/>
    <w:rsid w:val="00C214D1"/>
    <w:rsid w:val="00C215CF"/>
    <w:rsid w:val="00C223F8"/>
    <w:rsid w:val="00C2244B"/>
    <w:rsid w:val="00C22B0D"/>
    <w:rsid w:val="00C22F55"/>
    <w:rsid w:val="00C240C1"/>
    <w:rsid w:val="00C250D0"/>
    <w:rsid w:val="00C252AC"/>
    <w:rsid w:val="00C255AB"/>
    <w:rsid w:val="00C264F0"/>
    <w:rsid w:val="00C27214"/>
    <w:rsid w:val="00C27597"/>
    <w:rsid w:val="00C30382"/>
    <w:rsid w:val="00C30D6F"/>
    <w:rsid w:val="00C31063"/>
    <w:rsid w:val="00C31B7E"/>
    <w:rsid w:val="00C32217"/>
    <w:rsid w:val="00C3242A"/>
    <w:rsid w:val="00C32AE2"/>
    <w:rsid w:val="00C33201"/>
    <w:rsid w:val="00C332C4"/>
    <w:rsid w:val="00C33C3C"/>
    <w:rsid w:val="00C35857"/>
    <w:rsid w:val="00C360B3"/>
    <w:rsid w:val="00C3679B"/>
    <w:rsid w:val="00C36E63"/>
    <w:rsid w:val="00C37027"/>
    <w:rsid w:val="00C3778D"/>
    <w:rsid w:val="00C405A3"/>
    <w:rsid w:val="00C40B70"/>
    <w:rsid w:val="00C42752"/>
    <w:rsid w:val="00C42973"/>
    <w:rsid w:val="00C44F9C"/>
    <w:rsid w:val="00C4730E"/>
    <w:rsid w:val="00C47ED3"/>
    <w:rsid w:val="00C5019C"/>
    <w:rsid w:val="00C5034F"/>
    <w:rsid w:val="00C52479"/>
    <w:rsid w:val="00C5291F"/>
    <w:rsid w:val="00C52C59"/>
    <w:rsid w:val="00C5349E"/>
    <w:rsid w:val="00C5354B"/>
    <w:rsid w:val="00C54467"/>
    <w:rsid w:val="00C54D3D"/>
    <w:rsid w:val="00C55116"/>
    <w:rsid w:val="00C55A30"/>
    <w:rsid w:val="00C57C58"/>
    <w:rsid w:val="00C6028F"/>
    <w:rsid w:val="00C6046F"/>
    <w:rsid w:val="00C608F1"/>
    <w:rsid w:val="00C631E1"/>
    <w:rsid w:val="00C637E8"/>
    <w:rsid w:val="00C638D8"/>
    <w:rsid w:val="00C63C84"/>
    <w:rsid w:val="00C63D26"/>
    <w:rsid w:val="00C641EB"/>
    <w:rsid w:val="00C65053"/>
    <w:rsid w:val="00C65BD9"/>
    <w:rsid w:val="00C66061"/>
    <w:rsid w:val="00C66F69"/>
    <w:rsid w:val="00C67223"/>
    <w:rsid w:val="00C67CFF"/>
    <w:rsid w:val="00C707B8"/>
    <w:rsid w:val="00C7084B"/>
    <w:rsid w:val="00C71C15"/>
    <w:rsid w:val="00C71F3D"/>
    <w:rsid w:val="00C72F53"/>
    <w:rsid w:val="00C74035"/>
    <w:rsid w:val="00C76FF4"/>
    <w:rsid w:val="00C77818"/>
    <w:rsid w:val="00C77AE3"/>
    <w:rsid w:val="00C8063F"/>
    <w:rsid w:val="00C81549"/>
    <w:rsid w:val="00C829A1"/>
    <w:rsid w:val="00C83B36"/>
    <w:rsid w:val="00C84F8A"/>
    <w:rsid w:val="00C84FDF"/>
    <w:rsid w:val="00C85209"/>
    <w:rsid w:val="00C8618F"/>
    <w:rsid w:val="00C90372"/>
    <w:rsid w:val="00C9041F"/>
    <w:rsid w:val="00C90AD1"/>
    <w:rsid w:val="00C9138F"/>
    <w:rsid w:val="00C91A45"/>
    <w:rsid w:val="00C91ED2"/>
    <w:rsid w:val="00C91FB4"/>
    <w:rsid w:val="00C9364F"/>
    <w:rsid w:val="00C95745"/>
    <w:rsid w:val="00C962E3"/>
    <w:rsid w:val="00C965BD"/>
    <w:rsid w:val="00C97997"/>
    <w:rsid w:val="00CA08FE"/>
    <w:rsid w:val="00CA0FAC"/>
    <w:rsid w:val="00CA25C0"/>
    <w:rsid w:val="00CA2697"/>
    <w:rsid w:val="00CA3451"/>
    <w:rsid w:val="00CA4948"/>
    <w:rsid w:val="00CA52F9"/>
    <w:rsid w:val="00CA568B"/>
    <w:rsid w:val="00CA74D4"/>
    <w:rsid w:val="00CA7500"/>
    <w:rsid w:val="00CB1239"/>
    <w:rsid w:val="00CB178B"/>
    <w:rsid w:val="00CB19FE"/>
    <w:rsid w:val="00CB23C2"/>
    <w:rsid w:val="00CB304C"/>
    <w:rsid w:val="00CB53E8"/>
    <w:rsid w:val="00CB593E"/>
    <w:rsid w:val="00CB594A"/>
    <w:rsid w:val="00CB5CB2"/>
    <w:rsid w:val="00CB6979"/>
    <w:rsid w:val="00CB74EC"/>
    <w:rsid w:val="00CC0A3D"/>
    <w:rsid w:val="00CC2373"/>
    <w:rsid w:val="00CC3C6A"/>
    <w:rsid w:val="00CC3D24"/>
    <w:rsid w:val="00CC3F91"/>
    <w:rsid w:val="00CC4B0A"/>
    <w:rsid w:val="00CC544A"/>
    <w:rsid w:val="00CC57EA"/>
    <w:rsid w:val="00CC5954"/>
    <w:rsid w:val="00CC6C4E"/>
    <w:rsid w:val="00CD05A2"/>
    <w:rsid w:val="00CD19DA"/>
    <w:rsid w:val="00CD233D"/>
    <w:rsid w:val="00CD29D4"/>
    <w:rsid w:val="00CD38F5"/>
    <w:rsid w:val="00CD3ABE"/>
    <w:rsid w:val="00CD400F"/>
    <w:rsid w:val="00CD437E"/>
    <w:rsid w:val="00CD572E"/>
    <w:rsid w:val="00CD5A89"/>
    <w:rsid w:val="00CD5DAD"/>
    <w:rsid w:val="00CD72C5"/>
    <w:rsid w:val="00CD77A2"/>
    <w:rsid w:val="00CD79A7"/>
    <w:rsid w:val="00CE0789"/>
    <w:rsid w:val="00CE1A03"/>
    <w:rsid w:val="00CE2346"/>
    <w:rsid w:val="00CE3529"/>
    <w:rsid w:val="00CE35C8"/>
    <w:rsid w:val="00CE3962"/>
    <w:rsid w:val="00CE5105"/>
    <w:rsid w:val="00CE56BD"/>
    <w:rsid w:val="00CE5EC0"/>
    <w:rsid w:val="00CE6F9F"/>
    <w:rsid w:val="00CE773B"/>
    <w:rsid w:val="00CE781A"/>
    <w:rsid w:val="00CE7B3A"/>
    <w:rsid w:val="00CF10D4"/>
    <w:rsid w:val="00CF1D74"/>
    <w:rsid w:val="00CF2BE2"/>
    <w:rsid w:val="00CF31C0"/>
    <w:rsid w:val="00CF3839"/>
    <w:rsid w:val="00CF55F9"/>
    <w:rsid w:val="00CF56F1"/>
    <w:rsid w:val="00CF59DF"/>
    <w:rsid w:val="00CF71A6"/>
    <w:rsid w:val="00CF7495"/>
    <w:rsid w:val="00CF7671"/>
    <w:rsid w:val="00D01CF9"/>
    <w:rsid w:val="00D0334D"/>
    <w:rsid w:val="00D0374D"/>
    <w:rsid w:val="00D05A76"/>
    <w:rsid w:val="00D075F8"/>
    <w:rsid w:val="00D0790C"/>
    <w:rsid w:val="00D07F1D"/>
    <w:rsid w:val="00D10558"/>
    <w:rsid w:val="00D1203E"/>
    <w:rsid w:val="00D12886"/>
    <w:rsid w:val="00D13D03"/>
    <w:rsid w:val="00D13E70"/>
    <w:rsid w:val="00D140B5"/>
    <w:rsid w:val="00D16136"/>
    <w:rsid w:val="00D16C58"/>
    <w:rsid w:val="00D17019"/>
    <w:rsid w:val="00D170C1"/>
    <w:rsid w:val="00D21168"/>
    <w:rsid w:val="00D235C8"/>
    <w:rsid w:val="00D2438C"/>
    <w:rsid w:val="00D25264"/>
    <w:rsid w:val="00D25DFA"/>
    <w:rsid w:val="00D26C3F"/>
    <w:rsid w:val="00D27185"/>
    <w:rsid w:val="00D278A6"/>
    <w:rsid w:val="00D27C40"/>
    <w:rsid w:val="00D31E78"/>
    <w:rsid w:val="00D32B84"/>
    <w:rsid w:val="00D337AE"/>
    <w:rsid w:val="00D33AB3"/>
    <w:rsid w:val="00D33F24"/>
    <w:rsid w:val="00D346B7"/>
    <w:rsid w:val="00D346B8"/>
    <w:rsid w:val="00D35AC8"/>
    <w:rsid w:val="00D35D34"/>
    <w:rsid w:val="00D36F87"/>
    <w:rsid w:val="00D37E4E"/>
    <w:rsid w:val="00D426F4"/>
    <w:rsid w:val="00D42E6C"/>
    <w:rsid w:val="00D43218"/>
    <w:rsid w:val="00D43B80"/>
    <w:rsid w:val="00D44236"/>
    <w:rsid w:val="00D442B9"/>
    <w:rsid w:val="00D45B1E"/>
    <w:rsid w:val="00D45BA4"/>
    <w:rsid w:val="00D46CA8"/>
    <w:rsid w:val="00D46E77"/>
    <w:rsid w:val="00D471AF"/>
    <w:rsid w:val="00D4724F"/>
    <w:rsid w:val="00D50519"/>
    <w:rsid w:val="00D516A5"/>
    <w:rsid w:val="00D5264C"/>
    <w:rsid w:val="00D5289A"/>
    <w:rsid w:val="00D537FE"/>
    <w:rsid w:val="00D538F0"/>
    <w:rsid w:val="00D54A6A"/>
    <w:rsid w:val="00D54BF8"/>
    <w:rsid w:val="00D54D7C"/>
    <w:rsid w:val="00D55951"/>
    <w:rsid w:val="00D56316"/>
    <w:rsid w:val="00D572BE"/>
    <w:rsid w:val="00D57EB6"/>
    <w:rsid w:val="00D60ED7"/>
    <w:rsid w:val="00D62B20"/>
    <w:rsid w:val="00D63586"/>
    <w:rsid w:val="00D664BF"/>
    <w:rsid w:val="00D66D8B"/>
    <w:rsid w:val="00D72A1C"/>
    <w:rsid w:val="00D73580"/>
    <w:rsid w:val="00D73802"/>
    <w:rsid w:val="00D73868"/>
    <w:rsid w:val="00D73C2C"/>
    <w:rsid w:val="00D73D52"/>
    <w:rsid w:val="00D742A0"/>
    <w:rsid w:val="00D745E7"/>
    <w:rsid w:val="00D74BD9"/>
    <w:rsid w:val="00D75FF0"/>
    <w:rsid w:val="00D77495"/>
    <w:rsid w:val="00D774ED"/>
    <w:rsid w:val="00D7778F"/>
    <w:rsid w:val="00D777F6"/>
    <w:rsid w:val="00D77F88"/>
    <w:rsid w:val="00D8044C"/>
    <w:rsid w:val="00D81EAA"/>
    <w:rsid w:val="00D8259F"/>
    <w:rsid w:val="00D825F2"/>
    <w:rsid w:val="00D828B1"/>
    <w:rsid w:val="00D84461"/>
    <w:rsid w:val="00D84F27"/>
    <w:rsid w:val="00D850D4"/>
    <w:rsid w:val="00D862D1"/>
    <w:rsid w:val="00D873C6"/>
    <w:rsid w:val="00D91027"/>
    <w:rsid w:val="00D937E0"/>
    <w:rsid w:val="00D94C7D"/>
    <w:rsid w:val="00D94CA4"/>
    <w:rsid w:val="00D94FB4"/>
    <w:rsid w:val="00D95E99"/>
    <w:rsid w:val="00DA098C"/>
    <w:rsid w:val="00DA0BF8"/>
    <w:rsid w:val="00DA0FFB"/>
    <w:rsid w:val="00DA1A3A"/>
    <w:rsid w:val="00DA2C65"/>
    <w:rsid w:val="00DA395D"/>
    <w:rsid w:val="00DA3A34"/>
    <w:rsid w:val="00DA44EB"/>
    <w:rsid w:val="00DB16B8"/>
    <w:rsid w:val="00DB1D52"/>
    <w:rsid w:val="00DB1F62"/>
    <w:rsid w:val="00DB2E03"/>
    <w:rsid w:val="00DB3742"/>
    <w:rsid w:val="00DB3F4B"/>
    <w:rsid w:val="00DB61A4"/>
    <w:rsid w:val="00DB67C1"/>
    <w:rsid w:val="00DB70CD"/>
    <w:rsid w:val="00DB70F4"/>
    <w:rsid w:val="00DC1056"/>
    <w:rsid w:val="00DC16DA"/>
    <w:rsid w:val="00DC211E"/>
    <w:rsid w:val="00DC21D8"/>
    <w:rsid w:val="00DC2369"/>
    <w:rsid w:val="00DC282A"/>
    <w:rsid w:val="00DC34DC"/>
    <w:rsid w:val="00DC3CC6"/>
    <w:rsid w:val="00DC514A"/>
    <w:rsid w:val="00DC64EC"/>
    <w:rsid w:val="00DC67B1"/>
    <w:rsid w:val="00DC7833"/>
    <w:rsid w:val="00DC7B22"/>
    <w:rsid w:val="00DD132B"/>
    <w:rsid w:val="00DD1725"/>
    <w:rsid w:val="00DD21B9"/>
    <w:rsid w:val="00DD2427"/>
    <w:rsid w:val="00DD2A18"/>
    <w:rsid w:val="00DD377A"/>
    <w:rsid w:val="00DD3ECA"/>
    <w:rsid w:val="00DD5AB3"/>
    <w:rsid w:val="00DD5B1A"/>
    <w:rsid w:val="00DD61E8"/>
    <w:rsid w:val="00DD62C0"/>
    <w:rsid w:val="00DD6773"/>
    <w:rsid w:val="00DD7859"/>
    <w:rsid w:val="00DE03AC"/>
    <w:rsid w:val="00DE0A1D"/>
    <w:rsid w:val="00DE15B2"/>
    <w:rsid w:val="00DE1826"/>
    <w:rsid w:val="00DE1A9A"/>
    <w:rsid w:val="00DE23B5"/>
    <w:rsid w:val="00DE2494"/>
    <w:rsid w:val="00DE3D2C"/>
    <w:rsid w:val="00DE43D0"/>
    <w:rsid w:val="00DE5E82"/>
    <w:rsid w:val="00DE5FA6"/>
    <w:rsid w:val="00DE6494"/>
    <w:rsid w:val="00DE6AA1"/>
    <w:rsid w:val="00DE6C57"/>
    <w:rsid w:val="00DE74D7"/>
    <w:rsid w:val="00DE7DCC"/>
    <w:rsid w:val="00DE7EF7"/>
    <w:rsid w:val="00DF1185"/>
    <w:rsid w:val="00DF1299"/>
    <w:rsid w:val="00DF164F"/>
    <w:rsid w:val="00DF1A70"/>
    <w:rsid w:val="00DF23A8"/>
    <w:rsid w:val="00DF2F27"/>
    <w:rsid w:val="00DF6CCC"/>
    <w:rsid w:val="00DF6D0C"/>
    <w:rsid w:val="00DF6F64"/>
    <w:rsid w:val="00DF721E"/>
    <w:rsid w:val="00DF7C87"/>
    <w:rsid w:val="00E009B0"/>
    <w:rsid w:val="00E0345F"/>
    <w:rsid w:val="00E03D5C"/>
    <w:rsid w:val="00E043AC"/>
    <w:rsid w:val="00E043E9"/>
    <w:rsid w:val="00E046A9"/>
    <w:rsid w:val="00E04C0F"/>
    <w:rsid w:val="00E0570B"/>
    <w:rsid w:val="00E057B2"/>
    <w:rsid w:val="00E05996"/>
    <w:rsid w:val="00E10B87"/>
    <w:rsid w:val="00E1478B"/>
    <w:rsid w:val="00E14FAC"/>
    <w:rsid w:val="00E15007"/>
    <w:rsid w:val="00E16EC7"/>
    <w:rsid w:val="00E1714F"/>
    <w:rsid w:val="00E2026B"/>
    <w:rsid w:val="00E21576"/>
    <w:rsid w:val="00E219CE"/>
    <w:rsid w:val="00E21CAB"/>
    <w:rsid w:val="00E21E23"/>
    <w:rsid w:val="00E23961"/>
    <w:rsid w:val="00E24071"/>
    <w:rsid w:val="00E24EBC"/>
    <w:rsid w:val="00E2522C"/>
    <w:rsid w:val="00E2599B"/>
    <w:rsid w:val="00E27383"/>
    <w:rsid w:val="00E2793D"/>
    <w:rsid w:val="00E31AFA"/>
    <w:rsid w:val="00E3203D"/>
    <w:rsid w:val="00E324EE"/>
    <w:rsid w:val="00E34296"/>
    <w:rsid w:val="00E359FF"/>
    <w:rsid w:val="00E36AA7"/>
    <w:rsid w:val="00E36E39"/>
    <w:rsid w:val="00E36F0C"/>
    <w:rsid w:val="00E405F1"/>
    <w:rsid w:val="00E43054"/>
    <w:rsid w:val="00E434C4"/>
    <w:rsid w:val="00E44FE4"/>
    <w:rsid w:val="00E453FC"/>
    <w:rsid w:val="00E45D30"/>
    <w:rsid w:val="00E46013"/>
    <w:rsid w:val="00E4654B"/>
    <w:rsid w:val="00E477C3"/>
    <w:rsid w:val="00E50148"/>
    <w:rsid w:val="00E5048D"/>
    <w:rsid w:val="00E504BB"/>
    <w:rsid w:val="00E50AC4"/>
    <w:rsid w:val="00E50E2C"/>
    <w:rsid w:val="00E51077"/>
    <w:rsid w:val="00E5132D"/>
    <w:rsid w:val="00E51741"/>
    <w:rsid w:val="00E51E16"/>
    <w:rsid w:val="00E52051"/>
    <w:rsid w:val="00E52151"/>
    <w:rsid w:val="00E53730"/>
    <w:rsid w:val="00E53C46"/>
    <w:rsid w:val="00E54511"/>
    <w:rsid w:val="00E55DC3"/>
    <w:rsid w:val="00E55E88"/>
    <w:rsid w:val="00E57577"/>
    <w:rsid w:val="00E601DE"/>
    <w:rsid w:val="00E62043"/>
    <w:rsid w:val="00E626B9"/>
    <w:rsid w:val="00E627C9"/>
    <w:rsid w:val="00E630F3"/>
    <w:rsid w:val="00E64E10"/>
    <w:rsid w:val="00E650E0"/>
    <w:rsid w:val="00E65198"/>
    <w:rsid w:val="00E664FB"/>
    <w:rsid w:val="00E66F0D"/>
    <w:rsid w:val="00E672F9"/>
    <w:rsid w:val="00E67345"/>
    <w:rsid w:val="00E70615"/>
    <w:rsid w:val="00E71A5E"/>
    <w:rsid w:val="00E7207B"/>
    <w:rsid w:val="00E7347A"/>
    <w:rsid w:val="00E75325"/>
    <w:rsid w:val="00E759FB"/>
    <w:rsid w:val="00E75A47"/>
    <w:rsid w:val="00E75D8C"/>
    <w:rsid w:val="00E77771"/>
    <w:rsid w:val="00E777F2"/>
    <w:rsid w:val="00E779ED"/>
    <w:rsid w:val="00E802C9"/>
    <w:rsid w:val="00E80EDD"/>
    <w:rsid w:val="00E80F0A"/>
    <w:rsid w:val="00E81A6A"/>
    <w:rsid w:val="00E8291B"/>
    <w:rsid w:val="00E82FBC"/>
    <w:rsid w:val="00E8395F"/>
    <w:rsid w:val="00E8473F"/>
    <w:rsid w:val="00E84DD1"/>
    <w:rsid w:val="00E85E41"/>
    <w:rsid w:val="00E85EA1"/>
    <w:rsid w:val="00E91044"/>
    <w:rsid w:val="00E910D3"/>
    <w:rsid w:val="00E923CF"/>
    <w:rsid w:val="00E9335F"/>
    <w:rsid w:val="00E95111"/>
    <w:rsid w:val="00E9760C"/>
    <w:rsid w:val="00EA048D"/>
    <w:rsid w:val="00EA061E"/>
    <w:rsid w:val="00EA08DE"/>
    <w:rsid w:val="00EA14C8"/>
    <w:rsid w:val="00EA19D3"/>
    <w:rsid w:val="00EA2296"/>
    <w:rsid w:val="00EA2C8D"/>
    <w:rsid w:val="00EA6649"/>
    <w:rsid w:val="00EB05D0"/>
    <w:rsid w:val="00EB07C5"/>
    <w:rsid w:val="00EB1D49"/>
    <w:rsid w:val="00EB42DD"/>
    <w:rsid w:val="00EB559F"/>
    <w:rsid w:val="00EB5F3D"/>
    <w:rsid w:val="00EB6900"/>
    <w:rsid w:val="00EB6EC2"/>
    <w:rsid w:val="00EC1CEB"/>
    <w:rsid w:val="00EC21A7"/>
    <w:rsid w:val="00EC268C"/>
    <w:rsid w:val="00EC3747"/>
    <w:rsid w:val="00EC3753"/>
    <w:rsid w:val="00EC3CB8"/>
    <w:rsid w:val="00EC3D46"/>
    <w:rsid w:val="00EC4E71"/>
    <w:rsid w:val="00EC6667"/>
    <w:rsid w:val="00EC783E"/>
    <w:rsid w:val="00ED0365"/>
    <w:rsid w:val="00ED0865"/>
    <w:rsid w:val="00ED094F"/>
    <w:rsid w:val="00ED16B6"/>
    <w:rsid w:val="00ED1C60"/>
    <w:rsid w:val="00ED2EB9"/>
    <w:rsid w:val="00ED4469"/>
    <w:rsid w:val="00ED5F23"/>
    <w:rsid w:val="00ED675F"/>
    <w:rsid w:val="00ED6DC0"/>
    <w:rsid w:val="00ED79CE"/>
    <w:rsid w:val="00ED7A7A"/>
    <w:rsid w:val="00EE038C"/>
    <w:rsid w:val="00EE040B"/>
    <w:rsid w:val="00EE168A"/>
    <w:rsid w:val="00EE47C5"/>
    <w:rsid w:val="00EE490C"/>
    <w:rsid w:val="00EE613B"/>
    <w:rsid w:val="00EE65D6"/>
    <w:rsid w:val="00EE6609"/>
    <w:rsid w:val="00EE7D60"/>
    <w:rsid w:val="00EE7E17"/>
    <w:rsid w:val="00EF2C8E"/>
    <w:rsid w:val="00EF3174"/>
    <w:rsid w:val="00EF3303"/>
    <w:rsid w:val="00EF37AB"/>
    <w:rsid w:val="00EF3A0D"/>
    <w:rsid w:val="00EF3CEB"/>
    <w:rsid w:val="00EF41A8"/>
    <w:rsid w:val="00EF44FB"/>
    <w:rsid w:val="00EF4D3C"/>
    <w:rsid w:val="00EF51CA"/>
    <w:rsid w:val="00EF5554"/>
    <w:rsid w:val="00EF5AD8"/>
    <w:rsid w:val="00EF5D2F"/>
    <w:rsid w:val="00EF63F5"/>
    <w:rsid w:val="00EF6758"/>
    <w:rsid w:val="00EF6B90"/>
    <w:rsid w:val="00EF70AE"/>
    <w:rsid w:val="00EF7113"/>
    <w:rsid w:val="00EF79F7"/>
    <w:rsid w:val="00F00418"/>
    <w:rsid w:val="00F006C0"/>
    <w:rsid w:val="00F009BB"/>
    <w:rsid w:val="00F019AA"/>
    <w:rsid w:val="00F0267E"/>
    <w:rsid w:val="00F02686"/>
    <w:rsid w:val="00F03D99"/>
    <w:rsid w:val="00F0459B"/>
    <w:rsid w:val="00F04E15"/>
    <w:rsid w:val="00F05DF3"/>
    <w:rsid w:val="00F0641B"/>
    <w:rsid w:val="00F069EA"/>
    <w:rsid w:val="00F07B6E"/>
    <w:rsid w:val="00F07DF8"/>
    <w:rsid w:val="00F11461"/>
    <w:rsid w:val="00F11675"/>
    <w:rsid w:val="00F1182D"/>
    <w:rsid w:val="00F12250"/>
    <w:rsid w:val="00F12557"/>
    <w:rsid w:val="00F12D4D"/>
    <w:rsid w:val="00F13A8F"/>
    <w:rsid w:val="00F144F8"/>
    <w:rsid w:val="00F14DF8"/>
    <w:rsid w:val="00F164A3"/>
    <w:rsid w:val="00F17AD9"/>
    <w:rsid w:val="00F17F74"/>
    <w:rsid w:val="00F202C2"/>
    <w:rsid w:val="00F209D5"/>
    <w:rsid w:val="00F20C3A"/>
    <w:rsid w:val="00F22756"/>
    <w:rsid w:val="00F23890"/>
    <w:rsid w:val="00F2447A"/>
    <w:rsid w:val="00F24638"/>
    <w:rsid w:val="00F2504D"/>
    <w:rsid w:val="00F2637F"/>
    <w:rsid w:val="00F263A8"/>
    <w:rsid w:val="00F268F7"/>
    <w:rsid w:val="00F3053D"/>
    <w:rsid w:val="00F30BDB"/>
    <w:rsid w:val="00F30CF8"/>
    <w:rsid w:val="00F31633"/>
    <w:rsid w:val="00F31EDF"/>
    <w:rsid w:val="00F32CDE"/>
    <w:rsid w:val="00F32D4C"/>
    <w:rsid w:val="00F34811"/>
    <w:rsid w:val="00F34B14"/>
    <w:rsid w:val="00F36A6A"/>
    <w:rsid w:val="00F40101"/>
    <w:rsid w:val="00F404F7"/>
    <w:rsid w:val="00F40B17"/>
    <w:rsid w:val="00F40CCA"/>
    <w:rsid w:val="00F41521"/>
    <w:rsid w:val="00F42D97"/>
    <w:rsid w:val="00F43F09"/>
    <w:rsid w:val="00F45A72"/>
    <w:rsid w:val="00F46723"/>
    <w:rsid w:val="00F46EB9"/>
    <w:rsid w:val="00F50016"/>
    <w:rsid w:val="00F50647"/>
    <w:rsid w:val="00F5118A"/>
    <w:rsid w:val="00F5165C"/>
    <w:rsid w:val="00F51A21"/>
    <w:rsid w:val="00F5276E"/>
    <w:rsid w:val="00F529F9"/>
    <w:rsid w:val="00F52E9F"/>
    <w:rsid w:val="00F53304"/>
    <w:rsid w:val="00F53D37"/>
    <w:rsid w:val="00F53D40"/>
    <w:rsid w:val="00F545ED"/>
    <w:rsid w:val="00F5687F"/>
    <w:rsid w:val="00F56FA5"/>
    <w:rsid w:val="00F5727D"/>
    <w:rsid w:val="00F575C7"/>
    <w:rsid w:val="00F60305"/>
    <w:rsid w:val="00F61B12"/>
    <w:rsid w:val="00F620C5"/>
    <w:rsid w:val="00F62398"/>
    <w:rsid w:val="00F626C5"/>
    <w:rsid w:val="00F631E8"/>
    <w:rsid w:val="00F63223"/>
    <w:rsid w:val="00F63264"/>
    <w:rsid w:val="00F6379E"/>
    <w:rsid w:val="00F676EC"/>
    <w:rsid w:val="00F70799"/>
    <w:rsid w:val="00F70906"/>
    <w:rsid w:val="00F70A8B"/>
    <w:rsid w:val="00F724FB"/>
    <w:rsid w:val="00F72578"/>
    <w:rsid w:val="00F72A26"/>
    <w:rsid w:val="00F733C3"/>
    <w:rsid w:val="00F756DD"/>
    <w:rsid w:val="00F75DB3"/>
    <w:rsid w:val="00F77C37"/>
    <w:rsid w:val="00F80047"/>
    <w:rsid w:val="00F8104D"/>
    <w:rsid w:val="00F81587"/>
    <w:rsid w:val="00F82571"/>
    <w:rsid w:val="00F83706"/>
    <w:rsid w:val="00F85258"/>
    <w:rsid w:val="00F85B72"/>
    <w:rsid w:val="00F8766F"/>
    <w:rsid w:val="00F9104C"/>
    <w:rsid w:val="00F91082"/>
    <w:rsid w:val="00F91A9A"/>
    <w:rsid w:val="00F920A7"/>
    <w:rsid w:val="00F93ABB"/>
    <w:rsid w:val="00F94D79"/>
    <w:rsid w:val="00F971DD"/>
    <w:rsid w:val="00F975D3"/>
    <w:rsid w:val="00F97F42"/>
    <w:rsid w:val="00FA118A"/>
    <w:rsid w:val="00FA11CD"/>
    <w:rsid w:val="00FA1B7E"/>
    <w:rsid w:val="00FA31C7"/>
    <w:rsid w:val="00FA472D"/>
    <w:rsid w:val="00FA7254"/>
    <w:rsid w:val="00FB0214"/>
    <w:rsid w:val="00FB080C"/>
    <w:rsid w:val="00FB18F6"/>
    <w:rsid w:val="00FB2A52"/>
    <w:rsid w:val="00FB2F13"/>
    <w:rsid w:val="00FB6232"/>
    <w:rsid w:val="00FB6E19"/>
    <w:rsid w:val="00FB71F6"/>
    <w:rsid w:val="00FC0016"/>
    <w:rsid w:val="00FC1483"/>
    <w:rsid w:val="00FC1C47"/>
    <w:rsid w:val="00FC2EF2"/>
    <w:rsid w:val="00FC39ED"/>
    <w:rsid w:val="00FC4419"/>
    <w:rsid w:val="00FC47E2"/>
    <w:rsid w:val="00FC4AA5"/>
    <w:rsid w:val="00FC5148"/>
    <w:rsid w:val="00FC6590"/>
    <w:rsid w:val="00FC7523"/>
    <w:rsid w:val="00FC75AC"/>
    <w:rsid w:val="00FC75CB"/>
    <w:rsid w:val="00FD01BF"/>
    <w:rsid w:val="00FD0525"/>
    <w:rsid w:val="00FD0D4F"/>
    <w:rsid w:val="00FD297D"/>
    <w:rsid w:val="00FD2D13"/>
    <w:rsid w:val="00FD3D26"/>
    <w:rsid w:val="00FD4789"/>
    <w:rsid w:val="00FD6071"/>
    <w:rsid w:val="00FE0794"/>
    <w:rsid w:val="00FE1041"/>
    <w:rsid w:val="00FE24CB"/>
    <w:rsid w:val="00FE3166"/>
    <w:rsid w:val="00FE3320"/>
    <w:rsid w:val="00FE3473"/>
    <w:rsid w:val="00FE353B"/>
    <w:rsid w:val="00FE4049"/>
    <w:rsid w:val="00FE4794"/>
    <w:rsid w:val="00FE5DF7"/>
    <w:rsid w:val="00FE5F72"/>
    <w:rsid w:val="00FE7B6B"/>
    <w:rsid w:val="00FF0231"/>
    <w:rsid w:val="00FF1C9B"/>
    <w:rsid w:val="00FF1D49"/>
    <w:rsid w:val="00FF2562"/>
    <w:rsid w:val="00FF2CE1"/>
    <w:rsid w:val="00FF3A41"/>
    <w:rsid w:val="00FF3E5B"/>
    <w:rsid w:val="00FF52BE"/>
    <w:rsid w:val="00FF544F"/>
    <w:rsid w:val="00FF57E4"/>
    <w:rsid w:val="00FF77F8"/>
    <w:rsid w:val="00FF78E5"/>
    <w:rsid w:val="01DF6ED8"/>
    <w:rsid w:val="02511F9D"/>
    <w:rsid w:val="02AB4E64"/>
    <w:rsid w:val="03056ED3"/>
    <w:rsid w:val="0334104D"/>
    <w:rsid w:val="034E5B8A"/>
    <w:rsid w:val="03A314B8"/>
    <w:rsid w:val="03D82B98"/>
    <w:rsid w:val="03F83E8B"/>
    <w:rsid w:val="04321676"/>
    <w:rsid w:val="04455CB9"/>
    <w:rsid w:val="0487278A"/>
    <w:rsid w:val="05B257EC"/>
    <w:rsid w:val="05F21159"/>
    <w:rsid w:val="063B086F"/>
    <w:rsid w:val="06AE10AC"/>
    <w:rsid w:val="06FD78CE"/>
    <w:rsid w:val="07AB1DBE"/>
    <w:rsid w:val="07B72767"/>
    <w:rsid w:val="08077E72"/>
    <w:rsid w:val="09AB1EA0"/>
    <w:rsid w:val="09CC2AAC"/>
    <w:rsid w:val="09D820EE"/>
    <w:rsid w:val="0A002EF4"/>
    <w:rsid w:val="0A395458"/>
    <w:rsid w:val="0A652D3E"/>
    <w:rsid w:val="0B0A4571"/>
    <w:rsid w:val="0B3A48F0"/>
    <w:rsid w:val="0BA60EEC"/>
    <w:rsid w:val="0BF64F69"/>
    <w:rsid w:val="0C5C56D6"/>
    <w:rsid w:val="0C92213C"/>
    <w:rsid w:val="0CBA2804"/>
    <w:rsid w:val="0D3B1B72"/>
    <w:rsid w:val="0D4F221D"/>
    <w:rsid w:val="0D84032B"/>
    <w:rsid w:val="0DC758BA"/>
    <w:rsid w:val="0DF81504"/>
    <w:rsid w:val="0E121122"/>
    <w:rsid w:val="0E1A3BB0"/>
    <w:rsid w:val="0E287443"/>
    <w:rsid w:val="0F011985"/>
    <w:rsid w:val="0F4A0A27"/>
    <w:rsid w:val="0F4F4353"/>
    <w:rsid w:val="0FDC6CEF"/>
    <w:rsid w:val="10200A04"/>
    <w:rsid w:val="104F55A0"/>
    <w:rsid w:val="10A27F31"/>
    <w:rsid w:val="10CA487C"/>
    <w:rsid w:val="11927058"/>
    <w:rsid w:val="12133FB0"/>
    <w:rsid w:val="12176643"/>
    <w:rsid w:val="121B1B42"/>
    <w:rsid w:val="12510966"/>
    <w:rsid w:val="12626ADE"/>
    <w:rsid w:val="12A055F5"/>
    <w:rsid w:val="12A5223C"/>
    <w:rsid w:val="12A604D9"/>
    <w:rsid w:val="130D4243"/>
    <w:rsid w:val="1387148A"/>
    <w:rsid w:val="13AF4F03"/>
    <w:rsid w:val="145E6EE8"/>
    <w:rsid w:val="14736E66"/>
    <w:rsid w:val="148937C0"/>
    <w:rsid w:val="149B6AC2"/>
    <w:rsid w:val="15264037"/>
    <w:rsid w:val="15293653"/>
    <w:rsid w:val="1534169A"/>
    <w:rsid w:val="15C03E03"/>
    <w:rsid w:val="162A25EB"/>
    <w:rsid w:val="166B6217"/>
    <w:rsid w:val="16964761"/>
    <w:rsid w:val="16FD2A55"/>
    <w:rsid w:val="171B1BF4"/>
    <w:rsid w:val="17366761"/>
    <w:rsid w:val="17457C26"/>
    <w:rsid w:val="177C01F0"/>
    <w:rsid w:val="17CE6630"/>
    <w:rsid w:val="18345F44"/>
    <w:rsid w:val="18A10490"/>
    <w:rsid w:val="1923698A"/>
    <w:rsid w:val="19304EC9"/>
    <w:rsid w:val="19820BA0"/>
    <w:rsid w:val="1A11055F"/>
    <w:rsid w:val="1AFA16D5"/>
    <w:rsid w:val="1B4F19F8"/>
    <w:rsid w:val="1B5B1C32"/>
    <w:rsid w:val="1BD92184"/>
    <w:rsid w:val="1C5170A2"/>
    <w:rsid w:val="1CF47F2D"/>
    <w:rsid w:val="1D23361F"/>
    <w:rsid w:val="1D4061A8"/>
    <w:rsid w:val="1D7F547B"/>
    <w:rsid w:val="1D84707B"/>
    <w:rsid w:val="1DCC7FCA"/>
    <w:rsid w:val="1E4A2E9F"/>
    <w:rsid w:val="1E8C7359"/>
    <w:rsid w:val="1E9B4F4B"/>
    <w:rsid w:val="1EEE23EF"/>
    <w:rsid w:val="1F063325"/>
    <w:rsid w:val="1F1E3105"/>
    <w:rsid w:val="1FA2402F"/>
    <w:rsid w:val="1FBC5DF5"/>
    <w:rsid w:val="1FC55574"/>
    <w:rsid w:val="203D099C"/>
    <w:rsid w:val="20781442"/>
    <w:rsid w:val="20CC0210"/>
    <w:rsid w:val="21B83F86"/>
    <w:rsid w:val="21E55E66"/>
    <w:rsid w:val="221178A8"/>
    <w:rsid w:val="221213CF"/>
    <w:rsid w:val="22327A92"/>
    <w:rsid w:val="224C6FD4"/>
    <w:rsid w:val="22501E48"/>
    <w:rsid w:val="22965435"/>
    <w:rsid w:val="22BD6F35"/>
    <w:rsid w:val="231D53A2"/>
    <w:rsid w:val="23B7504C"/>
    <w:rsid w:val="23E073EA"/>
    <w:rsid w:val="24571307"/>
    <w:rsid w:val="24BA2984"/>
    <w:rsid w:val="25126E09"/>
    <w:rsid w:val="25246333"/>
    <w:rsid w:val="25C14636"/>
    <w:rsid w:val="26446DE3"/>
    <w:rsid w:val="264D165B"/>
    <w:rsid w:val="265F3538"/>
    <w:rsid w:val="26835926"/>
    <w:rsid w:val="26B767DA"/>
    <w:rsid w:val="26CD1617"/>
    <w:rsid w:val="26D7699F"/>
    <w:rsid w:val="27234AD7"/>
    <w:rsid w:val="27297152"/>
    <w:rsid w:val="274A5E17"/>
    <w:rsid w:val="279A2132"/>
    <w:rsid w:val="284D08E4"/>
    <w:rsid w:val="28780D72"/>
    <w:rsid w:val="2912495F"/>
    <w:rsid w:val="29531C35"/>
    <w:rsid w:val="29E17ECF"/>
    <w:rsid w:val="29E74232"/>
    <w:rsid w:val="2A2D3BAD"/>
    <w:rsid w:val="2A5A691B"/>
    <w:rsid w:val="2B09065E"/>
    <w:rsid w:val="2B774624"/>
    <w:rsid w:val="2C7A72BE"/>
    <w:rsid w:val="2CE1294E"/>
    <w:rsid w:val="2D7B23E8"/>
    <w:rsid w:val="2E3777C8"/>
    <w:rsid w:val="2EEB5D26"/>
    <w:rsid w:val="2F013AAD"/>
    <w:rsid w:val="2F401D3C"/>
    <w:rsid w:val="2F436F36"/>
    <w:rsid w:val="2F474F78"/>
    <w:rsid w:val="2F70241B"/>
    <w:rsid w:val="2FA95C88"/>
    <w:rsid w:val="3041370F"/>
    <w:rsid w:val="308D3B08"/>
    <w:rsid w:val="30E03914"/>
    <w:rsid w:val="30F06C49"/>
    <w:rsid w:val="31083A05"/>
    <w:rsid w:val="31227ACD"/>
    <w:rsid w:val="314363CA"/>
    <w:rsid w:val="314427A8"/>
    <w:rsid w:val="3180356E"/>
    <w:rsid w:val="32453A27"/>
    <w:rsid w:val="3263064A"/>
    <w:rsid w:val="32AC0C06"/>
    <w:rsid w:val="33FA1CBC"/>
    <w:rsid w:val="342866FA"/>
    <w:rsid w:val="34CA3F9D"/>
    <w:rsid w:val="35304278"/>
    <w:rsid w:val="3537750C"/>
    <w:rsid w:val="3537798C"/>
    <w:rsid w:val="357F7ED5"/>
    <w:rsid w:val="35C13FC9"/>
    <w:rsid w:val="3626181B"/>
    <w:rsid w:val="362E6D87"/>
    <w:rsid w:val="363C42F6"/>
    <w:rsid w:val="364257B6"/>
    <w:rsid w:val="367302A1"/>
    <w:rsid w:val="367B3D86"/>
    <w:rsid w:val="36F834D1"/>
    <w:rsid w:val="370247DE"/>
    <w:rsid w:val="374264D3"/>
    <w:rsid w:val="37C1661D"/>
    <w:rsid w:val="37DB7874"/>
    <w:rsid w:val="37E961A0"/>
    <w:rsid w:val="37EA5922"/>
    <w:rsid w:val="38083B97"/>
    <w:rsid w:val="3809405A"/>
    <w:rsid w:val="38276B93"/>
    <w:rsid w:val="388F7B77"/>
    <w:rsid w:val="3A0B64A7"/>
    <w:rsid w:val="3A4A48F1"/>
    <w:rsid w:val="3A7038BB"/>
    <w:rsid w:val="3AF74C02"/>
    <w:rsid w:val="3B163270"/>
    <w:rsid w:val="3BC6658C"/>
    <w:rsid w:val="3C0059A5"/>
    <w:rsid w:val="3C0E72F2"/>
    <w:rsid w:val="3C134E78"/>
    <w:rsid w:val="3C301B5F"/>
    <w:rsid w:val="3C4715C1"/>
    <w:rsid w:val="3C5277A9"/>
    <w:rsid w:val="3CAB1AFC"/>
    <w:rsid w:val="3D05582A"/>
    <w:rsid w:val="3DF6345D"/>
    <w:rsid w:val="3EE13701"/>
    <w:rsid w:val="3EFA9C1A"/>
    <w:rsid w:val="3F1A4BB3"/>
    <w:rsid w:val="3F320C8D"/>
    <w:rsid w:val="3F3A253B"/>
    <w:rsid w:val="3FF31377"/>
    <w:rsid w:val="40192BA6"/>
    <w:rsid w:val="404A1286"/>
    <w:rsid w:val="409C1193"/>
    <w:rsid w:val="42550A18"/>
    <w:rsid w:val="425600A9"/>
    <w:rsid w:val="427D3B24"/>
    <w:rsid w:val="42937435"/>
    <w:rsid w:val="42D114D2"/>
    <w:rsid w:val="42F473A1"/>
    <w:rsid w:val="432D04A7"/>
    <w:rsid w:val="4381162C"/>
    <w:rsid w:val="441E62C0"/>
    <w:rsid w:val="44274ACD"/>
    <w:rsid w:val="444B4E2F"/>
    <w:rsid w:val="44846EF4"/>
    <w:rsid w:val="45811C7C"/>
    <w:rsid w:val="45AA78B4"/>
    <w:rsid w:val="468B3EFB"/>
    <w:rsid w:val="46F851C7"/>
    <w:rsid w:val="46F9547C"/>
    <w:rsid w:val="470A6193"/>
    <w:rsid w:val="47AA339A"/>
    <w:rsid w:val="47DC4F5C"/>
    <w:rsid w:val="48A04659"/>
    <w:rsid w:val="48B40671"/>
    <w:rsid w:val="496D6C31"/>
    <w:rsid w:val="499B5738"/>
    <w:rsid w:val="499F244D"/>
    <w:rsid w:val="49E634D1"/>
    <w:rsid w:val="4A8F58C2"/>
    <w:rsid w:val="4AF96BC7"/>
    <w:rsid w:val="4B842132"/>
    <w:rsid w:val="4BC36204"/>
    <w:rsid w:val="4BFB4050"/>
    <w:rsid w:val="4CDE53C4"/>
    <w:rsid w:val="4CEF36E2"/>
    <w:rsid w:val="4D3B1120"/>
    <w:rsid w:val="4D447D52"/>
    <w:rsid w:val="4DAF4CC1"/>
    <w:rsid w:val="4E676345"/>
    <w:rsid w:val="4EE911C5"/>
    <w:rsid w:val="4F372FFB"/>
    <w:rsid w:val="4F955F12"/>
    <w:rsid w:val="4FA76FA4"/>
    <w:rsid w:val="4FC45B0E"/>
    <w:rsid w:val="500B5B85"/>
    <w:rsid w:val="5044725D"/>
    <w:rsid w:val="508D0418"/>
    <w:rsid w:val="50B72BFD"/>
    <w:rsid w:val="513F391C"/>
    <w:rsid w:val="51564E44"/>
    <w:rsid w:val="52110A6A"/>
    <w:rsid w:val="521D4E99"/>
    <w:rsid w:val="52282C57"/>
    <w:rsid w:val="52C10D75"/>
    <w:rsid w:val="53C125EB"/>
    <w:rsid w:val="54C53DC5"/>
    <w:rsid w:val="550C4BD7"/>
    <w:rsid w:val="55185B77"/>
    <w:rsid w:val="55572986"/>
    <w:rsid w:val="55A14ACC"/>
    <w:rsid w:val="55A9703D"/>
    <w:rsid w:val="562B20BF"/>
    <w:rsid w:val="564927D4"/>
    <w:rsid w:val="56D04C17"/>
    <w:rsid w:val="573C2AAB"/>
    <w:rsid w:val="5884764A"/>
    <w:rsid w:val="5A3D4CF5"/>
    <w:rsid w:val="5A957D93"/>
    <w:rsid w:val="5AC33B31"/>
    <w:rsid w:val="5AFD311B"/>
    <w:rsid w:val="5B3760D9"/>
    <w:rsid w:val="5B86261A"/>
    <w:rsid w:val="5B9727B1"/>
    <w:rsid w:val="5BE014E5"/>
    <w:rsid w:val="5BEC760C"/>
    <w:rsid w:val="5C930343"/>
    <w:rsid w:val="5C9F23AC"/>
    <w:rsid w:val="5E1B2389"/>
    <w:rsid w:val="5EC1512D"/>
    <w:rsid w:val="5F12674D"/>
    <w:rsid w:val="5F1275C9"/>
    <w:rsid w:val="5F45375E"/>
    <w:rsid w:val="5F80710D"/>
    <w:rsid w:val="5FDF74DA"/>
    <w:rsid w:val="60405499"/>
    <w:rsid w:val="604D6AB9"/>
    <w:rsid w:val="606007BB"/>
    <w:rsid w:val="60A7347D"/>
    <w:rsid w:val="60AC7F66"/>
    <w:rsid w:val="611F72E2"/>
    <w:rsid w:val="615636AC"/>
    <w:rsid w:val="61716A42"/>
    <w:rsid w:val="618835DC"/>
    <w:rsid w:val="61BF10D9"/>
    <w:rsid w:val="629F7BDB"/>
    <w:rsid w:val="631928DF"/>
    <w:rsid w:val="63510DAF"/>
    <w:rsid w:val="63A57310"/>
    <w:rsid w:val="640C7C21"/>
    <w:rsid w:val="643107F8"/>
    <w:rsid w:val="64E45EF7"/>
    <w:rsid w:val="655A9E13"/>
    <w:rsid w:val="65CB2B15"/>
    <w:rsid w:val="66176AB7"/>
    <w:rsid w:val="662F5359"/>
    <w:rsid w:val="665670AB"/>
    <w:rsid w:val="66A575B3"/>
    <w:rsid w:val="66A57729"/>
    <w:rsid w:val="670F748C"/>
    <w:rsid w:val="6736338C"/>
    <w:rsid w:val="677435B2"/>
    <w:rsid w:val="67EF75F1"/>
    <w:rsid w:val="681C76FB"/>
    <w:rsid w:val="68774BE5"/>
    <w:rsid w:val="68B87030"/>
    <w:rsid w:val="68E27F32"/>
    <w:rsid w:val="69124F16"/>
    <w:rsid w:val="69130769"/>
    <w:rsid w:val="69C64B0E"/>
    <w:rsid w:val="69CD5C14"/>
    <w:rsid w:val="69CF0D33"/>
    <w:rsid w:val="6AB24495"/>
    <w:rsid w:val="6AFD43BA"/>
    <w:rsid w:val="6B9946B3"/>
    <w:rsid w:val="6C0534FE"/>
    <w:rsid w:val="6C310D11"/>
    <w:rsid w:val="6C822659"/>
    <w:rsid w:val="6C921AAA"/>
    <w:rsid w:val="6CB335D2"/>
    <w:rsid w:val="6D1837C6"/>
    <w:rsid w:val="6D65184A"/>
    <w:rsid w:val="6DE76850"/>
    <w:rsid w:val="6DFF0476"/>
    <w:rsid w:val="6E336FB7"/>
    <w:rsid w:val="6E3B7F3B"/>
    <w:rsid w:val="6E9A1018"/>
    <w:rsid w:val="6F1534A2"/>
    <w:rsid w:val="6F5B6D28"/>
    <w:rsid w:val="6F5D18A4"/>
    <w:rsid w:val="6FB20BD4"/>
    <w:rsid w:val="6FBA59BE"/>
    <w:rsid w:val="70296B3E"/>
    <w:rsid w:val="70611204"/>
    <w:rsid w:val="70F17BCE"/>
    <w:rsid w:val="71090666"/>
    <w:rsid w:val="71DC0B5D"/>
    <w:rsid w:val="71DC351E"/>
    <w:rsid w:val="7234593E"/>
    <w:rsid w:val="72983CD3"/>
    <w:rsid w:val="72EF4CB6"/>
    <w:rsid w:val="73F41036"/>
    <w:rsid w:val="743B2F14"/>
    <w:rsid w:val="746A24BE"/>
    <w:rsid w:val="749F1040"/>
    <w:rsid w:val="74FA2C30"/>
    <w:rsid w:val="76250197"/>
    <w:rsid w:val="765666C4"/>
    <w:rsid w:val="768B26E1"/>
    <w:rsid w:val="76BC49EB"/>
    <w:rsid w:val="77000DA2"/>
    <w:rsid w:val="781E69D1"/>
    <w:rsid w:val="78340059"/>
    <w:rsid w:val="78D07EB6"/>
    <w:rsid w:val="79BE1CAB"/>
    <w:rsid w:val="7A092B86"/>
    <w:rsid w:val="7ADC48FD"/>
    <w:rsid w:val="7ADD0453"/>
    <w:rsid w:val="7AF46346"/>
    <w:rsid w:val="7B0F5EBF"/>
    <w:rsid w:val="7B130FB9"/>
    <w:rsid w:val="7BDE0625"/>
    <w:rsid w:val="7BF64EDE"/>
    <w:rsid w:val="7C400C1E"/>
    <w:rsid w:val="7C6C6CCE"/>
    <w:rsid w:val="7C773348"/>
    <w:rsid w:val="7CB0484C"/>
    <w:rsid w:val="7D422E99"/>
    <w:rsid w:val="7DD11708"/>
    <w:rsid w:val="7DD83ECB"/>
    <w:rsid w:val="7DF46F4A"/>
    <w:rsid w:val="7E3D4C74"/>
    <w:rsid w:val="7EBC46EA"/>
    <w:rsid w:val="7EC167BD"/>
    <w:rsid w:val="7FCA72CB"/>
    <w:rsid w:val="7FCB062D"/>
    <w:rsid w:val="7FF82C26"/>
    <w:rsid w:val="EF6DC4F0"/>
    <w:rsid w:val="FFF6D5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nhideWhenUsed="0" w:uiPriority="99" w:semiHidden="0"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2"/>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5">
    <w:name w:val="heading 5"/>
    <w:basedOn w:val="1"/>
    <w:next w:val="6"/>
    <w:link w:val="43"/>
    <w:qFormat/>
    <w:uiPriority w:val="9"/>
    <w:pPr>
      <w:keepNext/>
      <w:keepLines/>
      <w:spacing w:before="280" w:after="290" w:line="376" w:lineRule="auto"/>
      <w:outlineLvl w:val="4"/>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8">
    <w:name w:val="annotation text"/>
    <w:basedOn w:val="1"/>
    <w:link w:val="44"/>
    <w:qFormat/>
    <w:uiPriority w:val="0"/>
    <w:pPr>
      <w:jc w:val="left"/>
    </w:pPr>
  </w:style>
  <w:style w:type="paragraph" w:styleId="9">
    <w:name w:val="Body Text 3"/>
    <w:basedOn w:val="1"/>
    <w:link w:val="45"/>
    <w:unhideWhenUsed/>
    <w:qFormat/>
    <w:uiPriority w:val="99"/>
    <w:pPr>
      <w:spacing w:after="120"/>
    </w:pPr>
    <w:rPr>
      <w:sz w:val="16"/>
      <w:szCs w:val="16"/>
    </w:rPr>
  </w:style>
  <w:style w:type="paragraph" w:styleId="10">
    <w:name w:val="Body Text"/>
    <w:basedOn w:val="1"/>
    <w:link w:val="46"/>
    <w:unhideWhenUsed/>
    <w:qFormat/>
    <w:uiPriority w:val="0"/>
    <w:pPr>
      <w:spacing w:after="120"/>
    </w:pPr>
  </w:style>
  <w:style w:type="paragraph" w:styleId="11">
    <w:name w:val="Body Text Indent"/>
    <w:basedOn w:val="1"/>
    <w:link w:val="47"/>
    <w:qFormat/>
    <w:uiPriority w:val="0"/>
    <w:pPr>
      <w:ind w:firstLine="830" w:firstLineChars="352"/>
    </w:pPr>
    <w:rPr>
      <w:rFonts w:ascii="仿宋_GB2312" w:eastAsia="仿宋_GB2312"/>
      <w:kern w:val="0"/>
      <w:sz w:val="32"/>
      <w:szCs w:val="20"/>
    </w:rPr>
  </w:style>
  <w:style w:type="paragraph" w:styleId="12">
    <w:name w:val="List 2"/>
    <w:basedOn w:val="1"/>
    <w:unhideWhenUsed/>
    <w:qFormat/>
    <w:uiPriority w:val="99"/>
    <w:pPr>
      <w:ind w:left="100" w:leftChars="200" w:hanging="200" w:hangingChars="200"/>
      <w:contextualSpacing/>
    </w:pPr>
  </w:style>
  <w:style w:type="paragraph" w:styleId="13">
    <w:name w:val="Block Text"/>
    <w:basedOn w:val="1"/>
    <w:qFormat/>
    <w:uiPriority w:val="0"/>
    <w:pPr>
      <w:tabs>
        <w:tab w:val="left" w:pos="1440"/>
      </w:tabs>
      <w:spacing w:after="100"/>
      <w:ind w:left="3600" w:right="-288" w:hanging="2880"/>
    </w:pPr>
    <w:rPr>
      <w:snapToGrid w:val="0"/>
      <w:kern w:val="0"/>
      <w:sz w:val="22"/>
      <w:szCs w:val="20"/>
      <w:lang w:eastAsia="en-US"/>
    </w:rPr>
  </w:style>
  <w:style w:type="paragraph" w:styleId="14">
    <w:name w:val="Plain Text"/>
    <w:basedOn w:val="1"/>
    <w:next w:val="1"/>
    <w:link w:val="48"/>
    <w:qFormat/>
    <w:uiPriority w:val="0"/>
    <w:rPr>
      <w:rFonts w:ascii="宋体" w:hAnsi="Courier New"/>
      <w:kern w:val="0"/>
      <w:sz w:val="20"/>
      <w:szCs w:val="21"/>
    </w:rPr>
  </w:style>
  <w:style w:type="paragraph" w:styleId="15">
    <w:name w:val="Date"/>
    <w:basedOn w:val="1"/>
    <w:next w:val="1"/>
    <w:link w:val="49"/>
    <w:unhideWhenUsed/>
    <w:qFormat/>
    <w:uiPriority w:val="99"/>
    <w:pPr>
      <w:ind w:left="100" w:leftChars="2500"/>
    </w:pPr>
  </w:style>
  <w:style w:type="paragraph" w:styleId="16">
    <w:name w:val="Balloon Text"/>
    <w:basedOn w:val="1"/>
    <w:semiHidden/>
    <w:qFormat/>
    <w:uiPriority w:val="0"/>
    <w:rPr>
      <w:sz w:val="18"/>
      <w:szCs w:val="18"/>
    </w:rPr>
  </w:style>
  <w:style w:type="paragraph" w:styleId="17">
    <w:name w:val="footer"/>
    <w:basedOn w:val="1"/>
    <w:next w:val="1"/>
    <w:link w:val="50"/>
    <w:unhideWhenUsed/>
    <w:qFormat/>
    <w:uiPriority w:val="99"/>
    <w:pPr>
      <w:tabs>
        <w:tab w:val="center" w:pos="4153"/>
        <w:tab w:val="right" w:pos="8306"/>
      </w:tabs>
      <w:snapToGrid w:val="0"/>
      <w:jc w:val="left"/>
    </w:pPr>
    <w:rPr>
      <w:kern w:val="0"/>
      <w:sz w:val="18"/>
      <w:szCs w:val="18"/>
    </w:rPr>
  </w:style>
  <w:style w:type="paragraph" w:styleId="18">
    <w:name w:val="header"/>
    <w:basedOn w:val="1"/>
    <w:link w:val="5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unhideWhenUsed/>
    <w:qFormat/>
    <w:uiPriority w:val="39"/>
  </w:style>
  <w:style w:type="paragraph" w:styleId="20">
    <w:name w:val="toc 2"/>
    <w:basedOn w:val="1"/>
    <w:next w:val="1"/>
    <w:unhideWhenUsed/>
    <w:qFormat/>
    <w:uiPriority w:val="39"/>
    <w:pPr>
      <w:tabs>
        <w:tab w:val="right" w:leader="dot" w:pos="8296"/>
      </w:tabs>
      <w:ind w:left="420" w:leftChars="200"/>
    </w:pPr>
  </w:style>
  <w:style w:type="paragraph" w:styleId="21">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sz w:val="24"/>
    </w:rPr>
  </w:style>
  <w:style w:type="paragraph" w:styleId="22">
    <w:name w:val="Normal (Web)"/>
    <w:basedOn w:val="1"/>
    <w:unhideWhenUsed/>
    <w:qFormat/>
    <w:uiPriority w:val="99"/>
    <w:rPr>
      <w:rFonts w:ascii="Calibri" w:hAnsi="Calibri"/>
      <w:kern w:val="0"/>
      <w:sz w:val="24"/>
    </w:rPr>
  </w:style>
  <w:style w:type="paragraph" w:styleId="23">
    <w:name w:val="annotation subject"/>
    <w:basedOn w:val="8"/>
    <w:next w:val="8"/>
    <w:link w:val="52"/>
    <w:qFormat/>
    <w:uiPriority w:val="99"/>
    <w:rPr>
      <w:b/>
      <w:bCs/>
    </w:rPr>
  </w:style>
  <w:style w:type="paragraph" w:styleId="24">
    <w:name w:val="Body Text First Indent"/>
    <w:basedOn w:val="10"/>
    <w:next w:val="1"/>
    <w:qFormat/>
    <w:uiPriority w:val="0"/>
    <w:pPr>
      <w:ind w:firstLine="420" w:firstLineChars="100"/>
    </w:pPr>
  </w:style>
  <w:style w:type="paragraph" w:styleId="25">
    <w:name w:val="Body Text First Indent 2"/>
    <w:basedOn w:val="11"/>
    <w:next w:val="1"/>
    <w:qFormat/>
    <w:uiPriority w:val="0"/>
    <w:pPr>
      <w:spacing w:after="120"/>
      <w:ind w:left="420" w:leftChars="200" w:firstLine="420" w:firstLineChars="200"/>
    </w:pPr>
    <w:rPr>
      <w:szCs w:val="24"/>
    </w:r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Strong"/>
    <w:basedOn w:val="28"/>
    <w:qFormat/>
    <w:uiPriority w:val="22"/>
    <w:rPr>
      <w:b/>
      <w:bCs/>
    </w:rPr>
  </w:style>
  <w:style w:type="character" w:styleId="30">
    <w:name w:val="page number"/>
    <w:qFormat/>
    <w:uiPriority w:val="0"/>
  </w:style>
  <w:style w:type="character" w:styleId="31">
    <w:name w:val="FollowedHyperlink"/>
    <w:basedOn w:val="28"/>
    <w:semiHidden/>
    <w:unhideWhenUsed/>
    <w:qFormat/>
    <w:uiPriority w:val="99"/>
    <w:rPr>
      <w:color w:val="4D7AD8"/>
      <w:u w:val="none"/>
    </w:rPr>
  </w:style>
  <w:style w:type="character" w:styleId="32">
    <w:name w:val="HTML Definition"/>
    <w:basedOn w:val="28"/>
    <w:semiHidden/>
    <w:unhideWhenUsed/>
    <w:qFormat/>
    <w:uiPriority w:val="99"/>
    <w:rPr>
      <w:i/>
      <w:iCs/>
    </w:rPr>
  </w:style>
  <w:style w:type="character" w:styleId="33">
    <w:name w:val="Hyperlink"/>
    <w:unhideWhenUsed/>
    <w:qFormat/>
    <w:uiPriority w:val="99"/>
    <w:rPr>
      <w:color w:val="0000FF"/>
      <w:u w:val="single"/>
    </w:rPr>
  </w:style>
  <w:style w:type="character" w:styleId="34">
    <w:name w:val="HTML Code"/>
    <w:basedOn w:val="28"/>
    <w:semiHidden/>
    <w:unhideWhenUsed/>
    <w:qFormat/>
    <w:uiPriority w:val="99"/>
    <w:rPr>
      <w:rFonts w:hint="default" w:ascii="Consolas" w:hAnsi="Consolas" w:eastAsia="Consolas" w:cs="Consolas"/>
      <w:sz w:val="21"/>
      <w:szCs w:val="21"/>
    </w:rPr>
  </w:style>
  <w:style w:type="character" w:styleId="35">
    <w:name w:val="annotation reference"/>
    <w:basedOn w:val="28"/>
    <w:qFormat/>
    <w:uiPriority w:val="0"/>
    <w:rPr>
      <w:sz w:val="21"/>
      <w:szCs w:val="21"/>
    </w:rPr>
  </w:style>
  <w:style w:type="character" w:styleId="36">
    <w:name w:val="HTML Keyboard"/>
    <w:basedOn w:val="28"/>
    <w:semiHidden/>
    <w:unhideWhenUsed/>
    <w:qFormat/>
    <w:uiPriority w:val="99"/>
    <w:rPr>
      <w:rFonts w:hint="default" w:ascii="Consolas" w:hAnsi="Consolas" w:eastAsia="Consolas" w:cs="Consolas"/>
      <w:sz w:val="21"/>
      <w:szCs w:val="21"/>
    </w:rPr>
  </w:style>
  <w:style w:type="character" w:styleId="37">
    <w:name w:val="HTML Sample"/>
    <w:basedOn w:val="28"/>
    <w:semiHidden/>
    <w:unhideWhenUsed/>
    <w:qFormat/>
    <w:uiPriority w:val="99"/>
    <w:rPr>
      <w:rFonts w:ascii="Consolas" w:hAnsi="Consolas" w:eastAsia="Consolas" w:cs="Consolas"/>
      <w:sz w:val="21"/>
      <w:szCs w:val="21"/>
    </w:rPr>
  </w:style>
  <w:style w:type="paragraph" w:customStyle="1" w:styleId="38">
    <w:name w:val="无间隔1"/>
    <w:qFormat/>
    <w:uiPriority w:val="99"/>
    <w:pPr>
      <w:widowControl w:val="0"/>
      <w:jc w:val="both"/>
    </w:pPr>
    <w:rPr>
      <w:rFonts w:ascii="Times New Roman" w:hAnsi="Times New Roman" w:eastAsia="宋体" w:cs="Times New Roman"/>
      <w:kern w:val="2"/>
      <w:sz w:val="21"/>
      <w:szCs w:val="22"/>
      <w:lang w:val="en-US" w:eastAsia="zh-CN" w:bidi="ar-SA"/>
    </w:rPr>
  </w:style>
  <w:style w:type="paragraph" w:styleId="39">
    <w:name w:val="List Paragraph"/>
    <w:basedOn w:val="1"/>
    <w:qFormat/>
    <w:uiPriority w:val="34"/>
    <w:pPr>
      <w:ind w:firstLine="420" w:firstLineChars="200"/>
    </w:pPr>
  </w:style>
  <w:style w:type="paragraph" w:customStyle="1" w:styleId="40">
    <w:name w:val="列出段落1"/>
    <w:basedOn w:val="1"/>
    <w:qFormat/>
    <w:uiPriority w:val="34"/>
    <w:pPr>
      <w:ind w:firstLine="420" w:firstLineChars="200"/>
    </w:pPr>
  </w:style>
  <w:style w:type="character" w:customStyle="1" w:styleId="41">
    <w:name w:val="标题 1 字符1"/>
    <w:link w:val="2"/>
    <w:qFormat/>
    <w:uiPriority w:val="0"/>
    <w:rPr>
      <w:b/>
      <w:bCs/>
      <w:kern w:val="44"/>
      <w:sz w:val="44"/>
      <w:szCs w:val="44"/>
    </w:rPr>
  </w:style>
  <w:style w:type="character" w:customStyle="1" w:styleId="42">
    <w:name w:val="标题 2 字符"/>
    <w:link w:val="3"/>
    <w:qFormat/>
    <w:uiPriority w:val="9"/>
    <w:rPr>
      <w:rFonts w:ascii="Cambria" w:hAnsi="Cambria" w:eastAsia="宋体" w:cs="Times New Roman"/>
      <w:b/>
      <w:bCs/>
      <w:kern w:val="2"/>
      <w:sz w:val="32"/>
      <w:szCs w:val="32"/>
    </w:rPr>
  </w:style>
  <w:style w:type="character" w:customStyle="1" w:styleId="43">
    <w:name w:val="标题 5 字符"/>
    <w:link w:val="5"/>
    <w:semiHidden/>
    <w:qFormat/>
    <w:uiPriority w:val="9"/>
    <w:rPr>
      <w:rFonts w:ascii="Times New Roman" w:hAnsi="Times New Roman"/>
      <w:b/>
      <w:bCs/>
      <w:kern w:val="2"/>
      <w:sz w:val="28"/>
      <w:szCs w:val="28"/>
    </w:rPr>
  </w:style>
  <w:style w:type="character" w:customStyle="1" w:styleId="44">
    <w:name w:val="批注文字 字符"/>
    <w:link w:val="8"/>
    <w:qFormat/>
    <w:uiPriority w:val="0"/>
    <w:rPr>
      <w:rFonts w:ascii="Times New Roman" w:hAnsi="Times New Roman"/>
      <w:kern w:val="2"/>
      <w:sz w:val="21"/>
      <w:szCs w:val="24"/>
    </w:rPr>
  </w:style>
  <w:style w:type="character" w:customStyle="1" w:styleId="45">
    <w:name w:val="正文文本 3 字符"/>
    <w:link w:val="9"/>
    <w:semiHidden/>
    <w:qFormat/>
    <w:uiPriority w:val="99"/>
    <w:rPr>
      <w:rFonts w:ascii="Times New Roman" w:hAnsi="Times New Roman"/>
      <w:kern w:val="2"/>
      <w:sz w:val="16"/>
      <w:szCs w:val="16"/>
    </w:rPr>
  </w:style>
  <w:style w:type="character" w:customStyle="1" w:styleId="46">
    <w:name w:val="正文文本 字符"/>
    <w:link w:val="10"/>
    <w:qFormat/>
    <w:uiPriority w:val="0"/>
    <w:rPr>
      <w:rFonts w:ascii="Times New Roman" w:hAnsi="Times New Roman"/>
      <w:kern w:val="2"/>
      <w:sz w:val="21"/>
      <w:szCs w:val="24"/>
    </w:rPr>
  </w:style>
  <w:style w:type="character" w:customStyle="1" w:styleId="47">
    <w:name w:val="正文文本缩进 字符"/>
    <w:link w:val="11"/>
    <w:qFormat/>
    <w:uiPriority w:val="0"/>
    <w:rPr>
      <w:rFonts w:ascii="仿宋_GB2312" w:hAnsi="Times New Roman" w:eastAsia="仿宋_GB2312" w:cs="Times New Roman"/>
      <w:sz w:val="32"/>
      <w:szCs w:val="20"/>
    </w:rPr>
  </w:style>
  <w:style w:type="character" w:customStyle="1" w:styleId="48">
    <w:name w:val="纯文本 字符"/>
    <w:link w:val="14"/>
    <w:qFormat/>
    <w:uiPriority w:val="0"/>
    <w:rPr>
      <w:rFonts w:ascii="宋体" w:hAnsi="Courier New" w:eastAsia="宋体" w:cs="Courier New"/>
      <w:szCs w:val="21"/>
    </w:rPr>
  </w:style>
  <w:style w:type="character" w:customStyle="1" w:styleId="49">
    <w:name w:val="日期 字符"/>
    <w:link w:val="15"/>
    <w:semiHidden/>
    <w:qFormat/>
    <w:uiPriority w:val="99"/>
    <w:rPr>
      <w:rFonts w:ascii="Times New Roman" w:hAnsi="Times New Roman"/>
      <w:kern w:val="2"/>
      <w:sz w:val="21"/>
      <w:szCs w:val="24"/>
    </w:rPr>
  </w:style>
  <w:style w:type="character" w:customStyle="1" w:styleId="50">
    <w:name w:val="页脚 字符"/>
    <w:link w:val="17"/>
    <w:qFormat/>
    <w:uiPriority w:val="99"/>
    <w:rPr>
      <w:sz w:val="18"/>
      <w:szCs w:val="18"/>
    </w:rPr>
  </w:style>
  <w:style w:type="character" w:customStyle="1" w:styleId="51">
    <w:name w:val="页眉 字符"/>
    <w:link w:val="18"/>
    <w:qFormat/>
    <w:uiPriority w:val="99"/>
    <w:rPr>
      <w:sz w:val="18"/>
      <w:szCs w:val="18"/>
    </w:rPr>
  </w:style>
  <w:style w:type="character" w:customStyle="1" w:styleId="52">
    <w:name w:val="批注主题 字符"/>
    <w:link w:val="23"/>
    <w:qFormat/>
    <w:uiPriority w:val="99"/>
    <w:rPr>
      <w:rFonts w:ascii="Times New Roman" w:hAnsi="Times New Roman"/>
      <w:b/>
      <w:bCs/>
      <w:kern w:val="2"/>
      <w:sz w:val="21"/>
      <w:szCs w:val="24"/>
    </w:rPr>
  </w:style>
  <w:style w:type="character" w:customStyle="1" w:styleId="53">
    <w:name w:val="正文文本缩进 字符1"/>
    <w:qFormat/>
    <w:uiPriority w:val="0"/>
    <w:rPr>
      <w:rFonts w:ascii="仿宋_GB2312" w:hAnsi="Times New Roman" w:eastAsia="仿宋_GB2312" w:cs="Times New Roman"/>
      <w:sz w:val="32"/>
      <w:szCs w:val="20"/>
    </w:rPr>
  </w:style>
  <w:style w:type="character" w:customStyle="1" w:styleId="54">
    <w:name w:val="apple-style-span"/>
    <w:qFormat/>
    <w:uiPriority w:val="0"/>
  </w:style>
  <w:style w:type="character" w:customStyle="1" w:styleId="55">
    <w:name w:val="标题 1 字符"/>
    <w:qFormat/>
    <w:uiPriority w:val="9"/>
    <w:rPr>
      <w:b/>
      <w:bCs/>
      <w:kern w:val="44"/>
      <w:sz w:val="44"/>
      <w:szCs w:val="44"/>
    </w:rPr>
  </w:style>
  <w:style w:type="character" w:customStyle="1" w:styleId="56">
    <w:name w:val="textcontents"/>
    <w:qFormat/>
    <w:uiPriority w:val="0"/>
  </w:style>
  <w:style w:type="character" w:customStyle="1" w:styleId="57">
    <w:name w:val="纯文本 字符1"/>
    <w:qFormat/>
    <w:uiPriority w:val="0"/>
    <w:rPr>
      <w:rFonts w:ascii="宋体" w:hAnsi="Courier New"/>
    </w:rPr>
  </w:style>
  <w:style w:type="character" w:customStyle="1" w:styleId="58">
    <w:name w:val="批注文字 字符1"/>
    <w:qFormat/>
    <w:uiPriority w:val="0"/>
    <w:rPr>
      <w:kern w:val="2"/>
      <w:sz w:val="21"/>
      <w:szCs w:val="24"/>
    </w:rPr>
  </w:style>
  <w:style w:type="character" w:customStyle="1" w:styleId="59">
    <w:name w:val="纯文本 字符2"/>
    <w:qFormat/>
    <w:uiPriority w:val="0"/>
    <w:rPr>
      <w:rFonts w:ascii="宋体" w:hAnsi="Courier New" w:eastAsia="宋体" w:cs="Courier New"/>
      <w:szCs w:val="21"/>
    </w:rPr>
  </w:style>
  <w:style w:type="character" w:customStyle="1" w:styleId="60">
    <w:name w:val="页脚 Char"/>
    <w:qFormat/>
    <w:uiPriority w:val="99"/>
    <w:rPr>
      <w:lang w:eastAsia="zh-CN"/>
    </w:rPr>
  </w:style>
  <w:style w:type="paragraph" w:customStyle="1" w:styleId="61">
    <w:name w:val="默认段落字体 Para Char Char Char Char Char Char Char Char Char1 Char Char Char Char"/>
    <w:basedOn w:val="1"/>
    <w:qFormat/>
    <w:uiPriority w:val="0"/>
    <w:rPr>
      <w:rFonts w:ascii="Tahoma" w:hAnsi="Tahoma"/>
      <w:sz w:val="24"/>
      <w:szCs w:val="20"/>
    </w:rPr>
  </w:style>
  <w:style w:type="paragraph" w:customStyle="1" w:styleId="62">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63">
    <w:name w:val="Table Paragraph"/>
    <w:basedOn w:val="1"/>
    <w:qFormat/>
    <w:uiPriority w:val="1"/>
    <w:pPr>
      <w:jc w:val="left"/>
    </w:pPr>
    <w:rPr>
      <w:rFonts w:ascii="Calibri" w:hAnsi="Calibri"/>
      <w:kern w:val="0"/>
      <w:sz w:val="22"/>
      <w:szCs w:val="22"/>
      <w:lang w:eastAsia="en-US"/>
    </w:rPr>
  </w:style>
  <w:style w:type="character" w:customStyle="1" w:styleId="64">
    <w:name w:val="批注文字 Char1"/>
    <w:qFormat/>
    <w:uiPriority w:val="0"/>
    <w:rPr>
      <w:rFonts w:ascii="Times New Roman" w:hAnsi="Times New Roman"/>
      <w:kern w:val="2"/>
      <w:sz w:val="21"/>
      <w:szCs w:val="24"/>
    </w:rPr>
  </w:style>
  <w:style w:type="character" w:customStyle="1" w:styleId="65">
    <w:name w:val="批注文字 字符2"/>
    <w:qFormat/>
    <w:uiPriority w:val="0"/>
    <w:rPr>
      <w:rFonts w:ascii="Times New Roman" w:hAnsi="Times New Roman"/>
      <w:kern w:val="2"/>
      <w:sz w:val="21"/>
      <w:szCs w:val="24"/>
    </w:rPr>
  </w:style>
  <w:style w:type="character" w:customStyle="1" w:styleId="66">
    <w:name w:val="正文文本 (26) + 间距 0 pt"/>
    <w:qFormat/>
    <w:uiPriority w:val="0"/>
    <w:rPr>
      <w:rFonts w:hint="eastAsia" w:ascii="宋体" w:hAnsi="宋体" w:eastAsia="宋体" w:cs="宋体"/>
      <w:color w:val="000000"/>
      <w:spacing w:val="0"/>
      <w:w w:val="100"/>
      <w:position w:val="0"/>
      <w:sz w:val="22"/>
      <w:szCs w:val="22"/>
      <w:u w:val="none"/>
      <w:lang w:val="zh-CN" w:eastAsia="zh-CN" w:bidi="zh-CN"/>
    </w:rPr>
  </w:style>
  <w:style w:type="character" w:customStyle="1" w:styleId="67">
    <w:name w:val="纯文本 Char1"/>
    <w:qFormat/>
    <w:uiPriority w:val="0"/>
    <w:rPr>
      <w:rFonts w:ascii="宋体" w:hAnsi="Courier New" w:eastAsia="宋体" w:cs="Courier New"/>
      <w:szCs w:val="21"/>
    </w:rPr>
  </w:style>
  <w:style w:type="character" w:customStyle="1" w:styleId="68">
    <w:name w:val="批注文字 Char2"/>
    <w:qFormat/>
    <w:uiPriority w:val="0"/>
    <w:rPr>
      <w:rFonts w:ascii="Times New Roman" w:hAnsi="Times New Roman"/>
      <w:kern w:val="2"/>
      <w:sz w:val="21"/>
      <w:szCs w:val="24"/>
    </w:rPr>
  </w:style>
  <w:style w:type="character" w:customStyle="1" w:styleId="69">
    <w:name w:val="font11"/>
    <w:basedOn w:val="28"/>
    <w:qFormat/>
    <w:uiPriority w:val="0"/>
    <w:rPr>
      <w:rFonts w:hint="eastAsia" w:ascii="宋体" w:hAnsi="宋体" w:eastAsia="宋体" w:cs="宋体"/>
      <w:color w:val="000000"/>
      <w:sz w:val="20"/>
      <w:szCs w:val="20"/>
      <w:u w:val="none"/>
    </w:rPr>
  </w:style>
  <w:style w:type="character" w:customStyle="1" w:styleId="70">
    <w:name w:val="font41"/>
    <w:qFormat/>
    <w:uiPriority w:val="0"/>
    <w:rPr>
      <w:rFonts w:ascii="宋体" w:hAnsi="宋体" w:eastAsia="宋体" w:cs="宋体"/>
      <w:color w:val="000000"/>
      <w:sz w:val="20"/>
      <w:szCs w:val="20"/>
      <w:u w:val="none"/>
    </w:rPr>
  </w:style>
  <w:style w:type="character" w:customStyle="1" w:styleId="71">
    <w:name w:val="font31"/>
    <w:qFormat/>
    <w:uiPriority w:val="0"/>
    <w:rPr>
      <w:rFonts w:ascii="方正书宋_GBK" w:hAnsi="方正书宋_GBK" w:eastAsia="方正书宋_GBK" w:cs="方正书宋_GBK"/>
      <w:color w:val="000000"/>
      <w:sz w:val="21"/>
      <w:szCs w:val="21"/>
      <w:u w:val="none"/>
    </w:rPr>
  </w:style>
  <w:style w:type="character" w:customStyle="1" w:styleId="72">
    <w:name w:val="font61"/>
    <w:basedOn w:val="28"/>
    <w:qFormat/>
    <w:uiPriority w:val="0"/>
    <w:rPr>
      <w:rFonts w:hint="default" w:ascii="Times New Roman" w:hAnsi="Times New Roman" w:cs="Times New Roman"/>
      <w:color w:val="000000"/>
      <w:sz w:val="21"/>
      <w:szCs w:val="21"/>
      <w:u w:val="none"/>
    </w:rPr>
  </w:style>
  <w:style w:type="character" w:customStyle="1" w:styleId="73">
    <w:name w:val="font71"/>
    <w:basedOn w:val="28"/>
    <w:qFormat/>
    <w:uiPriority w:val="0"/>
    <w:rPr>
      <w:rFonts w:hint="eastAsia" w:ascii="宋体" w:hAnsi="宋体" w:eastAsia="宋体" w:cs="宋体"/>
      <w:b/>
      <w:bCs/>
      <w:color w:val="000000"/>
      <w:sz w:val="18"/>
      <w:szCs w:val="18"/>
      <w:u w:val="none"/>
    </w:rPr>
  </w:style>
  <w:style w:type="character" w:customStyle="1" w:styleId="74">
    <w:name w:val="font81"/>
    <w:basedOn w:val="28"/>
    <w:qFormat/>
    <w:uiPriority w:val="0"/>
    <w:rPr>
      <w:rFonts w:hint="eastAsia" w:ascii="宋体" w:hAnsi="宋体" w:eastAsia="宋体" w:cs="宋体"/>
      <w:color w:val="000000"/>
      <w:sz w:val="18"/>
      <w:szCs w:val="18"/>
      <w:u w:val="none"/>
    </w:rPr>
  </w:style>
  <w:style w:type="character" w:customStyle="1" w:styleId="75">
    <w:name w:val="font01"/>
    <w:basedOn w:val="28"/>
    <w:qFormat/>
    <w:uiPriority w:val="0"/>
    <w:rPr>
      <w:rFonts w:hint="default" w:ascii="Arial" w:hAnsi="Arial" w:cs="Arial"/>
      <w:color w:val="000000"/>
      <w:sz w:val="18"/>
      <w:szCs w:val="18"/>
      <w:u w:val="none"/>
    </w:rPr>
  </w:style>
  <w:style w:type="character" w:customStyle="1" w:styleId="76">
    <w:name w:val="font91"/>
    <w:basedOn w:val="28"/>
    <w:qFormat/>
    <w:uiPriority w:val="0"/>
    <w:rPr>
      <w:rFonts w:hint="eastAsia" w:ascii="宋体" w:hAnsi="宋体" w:eastAsia="宋体" w:cs="宋体"/>
      <w:color w:val="000000"/>
      <w:sz w:val="18"/>
      <w:szCs w:val="18"/>
      <w:u w:val="none"/>
    </w:rPr>
  </w:style>
  <w:style w:type="character" w:customStyle="1" w:styleId="77">
    <w:name w:val="font51"/>
    <w:qFormat/>
    <w:uiPriority w:val="0"/>
    <w:rPr>
      <w:rFonts w:hint="default" w:ascii="Times New Roman" w:hAnsi="Times New Roman" w:cs="Times New Roman"/>
      <w:b/>
      <w:color w:val="000000"/>
      <w:sz w:val="18"/>
      <w:szCs w:val="18"/>
      <w:u w:val="none"/>
    </w:rPr>
  </w:style>
  <w:style w:type="paragraph" w:customStyle="1" w:styleId="78">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paragraph" w:customStyle="1" w:styleId="79">
    <w:name w:val="Title1"/>
    <w:basedOn w:val="1"/>
    <w:next w:val="1"/>
    <w:qFormat/>
    <w:uiPriority w:val="0"/>
    <w:pPr>
      <w:jc w:val="center"/>
      <w:outlineLvl w:val="0"/>
    </w:pPr>
    <w:rPr>
      <w:rFonts w:ascii="Calibri Light" w:hAnsi="Calibri Light" w:eastAsia="Arial Unicode MS"/>
      <w:b/>
    </w:rPr>
  </w:style>
  <w:style w:type="character" w:customStyle="1" w:styleId="80">
    <w:name w:val="not-pass-node"/>
    <w:basedOn w:val="28"/>
    <w:qFormat/>
    <w:uiPriority w:val="0"/>
    <w:rPr>
      <w:bdr w:val="single" w:color="5ABD6B" w:sz="6" w:space="0"/>
      <w:shd w:val="clear" w:color="auto" w:fill="BFF3C3"/>
    </w:rPr>
  </w:style>
  <w:style w:type="character" w:customStyle="1" w:styleId="81">
    <w:name w:val="ant-select-tree-iconele"/>
    <w:basedOn w:val="28"/>
    <w:qFormat/>
    <w:uiPriority w:val="0"/>
  </w:style>
  <w:style w:type="character" w:customStyle="1" w:styleId="82">
    <w:name w:val="disabled4"/>
    <w:basedOn w:val="28"/>
    <w:qFormat/>
    <w:uiPriority w:val="0"/>
    <w:rPr>
      <w:color w:val="AAAAAA"/>
      <w:shd w:val="clear" w:color="auto" w:fill="F7F7F7"/>
    </w:rPr>
  </w:style>
  <w:style w:type="character" w:customStyle="1" w:styleId="83">
    <w:name w:val="button"/>
    <w:basedOn w:val="28"/>
    <w:qFormat/>
    <w:uiPriority w:val="0"/>
  </w:style>
  <w:style w:type="character" w:customStyle="1" w:styleId="84">
    <w:name w:val="button1"/>
    <w:basedOn w:val="28"/>
    <w:qFormat/>
    <w:uiPriority w:val="0"/>
  </w:style>
  <w:style w:type="character" w:customStyle="1" w:styleId="85">
    <w:name w:val="label"/>
    <w:basedOn w:val="28"/>
    <w:qFormat/>
    <w:uiPriority w:val="0"/>
  </w:style>
  <w:style w:type="character" w:customStyle="1" w:styleId="86">
    <w:name w:val="label1"/>
    <w:basedOn w:val="28"/>
    <w:qFormat/>
    <w:uiPriority w:val="0"/>
  </w:style>
  <w:style w:type="character" w:customStyle="1" w:styleId="87">
    <w:name w:val="ant-radio+*"/>
    <w:basedOn w:val="28"/>
    <w:qFormat/>
    <w:uiPriority w:val="0"/>
  </w:style>
  <w:style w:type="character" w:customStyle="1" w:styleId="88">
    <w:name w:val="ant-select-tree-switcher"/>
    <w:basedOn w:val="28"/>
    <w:qFormat/>
    <w:uiPriority w:val="0"/>
  </w:style>
  <w:style w:type="character" w:customStyle="1" w:styleId="89">
    <w:name w:val="last-child1"/>
    <w:basedOn w:val="28"/>
    <w:qFormat/>
    <w:uiPriority w:val="0"/>
  </w:style>
  <w:style w:type="character" w:customStyle="1" w:styleId="90">
    <w:name w:val="ant-table-row-expand-icon"/>
    <w:basedOn w:val="28"/>
    <w:qFormat/>
    <w:uiPriority w:val="0"/>
    <w:rPr>
      <w:vanish/>
    </w:rPr>
  </w:style>
  <w:style w:type="character" w:customStyle="1" w:styleId="91">
    <w:name w:val="hover42"/>
    <w:basedOn w:val="28"/>
    <w:qFormat/>
    <w:uiPriority w:val="0"/>
    <w:rPr>
      <w:color w:val="009DFF"/>
    </w:rPr>
  </w:style>
  <w:style w:type="character" w:customStyle="1" w:styleId="92">
    <w:name w:val="hover43"/>
    <w:basedOn w:val="28"/>
    <w:qFormat/>
    <w:uiPriority w:val="0"/>
    <w:rPr>
      <w:color w:val="009DFF"/>
    </w:rPr>
  </w:style>
  <w:style w:type="character" w:customStyle="1" w:styleId="93">
    <w:name w:val="passed-node"/>
    <w:basedOn w:val="28"/>
    <w:qFormat/>
    <w:uiPriority w:val="0"/>
    <w:rPr>
      <w:bdr w:val="single" w:color="49A8D4" w:sz="6" w:space="0"/>
      <w:shd w:val="clear" w:color="auto" w:fill="A9E3FF"/>
    </w:rPr>
  </w:style>
  <w:style w:type="character" w:customStyle="1" w:styleId="94">
    <w:name w:val="current-node"/>
    <w:basedOn w:val="28"/>
    <w:qFormat/>
    <w:uiPriority w:val="0"/>
    <w:rPr>
      <w:bdr w:val="single" w:color="F5B87B" w:sz="6" w:space="0"/>
      <w:shd w:val="clear" w:color="auto" w:fill="FFE8CC"/>
    </w:rPr>
  </w:style>
  <w:style w:type="character" w:customStyle="1" w:styleId="95">
    <w:name w:val="auto-pass-node"/>
    <w:basedOn w:val="28"/>
    <w:qFormat/>
    <w:uiPriority w:val="0"/>
    <w:rPr>
      <w:bdr w:val="single" w:color="DC4446" w:sz="6" w:space="0"/>
      <w:shd w:val="clear" w:color="auto" w:fill="A9E2FF"/>
    </w:rPr>
  </w:style>
  <w:style w:type="character" w:customStyle="1" w:styleId="96">
    <w:name w:val="ant-select-tree-checkbox"/>
    <w:basedOn w:val="28"/>
    <w:qFormat/>
    <w:uiPriority w:val="0"/>
  </w:style>
  <w:style w:type="character" w:customStyle="1" w:styleId="97">
    <w:name w:val="wea-thumbnails-doc-content-subtitle"/>
    <w:basedOn w:val="28"/>
    <w:qFormat/>
    <w:uiPriority w:val="0"/>
    <w:rPr>
      <w:color w:val="9A9A9A"/>
    </w:rPr>
  </w:style>
  <w:style w:type="character" w:customStyle="1" w:styleId="98">
    <w:name w:val="nth-child(2)"/>
    <w:basedOn w:val="28"/>
    <w:qFormat/>
    <w:uiPriority w:val="0"/>
  </w:style>
  <w:style w:type="character" w:customStyle="1" w:styleId="99">
    <w:name w:val="tmpztreemove_arrow"/>
    <w:basedOn w:val="28"/>
    <w:qFormat/>
    <w:uiPriority w:val="0"/>
  </w:style>
  <w:style w:type="character" w:customStyle="1" w:styleId="100">
    <w:name w:val="ant-tree-iconele"/>
    <w:basedOn w:val="28"/>
    <w:qFormat/>
    <w:uiPriority w:val="0"/>
  </w:style>
  <w:style w:type="character" w:customStyle="1" w:styleId="101">
    <w:name w:val="first-of-type"/>
    <w:basedOn w:val="28"/>
    <w:qFormat/>
    <w:uiPriority w:val="0"/>
    <w:rPr>
      <w:color w:val="FF0000"/>
    </w:rPr>
  </w:style>
  <w:style w:type="character" w:customStyle="1" w:styleId="102">
    <w:name w:val="first-of-type1"/>
    <w:basedOn w:val="28"/>
    <w:qFormat/>
    <w:uiPriority w:val="0"/>
    <w:rPr>
      <w:color w:val="FF0000"/>
    </w:rPr>
  </w:style>
  <w:style w:type="character" w:customStyle="1" w:styleId="103">
    <w:name w:val="first-of-type2"/>
    <w:basedOn w:val="28"/>
    <w:qFormat/>
    <w:uiPriority w:val="0"/>
    <w:rPr>
      <w:color w:val="FF0000"/>
    </w:rPr>
  </w:style>
  <w:style w:type="character" w:customStyle="1" w:styleId="104">
    <w:name w:val="ant-tree-switcher16"/>
    <w:basedOn w:val="28"/>
    <w:qFormat/>
    <w:uiPriority w:val="0"/>
  </w:style>
  <w:style w:type="character" w:customStyle="1" w:styleId="105">
    <w:name w:val="ant-tree-checkbox5"/>
    <w:basedOn w:val="28"/>
    <w:qFormat/>
    <w:uiPriority w:val="0"/>
  </w:style>
  <w:style w:type="character" w:customStyle="1" w:styleId="106">
    <w:name w:val="first-child2"/>
    <w:basedOn w:val="28"/>
    <w:qFormat/>
    <w:uiPriority w:val="0"/>
    <w:rPr>
      <w:color w:val="999999"/>
      <w:sz w:val="33"/>
      <w:szCs w:val="33"/>
    </w:rPr>
  </w:style>
  <w:style w:type="character" w:customStyle="1" w:styleId="107">
    <w:name w:val="first-child3"/>
    <w:basedOn w:val="28"/>
    <w:qFormat/>
    <w:uiPriority w:val="0"/>
  </w:style>
  <w:style w:type="character" w:customStyle="1" w:styleId="108">
    <w:name w:val="first-child4"/>
    <w:basedOn w:val="28"/>
    <w:qFormat/>
    <w:uiPriority w:val="0"/>
  </w:style>
  <w:style w:type="character" w:customStyle="1" w:styleId="109">
    <w:name w:val="top-label"/>
    <w:basedOn w:val="28"/>
    <w:qFormat/>
    <w:uiPriority w:val="0"/>
  </w:style>
  <w:style w:type="character" w:customStyle="1" w:styleId="110">
    <w:name w:val="wea-dropdown-triangle2"/>
    <w:basedOn w:val="28"/>
    <w:qFormat/>
    <w:uiPriority w:val="0"/>
  </w:style>
  <w:style w:type="character" w:customStyle="1" w:styleId="111">
    <w:name w:val="isrevision"/>
    <w:basedOn w:val="28"/>
    <w:qFormat/>
    <w:uiPriority w:val="0"/>
    <w:rPr>
      <w:color w:val="000000"/>
      <w:sz w:val="18"/>
      <w:szCs w:val="18"/>
      <w:bdr w:val="single" w:color="E9E9E9" w:sz="6" w:space="0"/>
      <w:shd w:val="clear" w:color="auto" w:fill="FFFFFF"/>
    </w:rPr>
  </w:style>
  <w:style w:type="character" w:customStyle="1" w:styleId="112">
    <w:name w:val="first-child"/>
    <w:basedOn w:val="28"/>
    <w:qFormat/>
    <w:uiPriority w:val="0"/>
    <w:rPr>
      <w:color w:val="999999"/>
      <w:sz w:val="33"/>
      <w:szCs w:val="33"/>
    </w:rPr>
  </w:style>
  <w:style w:type="character" w:customStyle="1" w:styleId="113">
    <w:name w:val="first-child1"/>
    <w:basedOn w:val="28"/>
    <w:qFormat/>
    <w:uiPriority w:val="0"/>
  </w:style>
  <w:style w:type="character" w:customStyle="1" w:styleId="114">
    <w:name w:val="ant-select-tree-checkbox2"/>
    <w:basedOn w:val="28"/>
    <w:qFormat/>
    <w:uiPriority w:val="0"/>
  </w:style>
  <w:style w:type="character" w:customStyle="1" w:styleId="115">
    <w:name w:val="label16"/>
    <w:basedOn w:val="28"/>
    <w:qFormat/>
    <w:uiPriority w:val="0"/>
  </w:style>
  <w:style w:type="character" w:customStyle="1" w:styleId="116">
    <w:name w:val="label17"/>
    <w:basedOn w:val="28"/>
    <w:qFormat/>
    <w:uiPriority w:val="0"/>
  </w:style>
  <w:style w:type="character" w:customStyle="1" w:styleId="117">
    <w:name w:val="disabled"/>
    <w:basedOn w:val="28"/>
    <w:qFormat/>
    <w:uiPriority w:val="0"/>
    <w:rPr>
      <w:color w:val="AAAAAA"/>
      <w:shd w:val="clear" w:color="auto" w:fill="F7F7F7"/>
    </w:rPr>
  </w:style>
  <w:style w:type="character" w:customStyle="1" w:styleId="118">
    <w:name w:val="nth-child(2)2"/>
    <w:basedOn w:val="28"/>
    <w:qFormat/>
    <w:uiPriority w:val="0"/>
  </w:style>
  <w:style w:type="character" w:customStyle="1" w:styleId="119">
    <w:name w:val="ant-tree-checkbox6"/>
    <w:basedOn w:val="28"/>
    <w:qFormat/>
    <w:uiPriority w:val="0"/>
  </w:style>
  <w:style w:type="character" w:customStyle="1" w:styleId="120">
    <w:name w:val="hover40"/>
    <w:basedOn w:val="28"/>
    <w:qFormat/>
    <w:uiPriority w:val="0"/>
    <w:rPr>
      <w:color w:val="009DFF"/>
    </w:rPr>
  </w:style>
  <w:style w:type="character" w:customStyle="1" w:styleId="121">
    <w:name w:val="hover41"/>
    <w:basedOn w:val="28"/>
    <w:qFormat/>
    <w:uiPriority w:val="0"/>
    <w:rPr>
      <w:color w:val="009DFF"/>
    </w:rPr>
  </w:style>
  <w:style w:type="character" w:customStyle="1" w:styleId="122">
    <w:name w:val="last-child"/>
    <w:basedOn w:val="28"/>
    <w:qFormat/>
    <w:uiPriority w:val="0"/>
  </w:style>
  <w:style w:type="character" w:customStyle="1" w:styleId="123">
    <w:name w:val="wea-dropdown-triangle"/>
    <w:basedOn w:val="28"/>
    <w:qFormat/>
    <w:uiPriority w:val="0"/>
  </w:style>
  <w:style w:type="character" w:customStyle="1" w:styleId="124">
    <w:name w:val="ant-tree-checkbox"/>
    <w:basedOn w:val="28"/>
    <w:qFormat/>
    <w:uiPriority w:val="0"/>
  </w:style>
  <w:style w:type="character" w:customStyle="1" w:styleId="125">
    <w:name w:val="ant-table-row-expand-icon3"/>
    <w:basedOn w:val="28"/>
    <w:qFormat/>
    <w:uiPriority w:val="0"/>
    <w:rPr>
      <w:vanish/>
    </w:rPr>
  </w:style>
  <w:style w:type="character" w:customStyle="1" w:styleId="126">
    <w:name w:val="ant-table-row-expand-icon4"/>
    <w:basedOn w:val="28"/>
    <w:qFormat/>
    <w:uiPriority w:val="0"/>
    <w:rPr>
      <w:vanish/>
    </w:rPr>
  </w:style>
  <w:style w:type="character" w:customStyle="1" w:styleId="127">
    <w:name w:val="ant-tree-checkbox8"/>
    <w:basedOn w:val="28"/>
    <w:qFormat/>
    <w:uiPriority w:val="0"/>
  </w:style>
  <w:style w:type="character" w:customStyle="1" w:styleId="128">
    <w:name w:val="ant-tree-switcher"/>
    <w:basedOn w:val="28"/>
    <w:qFormat/>
    <w:uiPriority w:val="0"/>
  </w:style>
  <w:style w:type="character" w:customStyle="1" w:styleId="129">
    <w:name w:val="ant-tree-switcher15"/>
    <w:basedOn w:val="28"/>
    <w:qFormat/>
    <w:uiPriority w:val="0"/>
  </w:style>
  <w:style w:type="character" w:customStyle="1" w:styleId="130">
    <w:name w:val="ant-tree-switcher14"/>
    <w:basedOn w:val="28"/>
    <w:qFormat/>
    <w:uiPriority w:val="0"/>
  </w:style>
  <w:style w:type="character" w:customStyle="1" w:styleId="131">
    <w:name w:val="cke_path_empty2"/>
    <w:basedOn w:val="28"/>
    <w:qFormat/>
    <w:uiPriority w:val="0"/>
    <w:rPr>
      <w:b/>
      <w:bCs/>
      <w:color w:val="484848"/>
      <w:sz w:val="16"/>
      <w:szCs w:val="16"/>
      <w:u w:val="none"/>
    </w:rPr>
  </w:style>
  <w:style w:type="character" w:customStyle="1" w:styleId="132">
    <w:name w:val="cke_colorbox"/>
    <w:basedOn w:val="28"/>
    <w:qFormat/>
    <w:uiPriority w:val="0"/>
  </w:style>
  <w:style w:type="character" w:customStyle="1" w:styleId="133">
    <w:name w:val="cke_colorbox1"/>
    <w:basedOn w:val="28"/>
    <w:qFormat/>
    <w:uiPriority w:val="0"/>
  </w:style>
  <w:style w:type="character" w:customStyle="1" w:styleId="134">
    <w:name w:val="cke_colorbox2"/>
    <w:basedOn w:val="28"/>
    <w:qFormat/>
    <w:uiPriority w:val="0"/>
    <w:rPr>
      <w:bdr w:val="single" w:color="808080" w:sz="6" w:space="0"/>
    </w:rPr>
  </w:style>
  <w:style w:type="character" w:customStyle="1" w:styleId="135">
    <w:name w:val="cke_notification_progress"/>
    <w:basedOn w:val="28"/>
    <w:qFormat/>
    <w:uiPriority w:val="0"/>
    <w:rPr>
      <w:shd w:val="clear" w:color="auto" w:fill="0F74A8"/>
    </w:rPr>
  </w:style>
  <w:style w:type="character" w:customStyle="1" w:styleId="136">
    <w:name w:val="cke_dialog_ui_button2"/>
    <w:basedOn w:val="28"/>
    <w:qFormat/>
    <w:uiPriority w:val="0"/>
  </w:style>
  <w:style w:type="character" w:customStyle="1" w:styleId="137">
    <w:name w:val="font21"/>
    <w:basedOn w:val="28"/>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50916357-8d29-4a58-85ec-dbf57f5b74b8</errorID>
      <errorWord>[2026]</errorWord>
      <group>L1_Punc</group>
      <groupName>标点问题</groupName>
      <ability>L2_Punc_CN</ability>
      <abilityName>标点符号问题</abilityName>
      <candidateList>
        <item>〔2026〕</item>
      </candidateList>
      <explain/>
      <paraID>3CBCB9A4</paraID>
      <start>11</start>
      <end>17</end>
      <status>unmodified</status>
      <modifiedWord/>
      <trackRevisions>false</trackRevisions>
    </reviewItem>
    <reviewItem>
      <errorID>0402b588-7d3e-424b-bd2f-b8ed483ccd79</errorID>
      <errorWord>日至2026年</errorWord>
      <group>L1_Word</group>
      <groupName>字词问题</groupName>
      <ability>L2_Typo</ability>
      <abilityName>字词错误</abilityName>
      <candidateList>
        <item>日起至2026年</item>
      </candidateList>
      <explain/>
      <paraID>19AB5152</paraID>
      <start>12</start>
      <end>19</end>
      <status>unmodified</status>
      <modifiedWord/>
      <trackRevisions>false</trackRevisions>
    </reviewItem>
    <reviewItem>
      <errorID>d9cac193-942d-4b57-bcb3-5185e60fdd2f</errorID>
      <errorWord>上午00:00</errorWord>
      <group>L1_Knowledge</group>
      <groupName>知识性问题</groupName>
      <ability>L2_Time</ability>
      <abilityName>日期时间</abilityName>
      <candidateList/>
      <explain>时间与前缀不匹配，可能的时间前缀有“下午、晚上、凌晨、午夜”。</explain>
      <paraID>19AB5152</paraID>
      <start>29</start>
      <end>36</end>
      <status>unmodified</status>
      <modifiedWord/>
      <trackRevisions>false</trackRevisions>
    </reviewItem>
    <reviewItem>
      <errorID>4cf75fad-254d-4e6b-ae4f-c4a184f84a92</errorID>
      <errorWord>-</errorWord>
      <group>L1_Format</group>
      <groupName>格式问题</groupName>
      <ability>L2_HalfPunc_CN</ability>
      <abilityName>全半角问题</abilityName>
      <candidateList>
        <item>－</item>
      </candidateList>
      <explain>文本全半角错误。</explain>
      <paraID>489FEC27</paraID>
      <start>112</start>
      <end>113</end>
      <status>unmodified</status>
      <modifiedWord/>
      <trackRevisions>false</trackRevisions>
    </reviewItem>
    <reviewItem>
      <errorID>f18800bb-759c-403b-be08-4dec97a21b5e</errorID>
      <errorWord>-</errorWord>
      <group>L1_Format</group>
      <groupName>格式问题</groupName>
      <ability>L2_HalfPunc_CN</ability>
      <abilityName>全半角问题</abilityName>
      <candidateList>
        <item>－</item>
      </candidateList>
      <explain>文本全半角错误。</explain>
      <paraID>489FEC27</paraID>
      <start>117</start>
      <end>118</end>
      <status>unmodified</status>
      <modifiedWord/>
      <trackRevisions>false</trackRevisions>
    </reviewItem>
    <reviewItem>
      <errorID>ab1e48b9-9f1f-49e2-8b57-c88cf0e5a90d</errorID>
      <errorWord>-</errorWord>
      <group>L1_Format</group>
      <groupName>格式问题</groupName>
      <ability>L2_HalfPunc_CN</ability>
      <abilityName>全半角问题</abilityName>
      <candidateList>
        <item>－</item>
      </candidateList>
      <explain>文本全半角错误。</explain>
      <paraID>489FEC27</paraID>
      <start>124</start>
      <end>125</end>
      <status>unmodified</status>
      <modifiedWord/>
      <trackRevisions>false</trackRevisions>
    </reviewItem>
    <reviewItem>
      <errorID>d9599bbb-abbb-4641-855e-5e18eb8028ca</errorID>
      <errorWord>-</errorWord>
      <group>L1_Format</group>
      <groupName>格式问题</groupName>
      <ability>L2_HalfPunc_CN</ability>
      <abilityName>全半角问题</abilityName>
      <candidateList>
        <item>－</item>
      </candidateList>
      <explain>文本全半角错误。</explain>
      <paraID>489FEC27</paraID>
      <start>130</start>
      <end>131</end>
      <status>unmodified</status>
      <modifiedWord/>
      <trackRevisions>false</trackRevisions>
    </reviewItem>
    <reviewItem>
      <errorID>32fbc741-0aec-4fb2-a1de-7508a358a6e8</errorID>
      <errorWord>(</errorWord>
      <group>L1_Format</group>
      <groupName>格式问题</groupName>
      <ability>L2_HalfPunc_CN</ability>
      <abilityName>全半角问题</abilityName>
      <candidateList>
        <item>（</item>
      </candidateList>
      <explain>文本全半角错误。</explain>
      <paraID>713AC087</paraID>
      <start>63</start>
      <end>64</end>
      <status>unmodified</status>
      <modifiedWord/>
      <trackRevisions>false</trackRevisions>
    </reviewItem>
    <reviewItem>
      <errorID>79a9b633-0419-439e-b2a9-0ce56a027754</errorID>
      <errorWord>)</errorWord>
      <group>L1_Format</group>
      <groupName>格式问题</groupName>
      <ability>L2_HalfPunc_CN</ability>
      <abilityName>全半角问题</abilityName>
      <candidateList>
        <item>）</item>
      </candidateList>
      <explain>文本全半角错误。</explain>
      <paraID>713AC087</paraID>
      <start>86</start>
      <end>87</end>
      <status>unmodified</status>
      <modifiedWord/>
      <trackRevisions>false</trackRevisions>
    </reviewItem>
    <reviewItem>
      <errorID>bff35062-dcbd-42d0-913d-babba1685ded</errorID>
      <errorWord>(</errorWord>
      <group>L1_Format</group>
      <groupName>格式问题</groupName>
      <ability>L2_HalfPunc_CN</ability>
      <abilityName>全半角问题</abilityName>
      <candidateList>
        <item>（</item>
      </candidateList>
      <explain>文本全半角错误。</explain>
      <paraID>713AC087</paraID>
      <start>96</start>
      <end>97</end>
      <status>unmodified</status>
      <modifiedWord/>
      <trackRevisions>false</trackRevisions>
    </reviewItem>
    <reviewItem>
      <errorID>fe1f1651-3ce1-441a-a6c6-b3424696a241</errorID>
      <errorWord>)</errorWord>
      <group>L1_Format</group>
      <groupName>格式问题</groupName>
      <ability>L2_HalfPunc_CN</ability>
      <abilityName>全半角问题</abilityName>
      <candidateList>
        <item>）</item>
      </candidateList>
      <explain>文本全半角错误。</explain>
      <paraID>713AC087</paraID>
      <start>112</start>
      <end>113</end>
      <status>unmodified</status>
      <modifiedWord/>
      <trackRevisions>false</trackRevisions>
    </reviewItem>
    <reviewItem>
      <errorID>68b98099-94b4-440b-9f3c-0049631c460e</errorID>
      <errorWord>-</errorWord>
      <group>L1_Format</group>
      <groupName>格式问题</groupName>
      <ability>L2_HalfPunc_CN</ability>
      <abilityName>全半角问题</abilityName>
      <candidateList>
        <item>－</item>
      </candidateList>
      <explain>文本全半角错误。</explain>
      <paraID>1BB8B408</paraID>
      <start>94</start>
      <end>95</end>
      <status>unmodified</status>
      <modifiedWord/>
      <trackRevisions>false</trackRevisions>
    </reviewItem>
    <reviewItem>
      <errorID>3a6865a0-e133-4541-8490-e31f1ba0afdb</errorID>
      <errorWord>操作合</errorWord>
      <group>L1_Word</group>
      <groupName>字词问题</groupName>
      <ability>L2_Typo</ability>
      <abilityName>字词错误</abilityName>
      <candidateList>
        <item>操作台</item>
      </candidateList>
      <explain/>
      <paraID>25F5B233</paraID>
      <start>8</start>
      <end>11</end>
      <status>unmodified</status>
      <modifiedWord/>
      <trackRevisions>false</trackRevisions>
    </reviewItem>
    <reviewItem>
      <errorID>f3512844-411f-4695-9f49-f100099acb93</errorID>
      <errorWord>须要</errorWord>
      <group>L1_Word</group>
      <groupName>字词问题</groupName>
      <ability>L2_Typo</ability>
      <abilityName>字词错误</abilityName>
      <candidateList>
        <item>需要</item>
      </candidateList>
      <explain>存在发音相同字词的误用。</explain>
      <paraID>699B655F</paraID>
      <start>21</start>
      <end>23</end>
      <status>unmodified</status>
      <modifiedWord/>
      <trackRevisions>false</trackRevisions>
    </reviewItem>
    <reviewItem>
      <errorID>f7004d87-d8f6-44a0-908a-a7ef8fe1c3bd</errorID>
      <errorWord>具备有</errorWord>
      <group>L1_Word</group>
      <groupName>字词问题</groupName>
      <ability>L2_Typo</ability>
      <abilityName>字词错误</abilityName>
      <candidateList>
        <item>具备</item>
      </candidateList>
      <explain/>
      <paraID>2D2A94DD</paraID>
      <start>8</start>
      <end>11</end>
      <status>unmodified</status>
      <modifiedWord/>
      <trackRevisions>false</trackRevisions>
    </reviewItem>
    <reviewItem>
      <errorID>83be9ef4-accb-4a61-9c11-642072d14fed</errorID>
      <errorWord>:</errorWord>
      <group>L1_Format</group>
      <groupName>格式问题</groupName>
      <ability>L2_HalfPunc_CN</ability>
      <abilityName>全半角问题</abilityName>
      <candidateList>
        <item>：</item>
      </candidateList>
      <explain>文本全半角错误。</explain>
      <paraID>56CEAF08</paraID>
      <start>9</start>
      <end>10</end>
      <status>unmodified</status>
      <modifiedWord/>
      <trackRevisions>false</trackRevisions>
    </reviewItem>
    <reviewItem>
      <errorID>ebf877cb-cf29-4892-9cc0-c6ce6e778351</errorID>
      <errorWord>：/</errorWord>
      <group>L1_Punc</group>
      <groupName>标点问题</groupName>
      <ability>L2_Punc_CN</ability>
      <abilityName>标点符号问题</abilityName>
      <candidateList>
        <item>：</item>
      </candidateList>
      <explain/>
      <paraID>49F29910</paraID>
      <start>4</start>
      <end>6</end>
      <status>unmodified</status>
      <modifiedWord/>
      <trackRevisions>false</trackRevisions>
    </reviewItem>
    <reviewItem>
      <errorID>abb14ffd-e17e-482d-b34a-e0572f6ae492</errorID>
      <errorWord>：/</errorWord>
      <group>L1_Punc</group>
      <groupName>标点问题</groupName>
      <ability>L2_Punc_CN</ability>
      <abilityName>标点符号问题</abilityName>
      <candidateList>
        <item>：</item>
      </candidateList>
      <explain/>
      <paraID>76E30D77</paraID>
      <start>8</start>
      <end>10</end>
      <status>unmodified</status>
      <modifiedWord/>
      <trackRevisions>false</trackRevisions>
    </reviewItem>
    <reviewItem>
      <errorID>0ed89b61-bdea-4e83-b0a9-10ede29429a8</errorID>
      <errorWord>（</errorWord>
      <group>L1_Punc</group>
      <groupName>标点问题</groupName>
      <ability>L2_Punc_CN</ability>
      <abilityName>标点符号问题</abilityName>
      <candidateList/>
      <explain>同一形式括号套用。</explain>
      <paraID>70F7027C</paraID>
      <start>61</start>
      <end>62</end>
      <status>unmodified</status>
      <modifiedWord/>
      <trackRevisions>false</trackRevisions>
    </reviewItem>
    <reviewItem>
      <errorID>8330972e-0a31-42bf-86d7-8591c0be4570</errorID>
      <errorWord>）</errorWord>
      <group>L1_Punc</group>
      <groupName>标点问题</groupName>
      <ability>L2_Punc_CN</ability>
      <abilityName>标点符号问题</abilityName>
      <candidateList/>
      <explain>同一形式括号套用。</explain>
      <paraID>70F7027C</paraID>
      <start>76</start>
      <end>77</end>
      <status>unmodified</status>
      <modifiedWord/>
      <trackRevisions>false</trackRevisions>
    </reviewItem>
    <reviewItem>
      <errorID>50141a9b-9004-4d0f-8897-6a59f5f5676c</errorID>
      <errorWord>（</errorWord>
      <group>L1_Punc</group>
      <groupName>标点问题</groupName>
      <ability>L2_Punc_CN</ability>
      <abilityName>标点符号问题</abilityName>
      <candidateList/>
      <explain>同一形式括号套用。</explain>
      <paraID>3A6D2719</paraID>
      <start>40</start>
      <end>41</end>
      <status>unmodified</status>
      <modifiedWord/>
      <trackRevisions>false</trackRevisions>
    </reviewItem>
    <reviewItem>
      <errorID>240d765c-a3bb-4c6a-8552-e56e4ac8045a</errorID>
      <errorWord>）</errorWord>
      <group>L1_Punc</group>
      <groupName>标点问题</groupName>
      <ability>L2_Punc_CN</ability>
      <abilityName>标点符号问题</abilityName>
      <candidateList/>
      <explain>同一形式括号套用。</explain>
      <paraID>3A6D2719</paraID>
      <start>84</start>
      <end>85</end>
      <status>unmodified</status>
      <modifiedWord/>
      <trackRevisions>false</trackRevisions>
    </reviewItem>
    <reviewItem>
      <errorID>4329dbdb-65b4-413e-9cd5-bfa2b337d489</errorID>
      <errorWord>做</errorWord>
      <group>L1_Word</group>
      <groupName>字词问题</groupName>
      <ability>L2_Typo</ability>
      <abilityName>字词错误</abilityName>
      <candidateList>
        <item>作</item>
      </candidateList>
      <explain/>
      <paraID> C7EC06E</paraID>
      <start>43</start>
      <end>44</end>
      <status>unmodified</status>
      <modifiedWord/>
      <trackRevisions>false</trackRevisions>
    </reviewItem>
    <reviewItem>
      <errorID>3c6a53bb-af14-4603-9727-6c2f854b8cc6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64AC2A7A</paraID>
      <start>38</start>
      <end>39</end>
      <status>unmodified</status>
      <modifiedWord/>
      <trackRevisions>false</trackRevisions>
    </reviewItem>
    <reviewItem>
      <errorID>cb6236a9-66d6-4125-bf12-6ee49ecd94c9</errorID>
      <errorWord>下午15:00</errorWord>
      <group>L1_Knowledge</group>
      <groupName>知识性问题</groupName>
      <ability>L2_Time</ability>
      <abilityName>日期时间</abilityName>
      <candidateList>
        <item>15:00</item>
      </candidateList>
      <explain>24小时制的时间，不需要强调“下午”。</explain>
      <paraID>62245EEB</paraID>
      <start>23</start>
      <end>30</end>
      <status>unmodified</status>
      <modifiedWord/>
      <trackRevisions>false</trackRevisions>
    </reviewItem>
    <reviewItem>
      <errorID>af894070-602e-4e85-9eb9-46c3c6427f0b</errorID>
      <errorWord>管理规定，用供应商</errorWord>
      <group>L1_Word</group>
      <groupName>字词问题</groupName>
      <ability>L2_Typo</ability>
      <abilityName>字词错误</abilityName>
      <candidateList>
        <item>管理规定，使用供应商</item>
      </candidateList>
      <explain/>
      <paraID> 535351C</paraID>
      <start>28</start>
      <end>37</end>
      <status>unmodified</status>
      <modifiedWord/>
      <trackRevisions>false</trackRevisions>
    </reviewItem>
    <reviewItem>
      <errorID>0892a39a-9f8d-4c15-a24b-39bbb3689104</errorID>
      <errorWord>法律、法规</errorWord>
      <group>L1_Word</group>
      <groupName>字词问题</groupName>
      <ability>L2_Typo</ability>
      <abilityName>字词错误</abilityName>
      <candidateList>
        <item>法律法规</item>
      </candidateList>
      <explain/>
      <paraID>529F4B5C</paraID>
      <start>40</start>
      <end>45</end>
      <status>unmodified</status>
      <modifiedWord/>
      <trackRevisions>false</trackRevisions>
    </reviewItem>
    <reviewItem>
      <errorID>959b39d7-bb9e-4a6e-92a4-522e9d0c565e</errorID>
      <errorWord>式</errorWord>
      <group>L1_Word</group>
      <groupName>字词问题</groupName>
      <ability>L2_Typo</ability>
      <abilityName>字词错误</abilityName>
      <candidateList>
        <item>式向</item>
      </candidateList>
      <explain/>
      <paraID>7D9C6D69</paraID>
      <start>33</start>
      <end>34</end>
      <status>unmodified</status>
      <modifiedWord/>
      <trackRevisions>false</trackRevisions>
    </reviewItem>
    <reviewItem>
      <errorID>59598ffd-d82a-4430-8534-63b64b677d11</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16D84108</paraID>
      <start>158</start>
      <end>163</end>
      <status>unmodified</status>
      <modifiedWord/>
      <trackRevisions>false</trackRevisions>
    </reviewItem>
    <reviewItem>
      <errorID>54216edb-56b6-4077-a47e-d93f286739ee</errorID>
      <errorWord>,</errorWord>
      <group>L1_Format</group>
      <groupName>格式问题</groupName>
      <ability>L2_HalfPunc_CN</ability>
      <abilityName>全半角问题</abilityName>
      <candidateList>
        <item>，</item>
      </candidateList>
      <explain>文本全半角错误。</explain>
      <paraID>49F73FD6</paraID>
      <start>25</start>
      <end>26</end>
      <status>unmodified</status>
      <modifiedWord/>
      <trackRevisions>false</trackRevisions>
    </reviewItem>
    <reviewItem>
      <errorID>d9fe425f-e3b9-43d9-9cdf-b111244dbf89</errorID>
      <errorWord>,</errorWord>
      <group>L1_Format</group>
      <groupName>格式问题</groupName>
      <ability>L2_HalfPunc_CN</ability>
      <abilityName>全半角问题</abilityName>
      <candidateList>
        <item>，</item>
      </candidateList>
      <explain>文本全半角错误。</explain>
      <paraID>49F73FD6</paraID>
      <start>56</start>
      <end>57</end>
      <status>unmodified</status>
      <modifiedWord/>
      <trackRevisions>false</trackRevisions>
    </reviewItem>
    <reviewItem>
      <errorID>1f9d2363-08a0-4ead-aa47-f5d0cd2feef6</errorID>
      <errorWord>,</errorWord>
      <group>L1_Format</group>
      <groupName>格式问题</groupName>
      <ability>L2_HalfPunc_CN</ability>
      <abilityName>全半角问题</abilityName>
      <candidateList>
        <item>，</item>
      </candidateList>
      <explain>文本全半角错误。</explain>
      <paraID>378A0DEE</paraID>
      <start>22</start>
      <end>23</end>
      <status>unmodified</status>
      <modifiedWord/>
      <trackRevisions>false</trackRevisions>
    </reviewItem>
    <reviewItem>
      <errorID>910769e6-c66e-4475-ab5f-932a2d83114b</errorID>
      <errorWord>,</errorWord>
      <group>L1_Format</group>
      <groupName>格式问题</groupName>
      <ability>L2_HalfPunc_CN</ability>
      <abilityName>全半角问题</abilityName>
      <candidateList>
        <item>，</item>
      </candidateList>
      <explain>文本全半角错误。</explain>
      <paraID>378A0DEE</paraID>
      <start>50</start>
      <end>51</end>
      <status>unmodified</status>
      <modifiedWord/>
      <trackRevisions>false</trackRevisions>
    </reviewItem>
    <reviewItem>
      <errorID>c59a1799-72e0-4ca5-a80d-4a2e7785ac63</errorID>
      <errorWord>,</errorWord>
      <group>L1_Format</group>
      <groupName>格式问题</groupName>
      <ability>L2_HalfPunc_CN</ability>
      <abilityName>全半角问题</abilityName>
      <candidateList>
        <item>，</item>
      </candidateList>
      <explain>文本全半角错误。</explain>
      <paraID>378A0DEE</paraID>
      <start>67</start>
      <end>68</end>
      <status>unmodified</status>
      <modifiedWord/>
      <trackRevisions>false</trackRevisions>
    </reviewItem>
    <reviewItem>
      <errorID>976f16a7-484d-442c-8ced-1e80c5797db2</errorID>
      <errorWord>置</errorWord>
      <group>L1_Word</group>
      <groupName>字词问题</groupName>
      <ability>L2_Typo</ability>
      <abilityName>字词错误</abilityName>
      <candidateList>
        <item>置加</item>
      </candidateList>
      <explain/>
      <paraID>6162C593</paraID>
      <start>17</start>
      <end>18</end>
      <status>unmodified</status>
      <modifiedWord/>
      <trackRevisions>false</trackRevisions>
    </reviewItem>
    <reviewItem>
      <errorID>b2530f20-d9f9-456d-b766-8ce92c7c23a2</errorID>
      <errorWord>，</errorWord>
      <group>L1_Word</group>
      <groupName>字词问题</groupName>
      <ability>L2_Typo</ability>
      <abilityName>字词错误</abilityName>
      <candidateList>
        <item>，在</item>
      </candidateList>
      <explain/>
      <paraID>1E64515B</paraID>
      <start>37</start>
      <end>38</end>
      <status>unmodified</status>
      <modifiedWord/>
      <trackRevisions>false</trackRevisions>
    </reviewItem>
    <reviewItem>
      <errorID>fed60bc3-328d-423a-a5b9-a88d3911218d</errorID>
      <errorWord>务</errorWord>
      <group>L1_Word</group>
      <groupName>字词问题</groupName>
      <ability>L2_Typo</ability>
      <abilityName>字词错误</abilityName>
      <candidateList>
        <item>务费</item>
      </candidateList>
      <explain/>
      <paraID>6B4B2B1B</paraID>
      <start>13</start>
      <end>14</end>
      <status>unmodified</status>
      <modifiedWord/>
      <trackRevisions>false</trackRevisions>
    </reviewItem>
    <reviewItem>
      <errorID>743c019e-eb24-4d42-81f6-cd706917421f</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60C66918</paraID>
      <start>0</start>
      <end>8</end>
      <status>unmodified</status>
      <modifiedWord/>
      <trackRevisions>false</trackRevisions>
    </reviewItem>
    <reviewItem>
      <errorID>74642f10-9fd3-463b-90d7-58d084dd280f</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A2951C7</paraID>
      <start>0</start>
      <end>9</end>
      <status>unmodified</status>
      <modifiedWord/>
      <trackRevisions>false</trackRevisions>
    </reviewItem>
    <reviewItem>
      <errorID>2143d497-a600-415e-8eb6-533ac9ebda74</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22F52ADA</paraID>
      <start>0</start>
      <end>10</end>
      <status>unmodified</status>
      <modifiedWord/>
      <trackRevisions>false</trackRevisions>
    </reviewItem>
    <reviewItem>
      <errorID>51c7048f-f16b-4713-b723-c1fb63b48014</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5BC8F373</paraID>
      <start>0</start>
      <end>4</end>
      <status>unmodified</status>
      <modifiedWord/>
      <trackRevisions>false</trackRevisions>
    </reviewItem>
    <reviewItem>
      <errorID>38b25894-d4e2-457b-919e-1a8c1c066e7a</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6166477B</paraID>
      <start>0</start>
      <end>5</end>
      <status>unmodified</status>
      <modifiedWord/>
      <trackRevisions>false</trackRevisions>
    </reviewItem>
    <reviewItem>
      <errorID>9732da9e-6994-4ee7-9bce-08ae6dfa07da</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66FE41D9</paraID>
      <start>0</start>
      <end>6</end>
      <status>unmodified</status>
      <modifiedWord/>
      <trackRevisions>false</trackRevisions>
    </reviewItem>
    <reviewItem>
      <errorID>2a3c8eec-27c0-492f-b5b3-f2d52088f472</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E4E1CD4</paraID>
      <start>0</start>
      <end>7</end>
      <status>unmodified</status>
      <modifiedWord/>
      <trackRevisions>false</trackRevisions>
    </reviewItem>
    <reviewItem>
      <errorID>539b53e8-39a0-40cc-b125-c921faae9c29</errorID>
      <errorWord>,</errorWord>
      <group>L1_Format</group>
      <groupName>格式问题</groupName>
      <ability>L2_HalfPunc_CN</ability>
      <abilityName>全半角问题</abilityName>
      <candidateList>
        <item>，</item>
      </candidateList>
      <explain>文本全半角错误。</explain>
      <paraID>2E55E94C</paraID>
      <start>57</start>
      <end>58</end>
      <status>unmodified</status>
      <modifiedWord/>
      <trackRevisions>false</trackRevisions>
    </reviewItem>
    <reviewItem>
      <errorID>c8ec90a5-fa34-4ceb-a1df-f1d58fb47b85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7A2ED9EB</paraID>
      <start>49</start>
      <end>50</end>
      <status>unmodified</status>
      <modifiedWord/>
      <trackRevisions>false</trackRevisions>
    </reviewItem>
    <reviewItem>
      <errorID>d484869d-7304-4323-9eb6-0ffe9b5c9931</errorID>
      <errorWord>,</errorWord>
      <group>L1_Format</group>
      <groupName>格式问题</groupName>
      <ability>L2_HalfPunc_CN</ability>
      <abilityName>全半角问题</abilityName>
      <candidateList>
        <item>，</item>
      </candidateList>
      <explain>文本全半角错误。</explain>
      <paraID>761738F1</paraID>
      <start>56</start>
      <end>57</end>
      <status>unmodified</status>
      <modifiedWord/>
      <trackRevisions>false</trackRevisions>
    </reviewItem>
    <reviewItem>
      <errorID>06c9adc3-44f0-48a7-b9a9-136c0075b6eb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3EFA3037</paraID>
      <start>14</start>
      <end>15</end>
      <status>unmodified</status>
      <modifiedWord/>
      <trackRevisions>false</trackRevisions>
    </reviewItem>
    <reviewItem>
      <errorID>04c6e21b-c54c-4e91-b543-2756fba37202</errorID>
      <errorWord>(</errorWord>
      <group>L1_Format</group>
      <groupName>格式问题</groupName>
      <ability>L2_HalfPunc_CN</ability>
      <abilityName>全半角问题</abilityName>
      <candidateList>
        <item>（</item>
      </candidateList>
      <explain>文本全半角错误。</explain>
      <paraID>6B730042</paraID>
      <start>29</start>
      <end>30</end>
      <status>unmodified</status>
      <modifiedWord/>
      <trackRevisions>false</trackRevisions>
    </reviewItem>
    <reviewItem>
      <errorID>75459a58-16b7-45af-bd15-789c6d0edcff</errorID>
      <errorWord>)</errorWord>
      <group>L1_Format</group>
      <groupName>格式问题</groupName>
      <ability>L2_HalfPunc_CN</ability>
      <abilityName>全半角问题</abilityName>
      <candidateList>
        <item>）</item>
      </candidateList>
      <explain>文本全半角错误。</explain>
      <paraID>6B730042</paraID>
      <start>37</start>
      <end>38</end>
      <status>unmodified</status>
      <modifiedWord/>
      <trackRevisions>false</trackRevisions>
    </reviewItem>
    <reviewItem>
      <errorID>851261d8-0a8f-43be-b0bf-7adac3e9f044</errorID>
      <errorWord>(</errorWord>
      <group>L1_Format</group>
      <groupName>格式问题</groupName>
      <ability>L2_HalfPunc_CN</ability>
      <abilityName>全半角问题</abilityName>
      <candidateList>
        <item>（</item>
      </candidateList>
      <explain>文本全半角错误。</explain>
      <paraID>6B730042</paraID>
      <start>183</start>
      <end>184</end>
      <status>unmodified</status>
      <modifiedWord/>
      <trackRevisions>false</trackRevisions>
    </reviewItem>
    <reviewItem>
      <errorID>9016d796-8df3-475b-95ac-24a3628b9470</errorID>
      <errorWord>)</errorWord>
      <group>L1_Format</group>
      <groupName>格式问题</groupName>
      <ability>L2_HalfPunc_CN</ability>
      <abilityName>全半角问题</abilityName>
      <candidateList>
        <item>）</item>
      </candidateList>
      <explain>文本全半角错误。</explain>
      <paraID>6B730042</paraID>
      <start>186</start>
      <end>187</end>
      <status>unmodified</status>
      <modifiedWord/>
      <trackRevisions>false</trackRevisions>
    </reviewItem>
    <reviewItem>
      <errorID>5d6a9c3c-42dc-4e78-9e33-2b4c98bb1949</errorID>
      <errorWord>:</errorWord>
      <group>L1_Format</group>
      <groupName>格式问题</groupName>
      <ability>L2_HalfPunc_CN</ability>
      <abilityName>全半角问题</abilityName>
      <candidateList>
        <item>：</item>
      </candidateList>
      <explain>文本全半角错误。</explain>
      <paraID>7E68D819</paraID>
      <start>6</start>
      <end>7</end>
      <status>unmodified</status>
      <modifiedWord/>
      <trackRevisions>false</trackRevisions>
    </reviewItem>
    <reviewItem>
      <errorID>e89e1a99-d1bb-437a-acb3-bb73a6abfcbf</errorID>
      <errorWord>:</errorWord>
      <group>L1_Format</group>
      <groupName>格式问题</groupName>
      <ability>L2_HalfPunc_CN</ability>
      <abilityName>全半角问题</abilityName>
      <candidateList>
        <item>：</item>
      </candidateList>
      <explain>文本全半角错误。</explain>
      <paraID>7E68D819</paraID>
      <start>21</start>
      <end>22</end>
      <status>unmodified</status>
      <modifiedWord/>
      <trackRevisions>false</trackRevisions>
    </reviewItem>
    <reviewItem>
      <errorID>731ffb16-c742-423f-b25f-8c3e887ead53</errorID>
      <errorWord>:</errorWord>
      <group>L1_Format</group>
      <groupName>格式问题</groupName>
      <ability>L2_HalfPunc_CN</ability>
      <abilityName>全半角问题</abilityName>
      <candidateList>
        <item>：</item>
      </candidateList>
      <explain>文本全半角错误。</explain>
      <paraID>7E68D819</paraID>
      <start>33</start>
      <end>34</end>
      <status>unmodified</status>
      <modifiedWord/>
      <trackRevisions>false</trackRevisions>
    </reviewItem>
    <reviewItem>
      <errorID>fd9356bc-62bc-414f-963f-70d76bffa7d2</errorID>
      <errorWord>:</errorWord>
      <group>L1_Format</group>
      <groupName>格式问题</groupName>
      <ability>L2_HalfPunc_CN</ability>
      <abilityName>全半角问题</abilityName>
      <candidateList>
        <item>：</item>
      </candidateList>
      <explain>文本全半角错误。</explain>
      <paraID>7E68D819</paraID>
      <start>46</start>
      <end>47</end>
      <status>unmodified</status>
      <modifiedWord/>
      <trackRevisions>false</trackRevisions>
    </reviewItem>
    <reviewItem>
      <errorID>171d9db3-0edc-43a4-8a16-43b98253ac0f</errorID>
      <errorWord>:</errorWord>
      <group>L1_Format</group>
      <groupName>格式问题</groupName>
      <ability>L2_HalfPunc_CN</ability>
      <abilityName>全半角问题</abilityName>
      <candidateList>
        <item>：</item>
      </candidateList>
      <explain>文本全半角错误。</explain>
      <paraID>7E68D819</paraID>
      <start>49</start>
      <end>50</end>
      <status>unmodified</status>
      <modifiedWord/>
      <trackRevisions>false</trackRevisions>
    </reviewItem>
    <reviewItem>
      <errorID>bf2c9b15-adc4-40e2-8126-608952f2047d</errorID>
      <errorWord>:</errorWord>
      <group>L1_Format</group>
      <groupName>格式问题</groupName>
      <ability>L2_HalfPunc_CN</ability>
      <abilityName>全半角问题</abilityName>
      <candidateList>
        <item>：</item>
      </candidateList>
      <explain>文本全半角错误。</explain>
      <paraID>7E68D819</paraID>
      <start>64</start>
      <end>65</end>
      <status>unmodified</status>
      <modifiedWord/>
      <trackRevisions>false</trackRevisions>
    </reviewItem>
    <reviewItem>
      <errorID>57a1ae4a-6756-46cd-abcd-fddb881f3cde</errorID>
      <errorWord>:</errorWord>
      <group>L1_Format</group>
      <groupName>格式问题</groupName>
      <ability>L2_HalfPunc_CN</ability>
      <abilityName>全半角问题</abilityName>
      <candidateList>
        <item>：</item>
      </candidateList>
      <explain>文本全半角错误。</explain>
      <paraID>7E68D819</paraID>
      <start>82</start>
      <end>83</end>
      <status>unmodified</status>
      <modifiedWord/>
      <trackRevisions>false</trackRevisions>
    </reviewItem>
    <reviewItem>
      <errorID>71c56803-3d2f-4beb-ac25-06dbf503784e</errorID>
      <errorWord>:</errorWord>
      <group>L1_Format</group>
      <groupName>格式问题</groupName>
      <ability>L2_HalfPunc_CN</ability>
      <abilityName>全半角问题</abilityName>
      <candidateList>
        <item>：</item>
      </candidateList>
      <explain>文本全半角错误。</explain>
      <paraID>7E68D819</paraID>
      <start>86</start>
      <end>87</end>
      <status>unmodified</status>
      <modifiedWord/>
      <trackRevisions>false</trackRevisions>
    </reviewItem>
    <reviewItem>
      <errorID>864f196f-d7ba-4f64-a0f7-083bd7a130a6</errorID>
      <errorWord>:</errorWord>
      <group>L1_Format</group>
      <groupName>格式问题</groupName>
      <ability>L2_HalfPunc_CN</ability>
      <abilityName>全半角问题</abilityName>
      <candidateList>
        <item>：</item>
      </candidateList>
      <explain>文本全半角错误。</explain>
      <paraID>7E68D819</paraID>
      <start>102</start>
      <end>103</end>
      <status>unmodified</status>
      <modifiedWord/>
      <trackRevisions>false</trackRevisions>
    </reviewItem>
    <reviewItem>
      <errorID>6b977fe9-a2f6-41f2-aa8d-e5c273e6610a</errorID>
      <errorWord>:</errorWord>
      <group>L1_Format</group>
      <groupName>格式问题</groupName>
      <ability>L2_HalfPunc_CN</ability>
      <abilityName>全半角问题</abilityName>
      <candidateList>
        <item>：</item>
      </candidateList>
      <explain>文本全半角错误。</explain>
      <paraID>7E68D819</paraID>
      <start>120</start>
      <end>121</end>
      <status>unmodified</status>
      <modifiedWord/>
      <trackRevisions>false</trackRevisions>
    </reviewItem>
    <reviewItem>
      <errorID>4f31f81a-6ae6-42e5-9feb-571130bf7f4d</errorID>
      <errorWord>:</errorWord>
      <group>L1_Format</group>
      <groupName>格式问题</groupName>
      <ability>L2_HalfPunc_CN</ability>
      <abilityName>全半角问题</abilityName>
      <candidateList>
        <item>：</item>
      </candidateList>
      <explain>文本全半角错误。</explain>
      <paraID>7E68D819</paraID>
      <start>123</start>
      <end>124</end>
      <status>unmodified</status>
      <modifiedWord/>
      <trackRevisions>false</trackRevisions>
    </reviewItem>
    <reviewItem>
      <errorID>8afbb246-12d5-46e0-a351-ffb33c70f0b0</errorID>
      <errorWord>:</errorWord>
      <group>L1_Format</group>
      <groupName>格式问题</groupName>
      <ability>L2_HalfPunc_CN</ability>
      <abilityName>全半角问题</abilityName>
      <candidateList>
        <item>：</item>
      </candidateList>
      <explain>文本全半角错误。</explain>
      <paraID>7E68D819</paraID>
      <start>133</start>
      <end>134</end>
      <status>unmodified</status>
      <modifiedWord/>
      <trackRevisions>false</trackRevisions>
    </reviewItem>
    <reviewItem>
      <errorID>1f5f5925-2481-4944-a177-7736bd1158fc</errorID>
      <errorWord>:</errorWord>
      <group>L1_Format</group>
      <groupName>格式问题</groupName>
      <ability>L2_HalfPunc_CN</ability>
      <abilityName>全半角问题</abilityName>
      <candidateList>
        <item>：</item>
      </candidateList>
      <explain>文本全半角错误。</explain>
      <paraID>7E68D819</paraID>
      <start>145</start>
      <end>146</end>
      <status>unmodified</status>
      <modifiedWord/>
      <trackRevisions>false</trackRevisions>
    </reviewItem>
    <reviewItem>
      <errorID>5f5c6e7b-8fbf-4e21-9839-b9caed39f5e8</errorID>
      <errorWord>:</errorWord>
      <group>L1_Format</group>
      <groupName>格式问题</groupName>
      <ability>L2_HalfPunc_CN</ability>
      <abilityName>全半角问题</abilityName>
      <candidateList>
        <item>：</item>
      </candidateList>
      <explain>文本全半角错误。</explain>
      <paraID>7E68D819</paraID>
      <start>148</start>
      <end>149</end>
      <status>unmodified</status>
      <modifiedWord/>
      <trackRevisions>false</trackRevisions>
    </reviewItem>
    <reviewItem>
      <errorID>5f58b57a-c300-4891-8a34-5f2d943ea1bc</errorID>
      <errorWord>:</errorWord>
      <group>L1_Format</group>
      <groupName>格式问题</groupName>
      <ability>L2_HalfPunc_CN</ability>
      <abilityName>全半角问题</abilityName>
      <candidateList>
        <item>：</item>
      </candidateList>
      <explain>文本全半角错误。</explain>
      <paraID>7E68D819</paraID>
      <start>158</start>
      <end>159</end>
      <status>unmodified</status>
      <modifiedWord/>
      <trackRevisions>false</trackRevisions>
    </reviewItem>
    <reviewItem>
      <errorID>2def80cb-1c7d-4426-aac4-881cdd448279</errorID>
      <errorWord>:</errorWord>
      <group>L1_Format</group>
      <groupName>格式问题</groupName>
      <ability>L2_HalfPunc_CN</ability>
      <abilityName>全半角问题</abilityName>
      <candidateList>
        <item>：</item>
      </candidateList>
      <explain>文本全半角错误。</explain>
      <paraID>34788B59</paraID>
      <start>7</start>
      <end>8</end>
      <status>unmodified</status>
      <modifiedWord/>
      <trackRevisions>false</trackRevisions>
    </reviewItem>
    <reviewItem>
      <errorID>075cafa2-1f9b-4d54-8063-98fb97c28ba2</errorID>
      <errorWord>:</errorWord>
      <group>L1_Format</group>
      <groupName>格式问题</groupName>
      <ability>L2_HalfPunc_CN</ability>
      <abilityName>全半角问题</abilityName>
      <candidateList>
        <item>：</item>
      </candidateList>
      <explain>文本全半角错误。</explain>
      <paraID>34788B59</paraID>
      <start>10</start>
      <end>11</end>
      <status>unmodified</status>
      <modifiedWord/>
      <trackRevisions>false</trackRevisions>
    </reviewItem>
    <reviewItem>
      <errorID>b31ffe8d-c37f-4095-8aab-56cd309e2b74</errorID>
      <errorWord>,</errorWord>
      <group>L1_Format</group>
      <groupName>格式问题</groupName>
      <ability>L2_HalfPunc_CN</ability>
      <abilityName>全半角问题</abilityName>
      <candidateList>
        <item>，</item>
      </candidateList>
      <explain>文本全半角错误。</explain>
      <paraID>34788B59</paraID>
      <start>23</start>
      <end>24</end>
      <status>unmodified</status>
      <modifiedWord/>
      <trackRevisions>false</trackRevisions>
    </reviewItem>
    <reviewItem>
      <errorID>f4f841d0-593e-4fdb-9227-ec6fab9fe67a</errorID>
      <errorWord>:</errorWord>
      <group>L1_Format</group>
      <groupName>格式问题</groupName>
      <ability>L2_HalfPunc_CN</ability>
      <abilityName>全半角问题</abilityName>
      <candidateList>
        <item>：</item>
      </candidateList>
      <explain>文本全半角错误。</explain>
      <paraID>34788B59</paraID>
      <start>26</start>
      <end>27</end>
      <status>unmodified</status>
      <modifiedWord/>
      <trackRevisions>false</trackRevisions>
    </reviewItem>
    <reviewItem>
      <errorID>3952fd76-91c5-4f65-b2bf-cce18097af8a</errorID>
      <errorWord>(</errorWord>
      <group>L1_Format</group>
      <groupName>格式问题</groupName>
      <ability>L2_HalfPunc_CN</ability>
      <abilityName>全半角问题</abilityName>
      <candidateList>
        <item>（</item>
      </candidateList>
      <explain>文本全半角错误。</explain>
      <paraID>34788B59</paraID>
      <start>45</start>
      <end>46</end>
      <status>unmodified</status>
      <modifiedWord/>
      <trackRevisions>false</trackRevisions>
    </reviewItem>
    <reviewItem>
      <errorID>fc893a11-1a9d-46c4-99da-2e64be6d650b</errorID>
      <errorWord>HZ</errorWord>
      <group>L1_Word</group>
      <groupName>字词问题</groupName>
      <ability>L2_Typo</ability>
      <abilityName>字词错误</abilityName>
      <candidateList>
        <item>Hz</item>
      </candidateList>
      <explain/>
      <paraID>34788B59</paraID>
      <start>48</start>
      <end>50</end>
      <status>unmodified</status>
      <modifiedWord/>
      <trackRevisions>false</trackRevisions>
    </reviewItem>
    <reviewItem>
      <errorID>36fca6ab-6a77-4386-98c9-e137e9e8dff4</errorID>
      <errorWord>)</errorWord>
      <group>L1_Format</group>
      <groupName>格式问题</groupName>
      <ability>L2_HalfPunc_CN</ability>
      <abilityName>全半角问题</abilityName>
      <candidateList>
        <item>）</item>
      </candidateList>
      <explain>文本全半角错误。</explain>
      <paraID>34788B59</paraID>
      <start>56</start>
      <end>57</end>
      <status>unmodified</status>
      <modifiedWord/>
      <trackRevisions>false</trackRevisions>
    </reviewItem>
    <reviewItem>
      <errorID>785cf93c-2253-478a-8618-9f8d7dee688b</errorID>
      <errorWord>:</errorWord>
      <group>L1_Format</group>
      <groupName>格式问题</groupName>
      <ability>L2_HalfPunc_CN</ability>
      <abilityName>全半角问题</abilityName>
      <candidateList>
        <item>：</item>
      </candidateList>
      <explain>文本全半角错误。</explain>
      <paraID>34788B59</paraID>
      <start>57</start>
      <end>58</end>
      <status>unmodified</status>
      <modifiedWord/>
      <trackRevisions>false</trackRevisions>
    </reviewItem>
    <reviewItem>
      <errorID>fb4f4239-b0ac-4119-8da6-ddfb0784a77d</errorID>
      <errorWord>:</errorWord>
      <group>L1_Format</group>
      <groupName>格式问题</groupName>
      <ability>L2_HalfPunc_CN</ability>
      <abilityName>全半角问题</abilityName>
      <candidateList>
        <item>：</item>
      </candidateList>
      <explain>文本全半角错误。</explain>
      <paraID>34788B59</paraID>
      <start>60</start>
      <end>61</end>
      <status>unmodified</status>
      <modifiedWord/>
      <trackRevisions>false</trackRevisions>
    </reviewItem>
    <reviewItem>
      <errorID>d5cbcdcc-9e74-42a3-81ce-ca9e0f66408e</errorID>
      <errorWord>:</errorWord>
      <group>L1_Format</group>
      <groupName>格式问题</groupName>
      <ability>L2_HalfPunc_CN</ability>
      <abilityName>全半角问题</abilityName>
      <candidateList>
        <item>：</item>
      </candidateList>
      <explain>文本全半角错误。</explain>
      <paraID>34788B59</paraID>
      <start>74</start>
      <end>75</end>
      <status>unmodified</status>
      <modifiedWord/>
      <trackRevisions>false</trackRevisions>
    </reviewItem>
    <reviewItem>
      <errorID>060f888d-1426-47c4-a73f-0979b01f26c7</errorID>
      <errorWord>:</errorWord>
      <group>L1_Format</group>
      <groupName>格式问题</groupName>
      <ability>L2_HalfPunc_CN</ability>
      <abilityName>全半角问题</abilityName>
      <candidateList>
        <item>：</item>
      </candidateList>
      <explain>文本全半角错误。</explain>
      <paraID>34788B59</paraID>
      <start>90</start>
      <end>91</end>
      <status>unmodified</status>
      <modifiedWord/>
      <trackRevisions>false</trackRevisions>
    </reviewItem>
    <reviewItem>
      <errorID>d817c312-ce4c-4ea2-8ad6-98867c3e7280</errorID>
      <errorWord>:</errorWord>
      <group>L1_Format</group>
      <groupName>格式问题</groupName>
      <ability>L2_HalfPunc_CN</ability>
      <abilityName>全半角问题</abilityName>
      <candidateList>
        <item>：</item>
      </candidateList>
      <explain>文本全半角错误。</explain>
      <paraID>34788B59</paraID>
      <start>93</start>
      <end>94</end>
      <status>unmodified</status>
      <modifiedWord/>
      <trackRevisions>false</trackRevisions>
    </reviewItem>
    <reviewItem>
      <errorID>68efd52a-1d29-456b-a032-f8ece33c6379</errorID>
      <errorWord>:</errorWord>
      <group>L1_Format</group>
      <groupName>格式问题</groupName>
      <ability>L2_HalfPunc_CN</ability>
      <abilityName>全半角问题</abilityName>
      <candidateList>
        <item>：</item>
      </candidateList>
      <explain>文本全半角错误。</explain>
      <paraID>34788B59</paraID>
      <start>109</start>
      <end>110</end>
      <status>unmodified</status>
      <modifiedWord/>
      <trackRevisions>false</trackRevisions>
    </reviewItem>
    <reviewItem>
      <errorID>90a0cd60-2d33-4554-91c1-1ae6f6e33ba3</errorID>
      <errorWord>:</errorWord>
      <group>L1_Format</group>
      <groupName>格式问题</groupName>
      <ability>L2_HalfPunc_CN</ability>
      <abilityName>全半角问题</abilityName>
      <candidateList>
        <item>：</item>
      </candidateList>
      <explain>文本全半角错误。</explain>
      <paraID>34788B59</paraID>
      <start>128</start>
      <end>129</end>
      <status>unmodified</status>
      <modifiedWord/>
      <trackRevisions>false</trackRevisions>
    </reviewItem>
    <reviewItem>
      <errorID>34d3ffdf-945b-4dc0-ac7e-3ca742efd0ce</errorID>
      <errorWord>:</errorWord>
      <group>L1_Format</group>
      <groupName>格式问题</groupName>
      <ability>L2_HalfPunc_CN</ability>
      <abilityName>全半角问题</abilityName>
      <candidateList>
        <item>：</item>
      </candidateList>
      <explain>文本全半角错误。</explain>
      <paraID>34788B59</paraID>
      <start>145</start>
      <end>146</end>
      <status>unmodified</status>
      <modifiedWord/>
      <trackRevisions>false</trackRevisions>
    </reviewItem>
    <reviewItem>
      <errorID>5a4e814f-c881-4649-a397-76dd242ecd3c</errorID>
      <errorWord>:</errorWord>
      <group>L1_Format</group>
      <groupName>格式问题</groupName>
      <ability>L2_HalfPunc_CN</ability>
      <abilityName>全半角问题</abilityName>
      <candidateList>
        <item>：</item>
      </candidateList>
      <explain>文本全半角错误。</explain>
      <paraID>34788B59</paraID>
      <start>163</start>
      <end>164</end>
      <status>unmodified</status>
      <modifiedWord/>
      <trackRevisions>false</trackRevisions>
    </reviewItem>
    <reviewItem>
      <errorID>6a29aad3-33bb-4642-b802-ca044e05ebfb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4A59AC09</paraID>
      <start>82</start>
      <end>83</end>
      <status>unmodified</status>
      <modifiedWord/>
      <trackRevisions>false</trackRevisions>
    </reviewItem>
    <reviewItem>
      <errorID>742186e0-40cd-4ccb-8f5c-b7002273811e</errorID>
      <errorWord>~</errorWord>
      <group>L1_Format</group>
      <groupName>格式问题</groupName>
      <ability>L2_HalfPunc_CN</ability>
      <abilityName>全半角问题</abilityName>
      <candidateList>
        <item>～</item>
      </candidateList>
      <explain>文本全半角错误。</explain>
      <paraID>1E1BC4CC</paraID>
      <start>12</start>
      <end>13</end>
      <status>unmodified</status>
      <modifiedWord/>
      <trackRevisions>false</trackRevisions>
    </reviewItem>
    <reviewItem>
      <errorID>a3357d2c-213a-40ab-ba33-0e23e0e8bbaa</errorID>
      <errorWord>~</errorWord>
      <group>L1_Format</group>
      <groupName>格式问题</groupName>
      <ability>L2_HalfPunc_CN</ability>
      <abilityName>全半角问题</abilityName>
      <candidateList>
        <item>～</item>
      </candidateList>
      <explain>文本全半角错误。</explain>
      <paraID>1E1BC4CC</paraID>
      <start>28</start>
      <end>29</end>
      <status>unmodified</status>
      <modifiedWord/>
      <trackRevisions>false</trackRevisions>
    </reviewItem>
    <reviewItem>
      <errorID>9c903bac-b3e8-434c-9fbc-966c4adeb452</errorID>
      <errorWord>KW</errorWord>
      <group>L1_Word</group>
      <groupName>字词问题</groupName>
      <ability>L2_Typo</ability>
      <abilityName>字词错误</abilityName>
      <candidateList>
        <item>kW</item>
      </candidateList>
      <explain/>
      <paraID>5F33A0E5</paraID>
      <start>137</start>
      <end>139</end>
      <status>modified</status>
      <modifiedWord>kW</modifiedWord>
      <trackRevisions>false</trackRevisions>
    </reviewItem>
    <reviewItem>
      <errorID>abe21e25-46f7-496a-a9a7-2404923d8bac</errorID>
      <errorWord>噪音</errorWord>
      <group>L1_Word</group>
      <groupName>字词问题</groupName>
      <ability>L2_Alias</ability>
      <abilityName>也作/曾用词</abilityName>
      <candidateList>
        <item>噪声</item>
      </candidateList>
      <explain>词汇[噪音]为不规范表述或旧称，其规范书面表述为[噪声]。</explain>
      <paraID>5F33A0E5</paraID>
      <start>660</start>
      <end>662</end>
      <status>unmodified</status>
      <modifiedWord/>
      <trackRevisions>false</trackRevisions>
    </reviewItem>
    <reviewItem>
      <errorID>16bfe322-ebc6-44bc-b655-bcddbc7cd118</errorID>
      <errorWord>,</errorWord>
      <group>L1_Format</group>
      <groupName>格式问题</groupName>
      <ability>L2_HalfPunc_CN</ability>
      <abilityName>全半角问题</abilityName>
      <candidateList>
        <item>，</item>
      </candidateList>
      <explain>文本全半角错误。</explain>
      <paraID>37C4DC83</paraID>
      <start>39</start>
      <end>40</end>
      <status>unmodified</status>
      <modifiedWord/>
      <trackRevisions>false</trackRevisions>
    </reviewItem>
    <reviewItem>
      <errorID>185b61c8-8f00-4c7c-bf82-95f78f0d0f4e</errorID>
      <errorWord>资源的</errorWord>
      <group>L1_Word</group>
      <groupName>字词问题</groupName>
      <ability>L2_Typo</ability>
      <abilityName>字词错误</abilityName>
      <candidateList>
        <item>资源</item>
      </candidateList>
      <explain/>
      <paraID>57C39C28</paraID>
      <start>10</start>
      <end>13</end>
      <status>unmodified</status>
      <modifiedWord/>
      <trackRevisions>false</trackRevisions>
    </reviewItem>
    <reviewItem>
      <errorID>67026e9e-cb8e-4530-b4ae-d9c2c6db50a3</errorID>
      <errorWord>,</errorWord>
      <group>L1_Format</group>
      <groupName>格式问题</groupName>
      <ability>L2_HalfPunc_CN</ability>
      <abilityName>全半角问题</abilityName>
      <candidateList>
        <item>，</item>
      </candidateList>
      <explain>文本全半角错误。</explain>
      <paraID>123BF7B6</paraID>
      <start>572</start>
      <end>573</end>
      <status>unmodified</status>
      <modifiedWord/>
      <trackRevisions>false</trackRevisions>
    </reviewItem>
    <reviewItem>
      <errorID>2c2412bf-7a7e-476b-9c67-55606fdbf933</errorID>
      <errorWord>,</errorWord>
      <group>L1_Format</group>
      <groupName>格式问题</groupName>
      <ability>L2_HalfPunc_CN</ability>
      <abilityName>全半角问题</abilityName>
      <candidateList>
        <item>，</item>
      </candidateList>
      <explain>文本全半角错误。</explain>
      <paraID>123BF7B6</paraID>
      <start>585</start>
      <end>586</end>
      <status>unmodified</status>
      <modifiedWord/>
      <trackRevisions>false</trackRevisions>
    </reviewItem>
    <reviewItem>
      <errorID>b4a7bc67-4b48-4db2-b416-870c91f05035</errorID>
      <errorWord>,</errorWord>
      <group>L1_Format</group>
      <groupName>格式问题</groupName>
      <ability>L2_HalfPunc_CN</ability>
      <abilityName>全半角问题</abilityName>
      <candidateList>
        <item>，</item>
      </candidateList>
      <explain>文本全半角错误。</explain>
      <paraID>493A9D72</paraID>
      <start>11</start>
      <end>12</end>
      <status>unmodified</status>
      <modifiedWord/>
      <trackRevisions>false</trackRevisions>
    </reviewItem>
    <reviewItem>
      <errorID>0ae84bca-0148-4aa0-96d2-42159fa101af</errorID>
      <errorWord>,</errorWord>
      <group>L1_Format</group>
      <groupName>格式问题</groupName>
      <ability>L2_HalfPunc_CN</ability>
      <abilityName>全半角问题</abilityName>
      <candidateList>
        <item>，</item>
      </candidateList>
      <explain>文本全半角错误。</explain>
      <paraID>77CCE169</paraID>
      <start>101</start>
      <end>102</end>
      <status>unmodified</status>
      <modifiedWord/>
      <trackRevisions>false</trackRevisions>
    </reviewItem>
    <reviewItem>
      <errorID>a49449cf-1ae1-4431-8cbc-205a15412ce9</errorID>
      <errorWord>,</errorWord>
      <group>L1_Format</group>
      <groupName>格式问题</groupName>
      <ability>L2_HalfPunc_CN</ability>
      <abilityName>全半角问题</abilityName>
      <candidateList>
        <item>，</item>
      </candidateList>
      <explain>文本全半角错误。</explain>
      <paraID>77CCE169</paraID>
      <start>331</start>
      <end>332</end>
      <status>unmodified</status>
      <modifiedWord/>
      <trackRevisions>false</trackRevisions>
    </reviewItem>
    <reviewItem>
      <errorID>3e7da5ca-bd08-4d53-8616-ad609f562668</errorID>
      <errorWord>)</errorWord>
      <group>L1_Format</group>
      <groupName>格式问题</groupName>
      <ability>L2_HalfPunc_CN</ability>
      <abilityName>全半角问题</abilityName>
      <candidateList>
        <item>）</item>
      </candidateList>
      <explain>文本全半角错误。</explain>
      <paraID>77CCE169</paraID>
      <start>573</start>
      <end>574</end>
      <status>unmodified</status>
      <modifiedWord/>
      <trackRevisions>false</trackRevisions>
    </reviewItem>
    <reviewItem>
      <errorID>ceb5f86b-4e26-42da-83ed-574d2b36b1f8</errorID>
      <errorWord>的</errorWord>
      <group>L1_Word</group>
      <groupName>字词问题</groupName>
      <ability>L2_DDD</ability>
      <abilityName>的地得用法</abilityName>
      <candidateList>
        <item>地</item>
      </candidateList>
      <explain/>
      <paraID>6BAA9AA4</paraID>
      <start>47</start>
      <end>48</end>
      <status>unmodified</status>
      <modifiedWord/>
      <trackRevisions>false</trackRevisions>
    </reviewItem>
    <reviewItem>
      <errorID>c6e2b0a4-37bb-42c3-adb4-3752b8cce071</errorID>
      <errorWord>.</errorWord>
      <group>L1_Format</group>
      <groupName>格式问题</groupName>
      <ability>L2_HalfPunc_CN</ability>
      <abilityName>全半角问题</abilityName>
      <candidateList>
        <item>。</item>
      </candidateList>
      <explain>文本全半角错误。</explain>
      <paraID>6BAA9AA4</paraID>
      <start>183</start>
      <end>184</end>
      <status>unmodified</status>
      <modifiedWord/>
      <trackRevisions>false</trackRevisions>
    </reviewItem>
    <reviewItem>
      <errorID>568a5743-bda1-484a-bced-9da453c72e4d</errorID>
      <errorWord>)</errorWord>
      <group>L1_Format</group>
      <groupName>格式问题</groupName>
      <ability>L2_HalfPunc_CN</ability>
      <abilityName>全半角问题</abilityName>
      <candidateList>
        <item>）</item>
      </candidateList>
      <explain>文本全半角错误。</explain>
      <paraID>6BAA9AA4</paraID>
      <start>211</start>
      <end>212</end>
      <status>unmodified</status>
      <modifiedWord/>
      <trackRevisions>false</trackRevisions>
    </reviewItem>
    <reviewItem>
      <errorID>0d16196b-a5d8-413c-bd7a-a563e89fdd05</errorID>
      <errorWord>(</errorWord>
      <group>L1_Format</group>
      <groupName>格式问题</groupName>
      <ability>L2_HalfPunc_CN</ability>
      <abilityName>全半角问题</abilityName>
      <candidateList>
        <item>（</item>
      </candidateList>
      <explain>文本全半角错误。</explain>
      <paraID>6BAA9AA4</paraID>
      <start>357</start>
      <end>358</end>
      <status>unmodified</status>
      <modifiedWord/>
      <trackRevisions>false</trackRevisions>
    </reviewItem>
    <reviewItem>
      <errorID>a6aaa6f7-9d85-4f9a-b9d4-e42dc546d4d5</errorID>
      <errorWord>)</errorWord>
      <group>L1_Format</group>
      <groupName>格式问题</groupName>
      <ability>L2_HalfPunc_CN</ability>
      <abilityName>全半角问题</abilityName>
      <candidateList>
        <item>）</item>
      </candidateList>
      <explain>文本全半角错误。</explain>
      <paraID>6BAA9AA4</paraID>
      <start>360</start>
      <end>361</end>
      <status>unmodified</status>
      <modifiedWord/>
      <trackRevisions>false</trackRevisions>
    </reviewItem>
    <reviewItem>
      <errorID>325a2952-05e9-496b-a911-2c72f7adcbab</errorID>
      <errorWord>(</errorWord>
      <group>L1_Format</group>
      <groupName>格式问题</groupName>
      <ability>L2_HalfPunc_CN</ability>
      <abilityName>全半角问题</abilityName>
      <candidateList>
        <item>（</item>
      </candidateList>
      <explain>文本全半角错误。</explain>
      <paraID>17D0118C</paraID>
      <start>349</start>
      <end>350</end>
      <status>unmodified</status>
      <modifiedWord/>
      <trackRevisions>false</trackRevisions>
    </reviewItem>
    <reviewItem>
      <errorID>f4cb87fe-1400-4f43-8c08-24489abfaa44</errorID>
      <errorWord>)</errorWord>
      <group>L1_Format</group>
      <groupName>格式问题</groupName>
      <ability>L2_HalfPunc_CN</ability>
      <abilityName>全半角问题</abilityName>
      <candidateList>
        <item>）</item>
      </candidateList>
      <explain>文本全半角错误。</explain>
      <paraID>17D0118C</paraID>
      <start>353</start>
      <end>354</end>
      <status>unmodified</status>
      <modifiedWord/>
      <trackRevisions>false</trackRevisions>
    </reviewItem>
    <reviewItem>
      <errorID>959786ca-6287-4d96-848e-25c11723c4b2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65E7086B</paraID>
      <start>31</start>
      <end>32</end>
      <status>unmodified</status>
      <modifiedWord/>
      <trackRevisions>false</trackRevisions>
    </reviewItem>
    <reviewItem>
      <errorID>90a6261a-ff19-4199-b092-cabce1a1afbd</errorID>
      <errorWord>方</errorWord>
      <group>L1_Word</group>
      <groupName>字词问题</groupName>
      <ability>L2_Typo</ability>
      <abilityName>字词错误</abilityName>
      <candidateList>
        <item>方米</item>
      </candidateList>
      <explain/>
      <paraID>43F67439</paraID>
      <start>7</start>
      <end>8</end>
      <status>unmodified</status>
      <modifiedWord/>
      <trackRevisions>false</trackRevisions>
    </reviewItem>
    <reviewItem>
      <errorID>8b792fa5-5df6-4cfc-9e11-d531d4b3a343</errorID>
      <errorWord>国标标准</errorWord>
      <group>L1_Knowledge</group>
      <groupName>知识性问题</groupName>
      <ability>L2_Knowledge</ability>
      <abilityName>其他知识</abilityName>
      <candidateList>
        <item>国家标准</item>
      </candidateList>
      <explain/>
      <paraID>11553A71</paraID>
      <start>14</start>
      <end>18</end>
      <status>unmodified</status>
      <modifiedWord/>
      <trackRevisions>false</trackRevisions>
    </reviewItem>
    <reviewItem>
      <errorID>7a2041de-2131-4c07-a0f2-259eeeb9bc03</errorID>
      <errorWord>噪音</errorWord>
      <group>L1_Word</group>
      <groupName>字词问题</groupName>
      <ability>L2_Alias</ability>
      <abilityName>也作/曾用词</abilityName>
      <candidateList>
        <item>噪声</item>
      </candidateList>
      <explain>词汇[噪音]为不规范表述或旧称，其规范书面表述为[噪声]。</explain>
      <paraID>4AB24F22</paraID>
      <start>524</start>
      <end>526</end>
      <status>unmodified</status>
      <modifiedWord/>
      <trackRevisions>false</trackRevisions>
    </reviewItem>
    <reviewItem>
      <errorID>c687c8f5-b6f5-46e6-bc67-3b310e97bae7</errorID>
      <errorWord>点解</errorWord>
      <group>L1_Word</group>
      <groupName>字词问题</groupName>
      <ability>L2_Typo</ability>
      <abilityName>字词错误</abilityName>
      <candidateList>
        <item>电解</item>
      </candidateList>
      <explain>存在发音相同字词的误用。</explain>
      <paraID>6D518607</paraID>
      <start>62</start>
      <end>64</end>
      <status>unmodified</status>
      <modifiedWord/>
      <trackRevisions>false</trackRevisions>
    </reviewItem>
    <reviewItem>
      <errorID>bb65ff6f-96d9-4a83-906c-38ee1c1c9d99</errorID>
      <errorWord>、或</errorWord>
      <group>L1_Word</group>
      <groupName>字词问题</groupName>
      <ability>L2_Typo</ability>
      <abilityName>字词错误</abilityName>
      <candidateList>
        <item>或</item>
      </candidateList>
      <explain/>
      <paraID>58EBFF40</paraID>
      <start>22</start>
      <end>24</end>
      <status>unmodified</status>
      <modifiedWord/>
      <trackRevisions>false</trackRevisions>
    </reviewItem>
    <reviewItem>
      <errorID>848639af-032d-4362-abc4-4acb217cbf64</errorID>
      <errorWord>、或</errorWord>
      <group>L1_Word</group>
      <groupName>字词问题</groupName>
      <ability>L2_Typo</ability>
      <abilityName>字词错误</abilityName>
      <candidateList>
        <item>或</item>
      </candidateList>
      <explain/>
      <paraID>58EBFF40</paraID>
      <start>82</start>
      <end>84</end>
      <status>unmodified</status>
      <modifiedWord/>
      <trackRevisions>false</trackRevisions>
    </reviewItem>
    <reviewItem>
      <errorID>80093c85-1262-41ac-b36e-3232f3ccc625</errorID>
      <errorWord>-</errorWord>
      <group>L1_Format</group>
      <groupName>格式问题</groupName>
      <ability>L2_HalfPunc_CN</ability>
      <abilityName>全半角问题</abilityName>
      <candidateList>
        <item>－</item>
      </candidateList>
      <explain>文本全半角错误。</explain>
      <paraID>58BE54EC</paraID>
      <start>14</start>
      <end>15</end>
      <status>unmodified</status>
      <modifiedWord/>
      <trackRevisions>false</trackRevisions>
    </reviewItem>
    <reviewItem>
      <errorID>16f5204f-8794-486e-871c-796be9b65edc</errorID>
      <errorWord>震荡电路</errorWord>
      <group>L1_Word</group>
      <groupName>字词问题</groupName>
      <ability>L2_Alias</ability>
      <abilityName>也作/曾用词</abilityName>
      <candidateList>
        <item>振荡电路</item>
      </candidateList>
      <explain>词汇[震荡电路]为不规范表述或旧称，其规范书面表述为[振荡电路]。</explain>
      <paraID>6CB148BA</paraID>
      <start>85</start>
      <end>89</end>
      <status>unmodified</status>
      <modifiedWord/>
      <trackRevisions>false</trackRevisions>
    </reviewItem>
    <reviewItem>
      <errorID>e36971a8-9c57-4aff-aedf-bcc5b5555fb6</errorID>
      <errorWord>、或</errorWord>
      <group>L1_Word</group>
      <groupName>字词问题</groupName>
      <ability>L2_Typo</ability>
      <abilityName>字词错误</abilityName>
      <candidateList>
        <item>或</item>
      </candidateList>
      <explain/>
      <paraID>45D07486</paraID>
      <start>48</start>
      <end>50</end>
      <status>unmodified</status>
      <modifiedWord/>
      <trackRevisions>false</trackRevisions>
    </reviewItem>
    <reviewItem>
      <errorID>c361f102-ed6d-4903-b8e0-844ca6258255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21F23A73</paraID>
      <start>116</start>
      <end>117</end>
      <status>unmodified</status>
      <modifiedWord/>
      <trackRevisions>false</trackRevisions>
    </reviewItem>
    <reviewItem>
      <errorID>6792dd9e-669d-4867-9e91-23ba2e8e5685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21F23A73</paraID>
      <start>135</start>
      <end>136</end>
      <status>unmodified</status>
      <modifiedWord/>
      <trackRevisions>false</trackRevisions>
    </reviewItem>
    <reviewItem>
      <errorID>927948d3-d7e1-4700-9a01-7b7978e16bbc</errorID>
      <errorWord>~</errorWord>
      <group>L1_Format</group>
      <groupName>格式问题</groupName>
      <ability>L2_HalfPunc_CN</ability>
      <abilityName>全半角问题</abilityName>
      <candidateList>
        <item>～</item>
      </candidateList>
      <explain>文本全半角错误。</explain>
      <paraID>21F23A73</paraID>
      <start>154</start>
      <end>155</end>
      <status>unmodified</status>
      <modifiedWord/>
      <trackRevisions>false</trackRevisions>
    </reviewItem>
    <reviewItem>
      <errorID>a5b4bd84-c4a7-486f-bac1-651a5f9bbfc0</errorID>
      <errorWord>~</errorWord>
      <group>L1_Format</group>
      <groupName>格式问题</groupName>
      <ability>L2_HalfPunc_CN</ability>
      <abilityName>全半角问题</abilityName>
      <candidateList>
        <item>～</item>
      </candidateList>
      <explain>文本全半角错误。</explain>
      <paraID>211EDE8D</paraID>
      <start>106</start>
      <end>107</end>
      <status>unmodified</status>
      <modifiedWord/>
      <trackRevisions>false</trackRevisions>
    </reviewItem>
    <reviewItem>
      <errorID>045f33e4-995f-487b-b90e-47ae8d4e80ab</errorID>
      <errorWord>~</errorWord>
      <group>L1_Format</group>
      <groupName>格式问题</groupName>
      <ability>L2_HalfPunc_CN</ability>
      <abilityName>全半角问题</abilityName>
      <candidateList>
        <item>～</item>
      </candidateList>
      <explain>文本全半角错误。</explain>
      <paraID>526C8301</paraID>
      <start>90</start>
      <end>91</end>
      <status>unmodified</status>
      <modifiedWord/>
      <trackRevisions>false</trackRevisions>
    </reviewItem>
    <reviewItem>
      <errorID>cf8f863b-2012-49f8-8f3c-bf980088af21</errorID>
      <errorWord>,</errorWord>
      <group>L1_Format</group>
      <groupName>格式问题</groupName>
      <ability>L2_HalfPunc_CN</ability>
      <abilityName>全半角问题</abilityName>
      <candidateList>
        <item>，</item>
      </candidateList>
      <explain>文本全半角错误。</explain>
      <paraID>526C8301</paraID>
      <start>95</start>
      <end>96</end>
      <status>unmodified</status>
      <modifiedWord/>
      <trackRevisions>false</trackRevisions>
    </reviewItem>
    <reviewItem>
      <errorID>725cc43a-632d-47a9-87cc-79c2eb67586b</errorID>
      <errorWord>对其</errorWord>
      <group>L1_Word</group>
      <groupName>字词问题</groupName>
      <ability>L2_Typo</ability>
      <abilityName>字词错误</abilityName>
      <candidateList>
        <item>对齐</item>
      </candidateList>
      <explain>存在发音相同字词的误用。</explain>
      <paraID> 868E69B</paraID>
      <start>128</start>
      <end>130</end>
      <status>unmodified</status>
      <modifiedWord/>
      <trackRevisions>false</trackRevisions>
    </reviewItem>
    <reviewItem>
      <errorID>74c4a568-ca7e-4517-a718-0b5c887d673d</errorID>
      <errorWord>,</errorWord>
      <group>L1_Format</group>
      <groupName>格式问题</groupName>
      <ability>L2_HalfPunc_CN</ability>
      <abilityName>全半角问题</abilityName>
      <candidateList>
        <item>，</item>
      </candidateList>
      <explain>文本全半角错误。</explain>
      <paraID>5ADFC59A</paraID>
      <start>59</start>
      <end>60</end>
      <status>unmodified</status>
      <modifiedWord/>
      <trackRevisions>false</trackRevisions>
    </reviewItem>
    <reviewItem>
      <errorID>8856d064-0bc2-4648-8124-853410dd0510</errorID>
      <errorWord>,</errorWord>
      <group>L1_Format</group>
      <groupName>格式问题</groupName>
      <ability>L2_HalfPunc_CN</ability>
      <abilityName>全半角问题</abilityName>
      <candidateList>
        <item>，</item>
      </candidateList>
      <explain>文本全半角错误。</explain>
      <paraID>5ADFC59A</paraID>
      <start>120</start>
      <end>121</end>
      <status>unmodified</status>
      <modifiedWord/>
      <trackRevisions>false</trackRevisions>
    </reviewItem>
    <reviewItem>
      <errorID>c4edf901-284a-4c34-a98d-767c9de7d68b</errorID>
      <errorWord>,</errorWord>
      <group>L1_Format</group>
      <groupName>格式问题</groupName>
      <ability>L2_HalfPunc_CN</ability>
      <abilityName>全半角问题</abilityName>
      <candidateList>
        <item>，</item>
      </candidateList>
      <explain>文本全半角错误。</explain>
      <paraID>5ADFC59A</paraID>
      <start>137</start>
      <end>138</end>
      <status>unmodified</status>
      <modifiedWord/>
      <trackRevisions>false</trackRevisions>
    </reviewItem>
    <reviewItem>
      <errorID>6bd0de23-440e-4ec3-947c-72eb6b0a05aa</errorID>
      <errorWord>,</errorWord>
      <group>L1_Format</group>
      <groupName>格式问题</groupName>
      <ability>L2_HalfPunc_CN</ability>
      <abilityName>全半角问题</abilityName>
      <candidateList>
        <item>，</item>
      </candidateList>
      <explain>文本全半角错误。</explain>
      <paraID>5ADFC59A</paraID>
      <start>151</start>
      <end>152</end>
      <status>unmodified</status>
      <modifiedWord/>
      <trackRevisions>false</trackRevisions>
    </reviewItem>
    <reviewItem>
      <errorID>063ae14d-5fdb-4953-b047-e0d75fb99565</errorID>
      <errorWord>,</errorWord>
      <group>L1_Format</group>
      <groupName>格式问题</groupName>
      <ability>L2_HalfPunc_CN</ability>
      <abilityName>全半角问题</abilityName>
      <candidateList>
        <item>，</item>
      </candidateList>
      <explain>文本全半角错误。</explain>
      <paraID>5ADFC59A</paraID>
      <start>180</start>
      <end>181</end>
      <status>unmodified</status>
      <modifiedWord/>
      <trackRevisions>false</trackRevisions>
    </reviewItem>
    <reviewItem>
      <errorID>adf0b1b3-ae0a-47ed-81b1-4720f7563c6f</errorID>
      <errorWord>,</errorWord>
      <group>L1_Format</group>
      <groupName>格式问题</groupName>
      <ability>L2_HalfPunc_CN</ability>
      <abilityName>全半角问题</abilityName>
      <candidateList>
        <item>，</item>
      </candidateList>
      <explain>文本全半角错误。</explain>
      <paraID>5ADFC59A</paraID>
      <start>460</start>
      <end>461</end>
      <status>unmodified</status>
      <modifiedWord/>
      <trackRevisions>false</trackRevisions>
    </reviewItem>
    <reviewItem>
      <errorID>b54c5bac-3487-44cb-9b32-2f80fe515be2</errorID>
      <errorWord>,</errorWord>
      <group>L1_Format</group>
      <groupName>格式问题</groupName>
      <ability>L2_HalfPunc_CN</ability>
      <abilityName>全半角问题</abilityName>
      <candidateList>
        <item>，</item>
      </candidateList>
      <explain>文本全半角错误。</explain>
      <paraID>5ADFC59A</paraID>
      <start>580</start>
      <end>581</end>
      <status>unmodified</status>
      <modifiedWord/>
      <trackRevisions>false</trackRevisions>
    </reviewItem>
    <reviewItem>
      <errorID>04c7336c-88e7-4679-9d4b-b5cb5dbace05</errorID>
      <errorWord>,</errorWord>
      <group>L1_Format</group>
      <groupName>格式问题</groupName>
      <ability>L2_HalfPunc_CN</ability>
      <abilityName>全半角问题</abilityName>
      <candidateList>
        <item>，</item>
      </candidateList>
      <explain>文本全半角错误。</explain>
      <paraID>5ADFC59A</paraID>
      <start>654</start>
      <end>655</end>
      <status>unmodified</status>
      <modifiedWord/>
      <trackRevisions>false</trackRevisions>
    </reviewItem>
    <reviewItem>
      <errorID>c17838a1-acab-4095-a842-77e072d3132b</errorID>
      <errorWord>(</errorWord>
      <group>L1_Format</group>
      <groupName>格式问题</groupName>
      <ability>L2_HalfPunc_CN</ability>
      <abilityName>全半角问题</abilityName>
      <candidateList>
        <item>（</item>
      </candidateList>
      <explain>文本全半角错误。</explain>
      <paraID>14C01F25</paraID>
      <start>149</start>
      <end>150</end>
      <status>unmodified</status>
      <modifiedWord/>
      <trackRevisions>false</trackRevisions>
    </reviewItem>
    <reviewItem>
      <errorID>ec296074-67ff-4714-9287-f8d15758fbc4</errorID>
      <errorWord>)</errorWord>
      <group>L1_Format</group>
      <groupName>格式问题</groupName>
      <ability>L2_HalfPunc_CN</ability>
      <abilityName>全半角问题</abilityName>
      <candidateList>
        <item>）</item>
      </candidateList>
      <explain>文本全半角错误。</explain>
      <paraID>14C01F25</paraID>
      <start>158</start>
      <end>159</end>
      <status>unmodified</status>
      <modifiedWord/>
      <trackRevisions>false</trackRevisions>
    </reviewItem>
    <reviewItem>
      <errorID>8b791719-7018-439e-bcdf-2406e731d750</errorID>
      <errorWord>二个</errorWord>
      <group>L1_Word</group>
      <groupName>字词问题</groupName>
      <ability>L2_Typo</ability>
      <abilityName>字词错误</abilityName>
      <candidateList>
        <item>两个</item>
      </candidateList>
      <explain/>
      <paraID>14C01F25</paraID>
      <start>274</start>
      <end>276</end>
      <status>unmodified</status>
      <modifiedWord/>
      <trackRevisions>false</trackRevisions>
    </reviewItem>
    <reviewItem>
      <errorID>c9005f29-2b1c-4524-831a-aa0e525ec3ef</errorID>
      <errorWord>WIFI</errorWord>
      <group>L1_Knowledge</group>
      <groupName>知识性问题</groupName>
      <ability>L2_Knowledge</ability>
      <abilityName>其他知识</abilityName>
      <candidateList>
        <item>Wi-Fi</item>
      </candidateList>
      <explain/>
      <paraID>32C69B67</paraID>
      <start>308</start>
      <end>312</end>
      <status>unmodified</status>
      <modifiedWord/>
      <trackRevisions>false</trackRevisions>
    </reviewItem>
    <reviewItem>
      <errorID>e63768cd-6328-41d1-8e24-82bbbd4fe4ad</errorID>
      <errorWord>(</errorWord>
      <group>L1_Format</group>
      <groupName>格式问题</groupName>
      <ability>L2_HalfPunc_CN</ability>
      <abilityName>全半角问题</abilityName>
      <candidateList>
        <item>（</item>
      </candidateList>
      <explain>文本全半角错误。</explain>
      <paraID>32C69B67</paraID>
      <start>612</start>
      <end>613</end>
      <status>unmodified</status>
      <modifiedWord/>
      <trackRevisions>false</trackRevisions>
    </reviewItem>
    <reviewItem>
      <errorID>fdf3fc5a-9dd3-4821-851b-0c33b6a96f7f</errorID>
      <errorWord>)</errorWord>
      <group>L1_Format</group>
      <groupName>格式问题</groupName>
      <ability>L2_HalfPunc_CN</ability>
      <abilityName>全半角问题</abilityName>
      <candidateList>
        <item>）</item>
      </candidateList>
      <explain>文本全半角错误。</explain>
      <paraID>32C69B67</paraID>
      <start>617</start>
      <end>618</end>
      <status>unmodified</status>
      <modifiedWord/>
      <trackRevisions>false</trackRevisions>
    </reviewItem>
    <reviewItem>
      <errorID>abbcd29f-b2bb-4adf-a00c-9eaecacf8983</errorID>
      <errorWord>~</errorWord>
      <group>L1_Format</group>
      <groupName>格式问题</groupName>
      <ability>L2_HalfPunc_CN</ability>
      <abilityName>全半角问题</abilityName>
      <candidateList>
        <item>～</item>
      </candidateList>
      <explain>文本全半角错误。</explain>
      <paraID>6B404891</paraID>
      <start>94</start>
      <end>95</end>
      <status>unmodified</status>
      <modifiedWord/>
      <trackRevisions>false</trackRevisions>
    </reviewItem>
    <reviewItem>
      <errorID>73de6adc-c8ed-4e55-8e4a-1cdeee551a81</errorID>
      <errorWord>-</errorWord>
      <group>L1_Format</group>
      <groupName>格式问题</groupName>
      <ability>L2_HalfPunc_CN</ability>
      <abilityName>全半角问题</abilityName>
      <candidateList>
        <item>－</item>
      </candidateList>
      <explain>文本全半角错误。</explain>
      <paraID>2A9F1302</paraID>
      <start>114</start>
      <end>115</end>
      <status>unmodified</status>
      <modifiedWord/>
      <trackRevisions>false</trackRevisions>
    </reviewItem>
    <reviewItem>
      <errorID>4d4caf1d-1351-4168-b3b7-7cc91ad93788</errorID>
      <errorWord>无刷电调无刷电调</errorWord>
      <group>L1_Word</group>
      <groupName>字词问题</groupName>
      <ability>L2_Typo</ability>
      <abilityName>字词错误</abilityName>
      <candidateList>
        <item>无刷电调</item>
      </candidateList>
      <explain/>
      <paraID>65425338</paraID>
      <start>24</start>
      <end>32</end>
      <status>unmodified</status>
      <modifiedWord/>
      <trackRevisions>false</trackRevisions>
    </reviewItem>
    <reviewItem>
      <errorID>421ad181-d9eb-48dc-8b7b-f551bc9f192a</errorID>
      <errorWord>:</errorWord>
      <group>L1_Format</group>
      <groupName>格式问题</groupName>
      <ability>L2_HalfPunc_CN</ability>
      <abilityName>全半角问题</abilityName>
      <candidateList>
        <item>：</item>
      </candidateList>
      <explain>文本全半角错误。</explain>
      <paraID>65425338</paraID>
      <start>47</start>
      <end>48</end>
      <status>unmodified</status>
      <modifiedWord/>
      <trackRevisions>false</trackRevisions>
    </reviewItem>
    <reviewItem>
      <errorID>2c9d2412-c48a-49ea-8227-019bc3122f27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65425338</paraID>
      <start>75</start>
      <end>76</end>
      <status>unmodified</status>
      <modifiedWord/>
      <trackRevisions>false</trackRevisions>
    </reviewItem>
    <reviewItem>
      <errorID>79c10078-59fc-4e61-8084-5ed028f57496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65425338</paraID>
      <start>251</start>
      <end>252</end>
      <status>unmodified</status>
      <modifiedWord/>
      <trackRevisions>false</trackRevisions>
    </reviewItem>
    <reviewItem>
      <errorID>5ac1b0b7-93f2-49f0-b8bc-f24415743b4f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65425338</paraID>
      <start>267</start>
      <end>268</end>
      <status>unmodified</status>
      <modifiedWord/>
      <trackRevisions>false</trackRevisions>
    </reviewItem>
    <reviewItem>
      <errorID>5616d86e-d4b7-4aa2-9ef1-289d021e8922</errorID>
      <errorWord>的和</errorWord>
      <group>L1_Word</group>
      <groupName>字词问题</groupName>
      <ability>L2_Typo</ability>
      <abilityName>字词错误</abilityName>
      <candidateList>
        <item>的</item>
      </candidateList>
      <explain/>
      <paraID>6FB13AD6</paraID>
      <start>57</start>
      <end>59</end>
      <status>unmodified</status>
      <modifiedWord/>
      <trackRevisions>false</trackRevisions>
    </reviewItem>
    <reviewItem>
      <errorID>8e11fdfc-8cb6-4db5-9e5a-c66ac459ca58</errorID>
      <errorWord>(</errorWord>
      <group>L1_Format</group>
      <groupName>格式问题</groupName>
      <ability>L2_HalfPunc_CN</ability>
      <abilityName>全半角问题</abilityName>
      <candidateList>
        <item>（</item>
      </candidateList>
      <explain>文本全半角错误。</explain>
      <paraID> 9FD87B6</paraID>
      <start>22</start>
      <end>23</end>
      <status>unmodified</status>
      <modifiedWord/>
      <trackRevisions>false</trackRevisions>
    </reviewItem>
    <reviewItem>
      <errorID>3ad318f4-1831-4d58-a747-4fde055e31d7</errorID>
      <errorWord>)</errorWord>
      <group>L1_Format</group>
      <groupName>格式问题</groupName>
      <ability>L2_HalfPunc_CN</ability>
      <abilityName>全半角问题</abilityName>
      <candidateList>
        <item>）</item>
      </candidateList>
      <explain>文本全半角错误。</explain>
      <paraID> 9FD87B6</paraID>
      <start>31</start>
      <end>32</end>
      <status>unmodified</status>
      <modifiedWord/>
      <trackRevisions>false</trackRevisions>
    </reviewItem>
    <reviewItem>
      <errorID>7493c2c5-1abd-457b-bbf4-9a86eef33f28</errorID>
      <errorWord>（</errorWord>
      <group>L1_Format</group>
      <groupName>格式问题</groupName>
      <ability>L2_HalfPunc_CN</ability>
      <abilityName>全半角问题</abilityName>
      <candidateList>
        <item>(</item>
      </candidateList>
      <explain>文本全半角错误。</explain>
      <paraID>6489D06B</paraID>
      <start>0</start>
      <end>1</end>
      <status>unmodified</status>
      <modifiedWord/>
      <trackRevisions>false</trackRevisions>
    </reviewItem>
    <reviewItem>
      <errorID>3b97ca5c-4e8a-4e69-85de-fdaa77e31a23</errorID>
      <errorWord>）</errorWord>
      <group>L1_Format</group>
      <groupName>格式问题</groupName>
      <ability>L2_HalfPunc_CN</ability>
      <abilityName>全半角问题</abilityName>
      <candidateList>
        <item>)</item>
      </candidateList>
      <explain>文本全半角错误。</explain>
      <paraID>6489D06B</paraID>
      <start>8</start>
      <end>9</end>
      <status>unmodified</status>
      <modifiedWord/>
      <trackRevisions>false</trackRevisions>
    </reviewItem>
    <reviewItem>
      <errorID>b7236144-0c75-4478-8f6e-486a7188f7ec</errorID>
      <errorWord>[2011]300号</errorWord>
      <group>L1_Knowledge</group>
      <groupName>知识性问题</groupName>
      <ability>L2_Knowledge</ability>
      <abilityName>其他知识</abilityName>
      <candidateList>
        <item>〔2011〕300号</item>
      </candidateList>
      <explain>发文字号格式错误。</explain>
      <paraID>4D5D6245</paraID>
      <start>32</start>
      <end>42</end>
      <status>unmodified</status>
      <modifiedWord/>
      <trackRevisions>false</trackRevisions>
    </reviewItem>
    <reviewItem>
      <errorID>33f71b58-1d9f-4afc-ab76-6daa218ea63b</errorID>
      <errorWord>须</errorWord>
      <group>L1_Word</group>
      <groupName>字词问题</groupName>
      <ability>L2_Typo</ability>
      <abilityName>字词错误</abilityName>
      <candidateList>
        <item>需</item>
      </candidateList>
      <explain>存在发音相同字词的误用。</explain>
      <paraID>4D5D6245</paraID>
      <start>79</start>
      <end>80</end>
      <status>unmodified</status>
      <modifiedWord/>
      <trackRevisions>false</trackRevisions>
    </reviewItem>
    <reviewItem>
      <errorID>b8faf456-c24d-4b92-869d-2bf48693208e</errorID>
      <errorWord>(</errorWord>
      <group>L1_Format</group>
      <groupName>格式问题</groupName>
      <ability>L2_HalfPunc_CN</ability>
      <abilityName>全半角问题</abilityName>
      <candidateList>
        <item>（</item>
      </candidateList>
      <explain>文本全半角错误。</explain>
      <paraID> 230B1DC</paraID>
      <start>82</start>
      <end>83</end>
      <status>unmodified</status>
      <modifiedWord/>
      <trackRevisions>false</trackRevisions>
    </reviewItem>
    <reviewItem>
      <errorID>78ad42f8-fd9a-4878-b46c-7a555dbbcc01</errorID>
      <errorWord>)</errorWord>
      <group>L1_Format</group>
      <groupName>格式问题</groupName>
      <ability>L2_HalfPunc_CN</ability>
      <abilityName>全半角问题</abilityName>
      <candidateList>
        <item>）</item>
      </candidateList>
      <explain>文本全半角错误。</explain>
      <paraID> 230B1DC</paraID>
      <start>105</start>
      <end>106</end>
      <status>unmodified</status>
      <modifiedWord/>
      <trackRevisions>false</trackRevisions>
    </reviewItem>
    <reviewItem>
      <errorID>5dc6251b-9392-4ba4-96da-7c236e36427b</errorID>
      <errorWord>(</errorWord>
      <group>L1_Format</group>
      <groupName>格式问题</groupName>
      <ability>L2_HalfPunc_CN</ability>
      <abilityName>全半角问题</abilityName>
      <candidateList>
        <item>（</item>
      </candidateList>
      <explain>文本全半角错误。</explain>
      <paraID> 230B1DC</paraID>
      <start>115</start>
      <end>116</end>
      <status>unmodified</status>
      <modifiedWord/>
      <trackRevisions>false</trackRevisions>
    </reviewItem>
    <reviewItem>
      <errorID>fc772fcb-601e-4b54-94c8-f429e3d9c0ff</errorID>
      <errorWord>)</errorWord>
      <group>L1_Format</group>
      <groupName>格式问题</groupName>
      <ability>L2_HalfPunc_CN</ability>
      <abilityName>全半角问题</abilityName>
      <candidateList>
        <item>）</item>
      </candidateList>
      <explain>文本全半角错误。</explain>
      <paraID> 230B1DC</paraID>
      <start>131</start>
      <end>132</end>
      <status>unmodified</status>
      <modifiedWord/>
      <trackRevisions>false</trackRevisions>
    </reviewItem>
    <reviewItem>
      <errorID>49095a34-c99e-43b6-b8d3-9cbd01dd3350</errorID>
      <errorWord>相应</errorWord>
      <group>L1_Word</group>
      <groupName>字词问题</groupName>
      <ability>L2_Typo</ability>
      <abilityName>字词错误</abilityName>
      <candidateList>
        <item>响应</item>
      </candidateList>
      <explain/>
      <paraID>134587C5</paraID>
      <start>19</start>
      <end>21</end>
      <status>unmodified</status>
      <modifiedWord/>
      <trackRevisions>false</trackRevisions>
    </reviewItem>
    <reviewItem>
      <errorID>8a1652fe-a4ed-469e-91c7-0126ea099463</errorID>
      <errorWord>-</errorWord>
      <group>L1_Format</group>
      <groupName>格式问题</groupName>
      <ability>L2_HalfPunc_CN</ability>
      <abilityName>全半角问题</abilityName>
      <candidateList>
        <item>－</item>
      </candidateList>
      <explain>文本全半角错误。</explain>
      <paraID>4A7488BF</paraID>
      <start>20</start>
      <end>21</end>
      <status>unmodified</status>
      <modifiedWord/>
      <trackRevisions>false</trackRevisions>
    </reviewItem>
    <reviewItem>
      <errorID>7c0dba3d-3420-4630-acf8-c0f2f027ddbd</errorID>
      <errorWord>法律、法规</errorWord>
      <group>L1_Word</group>
      <groupName>字词问题</groupName>
      <ability>L2_Typo</ability>
      <abilityName>字词错误</abilityName>
      <candidateList>
        <item>法律法规</item>
      </candidateList>
      <explain/>
      <paraID>251C5290</paraID>
      <start>3</start>
      <end>8</end>
      <status>unmodified</status>
      <modifiedWord/>
      <trackRevisions>false</trackRevisions>
    </reviewItem>
    <reviewItem>
      <errorID>93b43056-9c81-4394-a6a0-9e959c130734</errorID>
      <errorWord>，</errorWord>
      <group>L1_Word</group>
      <groupName>字词问题</groupName>
      <ability>L2_Typo</ability>
      <abilityName>字词错误</abilityName>
      <candidateList>
        <item>，在</item>
      </candidateList>
      <explain/>
      <paraID>5F64136D</paraID>
      <start>20</start>
      <end>21</end>
      <status>unmodified</status>
      <modifiedWord/>
      <trackRevisions>false</trackRevisions>
    </reviewItem>
    <reviewItem>
      <errorID>056f38fd-2df6-4a1c-ac04-775553c6e178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97B27C7</paraID>
      <start>0</start>
      <end>2</end>
      <status>unmodified</status>
      <modifiedWord/>
      <trackRevisions>false</trackRevisions>
    </reviewItem>
    <reviewItem>
      <errorID>f4fa7718-ce8e-4f82-a27d-a3db8e9c2a88</errorID>
      <errorWord>，</errorWord>
      <group>L1_Word</group>
      <groupName>字词问题</groupName>
      <ability>L2_Typo</ability>
      <abilityName>字词错误</abilityName>
      <candidateList>
        <item>，并</item>
      </candidateList>
      <explain/>
      <paraID>50D24D06</paraID>
      <start>65</start>
      <end>66</end>
      <status>unmodified</status>
      <modifiedWord/>
      <trackRevisions>false</trackRevisions>
    </reviewItem>
    <reviewItem>
      <errorID>aba6046c-b311-426a-88c5-b148ee2b9ec3</errorID>
      <errorWord>,</errorWord>
      <group>L1_Format</group>
      <groupName>格式问题</groupName>
      <ability>L2_HalfPunc_CN</ability>
      <abilityName>全半角问题</abilityName>
      <candidateList>
        <item>，</item>
      </candidateList>
      <explain>文本全半角错误。</explain>
      <paraID>383A58A3</paraID>
      <start>117</start>
      <end>118</end>
      <status>unmodified</status>
      <modifiedWord/>
      <trackRevisions>false</trackRevisions>
    </reviewItem>
    <reviewItem>
      <errorID>ab732d3b-a142-458c-8e21-6f2e46bda07d</errorID>
      <errorWord>股东大会</errorWord>
      <group>L1_Knowledge</group>
      <groupName>知识性问题</groupName>
      <ability>L2_Knowledge</ability>
      <abilityName>其他知识</abilityName>
      <candidateList>
        <item>股东会</item>
      </candidateList>
      <explain/>
      <paraID>100FD083</paraID>
      <start>113</start>
      <end>117</end>
      <status>unmodified</status>
      <modifiedWord/>
      <trackRevisions>false</trackRevisions>
    </reviewItem>
    <reviewItem>
      <errorID>a947cd4f-af90-4d8d-a98e-0aa6f6a4f25c</errorID>
      <errorWord>者</errorWord>
      <group>L1_Word</group>
      <groupName>字词问题</groupName>
      <ability>L2_Typo</ability>
      <abilityName>字词错误</abilityName>
      <candidateList>
        <item>者加</item>
      </candidateList>
      <explain/>
      <paraID> 7BBE1AA</paraID>
      <start>29</start>
      <end>30</end>
      <status>unmodified</status>
      <modifiedWord/>
      <trackRevisions>false</trackRevisions>
    </reviewItem>
    <reviewItem>
      <errorID>0cc44ec4-ca89-47c2-8910-93cad9911e2f</errorID>
      <errorWord>位</errorWord>
      <group>L1_Word</group>
      <groupName>字词问题</groupName>
      <ability>L2_Typo</ability>
      <abilityName>字词错误</abilityName>
      <candidateList>
        <item>位公</item>
      </candidateList>
      <explain/>
      <paraID> 7BBE1AA</paraID>
      <start>32</start>
      <end>33</end>
      <status>unmodified</status>
      <modifiedWord/>
      <trackRevisions>false</trackRevisions>
    </reviewItem>
    <reviewItem>
      <errorID>8eba518a-9cd6-478e-b133-f4d4c105f404</errorID>
      <errorWord>,</errorWord>
      <group>L1_Format</group>
      <groupName>格式问题</groupName>
      <ability>L2_HalfPunc_CN</ability>
      <abilityName>全半角问题</abilityName>
      <candidateList>
        <item>，</item>
      </candidateList>
      <explain>文本全半角错误。</explain>
      <paraID>2765EC45</paraID>
      <start>26</start>
      <end>27</end>
      <status>unmodified</status>
      <modifiedWord/>
      <trackRevisions>false</trackRevisions>
    </reviewItem>
    <reviewItem>
      <errorID>73d2ba78-da5e-40ad-b381-19af29b7e856</errorID>
      <errorWord>,</errorWord>
      <group>L1_Format</group>
      <groupName>格式问题</groupName>
      <ability>L2_HalfPunc_CN</ability>
      <abilityName>全半角问题</abilityName>
      <candidateList>
        <item>，</item>
      </candidateList>
      <explain>文本全半角错误。</explain>
      <paraID>2765EC45</paraID>
      <start>55</start>
      <end>56</end>
      <status>unmodified</status>
      <modifiedWord/>
      <trackRevisions>false</trackRevisions>
    </reviewItem>
    <reviewItem>
      <errorID>62e36a5c-03bd-45d9-8681-c98fcb3b8a61</errorID>
      <errorWord>,</errorWord>
      <group>L1_Format</group>
      <groupName>格式问题</groupName>
      <ability>L2_HalfPunc_CN</ability>
      <abilityName>全半角问题</abilityName>
      <candidateList>
        <item>，</item>
      </candidateList>
      <explain>文本全半角错误。</explain>
      <paraID>2765EC45</paraID>
      <start>72</start>
      <end>73</end>
      <status>unmodified</status>
      <modifiedWord/>
      <trackRevisions>false</trackRevisions>
    </reviewItem>
    <reviewItem>
      <errorID>32a2eaaa-e0cd-43bd-a8fd-49a387260d12</errorID>
      <errorWord>:</errorWord>
      <group>L1_Format</group>
      <groupName>格式问题</groupName>
      <ability>L2_HalfPunc_CN</ability>
      <abilityName>全半角问题</abilityName>
      <candidateList>
        <item>：</item>
      </candidateList>
      <explain>文本全半角错误。</explain>
      <paraID>2203F4B7</paraID>
      <start>1</start>
      <end>2</end>
      <status>unmodified</status>
      <modifiedWord/>
      <trackRevisions>false</trackRevisions>
    </reviewItem>
    <reviewItem>
      <errorID>22bdc2f7-e945-4e2e-ae93-ebc2481efdfa</errorID>
      <errorWord>,</errorWord>
      <group>L1_Format</group>
      <groupName>格式问题</groupName>
      <ability>L2_HalfPunc_CN</ability>
      <abilityName>全半角问题</abilityName>
      <candidateList>
        <item>，</item>
      </candidateList>
      <explain>文本全半角错误。</explain>
      <paraID>5A78A5FE</paraID>
      <start>14</start>
      <end>15</end>
      <status>unmodified</status>
      <modifiedWord/>
      <trackRevisions>false</trackRevisions>
    </reviewItem>
    <reviewItem>
      <errorID>61c36f39-94ba-4f91-adca-788b32136d76</errorID>
      <errorWord>,</errorWord>
      <group>L1_Format</group>
      <groupName>格式问题</groupName>
      <ability>L2_HalfPunc_CN</ability>
      <abilityName>全半角问题</abilityName>
      <candidateList>
        <item>，</item>
      </candidateList>
      <explain>文本全半角错误。</explain>
      <paraID> 3F6F878</paraID>
      <start>14</start>
      <end>15</end>
      <status>unmodified</status>
      <modifiedWord/>
      <trackRevisions>false</trackRevisions>
    </reviewItem>
    <reviewItem>
      <errorID>8477eff2-c4a7-42d9-80da-8cef79fc219d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70078A8E</paraID>
      <start>36</start>
      <end>39</end>
      <status>unmodified</status>
      <modifiedWord/>
      <trackRevisions>false</trackRevisions>
    </reviewItem>
    <reviewItem>
      <errorID>9a8bf26b-2e67-4c29-98ff-8a32c05a56b4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72A02801</paraID>
      <start>47</start>
      <end>50</end>
      <status>unmodified</status>
      <modifiedWord/>
      <trackRevisions>false</trackRevisions>
    </reviewItem>
    <reviewItem>
      <errorID>19545c05-21d7-4fe6-9c5a-b9befb7f15e8</errorID>
      <errorWord>需加盖</errorWord>
      <group>L1_Word</group>
      <groupName>字词问题</groupName>
      <ability>L2_Typo</ability>
      <abilityName>字词错误</abilityName>
      <candidateList>
        <item>须加盖</item>
      </candidateList>
      <explain>存在发音相同字词的误用。</explain>
      <paraID> C760598</paraID>
      <start>109</start>
      <end>112</end>
      <status>unmodified</status>
      <modifiedWord/>
      <trackRevisions>false</trackRevisions>
    </reviewItem>
    <reviewItem>
      <errorID>351d2439-651f-4f25-889e-7cac1d5cfbd9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55710EB7</paraID>
      <start>53</start>
      <end>57</end>
      <status>unmodified</status>
      <modifiedWord/>
      <trackRevisions>false</trackRevisions>
    </reviewItem>
    <reviewItem>
      <errorID>3f263170-4d70-4a57-8953-d92486fa5af3</errorID>
      <errorWord>法律、法规</errorWord>
      <group>L1_Word</group>
      <groupName>字词问题</groupName>
      <ability>L2_Typo</ability>
      <abilityName>字词错误</abilityName>
      <candidateList>
        <item>法律法规</item>
      </candidateList>
      <explain/>
      <paraID>5FD9CE6D</paraID>
      <start>29</start>
      <end>34</end>
      <status>unmodified</status>
      <modifiedWord/>
      <trackRevisions>false</trackRevisions>
    </reviewItem>
    <reviewItem>
      <errorID>9b27e658-0888-4105-9ffd-4abf8e4cc0ff</errorID>
      <errorWord>其它</errorWord>
      <group>L1_Word</group>
      <groupName>字词问题</groupName>
      <ability>L2_Alias</ability>
      <abilityName>也作/曾用词</abilityName>
      <candidateList>
        <item>其他</item>
      </candidateList>
      <explain>词汇[其它]为不规范表述或旧称，其规范书面表述为[其他]。</explain>
      <paraID>19B6F0CC</paraID>
      <start>32</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821463-3bb9-49e0-921a-54bb4dea1d98}">
  <ds:schemaRefs/>
</ds:datastoreItem>
</file>

<file path=docProps/app.xml><?xml version="1.0" encoding="utf-8"?>
<Properties xmlns="http://schemas.openxmlformats.org/officeDocument/2006/extended-properties" xmlns:vt="http://schemas.openxmlformats.org/officeDocument/2006/docPropsVTypes">
  <Template>Normal.dotm</Template>
  <Company>KWZB;</Company>
  <Pages>103</Pages>
  <Words>179</Words>
  <Characters>208</Characters>
  <Lines>468</Lines>
  <Paragraphs>131</Paragraphs>
  <TotalTime>58</TotalTime>
  <ScaleCrop>false</ScaleCrop>
  <LinksUpToDate>false</LinksUpToDate>
  <CharactersWithSpaces>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2026-05-18T07:26:00Z</dcterms:created>
  <dc:creator>KWZB</dc:creator>
  <cp:lastModifiedBy>/</cp:lastModifiedBy>
  <cp:lastPrinted>2026-08-06T00:17:00Z</cp:lastPrinted>
  <dcterms:modified xsi:type="dcterms:W3CDTF">2026-09-24T10:01:19Z</dcterms:modified>
  <dc:title>竞争性谈判文件规范</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67EDA4DEA57D433F8E216658D6F3AF21_13</vt:lpwstr>
  </property>
  <property fmtid="{D5CDD505-2E9C-101B-9397-08002B2CF9AE}" pid="4" name="KSOTemplateDocerSaveRecord">
    <vt:lpwstr>eyJoZGlkIjoiNDZhMDIyNmU4ZTg3YTRlNjI0YTAzNjQwYjBlMDVmMzkiLCJ1c2VySWQiOiIyNjc0NzczOTQifQ==</vt:lpwstr>
  </property>
</Properties>
</file>