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6EE2AB">
      <w:pPr>
        <w:spacing w:before="165" w:beforeLines="50" w:line="360" w:lineRule="auto"/>
        <w:jc w:val="center"/>
        <w:rPr>
          <w:rFonts w:hint="default" w:ascii="宋体" w:hAnsi="宋体" w:eastAsia="宋体" w:cs="宋体"/>
          <w:b/>
          <w:color w:val="auto"/>
          <w:sz w:val="44"/>
          <w:szCs w:val="44"/>
          <w:highlight w:val="none"/>
        </w:rPr>
      </w:pPr>
      <w:r>
        <w:rPr>
          <w:rFonts w:hint="default" w:ascii="宋体" w:hAnsi="宋体" w:eastAsia="宋体" w:cs="宋体"/>
          <w:b/>
          <w:color w:val="auto"/>
          <w:sz w:val="44"/>
          <w:szCs w:val="44"/>
          <w:highlight w:val="none"/>
        </w:rPr>
        <w:t>南宁市政府采购</w:t>
      </w:r>
    </w:p>
    <w:p w14:paraId="4CE6893A">
      <w:pPr>
        <w:pStyle w:val="11"/>
        <w:rPr>
          <w:rFonts w:hint="default" w:ascii="宋体" w:hAnsi="宋体" w:eastAsia="宋体" w:cs="宋体"/>
          <w:color w:val="auto"/>
          <w:sz w:val="36"/>
          <w:szCs w:val="36"/>
          <w:highlight w:val="none"/>
        </w:rPr>
      </w:pPr>
    </w:p>
    <w:p w14:paraId="42638EF2">
      <w:pPr>
        <w:pStyle w:val="11"/>
        <w:rPr>
          <w:rFonts w:hint="default" w:ascii="宋体" w:hAnsi="宋体" w:eastAsia="宋体" w:cs="宋体"/>
          <w:color w:val="auto"/>
          <w:sz w:val="36"/>
          <w:szCs w:val="36"/>
          <w:highlight w:val="none"/>
        </w:rPr>
      </w:pPr>
    </w:p>
    <w:p w14:paraId="33CAFEA5">
      <w:pPr>
        <w:snapToGrid w:val="0"/>
        <w:spacing w:before="165" w:beforeLines="50" w:line="360" w:lineRule="auto"/>
        <w:jc w:val="center"/>
        <w:rPr>
          <w:rFonts w:hint="default" w:ascii="宋体" w:hAnsi="宋体" w:eastAsia="宋体" w:cs="宋体"/>
          <w:color w:val="auto"/>
          <w:sz w:val="44"/>
          <w:szCs w:val="44"/>
          <w:highlight w:val="none"/>
        </w:rPr>
      </w:pPr>
      <w:r>
        <w:rPr>
          <w:rFonts w:hint="default" w:ascii="宋体" w:hAnsi="宋体" w:eastAsia="宋体" w:cs="宋体"/>
          <w:color w:val="auto"/>
          <w:sz w:val="72"/>
          <w:szCs w:val="72"/>
          <w:highlight w:val="none"/>
        </w:rPr>
        <w:t>竞争性磋商文件</w:t>
      </w:r>
    </w:p>
    <w:p w14:paraId="2F9EB6FD">
      <w:pPr>
        <w:spacing w:before="331" w:beforeLines="100" w:after="165" w:afterLines="50" w:line="360" w:lineRule="auto"/>
        <w:jc w:val="center"/>
        <w:rPr>
          <w:rFonts w:hint="default" w:ascii="宋体" w:hAnsi="宋体" w:eastAsia="宋体" w:cs="宋体"/>
          <w:color w:val="auto"/>
          <w:sz w:val="21"/>
          <w:szCs w:val="21"/>
          <w:highlight w:val="none"/>
        </w:rPr>
      </w:pPr>
      <w:r>
        <w:rPr>
          <w:rFonts w:hint="default" w:ascii="宋体" w:hAnsi="宋体" w:eastAsia="宋体" w:cs="宋体"/>
          <w:color w:val="auto"/>
          <w:sz w:val="21"/>
          <w:szCs w:val="21"/>
          <w:highlight w:val="none"/>
        </w:rPr>
        <w:t>（全流程电子化评标）</w:t>
      </w:r>
    </w:p>
    <w:p w14:paraId="073275A4">
      <w:pPr>
        <w:spacing w:line="360" w:lineRule="auto"/>
        <w:rPr>
          <w:rFonts w:hint="default" w:ascii="宋体" w:hAnsi="宋体" w:eastAsia="宋体" w:cs="宋体"/>
          <w:b/>
          <w:color w:val="auto"/>
          <w:sz w:val="32"/>
          <w:szCs w:val="32"/>
          <w:highlight w:val="none"/>
        </w:rPr>
      </w:pPr>
    </w:p>
    <w:p w14:paraId="02A1B805">
      <w:pPr>
        <w:pStyle w:val="11"/>
        <w:rPr>
          <w:rFonts w:hint="default" w:ascii="宋体" w:hAnsi="宋体" w:eastAsia="宋体" w:cs="宋体"/>
          <w:b/>
          <w:color w:val="auto"/>
          <w:sz w:val="32"/>
          <w:szCs w:val="32"/>
          <w:highlight w:val="none"/>
        </w:rPr>
      </w:pPr>
    </w:p>
    <w:p w14:paraId="3172F8B9">
      <w:pPr>
        <w:pStyle w:val="11"/>
        <w:rPr>
          <w:rFonts w:hint="default" w:ascii="宋体" w:hAnsi="宋体" w:eastAsia="宋体" w:cs="宋体"/>
          <w:b/>
          <w:color w:val="auto"/>
          <w:sz w:val="32"/>
          <w:szCs w:val="32"/>
          <w:highlight w:val="none"/>
        </w:rPr>
      </w:pPr>
    </w:p>
    <w:p w14:paraId="19A82D01">
      <w:pPr>
        <w:pStyle w:val="11"/>
        <w:rPr>
          <w:rFonts w:hint="default" w:ascii="宋体" w:hAnsi="宋体" w:eastAsia="宋体" w:cs="宋体"/>
          <w:b/>
          <w:color w:val="auto"/>
          <w:sz w:val="32"/>
          <w:szCs w:val="32"/>
          <w:highlight w:val="none"/>
        </w:rPr>
      </w:pPr>
    </w:p>
    <w:p w14:paraId="2BAF17B5">
      <w:pPr>
        <w:pStyle w:val="10"/>
        <w:snapToGrid w:val="0"/>
        <w:spacing w:before="50" w:after="120" w:line="360" w:lineRule="auto"/>
        <w:rPr>
          <w:rFonts w:hint="default" w:hAnsi="宋体" w:cs="宋体"/>
          <w:b/>
          <w:color w:val="auto"/>
          <w:sz w:val="30"/>
          <w:szCs w:val="30"/>
          <w:highlight w:val="none"/>
        </w:rPr>
      </w:pPr>
    </w:p>
    <w:p w14:paraId="6FDA538B">
      <w:pPr>
        <w:rPr>
          <w:rFonts w:hint="default" w:hAnsi="宋体" w:cs="宋体"/>
          <w:b/>
          <w:color w:val="auto"/>
          <w:sz w:val="30"/>
          <w:szCs w:val="30"/>
          <w:highlight w:val="none"/>
        </w:rPr>
      </w:pPr>
    </w:p>
    <w:p w14:paraId="590752B2">
      <w:pPr>
        <w:rPr>
          <w:rFonts w:hint="default" w:hAnsi="宋体" w:cs="宋体"/>
          <w:b/>
          <w:color w:val="auto"/>
          <w:sz w:val="30"/>
          <w:szCs w:val="30"/>
          <w:highlight w:val="none"/>
        </w:rPr>
      </w:pPr>
    </w:p>
    <w:p w14:paraId="59186D71">
      <w:pPr>
        <w:pStyle w:val="10"/>
        <w:snapToGrid w:val="0"/>
        <w:spacing w:before="50" w:after="120" w:line="360" w:lineRule="auto"/>
        <w:ind w:firstLine="572" w:firstLineChars="200"/>
        <w:rPr>
          <w:rFonts w:hint="eastAsia" w:ascii="宋体" w:hAnsi="宋体" w:eastAsia="宋体" w:cs="宋体"/>
          <w:b/>
          <w:color w:val="auto"/>
          <w:w w:val="95"/>
          <w:kern w:val="2"/>
          <w:sz w:val="30"/>
          <w:szCs w:val="30"/>
          <w:highlight w:val="none"/>
          <w:lang w:eastAsia="zh-CN"/>
        </w:rPr>
      </w:pPr>
      <w:r>
        <w:rPr>
          <w:rFonts w:hint="eastAsia" w:ascii="宋体" w:hAnsi="宋体" w:eastAsia="宋体" w:cs="宋体"/>
          <w:b/>
          <w:color w:val="auto"/>
          <w:w w:val="95"/>
          <w:kern w:val="2"/>
          <w:sz w:val="30"/>
          <w:szCs w:val="30"/>
          <w:highlight w:val="none"/>
        </w:rPr>
        <w:t>项目名称：</w:t>
      </w:r>
      <w:r>
        <w:rPr>
          <w:rFonts w:hint="eastAsia" w:ascii="Times New Roman" w:hAnsi="Times New Roman" w:cs="Times New Roman"/>
          <w:b/>
          <w:bCs/>
          <w:color w:val="000000"/>
          <w:sz w:val="28"/>
          <w:szCs w:val="28"/>
          <w:u w:val="single"/>
          <w:lang w:val="en-US" w:eastAsia="zh-CN"/>
        </w:rPr>
        <w:t>永州镇胜利村下感屯田间灌溉排洪渠道工程</w:t>
      </w:r>
    </w:p>
    <w:p w14:paraId="28D2CA7C">
      <w:pPr>
        <w:snapToGrid w:val="0"/>
        <w:spacing w:before="50" w:after="120" w:line="360" w:lineRule="auto"/>
        <w:ind w:firstLine="572" w:firstLineChars="200"/>
        <w:rPr>
          <w:rFonts w:hint="eastAsia" w:ascii="宋体" w:hAnsi="宋体" w:eastAsia="宋体" w:cs="宋体"/>
          <w:b/>
          <w:color w:val="auto"/>
          <w:w w:val="95"/>
          <w:sz w:val="30"/>
          <w:szCs w:val="30"/>
          <w:highlight w:val="none"/>
        </w:rPr>
      </w:pPr>
      <w:r>
        <w:rPr>
          <w:rFonts w:hint="eastAsia" w:ascii="宋体" w:hAnsi="宋体" w:eastAsia="宋体" w:cs="宋体"/>
          <w:b/>
          <w:color w:val="auto"/>
          <w:w w:val="95"/>
          <w:sz w:val="30"/>
          <w:szCs w:val="30"/>
          <w:highlight w:val="none"/>
        </w:rPr>
        <w:t>项目</w:t>
      </w:r>
      <w:r>
        <w:rPr>
          <w:rFonts w:hint="eastAsia" w:ascii="宋体" w:hAnsi="宋体" w:eastAsia="宋体" w:cs="宋体"/>
          <w:b/>
          <w:color w:val="auto"/>
          <w:sz w:val="30"/>
          <w:szCs w:val="30"/>
          <w:highlight w:val="none"/>
        </w:rPr>
        <w:t>编号</w:t>
      </w:r>
      <w:r>
        <w:rPr>
          <w:rFonts w:hint="eastAsia" w:ascii="宋体" w:hAnsi="宋体" w:eastAsia="宋体" w:cs="宋体"/>
          <w:b/>
          <w:color w:val="auto"/>
          <w:w w:val="95"/>
          <w:sz w:val="30"/>
          <w:szCs w:val="30"/>
          <w:highlight w:val="none"/>
        </w:rPr>
        <w:t>：</w:t>
      </w:r>
      <w:r>
        <w:rPr>
          <w:rFonts w:hint="eastAsia" w:ascii="宋体" w:hAnsi="宋体" w:eastAsia="宋体" w:cs="宋体"/>
          <w:b/>
          <w:color w:val="auto"/>
          <w:w w:val="95"/>
          <w:sz w:val="30"/>
          <w:szCs w:val="30"/>
          <w:highlight w:val="none"/>
          <w:u w:val="single"/>
        </w:rPr>
        <w:t>NNZC2026-C2-240152-GXJZ</w:t>
      </w:r>
    </w:p>
    <w:p w14:paraId="6FE76C01">
      <w:pPr>
        <w:snapToGrid w:val="0"/>
        <w:spacing w:before="50" w:after="120" w:line="360" w:lineRule="auto"/>
        <w:ind w:firstLine="572" w:firstLineChars="200"/>
        <w:rPr>
          <w:rFonts w:hint="eastAsia" w:ascii="宋体" w:hAnsi="宋体" w:eastAsia="宋体" w:cs="宋体"/>
          <w:b/>
          <w:color w:val="auto"/>
          <w:w w:val="95"/>
          <w:sz w:val="30"/>
          <w:szCs w:val="30"/>
          <w:highlight w:val="none"/>
          <w:lang w:val="en-US" w:eastAsia="zh-CN"/>
        </w:rPr>
      </w:pPr>
      <w:r>
        <w:rPr>
          <w:rFonts w:hint="eastAsia" w:ascii="宋体" w:hAnsi="宋体" w:eastAsia="宋体" w:cs="宋体"/>
          <w:b/>
          <w:color w:val="auto"/>
          <w:w w:val="95"/>
          <w:sz w:val="30"/>
          <w:szCs w:val="30"/>
          <w:highlight w:val="none"/>
        </w:rPr>
        <w:t>采购文号：</w:t>
      </w:r>
      <w:r>
        <w:rPr>
          <w:rFonts w:hint="eastAsia" w:ascii="宋体" w:hAnsi="宋体" w:eastAsia="宋体" w:cs="宋体"/>
          <w:b/>
          <w:color w:val="auto"/>
          <w:w w:val="95"/>
          <w:sz w:val="30"/>
          <w:szCs w:val="30"/>
          <w:highlight w:val="none"/>
          <w:u w:val="single"/>
        </w:rPr>
        <w:t>MSZC2026-C2-01445-001、MSZC2026-C2-01445-002</w:t>
      </w:r>
      <w:r>
        <w:rPr>
          <w:rFonts w:hint="eastAsia" w:ascii="宋体" w:hAnsi="宋体" w:eastAsia="宋体" w:cs="宋体"/>
          <w:b/>
          <w:color w:val="auto"/>
          <w:w w:val="95"/>
          <w:sz w:val="30"/>
          <w:szCs w:val="30"/>
          <w:highlight w:val="none"/>
          <w:lang w:val="en-US" w:eastAsia="zh-CN"/>
        </w:rPr>
        <w:t xml:space="preserve"> </w:t>
      </w:r>
    </w:p>
    <w:p w14:paraId="4FC117ED">
      <w:pPr>
        <w:snapToGrid w:val="0"/>
        <w:spacing w:before="50" w:after="120" w:line="360" w:lineRule="auto"/>
        <w:ind w:firstLine="572" w:firstLineChars="200"/>
        <w:rPr>
          <w:rFonts w:hint="eastAsia" w:ascii="宋体" w:hAnsi="宋体" w:eastAsia="宋体" w:cs="宋体"/>
          <w:b/>
          <w:color w:val="auto"/>
          <w:w w:val="95"/>
          <w:sz w:val="30"/>
          <w:szCs w:val="30"/>
          <w:highlight w:val="none"/>
        </w:rPr>
      </w:pPr>
      <w:r>
        <w:rPr>
          <w:rFonts w:hint="eastAsia" w:ascii="宋体" w:hAnsi="宋体" w:eastAsia="宋体" w:cs="宋体"/>
          <w:b/>
          <w:color w:val="auto"/>
          <w:w w:val="95"/>
          <w:sz w:val="30"/>
          <w:szCs w:val="30"/>
          <w:highlight w:val="none"/>
        </w:rPr>
        <w:t>项目所属区划：</w:t>
      </w:r>
      <w:r>
        <w:rPr>
          <w:rFonts w:hint="eastAsia" w:ascii="宋体" w:hAnsi="宋体" w:eastAsia="宋体" w:cs="宋体"/>
          <w:b/>
          <w:color w:val="auto"/>
          <w:w w:val="95"/>
          <w:sz w:val="30"/>
          <w:szCs w:val="30"/>
          <w:highlight w:val="none"/>
          <w:u w:val="single"/>
        </w:rPr>
        <w:t>南宁市马山县</w:t>
      </w:r>
      <w:r>
        <w:rPr>
          <w:rFonts w:hint="eastAsia" w:ascii="宋体" w:hAnsi="宋体" w:eastAsia="宋体" w:cs="宋体"/>
          <w:b/>
          <w:color w:val="auto"/>
          <w:w w:val="95"/>
          <w:sz w:val="30"/>
          <w:szCs w:val="30"/>
          <w:highlight w:val="none"/>
          <w:u w:val="none"/>
        </w:rPr>
        <w:t xml:space="preserve">   </w:t>
      </w:r>
    </w:p>
    <w:p w14:paraId="194EFBC0">
      <w:pPr>
        <w:snapToGrid w:val="0"/>
        <w:spacing w:before="50" w:after="120" w:line="360" w:lineRule="auto"/>
        <w:ind w:firstLine="572" w:firstLineChars="200"/>
        <w:rPr>
          <w:rFonts w:hint="eastAsia" w:ascii="宋体" w:hAnsi="宋体" w:eastAsia="宋体" w:cs="宋体"/>
          <w:b/>
          <w:color w:val="auto"/>
          <w:w w:val="95"/>
          <w:sz w:val="30"/>
          <w:szCs w:val="30"/>
          <w:highlight w:val="none"/>
        </w:rPr>
      </w:pPr>
      <w:r>
        <w:rPr>
          <w:rFonts w:hint="eastAsia" w:ascii="宋体" w:hAnsi="宋体" w:eastAsia="宋体" w:cs="宋体"/>
          <w:b/>
          <w:color w:val="auto"/>
          <w:w w:val="95"/>
          <w:sz w:val="30"/>
          <w:szCs w:val="30"/>
          <w:highlight w:val="none"/>
        </w:rPr>
        <w:t>采 购 人：</w:t>
      </w:r>
      <w:r>
        <w:rPr>
          <w:rFonts w:hint="eastAsia" w:ascii="宋体" w:hAnsi="宋体" w:eastAsia="宋体" w:cs="宋体"/>
          <w:b/>
          <w:color w:val="auto"/>
          <w:w w:val="95"/>
          <w:sz w:val="30"/>
          <w:szCs w:val="30"/>
          <w:highlight w:val="none"/>
          <w:u w:val="single"/>
        </w:rPr>
        <w:t>马山县农业农村局</w:t>
      </w:r>
    </w:p>
    <w:p w14:paraId="38C2A3FE">
      <w:pPr>
        <w:snapToGrid w:val="0"/>
        <w:spacing w:before="50" w:after="120" w:line="360" w:lineRule="auto"/>
        <w:ind w:firstLine="572" w:firstLineChars="200"/>
        <w:rPr>
          <w:rFonts w:hint="eastAsia" w:ascii="宋体" w:hAnsi="宋体" w:eastAsia="宋体" w:cs="宋体"/>
          <w:b/>
          <w:color w:val="auto"/>
          <w:w w:val="95"/>
          <w:sz w:val="30"/>
          <w:szCs w:val="30"/>
          <w:highlight w:val="none"/>
        </w:rPr>
      </w:pPr>
      <w:r>
        <w:rPr>
          <w:rFonts w:hint="eastAsia" w:ascii="宋体" w:hAnsi="宋体" w:eastAsia="宋体" w:cs="宋体"/>
          <w:b/>
          <w:color w:val="auto"/>
          <w:w w:val="95"/>
          <w:sz w:val="30"/>
          <w:szCs w:val="30"/>
          <w:highlight w:val="none"/>
        </w:rPr>
        <w:t>采购代理机构：</w:t>
      </w:r>
      <w:r>
        <w:rPr>
          <w:rFonts w:hint="eastAsia" w:ascii="宋体" w:hAnsi="宋体" w:eastAsia="宋体" w:cs="宋体"/>
          <w:b/>
          <w:color w:val="auto"/>
          <w:w w:val="95"/>
          <w:sz w:val="30"/>
          <w:szCs w:val="30"/>
          <w:highlight w:val="none"/>
          <w:u w:val="single"/>
        </w:rPr>
        <w:t>广西建咨源工程咨询有限公司</w:t>
      </w:r>
    </w:p>
    <w:p w14:paraId="2F8D7FBA">
      <w:pPr>
        <w:snapToGrid w:val="0"/>
        <w:spacing w:before="50" w:after="120" w:line="360" w:lineRule="auto"/>
        <w:ind w:firstLine="841" w:firstLineChars="294"/>
        <w:rPr>
          <w:rFonts w:hint="eastAsia" w:ascii="宋体" w:hAnsi="宋体" w:eastAsia="宋体" w:cs="宋体"/>
          <w:b/>
          <w:color w:val="auto"/>
          <w:w w:val="95"/>
          <w:sz w:val="30"/>
          <w:szCs w:val="30"/>
          <w:highlight w:val="none"/>
        </w:rPr>
        <w:sectPr>
          <w:footerReference r:id="rId3" w:type="default"/>
          <w:pgSz w:w="11905" w:h="16838"/>
          <w:pgMar w:top="1644" w:right="1304" w:bottom="1304" w:left="1304" w:header="720" w:footer="720" w:gutter="0"/>
          <w:lnNumType w:countBy="0" w:distance="360"/>
          <w:pgNumType w:start="1"/>
          <w:cols w:space="720" w:num="1"/>
          <w:docGrid w:type="lines" w:linePitch="339" w:charSpace="0"/>
        </w:sectPr>
      </w:pPr>
      <w:r>
        <w:rPr>
          <w:rFonts w:hint="eastAsia" w:ascii="宋体" w:hAnsi="宋体" w:eastAsia="宋体" w:cs="宋体"/>
          <w:b/>
          <w:color w:val="auto"/>
          <w:w w:val="95"/>
          <w:sz w:val="30"/>
          <w:szCs w:val="30"/>
          <w:highlight w:val="none"/>
        </w:rPr>
        <w:t xml:space="preserve">                     202</w:t>
      </w:r>
      <w:r>
        <w:rPr>
          <w:rFonts w:hint="eastAsia" w:ascii="宋体" w:hAnsi="宋体" w:eastAsia="宋体" w:cs="宋体"/>
          <w:b/>
          <w:color w:val="auto"/>
          <w:w w:val="95"/>
          <w:sz w:val="30"/>
          <w:szCs w:val="30"/>
          <w:highlight w:val="none"/>
          <w:lang w:val="en-US" w:eastAsia="zh-CN"/>
        </w:rPr>
        <w:t>6</w:t>
      </w:r>
      <w:r>
        <w:rPr>
          <w:rFonts w:hint="eastAsia" w:ascii="宋体" w:hAnsi="宋体" w:eastAsia="宋体" w:cs="宋体"/>
          <w:b/>
          <w:color w:val="auto"/>
          <w:w w:val="95"/>
          <w:sz w:val="30"/>
          <w:szCs w:val="30"/>
          <w:highlight w:val="none"/>
        </w:rPr>
        <w:t>年</w:t>
      </w:r>
      <w:r>
        <w:rPr>
          <w:rFonts w:hint="eastAsia" w:ascii="宋体" w:hAnsi="宋体" w:eastAsia="宋体" w:cs="宋体"/>
          <w:b/>
          <w:color w:val="auto"/>
          <w:w w:val="95"/>
          <w:sz w:val="30"/>
          <w:szCs w:val="30"/>
          <w:highlight w:val="none"/>
          <w:lang w:val="en-US" w:eastAsia="zh-CN"/>
        </w:rPr>
        <w:t>8</w:t>
      </w:r>
      <w:r>
        <w:rPr>
          <w:rFonts w:hint="eastAsia" w:ascii="宋体" w:hAnsi="宋体" w:eastAsia="宋体" w:cs="宋体"/>
          <w:b/>
          <w:color w:val="auto"/>
          <w:w w:val="95"/>
          <w:sz w:val="30"/>
          <w:szCs w:val="30"/>
          <w:highlight w:val="none"/>
        </w:rPr>
        <w:t>月</w:t>
      </w:r>
    </w:p>
    <w:p w14:paraId="6BFC6653">
      <w:pPr>
        <w:pageBreakBefore/>
        <w:spacing w:line="360" w:lineRule="auto"/>
        <w:jc w:val="center"/>
        <w:rPr>
          <w:rFonts w:hint="default" w:ascii="宋体" w:hAnsi="宋体" w:eastAsia="宋体"/>
          <w:b/>
          <w:color w:val="auto"/>
          <w:sz w:val="44"/>
          <w:szCs w:val="44"/>
          <w:highlight w:val="none"/>
        </w:rPr>
      </w:pPr>
      <w:r>
        <w:rPr>
          <w:rFonts w:hint="default" w:ascii="宋体" w:hAnsi="宋体" w:eastAsia="宋体"/>
          <w:b/>
          <w:color w:val="auto"/>
          <w:sz w:val="44"/>
          <w:szCs w:val="44"/>
          <w:highlight w:val="none"/>
        </w:rPr>
        <w:t>目   录</w:t>
      </w:r>
    </w:p>
    <w:p w14:paraId="7CCEC95A">
      <w:pPr>
        <w:spacing w:line="480" w:lineRule="exact"/>
        <w:jc w:val="center"/>
        <w:rPr>
          <w:rFonts w:hint="default" w:ascii="宋体" w:hAnsi="宋体" w:eastAsia="宋体" w:cs="宋体"/>
          <w:b/>
          <w:color w:val="auto"/>
          <w:sz w:val="24"/>
          <w:szCs w:val="24"/>
          <w:highlight w:val="none"/>
        </w:rPr>
      </w:pPr>
    </w:p>
    <w:p w14:paraId="2C32BA7C">
      <w:pPr>
        <w:pStyle w:val="13"/>
        <w:tabs>
          <w:tab w:val="right" w:leader="dot" w:pos="8879"/>
        </w:tabs>
        <w:spacing w:line="360" w:lineRule="auto"/>
        <w:rPr>
          <w:rFonts w:hint="eastAsia"/>
          <w:color w:val="auto"/>
          <w:sz w:val="24"/>
          <w:szCs w:val="24"/>
          <w:highlight w:val="none"/>
        </w:rPr>
      </w:pPr>
      <w:r>
        <w:rPr>
          <w:rFonts w:hint="default" w:ascii="宋体" w:hAnsi="宋体" w:eastAsia="宋体" w:cs="宋体"/>
          <w:b/>
          <w:color w:val="auto"/>
          <w:sz w:val="24"/>
          <w:szCs w:val="24"/>
          <w:highlight w:val="none"/>
        </w:rPr>
        <w:fldChar w:fldCharType="begin"/>
      </w:r>
      <w:r>
        <w:rPr>
          <w:rFonts w:hint="default" w:ascii="宋体" w:hAnsi="宋体" w:eastAsia="宋体" w:cs="宋体"/>
          <w:b/>
          <w:color w:val="auto"/>
          <w:sz w:val="24"/>
          <w:szCs w:val="24"/>
          <w:highlight w:val="none"/>
        </w:rPr>
        <w:instrText xml:space="preserve"> TOC \o "1-3" \h \z \u </w:instrText>
      </w:r>
      <w:r>
        <w:rPr>
          <w:rFonts w:hint="default" w:ascii="宋体" w:hAnsi="宋体" w:eastAsia="宋体" w:cs="宋体"/>
          <w:b/>
          <w:color w:val="auto"/>
          <w:sz w:val="24"/>
          <w:szCs w:val="24"/>
          <w:highlight w:val="none"/>
        </w:rPr>
        <w:fldChar w:fldCharType="separate"/>
      </w:r>
      <w:r>
        <w:rPr>
          <w:rFonts w:hint="default" w:ascii="宋体" w:hAnsi="宋体" w:eastAsia="宋体" w:cs="宋体"/>
          <w:color w:val="auto"/>
          <w:sz w:val="24"/>
          <w:szCs w:val="24"/>
          <w:highlight w:val="none"/>
        </w:rPr>
        <w:fldChar w:fldCharType="begin"/>
      </w:r>
      <w:r>
        <w:rPr>
          <w:rFonts w:hint="default" w:ascii="宋体" w:hAnsi="宋体" w:eastAsia="宋体" w:cs="宋体"/>
          <w:color w:val="auto"/>
          <w:sz w:val="24"/>
          <w:szCs w:val="24"/>
          <w:highlight w:val="none"/>
        </w:rPr>
        <w:instrText xml:space="preserve"> HYPERLINK \l _Toc29482 </w:instrText>
      </w:r>
      <w:r>
        <w:rPr>
          <w:rFonts w:hint="default" w:ascii="宋体" w:hAnsi="宋体" w:eastAsia="宋体" w:cs="宋体"/>
          <w:color w:val="auto"/>
          <w:sz w:val="24"/>
          <w:szCs w:val="24"/>
          <w:highlight w:val="none"/>
        </w:rPr>
        <w:fldChar w:fldCharType="separate"/>
      </w:r>
      <w:r>
        <w:rPr>
          <w:rFonts w:hint="default" w:ascii="宋体" w:eastAsia="宋体"/>
          <w:color w:val="auto"/>
          <w:kern w:val="44"/>
          <w:sz w:val="24"/>
          <w:szCs w:val="24"/>
          <w:highlight w:val="none"/>
        </w:rPr>
        <w:t>第一章 竞争性磋商公告</w:t>
      </w:r>
      <w:r>
        <w:rPr>
          <w:rFonts w:hint="eastAsia"/>
          <w:color w:val="auto"/>
          <w:sz w:val="24"/>
          <w:szCs w:val="24"/>
          <w:highlight w:val="none"/>
        </w:rPr>
        <w:tab/>
      </w:r>
      <w:r>
        <w:rPr>
          <w:rFonts w:hint="eastAsia"/>
          <w:color w:val="auto"/>
          <w:sz w:val="24"/>
          <w:szCs w:val="24"/>
          <w:highlight w:val="none"/>
        </w:rPr>
        <w:fldChar w:fldCharType="begin"/>
      </w:r>
      <w:r>
        <w:rPr>
          <w:rFonts w:hint="eastAsia"/>
          <w:color w:val="auto"/>
          <w:sz w:val="24"/>
          <w:szCs w:val="24"/>
          <w:highlight w:val="none"/>
        </w:rPr>
        <w:instrText xml:space="preserve"> PAGEREF _Toc29482 \h </w:instrText>
      </w:r>
      <w:r>
        <w:rPr>
          <w:rFonts w:hint="eastAsia"/>
          <w:color w:val="auto"/>
          <w:sz w:val="24"/>
          <w:szCs w:val="24"/>
          <w:highlight w:val="none"/>
        </w:rPr>
        <w:fldChar w:fldCharType="separate"/>
      </w:r>
      <w:r>
        <w:rPr>
          <w:rFonts w:hint="eastAsia"/>
          <w:color w:val="auto"/>
          <w:sz w:val="24"/>
          <w:szCs w:val="24"/>
          <w:highlight w:val="none"/>
        </w:rPr>
        <w:t>2</w:t>
      </w:r>
      <w:r>
        <w:rPr>
          <w:rFonts w:hint="eastAsia"/>
          <w:color w:val="auto"/>
          <w:sz w:val="24"/>
          <w:szCs w:val="24"/>
          <w:highlight w:val="none"/>
        </w:rPr>
        <w:fldChar w:fldCharType="end"/>
      </w:r>
      <w:r>
        <w:rPr>
          <w:rFonts w:hint="eastAsia"/>
          <w:color w:val="auto"/>
          <w:sz w:val="24"/>
          <w:szCs w:val="24"/>
          <w:highlight w:val="none"/>
        </w:rPr>
        <w:fldChar w:fldCharType="end"/>
      </w:r>
    </w:p>
    <w:p w14:paraId="17AB22B2">
      <w:pPr>
        <w:pStyle w:val="13"/>
        <w:tabs>
          <w:tab w:val="right" w:leader="dot" w:pos="8879"/>
        </w:tabs>
        <w:spacing w:line="360" w:lineRule="auto"/>
        <w:rPr>
          <w:rFonts w:hint="eastAsia"/>
          <w:color w:val="auto"/>
          <w:sz w:val="24"/>
          <w:szCs w:val="24"/>
          <w:highlight w:val="none"/>
        </w:rPr>
      </w:pPr>
      <w:r>
        <w:rPr>
          <w:rFonts w:hint="default" w:ascii="宋体" w:hAnsi="宋体" w:eastAsia="宋体" w:cs="宋体"/>
          <w:color w:val="auto"/>
          <w:sz w:val="24"/>
          <w:szCs w:val="24"/>
          <w:highlight w:val="none"/>
        </w:rPr>
        <w:fldChar w:fldCharType="begin"/>
      </w:r>
      <w:r>
        <w:rPr>
          <w:rFonts w:hint="default" w:ascii="宋体" w:hAnsi="宋体" w:eastAsia="宋体" w:cs="宋体"/>
          <w:color w:val="auto"/>
          <w:sz w:val="24"/>
          <w:szCs w:val="24"/>
          <w:highlight w:val="none"/>
        </w:rPr>
        <w:instrText xml:space="preserve"> HYPERLINK \l _Toc1869 </w:instrText>
      </w:r>
      <w:r>
        <w:rPr>
          <w:rFonts w:hint="default" w:ascii="宋体" w:hAnsi="宋体" w:eastAsia="宋体" w:cs="宋体"/>
          <w:color w:val="auto"/>
          <w:sz w:val="24"/>
          <w:szCs w:val="24"/>
          <w:highlight w:val="none"/>
        </w:rPr>
        <w:fldChar w:fldCharType="separate"/>
      </w:r>
      <w:r>
        <w:rPr>
          <w:rFonts w:hint="default" w:ascii="宋体" w:eastAsia="宋体"/>
          <w:color w:val="auto"/>
          <w:kern w:val="44"/>
          <w:sz w:val="24"/>
          <w:szCs w:val="24"/>
          <w:highlight w:val="none"/>
        </w:rPr>
        <w:t>第二章 采购需求</w:t>
      </w:r>
      <w:r>
        <w:rPr>
          <w:rFonts w:hint="eastAsia"/>
          <w:color w:val="auto"/>
          <w:sz w:val="24"/>
          <w:szCs w:val="24"/>
          <w:highlight w:val="none"/>
        </w:rPr>
        <w:tab/>
      </w:r>
      <w:r>
        <w:rPr>
          <w:rFonts w:hint="eastAsia"/>
          <w:color w:val="auto"/>
          <w:sz w:val="24"/>
          <w:szCs w:val="24"/>
          <w:highlight w:val="none"/>
        </w:rPr>
        <w:fldChar w:fldCharType="begin"/>
      </w:r>
      <w:r>
        <w:rPr>
          <w:rFonts w:hint="eastAsia"/>
          <w:color w:val="auto"/>
          <w:sz w:val="24"/>
          <w:szCs w:val="24"/>
          <w:highlight w:val="none"/>
        </w:rPr>
        <w:instrText xml:space="preserve"> PAGEREF _Toc1869 \h </w:instrText>
      </w:r>
      <w:r>
        <w:rPr>
          <w:rFonts w:hint="eastAsia"/>
          <w:color w:val="auto"/>
          <w:sz w:val="24"/>
          <w:szCs w:val="24"/>
          <w:highlight w:val="none"/>
        </w:rPr>
        <w:fldChar w:fldCharType="separate"/>
      </w:r>
      <w:r>
        <w:rPr>
          <w:rFonts w:hint="eastAsia"/>
          <w:color w:val="auto"/>
          <w:sz w:val="24"/>
          <w:szCs w:val="24"/>
          <w:highlight w:val="none"/>
        </w:rPr>
        <w:t>6</w:t>
      </w:r>
      <w:r>
        <w:rPr>
          <w:rFonts w:hint="eastAsia"/>
          <w:color w:val="auto"/>
          <w:sz w:val="24"/>
          <w:szCs w:val="24"/>
          <w:highlight w:val="none"/>
        </w:rPr>
        <w:fldChar w:fldCharType="end"/>
      </w:r>
      <w:r>
        <w:rPr>
          <w:rFonts w:hint="eastAsia"/>
          <w:color w:val="auto"/>
          <w:sz w:val="24"/>
          <w:szCs w:val="24"/>
          <w:highlight w:val="none"/>
        </w:rPr>
        <w:fldChar w:fldCharType="end"/>
      </w:r>
    </w:p>
    <w:p w14:paraId="0754E2EF">
      <w:pPr>
        <w:pStyle w:val="13"/>
        <w:tabs>
          <w:tab w:val="right" w:leader="dot" w:pos="8879"/>
        </w:tabs>
        <w:spacing w:line="360" w:lineRule="auto"/>
        <w:rPr>
          <w:rFonts w:hint="eastAsia"/>
          <w:color w:val="auto"/>
          <w:sz w:val="24"/>
          <w:szCs w:val="24"/>
          <w:highlight w:val="none"/>
        </w:rPr>
      </w:pPr>
      <w:r>
        <w:rPr>
          <w:rFonts w:hint="default" w:ascii="宋体" w:hAnsi="宋体" w:eastAsia="宋体" w:cs="宋体"/>
          <w:color w:val="auto"/>
          <w:sz w:val="24"/>
          <w:szCs w:val="24"/>
          <w:highlight w:val="none"/>
        </w:rPr>
        <w:fldChar w:fldCharType="begin"/>
      </w:r>
      <w:r>
        <w:rPr>
          <w:rFonts w:hint="default" w:ascii="宋体" w:hAnsi="宋体" w:eastAsia="宋体" w:cs="宋体"/>
          <w:color w:val="auto"/>
          <w:sz w:val="24"/>
          <w:szCs w:val="24"/>
          <w:highlight w:val="none"/>
        </w:rPr>
        <w:instrText xml:space="preserve"> HYPERLINK \l _Toc15728 </w:instrText>
      </w:r>
      <w:r>
        <w:rPr>
          <w:rFonts w:hint="default" w:ascii="宋体" w:hAnsi="宋体" w:eastAsia="宋体" w:cs="宋体"/>
          <w:color w:val="auto"/>
          <w:sz w:val="24"/>
          <w:szCs w:val="24"/>
          <w:highlight w:val="none"/>
        </w:rPr>
        <w:fldChar w:fldCharType="separate"/>
      </w:r>
      <w:r>
        <w:rPr>
          <w:rFonts w:hint="default" w:ascii="宋体" w:eastAsia="宋体"/>
          <w:color w:val="auto"/>
          <w:kern w:val="44"/>
          <w:sz w:val="24"/>
          <w:szCs w:val="24"/>
          <w:highlight w:val="none"/>
        </w:rPr>
        <w:t>第三章 供应商须知</w:t>
      </w:r>
      <w:r>
        <w:rPr>
          <w:rFonts w:hint="eastAsia"/>
          <w:color w:val="auto"/>
          <w:sz w:val="24"/>
          <w:szCs w:val="24"/>
          <w:highlight w:val="none"/>
        </w:rPr>
        <w:tab/>
      </w:r>
      <w:r>
        <w:rPr>
          <w:rFonts w:hint="eastAsia"/>
          <w:color w:val="auto"/>
          <w:sz w:val="24"/>
          <w:szCs w:val="24"/>
          <w:highlight w:val="none"/>
        </w:rPr>
        <w:fldChar w:fldCharType="begin"/>
      </w:r>
      <w:r>
        <w:rPr>
          <w:rFonts w:hint="eastAsia"/>
          <w:color w:val="auto"/>
          <w:sz w:val="24"/>
          <w:szCs w:val="24"/>
          <w:highlight w:val="none"/>
        </w:rPr>
        <w:instrText xml:space="preserve"> PAGEREF _Toc15728 \h </w:instrText>
      </w:r>
      <w:r>
        <w:rPr>
          <w:rFonts w:hint="eastAsia"/>
          <w:color w:val="auto"/>
          <w:sz w:val="24"/>
          <w:szCs w:val="24"/>
          <w:highlight w:val="none"/>
        </w:rPr>
        <w:fldChar w:fldCharType="separate"/>
      </w:r>
      <w:r>
        <w:rPr>
          <w:rFonts w:hint="eastAsia"/>
          <w:color w:val="auto"/>
          <w:sz w:val="24"/>
          <w:szCs w:val="24"/>
          <w:highlight w:val="none"/>
        </w:rPr>
        <w:t>11</w:t>
      </w:r>
      <w:r>
        <w:rPr>
          <w:rFonts w:hint="eastAsia"/>
          <w:color w:val="auto"/>
          <w:sz w:val="24"/>
          <w:szCs w:val="24"/>
          <w:highlight w:val="none"/>
        </w:rPr>
        <w:fldChar w:fldCharType="end"/>
      </w:r>
      <w:r>
        <w:rPr>
          <w:rFonts w:hint="eastAsia"/>
          <w:color w:val="auto"/>
          <w:sz w:val="24"/>
          <w:szCs w:val="24"/>
          <w:highlight w:val="none"/>
        </w:rPr>
        <w:fldChar w:fldCharType="end"/>
      </w:r>
    </w:p>
    <w:p w14:paraId="72F7C8FE">
      <w:pPr>
        <w:pStyle w:val="13"/>
        <w:tabs>
          <w:tab w:val="right" w:leader="dot" w:pos="8879"/>
        </w:tabs>
        <w:spacing w:line="360" w:lineRule="auto"/>
        <w:rPr>
          <w:rFonts w:hint="eastAsia"/>
          <w:color w:val="auto"/>
          <w:sz w:val="24"/>
          <w:szCs w:val="24"/>
          <w:highlight w:val="none"/>
        </w:rPr>
      </w:pPr>
      <w:r>
        <w:rPr>
          <w:rFonts w:hint="default" w:ascii="宋体" w:hAnsi="宋体" w:eastAsia="宋体" w:cs="宋体"/>
          <w:color w:val="auto"/>
          <w:sz w:val="24"/>
          <w:szCs w:val="24"/>
          <w:highlight w:val="none"/>
        </w:rPr>
        <w:fldChar w:fldCharType="begin"/>
      </w:r>
      <w:r>
        <w:rPr>
          <w:rFonts w:hint="default" w:ascii="宋体" w:hAnsi="宋体" w:eastAsia="宋体" w:cs="宋体"/>
          <w:color w:val="auto"/>
          <w:sz w:val="24"/>
          <w:szCs w:val="24"/>
          <w:highlight w:val="none"/>
        </w:rPr>
        <w:instrText xml:space="preserve"> HYPERLINK \l _Toc4818 </w:instrText>
      </w:r>
      <w:r>
        <w:rPr>
          <w:rFonts w:hint="default" w:ascii="宋体" w:hAnsi="宋体" w:eastAsia="宋体" w:cs="宋体"/>
          <w:color w:val="auto"/>
          <w:sz w:val="24"/>
          <w:szCs w:val="24"/>
          <w:highlight w:val="none"/>
        </w:rPr>
        <w:fldChar w:fldCharType="separate"/>
      </w:r>
      <w:r>
        <w:rPr>
          <w:rFonts w:hint="default" w:ascii="宋体" w:hAnsi="宋体" w:eastAsia="宋体"/>
          <w:color w:val="auto"/>
          <w:sz w:val="24"/>
          <w:szCs w:val="24"/>
          <w:highlight w:val="none"/>
        </w:rPr>
        <w:t>第一节 供应商须知前附表</w:t>
      </w:r>
      <w:r>
        <w:rPr>
          <w:rFonts w:hint="eastAsia"/>
          <w:color w:val="auto"/>
          <w:sz w:val="24"/>
          <w:szCs w:val="24"/>
          <w:highlight w:val="none"/>
        </w:rPr>
        <w:tab/>
      </w:r>
      <w:r>
        <w:rPr>
          <w:rFonts w:hint="eastAsia"/>
          <w:color w:val="auto"/>
          <w:sz w:val="24"/>
          <w:szCs w:val="24"/>
          <w:highlight w:val="none"/>
        </w:rPr>
        <w:fldChar w:fldCharType="begin"/>
      </w:r>
      <w:r>
        <w:rPr>
          <w:rFonts w:hint="eastAsia"/>
          <w:color w:val="auto"/>
          <w:sz w:val="24"/>
          <w:szCs w:val="24"/>
          <w:highlight w:val="none"/>
        </w:rPr>
        <w:instrText xml:space="preserve"> PAGEREF _Toc4818 \h </w:instrText>
      </w:r>
      <w:r>
        <w:rPr>
          <w:rFonts w:hint="eastAsia"/>
          <w:color w:val="auto"/>
          <w:sz w:val="24"/>
          <w:szCs w:val="24"/>
          <w:highlight w:val="none"/>
        </w:rPr>
        <w:fldChar w:fldCharType="separate"/>
      </w:r>
      <w:r>
        <w:rPr>
          <w:rFonts w:hint="eastAsia"/>
          <w:color w:val="auto"/>
          <w:sz w:val="24"/>
          <w:szCs w:val="24"/>
          <w:highlight w:val="none"/>
        </w:rPr>
        <w:t>11</w:t>
      </w:r>
      <w:r>
        <w:rPr>
          <w:rFonts w:hint="eastAsia"/>
          <w:color w:val="auto"/>
          <w:sz w:val="24"/>
          <w:szCs w:val="24"/>
          <w:highlight w:val="none"/>
        </w:rPr>
        <w:fldChar w:fldCharType="end"/>
      </w:r>
      <w:r>
        <w:rPr>
          <w:rFonts w:hint="eastAsia"/>
          <w:color w:val="auto"/>
          <w:sz w:val="24"/>
          <w:szCs w:val="24"/>
          <w:highlight w:val="none"/>
        </w:rPr>
        <w:fldChar w:fldCharType="end"/>
      </w:r>
    </w:p>
    <w:p w14:paraId="76EFB549">
      <w:pPr>
        <w:pStyle w:val="14"/>
        <w:tabs>
          <w:tab w:val="right" w:leader="dot" w:pos="8879"/>
          <w:tab w:val="clear" w:pos="8296"/>
        </w:tabs>
        <w:spacing w:line="360" w:lineRule="auto"/>
        <w:rPr>
          <w:rFonts w:hint="eastAsia"/>
          <w:color w:val="auto"/>
          <w:sz w:val="24"/>
          <w:szCs w:val="24"/>
          <w:highlight w:val="none"/>
        </w:rPr>
      </w:pPr>
      <w:r>
        <w:rPr>
          <w:rFonts w:hint="default" w:ascii="宋体" w:hAnsi="宋体" w:eastAsia="宋体" w:cs="宋体"/>
          <w:color w:val="auto"/>
          <w:sz w:val="24"/>
          <w:szCs w:val="24"/>
          <w:highlight w:val="none"/>
        </w:rPr>
        <w:fldChar w:fldCharType="begin"/>
      </w:r>
      <w:r>
        <w:rPr>
          <w:rFonts w:hint="default" w:ascii="宋体" w:hAnsi="宋体" w:eastAsia="宋体" w:cs="宋体"/>
          <w:color w:val="auto"/>
          <w:sz w:val="24"/>
          <w:szCs w:val="24"/>
          <w:highlight w:val="none"/>
        </w:rPr>
        <w:instrText xml:space="preserve"> HYPERLINK \l _Toc32001 </w:instrText>
      </w:r>
      <w:r>
        <w:rPr>
          <w:rFonts w:hint="default" w:ascii="宋体" w:hAnsi="宋体" w:eastAsia="宋体" w:cs="宋体"/>
          <w:color w:val="auto"/>
          <w:sz w:val="24"/>
          <w:szCs w:val="24"/>
          <w:highlight w:val="none"/>
        </w:rPr>
        <w:fldChar w:fldCharType="separate"/>
      </w:r>
      <w:r>
        <w:rPr>
          <w:rFonts w:hint="default" w:ascii="宋体" w:hAnsi="宋体" w:eastAsia="宋体"/>
          <w:color w:val="auto"/>
          <w:sz w:val="24"/>
          <w:szCs w:val="24"/>
          <w:highlight w:val="none"/>
        </w:rPr>
        <w:t>第二节 供应商须知正文</w:t>
      </w:r>
      <w:r>
        <w:rPr>
          <w:rFonts w:hint="eastAsia"/>
          <w:color w:val="auto"/>
          <w:sz w:val="24"/>
          <w:szCs w:val="24"/>
          <w:highlight w:val="none"/>
        </w:rPr>
        <w:tab/>
      </w:r>
      <w:r>
        <w:rPr>
          <w:rFonts w:hint="eastAsia"/>
          <w:color w:val="auto"/>
          <w:sz w:val="24"/>
          <w:szCs w:val="24"/>
          <w:highlight w:val="none"/>
        </w:rPr>
        <w:fldChar w:fldCharType="begin"/>
      </w:r>
      <w:r>
        <w:rPr>
          <w:rFonts w:hint="eastAsia"/>
          <w:color w:val="auto"/>
          <w:sz w:val="24"/>
          <w:szCs w:val="24"/>
          <w:highlight w:val="none"/>
        </w:rPr>
        <w:instrText xml:space="preserve"> PAGEREF _Toc32001 \h </w:instrText>
      </w:r>
      <w:r>
        <w:rPr>
          <w:rFonts w:hint="eastAsia"/>
          <w:color w:val="auto"/>
          <w:sz w:val="24"/>
          <w:szCs w:val="24"/>
          <w:highlight w:val="none"/>
        </w:rPr>
        <w:fldChar w:fldCharType="separate"/>
      </w:r>
      <w:r>
        <w:rPr>
          <w:rFonts w:hint="eastAsia"/>
          <w:color w:val="auto"/>
          <w:sz w:val="24"/>
          <w:szCs w:val="24"/>
          <w:highlight w:val="none"/>
        </w:rPr>
        <w:t>18</w:t>
      </w:r>
      <w:r>
        <w:rPr>
          <w:rFonts w:hint="eastAsia"/>
          <w:color w:val="auto"/>
          <w:sz w:val="24"/>
          <w:szCs w:val="24"/>
          <w:highlight w:val="none"/>
        </w:rPr>
        <w:fldChar w:fldCharType="end"/>
      </w:r>
      <w:r>
        <w:rPr>
          <w:rFonts w:hint="eastAsia"/>
          <w:color w:val="auto"/>
          <w:sz w:val="24"/>
          <w:szCs w:val="24"/>
          <w:highlight w:val="none"/>
        </w:rPr>
        <w:fldChar w:fldCharType="end"/>
      </w:r>
    </w:p>
    <w:p w14:paraId="19A8AE1D">
      <w:pPr>
        <w:pStyle w:val="9"/>
        <w:tabs>
          <w:tab w:val="right" w:leader="dot" w:pos="8879"/>
        </w:tabs>
        <w:spacing w:line="360" w:lineRule="auto"/>
        <w:rPr>
          <w:rFonts w:hint="eastAsia"/>
          <w:color w:val="auto"/>
          <w:sz w:val="24"/>
          <w:szCs w:val="24"/>
          <w:highlight w:val="none"/>
        </w:rPr>
      </w:pPr>
      <w:r>
        <w:rPr>
          <w:rFonts w:hint="default" w:ascii="宋体" w:hAnsi="宋体" w:eastAsia="宋体" w:cs="宋体"/>
          <w:color w:val="auto"/>
          <w:sz w:val="24"/>
          <w:szCs w:val="24"/>
          <w:highlight w:val="none"/>
        </w:rPr>
        <w:fldChar w:fldCharType="begin"/>
      </w:r>
      <w:r>
        <w:rPr>
          <w:rFonts w:hint="default" w:ascii="宋体" w:hAnsi="宋体" w:eastAsia="宋体" w:cs="宋体"/>
          <w:color w:val="auto"/>
          <w:sz w:val="24"/>
          <w:szCs w:val="24"/>
          <w:highlight w:val="none"/>
        </w:rPr>
        <w:instrText xml:space="preserve"> HYPERLINK \l _Toc19041 </w:instrText>
      </w:r>
      <w:r>
        <w:rPr>
          <w:rFonts w:hint="default" w:ascii="宋体" w:hAnsi="宋体" w:eastAsia="宋体" w:cs="宋体"/>
          <w:color w:val="auto"/>
          <w:sz w:val="24"/>
          <w:szCs w:val="24"/>
          <w:highlight w:val="none"/>
        </w:rPr>
        <w:fldChar w:fldCharType="separate"/>
      </w:r>
      <w:r>
        <w:rPr>
          <w:rFonts w:hint="default" w:ascii="宋体" w:hAnsi="宋体" w:eastAsia="宋体" w:cs="宋体"/>
          <w:color w:val="auto"/>
          <w:sz w:val="24"/>
          <w:szCs w:val="24"/>
          <w:highlight w:val="none"/>
        </w:rPr>
        <w:t>一、总则</w:t>
      </w:r>
      <w:r>
        <w:rPr>
          <w:rFonts w:hint="eastAsia"/>
          <w:color w:val="auto"/>
          <w:sz w:val="24"/>
          <w:szCs w:val="24"/>
          <w:highlight w:val="none"/>
        </w:rPr>
        <w:tab/>
      </w:r>
      <w:r>
        <w:rPr>
          <w:rFonts w:hint="eastAsia"/>
          <w:color w:val="auto"/>
          <w:sz w:val="24"/>
          <w:szCs w:val="24"/>
          <w:highlight w:val="none"/>
        </w:rPr>
        <w:fldChar w:fldCharType="begin"/>
      </w:r>
      <w:r>
        <w:rPr>
          <w:rFonts w:hint="eastAsia"/>
          <w:color w:val="auto"/>
          <w:sz w:val="24"/>
          <w:szCs w:val="24"/>
          <w:highlight w:val="none"/>
        </w:rPr>
        <w:instrText xml:space="preserve"> PAGEREF _Toc19041 \h </w:instrText>
      </w:r>
      <w:r>
        <w:rPr>
          <w:rFonts w:hint="eastAsia"/>
          <w:color w:val="auto"/>
          <w:sz w:val="24"/>
          <w:szCs w:val="24"/>
          <w:highlight w:val="none"/>
        </w:rPr>
        <w:fldChar w:fldCharType="separate"/>
      </w:r>
      <w:r>
        <w:rPr>
          <w:rFonts w:hint="eastAsia"/>
          <w:color w:val="auto"/>
          <w:sz w:val="24"/>
          <w:szCs w:val="24"/>
          <w:highlight w:val="none"/>
        </w:rPr>
        <w:t>18</w:t>
      </w:r>
      <w:r>
        <w:rPr>
          <w:rFonts w:hint="eastAsia"/>
          <w:color w:val="auto"/>
          <w:sz w:val="24"/>
          <w:szCs w:val="24"/>
          <w:highlight w:val="none"/>
        </w:rPr>
        <w:fldChar w:fldCharType="end"/>
      </w:r>
      <w:r>
        <w:rPr>
          <w:rFonts w:hint="eastAsia"/>
          <w:color w:val="auto"/>
          <w:sz w:val="24"/>
          <w:szCs w:val="24"/>
          <w:highlight w:val="none"/>
        </w:rPr>
        <w:fldChar w:fldCharType="end"/>
      </w:r>
    </w:p>
    <w:p w14:paraId="7D98DF50">
      <w:pPr>
        <w:pStyle w:val="9"/>
        <w:tabs>
          <w:tab w:val="right" w:leader="dot" w:pos="8879"/>
        </w:tabs>
        <w:spacing w:line="360" w:lineRule="auto"/>
        <w:rPr>
          <w:rFonts w:hint="eastAsia"/>
          <w:color w:val="auto"/>
          <w:sz w:val="24"/>
          <w:szCs w:val="24"/>
          <w:highlight w:val="none"/>
        </w:rPr>
      </w:pPr>
      <w:r>
        <w:rPr>
          <w:rFonts w:hint="default" w:ascii="宋体" w:hAnsi="宋体" w:eastAsia="宋体" w:cs="宋体"/>
          <w:color w:val="auto"/>
          <w:sz w:val="24"/>
          <w:szCs w:val="24"/>
          <w:highlight w:val="none"/>
        </w:rPr>
        <w:fldChar w:fldCharType="begin"/>
      </w:r>
      <w:r>
        <w:rPr>
          <w:rFonts w:hint="default" w:ascii="宋体" w:hAnsi="宋体" w:eastAsia="宋体" w:cs="宋体"/>
          <w:color w:val="auto"/>
          <w:sz w:val="24"/>
          <w:szCs w:val="24"/>
          <w:highlight w:val="none"/>
        </w:rPr>
        <w:instrText xml:space="preserve"> HYPERLINK \l _Toc7590 </w:instrText>
      </w:r>
      <w:r>
        <w:rPr>
          <w:rFonts w:hint="default" w:ascii="宋体" w:hAnsi="宋体" w:eastAsia="宋体" w:cs="宋体"/>
          <w:color w:val="auto"/>
          <w:sz w:val="24"/>
          <w:szCs w:val="24"/>
          <w:highlight w:val="none"/>
        </w:rPr>
        <w:fldChar w:fldCharType="separate"/>
      </w:r>
      <w:r>
        <w:rPr>
          <w:rFonts w:hint="default" w:ascii="宋体" w:hAnsi="宋体" w:eastAsia="宋体" w:cs="宋体"/>
          <w:color w:val="auto"/>
          <w:sz w:val="24"/>
          <w:szCs w:val="24"/>
          <w:highlight w:val="none"/>
        </w:rPr>
        <w:t>二、磋商文件</w:t>
      </w:r>
      <w:r>
        <w:rPr>
          <w:rFonts w:hint="eastAsia"/>
          <w:color w:val="auto"/>
          <w:sz w:val="24"/>
          <w:szCs w:val="24"/>
          <w:highlight w:val="none"/>
        </w:rPr>
        <w:tab/>
      </w:r>
      <w:r>
        <w:rPr>
          <w:rFonts w:hint="eastAsia"/>
          <w:color w:val="auto"/>
          <w:sz w:val="24"/>
          <w:szCs w:val="24"/>
          <w:highlight w:val="none"/>
        </w:rPr>
        <w:fldChar w:fldCharType="begin"/>
      </w:r>
      <w:r>
        <w:rPr>
          <w:rFonts w:hint="eastAsia"/>
          <w:color w:val="auto"/>
          <w:sz w:val="24"/>
          <w:szCs w:val="24"/>
          <w:highlight w:val="none"/>
        </w:rPr>
        <w:instrText xml:space="preserve"> PAGEREF _Toc7590 \h </w:instrText>
      </w:r>
      <w:r>
        <w:rPr>
          <w:rFonts w:hint="eastAsia"/>
          <w:color w:val="auto"/>
          <w:sz w:val="24"/>
          <w:szCs w:val="24"/>
          <w:highlight w:val="none"/>
        </w:rPr>
        <w:fldChar w:fldCharType="separate"/>
      </w:r>
      <w:r>
        <w:rPr>
          <w:rFonts w:hint="eastAsia"/>
          <w:color w:val="auto"/>
          <w:sz w:val="24"/>
          <w:szCs w:val="24"/>
          <w:highlight w:val="none"/>
        </w:rPr>
        <w:t>21</w:t>
      </w:r>
      <w:r>
        <w:rPr>
          <w:rFonts w:hint="eastAsia"/>
          <w:color w:val="auto"/>
          <w:sz w:val="24"/>
          <w:szCs w:val="24"/>
          <w:highlight w:val="none"/>
        </w:rPr>
        <w:fldChar w:fldCharType="end"/>
      </w:r>
      <w:r>
        <w:rPr>
          <w:rFonts w:hint="eastAsia"/>
          <w:color w:val="auto"/>
          <w:sz w:val="24"/>
          <w:szCs w:val="24"/>
          <w:highlight w:val="none"/>
        </w:rPr>
        <w:fldChar w:fldCharType="end"/>
      </w:r>
    </w:p>
    <w:p w14:paraId="47895342">
      <w:pPr>
        <w:pStyle w:val="9"/>
        <w:tabs>
          <w:tab w:val="right" w:leader="dot" w:pos="8879"/>
        </w:tabs>
        <w:spacing w:line="360" w:lineRule="auto"/>
        <w:rPr>
          <w:rFonts w:hint="eastAsia"/>
          <w:color w:val="auto"/>
          <w:sz w:val="24"/>
          <w:szCs w:val="24"/>
          <w:highlight w:val="none"/>
        </w:rPr>
      </w:pPr>
      <w:r>
        <w:rPr>
          <w:rFonts w:hint="default" w:ascii="宋体" w:hAnsi="宋体" w:eastAsia="宋体" w:cs="宋体"/>
          <w:color w:val="auto"/>
          <w:sz w:val="24"/>
          <w:szCs w:val="24"/>
          <w:highlight w:val="none"/>
        </w:rPr>
        <w:fldChar w:fldCharType="begin"/>
      </w:r>
      <w:r>
        <w:rPr>
          <w:rFonts w:hint="default" w:ascii="宋体" w:hAnsi="宋体" w:eastAsia="宋体" w:cs="宋体"/>
          <w:color w:val="auto"/>
          <w:sz w:val="24"/>
          <w:szCs w:val="24"/>
          <w:highlight w:val="none"/>
        </w:rPr>
        <w:instrText xml:space="preserve"> HYPERLINK \l _Toc5143 </w:instrText>
      </w:r>
      <w:r>
        <w:rPr>
          <w:rFonts w:hint="default" w:ascii="宋体" w:hAnsi="宋体" w:eastAsia="宋体" w:cs="宋体"/>
          <w:color w:val="auto"/>
          <w:sz w:val="24"/>
          <w:szCs w:val="24"/>
          <w:highlight w:val="none"/>
        </w:rPr>
        <w:fldChar w:fldCharType="separate"/>
      </w:r>
      <w:r>
        <w:rPr>
          <w:rFonts w:hint="default" w:ascii="宋体" w:hAnsi="宋体" w:eastAsia="宋体" w:cs="宋体"/>
          <w:color w:val="auto"/>
          <w:sz w:val="24"/>
          <w:szCs w:val="24"/>
          <w:highlight w:val="none"/>
        </w:rPr>
        <w:t>三、响应文件的编制</w:t>
      </w:r>
      <w:r>
        <w:rPr>
          <w:rFonts w:hint="eastAsia"/>
          <w:color w:val="auto"/>
          <w:sz w:val="24"/>
          <w:szCs w:val="24"/>
          <w:highlight w:val="none"/>
        </w:rPr>
        <w:tab/>
      </w:r>
      <w:r>
        <w:rPr>
          <w:rFonts w:hint="eastAsia"/>
          <w:color w:val="auto"/>
          <w:sz w:val="24"/>
          <w:szCs w:val="24"/>
          <w:highlight w:val="none"/>
        </w:rPr>
        <w:fldChar w:fldCharType="begin"/>
      </w:r>
      <w:r>
        <w:rPr>
          <w:rFonts w:hint="eastAsia"/>
          <w:color w:val="auto"/>
          <w:sz w:val="24"/>
          <w:szCs w:val="24"/>
          <w:highlight w:val="none"/>
        </w:rPr>
        <w:instrText xml:space="preserve"> PAGEREF _Toc5143 \h </w:instrText>
      </w:r>
      <w:r>
        <w:rPr>
          <w:rFonts w:hint="eastAsia"/>
          <w:color w:val="auto"/>
          <w:sz w:val="24"/>
          <w:szCs w:val="24"/>
          <w:highlight w:val="none"/>
        </w:rPr>
        <w:fldChar w:fldCharType="separate"/>
      </w:r>
      <w:r>
        <w:rPr>
          <w:rFonts w:hint="eastAsia"/>
          <w:color w:val="auto"/>
          <w:sz w:val="24"/>
          <w:szCs w:val="24"/>
          <w:highlight w:val="none"/>
        </w:rPr>
        <w:t>22</w:t>
      </w:r>
      <w:r>
        <w:rPr>
          <w:rFonts w:hint="eastAsia"/>
          <w:color w:val="auto"/>
          <w:sz w:val="24"/>
          <w:szCs w:val="24"/>
          <w:highlight w:val="none"/>
        </w:rPr>
        <w:fldChar w:fldCharType="end"/>
      </w:r>
      <w:r>
        <w:rPr>
          <w:rFonts w:hint="eastAsia"/>
          <w:color w:val="auto"/>
          <w:sz w:val="24"/>
          <w:szCs w:val="24"/>
          <w:highlight w:val="none"/>
        </w:rPr>
        <w:fldChar w:fldCharType="end"/>
      </w:r>
    </w:p>
    <w:p w14:paraId="502E8DC6">
      <w:pPr>
        <w:pStyle w:val="9"/>
        <w:tabs>
          <w:tab w:val="right" w:leader="dot" w:pos="8879"/>
        </w:tabs>
        <w:spacing w:line="360" w:lineRule="auto"/>
        <w:ind w:left="0" w:leftChars="0" w:firstLine="960" w:firstLineChars="400"/>
        <w:rPr>
          <w:rFonts w:hint="eastAsia"/>
          <w:color w:val="auto"/>
          <w:sz w:val="24"/>
          <w:szCs w:val="24"/>
          <w:highlight w:val="none"/>
        </w:rPr>
      </w:pPr>
      <w:r>
        <w:rPr>
          <w:rFonts w:hint="default" w:ascii="宋体" w:hAnsi="宋体" w:eastAsia="宋体" w:cs="宋体"/>
          <w:color w:val="auto"/>
          <w:sz w:val="24"/>
          <w:szCs w:val="24"/>
          <w:highlight w:val="none"/>
        </w:rPr>
        <w:fldChar w:fldCharType="begin"/>
      </w:r>
      <w:r>
        <w:rPr>
          <w:rFonts w:hint="default" w:ascii="宋体" w:hAnsi="宋体" w:eastAsia="宋体" w:cs="宋体"/>
          <w:color w:val="auto"/>
          <w:sz w:val="24"/>
          <w:szCs w:val="24"/>
          <w:highlight w:val="none"/>
        </w:rPr>
        <w:instrText xml:space="preserve"> HYPERLINK \l _Toc14519 </w:instrText>
      </w:r>
      <w:r>
        <w:rPr>
          <w:rFonts w:hint="default" w:ascii="宋体" w:hAnsi="宋体" w:eastAsia="宋体" w:cs="宋体"/>
          <w:color w:val="auto"/>
          <w:sz w:val="24"/>
          <w:szCs w:val="24"/>
          <w:highlight w:val="none"/>
        </w:rPr>
        <w:fldChar w:fldCharType="separate"/>
      </w:r>
      <w:r>
        <w:rPr>
          <w:rFonts w:hint="default" w:ascii="宋体" w:hAnsi="宋体" w:eastAsia="宋体" w:cs="宋体"/>
          <w:color w:val="auto"/>
          <w:sz w:val="24"/>
          <w:szCs w:val="24"/>
          <w:highlight w:val="none"/>
        </w:rPr>
        <w:t>四、评审及磋商</w:t>
      </w:r>
      <w:r>
        <w:rPr>
          <w:rFonts w:hint="eastAsia"/>
          <w:color w:val="auto"/>
          <w:sz w:val="24"/>
          <w:szCs w:val="24"/>
          <w:highlight w:val="none"/>
        </w:rPr>
        <w:tab/>
      </w:r>
      <w:r>
        <w:rPr>
          <w:rFonts w:hint="eastAsia"/>
          <w:color w:val="auto"/>
          <w:sz w:val="24"/>
          <w:szCs w:val="24"/>
          <w:highlight w:val="none"/>
        </w:rPr>
        <w:fldChar w:fldCharType="begin"/>
      </w:r>
      <w:r>
        <w:rPr>
          <w:rFonts w:hint="eastAsia"/>
          <w:color w:val="auto"/>
          <w:sz w:val="24"/>
          <w:szCs w:val="24"/>
          <w:highlight w:val="none"/>
        </w:rPr>
        <w:instrText xml:space="preserve"> PAGEREF _Toc14519 \h </w:instrText>
      </w:r>
      <w:r>
        <w:rPr>
          <w:rFonts w:hint="eastAsia"/>
          <w:color w:val="auto"/>
          <w:sz w:val="24"/>
          <w:szCs w:val="24"/>
          <w:highlight w:val="none"/>
        </w:rPr>
        <w:fldChar w:fldCharType="separate"/>
      </w:r>
      <w:r>
        <w:rPr>
          <w:rFonts w:hint="eastAsia"/>
          <w:color w:val="auto"/>
          <w:sz w:val="24"/>
          <w:szCs w:val="24"/>
          <w:highlight w:val="none"/>
        </w:rPr>
        <w:t>25</w:t>
      </w:r>
      <w:r>
        <w:rPr>
          <w:rFonts w:hint="eastAsia"/>
          <w:color w:val="auto"/>
          <w:sz w:val="24"/>
          <w:szCs w:val="24"/>
          <w:highlight w:val="none"/>
        </w:rPr>
        <w:fldChar w:fldCharType="end"/>
      </w:r>
      <w:r>
        <w:rPr>
          <w:rFonts w:hint="eastAsia"/>
          <w:color w:val="auto"/>
          <w:sz w:val="24"/>
          <w:szCs w:val="24"/>
          <w:highlight w:val="none"/>
        </w:rPr>
        <w:fldChar w:fldCharType="end"/>
      </w:r>
    </w:p>
    <w:p w14:paraId="343B74E5">
      <w:pPr>
        <w:pStyle w:val="9"/>
        <w:tabs>
          <w:tab w:val="right" w:leader="dot" w:pos="8879"/>
        </w:tabs>
        <w:spacing w:line="360" w:lineRule="auto"/>
        <w:rPr>
          <w:rFonts w:hint="eastAsia"/>
          <w:color w:val="auto"/>
          <w:sz w:val="24"/>
          <w:szCs w:val="24"/>
          <w:highlight w:val="none"/>
        </w:rPr>
      </w:pPr>
      <w:r>
        <w:rPr>
          <w:rFonts w:hint="default" w:ascii="宋体" w:hAnsi="宋体" w:eastAsia="宋体" w:cs="宋体"/>
          <w:color w:val="auto"/>
          <w:sz w:val="24"/>
          <w:szCs w:val="24"/>
          <w:highlight w:val="none"/>
        </w:rPr>
        <w:fldChar w:fldCharType="begin"/>
      </w:r>
      <w:r>
        <w:rPr>
          <w:rFonts w:hint="default" w:ascii="宋体" w:hAnsi="宋体" w:eastAsia="宋体" w:cs="宋体"/>
          <w:color w:val="auto"/>
          <w:sz w:val="24"/>
          <w:szCs w:val="24"/>
          <w:highlight w:val="none"/>
        </w:rPr>
        <w:instrText xml:space="preserve"> HYPERLINK \l _Toc7246 </w:instrText>
      </w:r>
      <w:r>
        <w:rPr>
          <w:rFonts w:hint="default" w:ascii="宋体" w:hAnsi="宋体" w:eastAsia="宋体" w:cs="宋体"/>
          <w:color w:val="auto"/>
          <w:sz w:val="24"/>
          <w:szCs w:val="24"/>
          <w:highlight w:val="none"/>
        </w:rPr>
        <w:fldChar w:fldCharType="separate"/>
      </w:r>
      <w:r>
        <w:rPr>
          <w:rFonts w:hint="default" w:ascii="宋体" w:hAnsi="宋体" w:eastAsia="宋体" w:cs="宋体"/>
          <w:color w:val="auto"/>
          <w:sz w:val="24"/>
          <w:szCs w:val="24"/>
          <w:highlight w:val="none"/>
        </w:rPr>
        <w:t>五、成交及合同</w:t>
      </w:r>
      <w:r>
        <w:rPr>
          <w:rFonts w:hint="eastAsia"/>
          <w:color w:val="auto"/>
          <w:sz w:val="24"/>
          <w:szCs w:val="24"/>
          <w:highlight w:val="none"/>
        </w:rPr>
        <w:tab/>
      </w:r>
      <w:r>
        <w:rPr>
          <w:rFonts w:hint="eastAsia"/>
          <w:color w:val="auto"/>
          <w:sz w:val="24"/>
          <w:szCs w:val="24"/>
          <w:highlight w:val="none"/>
        </w:rPr>
        <w:fldChar w:fldCharType="begin"/>
      </w:r>
      <w:r>
        <w:rPr>
          <w:rFonts w:hint="eastAsia"/>
          <w:color w:val="auto"/>
          <w:sz w:val="24"/>
          <w:szCs w:val="24"/>
          <w:highlight w:val="none"/>
        </w:rPr>
        <w:instrText xml:space="preserve"> PAGEREF _Toc7246 \h </w:instrText>
      </w:r>
      <w:r>
        <w:rPr>
          <w:rFonts w:hint="eastAsia"/>
          <w:color w:val="auto"/>
          <w:sz w:val="24"/>
          <w:szCs w:val="24"/>
          <w:highlight w:val="none"/>
        </w:rPr>
        <w:fldChar w:fldCharType="separate"/>
      </w:r>
      <w:r>
        <w:rPr>
          <w:rFonts w:hint="eastAsia"/>
          <w:color w:val="auto"/>
          <w:sz w:val="24"/>
          <w:szCs w:val="24"/>
          <w:highlight w:val="none"/>
        </w:rPr>
        <w:t>26</w:t>
      </w:r>
      <w:r>
        <w:rPr>
          <w:rFonts w:hint="eastAsia"/>
          <w:color w:val="auto"/>
          <w:sz w:val="24"/>
          <w:szCs w:val="24"/>
          <w:highlight w:val="none"/>
        </w:rPr>
        <w:fldChar w:fldCharType="end"/>
      </w:r>
      <w:r>
        <w:rPr>
          <w:rFonts w:hint="eastAsia"/>
          <w:color w:val="auto"/>
          <w:sz w:val="24"/>
          <w:szCs w:val="24"/>
          <w:highlight w:val="none"/>
        </w:rPr>
        <w:fldChar w:fldCharType="end"/>
      </w:r>
    </w:p>
    <w:p w14:paraId="0DAF56F3">
      <w:pPr>
        <w:pStyle w:val="9"/>
        <w:tabs>
          <w:tab w:val="right" w:leader="dot" w:pos="8879"/>
        </w:tabs>
        <w:spacing w:line="360" w:lineRule="auto"/>
        <w:rPr>
          <w:rFonts w:hint="eastAsia"/>
          <w:color w:val="auto"/>
          <w:sz w:val="24"/>
          <w:szCs w:val="24"/>
          <w:highlight w:val="none"/>
        </w:rPr>
      </w:pPr>
      <w:r>
        <w:rPr>
          <w:rFonts w:hint="default" w:ascii="宋体" w:hAnsi="宋体" w:eastAsia="宋体" w:cs="宋体"/>
          <w:color w:val="auto"/>
          <w:sz w:val="24"/>
          <w:szCs w:val="24"/>
          <w:highlight w:val="none"/>
        </w:rPr>
        <w:fldChar w:fldCharType="begin"/>
      </w:r>
      <w:r>
        <w:rPr>
          <w:rFonts w:hint="default" w:ascii="宋体" w:hAnsi="宋体" w:eastAsia="宋体" w:cs="宋体"/>
          <w:color w:val="auto"/>
          <w:sz w:val="24"/>
          <w:szCs w:val="24"/>
          <w:highlight w:val="none"/>
        </w:rPr>
        <w:instrText xml:space="preserve"> HYPERLINK \l _Toc7073 </w:instrText>
      </w:r>
      <w:r>
        <w:rPr>
          <w:rFonts w:hint="default" w:ascii="宋体" w:hAnsi="宋体" w:eastAsia="宋体" w:cs="宋体"/>
          <w:color w:val="auto"/>
          <w:sz w:val="24"/>
          <w:szCs w:val="24"/>
          <w:highlight w:val="none"/>
        </w:rPr>
        <w:fldChar w:fldCharType="separate"/>
      </w:r>
      <w:r>
        <w:rPr>
          <w:rFonts w:hint="default" w:ascii="宋体" w:hAnsi="宋体" w:eastAsia="宋体" w:cs="宋体"/>
          <w:color w:val="auto"/>
          <w:sz w:val="24"/>
          <w:szCs w:val="24"/>
          <w:highlight w:val="none"/>
        </w:rPr>
        <w:t>六、验收</w:t>
      </w:r>
      <w:r>
        <w:rPr>
          <w:rFonts w:hint="eastAsia"/>
          <w:color w:val="auto"/>
          <w:sz w:val="24"/>
          <w:szCs w:val="24"/>
          <w:highlight w:val="none"/>
        </w:rPr>
        <w:tab/>
      </w:r>
      <w:r>
        <w:rPr>
          <w:rFonts w:hint="eastAsia"/>
          <w:color w:val="auto"/>
          <w:sz w:val="24"/>
          <w:szCs w:val="24"/>
          <w:highlight w:val="none"/>
        </w:rPr>
        <w:fldChar w:fldCharType="begin"/>
      </w:r>
      <w:r>
        <w:rPr>
          <w:rFonts w:hint="eastAsia"/>
          <w:color w:val="auto"/>
          <w:sz w:val="24"/>
          <w:szCs w:val="24"/>
          <w:highlight w:val="none"/>
        </w:rPr>
        <w:instrText xml:space="preserve"> PAGEREF _Toc7073 \h </w:instrText>
      </w:r>
      <w:r>
        <w:rPr>
          <w:rFonts w:hint="eastAsia"/>
          <w:color w:val="auto"/>
          <w:sz w:val="24"/>
          <w:szCs w:val="24"/>
          <w:highlight w:val="none"/>
        </w:rPr>
        <w:fldChar w:fldCharType="separate"/>
      </w:r>
      <w:r>
        <w:rPr>
          <w:rFonts w:hint="eastAsia"/>
          <w:color w:val="auto"/>
          <w:sz w:val="24"/>
          <w:szCs w:val="24"/>
          <w:highlight w:val="none"/>
        </w:rPr>
        <w:t>30</w:t>
      </w:r>
      <w:r>
        <w:rPr>
          <w:rFonts w:hint="eastAsia"/>
          <w:color w:val="auto"/>
          <w:sz w:val="24"/>
          <w:szCs w:val="24"/>
          <w:highlight w:val="none"/>
        </w:rPr>
        <w:fldChar w:fldCharType="end"/>
      </w:r>
      <w:r>
        <w:rPr>
          <w:rFonts w:hint="eastAsia"/>
          <w:color w:val="auto"/>
          <w:sz w:val="24"/>
          <w:szCs w:val="24"/>
          <w:highlight w:val="none"/>
        </w:rPr>
        <w:fldChar w:fldCharType="end"/>
      </w:r>
    </w:p>
    <w:p w14:paraId="225BB196">
      <w:pPr>
        <w:pStyle w:val="9"/>
        <w:tabs>
          <w:tab w:val="right" w:leader="dot" w:pos="8879"/>
        </w:tabs>
        <w:spacing w:line="360" w:lineRule="auto"/>
        <w:rPr>
          <w:rFonts w:hint="eastAsia"/>
          <w:color w:val="auto"/>
          <w:sz w:val="24"/>
          <w:szCs w:val="24"/>
          <w:highlight w:val="none"/>
        </w:rPr>
      </w:pPr>
      <w:r>
        <w:rPr>
          <w:rFonts w:hint="default" w:ascii="宋体" w:hAnsi="宋体" w:eastAsia="宋体" w:cs="宋体"/>
          <w:color w:val="auto"/>
          <w:sz w:val="24"/>
          <w:szCs w:val="24"/>
          <w:highlight w:val="none"/>
        </w:rPr>
        <w:fldChar w:fldCharType="begin"/>
      </w:r>
      <w:r>
        <w:rPr>
          <w:rFonts w:hint="default" w:ascii="宋体" w:hAnsi="宋体" w:eastAsia="宋体" w:cs="宋体"/>
          <w:color w:val="auto"/>
          <w:sz w:val="24"/>
          <w:szCs w:val="24"/>
          <w:highlight w:val="none"/>
        </w:rPr>
        <w:instrText xml:space="preserve"> HYPERLINK \l _Toc24790 </w:instrText>
      </w:r>
      <w:r>
        <w:rPr>
          <w:rFonts w:hint="default" w:ascii="宋体" w:hAnsi="宋体" w:eastAsia="宋体" w:cs="宋体"/>
          <w:color w:val="auto"/>
          <w:sz w:val="24"/>
          <w:szCs w:val="24"/>
          <w:highlight w:val="none"/>
        </w:rPr>
        <w:fldChar w:fldCharType="separate"/>
      </w:r>
      <w:r>
        <w:rPr>
          <w:rFonts w:hint="default" w:ascii="宋体" w:hAnsi="宋体" w:eastAsia="宋体" w:cs="宋体"/>
          <w:color w:val="auto"/>
          <w:sz w:val="24"/>
          <w:szCs w:val="24"/>
          <w:highlight w:val="none"/>
        </w:rPr>
        <w:t>七、其他事项</w:t>
      </w:r>
      <w:r>
        <w:rPr>
          <w:rFonts w:hint="eastAsia"/>
          <w:color w:val="auto"/>
          <w:sz w:val="24"/>
          <w:szCs w:val="24"/>
          <w:highlight w:val="none"/>
        </w:rPr>
        <w:tab/>
      </w:r>
      <w:r>
        <w:rPr>
          <w:rFonts w:hint="eastAsia"/>
          <w:color w:val="auto"/>
          <w:sz w:val="24"/>
          <w:szCs w:val="24"/>
          <w:highlight w:val="none"/>
        </w:rPr>
        <w:fldChar w:fldCharType="begin"/>
      </w:r>
      <w:r>
        <w:rPr>
          <w:rFonts w:hint="eastAsia"/>
          <w:color w:val="auto"/>
          <w:sz w:val="24"/>
          <w:szCs w:val="24"/>
          <w:highlight w:val="none"/>
        </w:rPr>
        <w:instrText xml:space="preserve"> PAGEREF _Toc24790 \h </w:instrText>
      </w:r>
      <w:r>
        <w:rPr>
          <w:rFonts w:hint="eastAsia"/>
          <w:color w:val="auto"/>
          <w:sz w:val="24"/>
          <w:szCs w:val="24"/>
          <w:highlight w:val="none"/>
        </w:rPr>
        <w:fldChar w:fldCharType="separate"/>
      </w:r>
      <w:r>
        <w:rPr>
          <w:rFonts w:hint="eastAsia"/>
          <w:color w:val="auto"/>
          <w:sz w:val="24"/>
          <w:szCs w:val="24"/>
          <w:highlight w:val="none"/>
        </w:rPr>
        <w:t>31</w:t>
      </w:r>
      <w:r>
        <w:rPr>
          <w:rFonts w:hint="eastAsia"/>
          <w:color w:val="auto"/>
          <w:sz w:val="24"/>
          <w:szCs w:val="24"/>
          <w:highlight w:val="none"/>
        </w:rPr>
        <w:fldChar w:fldCharType="end"/>
      </w:r>
      <w:r>
        <w:rPr>
          <w:rFonts w:hint="eastAsia"/>
          <w:color w:val="auto"/>
          <w:sz w:val="24"/>
          <w:szCs w:val="24"/>
          <w:highlight w:val="none"/>
        </w:rPr>
        <w:fldChar w:fldCharType="end"/>
      </w:r>
    </w:p>
    <w:p w14:paraId="3EE55CC9">
      <w:pPr>
        <w:pStyle w:val="14"/>
        <w:tabs>
          <w:tab w:val="right" w:leader="dot" w:pos="8879"/>
          <w:tab w:val="clear" w:pos="8296"/>
        </w:tabs>
        <w:spacing w:line="360" w:lineRule="auto"/>
        <w:rPr>
          <w:rFonts w:hint="eastAsia"/>
          <w:color w:val="auto"/>
          <w:sz w:val="24"/>
          <w:szCs w:val="24"/>
          <w:highlight w:val="none"/>
        </w:rPr>
      </w:pPr>
      <w:r>
        <w:rPr>
          <w:rFonts w:hint="default" w:ascii="宋体" w:hAnsi="宋体" w:eastAsia="宋体" w:cs="宋体"/>
          <w:color w:val="auto"/>
          <w:sz w:val="24"/>
          <w:szCs w:val="24"/>
          <w:highlight w:val="none"/>
        </w:rPr>
        <w:fldChar w:fldCharType="begin"/>
      </w:r>
      <w:r>
        <w:rPr>
          <w:rFonts w:hint="default" w:ascii="宋体" w:hAnsi="宋体" w:eastAsia="宋体" w:cs="宋体"/>
          <w:color w:val="auto"/>
          <w:sz w:val="24"/>
          <w:szCs w:val="24"/>
          <w:highlight w:val="none"/>
        </w:rPr>
        <w:instrText xml:space="preserve"> HYPERLINK \l _Toc22682 </w:instrText>
      </w:r>
      <w:r>
        <w:rPr>
          <w:rFonts w:hint="default" w:ascii="宋体" w:hAnsi="宋体" w:eastAsia="宋体" w:cs="宋体"/>
          <w:color w:val="auto"/>
          <w:sz w:val="24"/>
          <w:szCs w:val="24"/>
          <w:highlight w:val="none"/>
        </w:rPr>
        <w:fldChar w:fldCharType="separate"/>
      </w:r>
      <w:r>
        <w:rPr>
          <w:rFonts w:hint="default" w:ascii="宋体" w:hAnsi="宋体" w:eastAsia="宋体"/>
          <w:color w:val="auto"/>
          <w:sz w:val="24"/>
          <w:szCs w:val="24"/>
          <w:highlight w:val="none"/>
        </w:rPr>
        <w:t>第一节 评审程序和评审方法</w:t>
      </w:r>
      <w:r>
        <w:rPr>
          <w:rFonts w:hint="eastAsia"/>
          <w:color w:val="auto"/>
          <w:sz w:val="24"/>
          <w:szCs w:val="24"/>
          <w:highlight w:val="none"/>
        </w:rPr>
        <w:tab/>
      </w:r>
      <w:r>
        <w:rPr>
          <w:rFonts w:hint="eastAsia"/>
          <w:color w:val="auto"/>
          <w:sz w:val="24"/>
          <w:szCs w:val="24"/>
          <w:highlight w:val="none"/>
        </w:rPr>
        <w:fldChar w:fldCharType="begin"/>
      </w:r>
      <w:r>
        <w:rPr>
          <w:rFonts w:hint="eastAsia"/>
          <w:color w:val="auto"/>
          <w:sz w:val="24"/>
          <w:szCs w:val="24"/>
          <w:highlight w:val="none"/>
        </w:rPr>
        <w:instrText xml:space="preserve"> PAGEREF _Toc22682 \h </w:instrText>
      </w:r>
      <w:r>
        <w:rPr>
          <w:rFonts w:hint="eastAsia"/>
          <w:color w:val="auto"/>
          <w:sz w:val="24"/>
          <w:szCs w:val="24"/>
          <w:highlight w:val="none"/>
        </w:rPr>
        <w:fldChar w:fldCharType="separate"/>
      </w:r>
      <w:r>
        <w:rPr>
          <w:rFonts w:hint="eastAsia"/>
          <w:color w:val="auto"/>
          <w:sz w:val="24"/>
          <w:szCs w:val="24"/>
          <w:highlight w:val="none"/>
        </w:rPr>
        <w:t>32</w:t>
      </w:r>
      <w:r>
        <w:rPr>
          <w:rFonts w:hint="eastAsia"/>
          <w:color w:val="auto"/>
          <w:sz w:val="24"/>
          <w:szCs w:val="24"/>
          <w:highlight w:val="none"/>
        </w:rPr>
        <w:fldChar w:fldCharType="end"/>
      </w:r>
      <w:r>
        <w:rPr>
          <w:rFonts w:hint="eastAsia"/>
          <w:color w:val="auto"/>
          <w:sz w:val="24"/>
          <w:szCs w:val="24"/>
          <w:highlight w:val="none"/>
        </w:rPr>
        <w:fldChar w:fldCharType="end"/>
      </w:r>
    </w:p>
    <w:p w14:paraId="296DBDAD">
      <w:pPr>
        <w:pStyle w:val="14"/>
        <w:tabs>
          <w:tab w:val="right" w:leader="dot" w:pos="8879"/>
          <w:tab w:val="clear" w:pos="8296"/>
        </w:tabs>
        <w:spacing w:line="360" w:lineRule="auto"/>
        <w:rPr>
          <w:rFonts w:hint="eastAsia"/>
          <w:color w:val="auto"/>
          <w:sz w:val="21"/>
          <w:szCs w:val="24"/>
          <w:highlight w:val="none"/>
        </w:rPr>
      </w:pPr>
      <w:r>
        <w:rPr>
          <w:rFonts w:hint="default" w:ascii="宋体" w:hAnsi="宋体" w:eastAsia="宋体" w:cs="宋体"/>
          <w:color w:val="auto"/>
          <w:sz w:val="24"/>
          <w:szCs w:val="24"/>
          <w:highlight w:val="none"/>
        </w:rPr>
        <w:fldChar w:fldCharType="begin"/>
      </w:r>
      <w:r>
        <w:rPr>
          <w:rFonts w:hint="default" w:ascii="宋体" w:hAnsi="宋体" w:eastAsia="宋体" w:cs="宋体"/>
          <w:color w:val="auto"/>
          <w:sz w:val="24"/>
          <w:szCs w:val="24"/>
          <w:highlight w:val="none"/>
        </w:rPr>
        <w:instrText xml:space="preserve"> HYPERLINK \l _Toc10329 </w:instrText>
      </w:r>
      <w:r>
        <w:rPr>
          <w:rFonts w:hint="default" w:ascii="宋体" w:hAnsi="宋体" w:eastAsia="宋体" w:cs="宋体"/>
          <w:color w:val="auto"/>
          <w:sz w:val="24"/>
          <w:szCs w:val="24"/>
          <w:highlight w:val="none"/>
        </w:rPr>
        <w:fldChar w:fldCharType="separate"/>
      </w:r>
      <w:r>
        <w:rPr>
          <w:rFonts w:hint="default" w:ascii="宋体" w:hAnsi="宋体" w:eastAsia="宋体"/>
          <w:color w:val="auto"/>
          <w:sz w:val="24"/>
          <w:szCs w:val="24"/>
          <w:highlight w:val="none"/>
        </w:rPr>
        <w:t>第二节 评标报告</w:t>
      </w:r>
      <w:r>
        <w:rPr>
          <w:rFonts w:hint="eastAsia"/>
          <w:color w:val="auto"/>
          <w:sz w:val="24"/>
          <w:szCs w:val="24"/>
          <w:highlight w:val="none"/>
        </w:rPr>
        <w:tab/>
      </w:r>
      <w:r>
        <w:rPr>
          <w:rFonts w:hint="eastAsia"/>
          <w:color w:val="auto"/>
          <w:sz w:val="24"/>
          <w:szCs w:val="24"/>
          <w:highlight w:val="none"/>
        </w:rPr>
        <w:fldChar w:fldCharType="begin"/>
      </w:r>
      <w:r>
        <w:rPr>
          <w:rFonts w:hint="eastAsia"/>
          <w:color w:val="auto"/>
          <w:sz w:val="24"/>
          <w:szCs w:val="24"/>
          <w:highlight w:val="none"/>
        </w:rPr>
        <w:instrText xml:space="preserve"> PAGEREF _Toc10329 \h </w:instrText>
      </w:r>
      <w:r>
        <w:rPr>
          <w:rFonts w:hint="eastAsia"/>
          <w:color w:val="auto"/>
          <w:sz w:val="24"/>
          <w:szCs w:val="24"/>
          <w:highlight w:val="none"/>
        </w:rPr>
        <w:fldChar w:fldCharType="separate"/>
      </w:r>
      <w:r>
        <w:rPr>
          <w:rFonts w:hint="eastAsia"/>
          <w:color w:val="auto"/>
          <w:sz w:val="24"/>
          <w:szCs w:val="24"/>
          <w:highlight w:val="none"/>
        </w:rPr>
        <w:t>43</w:t>
      </w:r>
      <w:r>
        <w:rPr>
          <w:rFonts w:hint="eastAsia"/>
          <w:color w:val="auto"/>
          <w:sz w:val="24"/>
          <w:szCs w:val="24"/>
          <w:highlight w:val="none"/>
        </w:rPr>
        <w:fldChar w:fldCharType="end"/>
      </w:r>
      <w:r>
        <w:rPr>
          <w:rFonts w:hint="eastAsia"/>
          <w:color w:val="auto"/>
          <w:sz w:val="24"/>
          <w:szCs w:val="24"/>
          <w:highlight w:val="none"/>
        </w:rPr>
        <w:fldChar w:fldCharType="end"/>
      </w:r>
    </w:p>
    <w:p w14:paraId="40615D4D">
      <w:pPr>
        <w:pStyle w:val="14"/>
        <w:tabs>
          <w:tab w:val="right" w:leader="dot" w:pos="8879"/>
          <w:tab w:val="clear" w:pos="8296"/>
        </w:tabs>
        <w:spacing w:line="360" w:lineRule="auto"/>
        <w:rPr>
          <w:rFonts w:hint="eastAsia"/>
          <w:color w:val="auto"/>
          <w:sz w:val="21"/>
          <w:szCs w:val="24"/>
          <w:highlight w:val="none"/>
        </w:rPr>
      </w:pPr>
      <w:r>
        <w:rPr>
          <w:rFonts w:hint="default" w:ascii="宋体" w:hAnsi="宋体" w:eastAsia="宋体" w:cs="宋体"/>
          <w:color w:val="auto"/>
          <w:sz w:val="21"/>
          <w:szCs w:val="24"/>
          <w:highlight w:val="none"/>
        </w:rPr>
        <w:fldChar w:fldCharType="begin"/>
      </w:r>
      <w:r>
        <w:rPr>
          <w:rFonts w:hint="default" w:ascii="宋体" w:hAnsi="宋体" w:eastAsia="宋体" w:cs="宋体"/>
          <w:color w:val="auto"/>
          <w:sz w:val="21"/>
          <w:szCs w:val="24"/>
          <w:highlight w:val="none"/>
        </w:rPr>
        <w:instrText xml:space="preserve"> HYPERLINK \l _Toc11370 </w:instrText>
      </w:r>
      <w:r>
        <w:rPr>
          <w:rFonts w:hint="default" w:ascii="宋体" w:hAnsi="宋体" w:eastAsia="宋体" w:cs="宋体"/>
          <w:color w:val="auto"/>
          <w:sz w:val="21"/>
          <w:szCs w:val="24"/>
          <w:highlight w:val="none"/>
        </w:rPr>
        <w:fldChar w:fldCharType="separate"/>
      </w:r>
      <w:r>
        <w:rPr>
          <w:rFonts w:hint="default" w:ascii="宋体" w:hAnsi="宋体" w:eastAsia="宋体"/>
          <w:color w:val="auto"/>
          <w:sz w:val="21"/>
          <w:szCs w:val="32"/>
          <w:highlight w:val="none"/>
        </w:rPr>
        <w:t>第三节 评审过程的保密与录像</w:t>
      </w:r>
      <w:r>
        <w:rPr>
          <w:rFonts w:hint="eastAsia"/>
          <w:color w:val="auto"/>
          <w:sz w:val="21"/>
          <w:szCs w:val="24"/>
          <w:highlight w:val="none"/>
        </w:rPr>
        <w:tab/>
      </w:r>
      <w:r>
        <w:rPr>
          <w:rFonts w:hint="eastAsia"/>
          <w:color w:val="auto"/>
          <w:sz w:val="21"/>
          <w:szCs w:val="24"/>
          <w:highlight w:val="none"/>
        </w:rPr>
        <w:fldChar w:fldCharType="begin"/>
      </w:r>
      <w:r>
        <w:rPr>
          <w:rFonts w:hint="eastAsia"/>
          <w:color w:val="auto"/>
          <w:sz w:val="21"/>
          <w:szCs w:val="24"/>
          <w:highlight w:val="none"/>
        </w:rPr>
        <w:instrText xml:space="preserve"> PAGEREF _Toc11370 \h </w:instrText>
      </w:r>
      <w:r>
        <w:rPr>
          <w:rFonts w:hint="eastAsia"/>
          <w:color w:val="auto"/>
          <w:sz w:val="21"/>
          <w:szCs w:val="24"/>
          <w:highlight w:val="none"/>
        </w:rPr>
        <w:fldChar w:fldCharType="separate"/>
      </w:r>
      <w:r>
        <w:rPr>
          <w:rFonts w:hint="eastAsia"/>
          <w:color w:val="auto"/>
          <w:sz w:val="21"/>
          <w:szCs w:val="24"/>
          <w:highlight w:val="none"/>
        </w:rPr>
        <w:t>43</w:t>
      </w:r>
      <w:r>
        <w:rPr>
          <w:rFonts w:hint="eastAsia"/>
          <w:color w:val="auto"/>
          <w:sz w:val="21"/>
          <w:szCs w:val="24"/>
          <w:highlight w:val="none"/>
        </w:rPr>
        <w:fldChar w:fldCharType="end"/>
      </w:r>
      <w:r>
        <w:rPr>
          <w:rFonts w:hint="eastAsia"/>
          <w:color w:val="auto"/>
          <w:sz w:val="21"/>
          <w:szCs w:val="24"/>
          <w:highlight w:val="none"/>
        </w:rPr>
        <w:fldChar w:fldCharType="end"/>
      </w:r>
    </w:p>
    <w:p w14:paraId="0D14469B">
      <w:pPr>
        <w:pStyle w:val="13"/>
        <w:tabs>
          <w:tab w:val="right" w:leader="dot" w:pos="8879"/>
        </w:tabs>
        <w:spacing w:line="360" w:lineRule="auto"/>
        <w:rPr>
          <w:rFonts w:hint="eastAsia"/>
          <w:color w:val="auto"/>
          <w:sz w:val="21"/>
          <w:szCs w:val="24"/>
          <w:highlight w:val="none"/>
        </w:rPr>
      </w:pPr>
      <w:r>
        <w:rPr>
          <w:rFonts w:hint="default" w:ascii="宋体" w:hAnsi="宋体" w:eastAsia="宋体" w:cs="宋体"/>
          <w:color w:val="auto"/>
          <w:sz w:val="21"/>
          <w:szCs w:val="24"/>
          <w:highlight w:val="none"/>
        </w:rPr>
        <w:fldChar w:fldCharType="begin"/>
      </w:r>
      <w:r>
        <w:rPr>
          <w:rFonts w:hint="default" w:ascii="宋体" w:hAnsi="宋体" w:eastAsia="宋体" w:cs="宋体"/>
          <w:color w:val="auto"/>
          <w:sz w:val="21"/>
          <w:szCs w:val="24"/>
          <w:highlight w:val="none"/>
        </w:rPr>
        <w:instrText xml:space="preserve"> HYPERLINK \l _Toc15612 </w:instrText>
      </w:r>
      <w:r>
        <w:rPr>
          <w:rFonts w:hint="default" w:ascii="宋体" w:hAnsi="宋体" w:eastAsia="宋体" w:cs="宋体"/>
          <w:color w:val="auto"/>
          <w:sz w:val="21"/>
          <w:szCs w:val="24"/>
          <w:highlight w:val="none"/>
        </w:rPr>
        <w:fldChar w:fldCharType="separate"/>
      </w:r>
      <w:r>
        <w:rPr>
          <w:rFonts w:hint="default" w:ascii="宋体" w:eastAsia="宋体"/>
          <w:color w:val="auto"/>
          <w:kern w:val="44"/>
          <w:sz w:val="21"/>
          <w:szCs w:val="44"/>
          <w:highlight w:val="none"/>
        </w:rPr>
        <w:t>第五章</w:t>
      </w:r>
      <w:r>
        <w:rPr>
          <w:rFonts w:hint="eastAsia"/>
          <w:color w:val="auto"/>
          <w:kern w:val="44"/>
          <w:sz w:val="21"/>
          <w:szCs w:val="44"/>
          <w:highlight w:val="none"/>
        </w:rPr>
        <w:t xml:space="preserve"> </w:t>
      </w:r>
      <w:r>
        <w:rPr>
          <w:rFonts w:hint="default" w:ascii="宋体" w:eastAsia="宋体"/>
          <w:color w:val="auto"/>
          <w:kern w:val="44"/>
          <w:sz w:val="21"/>
          <w:szCs w:val="44"/>
          <w:highlight w:val="none"/>
        </w:rPr>
        <w:t>响应文件格式</w:t>
      </w:r>
      <w:r>
        <w:rPr>
          <w:rFonts w:hint="eastAsia"/>
          <w:color w:val="auto"/>
          <w:sz w:val="21"/>
          <w:szCs w:val="24"/>
          <w:highlight w:val="none"/>
        </w:rPr>
        <w:tab/>
      </w:r>
      <w:r>
        <w:rPr>
          <w:rFonts w:hint="eastAsia"/>
          <w:color w:val="auto"/>
          <w:sz w:val="21"/>
          <w:szCs w:val="24"/>
          <w:highlight w:val="none"/>
        </w:rPr>
        <w:fldChar w:fldCharType="begin"/>
      </w:r>
      <w:r>
        <w:rPr>
          <w:rFonts w:hint="eastAsia"/>
          <w:color w:val="auto"/>
          <w:sz w:val="21"/>
          <w:szCs w:val="24"/>
          <w:highlight w:val="none"/>
        </w:rPr>
        <w:instrText xml:space="preserve"> PAGEREF _Toc15612 \h </w:instrText>
      </w:r>
      <w:r>
        <w:rPr>
          <w:rFonts w:hint="eastAsia"/>
          <w:color w:val="auto"/>
          <w:sz w:val="21"/>
          <w:szCs w:val="24"/>
          <w:highlight w:val="none"/>
        </w:rPr>
        <w:fldChar w:fldCharType="separate"/>
      </w:r>
      <w:r>
        <w:rPr>
          <w:rFonts w:hint="eastAsia"/>
          <w:color w:val="auto"/>
          <w:sz w:val="21"/>
          <w:szCs w:val="24"/>
          <w:highlight w:val="none"/>
        </w:rPr>
        <w:t>44</w:t>
      </w:r>
      <w:r>
        <w:rPr>
          <w:rFonts w:hint="eastAsia"/>
          <w:color w:val="auto"/>
          <w:sz w:val="21"/>
          <w:szCs w:val="24"/>
          <w:highlight w:val="none"/>
        </w:rPr>
        <w:fldChar w:fldCharType="end"/>
      </w:r>
      <w:r>
        <w:rPr>
          <w:rFonts w:hint="eastAsia"/>
          <w:color w:val="auto"/>
          <w:sz w:val="21"/>
          <w:szCs w:val="24"/>
          <w:highlight w:val="none"/>
        </w:rPr>
        <w:fldChar w:fldCharType="end"/>
      </w:r>
    </w:p>
    <w:p w14:paraId="483682AF">
      <w:pPr>
        <w:pStyle w:val="14"/>
        <w:tabs>
          <w:tab w:val="right" w:leader="dot" w:pos="8879"/>
          <w:tab w:val="clear" w:pos="8296"/>
        </w:tabs>
        <w:spacing w:line="360" w:lineRule="auto"/>
        <w:rPr>
          <w:rFonts w:hint="eastAsia"/>
          <w:color w:val="auto"/>
          <w:sz w:val="21"/>
          <w:szCs w:val="24"/>
          <w:highlight w:val="none"/>
        </w:rPr>
      </w:pPr>
      <w:r>
        <w:rPr>
          <w:rFonts w:hint="default" w:ascii="宋体" w:hAnsi="宋体" w:eastAsia="宋体" w:cs="宋体"/>
          <w:color w:val="auto"/>
          <w:sz w:val="21"/>
          <w:szCs w:val="24"/>
          <w:highlight w:val="none"/>
        </w:rPr>
        <w:fldChar w:fldCharType="begin"/>
      </w:r>
      <w:r>
        <w:rPr>
          <w:rFonts w:hint="default" w:ascii="宋体" w:hAnsi="宋体" w:eastAsia="宋体" w:cs="宋体"/>
          <w:color w:val="auto"/>
          <w:sz w:val="21"/>
          <w:szCs w:val="24"/>
          <w:highlight w:val="none"/>
        </w:rPr>
        <w:instrText xml:space="preserve"> HYPERLINK \l _Toc4325 </w:instrText>
      </w:r>
      <w:r>
        <w:rPr>
          <w:rFonts w:hint="default" w:ascii="宋体" w:hAnsi="宋体" w:eastAsia="宋体" w:cs="宋体"/>
          <w:color w:val="auto"/>
          <w:sz w:val="21"/>
          <w:szCs w:val="24"/>
          <w:highlight w:val="none"/>
        </w:rPr>
        <w:fldChar w:fldCharType="separate"/>
      </w:r>
      <w:r>
        <w:rPr>
          <w:rFonts w:hint="default" w:ascii="宋体" w:hAnsi="宋体" w:eastAsia="宋体" w:cs="宋体"/>
          <w:color w:val="auto"/>
          <w:sz w:val="21"/>
          <w:szCs w:val="32"/>
          <w:highlight w:val="none"/>
        </w:rPr>
        <w:t>第一节 封面格式</w:t>
      </w:r>
      <w:r>
        <w:rPr>
          <w:rFonts w:hint="eastAsia"/>
          <w:color w:val="auto"/>
          <w:sz w:val="21"/>
          <w:szCs w:val="24"/>
          <w:highlight w:val="none"/>
        </w:rPr>
        <w:tab/>
      </w:r>
      <w:r>
        <w:rPr>
          <w:rFonts w:hint="eastAsia"/>
          <w:color w:val="auto"/>
          <w:sz w:val="21"/>
          <w:szCs w:val="24"/>
          <w:highlight w:val="none"/>
        </w:rPr>
        <w:fldChar w:fldCharType="begin"/>
      </w:r>
      <w:r>
        <w:rPr>
          <w:rFonts w:hint="eastAsia"/>
          <w:color w:val="auto"/>
          <w:sz w:val="21"/>
          <w:szCs w:val="24"/>
          <w:highlight w:val="none"/>
        </w:rPr>
        <w:instrText xml:space="preserve"> PAGEREF _Toc4325 \h </w:instrText>
      </w:r>
      <w:r>
        <w:rPr>
          <w:rFonts w:hint="eastAsia"/>
          <w:color w:val="auto"/>
          <w:sz w:val="21"/>
          <w:szCs w:val="24"/>
          <w:highlight w:val="none"/>
        </w:rPr>
        <w:fldChar w:fldCharType="separate"/>
      </w:r>
      <w:r>
        <w:rPr>
          <w:rFonts w:hint="eastAsia"/>
          <w:color w:val="auto"/>
          <w:sz w:val="21"/>
          <w:szCs w:val="24"/>
          <w:highlight w:val="none"/>
        </w:rPr>
        <w:t>45</w:t>
      </w:r>
      <w:r>
        <w:rPr>
          <w:rFonts w:hint="eastAsia"/>
          <w:color w:val="auto"/>
          <w:sz w:val="21"/>
          <w:szCs w:val="24"/>
          <w:highlight w:val="none"/>
        </w:rPr>
        <w:fldChar w:fldCharType="end"/>
      </w:r>
      <w:r>
        <w:rPr>
          <w:rFonts w:hint="eastAsia"/>
          <w:color w:val="auto"/>
          <w:sz w:val="21"/>
          <w:szCs w:val="24"/>
          <w:highlight w:val="none"/>
        </w:rPr>
        <w:fldChar w:fldCharType="end"/>
      </w:r>
    </w:p>
    <w:p w14:paraId="5B633D57">
      <w:pPr>
        <w:pStyle w:val="14"/>
        <w:tabs>
          <w:tab w:val="right" w:leader="dot" w:pos="8879"/>
          <w:tab w:val="clear" w:pos="8296"/>
        </w:tabs>
        <w:spacing w:line="360" w:lineRule="auto"/>
        <w:rPr>
          <w:rFonts w:hint="eastAsia"/>
          <w:color w:val="auto"/>
          <w:sz w:val="21"/>
          <w:szCs w:val="24"/>
          <w:highlight w:val="none"/>
        </w:rPr>
      </w:pPr>
      <w:r>
        <w:rPr>
          <w:rFonts w:hint="default" w:ascii="宋体" w:hAnsi="宋体" w:eastAsia="宋体" w:cs="宋体"/>
          <w:color w:val="auto"/>
          <w:sz w:val="21"/>
          <w:szCs w:val="24"/>
          <w:highlight w:val="none"/>
        </w:rPr>
        <w:fldChar w:fldCharType="begin"/>
      </w:r>
      <w:r>
        <w:rPr>
          <w:rFonts w:hint="default" w:ascii="宋体" w:hAnsi="宋体" w:eastAsia="宋体" w:cs="宋体"/>
          <w:color w:val="auto"/>
          <w:sz w:val="21"/>
          <w:szCs w:val="24"/>
          <w:highlight w:val="none"/>
        </w:rPr>
        <w:instrText xml:space="preserve"> HYPERLINK \l _Toc12417 </w:instrText>
      </w:r>
      <w:r>
        <w:rPr>
          <w:rFonts w:hint="default" w:ascii="宋体" w:hAnsi="宋体" w:eastAsia="宋体" w:cs="宋体"/>
          <w:color w:val="auto"/>
          <w:sz w:val="21"/>
          <w:szCs w:val="24"/>
          <w:highlight w:val="none"/>
        </w:rPr>
        <w:fldChar w:fldCharType="separate"/>
      </w:r>
      <w:r>
        <w:rPr>
          <w:rFonts w:hint="default" w:ascii="宋体" w:hAnsi="宋体" w:eastAsia="宋体" w:cs="宋体"/>
          <w:color w:val="auto"/>
          <w:sz w:val="21"/>
          <w:szCs w:val="32"/>
          <w:highlight w:val="none"/>
        </w:rPr>
        <w:t>第二节 资格证明文件格式</w:t>
      </w:r>
      <w:r>
        <w:rPr>
          <w:rFonts w:hint="eastAsia"/>
          <w:color w:val="auto"/>
          <w:sz w:val="21"/>
          <w:szCs w:val="24"/>
          <w:highlight w:val="none"/>
        </w:rPr>
        <w:tab/>
      </w:r>
      <w:r>
        <w:rPr>
          <w:rFonts w:hint="eastAsia"/>
          <w:color w:val="auto"/>
          <w:sz w:val="21"/>
          <w:szCs w:val="24"/>
          <w:highlight w:val="none"/>
        </w:rPr>
        <w:fldChar w:fldCharType="begin"/>
      </w:r>
      <w:r>
        <w:rPr>
          <w:rFonts w:hint="eastAsia"/>
          <w:color w:val="auto"/>
          <w:sz w:val="21"/>
          <w:szCs w:val="24"/>
          <w:highlight w:val="none"/>
        </w:rPr>
        <w:instrText xml:space="preserve"> PAGEREF _Toc12417 \h </w:instrText>
      </w:r>
      <w:r>
        <w:rPr>
          <w:rFonts w:hint="eastAsia"/>
          <w:color w:val="auto"/>
          <w:sz w:val="21"/>
          <w:szCs w:val="24"/>
          <w:highlight w:val="none"/>
        </w:rPr>
        <w:fldChar w:fldCharType="separate"/>
      </w:r>
      <w:r>
        <w:rPr>
          <w:rFonts w:hint="eastAsia"/>
          <w:color w:val="auto"/>
          <w:sz w:val="21"/>
          <w:szCs w:val="24"/>
          <w:highlight w:val="none"/>
        </w:rPr>
        <w:t>46</w:t>
      </w:r>
      <w:r>
        <w:rPr>
          <w:rFonts w:hint="eastAsia"/>
          <w:color w:val="auto"/>
          <w:sz w:val="21"/>
          <w:szCs w:val="24"/>
          <w:highlight w:val="none"/>
        </w:rPr>
        <w:fldChar w:fldCharType="end"/>
      </w:r>
      <w:r>
        <w:rPr>
          <w:rFonts w:hint="eastAsia"/>
          <w:color w:val="auto"/>
          <w:sz w:val="21"/>
          <w:szCs w:val="24"/>
          <w:highlight w:val="none"/>
        </w:rPr>
        <w:fldChar w:fldCharType="end"/>
      </w:r>
    </w:p>
    <w:p w14:paraId="5D926529">
      <w:pPr>
        <w:pStyle w:val="14"/>
        <w:tabs>
          <w:tab w:val="right" w:leader="dot" w:pos="8879"/>
          <w:tab w:val="clear" w:pos="8296"/>
        </w:tabs>
        <w:spacing w:line="360" w:lineRule="auto"/>
        <w:rPr>
          <w:rFonts w:hint="eastAsia"/>
          <w:color w:val="auto"/>
          <w:sz w:val="21"/>
          <w:szCs w:val="24"/>
          <w:highlight w:val="none"/>
        </w:rPr>
      </w:pPr>
      <w:r>
        <w:rPr>
          <w:rFonts w:hint="default" w:ascii="宋体" w:hAnsi="宋体" w:eastAsia="宋体" w:cs="宋体"/>
          <w:color w:val="auto"/>
          <w:sz w:val="21"/>
          <w:szCs w:val="24"/>
          <w:highlight w:val="none"/>
        </w:rPr>
        <w:fldChar w:fldCharType="begin"/>
      </w:r>
      <w:r>
        <w:rPr>
          <w:rFonts w:hint="default" w:ascii="宋体" w:hAnsi="宋体" w:eastAsia="宋体" w:cs="宋体"/>
          <w:color w:val="auto"/>
          <w:sz w:val="21"/>
          <w:szCs w:val="24"/>
          <w:highlight w:val="none"/>
        </w:rPr>
        <w:instrText xml:space="preserve"> HYPERLINK \l _Toc15125 </w:instrText>
      </w:r>
      <w:r>
        <w:rPr>
          <w:rFonts w:hint="default" w:ascii="宋体" w:hAnsi="宋体" w:eastAsia="宋体" w:cs="宋体"/>
          <w:color w:val="auto"/>
          <w:sz w:val="21"/>
          <w:szCs w:val="24"/>
          <w:highlight w:val="none"/>
        </w:rPr>
        <w:fldChar w:fldCharType="separate"/>
      </w:r>
      <w:r>
        <w:rPr>
          <w:rFonts w:hint="default" w:ascii="宋体" w:hAnsi="宋体" w:eastAsia="宋体" w:cs="宋体"/>
          <w:color w:val="auto"/>
          <w:sz w:val="21"/>
          <w:szCs w:val="32"/>
          <w:highlight w:val="none"/>
        </w:rPr>
        <w:t>第三节 商务技术文件格式</w:t>
      </w:r>
      <w:r>
        <w:rPr>
          <w:rFonts w:hint="eastAsia"/>
          <w:color w:val="auto"/>
          <w:sz w:val="21"/>
          <w:szCs w:val="24"/>
          <w:highlight w:val="none"/>
        </w:rPr>
        <w:tab/>
      </w:r>
      <w:r>
        <w:rPr>
          <w:rFonts w:hint="eastAsia"/>
          <w:color w:val="auto"/>
          <w:sz w:val="21"/>
          <w:szCs w:val="24"/>
          <w:highlight w:val="none"/>
        </w:rPr>
        <w:fldChar w:fldCharType="begin"/>
      </w:r>
      <w:r>
        <w:rPr>
          <w:rFonts w:hint="eastAsia"/>
          <w:color w:val="auto"/>
          <w:sz w:val="21"/>
          <w:szCs w:val="24"/>
          <w:highlight w:val="none"/>
        </w:rPr>
        <w:instrText xml:space="preserve"> PAGEREF _Toc15125 \h </w:instrText>
      </w:r>
      <w:r>
        <w:rPr>
          <w:rFonts w:hint="eastAsia"/>
          <w:color w:val="auto"/>
          <w:sz w:val="21"/>
          <w:szCs w:val="24"/>
          <w:highlight w:val="none"/>
        </w:rPr>
        <w:fldChar w:fldCharType="separate"/>
      </w:r>
      <w:r>
        <w:rPr>
          <w:rFonts w:hint="eastAsia"/>
          <w:color w:val="auto"/>
          <w:sz w:val="21"/>
          <w:szCs w:val="24"/>
          <w:highlight w:val="none"/>
        </w:rPr>
        <w:t>54</w:t>
      </w:r>
      <w:r>
        <w:rPr>
          <w:rFonts w:hint="eastAsia"/>
          <w:color w:val="auto"/>
          <w:sz w:val="21"/>
          <w:szCs w:val="24"/>
          <w:highlight w:val="none"/>
        </w:rPr>
        <w:fldChar w:fldCharType="end"/>
      </w:r>
      <w:r>
        <w:rPr>
          <w:rFonts w:hint="eastAsia"/>
          <w:color w:val="auto"/>
          <w:sz w:val="21"/>
          <w:szCs w:val="24"/>
          <w:highlight w:val="none"/>
        </w:rPr>
        <w:fldChar w:fldCharType="end"/>
      </w:r>
    </w:p>
    <w:p w14:paraId="7CFB0342">
      <w:pPr>
        <w:pStyle w:val="14"/>
        <w:tabs>
          <w:tab w:val="right" w:leader="dot" w:pos="8879"/>
          <w:tab w:val="clear" w:pos="8296"/>
        </w:tabs>
        <w:spacing w:line="360" w:lineRule="auto"/>
        <w:rPr>
          <w:rFonts w:hint="eastAsia"/>
          <w:color w:val="auto"/>
          <w:sz w:val="21"/>
          <w:szCs w:val="24"/>
          <w:highlight w:val="none"/>
        </w:rPr>
      </w:pPr>
      <w:r>
        <w:rPr>
          <w:rFonts w:hint="default" w:ascii="宋体" w:hAnsi="宋体" w:eastAsia="宋体" w:cs="宋体"/>
          <w:color w:val="auto"/>
          <w:sz w:val="21"/>
          <w:szCs w:val="24"/>
          <w:highlight w:val="none"/>
        </w:rPr>
        <w:fldChar w:fldCharType="begin"/>
      </w:r>
      <w:r>
        <w:rPr>
          <w:rFonts w:hint="default" w:ascii="宋体" w:hAnsi="宋体" w:eastAsia="宋体" w:cs="宋体"/>
          <w:color w:val="auto"/>
          <w:sz w:val="21"/>
          <w:szCs w:val="24"/>
          <w:highlight w:val="none"/>
        </w:rPr>
        <w:instrText xml:space="preserve"> HYPERLINK \l _Toc27859 </w:instrText>
      </w:r>
      <w:r>
        <w:rPr>
          <w:rFonts w:hint="default" w:ascii="宋体" w:hAnsi="宋体" w:eastAsia="宋体" w:cs="宋体"/>
          <w:color w:val="auto"/>
          <w:sz w:val="21"/>
          <w:szCs w:val="24"/>
          <w:highlight w:val="none"/>
        </w:rPr>
        <w:fldChar w:fldCharType="separate"/>
      </w:r>
      <w:r>
        <w:rPr>
          <w:rFonts w:hint="default" w:ascii="宋体" w:hAnsi="宋体" w:eastAsia="宋体" w:cs="宋体"/>
          <w:color w:val="auto"/>
          <w:sz w:val="21"/>
          <w:szCs w:val="32"/>
          <w:highlight w:val="none"/>
        </w:rPr>
        <w:t>第四节 报价文件格式</w:t>
      </w:r>
      <w:r>
        <w:rPr>
          <w:rFonts w:hint="eastAsia"/>
          <w:color w:val="auto"/>
          <w:sz w:val="21"/>
          <w:szCs w:val="24"/>
          <w:highlight w:val="none"/>
        </w:rPr>
        <w:tab/>
      </w:r>
      <w:r>
        <w:rPr>
          <w:rFonts w:hint="eastAsia"/>
          <w:color w:val="auto"/>
          <w:sz w:val="21"/>
          <w:szCs w:val="24"/>
          <w:highlight w:val="none"/>
        </w:rPr>
        <w:fldChar w:fldCharType="begin"/>
      </w:r>
      <w:r>
        <w:rPr>
          <w:rFonts w:hint="eastAsia"/>
          <w:color w:val="auto"/>
          <w:sz w:val="21"/>
          <w:szCs w:val="24"/>
          <w:highlight w:val="none"/>
        </w:rPr>
        <w:instrText xml:space="preserve"> PAGEREF _Toc27859 \h </w:instrText>
      </w:r>
      <w:r>
        <w:rPr>
          <w:rFonts w:hint="eastAsia"/>
          <w:color w:val="auto"/>
          <w:sz w:val="21"/>
          <w:szCs w:val="24"/>
          <w:highlight w:val="none"/>
        </w:rPr>
        <w:fldChar w:fldCharType="separate"/>
      </w:r>
      <w:r>
        <w:rPr>
          <w:rFonts w:hint="eastAsia"/>
          <w:color w:val="auto"/>
          <w:sz w:val="21"/>
          <w:szCs w:val="24"/>
          <w:highlight w:val="none"/>
        </w:rPr>
        <w:t>76</w:t>
      </w:r>
      <w:r>
        <w:rPr>
          <w:rFonts w:hint="eastAsia"/>
          <w:color w:val="auto"/>
          <w:sz w:val="21"/>
          <w:szCs w:val="24"/>
          <w:highlight w:val="none"/>
        </w:rPr>
        <w:fldChar w:fldCharType="end"/>
      </w:r>
      <w:r>
        <w:rPr>
          <w:rFonts w:hint="eastAsia"/>
          <w:color w:val="auto"/>
          <w:sz w:val="21"/>
          <w:szCs w:val="24"/>
          <w:highlight w:val="none"/>
        </w:rPr>
        <w:fldChar w:fldCharType="end"/>
      </w:r>
    </w:p>
    <w:p w14:paraId="0785472F">
      <w:pPr>
        <w:pStyle w:val="14"/>
        <w:tabs>
          <w:tab w:val="right" w:leader="dot" w:pos="8879"/>
          <w:tab w:val="clear" w:pos="8296"/>
        </w:tabs>
        <w:spacing w:line="360" w:lineRule="auto"/>
        <w:rPr>
          <w:rFonts w:hint="eastAsia"/>
          <w:color w:val="auto"/>
          <w:sz w:val="21"/>
          <w:szCs w:val="24"/>
          <w:highlight w:val="none"/>
        </w:rPr>
      </w:pPr>
      <w:r>
        <w:rPr>
          <w:rFonts w:hint="default" w:ascii="宋体" w:hAnsi="宋体" w:eastAsia="宋体" w:cs="宋体"/>
          <w:color w:val="auto"/>
          <w:sz w:val="21"/>
          <w:szCs w:val="24"/>
          <w:highlight w:val="none"/>
        </w:rPr>
        <w:fldChar w:fldCharType="begin"/>
      </w:r>
      <w:r>
        <w:rPr>
          <w:rFonts w:hint="default" w:ascii="宋体" w:hAnsi="宋体" w:eastAsia="宋体" w:cs="宋体"/>
          <w:color w:val="auto"/>
          <w:sz w:val="21"/>
          <w:szCs w:val="24"/>
          <w:highlight w:val="none"/>
        </w:rPr>
        <w:instrText xml:space="preserve"> HYPERLINK \l _Toc31262 </w:instrText>
      </w:r>
      <w:r>
        <w:rPr>
          <w:rFonts w:hint="default" w:ascii="宋体" w:hAnsi="宋体" w:eastAsia="宋体" w:cs="宋体"/>
          <w:color w:val="auto"/>
          <w:sz w:val="21"/>
          <w:szCs w:val="24"/>
          <w:highlight w:val="none"/>
        </w:rPr>
        <w:fldChar w:fldCharType="separate"/>
      </w:r>
      <w:r>
        <w:rPr>
          <w:rFonts w:hint="default" w:ascii="宋体" w:hAnsi="宋体" w:eastAsia="宋体" w:cs="宋体"/>
          <w:color w:val="auto"/>
          <w:sz w:val="21"/>
          <w:szCs w:val="32"/>
          <w:highlight w:val="none"/>
        </w:rPr>
        <w:t>第五节 其他文书、文件格式</w:t>
      </w:r>
      <w:r>
        <w:rPr>
          <w:rFonts w:hint="eastAsia"/>
          <w:color w:val="auto"/>
          <w:sz w:val="21"/>
          <w:szCs w:val="24"/>
          <w:highlight w:val="none"/>
        </w:rPr>
        <w:tab/>
      </w:r>
      <w:r>
        <w:rPr>
          <w:rFonts w:hint="eastAsia"/>
          <w:color w:val="auto"/>
          <w:sz w:val="21"/>
          <w:szCs w:val="24"/>
          <w:highlight w:val="none"/>
        </w:rPr>
        <w:fldChar w:fldCharType="begin"/>
      </w:r>
      <w:r>
        <w:rPr>
          <w:rFonts w:hint="eastAsia"/>
          <w:color w:val="auto"/>
          <w:sz w:val="21"/>
          <w:szCs w:val="24"/>
          <w:highlight w:val="none"/>
        </w:rPr>
        <w:instrText xml:space="preserve"> PAGEREF _Toc31262 \h </w:instrText>
      </w:r>
      <w:r>
        <w:rPr>
          <w:rFonts w:hint="eastAsia"/>
          <w:color w:val="auto"/>
          <w:sz w:val="21"/>
          <w:szCs w:val="24"/>
          <w:highlight w:val="none"/>
        </w:rPr>
        <w:fldChar w:fldCharType="separate"/>
      </w:r>
      <w:r>
        <w:rPr>
          <w:rFonts w:hint="eastAsia"/>
          <w:color w:val="auto"/>
          <w:sz w:val="21"/>
          <w:szCs w:val="24"/>
          <w:highlight w:val="none"/>
        </w:rPr>
        <w:t>83</w:t>
      </w:r>
      <w:r>
        <w:rPr>
          <w:rFonts w:hint="eastAsia"/>
          <w:color w:val="auto"/>
          <w:sz w:val="21"/>
          <w:szCs w:val="24"/>
          <w:highlight w:val="none"/>
        </w:rPr>
        <w:fldChar w:fldCharType="end"/>
      </w:r>
      <w:r>
        <w:rPr>
          <w:rFonts w:hint="eastAsia"/>
          <w:color w:val="auto"/>
          <w:sz w:val="21"/>
          <w:szCs w:val="24"/>
          <w:highlight w:val="none"/>
        </w:rPr>
        <w:fldChar w:fldCharType="end"/>
      </w:r>
    </w:p>
    <w:p w14:paraId="69595F0D">
      <w:pPr>
        <w:pStyle w:val="13"/>
        <w:tabs>
          <w:tab w:val="right" w:leader="dot" w:pos="8879"/>
        </w:tabs>
        <w:spacing w:line="360" w:lineRule="auto"/>
        <w:rPr>
          <w:rFonts w:hint="eastAsia"/>
          <w:color w:val="auto"/>
          <w:sz w:val="21"/>
          <w:szCs w:val="24"/>
          <w:highlight w:val="none"/>
        </w:rPr>
      </w:pPr>
      <w:r>
        <w:rPr>
          <w:rFonts w:hint="default" w:ascii="宋体" w:hAnsi="宋体" w:eastAsia="宋体" w:cs="宋体"/>
          <w:color w:val="auto"/>
          <w:sz w:val="21"/>
          <w:szCs w:val="24"/>
          <w:highlight w:val="none"/>
        </w:rPr>
        <w:fldChar w:fldCharType="begin"/>
      </w:r>
      <w:r>
        <w:rPr>
          <w:rFonts w:hint="default" w:ascii="宋体" w:hAnsi="宋体" w:eastAsia="宋体" w:cs="宋体"/>
          <w:color w:val="auto"/>
          <w:sz w:val="21"/>
          <w:szCs w:val="24"/>
          <w:highlight w:val="none"/>
        </w:rPr>
        <w:instrText xml:space="preserve"> HYPERLINK \l _Toc26077 </w:instrText>
      </w:r>
      <w:r>
        <w:rPr>
          <w:rFonts w:hint="default" w:ascii="宋体" w:hAnsi="宋体" w:eastAsia="宋体" w:cs="宋体"/>
          <w:color w:val="auto"/>
          <w:sz w:val="21"/>
          <w:szCs w:val="24"/>
          <w:highlight w:val="none"/>
        </w:rPr>
        <w:fldChar w:fldCharType="separate"/>
      </w:r>
      <w:r>
        <w:rPr>
          <w:rFonts w:hint="default" w:ascii="宋体" w:hAnsi="宋体" w:eastAsia="宋体" w:cs="宋体"/>
          <w:color w:val="auto"/>
          <w:kern w:val="44"/>
          <w:sz w:val="21"/>
          <w:szCs w:val="44"/>
          <w:highlight w:val="none"/>
        </w:rPr>
        <w:t>第六章  图纸及工程量清单</w:t>
      </w:r>
      <w:r>
        <w:rPr>
          <w:rFonts w:hint="eastAsia"/>
          <w:color w:val="auto"/>
          <w:sz w:val="21"/>
          <w:szCs w:val="24"/>
          <w:highlight w:val="none"/>
        </w:rPr>
        <w:tab/>
      </w:r>
      <w:r>
        <w:rPr>
          <w:rFonts w:hint="eastAsia"/>
          <w:color w:val="auto"/>
          <w:sz w:val="21"/>
          <w:szCs w:val="24"/>
          <w:highlight w:val="none"/>
        </w:rPr>
        <w:fldChar w:fldCharType="begin"/>
      </w:r>
      <w:r>
        <w:rPr>
          <w:rFonts w:hint="eastAsia"/>
          <w:color w:val="auto"/>
          <w:sz w:val="21"/>
          <w:szCs w:val="24"/>
          <w:highlight w:val="none"/>
        </w:rPr>
        <w:instrText xml:space="preserve"> PAGEREF _Toc26077 \h </w:instrText>
      </w:r>
      <w:r>
        <w:rPr>
          <w:rFonts w:hint="eastAsia"/>
          <w:color w:val="auto"/>
          <w:sz w:val="21"/>
          <w:szCs w:val="24"/>
          <w:highlight w:val="none"/>
        </w:rPr>
        <w:fldChar w:fldCharType="separate"/>
      </w:r>
      <w:r>
        <w:rPr>
          <w:rFonts w:hint="eastAsia"/>
          <w:color w:val="auto"/>
          <w:sz w:val="21"/>
          <w:szCs w:val="24"/>
          <w:highlight w:val="none"/>
        </w:rPr>
        <w:t>85</w:t>
      </w:r>
      <w:r>
        <w:rPr>
          <w:rFonts w:hint="eastAsia"/>
          <w:color w:val="auto"/>
          <w:sz w:val="21"/>
          <w:szCs w:val="24"/>
          <w:highlight w:val="none"/>
        </w:rPr>
        <w:fldChar w:fldCharType="end"/>
      </w:r>
      <w:r>
        <w:rPr>
          <w:rFonts w:hint="eastAsia"/>
          <w:color w:val="auto"/>
          <w:sz w:val="21"/>
          <w:szCs w:val="24"/>
          <w:highlight w:val="none"/>
        </w:rPr>
        <w:fldChar w:fldCharType="end"/>
      </w:r>
    </w:p>
    <w:p w14:paraId="069900A2">
      <w:pPr>
        <w:pStyle w:val="13"/>
        <w:tabs>
          <w:tab w:val="right" w:leader="dot" w:pos="8879"/>
        </w:tabs>
        <w:spacing w:line="360" w:lineRule="auto"/>
        <w:rPr>
          <w:rFonts w:hint="eastAsia"/>
          <w:color w:val="auto"/>
          <w:sz w:val="21"/>
          <w:szCs w:val="24"/>
          <w:highlight w:val="none"/>
        </w:rPr>
      </w:pPr>
      <w:r>
        <w:rPr>
          <w:rFonts w:hint="default" w:ascii="宋体" w:hAnsi="宋体" w:eastAsia="宋体" w:cs="宋体"/>
          <w:color w:val="auto"/>
          <w:sz w:val="21"/>
          <w:szCs w:val="24"/>
          <w:highlight w:val="none"/>
        </w:rPr>
        <w:fldChar w:fldCharType="begin"/>
      </w:r>
      <w:r>
        <w:rPr>
          <w:rFonts w:hint="default" w:ascii="宋体" w:hAnsi="宋体" w:eastAsia="宋体" w:cs="宋体"/>
          <w:color w:val="auto"/>
          <w:sz w:val="21"/>
          <w:szCs w:val="24"/>
          <w:highlight w:val="none"/>
        </w:rPr>
        <w:instrText xml:space="preserve"> HYPERLINK \l _Toc13870 </w:instrText>
      </w:r>
      <w:r>
        <w:rPr>
          <w:rFonts w:hint="default" w:ascii="宋体" w:hAnsi="宋体" w:eastAsia="宋体" w:cs="宋体"/>
          <w:color w:val="auto"/>
          <w:sz w:val="21"/>
          <w:szCs w:val="24"/>
          <w:highlight w:val="none"/>
        </w:rPr>
        <w:fldChar w:fldCharType="separate"/>
      </w:r>
      <w:r>
        <w:rPr>
          <w:rFonts w:hint="default" w:ascii="宋体" w:hAnsi="宋体" w:eastAsia="宋体" w:cs="宋体"/>
          <w:color w:val="auto"/>
          <w:kern w:val="44"/>
          <w:sz w:val="21"/>
          <w:szCs w:val="44"/>
          <w:highlight w:val="none"/>
        </w:rPr>
        <w:t>第七章  合同文本</w:t>
      </w:r>
      <w:r>
        <w:rPr>
          <w:rFonts w:hint="eastAsia"/>
          <w:color w:val="auto"/>
          <w:sz w:val="21"/>
          <w:szCs w:val="24"/>
          <w:highlight w:val="none"/>
        </w:rPr>
        <w:tab/>
      </w:r>
      <w:r>
        <w:rPr>
          <w:rFonts w:hint="eastAsia"/>
          <w:color w:val="auto"/>
          <w:sz w:val="21"/>
          <w:szCs w:val="24"/>
          <w:highlight w:val="none"/>
        </w:rPr>
        <w:fldChar w:fldCharType="begin"/>
      </w:r>
      <w:r>
        <w:rPr>
          <w:rFonts w:hint="eastAsia"/>
          <w:color w:val="auto"/>
          <w:sz w:val="21"/>
          <w:szCs w:val="24"/>
          <w:highlight w:val="none"/>
        </w:rPr>
        <w:instrText xml:space="preserve"> PAGEREF _Toc13870 \h </w:instrText>
      </w:r>
      <w:r>
        <w:rPr>
          <w:rFonts w:hint="eastAsia"/>
          <w:color w:val="auto"/>
          <w:sz w:val="21"/>
          <w:szCs w:val="24"/>
          <w:highlight w:val="none"/>
        </w:rPr>
        <w:fldChar w:fldCharType="separate"/>
      </w:r>
      <w:r>
        <w:rPr>
          <w:rFonts w:hint="eastAsia"/>
          <w:color w:val="auto"/>
          <w:sz w:val="21"/>
          <w:szCs w:val="24"/>
          <w:highlight w:val="none"/>
        </w:rPr>
        <w:t>86</w:t>
      </w:r>
      <w:r>
        <w:rPr>
          <w:rFonts w:hint="eastAsia"/>
          <w:color w:val="auto"/>
          <w:sz w:val="21"/>
          <w:szCs w:val="24"/>
          <w:highlight w:val="none"/>
        </w:rPr>
        <w:fldChar w:fldCharType="end"/>
      </w:r>
      <w:r>
        <w:rPr>
          <w:rFonts w:hint="eastAsia"/>
          <w:color w:val="auto"/>
          <w:sz w:val="21"/>
          <w:szCs w:val="24"/>
          <w:highlight w:val="none"/>
        </w:rPr>
        <w:fldChar w:fldCharType="end"/>
      </w:r>
    </w:p>
    <w:p w14:paraId="5E939B18">
      <w:pPr>
        <w:pStyle w:val="13"/>
        <w:tabs>
          <w:tab w:val="right" w:leader="dot" w:pos="8879"/>
        </w:tabs>
        <w:spacing w:line="360" w:lineRule="auto"/>
        <w:rPr>
          <w:rFonts w:hint="eastAsia"/>
          <w:color w:val="auto"/>
          <w:sz w:val="21"/>
          <w:szCs w:val="24"/>
          <w:highlight w:val="none"/>
        </w:rPr>
      </w:pPr>
      <w:r>
        <w:rPr>
          <w:rFonts w:hint="default" w:ascii="宋体" w:hAnsi="宋体" w:eastAsia="宋体" w:cs="宋体"/>
          <w:color w:val="auto"/>
          <w:sz w:val="21"/>
          <w:szCs w:val="24"/>
          <w:highlight w:val="none"/>
        </w:rPr>
        <w:fldChar w:fldCharType="begin"/>
      </w:r>
      <w:r>
        <w:rPr>
          <w:rFonts w:hint="default" w:ascii="宋体" w:hAnsi="宋体" w:eastAsia="宋体" w:cs="宋体"/>
          <w:color w:val="auto"/>
          <w:sz w:val="21"/>
          <w:szCs w:val="24"/>
          <w:highlight w:val="none"/>
        </w:rPr>
        <w:instrText xml:space="preserve"> HYPERLINK \l _Toc24386 </w:instrText>
      </w:r>
      <w:r>
        <w:rPr>
          <w:rFonts w:hint="default" w:ascii="宋体" w:hAnsi="宋体" w:eastAsia="宋体" w:cs="宋体"/>
          <w:color w:val="auto"/>
          <w:sz w:val="21"/>
          <w:szCs w:val="24"/>
          <w:highlight w:val="none"/>
        </w:rPr>
        <w:fldChar w:fldCharType="separate"/>
      </w:r>
      <w:r>
        <w:rPr>
          <w:rFonts w:hint="default" w:ascii="宋体" w:hAnsi="宋体" w:eastAsia="宋体" w:cs="宋体"/>
          <w:color w:val="auto"/>
          <w:kern w:val="44"/>
          <w:sz w:val="21"/>
          <w:szCs w:val="44"/>
          <w:highlight w:val="none"/>
        </w:rPr>
        <w:t>第八章 质疑、投诉材料格式</w:t>
      </w:r>
      <w:r>
        <w:rPr>
          <w:rFonts w:hint="eastAsia"/>
          <w:color w:val="auto"/>
          <w:sz w:val="21"/>
          <w:szCs w:val="24"/>
          <w:highlight w:val="none"/>
        </w:rPr>
        <w:tab/>
      </w:r>
      <w:r>
        <w:rPr>
          <w:rFonts w:hint="eastAsia"/>
          <w:color w:val="auto"/>
          <w:sz w:val="21"/>
          <w:szCs w:val="24"/>
          <w:highlight w:val="none"/>
        </w:rPr>
        <w:fldChar w:fldCharType="begin"/>
      </w:r>
      <w:r>
        <w:rPr>
          <w:rFonts w:hint="eastAsia"/>
          <w:color w:val="auto"/>
          <w:sz w:val="21"/>
          <w:szCs w:val="24"/>
          <w:highlight w:val="none"/>
        </w:rPr>
        <w:instrText xml:space="preserve"> PAGEREF _Toc24386 \h </w:instrText>
      </w:r>
      <w:r>
        <w:rPr>
          <w:rFonts w:hint="eastAsia"/>
          <w:color w:val="auto"/>
          <w:sz w:val="21"/>
          <w:szCs w:val="24"/>
          <w:highlight w:val="none"/>
        </w:rPr>
        <w:fldChar w:fldCharType="separate"/>
      </w:r>
      <w:r>
        <w:rPr>
          <w:rFonts w:hint="eastAsia"/>
          <w:color w:val="auto"/>
          <w:sz w:val="21"/>
          <w:szCs w:val="24"/>
          <w:highlight w:val="none"/>
        </w:rPr>
        <w:t>172</w:t>
      </w:r>
      <w:r>
        <w:rPr>
          <w:rFonts w:hint="eastAsia"/>
          <w:color w:val="auto"/>
          <w:sz w:val="21"/>
          <w:szCs w:val="24"/>
          <w:highlight w:val="none"/>
        </w:rPr>
        <w:fldChar w:fldCharType="end"/>
      </w:r>
      <w:r>
        <w:rPr>
          <w:rFonts w:hint="eastAsia"/>
          <w:color w:val="auto"/>
          <w:sz w:val="21"/>
          <w:szCs w:val="24"/>
          <w:highlight w:val="none"/>
        </w:rPr>
        <w:fldChar w:fldCharType="end"/>
      </w:r>
    </w:p>
    <w:p w14:paraId="4D88EEE8">
      <w:pPr>
        <w:pStyle w:val="13"/>
        <w:tabs>
          <w:tab w:val="right" w:leader="dot" w:pos="8879"/>
        </w:tabs>
        <w:spacing w:line="360" w:lineRule="auto"/>
        <w:rPr>
          <w:rFonts w:hint="eastAsia"/>
          <w:color w:val="auto"/>
          <w:sz w:val="28"/>
          <w:szCs w:val="28"/>
          <w:highlight w:val="none"/>
        </w:rPr>
      </w:pPr>
      <w:r>
        <w:rPr>
          <w:rFonts w:hint="eastAsia"/>
          <w:color w:val="auto"/>
          <w:sz w:val="21"/>
          <w:szCs w:val="24"/>
          <w:highlight w:val="none"/>
        </w:rPr>
        <w:fldChar w:fldCharType="end"/>
      </w:r>
    </w:p>
    <w:p w14:paraId="5FFB8F4A">
      <w:pPr>
        <w:tabs>
          <w:tab w:val="left" w:pos="7470"/>
        </w:tabs>
        <w:spacing w:line="400" w:lineRule="exact"/>
        <w:jc w:val="left"/>
        <w:rPr>
          <w:rFonts w:hint="default" w:ascii="宋体" w:hAnsi="宋体" w:eastAsia="宋体"/>
          <w:b/>
          <w:color w:val="auto"/>
          <w:sz w:val="32"/>
          <w:szCs w:val="32"/>
          <w:highlight w:val="none"/>
        </w:rPr>
      </w:pPr>
      <w:r>
        <w:rPr>
          <w:rFonts w:hint="default" w:ascii="宋体" w:hAnsi="宋体" w:eastAsia="宋体"/>
          <w:b/>
          <w:color w:val="auto"/>
          <w:sz w:val="32"/>
          <w:szCs w:val="32"/>
          <w:highlight w:val="none"/>
        </w:rPr>
        <w:tab/>
      </w:r>
    </w:p>
    <w:p w14:paraId="14CDC999">
      <w:pPr>
        <w:widowControl/>
        <w:jc w:val="left"/>
        <w:rPr>
          <w:rFonts w:hint="default" w:ascii="宋体" w:hAnsi="宋体" w:eastAsia="宋体"/>
          <w:b/>
          <w:color w:val="auto"/>
          <w:sz w:val="32"/>
          <w:szCs w:val="32"/>
          <w:highlight w:val="none"/>
        </w:rPr>
        <w:sectPr>
          <w:headerReference r:id="rId5" w:type="first"/>
          <w:footerReference r:id="rId7" w:type="first"/>
          <w:headerReference r:id="rId4" w:type="default"/>
          <w:footerReference r:id="rId6" w:type="default"/>
          <w:pgSz w:w="11906" w:h="16838"/>
          <w:pgMar w:top="1440" w:right="1440" w:bottom="1440" w:left="1587" w:header="851" w:footer="992" w:gutter="0"/>
          <w:lnNumType w:countBy="0" w:distance="360"/>
          <w:pgNumType w:start="1"/>
          <w:cols w:space="720" w:num="1"/>
          <w:titlePg/>
          <w:docGrid w:type="lines" w:linePitch="312" w:charSpace="0"/>
        </w:sectPr>
      </w:pPr>
    </w:p>
    <w:p w14:paraId="6459315D">
      <w:pPr>
        <w:keepNext/>
        <w:keepLines/>
        <w:pageBreakBefore/>
        <w:numPr>
          <w:ilvl w:val="0"/>
          <w:numId w:val="0"/>
        </w:numPr>
        <w:spacing w:after="330" w:line="560" w:lineRule="exact"/>
        <w:jc w:val="center"/>
        <w:outlineLvl w:val="0"/>
        <w:rPr>
          <w:rFonts w:hint="default" w:ascii="宋体" w:hAnsi="宋体" w:eastAsia="宋体" w:cs="宋体"/>
          <w:b/>
          <w:color w:val="auto"/>
          <w:kern w:val="44"/>
          <w:sz w:val="21"/>
          <w:szCs w:val="21"/>
          <w:highlight w:val="none"/>
        </w:rPr>
      </w:pPr>
      <w:bookmarkStart w:id="0" w:name="_Toc29482"/>
      <w:r>
        <w:rPr>
          <w:rFonts w:hint="default" w:ascii="宋体" w:eastAsia="宋体"/>
          <w:b/>
          <w:color w:val="auto"/>
          <w:kern w:val="44"/>
          <w:sz w:val="36"/>
          <w:szCs w:val="36"/>
          <w:highlight w:val="none"/>
        </w:rPr>
        <w:t>第一章 竞争性磋商公告</w:t>
      </w:r>
      <w:bookmarkEnd w:id="0"/>
      <w:bookmarkStart w:id="1" w:name="_Toc28359004"/>
      <w:bookmarkStart w:id="2" w:name="_Toc28359081"/>
      <w:bookmarkStart w:id="3" w:name="_Toc35393792"/>
      <w:bookmarkStart w:id="4" w:name="_Toc35393623"/>
    </w:p>
    <w:p w14:paraId="6618F64B">
      <w:pPr>
        <w:pBdr>
          <w:top w:val="single" w:color="auto" w:sz="4" w:space="1"/>
          <w:left w:val="single" w:color="auto" w:sz="4" w:space="4"/>
          <w:bottom w:val="single" w:color="auto" w:sz="4" w:space="1"/>
          <w:right w:val="single" w:color="auto" w:sz="4" w:space="4"/>
        </w:pBdr>
        <w:spacing w:line="420" w:lineRule="exact"/>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项目概况</w:t>
      </w:r>
    </w:p>
    <w:p w14:paraId="6E1A3B92">
      <w:pPr>
        <w:pBdr>
          <w:top w:val="single" w:color="auto" w:sz="4" w:space="1"/>
          <w:left w:val="single" w:color="auto" w:sz="4" w:space="4"/>
          <w:bottom w:val="single" w:color="auto" w:sz="4" w:space="1"/>
          <w:right w:val="single" w:color="auto" w:sz="4" w:space="4"/>
        </w:pBdr>
        <w:spacing w:line="420" w:lineRule="exact"/>
        <w:ind w:firstLine="482" w:firstLineChars="200"/>
        <w:rPr>
          <w:rFonts w:hint="default" w:ascii="宋体" w:hAnsi="宋体" w:eastAsia="宋体" w:cs="宋体"/>
          <w:color w:val="auto"/>
          <w:sz w:val="24"/>
          <w:szCs w:val="24"/>
          <w:highlight w:val="none"/>
          <w:u w:val="single"/>
        </w:rPr>
      </w:pPr>
      <w:r>
        <w:rPr>
          <w:rFonts w:hint="eastAsia" w:ascii="宋体" w:hAnsi="宋体" w:eastAsia="宋体" w:cs="宋体"/>
          <w:b/>
          <w:color w:val="auto"/>
          <w:sz w:val="24"/>
          <w:szCs w:val="24"/>
          <w:highlight w:val="none"/>
          <w:u w:val="single"/>
          <w:lang w:val="en-US" w:eastAsia="zh-CN"/>
        </w:rPr>
        <w:t>永州镇胜利村下感屯田间灌溉排洪渠道工程</w:t>
      </w:r>
      <w:r>
        <w:rPr>
          <w:rFonts w:hint="default" w:ascii="宋体" w:hAnsi="宋体" w:eastAsia="宋体" w:cs="宋体"/>
          <w:color w:val="auto"/>
          <w:sz w:val="24"/>
          <w:szCs w:val="24"/>
          <w:highlight w:val="none"/>
        </w:rPr>
        <w:t>的潜在供应商应在广西政府采购云平台（https://www.gcy.zfcg.gxzf.gov.cn/）获取（下载）获取竞争性磋商文件，并于</w:t>
      </w:r>
      <w:r>
        <w:rPr>
          <w:rFonts w:hint="default" w:ascii="宋体" w:hAnsi="宋体" w:eastAsia="宋体" w:cs="宋体"/>
          <w:b/>
          <w:bCs/>
          <w:color w:val="auto"/>
          <w:sz w:val="24"/>
          <w:szCs w:val="24"/>
          <w:highlight w:val="none"/>
          <w:u w:val="single"/>
          <w:lang w:val="en-US" w:eastAsia="zh-CN"/>
        </w:rPr>
        <w:t>202</w:t>
      </w:r>
      <w:r>
        <w:rPr>
          <w:rFonts w:hint="eastAsia" w:ascii="宋体" w:hAnsi="宋体" w:eastAsia="宋体" w:cs="宋体"/>
          <w:b/>
          <w:bCs/>
          <w:color w:val="auto"/>
          <w:sz w:val="24"/>
          <w:szCs w:val="24"/>
          <w:highlight w:val="none"/>
          <w:u w:val="single"/>
          <w:lang w:val="en-US" w:eastAsia="zh-CN"/>
        </w:rPr>
        <w:t>6</w:t>
      </w:r>
      <w:r>
        <w:rPr>
          <w:rFonts w:hint="default" w:ascii="宋体" w:hAnsi="宋体" w:eastAsia="宋体" w:cs="宋体"/>
          <w:b/>
          <w:bCs/>
          <w:color w:val="auto"/>
          <w:sz w:val="24"/>
          <w:szCs w:val="24"/>
          <w:highlight w:val="none"/>
          <w:u w:val="single"/>
          <w:lang w:val="en-US" w:eastAsia="zh-CN"/>
        </w:rPr>
        <w:t>年</w:t>
      </w:r>
      <w:r>
        <w:rPr>
          <w:rFonts w:hint="eastAsia" w:ascii="宋体" w:hAnsi="宋体" w:eastAsia="宋体" w:cs="宋体"/>
          <w:b/>
          <w:bCs/>
          <w:color w:val="auto"/>
          <w:sz w:val="24"/>
          <w:szCs w:val="24"/>
          <w:highlight w:val="none"/>
          <w:u w:val="single"/>
          <w:lang w:val="en-US" w:eastAsia="zh-CN"/>
        </w:rPr>
        <w:t>9</w:t>
      </w:r>
      <w:r>
        <w:rPr>
          <w:rFonts w:hint="default" w:ascii="宋体" w:hAnsi="宋体" w:eastAsia="宋体" w:cs="宋体"/>
          <w:b/>
          <w:bCs/>
          <w:color w:val="auto"/>
          <w:sz w:val="24"/>
          <w:szCs w:val="24"/>
          <w:highlight w:val="none"/>
          <w:u w:val="single"/>
          <w:lang w:val="en-US" w:eastAsia="zh-CN"/>
        </w:rPr>
        <w:t>月</w:t>
      </w:r>
      <w:r>
        <w:rPr>
          <w:rFonts w:hint="eastAsia" w:ascii="宋体" w:hAnsi="宋体" w:eastAsia="宋体" w:cs="宋体"/>
          <w:b/>
          <w:bCs/>
          <w:color w:val="auto"/>
          <w:sz w:val="24"/>
          <w:szCs w:val="24"/>
          <w:highlight w:val="none"/>
          <w:u w:val="single"/>
          <w:lang w:val="en-US" w:eastAsia="zh-CN"/>
        </w:rPr>
        <w:t>8</w:t>
      </w:r>
      <w:r>
        <w:rPr>
          <w:rFonts w:hint="default" w:ascii="宋体" w:hAnsi="宋体" w:eastAsia="宋体" w:cs="宋体"/>
          <w:b/>
          <w:bCs/>
          <w:color w:val="auto"/>
          <w:sz w:val="24"/>
          <w:szCs w:val="24"/>
          <w:highlight w:val="none"/>
          <w:u w:val="single"/>
          <w:lang w:val="en-US" w:eastAsia="zh-CN"/>
        </w:rPr>
        <w:t>日13：00分</w:t>
      </w:r>
      <w:r>
        <w:rPr>
          <w:rFonts w:hint="default" w:ascii="宋体" w:hAnsi="宋体" w:eastAsia="宋体" w:cs="宋体"/>
          <w:color w:val="auto"/>
          <w:sz w:val="24"/>
          <w:szCs w:val="24"/>
          <w:highlight w:val="none"/>
        </w:rPr>
        <w:t>（北京时间）前提交响应文件。</w:t>
      </w:r>
    </w:p>
    <w:p w14:paraId="77EC25FA">
      <w:pPr>
        <w:spacing w:line="420" w:lineRule="exact"/>
        <w:ind w:firstLine="482" w:firstLineChars="200"/>
        <w:rPr>
          <w:rFonts w:hint="default" w:ascii="宋体" w:hAnsi="宋体" w:eastAsia="宋体" w:cs="宋体"/>
          <w:color w:val="auto"/>
          <w:sz w:val="24"/>
          <w:szCs w:val="24"/>
          <w:highlight w:val="none"/>
        </w:rPr>
      </w:pPr>
      <w:bookmarkStart w:id="5" w:name="_Toc28359079"/>
      <w:bookmarkStart w:id="6" w:name="_Toc28359002"/>
      <w:bookmarkStart w:id="7" w:name="_Toc35393790"/>
      <w:bookmarkStart w:id="8" w:name="_Toc35393621"/>
      <w:r>
        <w:rPr>
          <w:rFonts w:hint="default" w:ascii="宋体" w:hAnsi="宋体" w:eastAsia="宋体" w:cs="宋体"/>
          <w:b/>
          <w:color w:val="auto"/>
          <w:sz w:val="24"/>
          <w:szCs w:val="24"/>
          <w:highlight w:val="none"/>
        </w:rPr>
        <w:t>一、项目基本情况</w:t>
      </w:r>
      <w:bookmarkEnd w:id="5"/>
      <w:bookmarkEnd w:id="6"/>
      <w:bookmarkEnd w:id="7"/>
      <w:bookmarkEnd w:id="8"/>
    </w:p>
    <w:p w14:paraId="49211A0E">
      <w:pPr>
        <w:spacing w:line="420" w:lineRule="exact"/>
        <w:ind w:firstLine="480" w:firstLineChars="200"/>
        <w:rPr>
          <w:rFonts w:hint="default" w:ascii="宋体" w:hAnsi="宋体" w:eastAsia="宋体" w:cs="宋体"/>
          <w:b/>
          <w:color w:val="auto"/>
          <w:sz w:val="24"/>
          <w:szCs w:val="24"/>
          <w:highlight w:val="none"/>
        </w:rPr>
      </w:pPr>
      <w:r>
        <w:rPr>
          <w:rFonts w:hint="default" w:ascii="宋体" w:hAnsi="宋体" w:eastAsia="宋体" w:cs="宋体"/>
          <w:color w:val="auto"/>
          <w:sz w:val="24"/>
          <w:szCs w:val="24"/>
          <w:highlight w:val="none"/>
        </w:rPr>
        <w:t>1.项目编号：</w:t>
      </w:r>
      <w:r>
        <w:rPr>
          <w:rFonts w:hint="default" w:ascii="宋体" w:hAnsi="宋体" w:eastAsia="宋体" w:cs="宋体"/>
          <w:b/>
          <w:bCs/>
          <w:color w:val="auto"/>
          <w:sz w:val="24"/>
          <w:szCs w:val="24"/>
          <w:highlight w:val="none"/>
        </w:rPr>
        <w:t xml:space="preserve">NNZC2026-C2-240152-GXJZ </w:t>
      </w:r>
    </w:p>
    <w:p w14:paraId="2780AFCD">
      <w:pPr>
        <w:numPr>
          <w:ilvl w:val="0"/>
          <w:numId w:val="0"/>
        </w:numPr>
        <w:spacing w:line="420" w:lineRule="exact"/>
        <w:ind w:firstLine="720" w:firstLineChars="3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采购计划文号：</w:t>
      </w:r>
      <w:r>
        <w:rPr>
          <w:rFonts w:hint="default" w:ascii="宋体" w:hAnsi="宋体" w:eastAsia="宋体" w:cs="宋体"/>
          <w:b/>
          <w:bCs/>
          <w:color w:val="auto"/>
          <w:sz w:val="24"/>
          <w:szCs w:val="24"/>
          <w:highlight w:val="none"/>
          <w:lang w:val="en-US" w:eastAsia="zh-CN"/>
        </w:rPr>
        <w:t>MSZC2026-C2-01445-001、MSZC2026-C2-01445-002</w:t>
      </w:r>
    </w:p>
    <w:p w14:paraId="0B017871">
      <w:pPr>
        <w:numPr>
          <w:ilvl w:val="0"/>
          <w:numId w:val="0"/>
        </w:numPr>
        <w:spacing w:line="420" w:lineRule="exact"/>
        <w:ind w:firstLine="480" w:firstLineChars="200"/>
        <w:rPr>
          <w:rFonts w:hint="default" w:ascii="宋体" w:hAnsi="宋体" w:eastAsia="宋体" w:cs="宋体"/>
          <w:b/>
          <w:color w:val="auto"/>
          <w:sz w:val="24"/>
          <w:szCs w:val="24"/>
          <w:highlight w:val="none"/>
        </w:rPr>
      </w:pPr>
      <w:r>
        <w:rPr>
          <w:rFonts w:hint="default" w:ascii="宋体" w:hAnsi="宋体" w:eastAsia="宋体" w:cs="宋体"/>
          <w:color w:val="auto"/>
          <w:sz w:val="24"/>
          <w:szCs w:val="24"/>
          <w:highlight w:val="none"/>
        </w:rPr>
        <w:t>2.项目名称：</w:t>
      </w:r>
      <w:r>
        <w:rPr>
          <w:rFonts w:hint="eastAsia" w:ascii="宋体" w:hAnsi="宋体" w:eastAsia="宋体" w:cs="宋体"/>
          <w:b/>
          <w:color w:val="auto"/>
          <w:sz w:val="24"/>
          <w:szCs w:val="24"/>
          <w:highlight w:val="none"/>
          <w:lang w:val="en-US" w:eastAsia="zh-CN"/>
        </w:rPr>
        <w:t>永州镇胜利村下感屯田间灌溉排洪渠道工程</w:t>
      </w:r>
      <w:r>
        <w:rPr>
          <w:rFonts w:hint="default" w:ascii="宋体" w:hAnsi="宋体" w:eastAsia="宋体" w:cs="宋体"/>
          <w:b/>
          <w:color w:val="auto"/>
          <w:sz w:val="24"/>
          <w:szCs w:val="24"/>
          <w:highlight w:val="none"/>
        </w:rPr>
        <w:t xml:space="preserve"> </w:t>
      </w:r>
    </w:p>
    <w:p w14:paraId="1903694E">
      <w:pPr>
        <w:numPr>
          <w:ilvl w:val="0"/>
          <w:numId w:val="0"/>
        </w:numPr>
        <w:spacing w:line="420" w:lineRule="exact"/>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3.采购方式：</w:t>
      </w:r>
      <w:r>
        <w:rPr>
          <w:rFonts w:hint="default" w:ascii="宋体" w:hAnsi="宋体" w:eastAsia="宋体" w:cs="宋体"/>
          <w:b/>
          <w:color w:val="auto"/>
          <w:sz w:val="24"/>
          <w:szCs w:val="24"/>
          <w:highlight w:val="none"/>
        </w:rPr>
        <w:t>竞争性磋商</w:t>
      </w:r>
    </w:p>
    <w:p w14:paraId="022F6579">
      <w:pPr>
        <w:spacing w:line="420" w:lineRule="exact"/>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4.预算金额：</w:t>
      </w:r>
      <w:r>
        <w:rPr>
          <w:rFonts w:hint="default" w:ascii="宋体" w:hAnsi="宋体" w:eastAsia="宋体" w:cs="宋体"/>
          <w:b/>
          <w:color w:val="auto"/>
          <w:sz w:val="24"/>
          <w:szCs w:val="24"/>
          <w:highlight w:val="none"/>
        </w:rPr>
        <w:t>2383262.11元</w:t>
      </w:r>
    </w:p>
    <w:p w14:paraId="5B7318A5">
      <w:pPr>
        <w:spacing w:line="420" w:lineRule="exact"/>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5.最高限价</w:t>
      </w:r>
      <w:bookmarkStart w:id="9" w:name="_Hlk66782034"/>
      <w:r>
        <w:rPr>
          <w:rFonts w:hint="default" w:ascii="宋体" w:hAnsi="宋体" w:eastAsia="宋体" w:cs="宋体"/>
          <w:color w:val="auto"/>
          <w:sz w:val="24"/>
          <w:szCs w:val="24"/>
          <w:highlight w:val="none"/>
        </w:rPr>
        <w:t>（如有）</w:t>
      </w:r>
      <w:bookmarkEnd w:id="9"/>
      <w:r>
        <w:rPr>
          <w:rFonts w:hint="default" w:ascii="宋体" w:hAnsi="宋体" w:eastAsia="宋体" w:cs="宋体"/>
          <w:color w:val="auto"/>
          <w:sz w:val="24"/>
          <w:szCs w:val="24"/>
          <w:highlight w:val="none"/>
        </w:rPr>
        <w:t>：</w:t>
      </w:r>
      <w:r>
        <w:rPr>
          <w:rFonts w:hint="eastAsia" w:ascii="宋体" w:hAnsi="宋体" w:eastAsia="宋体" w:cs="宋体"/>
          <w:b/>
          <w:bCs/>
          <w:color w:val="auto"/>
          <w:sz w:val="24"/>
          <w:szCs w:val="24"/>
          <w:highlight w:val="none"/>
          <w:lang w:eastAsia="zh-CN"/>
        </w:rPr>
        <w:t>2383262.11元</w:t>
      </w:r>
    </w:p>
    <w:p w14:paraId="475CBCC5">
      <w:pPr>
        <w:spacing w:line="420" w:lineRule="exact"/>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6.采购需求：</w:t>
      </w:r>
      <w:bookmarkStart w:id="10" w:name="PO_3000001868_PM004"/>
    </w:p>
    <w:tbl>
      <w:tblPr>
        <w:tblStyle w:val="18"/>
        <w:tblW w:w="5127" w:type="pct"/>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65"/>
        <w:gridCol w:w="1300"/>
        <w:gridCol w:w="787"/>
        <w:gridCol w:w="738"/>
        <w:gridCol w:w="6282"/>
      </w:tblGrid>
      <w:tr w14:paraId="1349FF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2" w:hRule="atLeast"/>
        </w:trPr>
        <w:tc>
          <w:tcPr>
            <w:tcW w:w="38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B02A3EA">
            <w:pPr>
              <w:spacing w:line="420" w:lineRule="exact"/>
              <w:jc w:val="center"/>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序号</w:t>
            </w:r>
          </w:p>
        </w:tc>
        <w:tc>
          <w:tcPr>
            <w:tcW w:w="658"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1FEB01D">
            <w:pPr>
              <w:spacing w:line="420" w:lineRule="exact"/>
              <w:jc w:val="center"/>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标的名称</w:t>
            </w:r>
          </w:p>
        </w:tc>
        <w:tc>
          <w:tcPr>
            <w:tcW w:w="398"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F475AC6">
            <w:pPr>
              <w:spacing w:line="420" w:lineRule="exact"/>
              <w:jc w:val="center"/>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数量</w:t>
            </w:r>
          </w:p>
        </w:tc>
        <w:tc>
          <w:tcPr>
            <w:tcW w:w="373"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6BB7FA6">
            <w:pPr>
              <w:spacing w:line="420" w:lineRule="exact"/>
              <w:jc w:val="center"/>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单位</w:t>
            </w:r>
          </w:p>
        </w:tc>
        <w:tc>
          <w:tcPr>
            <w:tcW w:w="318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42FE1FE">
            <w:pPr>
              <w:spacing w:line="420" w:lineRule="exact"/>
              <w:jc w:val="center"/>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简要规格描述或基本概况介绍</w:t>
            </w:r>
          </w:p>
        </w:tc>
      </w:tr>
      <w:tr w14:paraId="27206D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66" w:hRule="atLeast"/>
        </w:trPr>
        <w:tc>
          <w:tcPr>
            <w:tcW w:w="38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6C6750B">
            <w:pPr>
              <w:spacing w:line="420" w:lineRule="exact"/>
              <w:jc w:val="center"/>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1</w:t>
            </w:r>
          </w:p>
        </w:tc>
        <w:tc>
          <w:tcPr>
            <w:tcW w:w="658"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93C4642">
            <w:pPr>
              <w:numPr>
                <w:ilvl w:val="0"/>
                <w:numId w:val="0"/>
              </w:numPr>
              <w:spacing w:line="420" w:lineRule="exact"/>
              <w:jc w:val="center"/>
              <w:rPr>
                <w:rFonts w:hint="default" w:ascii="宋体" w:hAnsi="宋体" w:eastAsia="宋体" w:cs="宋体"/>
                <w:color w:val="auto"/>
                <w:sz w:val="24"/>
                <w:szCs w:val="24"/>
                <w:highlight w:val="none"/>
              </w:rPr>
            </w:pPr>
            <w:r>
              <w:rPr>
                <w:rFonts w:hint="eastAsia" w:ascii="宋体" w:hAnsi="宋体" w:eastAsia="宋体" w:cs="宋体"/>
                <w:b/>
                <w:color w:val="auto"/>
                <w:sz w:val="24"/>
                <w:szCs w:val="24"/>
                <w:highlight w:val="none"/>
                <w:u w:val="none"/>
                <w:lang w:val="en-US" w:eastAsia="zh-CN"/>
              </w:rPr>
              <w:t>永州镇胜利村下感屯田间灌溉排洪渠道工程</w:t>
            </w:r>
          </w:p>
        </w:tc>
        <w:tc>
          <w:tcPr>
            <w:tcW w:w="398"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A280096">
            <w:pPr>
              <w:spacing w:line="420" w:lineRule="exact"/>
              <w:jc w:val="center"/>
              <w:rPr>
                <w:rFonts w:hint="default" w:ascii="宋体" w:hAnsi="宋体" w:eastAsia="宋体" w:cs="宋体"/>
                <w:b w:val="0"/>
                <w:bCs w:val="0"/>
                <w:color w:val="auto"/>
                <w:sz w:val="24"/>
                <w:szCs w:val="24"/>
                <w:highlight w:val="none"/>
              </w:rPr>
            </w:pPr>
            <w:r>
              <w:rPr>
                <w:rFonts w:hint="default" w:ascii="宋体" w:hAnsi="宋体" w:eastAsia="宋体" w:cs="宋体"/>
                <w:b w:val="0"/>
                <w:bCs w:val="0"/>
                <w:color w:val="auto"/>
                <w:sz w:val="24"/>
                <w:szCs w:val="24"/>
                <w:highlight w:val="none"/>
              </w:rPr>
              <w:t>1</w:t>
            </w:r>
          </w:p>
        </w:tc>
        <w:tc>
          <w:tcPr>
            <w:tcW w:w="373"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3A972F6">
            <w:pPr>
              <w:spacing w:line="420" w:lineRule="exact"/>
              <w:jc w:val="center"/>
              <w:rPr>
                <w:rFonts w:hint="default" w:ascii="宋体" w:hAnsi="宋体" w:eastAsia="宋体" w:cs="宋体"/>
                <w:b w:val="0"/>
                <w:bCs w:val="0"/>
                <w:color w:val="auto"/>
                <w:sz w:val="24"/>
                <w:szCs w:val="24"/>
                <w:highlight w:val="none"/>
              </w:rPr>
            </w:pPr>
            <w:r>
              <w:rPr>
                <w:rFonts w:hint="default" w:ascii="宋体" w:hAnsi="宋体" w:eastAsia="宋体" w:cs="宋体"/>
                <w:b w:val="0"/>
                <w:bCs w:val="0"/>
                <w:color w:val="auto"/>
                <w:sz w:val="24"/>
                <w:szCs w:val="24"/>
                <w:highlight w:val="none"/>
              </w:rPr>
              <w:t>项</w:t>
            </w:r>
          </w:p>
        </w:tc>
        <w:tc>
          <w:tcPr>
            <w:tcW w:w="318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3ECD1EC">
            <w:pPr>
              <w:keepNext w:val="0"/>
              <w:keepLines w:val="0"/>
              <w:pageBreakBefore w:val="0"/>
              <w:widowControl w:val="0"/>
              <w:kinsoku/>
              <w:wordWrap w:val="0"/>
              <w:overflowPunct/>
              <w:topLinePunct w:val="0"/>
              <w:autoSpaceDE/>
              <w:autoSpaceDN/>
              <w:bidi w:val="0"/>
              <w:adjustRightInd/>
              <w:snapToGrid/>
              <w:spacing w:line="420" w:lineRule="exact"/>
              <w:jc w:val="left"/>
              <w:textAlignment w:val="auto"/>
              <w:rPr>
                <w:rFonts w:hint="default" w:ascii="宋体" w:hAnsi="宋体" w:eastAsia="宋体" w:cs="宋体"/>
                <w:color w:val="0000FF"/>
                <w:sz w:val="24"/>
                <w:u w:val="single"/>
                <w:lang w:val="en-US" w:eastAsia="zh-CN"/>
              </w:rPr>
            </w:pPr>
            <w:r>
              <w:rPr>
                <w:rFonts w:hint="eastAsia" w:ascii="宋体" w:hAnsi="宋体" w:eastAsia="宋体" w:cs="宋体"/>
                <w:b w:val="0"/>
                <w:bCs/>
                <w:color w:val="auto"/>
                <w:sz w:val="24"/>
                <w:szCs w:val="24"/>
                <w:highlight w:val="none"/>
                <w:u w:val="none"/>
                <w:lang w:val="en-US" w:eastAsia="zh-CN"/>
              </w:rPr>
              <w:t>主要建设内容：</w:t>
            </w:r>
            <w:r>
              <w:rPr>
                <w:rFonts w:hint="eastAsia" w:ascii="宋体" w:hAnsi="宋体" w:eastAsia="宋体" w:cs="宋体"/>
                <w:color w:val="000000"/>
                <w:sz w:val="24"/>
                <w:u w:val="single"/>
                <w:lang w:val="en-US" w:eastAsia="zh-CN"/>
              </w:rPr>
              <w:t>下感屯排水干渠渠总长 1472米，人行盖板1座，机械盖板8座，下感屯排水支渠01(断面400*400mm，L=49m)，下感屯排水支渠02(断面400*400mm，L=188m)，下感屯排水支渠03(断面</w:t>
            </w:r>
            <w:r>
              <w:rPr>
                <w:rFonts w:hint="eastAsia" w:ascii="宋体" w:hAnsi="宋体" w:eastAsia="宋体" w:cs="宋体"/>
                <w:color w:val="000000" w:themeColor="text1"/>
                <w:sz w:val="24"/>
                <w:u w:val="single"/>
                <w:lang w:val="en-US" w:eastAsia="zh-CN"/>
                <w14:textFill>
                  <w14:solidFill>
                    <w14:schemeClr w14:val="tx1"/>
                  </w14:solidFill>
                </w14:textFill>
              </w:rPr>
              <w:t>400*400mm，L=53m)，下感屯排水支渠04(断面400*400mm，L41m穿管涵(8道，51米)，码头(3座)下感屯水源塘围边重力式挡土墙L=193m，抽水设备1套，输配水管网1315米等，具体以图纸及招标控制价为准。</w:t>
            </w:r>
          </w:p>
        </w:tc>
      </w:tr>
      <w:bookmarkEnd w:id="10"/>
    </w:tbl>
    <w:p w14:paraId="614072AB">
      <w:pPr>
        <w:numPr>
          <w:ilvl w:val="0"/>
          <w:numId w:val="0"/>
        </w:numPr>
        <w:spacing w:line="420" w:lineRule="exact"/>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7.合同履行期限（工期）：自签订合同之日起</w:t>
      </w:r>
      <w:r>
        <w:rPr>
          <w:rFonts w:hint="eastAsia" w:ascii="宋体" w:hAnsi="宋体" w:eastAsia="宋体" w:cs="宋体"/>
          <w:color w:val="auto"/>
          <w:sz w:val="24"/>
          <w:szCs w:val="24"/>
          <w:highlight w:val="none"/>
          <w:lang w:val="en-US" w:eastAsia="zh-CN"/>
        </w:rPr>
        <w:t>90</w:t>
      </w:r>
      <w:r>
        <w:rPr>
          <w:rFonts w:hint="default" w:ascii="宋体" w:hAnsi="宋体" w:eastAsia="宋体" w:cs="宋体"/>
          <w:color w:val="auto"/>
          <w:sz w:val="24"/>
          <w:szCs w:val="24"/>
          <w:highlight w:val="none"/>
        </w:rPr>
        <w:t>日内。</w:t>
      </w:r>
    </w:p>
    <w:p w14:paraId="65223A8F">
      <w:pPr>
        <w:spacing w:line="420" w:lineRule="exact"/>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8.本项目是否接受联合体：否</w:t>
      </w:r>
    </w:p>
    <w:p w14:paraId="3BAFD84C">
      <w:pPr>
        <w:spacing w:line="420" w:lineRule="exact"/>
        <w:ind w:firstLine="482" w:firstLineChars="200"/>
        <w:rPr>
          <w:rFonts w:hint="default" w:ascii="宋体" w:hAnsi="宋体" w:eastAsia="宋体" w:cs="宋体"/>
          <w:color w:val="auto"/>
          <w:sz w:val="24"/>
          <w:szCs w:val="24"/>
          <w:highlight w:val="none"/>
        </w:rPr>
      </w:pPr>
      <w:bookmarkStart w:id="11" w:name="_Toc35393630"/>
      <w:bookmarkStart w:id="12" w:name="_Toc28359013"/>
      <w:bookmarkStart w:id="13" w:name="_Toc35393799"/>
      <w:bookmarkStart w:id="14" w:name="_Toc28359090"/>
      <w:bookmarkStart w:id="15" w:name="_Toc44229879"/>
      <w:r>
        <w:rPr>
          <w:rFonts w:hint="default" w:ascii="宋体" w:hAnsi="宋体" w:eastAsia="宋体" w:cs="宋体"/>
          <w:b/>
          <w:color w:val="auto"/>
          <w:kern w:val="44"/>
          <w:sz w:val="24"/>
          <w:szCs w:val="24"/>
          <w:highlight w:val="none"/>
        </w:rPr>
        <w:t>二、供应商的资格条件</w:t>
      </w:r>
      <w:bookmarkEnd w:id="11"/>
      <w:bookmarkEnd w:id="12"/>
      <w:bookmarkEnd w:id="13"/>
      <w:bookmarkEnd w:id="14"/>
      <w:bookmarkEnd w:id="15"/>
    </w:p>
    <w:p w14:paraId="4979B50F">
      <w:pPr>
        <w:spacing w:line="420" w:lineRule="exact"/>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1.满足《中华人民共和国政府采购法》第二十二条规定；</w:t>
      </w:r>
    </w:p>
    <w:p w14:paraId="08E99F8D">
      <w:pPr>
        <w:spacing w:line="420" w:lineRule="exact"/>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2.</w:t>
      </w:r>
      <w:bookmarkStart w:id="16" w:name="PO_3000001868_PM005"/>
      <w:r>
        <w:rPr>
          <w:rFonts w:hint="default" w:ascii="宋体" w:hAnsi="宋体" w:eastAsia="宋体" w:cs="宋体"/>
          <w:color w:val="auto"/>
          <w:sz w:val="24"/>
          <w:szCs w:val="24"/>
          <w:highlight w:val="none"/>
        </w:rPr>
        <w:t>落实政府采购政策需满足的资格要求：</w:t>
      </w:r>
    </w:p>
    <w:p w14:paraId="3B5B5569">
      <w:pPr>
        <w:spacing w:line="420" w:lineRule="exact"/>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☑专门面向</w:t>
      </w:r>
      <w:r>
        <w:rPr>
          <w:rFonts w:hint="eastAsia" w:ascii="宋体" w:hAnsi="宋体" w:eastAsia="宋体" w:cs="宋体"/>
          <w:color w:val="auto"/>
          <w:sz w:val="24"/>
          <w:szCs w:val="24"/>
          <w:highlight w:val="none"/>
          <w:lang w:val="en-US" w:eastAsia="zh-CN"/>
        </w:rPr>
        <w:t>小微</w:t>
      </w:r>
      <w:r>
        <w:rPr>
          <w:rFonts w:hint="default" w:ascii="宋体" w:hAnsi="宋体" w:eastAsia="宋体" w:cs="宋体"/>
          <w:color w:val="auto"/>
          <w:sz w:val="24"/>
          <w:szCs w:val="24"/>
          <w:highlight w:val="none"/>
        </w:rPr>
        <w:t>企业采购的项目（供应商应为</w:t>
      </w:r>
      <w:r>
        <w:rPr>
          <w:rFonts w:hint="eastAsia" w:ascii="宋体" w:hAnsi="宋体" w:eastAsia="宋体" w:cs="宋体"/>
          <w:color w:val="auto"/>
          <w:sz w:val="24"/>
          <w:szCs w:val="24"/>
          <w:highlight w:val="none"/>
          <w:lang w:val="en-US" w:eastAsia="zh-CN"/>
        </w:rPr>
        <w:t>小微</w:t>
      </w:r>
      <w:r>
        <w:rPr>
          <w:rFonts w:hint="default" w:ascii="宋体" w:hAnsi="宋体" w:eastAsia="宋体" w:cs="宋体"/>
          <w:color w:val="auto"/>
          <w:sz w:val="24"/>
          <w:szCs w:val="24"/>
          <w:highlight w:val="none"/>
        </w:rPr>
        <w:t>企业、监狱企业、残疾人福利性单位)</w:t>
      </w:r>
    </w:p>
    <w:p w14:paraId="4C423C98">
      <w:pPr>
        <w:spacing w:line="420" w:lineRule="exact"/>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□非专门面向中小企业采购的项目</w:t>
      </w:r>
    </w:p>
    <w:p w14:paraId="5BCE9C3F">
      <w:pPr>
        <w:spacing w:line="420" w:lineRule="exact"/>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3.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7B826E56">
      <w:pPr>
        <w:spacing w:line="420" w:lineRule="exact"/>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4.对在“信用中国”网站(www.creditchina.gov.cn) 、中国政府采购网(www.ccgp.gov.cn)被列入失信被执行人、</w:t>
      </w:r>
      <w:r>
        <w:rPr>
          <w:rFonts w:hint="eastAsia" w:ascii="宋体" w:hAnsi="宋体" w:eastAsia="宋体" w:cs="宋体"/>
          <w:color w:val="auto"/>
          <w:sz w:val="24"/>
          <w:szCs w:val="24"/>
          <w:highlight w:val="none"/>
          <w:lang w:eastAsia="zh-CN"/>
        </w:rPr>
        <w:t>重大税收违法失信主体</w:t>
      </w:r>
      <w:r>
        <w:rPr>
          <w:rFonts w:hint="default" w:ascii="宋体" w:hAnsi="宋体" w:eastAsia="宋体" w:cs="宋体"/>
          <w:color w:val="auto"/>
          <w:sz w:val="24"/>
          <w:szCs w:val="24"/>
          <w:highlight w:val="none"/>
        </w:rPr>
        <w:t>、政府采购严重违法失信行为记录名单及其他不符合《中华人民共和国政府采购法》第二十二条规定条件的供应商，不得参与政府采购活动。</w:t>
      </w:r>
      <w:bookmarkEnd w:id="16"/>
    </w:p>
    <w:p w14:paraId="234F7722">
      <w:pPr>
        <w:spacing w:line="420" w:lineRule="exact"/>
        <w:ind w:firstLine="480" w:firstLineChars="200"/>
        <w:jc w:val="left"/>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5.本项目的特定资格要求：供应商具</w:t>
      </w:r>
      <w:r>
        <w:rPr>
          <w:rFonts w:hint="default" w:ascii="宋体" w:hAnsi="宋体" w:eastAsia="宋体" w:cs="宋体"/>
          <w:b/>
          <w:bCs/>
          <w:color w:val="auto"/>
          <w:sz w:val="24"/>
          <w:szCs w:val="24"/>
          <w:highlight w:val="none"/>
          <w:u w:val="single"/>
        </w:rPr>
        <w:t>备水利水电工程施工总承包</w:t>
      </w:r>
      <w:r>
        <w:rPr>
          <w:rFonts w:hint="eastAsia" w:ascii="宋体" w:hAnsi="宋体" w:eastAsia="宋体" w:cs="宋体"/>
          <w:b/>
          <w:bCs/>
          <w:color w:val="auto"/>
          <w:sz w:val="24"/>
          <w:szCs w:val="24"/>
          <w:highlight w:val="none"/>
          <w:u w:val="single"/>
          <w:lang w:val="en-US" w:eastAsia="zh-CN"/>
        </w:rPr>
        <w:t>贰</w:t>
      </w:r>
      <w:r>
        <w:rPr>
          <w:rFonts w:hint="default" w:ascii="宋体" w:hAnsi="宋体" w:eastAsia="宋体" w:cs="宋体"/>
          <w:b/>
          <w:bCs/>
          <w:color w:val="auto"/>
          <w:sz w:val="24"/>
          <w:szCs w:val="24"/>
          <w:highlight w:val="none"/>
          <w:u w:val="single"/>
        </w:rPr>
        <w:t>级（含）以上</w:t>
      </w:r>
      <w:r>
        <w:rPr>
          <w:rFonts w:hint="default" w:ascii="宋体" w:hAnsi="宋体" w:eastAsia="宋体" w:cs="宋体"/>
          <w:color w:val="auto"/>
          <w:sz w:val="24"/>
          <w:szCs w:val="24"/>
          <w:highlight w:val="none"/>
        </w:rPr>
        <w:t>资质</w:t>
      </w:r>
      <w:r>
        <w:rPr>
          <w:rFonts w:hint="eastAsia" w:ascii="宋体" w:hAnsi="宋体" w:eastAsia="宋体" w:cs="宋体"/>
          <w:color w:val="auto"/>
          <w:sz w:val="24"/>
          <w:szCs w:val="24"/>
          <w:highlight w:val="none"/>
          <w:lang w:eastAsia="zh-CN"/>
        </w:rPr>
        <w:t>、</w:t>
      </w:r>
      <w:r>
        <w:rPr>
          <w:rFonts w:hint="default" w:ascii="宋体" w:hAnsi="宋体" w:eastAsia="宋体" w:cs="宋体"/>
          <w:color w:val="auto"/>
          <w:sz w:val="24"/>
          <w:szCs w:val="24"/>
          <w:highlight w:val="none"/>
        </w:rPr>
        <w:t>有效的安全生产许可证的施工企业，并在人员、设备、资金等方面具备相应的施工能力；拟投入本项目的项目经理须具备有效的</w:t>
      </w:r>
      <w:r>
        <w:rPr>
          <w:rFonts w:hint="default" w:ascii="宋体" w:hAnsi="宋体" w:eastAsia="宋体" w:cs="宋体"/>
          <w:b/>
          <w:bCs/>
          <w:color w:val="auto"/>
          <w:sz w:val="24"/>
          <w:szCs w:val="24"/>
          <w:highlight w:val="none"/>
          <w:u w:val="single"/>
        </w:rPr>
        <w:t>水利水电工程类专业贰级（含）以上</w:t>
      </w:r>
      <w:r>
        <w:rPr>
          <w:rFonts w:hint="default" w:ascii="宋体" w:hAnsi="宋体" w:eastAsia="宋体" w:cs="宋体"/>
          <w:color w:val="auto"/>
          <w:sz w:val="24"/>
          <w:szCs w:val="24"/>
          <w:highlight w:val="none"/>
        </w:rPr>
        <w:t>注册建造师执业资格，具备水行政主管部门或其授权部门（机构）颁发有效的</w:t>
      </w:r>
      <w:r>
        <w:rPr>
          <w:rFonts w:hint="default" w:ascii="宋体" w:hAnsi="宋体" w:eastAsia="宋体" w:cs="宋体"/>
          <w:b/>
          <w:bCs/>
          <w:color w:val="auto"/>
          <w:sz w:val="24"/>
          <w:szCs w:val="24"/>
          <w:highlight w:val="none"/>
          <w:u w:val="single"/>
        </w:rPr>
        <w:t>安全生产考核合格证书（B类）</w:t>
      </w:r>
      <w:r>
        <w:rPr>
          <w:rFonts w:hint="default" w:ascii="宋体" w:hAnsi="宋体" w:eastAsia="宋体" w:cs="宋体"/>
          <w:color w:val="auto"/>
          <w:sz w:val="24"/>
          <w:szCs w:val="24"/>
          <w:highlight w:val="none"/>
        </w:rPr>
        <w:t>。本项目不接受有在建、已中标未开工或已列为其他项目中标候选人第一名的建造师作为项目经理。</w:t>
      </w:r>
    </w:p>
    <w:p w14:paraId="581A4C90">
      <w:pPr>
        <w:spacing w:line="420" w:lineRule="exact"/>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6. 本项目的特定条件：无</w:t>
      </w:r>
    </w:p>
    <w:bookmarkEnd w:id="1"/>
    <w:bookmarkEnd w:id="2"/>
    <w:bookmarkEnd w:id="3"/>
    <w:bookmarkEnd w:id="4"/>
    <w:p w14:paraId="76BB2B8A">
      <w:pPr>
        <w:spacing w:line="420" w:lineRule="exact"/>
        <w:ind w:firstLine="482" w:firstLineChars="200"/>
        <w:rPr>
          <w:rFonts w:hint="default" w:ascii="宋体" w:hAnsi="宋体" w:eastAsia="宋体" w:cs="宋体"/>
          <w:b/>
          <w:color w:val="auto"/>
          <w:sz w:val="24"/>
          <w:szCs w:val="24"/>
          <w:highlight w:val="none"/>
        </w:rPr>
      </w:pPr>
      <w:r>
        <w:rPr>
          <w:rFonts w:hint="default" w:ascii="宋体" w:hAnsi="宋体" w:eastAsia="宋体" w:cs="宋体"/>
          <w:b/>
          <w:color w:val="auto"/>
          <w:sz w:val="24"/>
          <w:szCs w:val="24"/>
          <w:highlight w:val="none"/>
        </w:rPr>
        <w:t>三、获取竞争性磋商文件</w:t>
      </w:r>
    </w:p>
    <w:p w14:paraId="6511C470">
      <w:pPr>
        <w:spacing w:line="420" w:lineRule="exact"/>
        <w:ind w:firstLine="480" w:firstLineChars="200"/>
        <w:rPr>
          <w:rFonts w:hint="default" w:ascii="宋体" w:hAnsi="宋体" w:eastAsia="宋体" w:cs="宋体"/>
          <w:color w:val="auto"/>
          <w:sz w:val="24"/>
          <w:szCs w:val="24"/>
          <w:highlight w:val="none"/>
        </w:rPr>
      </w:pPr>
      <w:bookmarkStart w:id="17" w:name="_Toc28359082"/>
      <w:bookmarkStart w:id="18" w:name="_Toc28359005"/>
      <w:bookmarkStart w:id="19" w:name="_Toc35393793"/>
      <w:bookmarkStart w:id="20" w:name="_Toc35393624"/>
      <w:r>
        <w:rPr>
          <w:rFonts w:hint="default" w:ascii="宋体" w:hAnsi="宋体" w:eastAsia="宋体" w:cs="宋体"/>
          <w:color w:val="auto"/>
          <w:sz w:val="24"/>
          <w:szCs w:val="24"/>
          <w:highlight w:val="none"/>
        </w:rPr>
        <w:t>时间：自公告发布之日起。</w:t>
      </w:r>
    </w:p>
    <w:p w14:paraId="0A5B2BAB">
      <w:pPr>
        <w:spacing w:line="420" w:lineRule="exact"/>
        <w:ind w:firstLine="480" w:firstLineChars="200"/>
        <w:rPr>
          <w:rFonts w:hint="default" w:ascii="宋体" w:hAnsi="宋体" w:eastAsia="宋体" w:cs="宋体"/>
          <w:b/>
          <w:color w:val="auto"/>
          <w:sz w:val="24"/>
          <w:szCs w:val="24"/>
          <w:highlight w:val="none"/>
        </w:rPr>
      </w:pPr>
      <w:r>
        <w:rPr>
          <w:rFonts w:hint="default" w:ascii="宋体" w:hAnsi="宋体" w:eastAsia="宋体" w:cs="宋体"/>
          <w:color w:val="auto"/>
          <w:sz w:val="24"/>
          <w:szCs w:val="24"/>
          <w:highlight w:val="none"/>
        </w:rPr>
        <w:t>获取方式：网上下载。本项目不发放纸质采购文件，供应商可自行在“</w:t>
      </w:r>
      <w:r>
        <w:rPr>
          <w:rFonts w:hint="default" w:ascii="宋体" w:hAnsi="宋体" w:eastAsia="宋体" w:cs="宋体"/>
          <w:color w:val="auto"/>
          <w:spacing w:val="10"/>
          <w:sz w:val="24"/>
          <w:szCs w:val="24"/>
          <w:highlight w:val="none"/>
        </w:rPr>
        <w:t>广西政府采购云平台”</w:t>
      </w:r>
      <w:r>
        <w:rPr>
          <w:rFonts w:hint="default" w:ascii="宋体" w:hAnsi="宋体" w:eastAsia="宋体" w:cs="宋体"/>
          <w:color w:val="auto"/>
          <w:spacing w:val="9"/>
          <w:sz w:val="24"/>
          <w:szCs w:val="24"/>
          <w:highlight w:val="none"/>
        </w:rPr>
        <w:t>（</w:t>
      </w:r>
      <w:r>
        <w:rPr>
          <w:rFonts w:hint="default" w:ascii="宋体" w:hAnsi="宋体" w:eastAsia="宋体" w:cs="宋体"/>
          <w:color w:val="auto"/>
          <w:sz w:val="24"/>
          <w:szCs w:val="24"/>
          <w:highlight w:val="none"/>
        </w:rPr>
        <w:t>https://www.gcy.zfcg.gxzf.gov.cn/</w:t>
      </w:r>
      <w:r>
        <w:rPr>
          <w:rFonts w:hint="default" w:ascii="宋体" w:hAnsi="宋体" w:eastAsia="宋体" w:cs="宋体"/>
          <w:color w:val="auto"/>
          <w:spacing w:val="9"/>
          <w:sz w:val="24"/>
          <w:szCs w:val="24"/>
          <w:highlight w:val="none"/>
        </w:rPr>
        <w:t>）</w:t>
      </w:r>
      <w:r>
        <w:rPr>
          <w:rFonts w:hint="default" w:ascii="宋体" w:hAnsi="宋体" w:eastAsia="宋体" w:cs="宋体"/>
          <w:color w:val="auto"/>
          <w:sz w:val="24"/>
          <w:szCs w:val="24"/>
          <w:highlight w:val="none"/>
        </w:rPr>
        <w:t>下载采购文件（操作路径：登录“广西政府采购云平台”-项目采购-获取采购文件-找到本项目-点击“申请获取采购文件”），电子响应文件制作需要基于“广西政府采购云平台”</w:t>
      </w:r>
      <w:r>
        <w:rPr>
          <w:rFonts w:hint="default" w:ascii="宋体" w:hAnsi="宋体" w:eastAsia="宋体" w:cs="宋体"/>
          <w:color w:val="auto"/>
          <w:spacing w:val="9"/>
          <w:sz w:val="24"/>
          <w:szCs w:val="24"/>
          <w:highlight w:val="none"/>
        </w:rPr>
        <w:t>（</w:t>
      </w:r>
      <w:r>
        <w:rPr>
          <w:rFonts w:hint="default" w:ascii="宋体" w:hAnsi="宋体" w:eastAsia="宋体" w:cs="宋体"/>
          <w:color w:val="auto"/>
          <w:sz w:val="24"/>
          <w:szCs w:val="24"/>
          <w:highlight w:val="none"/>
        </w:rPr>
        <w:t>https://www.gcy.zfcg.gxzf.gov.cn/</w:t>
      </w:r>
      <w:r>
        <w:rPr>
          <w:rFonts w:hint="default" w:ascii="宋体" w:hAnsi="宋体" w:eastAsia="宋体" w:cs="宋体"/>
          <w:color w:val="auto"/>
          <w:spacing w:val="9"/>
          <w:sz w:val="24"/>
          <w:szCs w:val="24"/>
          <w:highlight w:val="none"/>
        </w:rPr>
        <w:t>）</w:t>
      </w:r>
      <w:r>
        <w:rPr>
          <w:rFonts w:hint="default" w:ascii="宋体" w:hAnsi="宋体" w:eastAsia="宋体" w:cs="宋体"/>
          <w:color w:val="auto"/>
          <w:sz w:val="24"/>
          <w:szCs w:val="24"/>
          <w:highlight w:val="none"/>
        </w:rPr>
        <w:t>获取的采购文件编制。</w:t>
      </w:r>
    </w:p>
    <w:p w14:paraId="58BCAE9C">
      <w:pPr>
        <w:snapToGrid w:val="0"/>
        <w:spacing w:line="420" w:lineRule="exact"/>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售价：0元。</w:t>
      </w:r>
    </w:p>
    <w:p w14:paraId="2DE5C4F8">
      <w:pPr>
        <w:spacing w:line="420" w:lineRule="exact"/>
        <w:ind w:firstLine="482" w:firstLineChars="200"/>
        <w:rPr>
          <w:rFonts w:hint="default" w:ascii="宋体" w:hAnsi="宋体" w:eastAsia="宋体" w:cs="宋体"/>
          <w:b/>
          <w:color w:val="auto"/>
          <w:sz w:val="24"/>
          <w:szCs w:val="24"/>
          <w:highlight w:val="none"/>
        </w:rPr>
      </w:pPr>
      <w:r>
        <w:rPr>
          <w:rFonts w:hint="default" w:ascii="宋体" w:hAnsi="宋体" w:eastAsia="宋体" w:cs="宋体"/>
          <w:b/>
          <w:color w:val="auto"/>
          <w:sz w:val="24"/>
          <w:szCs w:val="24"/>
          <w:highlight w:val="none"/>
        </w:rPr>
        <w:t>四、</w:t>
      </w:r>
      <w:bookmarkEnd w:id="17"/>
      <w:bookmarkEnd w:id="18"/>
      <w:bookmarkEnd w:id="19"/>
      <w:bookmarkEnd w:id="20"/>
      <w:r>
        <w:rPr>
          <w:rFonts w:hint="default" w:ascii="宋体" w:hAnsi="宋体" w:eastAsia="宋体" w:cs="宋体"/>
          <w:b/>
          <w:color w:val="auto"/>
          <w:sz w:val="24"/>
          <w:szCs w:val="24"/>
          <w:highlight w:val="none"/>
        </w:rPr>
        <w:t>响应文件提交</w:t>
      </w:r>
    </w:p>
    <w:p w14:paraId="28538098">
      <w:pPr>
        <w:spacing w:line="420" w:lineRule="exact"/>
        <w:ind w:firstLine="480" w:firstLineChars="200"/>
        <w:rPr>
          <w:rFonts w:hint="default" w:ascii="宋体" w:hAnsi="宋体" w:eastAsia="宋体" w:cs="宋体"/>
          <w:color w:val="auto"/>
          <w:sz w:val="24"/>
          <w:szCs w:val="24"/>
          <w:highlight w:val="none"/>
          <w:u w:val="single"/>
        </w:rPr>
      </w:pPr>
      <w:r>
        <w:rPr>
          <w:rFonts w:hint="default" w:ascii="宋体" w:hAnsi="宋体" w:eastAsia="宋体" w:cs="宋体"/>
          <w:color w:val="auto"/>
          <w:sz w:val="24"/>
          <w:szCs w:val="24"/>
          <w:highlight w:val="none"/>
        </w:rPr>
        <w:t>1.首次响应文件提交截止时间</w:t>
      </w:r>
      <w:r>
        <w:rPr>
          <w:rFonts w:hint="default" w:ascii="宋体" w:hAnsi="宋体" w:eastAsia="宋体" w:cs="宋体"/>
          <w:b/>
          <w:color w:val="auto"/>
          <w:sz w:val="24"/>
          <w:szCs w:val="24"/>
          <w:highlight w:val="none"/>
        </w:rPr>
        <w:t>：202</w:t>
      </w:r>
      <w:r>
        <w:rPr>
          <w:rFonts w:hint="eastAsia" w:ascii="宋体" w:hAnsi="宋体" w:eastAsia="宋体" w:cs="宋体"/>
          <w:b/>
          <w:color w:val="auto"/>
          <w:sz w:val="24"/>
          <w:szCs w:val="24"/>
          <w:highlight w:val="none"/>
          <w:lang w:val="en-US" w:eastAsia="zh-CN"/>
        </w:rPr>
        <w:t>6</w:t>
      </w:r>
      <w:r>
        <w:rPr>
          <w:rFonts w:hint="default" w:ascii="宋体" w:hAnsi="宋体" w:eastAsia="宋体" w:cs="宋体"/>
          <w:b/>
          <w:color w:val="auto"/>
          <w:sz w:val="24"/>
          <w:szCs w:val="24"/>
          <w:highlight w:val="none"/>
        </w:rPr>
        <w:t>年</w:t>
      </w:r>
      <w:r>
        <w:rPr>
          <w:rFonts w:hint="eastAsia" w:ascii="宋体" w:hAnsi="宋体" w:eastAsia="宋体" w:cs="宋体"/>
          <w:b/>
          <w:color w:val="auto"/>
          <w:sz w:val="24"/>
          <w:szCs w:val="24"/>
          <w:highlight w:val="none"/>
          <w:lang w:val="en-US" w:eastAsia="zh-CN"/>
        </w:rPr>
        <w:t>9</w:t>
      </w:r>
      <w:r>
        <w:rPr>
          <w:rFonts w:hint="default" w:ascii="宋体" w:hAnsi="宋体" w:eastAsia="宋体" w:cs="宋体"/>
          <w:b/>
          <w:color w:val="auto"/>
          <w:sz w:val="24"/>
          <w:szCs w:val="24"/>
          <w:highlight w:val="none"/>
        </w:rPr>
        <w:t>月</w:t>
      </w:r>
      <w:r>
        <w:rPr>
          <w:rFonts w:hint="eastAsia" w:ascii="宋体" w:hAnsi="宋体" w:eastAsia="宋体" w:cs="宋体"/>
          <w:b/>
          <w:color w:val="auto"/>
          <w:sz w:val="24"/>
          <w:szCs w:val="24"/>
          <w:highlight w:val="none"/>
          <w:lang w:val="en-US" w:eastAsia="zh-CN"/>
        </w:rPr>
        <w:t>8</w:t>
      </w:r>
      <w:r>
        <w:rPr>
          <w:rFonts w:hint="default" w:ascii="宋体" w:hAnsi="宋体" w:eastAsia="宋体" w:cs="宋体"/>
          <w:b/>
          <w:color w:val="auto"/>
          <w:sz w:val="24"/>
          <w:szCs w:val="24"/>
          <w:highlight w:val="none"/>
        </w:rPr>
        <w:t>日13</w:t>
      </w:r>
      <w:r>
        <w:rPr>
          <w:rFonts w:hint="eastAsia" w:ascii="宋体" w:hAnsi="宋体" w:eastAsia="宋体" w:cs="宋体"/>
          <w:b/>
          <w:color w:val="auto"/>
          <w:sz w:val="24"/>
          <w:szCs w:val="24"/>
          <w:highlight w:val="none"/>
          <w:lang w:eastAsia="zh-CN"/>
        </w:rPr>
        <w:t>：</w:t>
      </w:r>
      <w:r>
        <w:rPr>
          <w:rFonts w:hint="default" w:ascii="宋体" w:hAnsi="宋体" w:eastAsia="宋体" w:cs="宋体"/>
          <w:b/>
          <w:color w:val="auto"/>
          <w:sz w:val="24"/>
          <w:szCs w:val="24"/>
          <w:highlight w:val="none"/>
        </w:rPr>
        <w:t>00 。</w:t>
      </w:r>
    </w:p>
    <w:p w14:paraId="1CBB0C05">
      <w:pPr>
        <w:wordWrap w:val="0"/>
        <w:spacing w:line="420" w:lineRule="exact"/>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2.首次响应文件提交地点：“广西政府采购云平台”</w:t>
      </w:r>
      <w:r>
        <w:rPr>
          <w:rFonts w:hint="default" w:ascii="宋体" w:hAnsi="宋体" w:eastAsia="宋体" w:cs="宋体"/>
          <w:color w:val="auto"/>
          <w:spacing w:val="9"/>
          <w:sz w:val="24"/>
          <w:szCs w:val="24"/>
          <w:highlight w:val="none"/>
        </w:rPr>
        <w:t>（</w:t>
      </w:r>
      <w:r>
        <w:rPr>
          <w:rFonts w:hint="default" w:ascii="宋体" w:hAnsi="宋体" w:eastAsia="宋体" w:cs="宋体"/>
          <w:color w:val="auto"/>
          <w:sz w:val="24"/>
          <w:szCs w:val="24"/>
          <w:highlight w:val="none"/>
        </w:rPr>
        <w:t>https://www.gcy.zfcg.gxzf.gov.cn/）</w:t>
      </w:r>
    </w:p>
    <w:p w14:paraId="6C30D5E8">
      <w:pPr>
        <w:snapToGrid w:val="0"/>
        <w:spacing w:line="420" w:lineRule="exact"/>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（1）本项目为全流程电子化采购项目，通过“广西政府采购云平台”</w:t>
      </w:r>
      <w:r>
        <w:rPr>
          <w:rFonts w:hint="default" w:ascii="宋体" w:hAnsi="宋体" w:eastAsia="宋体" w:cs="宋体"/>
          <w:color w:val="auto"/>
          <w:spacing w:val="9"/>
          <w:sz w:val="24"/>
          <w:szCs w:val="24"/>
          <w:highlight w:val="none"/>
        </w:rPr>
        <w:t>（</w:t>
      </w:r>
      <w:r>
        <w:rPr>
          <w:rFonts w:hint="default" w:ascii="宋体" w:hAnsi="宋体" w:eastAsia="宋体" w:cs="宋体"/>
          <w:color w:val="auto"/>
          <w:sz w:val="24"/>
          <w:szCs w:val="24"/>
          <w:highlight w:val="none"/>
        </w:rPr>
        <w:t>https://www.gcy.zfcg.gxzf.gov.cn/）实行在线电子竞标，供应商应先安装“</w:t>
      </w:r>
      <w:r>
        <w:rPr>
          <w:rFonts w:hint="default" w:ascii="宋体" w:hAnsi="宋体" w:eastAsia="宋体" w:cs="宋体"/>
          <w:color w:val="auto"/>
          <w:kern w:val="0"/>
          <w:sz w:val="24"/>
          <w:szCs w:val="24"/>
          <w:highlight w:val="none"/>
        </w:rPr>
        <w:t>广西政府采购云平台</w:t>
      </w:r>
      <w:r>
        <w:rPr>
          <w:rFonts w:hint="default" w:ascii="宋体" w:hAnsi="宋体" w:eastAsia="宋体" w:cs="宋体"/>
          <w:color w:val="auto"/>
          <w:sz w:val="24"/>
          <w:szCs w:val="24"/>
          <w:highlight w:val="none"/>
        </w:rPr>
        <w:t>电子交易客户端”（请自行前往“</w:t>
      </w:r>
      <w:r>
        <w:rPr>
          <w:rFonts w:hint="default" w:ascii="宋体" w:hAnsi="宋体" w:eastAsia="宋体" w:cs="宋体"/>
          <w:color w:val="auto"/>
          <w:kern w:val="0"/>
          <w:sz w:val="24"/>
          <w:szCs w:val="24"/>
          <w:highlight w:val="none"/>
        </w:rPr>
        <w:t>广西政府采购云平台</w:t>
      </w:r>
      <w:r>
        <w:rPr>
          <w:rFonts w:hint="default" w:ascii="宋体" w:hAnsi="宋体" w:eastAsia="宋体" w:cs="宋体"/>
          <w:color w:val="auto"/>
          <w:sz w:val="24"/>
          <w:szCs w:val="24"/>
          <w:highlight w:val="none"/>
        </w:rPr>
        <w:t>”进行下载），并按照本项目竞争性磋商文件和“</w:t>
      </w:r>
      <w:r>
        <w:rPr>
          <w:rFonts w:hint="default" w:ascii="宋体" w:hAnsi="宋体" w:eastAsia="宋体" w:cs="宋体"/>
          <w:color w:val="auto"/>
          <w:kern w:val="0"/>
          <w:sz w:val="24"/>
          <w:szCs w:val="24"/>
          <w:highlight w:val="none"/>
        </w:rPr>
        <w:t>广西政府采购云平台</w:t>
      </w:r>
      <w:r>
        <w:rPr>
          <w:rFonts w:hint="default" w:ascii="宋体" w:hAnsi="宋体" w:eastAsia="宋体" w:cs="宋体"/>
          <w:color w:val="auto"/>
          <w:sz w:val="24"/>
          <w:szCs w:val="24"/>
          <w:highlight w:val="none"/>
        </w:rPr>
        <w:t>”的要求编制、加密后在提交响应文件截止时间前通过网络上传至“</w:t>
      </w:r>
      <w:r>
        <w:rPr>
          <w:rFonts w:hint="default" w:ascii="宋体" w:hAnsi="宋体" w:eastAsia="宋体" w:cs="宋体"/>
          <w:color w:val="auto"/>
          <w:kern w:val="0"/>
          <w:sz w:val="24"/>
          <w:szCs w:val="24"/>
          <w:highlight w:val="none"/>
        </w:rPr>
        <w:t>广西政府采购云平台</w:t>
      </w:r>
      <w:r>
        <w:rPr>
          <w:rFonts w:hint="default" w:ascii="宋体" w:hAnsi="宋体" w:eastAsia="宋体" w:cs="宋体"/>
          <w:color w:val="auto"/>
          <w:sz w:val="24"/>
          <w:szCs w:val="24"/>
          <w:highlight w:val="none"/>
        </w:rPr>
        <w:t>”（加密的电子响应文件是指后缀名为“jmbs”的文件），供应商在“</w:t>
      </w:r>
      <w:r>
        <w:rPr>
          <w:rFonts w:hint="default" w:ascii="宋体" w:hAnsi="宋体" w:eastAsia="宋体" w:cs="宋体"/>
          <w:color w:val="auto"/>
          <w:kern w:val="0"/>
          <w:sz w:val="24"/>
          <w:szCs w:val="24"/>
          <w:highlight w:val="none"/>
        </w:rPr>
        <w:t>广西政府采购云平台</w:t>
      </w:r>
      <w:r>
        <w:rPr>
          <w:rFonts w:hint="default" w:ascii="宋体" w:hAnsi="宋体" w:eastAsia="宋体" w:cs="宋体"/>
          <w:color w:val="auto"/>
          <w:sz w:val="24"/>
          <w:szCs w:val="24"/>
          <w:highlight w:val="none"/>
        </w:rPr>
        <w:t>”提交电子响应文件时，请填写参加远程采购活动经办人联系方式。供应商登录“</w:t>
      </w:r>
      <w:r>
        <w:rPr>
          <w:rFonts w:hint="default" w:ascii="宋体" w:hAnsi="宋体" w:eastAsia="宋体" w:cs="宋体"/>
          <w:color w:val="auto"/>
          <w:kern w:val="0"/>
          <w:sz w:val="24"/>
          <w:szCs w:val="24"/>
          <w:highlight w:val="none"/>
        </w:rPr>
        <w:t>广西政府采购云平台</w:t>
      </w:r>
      <w:r>
        <w:rPr>
          <w:rFonts w:hint="default" w:ascii="宋体" w:hAnsi="宋体" w:eastAsia="宋体" w:cs="宋体"/>
          <w:color w:val="auto"/>
          <w:sz w:val="24"/>
          <w:szCs w:val="24"/>
          <w:highlight w:val="none"/>
        </w:rPr>
        <w:t>”，依次进入“服务中心-项目采购-操作流程-电子招投标-政府采购项目电子交易管理操作指南-供应商”查看电子竞标具体操作流程。</w:t>
      </w:r>
    </w:p>
    <w:p w14:paraId="739087CB">
      <w:pPr>
        <w:snapToGrid w:val="0"/>
        <w:spacing w:line="420" w:lineRule="exact"/>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2）未进行网上注册并办理数字证书（CA认证）的供应商将无法参与本项目政府采购活动，潜在供应商应当在投标截止时间前，完成电子交易平台上的CA数字证书办理（申领流程见本公告附件2）及响应文件的提交。完成CA数字证书办理预计7日左右，供应商只需办理其中一家CA数字证书及签章。</w:t>
      </w:r>
    </w:p>
    <w:p w14:paraId="487F6FEA">
      <w:pPr>
        <w:snapToGrid w:val="0"/>
        <w:spacing w:line="420" w:lineRule="exact"/>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（3）CA证书在线解密：首次响应文件开启时，</w:t>
      </w:r>
      <w:r>
        <w:rPr>
          <w:rFonts w:hint="default" w:ascii="宋体" w:hAnsi="宋体" w:eastAsia="宋体" w:cs="宋体"/>
          <w:b/>
          <w:color w:val="auto"/>
          <w:kern w:val="0"/>
          <w:sz w:val="24"/>
          <w:szCs w:val="24"/>
          <w:highlight w:val="none"/>
        </w:rPr>
        <w:t>须供应商携带制作响应文件时用来加密的有效数字证书（CA认证）</w:t>
      </w:r>
      <w:r>
        <w:rPr>
          <w:rFonts w:hint="default" w:ascii="宋体" w:hAnsi="宋体" w:eastAsia="宋体" w:cs="宋体"/>
          <w:color w:val="auto"/>
          <w:kern w:val="0"/>
          <w:sz w:val="24"/>
          <w:szCs w:val="24"/>
          <w:highlight w:val="none"/>
        </w:rPr>
        <w:t>登录“</w:t>
      </w:r>
      <w:r>
        <w:rPr>
          <w:rFonts w:hint="default" w:ascii="宋体" w:hAnsi="宋体" w:eastAsia="宋体" w:cs="宋体"/>
          <w:color w:val="auto"/>
          <w:sz w:val="24"/>
          <w:szCs w:val="24"/>
          <w:highlight w:val="none"/>
        </w:rPr>
        <w:t>广西政府采购云平台</w:t>
      </w:r>
      <w:r>
        <w:rPr>
          <w:rFonts w:hint="default" w:ascii="宋体" w:hAnsi="宋体" w:eastAsia="宋体" w:cs="宋体"/>
          <w:color w:val="auto"/>
          <w:kern w:val="0"/>
          <w:sz w:val="24"/>
          <w:szCs w:val="24"/>
          <w:highlight w:val="none"/>
        </w:rPr>
        <w:t>”电子开标大厅现场按规定时间对加密的响应文件进行解密，未能按要求进行解密的，由此产生的后果</w:t>
      </w:r>
      <w:r>
        <w:rPr>
          <w:rFonts w:hint="default" w:ascii="宋体" w:hAnsi="宋体" w:eastAsia="宋体" w:cs="宋体"/>
          <w:color w:val="auto"/>
          <w:sz w:val="24"/>
          <w:szCs w:val="24"/>
          <w:highlight w:val="none"/>
        </w:rPr>
        <w:t>供应商</w:t>
      </w:r>
      <w:r>
        <w:rPr>
          <w:rFonts w:hint="default" w:ascii="宋体" w:hAnsi="宋体" w:eastAsia="宋体" w:cs="宋体"/>
          <w:color w:val="auto"/>
          <w:kern w:val="0"/>
          <w:sz w:val="24"/>
          <w:szCs w:val="24"/>
          <w:highlight w:val="none"/>
        </w:rPr>
        <w:t>自行承担。</w:t>
      </w:r>
    </w:p>
    <w:p w14:paraId="60069E5A">
      <w:pPr>
        <w:snapToGrid w:val="0"/>
        <w:spacing w:line="420" w:lineRule="exact"/>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注：①为确保网上操作合法、有效和安全，请供应商确保在电子竞标过程中能够对相关数据电文进行加密和使用电子签章，妥善保管CA数字证书并使用有效的CA数字证书参与整个采购活动。②供应商应当在提交响应文件截止时间前完成电子响应文件的提交（上传），提交响应文件截止时间前可以补充、修改或者撤回响应文件。补充或者修改响应文件的，应当先行撤回原响应文件，补充、修改后重新提交（上传），提交响应文件截止时间前未完成提交（上传）的，视为撤回响应文件。提交响应文件截止时间以后提交（上传）的响应文件，“广西政府采购云平台”将予以拒收。</w:t>
      </w:r>
    </w:p>
    <w:p w14:paraId="270AF0DB">
      <w:pPr>
        <w:snapToGrid w:val="0"/>
        <w:spacing w:line="420" w:lineRule="exact"/>
        <w:ind w:firstLine="480" w:firstLineChars="200"/>
        <w:rPr>
          <w:rFonts w:hint="default" w:ascii="宋体" w:hAnsi="宋体" w:eastAsia="宋体" w:cs="宋体"/>
          <w:color w:val="auto"/>
          <w:kern w:val="0"/>
          <w:sz w:val="24"/>
          <w:szCs w:val="24"/>
          <w:highlight w:val="none"/>
        </w:rPr>
      </w:pPr>
      <w:r>
        <w:rPr>
          <w:rFonts w:hint="default" w:ascii="宋体" w:hAnsi="宋体" w:eastAsia="宋体" w:cs="宋体"/>
          <w:color w:val="auto"/>
          <w:sz w:val="24"/>
          <w:szCs w:val="24"/>
          <w:highlight w:val="none"/>
        </w:rPr>
        <w:t>（4）供应商需要在具备有摄像头及语音功能且互联网网络状况良好的电脑登录“广西政府采购云平台”远程开标大厅参与本次磋商，否则后果自负。</w:t>
      </w:r>
    </w:p>
    <w:p w14:paraId="46EB861F">
      <w:pPr>
        <w:spacing w:line="420" w:lineRule="exact"/>
        <w:ind w:firstLine="482" w:firstLineChars="200"/>
        <w:rPr>
          <w:rFonts w:hint="default" w:ascii="宋体" w:hAnsi="宋体" w:eastAsia="宋体" w:cs="宋体"/>
          <w:b/>
          <w:color w:val="auto"/>
          <w:sz w:val="24"/>
          <w:szCs w:val="24"/>
          <w:highlight w:val="none"/>
        </w:rPr>
      </w:pPr>
      <w:r>
        <w:rPr>
          <w:rFonts w:hint="default" w:ascii="宋体" w:hAnsi="宋体" w:eastAsia="宋体" w:cs="宋体"/>
          <w:b/>
          <w:color w:val="auto"/>
          <w:sz w:val="24"/>
          <w:szCs w:val="24"/>
          <w:highlight w:val="none"/>
        </w:rPr>
        <w:t>五、开启（首次响应文件开启时间）</w:t>
      </w:r>
    </w:p>
    <w:p w14:paraId="45F1FE55">
      <w:pPr>
        <w:spacing w:line="420" w:lineRule="exact"/>
        <w:ind w:firstLine="480" w:firstLineChars="200"/>
        <w:rPr>
          <w:rFonts w:hint="default" w:ascii="宋体" w:hAnsi="宋体" w:eastAsia="宋体" w:cs="宋体"/>
          <w:color w:val="auto"/>
          <w:sz w:val="24"/>
          <w:szCs w:val="24"/>
          <w:highlight w:val="none"/>
          <w:u w:val="single"/>
        </w:rPr>
      </w:pPr>
      <w:r>
        <w:rPr>
          <w:rFonts w:hint="default" w:ascii="宋体" w:hAnsi="宋体" w:eastAsia="宋体" w:cs="宋体"/>
          <w:color w:val="auto"/>
          <w:sz w:val="24"/>
          <w:szCs w:val="24"/>
          <w:highlight w:val="none"/>
        </w:rPr>
        <w:t>1.时间（北京时间）：</w:t>
      </w:r>
      <w:r>
        <w:rPr>
          <w:rFonts w:hint="default" w:ascii="宋体" w:hAnsi="宋体" w:eastAsia="宋体" w:cs="宋体"/>
          <w:b/>
          <w:color w:val="auto"/>
          <w:sz w:val="24"/>
          <w:szCs w:val="24"/>
          <w:highlight w:val="none"/>
          <w:u w:val="single"/>
        </w:rPr>
        <w:t>202</w:t>
      </w:r>
      <w:r>
        <w:rPr>
          <w:rFonts w:hint="eastAsia" w:ascii="宋体" w:hAnsi="宋体" w:eastAsia="宋体" w:cs="宋体"/>
          <w:b/>
          <w:color w:val="auto"/>
          <w:sz w:val="24"/>
          <w:szCs w:val="24"/>
          <w:highlight w:val="none"/>
          <w:u w:val="single"/>
          <w:lang w:val="en-US" w:eastAsia="zh-CN"/>
        </w:rPr>
        <w:t>6</w:t>
      </w:r>
      <w:r>
        <w:rPr>
          <w:rFonts w:hint="default" w:ascii="宋体" w:hAnsi="宋体" w:eastAsia="宋体" w:cs="宋体"/>
          <w:b/>
          <w:color w:val="auto"/>
          <w:sz w:val="24"/>
          <w:szCs w:val="24"/>
          <w:highlight w:val="none"/>
          <w:u w:val="single"/>
        </w:rPr>
        <w:t>年</w:t>
      </w:r>
      <w:r>
        <w:rPr>
          <w:rFonts w:hint="eastAsia" w:ascii="宋体" w:hAnsi="宋体" w:eastAsia="宋体" w:cs="宋体"/>
          <w:b/>
          <w:color w:val="auto"/>
          <w:sz w:val="24"/>
          <w:szCs w:val="24"/>
          <w:highlight w:val="none"/>
          <w:u w:val="single"/>
          <w:lang w:val="en-US" w:eastAsia="zh-CN"/>
        </w:rPr>
        <w:t>9</w:t>
      </w:r>
      <w:r>
        <w:rPr>
          <w:rFonts w:hint="default" w:ascii="宋体" w:hAnsi="宋体" w:eastAsia="宋体" w:cs="宋体"/>
          <w:b/>
          <w:color w:val="auto"/>
          <w:sz w:val="24"/>
          <w:szCs w:val="24"/>
          <w:highlight w:val="none"/>
          <w:u w:val="single"/>
        </w:rPr>
        <w:t>月</w:t>
      </w:r>
      <w:r>
        <w:rPr>
          <w:rFonts w:hint="eastAsia" w:ascii="宋体" w:hAnsi="宋体" w:eastAsia="宋体" w:cs="宋体"/>
          <w:b/>
          <w:color w:val="auto"/>
          <w:sz w:val="24"/>
          <w:szCs w:val="24"/>
          <w:highlight w:val="none"/>
          <w:u w:val="single"/>
          <w:lang w:val="en-US" w:eastAsia="zh-CN"/>
        </w:rPr>
        <w:t>8</w:t>
      </w:r>
      <w:r>
        <w:rPr>
          <w:rFonts w:hint="default" w:ascii="宋体" w:hAnsi="宋体" w:eastAsia="宋体" w:cs="宋体"/>
          <w:b/>
          <w:color w:val="auto"/>
          <w:sz w:val="24"/>
          <w:szCs w:val="24"/>
          <w:highlight w:val="none"/>
          <w:u w:val="single"/>
        </w:rPr>
        <w:t>日13：00分</w:t>
      </w:r>
      <w:r>
        <w:rPr>
          <w:rFonts w:hint="default" w:ascii="宋体" w:hAnsi="宋体" w:eastAsia="宋体" w:cs="宋体"/>
          <w:color w:val="auto"/>
          <w:sz w:val="24"/>
          <w:szCs w:val="24"/>
          <w:highlight w:val="none"/>
        </w:rPr>
        <w:t>后</w:t>
      </w:r>
    </w:p>
    <w:p w14:paraId="377FE6F6">
      <w:pPr>
        <w:spacing w:line="420" w:lineRule="exact"/>
        <w:ind w:firstLine="480" w:firstLineChars="200"/>
        <w:rPr>
          <w:rFonts w:hint="default" w:ascii="宋体" w:hAnsi="宋体" w:eastAsia="宋体" w:cs="宋体"/>
          <w:color w:val="auto"/>
          <w:sz w:val="24"/>
          <w:szCs w:val="24"/>
          <w:highlight w:val="none"/>
          <w:u w:val="single"/>
        </w:rPr>
      </w:pPr>
      <w:r>
        <w:rPr>
          <w:rFonts w:hint="default" w:ascii="宋体" w:hAnsi="宋体" w:eastAsia="宋体" w:cs="宋体"/>
          <w:color w:val="auto"/>
          <w:sz w:val="24"/>
          <w:szCs w:val="24"/>
          <w:highlight w:val="none"/>
        </w:rPr>
        <w:t>2.地点：</w:t>
      </w:r>
      <w:r>
        <w:rPr>
          <w:rFonts w:hint="default" w:ascii="宋体" w:hAnsi="宋体" w:eastAsia="宋体" w:cs="宋体"/>
          <w:color w:val="auto"/>
          <w:kern w:val="0"/>
          <w:sz w:val="24"/>
          <w:szCs w:val="24"/>
          <w:highlight w:val="none"/>
          <w:u w:val="single"/>
        </w:rPr>
        <w:t>广西政府采购云平台</w:t>
      </w:r>
      <w:r>
        <w:rPr>
          <w:rFonts w:hint="default" w:ascii="宋体" w:hAnsi="宋体" w:eastAsia="宋体" w:cs="宋体"/>
          <w:color w:val="auto"/>
          <w:sz w:val="24"/>
          <w:szCs w:val="24"/>
          <w:highlight w:val="none"/>
          <w:u w:val="single"/>
        </w:rPr>
        <w:t>远程开标大厅</w:t>
      </w:r>
    </w:p>
    <w:p w14:paraId="6CB789BB">
      <w:pPr>
        <w:spacing w:line="420" w:lineRule="exact"/>
        <w:ind w:firstLine="482" w:firstLineChars="200"/>
        <w:rPr>
          <w:rFonts w:hint="default" w:ascii="宋体" w:hAnsi="宋体" w:eastAsia="宋体" w:cs="宋体"/>
          <w:b/>
          <w:color w:val="auto"/>
          <w:sz w:val="24"/>
          <w:szCs w:val="24"/>
          <w:highlight w:val="none"/>
        </w:rPr>
      </w:pPr>
      <w:bookmarkStart w:id="21" w:name="_Toc28359084"/>
      <w:bookmarkStart w:id="22" w:name="_Toc35393625"/>
      <w:bookmarkStart w:id="23" w:name="_Toc35393794"/>
      <w:bookmarkStart w:id="24" w:name="_Toc28359007"/>
      <w:r>
        <w:rPr>
          <w:rFonts w:hint="default" w:ascii="宋体" w:hAnsi="宋体" w:eastAsia="宋体" w:cs="宋体"/>
          <w:b/>
          <w:color w:val="auto"/>
          <w:sz w:val="24"/>
          <w:szCs w:val="24"/>
          <w:highlight w:val="none"/>
        </w:rPr>
        <w:t>六、公告期限</w:t>
      </w:r>
      <w:bookmarkEnd w:id="21"/>
      <w:bookmarkEnd w:id="22"/>
      <w:bookmarkEnd w:id="23"/>
      <w:bookmarkEnd w:id="24"/>
    </w:p>
    <w:p w14:paraId="62DF8DC7">
      <w:pPr>
        <w:spacing w:line="420" w:lineRule="exact"/>
        <w:ind w:firstLine="480" w:firstLineChars="200"/>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自本公告发布之日起</w:t>
      </w:r>
      <w:r>
        <w:rPr>
          <w:rFonts w:hint="eastAsia" w:ascii="宋体" w:hAnsi="宋体" w:eastAsia="宋体" w:cs="宋体"/>
          <w:color w:val="auto"/>
          <w:kern w:val="0"/>
          <w:sz w:val="24"/>
          <w:szCs w:val="24"/>
          <w:highlight w:val="none"/>
          <w:lang w:val="en-US" w:eastAsia="zh-CN"/>
        </w:rPr>
        <w:t>5</w:t>
      </w:r>
      <w:r>
        <w:rPr>
          <w:rFonts w:hint="default" w:ascii="宋体" w:hAnsi="宋体" w:eastAsia="宋体" w:cs="宋体"/>
          <w:color w:val="auto"/>
          <w:kern w:val="0"/>
          <w:sz w:val="24"/>
          <w:szCs w:val="24"/>
          <w:highlight w:val="none"/>
        </w:rPr>
        <w:t>个工作日。</w:t>
      </w:r>
    </w:p>
    <w:p w14:paraId="38FC1988">
      <w:pPr>
        <w:spacing w:line="420" w:lineRule="exact"/>
        <w:ind w:firstLine="482" w:firstLineChars="200"/>
        <w:rPr>
          <w:rFonts w:hint="default" w:ascii="宋体" w:hAnsi="宋体" w:eastAsia="宋体" w:cs="宋体"/>
          <w:b/>
          <w:color w:val="auto"/>
          <w:sz w:val="24"/>
          <w:szCs w:val="24"/>
          <w:highlight w:val="none"/>
        </w:rPr>
      </w:pPr>
      <w:bookmarkStart w:id="25" w:name="_Toc35393626"/>
      <w:bookmarkStart w:id="26" w:name="_Toc35393795"/>
      <w:r>
        <w:rPr>
          <w:rFonts w:hint="default" w:ascii="宋体" w:hAnsi="宋体" w:eastAsia="宋体" w:cs="宋体"/>
          <w:b/>
          <w:color w:val="auto"/>
          <w:sz w:val="24"/>
          <w:szCs w:val="24"/>
          <w:highlight w:val="none"/>
        </w:rPr>
        <w:t>七、其他补充事宜</w:t>
      </w:r>
      <w:bookmarkEnd w:id="25"/>
      <w:bookmarkEnd w:id="26"/>
    </w:p>
    <w:p w14:paraId="64589F91">
      <w:pPr>
        <w:wordWrap w:val="0"/>
        <w:spacing w:line="420" w:lineRule="exact"/>
        <w:ind w:firstLine="480" w:firstLineChars="200"/>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1.磋商保证金：本项目不收取磋商保证金</w:t>
      </w:r>
    </w:p>
    <w:p w14:paraId="790E5F54">
      <w:pPr>
        <w:wordWrap w:val="0"/>
        <w:spacing w:line="420" w:lineRule="exact"/>
        <w:ind w:firstLine="480" w:firstLineChars="200"/>
        <w:rPr>
          <w:rFonts w:hint="default" w:ascii="宋体" w:hAnsi="宋体" w:eastAsia="宋体" w:cs="宋体"/>
          <w:color w:val="FF0000"/>
          <w:kern w:val="0"/>
          <w:sz w:val="24"/>
          <w:szCs w:val="24"/>
          <w:highlight w:val="none"/>
        </w:rPr>
      </w:pPr>
      <w:r>
        <w:rPr>
          <w:rFonts w:hint="default" w:ascii="宋体" w:hAnsi="宋体" w:eastAsia="宋体" w:cs="宋体"/>
          <w:color w:val="auto"/>
          <w:kern w:val="0"/>
          <w:sz w:val="24"/>
          <w:szCs w:val="24"/>
          <w:highlight w:val="none"/>
        </w:rPr>
        <w:t>2.采购意向公开</w:t>
      </w:r>
      <w:r>
        <w:rPr>
          <w:rFonts w:hint="default" w:ascii="宋体" w:hAnsi="宋体" w:eastAsia="宋体" w:cs="宋体"/>
          <w:color w:val="000000" w:themeColor="text1"/>
          <w:kern w:val="0"/>
          <w:sz w:val="24"/>
          <w:szCs w:val="24"/>
          <w:highlight w:val="none"/>
          <w14:textFill>
            <w14:solidFill>
              <w14:schemeClr w14:val="tx1"/>
            </w14:solidFill>
          </w14:textFill>
        </w:rPr>
        <w:t>链接：</w:t>
      </w:r>
      <w:bookmarkStart w:id="27" w:name="_Hlk37429585"/>
      <w:r>
        <w:rPr>
          <w:rFonts w:hint="default" w:ascii="宋体" w:hAnsi="宋体" w:eastAsia="宋体" w:cs="宋体"/>
          <w:color w:val="000000" w:themeColor="text1"/>
          <w:kern w:val="0"/>
          <w:sz w:val="24"/>
          <w:szCs w:val="24"/>
          <w:highlight w:val="none"/>
          <w14:textFill>
            <w14:solidFill>
              <w14:schemeClr w14:val="tx1"/>
            </w14:solidFill>
          </w14:textFill>
        </w:rPr>
        <w:fldChar w:fldCharType="begin"/>
      </w:r>
      <w:r>
        <w:rPr>
          <w:rFonts w:hint="default" w:ascii="宋体" w:hAnsi="宋体" w:eastAsia="宋体" w:cs="宋体"/>
          <w:color w:val="000000" w:themeColor="text1"/>
          <w:kern w:val="0"/>
          <w:sz w:val="24"/>
          <w:szCs w:val="24"/>
          <w:highlight w:val="none"/>
          <w14:textFill>
            <w14:solidFill>
              <w14:schemeClr w14:val="tx1"/>
            </w14:solidFill>
          </w14:textFill>
        </w:rPr>
        <w:instrText xml:space="preserve"> HYPERLINK "http://www.ccgp-guangxi.gov.cn/site/detail?categoryCode=ZcyAnnouncement&amp;parentId=66485&amp;articleId=XwnxDwI2UbOjqNinUjKpTQ==" </w:instrText>
      </w:r>
      <w:r>
        <w:rPr>
          <w:rFonts w:hint="default" w:ascii="宋体" w:hAnsi="宋体" w:eastAsia="宋体" w:cs="宋体"/>
          <w:color w:val="000000" w:themeColor="text1"/>
          <w:kern w:val="0"/>
          <w:sz w:val="24"/>
          <w:szCs w:val="24"/>
          <w:highlight w:val="none"/>
          <w14:textFill>
            <w14:solidFill>
              <w14:schemeClr w14:val="tx1"/>
            </w14:solidFill>
          </w14:textFill>
        </w:rPr>
        <w:fldChar w:fldCharType="separate"/>
      </w:r>
      <w:r>
        <w:rPr>
          <w:rStyle w:val="20"/>
          <w:rFonts w:hint="default" w:ascii="宋体" w:hAnsi="宋体" w:eastAsia="宋体" w:cs="宋体"/>
          <w:color w:val="000000" w:themeColor="text1"/>
          <w:kern w:val="0"/>
          <w:sz w:val="24"/>
          <w:szCs w:val="24"/>
          <w:highlight w:val="none"/>
          <w14:textFill>
            <w14:solidFill>
              <w14:schemeClr w14:val="tx1"/>
            </w14:solidFill>
          </w14:textFill>
        </w:rPr>
        <w:t>http://www.ccgp-guangxi.gov.cn/site/detail?categoryCode=ZcyAnnouncement&amp;parentId=66485&amp;articleId=XwnxDwI2UbOjqNinUjKpTQ==</w:t>
      </w:r>
      <w:r>
        <w:rPr>
          <w:rFonts w:hint="default" w:ascii="宋体" w:hAnsi="宋体" w:eastAsia="宋体" w:cs="宋体"/>
          <w:color w:val="000000" w:themeColor="text1"/>
          <w:kern w:val="0"/>
          <w:sz w:val="24"/>
          <w:szCs w:val="24"/>
          <w:highlight w:val="none"/>
          <w14:textFill>
            <w14:solidFill>
              <w14:schemeClr w14:val="tx1"/>
            </w14:solidFill>
          </w14:textFill>
        </w:rPr>
        <w:fldChar w:fldCharType="end"/>
      </w:r>
    </w:p>
    <w:p w14:paraId="45EB970A">
      <w:pPr>
        <w:wordWrap w:val="0"/>
        <w:spacing w:line="420" w:lineRule="exact"/>
        <w:ind w:firstLine="480" w:firstLineChars="200"/>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3.</w:t>
      </w:r>
      <w:bookmarkStart w:id="28" w:name="_Hlk37429595"/>
      <w:r>
        <w:rPr>
          <w:rFonts w:hint="default" w:ascii="宋体" w:hAnsi="宋体" w:eastAsia="宋体" w:cs="宋体"/>
          <w:color w:val="auto"/>
          <w:kern w:val="0"/>
          <w:sz w:val="24"/>
          <w:szCs w:val="24"/>
          <w:highlight w:val="none"/>
        </w:rPr>
        <w:t>网上查询地址：</w:t>
      </w:r>
      <w:bookmarkEnd w:id="27"/>
      <w:bookmarkEnd w:id="28"/>
      <w:bookmarkStart w:id="29" w:name="_Hlk37429674"/>
      <w:r>
        <w:rPr>
          <w:rFonts w:hint="default" w:ascii="宋体" w:hAnsi="宋体" w:eastAsia="宋体" w:cs="宋体"/>
          <w:color w:val="auto"/>
          <w:kern w:val="0"/>
          <w:sz w:val="24"/>
          <w:szCs w:val="24"/>
          <w:highlight w:val="none"/>
          <w:u w:val="single"/>
        </w:rPr>
        <w:t>中国政府采购网（www.ccgp.gov.cn）、广西壮族自治区政府采购网（http://zfcg.gxzf.gov.cn/）</w:t>
      </w:r>
      <w:r>
        <w:rPr>
          <w:rFonts w:hint="default" w:ascii="宋体" w:hAnsi="宋体" w:eastAsia="宋体" w:cs="宋体"/>
          <w:color w:val="auto"/>
          <w:kern w:val="0"/>
          <w:sz w:val="24"/>
          <w:szCs w:val="24"/>
          <w:highlight w:val="none"/>
        </w:rPr>
        <w:t>、</w:t>
      </w:r>
      <w:r>
        <w:rPr>
          <w:rFonts w:hint="default" w:ascii="宋体" w:hAnsi="宋体" w:eastAsia="宋体" w:cs="宋体"/>
          <w:color w:val="auto"/>
          <w:sz w:val="24"/>
          <w:szCs w:val="24"/>
          <w:highlight w:val="none"/>
        </w:rPr>
        <w:fldChar w:fldCharType="begin"/>
      </w:r>
      <w:r>
        <w:rPr>
          <w:rFonts w:hint="default" w:ascii="宋体" w:hAnsi="宋体" w:eastAsia="宋体" w:cs="宋体"/>
          <w:color w:val="auto"/>
          <w:sz w:val="24"/>
          <w:szCs w:val="24"/>
          <w:highlight w:val="none"/>
        </w:rPr>
        <w:instrText xml:space="preserve"> HYPERLINK "http://ggzy.jgswj.gxzf.gov.cn/nnggzy/" </w:instrText>
      </w:r>
      <w:r>
        <w:rPr>
          <w:rFonts w:hint="default" w:ascii="宋体" w:hAnsi="宋体" w:eastAsia="宋体" w:cs="宋体"/>
          <w:color w:val="auto"/>
          <w:sz w:val="24"/>
          <w:szCs w:val="24"/>
          <w:highlight w:val="none"/>
        </w:rPr>
        <w:fldChar w:fldCharType="separate"/>
      </w:r>
      <w:r>
        <w:rPr>
          <w:rStyle w:val="20"/>
          <w:rFonts w:hint="default" w:ascii="宋体" w:hAnsi="宋体" w:eastAsia="宋体" w:cs="宋体"/>
          <w:color w:val="auto"/>
          <w:sz w:val="24"/>
          <w:szCs w:val="24"/>
          <w:highlight w:val="none"/>
        </w:rPr>
        <w:t>全国公共资源交易平台(广西.南宁) (http://ggzy.jgswj.gxzf.gov.cn/nnggzy/)</w:t>
      </w:r>
      <w:r>
        <w:rPr>
          <w:rStyle w:val="20"/>
          <w:rFonts w:hint="default" w:ascii="宋体" w:hAnsi="宋体" w:eastAsia="宋体" w:cs="宋体"/>
          <w:color w:val="auto"/>
          <w:sz w:val="24"/>
          <w:szCs w:val="24"/>
          <w:highlight w:val="none"/>
        </w:rPr>
        <w:fldChar w:fldCharType="end"/>
      </w:r>
      <w:r>
        <w:rPr>
          <w:rFonts w:hint="default" w:ascii="宋体" w:hAnsi="宋体" w:eastAsia="宋体" w:cs="宋体"/>
          <w:color w:val="auto"/>
          <w:kern w:val="0"/>
          <w:sz w:val="24"/>
          <w:szCs w:val="24"/>
          <w:highlight w:val="none"/>
        </w:rPr>
        <w:t>公开查询。</w:t>
      </w:r>
    </w:p>
    <w:p w14:paraId="365383A2">
      <w:pPr>
        <w:spacing w:line="420" w:lineRule="exact"/>
        <w:ind w:firstLine="480" w:firstLineChars="200"/>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4</w:t>
      </w:r>
      <w:r>
        <w:rPr>
          <w:rFonts w:hint="default" w:ascii="宋体" w:hAnsi="宋体" w:eastAsia="宋体" w:cs="宋体"/>
          <w:color w:val="auto"/>
          <w:sz w:val="24"/>
          <w:szCs w:val="24"/>
          <w:highlight w:val="none"/>
        </w:rPr>
        <w:t>.</w:t>
      </w:r>
      <w:r>
        <w:rPr>
          <w:rFonts w:hint="default" w:ascii="宋体" w:hAnsi="宋体" w:eastAsia="宋体" w:cs="宋体"/>
          <w:color w:val="auto"/>
          <w:kern w:val="0"/>
          <w:sz w:val="24"/>
          <w:szCs w:val="24"/>
          <w:highlight w:val="none"/>
        </w:rPr>
        <w:t>本项目需要落实的政府采购政策</w:t>
      </w:r>
    </w:p>
    <w:bookmarkEnd w:id="29"/>
    <w:p w14:paraId="20A001A4">
      <w:pPr>
        <w:spacing w:line="420" w:lineRule="exact"/>
        <w:ind w:firstLine="360" w:firstLineChars="150"/>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（1）政府采购促进中小企业发展。</w:t>
      </w:r>
    </w:p>
    <w:p w14:paraId="1B80CAAE">
      <w:pPr>
        <w:spacing w:line="420" w:lineRule="exact"/>
        <w:ind w:firstLine="360" w:firstLineChars="150"/>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（2）政府采购支持采用本国产品的政策。</w:t>
      </w:r>
    </w:p>
    <w:p w14:paraId="4CD723D6">
      <w:pPr>
        <w:spacing w:line="420" w:lineRule="exact"/>
        <w:ind w:firstLine="360" w:firstLineChars="150"/>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（3）强制采购节能产品；优先采购节能产品、环境标志产品。</w:t>
      </w:r>
    </w:p>
    <w:p w14:paraId="7C69E496">
      <w:pPr>
        <w:spacing w:line="420" w:lineRule="exact"/>
        <w:ind w:firstLine="360" w:firstLineChars="150"/>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（4）政府采购促进残疾人就业政策。</w:t>
      </w:r>
    </w:p>
    <w:p w14:paraId="3FE3D4DE">
      <w:pPr>
        <w:spacing w:line="420" w:lineRule="exact"/>
        <w:ind w:firstLine="360" w:firstLineChars="150"/>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（5）政府采购支持监狱企业发展。</w:t>
      </w:r>
    </w:p>
    <w:p w14:paraId="6830E344">
      <w:pPr>
        <w:spacing w:line="420" w:lineRule="exact"/>
        <w:ind w:firstLine="480" w:firstLineChars="200"/>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5.供应商认为采购文件使自己的权益受到损害的，可以自获取采购文件之日或者采购文件公告期限届满之日（公告期限届满后获取采购文件的，以公告期限届满之日为准）起7个工作日内以书面形式一次性向采购人和采购代理机构提出同一环节的质疑。否则，逾期的质疑采购人及招标代理机构可不予接受。质疑供应商对采购人、采购代理机构的答复不满意或者采购人、采购代理机构未在规定的时间内作出答复的，可以在答复期满后十五个工作日内向同级政府采购监督管理部门投诉。</w:t>
      </w:r>
    </w:p>
    <w:p w14:paraId="34C1CCB8">
      <w:pPr>
        <w:spacing w:line="420" w:lineRule="exact"/>
        <w:ind w:firstLine="480" w:firstLineChars="200"/>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6.若对项目采购电子交易系统操作有疑问，可登录“广西政府采购云平台”（https://www.gcy.zfcg.gxzf.gov.cn/），点击右侧咨询小采，获取采小蜜智能服务管家帮助，或拨打广西政府采购云平台服务热线95763获取热线服务帮助。</w:t>
      </w:r>
    </w:p>
    <w:p w14:paraId="1AD7392D">
      <w:pPr>
        <w:spacing w:line="420" w:lineRule="exact"/>
        <w:ind w:firstLine="482" w:firstLineChars="200"/>
        <w:rPr>
          <w:rFonts w:hint="default" w:ascii="宋体" w:hAnsi="宋体" w:eastAsia="宋体" w:cs="宋体"/>
          <w:color w:val="auto"/>
          <w:sz w:val="24"/>
          <w:szCs w:val="24"/>
          <w:highlight w:val="none"/>
        </w:rPr>
      </w:pPr>
      <w:r>
        <w:rPr>
          <w:rFonts w:hint="default" w:ascii="宋体" w:hAnsi="宋体" w:eastAsia="宋体" w:cs="宋体"/>
          <w:b/>
          <w:color w:val="auto"/>
          <w:kern w:val="44"/>
          <w:sz w:val="24"/>
          <w:szCs w:val="24"/>
          <w:highlight w:val="none"/>
        </w:rPr>
        <w:t>八、凡对本次采购提出询问，请按以下方式联系</w:t>
      </w:r>
    </w:p>
    <w:p w14:paraId="12B688C8">
      <w:pPr>
        <w:keepNext w:val="0"/>
        <w:keepLines w:val="0"/>
        <w:pageBreakBefore w:val="0"/>
        <w:widowControl/>
        <w:kinsoku/>
        <w:overflowPunct/>
        <w:topLinePunct w:val="0"/>
        <w:autoSpaceDE/>
        <w:autoSpaceDN/>
        <w:bidi w:val="0"/>
        <w:adjustRightInd/>
        <w:spacing w:before="75" w:after="75" w:line="420" w:lineRule="exact"/>
        <w:ind w:firstLine="48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1.采购人名称：</w:t>
      </w:r>
      <w:r>
        <w:rPr>
          <w:rStyle w:val="19"/>
          <w:rFonts w:hint="eastAsia" w:ascii="宋体" w:hAnsi="宋体" w:eastAsia="宋体" w:cs="宋体"/>
          <w:color w:val="auto"/>
          <w:kern w:val="0"/>
          <w:sz w:val="24"/>
          <w:szCs w:val="24"/>
          <w:highlight w:val="none"/>
          <w:lang w:eastAsia="zh-CN"/>
        </w:rPr>
        <w:t>马山县农业农村局</w:t>
      </w:r>
    </w:p>
    <w:p w14:paraId="1E175D07">
      <w:pPr>
        <w:keepNext w:val="0"/>
        <w:keepLines w:val="0"/>
        <w:pageBreakBefore w:val="0"/>
        <w:widowControl/>
        <w:kinsoku/>
        <w:overflowPunct/>
        <w:topLinePunct w:val="0"/>
        <w:autoSpaceDE/>
        <w:autoSpaceDN/>
        <w:bidi w:val="0"/>
        <w:adjustRightInd/>
        <w:spacing w:before="75" w:after="75" w:line="420" w:lineRule="exact"/>
        <w:ind w:firstLine="48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地址：</w:t>
      </w:r>
      <w:r>
        <w:rPr>
          <w:rFonts w:hint="eastAsia" w:ascii="宋体" w:hAnsi="宋体" w:eastAsia="宋体" w:cs="宋体"/>
          <w:color w:val="auto"/>
          <w:sz w:val="24"/>
          <w:szCs w:val="24"/>
          <w:lang w:val="en-US" w:eastAsia="zh-CN"/>
        </w:rPr>
        <w:t>马山县江滨东路503号</w:t>
      </w:r>
    </w:p>
    <w:p w14:paraId="67F4F7EA">
      <w:pPr>
        <w:keepNext w:val="0"/>
        <w:keepLines w:val="0"/>
        <w:pageBreakBefore w:val="0"/>
        <w:widowControl/>
        <w:kinsoku/>
        <w:overflowPunct/>
        <w:topLinePunct w:val="0"/>
        <w:autoSpaceDE/>
        <w:autoSpaceDN/>
        <w:bidi w:val="0"/>
        <w:adjustRightInd/>
        <w:spacing w:before="75" w:after="75" w:line="420" w:lineRule="exact"/>
        <w:ind w:firstLine="480"/>
        <w:jc w:val="left"/>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联系人</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lang w:val="en-US" w:eastAsia="zh-CN"/>
        </w:rPr>
        <w:t xml:space="preserve">黄日洋        </w:t>
      </w:r>
      <w:r>
        <w:rPr>
          <w:rFonts w:hint="eastAsia" w:ascii="宋体" w:hAnsi="宋体" w:eastAsia="宋体" w:cs="宋体"/>
          <w:color w:val="auto"/>
          <w:kern w:val="0"/>
          <w:sz w:val="24"/>
          <w:szCs w:val="24"/>
          <w:highlight w:val="none"/>
        </w:rPr>
        <w:t>联系电话：</w:t>
      </w:r>
      <w:r>
        <w:rPr>
          <w:rFonts w:hint="eastAsia" w:ascii="宋体" w:hAnsi="宋体" w:eastAsia="宋体" w:cs="宋体"/>
          <w:color w:val="auto"/>
          <w:kern w:val="0"/>
          <w:sz w:val="24"/>
          <w:szCs w:val="24"/>
          <w:highlight w:val="none"/>
          <w:lang w:val="en-US" w:eastAsia="zh-CN"/>
        </w:rPr>
        <w:t>0771-6918161</w:t>
      </w:r>
    </w:p>
    <w:p w14:paraId="088DF9BD">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宋体" w:hAnsi="宋体" w:eastAsia="宋体" w:cs="宋体"/>
          <w:color w:val="auto"/>
          <w:kern w:val="0"/>
          <w:sz w:val="24"/>
          <w:szCs w:val="24"/>
          <w:highlight w:val="none"/>
        </w:rPr>
        <w:t>2.采购代理机构名称：</w:t>
      </w:r>
      <w:r>
        <w:rPr>
          <w:rFonts w:hint="eastAsia" w:asciiTheme="minorEastAsia" w:hAnsiTheme="minorEastAsia" w:eastAsiaTheme="minorEastAsia" w:cstheme="minorEastAsia"/>
          <w:color w:val="auto"/>
          <w:sz w:val="24"/>
          <w:szCs w:val="24"/>
          <w:highlight w:val="none"/>
          <w:lang w:eastAsia="zh-CN"/>
        </w:rPr>
        <w:t>广西建咨源工程咨询有限公司</w:t>
      </w:r>
    </w:p>
    <w:p w14:paraId="029859A6">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地址：</w:t>
      </w:r>
      <w:r>
        <w:rPr>
          <w:rFonts w:hint="eastAsia" w:asciiTheme="minorEastAsia" w:hAnsiTheme="minorEastAsia" w:eastAsiaTheme="minorEastAsia" w:cstheme="minorEastAsia"/>
          <w:color w:val="auto"/>
          <w:sz w:val="24"/>
          <w:szCs w:val="24"/>
          <w:highlight w:val="none"/>
          <w:lang w:eastAsia="zh-CN"/>
        </w:rPr>
        <w:t>南宁市青秀区竹溪大道21号喜乐荟1栋A座16楼1612号</w:t>
      </w:r>
    </w:p>
    <w:p w14:paraId="23F26CEE">
      <w:pPr>
        <w:keepNext w:val="0"/>
        <w:keepLines w:val="0"/>
        <w:pageBreakBefore w:val="0"/>
        <w:widowControl w:val="0"/>
        <w:kinsoku/>
        <w:wordWrap/>
        <w:overflowPunct/>
        <w:topLinePunct w:val="0"/>
        <w:autoSpaceDE/>
        <w:autoSpaceDN/>
        <w:bidi w:val="0"/>
        <w:adjustRightInd/>
        <w:snapToGrid/>
        <w:spacing w:line="60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联系电话：</w:t>
      </w:r>
      <w:r>
        <w:rPr>
          <w:rFonts w:hint="eastAsia" w:asciiTheme="minorEastAsia" w:hAnsiTheme="minorEastAsia" w:eastAsiaTheme="minorEastAsia" w:cstheme="minorEastAsia"/>
          <w:color w:val="auto"/>
          <w:sz w:val="24"/>
          <w:szCs w:val="24"/>
          <w:highlight w:val="none"/>
          <w:lang w:eastAsia="zh-CN"/>
        </w:rPr>
        <w:t>0771-5850128</w:t>
      </w:r>
    </w:p>
    <w:p w14:paraId="4AFDC4B6">
      <w:pPr>
        <w:keepNext w:val="0"/>
        <w:keepLines w:val="0"/>
        <w:pageBreakBefore w:val="0"/>
        <w:widowControl/>
        <w:kinsoku/>
        <w:overflowPunct/>
        <w:topLinePunct w:val="0"/>
        <w:autoSpaceDE/>
        <w:autoSpaceDN/>
        <w:bidi w:val="0"/>
        <w:adjustRightInd/>
        <w:spacing w:before="75" w:after="75" w:line="420" w:lineRule="exact"/>
        <w:ind w:firstLine="480"/>
        <w:jc w:val="left"/>
        <w:textAlignment w:val="auto"/>
        <w:rPr>
          <w:rStyle w:val="19"/>
          <w:rFonts w:hint="eastAsia" w:ascii="宋体" w:hAnsi="宋体" w:eastAsia="宋体" w:cs="宋体"/>
          <w:color w:val="auto"/>
          <w:kern w:val="0"/>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项目联系人：</w:t>
      </w:r>
      <w:r>
        <w:rPr>
          <w:rFonts w:hint="eastAsia" w:asciiTheme="minorEastAsia" w:hAnsiTheme="minorEastAsia" w:eastAsiaTheme="minorEastAsia" w:cstheme="minorEastAsia"/>
          <w:color w:val="auto"/>
          <w:sz w:val="24"/>
          <w:szCs w:val="24"/>
          <w:highlight w:val="none"/>
          <w:lang w:eastAsia="zh-CN"/>
        </w:rPr>
        <w:t>庞文武、林明芳</w:t>
      </w:r>
    </w:p>
    <w:p w14:paraId="2D535BD7">
      <w:pPr>
        <w:keepNext w:val="0"/>
        <w:keepLines w:val="0"/>
        <w:pageBreakBefore w:val="0"/>
        <w:widowControl/>
        <w:kinsoku/>
        <w:overflowPunct/>
        <w:topLinePunct w:val="0"/>
        <w:autoSpaceDE/>
        <w:autoSpaceDN/>
        <w:bidi w:val="0"/>
        <w:adjustRightInd/>
        <w:spacing w:before="75" w:after="75" w:line="420" w:lineRule="exact"/>
        <w:ind w:firstLine="48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3.项目联系方式</w:t>
      </w:r>
    </w:p>
    <w:p w14:paraId="48F7B808">
      <w:pPr>
        <w:keepNext w:val="0"/>
        <w:keepLines w:val="0"/>
        <w:pageBreakBefore w:val="0"/>
        <w:widowControl/>
        <w:kinsoku/>
        <w:overflowPunct/>
        <w:topLinePunct w:val="0"/>
        <w:autoSpaceDE/>
        <w:autoSpaceDN/>
        <w:bidi w:val="0"/>
        <w:adjustRightInd/>
        <w:spacing w:before="75" w:after="75" w:line="420" w:lineRule="exact"/>
        <w:ind w:firstLine="48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项目联系人：</w:t>
      </w:r>
      <w:r>
        <w:rPr>
          <w:rFonts w:hint="eastAsia" w:asciiTheme="minorEastAsia" w:hAnsiTheme="minorEastAsia" w:eastAsiaTheme="minorEastAsia" w:cstheme="minorEastAsia"/>
          <w:color w:val="auto"/>
          <w:sz w:val="24"/>
          <w:szCs w:val="24"/>
          <w:highlight w:val="none"/>
          <w:lang w:eastAsia="zh-CN"/>
        </w:rPr>
        <w:t>庞</w:t>
      </w:r>
      <w:r>
        <w:rPr>
          <w:rFonts w:hint="eastAsia" w:asciiTheme="minorEastAsia" w:hAnsiTheme="minorEastAsia" w:eastAsiaTheme="minorEastAsia" w:cstheme="minorEastAsia"/>
          <w:color w:val="auto"/>
          <w:sz w:val="24"/>
          <w:szCs w:val="24"/>
          <w:highlight w:val="none"/>
          <w:lang w:val="en-US" w:eastAsia="zh-CN"/>
        </w:rPr>
        <w:t>工</w:t>
      </w:r>
    </w:p>
    <w:p w14:paraId="33985985">
      <w:pPr>
        <w:keepNext w:val="0"/>
        <w:keepLines w:val="0"/>
        <w:pageBreakBefore w:val="0"/>
        <w:widowControl/>
        <w:kinsoku/>
        <w:overflowPunct/>
        <w:topLinePunct w:val="0"/>
        <w:autoSpaceDE/>
        <w:autoSpaceDN/>
        <w:bidi w:val="0"/>
        <w:adjustRightInd/>
        <w:spacing w:before="75" w:after="75" w:line="420" w:lineRule="exact"/>
        <w:ind w:firstLine="480"/>
        <w:jc w:val="left"/>
        <w:textAlignment w:val="auto"/>
        <w:rPr>
          <w:rStyle w:val="19"/>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电　话：</w:t>
      </w:r>
      <w:r>
        <w:rPr>
          <w:rStyle w:val="19"/>
          <w:rFonts w:hint="eastAsia" w:ascii="宋体" w:hAnsi="宋体" w:eastAsia="宋体" w:cs="宋体"/>
          <w:color w:val="auto"/>
          <w:kern w:val="0"/>
          <w:sz w:val="24"/>
          <w:szCs w:val="24"/>
          <w:highlight w:val="none"/>
        </w:rPr>
        <w:t>0771-5850128</w:t>
      </w:r>
    </w:p>
    <w:p w14:paraId="2735E8EE">
      <w:pPr>
        <w:spacing w:line="420" w:lineRule="exact"/>
        <w:ind w:firstLine="480" w:firstLineChars="200"/>
        <w:jc w:val="left"/>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附件： 1.CA证书申请方式及操作指南下载地址（现场申请方式见网址：</w:t>
      </w:r>
      <w:r>
        <w:rPr>
          <w:rFonts w:hint="default" w:ascii="宋体" w:hAnsi="宋体" w:eastAsia="宋体" w:cs="宋体"/>
          <w:color w:val="auto"/>
          <w:sz w:val="24"/>
          <w:szCs w:val="24"/>
          <w:highlight w:val="none"/>
        </w:rPr>
        <w:fldChar w:fldCharType="begin"/>
      </w:r>
      <w:r>
        <w:rPr>
          <w:rFonts w:hint="default" w:ascii="宋体" w:hAnsi="宋体" w:eastAsia="宋体" w:cs="宋体"/>
          <w:color w:val="auto"/>
          <w:sz w:val="24"/>
          <w:szCs w:val="24"/>
          <w:highlight w:val="none"/>
        </w:rPr>
        <w:instrText xml:space="preserve"> HYPERLINK "http://www.ccgp-guangxi.gov.cn/OfficeService/DownloadArea/8354055.html?utm=a0003.39a112b4.cmp001.d0002.f0464b20ff2a11eb873141bf9e381949" </w:instrText>
      </w:r>
      <w:r>
        <w:rPr>
          <w:rFonts w:hint="default" w:ascii="宋体" w:hAnsi="宋体" w:eastAsia="宋体" w:cs="宋体"/>
          <w:color w:val="auto"/>
          <w:sz w:val="24"/>
          <w:szCs w:val="24"/>
          <w:highlight w:val="none"/>
        </w:rPr>
        <w:fldChar w:fldCharType="separate"/>
      </w:r>
      <w:r>
        <w:rPr>
          <w:rFonts w:hint="default" w:ascii="宋体" w:hAnsi="宋体" w:eastAsia="宋体" w:cs="宋体"/>
          <w:color w:val="auto"/>
          <w:sz w:val="24"/>
          <w:szCs w:val="24"/>
          <w:highlight w:val="none"/>
          <w:u w:val="single"/>
        </w:rPr>
        <w:t>http://www.ccgp-guangxi.gov.cn/OfficeService/DownloadArea/8354055.html?utm=a0003.39a112b4.cmp001.d0002.f0464b20ff2a11eb873141bf9e381949</w:t>
      </w:r>
      <w:r>
        <w:rPr>
          <w:rFonts w:hint="default" w:ascii="宋体" w:hAnsi="宋体" w:eastAsia="宋体" w:cs="宋体"/>
          <w:color w:val="auto"/>
          <w:sz w:val="24"/>
          <w:szCs w:val="24"/>
          <w:highlight w:val="none"/>
          <w:u w:val="single"/>
        </w:rPr>
        <w:fldChar w:fldCharType="end"/>
      </w:r>
      <w:r>
        <w:rPr>
          <w:rFonts w:hint="default" w:ascii="宋体" w:hAnsi="宋体" w:eastAsia="宋体" w:cs="宋体"/>
          <w:color w:val="auto"/>
          <w:sz w:val="24"/>
          <w:szCs w:val="24"/>
          <w:highlight w:val="none"/>
        </w:rPr>
        <w:t xml:space="preserve">（广西政府采购网）/网上申请方式见网址： </w:t>
      </w:r>
      <w:r>
        <w:rPr>
          <w:rFonts w:hint="default" w:ascii="宋体" w:hAnsi="宋体" w:eastAsia="宋体" w:cs="宋体"/>
          <w:color w:val="auto"/>
          <w:sz w:val="24"/>
          <w:szCs w:val="24"/>
          <w:highlight w:val="none"/>
        </w:rPr>
        <w:fldChar w:fldCharType="begin"/>
      </w:r>
      <w:r>
        <w:rPr>
          <w:rFonts w:hint="default" w:ascii="宋体" w:hAnsi="宋体" w:eastAsia="宋体" w:cs="宋体"/>
          <w:color w:val="auto"/>
          <w:sz w:val="24"/>
          <w:szCs w:val="24"/>
          <w:highlight w:val="none"/>
        </w:rPr>
        <w:instrText xml:space="preserve"> HYPERLINK "http://nncz.nanning.gov.cn/" </w:instrText>
      </w:r>
      <w:r>
        <w:rPr>
          <w:rFonts w:hint="default" w:ascii="宋体" w:hAnsi="宋体" w:eastAsia="宋体" w:cs="宋体"/>
          <w:color w:val="auto"/>
          <w:sz w:val="24"/>
          <w:szCs w:val="24"/>
          <w:highlight w:val="none"/>
        </w:rPr>
        <w:fldChar w:fldCharType="separate"/>
      </w:r>
      <w:r>
        <w:rPr>
          <w:rFonts w:hint="default" w:ascii="宋体" w:hAnsi="宋体" w:eastAsia="宋体" w:cs="宋体"/>
          <w:color w:val="auto"/>
          <w:sz w:val="24"/>
          <w:szCs w:val="24"/>
          <w:highlight w:val="none"/>
          <w:u w:val="single"/>
        </w:rPr>
        <w:t>http://nncz.nanning.gov.cn/</w:t>
      </w:r>
      <w:r>
        <w:rPr>
          <w:rFonts w:hint="default" w:ascii="宋体" w:hAnsi="宋体" w:eastAsia="宋体" w:cs="宋体"/>
          <w:color w:val="auto"/>
          <w:sz w:val="24"/>
          <w:szCs w:val="24"/>
          <w:highlight w:val="none"/>
          <w:u w:val="single"/>
        </w:rPr>
        <w:fldChar w:fldCharType="end"/>
      </w:r>
      <w:r>
        <w:rPr>
          <w:rFonts w:hint="default" w:ascii="宋体" w:hAnsi="宋体" w:eastAsia="宋体" w:cs="宋体"/>
          <w:color w:val="auto"/>
          <w:sz w:val="24"/>
          <w:szCs w:val="24"/>
          <w:highlight w:val="none"/>
        </w:rPr>
        <w:t>（南宁市财政局官网）-下载专区-“广西政采云西部CA办理方式”或“南宁市政采云CA证书办理操作指南”）</w:t>
      </w:r>
    </w:p>
    <w:p w14:paraId="7A809901">
      <w:pPr>
        <w:spacing w:line="420" w:lineRule="exact"/>
        <w:ind w:firstLine="480" w:firstLineChars="200"/>
        <w:jc w:val="left"/>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2.电子投标文件制作与投送教程（在此网址下载：</w:t>
      </w:r>
      <w:r>
        <w:rPr>
          <w:rFonts w:hint="default" w:ascii="宋体" w:hAnsi="宋体" w:eastAsia="宋体" w:cs="宋体"/>
          <w:color w:val="auto"/>
          <w:sz w:val="24"/>
          <w:szCs w:val="24"/>
          <w:highlight w:val="none"/>
        </w:rPr>
        <w:fldChar w:fldCharType="begin"/>
      </w:r>
      <w:r>
        <w:rPr>
          <w:rFonts w:hint="default" w:ascii="宋体" w:hAnsi="宋体" w:eastAsia="宋体" w:cs="宋体"/>
          <w:color w:val="auto"/>
          <w:sz w:val="24"/>
          <w:szCs w:val="24"/>
          <w:highlight w:val="none"/>
        </w:rPr>
        <w:instrText xml:space="preserve"> HYPERLINK "http://nncz.nanning.gov.cn/" </w:instrText>
      </w:r>
      <w:r>
        <w:rPr>
          <w:rFonts w:hint="default" w:ascii="宋体" w:hAnsi="宋体" w:eastAsia="宋体" w:cs="宋体"/>
          <w:color w:val="auto"/>
          <w:sz w:val="24"/>
          <w:szCs w:val="24"/>
          <w:highlight w:val="none"/>
        </w:rPr>
        <w:fldChar w:fldCharType="separate"/>
      </w:r>
      <w:r>
        <w:rPr>
          <w:rFonts w:hint="default" w:ascii="宋体" w:hAnsi="宋体" w:eastAsia="宋体" w:cs="宋体"/>
          <w:color w:val="auto"/>
          <w:sz w:val="24"/>
          <w:szCs w:val="24"/>
          <w:highlight w:val="none"/>
          <w:u w:val="single"/>
        </w:rPr>
        <w:t>http://nncz.nanning.gov.cn/</w:t>
      </w:r>
      <w:r>
        <w:rPr>
          <w:rFonts w:hint="default" w:ascii="宋体" w:hAnsi="宋体" w:eastAsia="宋体" w:cs="宋体"/>
          <w:color w:val="auto"/>
          <w:sz w:val="24"/>
          <w:szCs w:val="24"/>
          <w:highlight w:val="none"/>
          <w:u w:val="single"/>
        </w:rPr>
        <w:fldChar w:fldCharType="end"/>
      </w:r>
      <w:r>
        <w:rPr>
          <w:rFonts w:hint="default" w:ascii="宋体" w:hAnsi="宋体" w:eastAsia="宋体" w:cs="宋体"/>
          <w:color w:val="auto"/>
          <w:sz w:val="24"/>
          <w:szCs w:val="24"/>
          <w:highlight w:val="none"/>
        </w:rPr>
        <w:t>（南宁市财政局官网）-下载专区）</w:t>
      </w:r>
    </w:p>
    <w:p w14:paraId="4C99108D">
      <w:pPr>
        <w:spacing w:line="420" w:lineRule="exact"/>
        <w:ind w:firstLine="6240" w:firstLineChars="2600"/>
        <w:jc w:val="left"/>
        <w:rPr>
          <w:rFonts w:hint="default" w:ascii="宋体" w:hAnsi="宋体" w:eastAsia="宋体" w:cs="宋体"/>
          <w:color w:val="auto"/>
          <w:sz w:val="24"/>
          <w:szCs w:val="24"/>
          <w:highlight w:val="none"/>
        </w:rPr>
      </w:pPr>
    </w:p>
    <w:p w14:paraId="42D09AEE">
      <w:pPr>
        <w:spacing w:line="420" w:lineRule="exact"/>
        <w:ind w:firstLine="6240" w:firstLineChars="2600"/>
        <w:jc w:val="left"/>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广西建咨源工程咨询有限公司</w:t>
      </w:r>
    </w:p>
    <w:p w14:paraId="1FB52F7B">
      <w:pPr>
        <w:spacing w:line="420" w:lineRule="exact"/>
        <w:ind w:firstLine="480" w:firstLineChars="200"/>
        <w:jc w:val="right"/>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202</w:t>
      </w:r>
      <w:r>
        <w:rPr>
          <w:rFonts w:hint="eastAsia" w:ascii="宋体" w:hAnsi="宋体" w:eastAsia="宋体" w:cs="宋体"/>
          <w:color w:val="auto"/>
          <w:sz w:val="24"/>
          <w:szCs w:val="24"/>
          <w:highlight w:val="none"/>
          <w:lang w:val="en-US" w:eastAsia="zh-CN"/>
        </w:rPr>
        <w:t>6</w:t>
      </w:r>
      <w:r>
        <w:rPr>
          <w:rFonts w:hint="default"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8</w:t>
      </w:r>
      <w:r>
        <w:rPr>
          <w:rFonts w:hint="default"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28</w:t>
      </w:r>
      <w:r>
        <w:rPr>
          <w:rFonts w:hint="default" w:ascii="宋体" w:hAnsi="宋体" w:eastAsia="宋体" w:cs="宋体"/>
          <w:color w:val="auto"/>
          <w:sz w:val="24"/>
          <w:szCs w:val="24"/>
          <w:highlight w:val="none"/>
        </w:rPr>
        <w:t>日</w:t>
      </w:r>
    </w:p>
    <w:p w14:paraId="0F6A36EE">
      <w:pPr>
        <w:spacing w:line="400" w:lineRule="exact"/>
        <w:ind w:firstLine="480" w:firstLineChars="200"/>
        <w:jc w:val="right"/>
        <w:rPr>
          <w:rFonts w:hint="default" w:ascii="宋体" w:hAnsi="宋体" w:eastAsia="宋体" w:cs="宋体"/>
          <w:color w:val="auto"/>
          <w:sz w:val="24"/>
          <w:szCs w:val="24"/>
          <w:highlight w:val="none"/>
        </w:rPr>
      </w:pPr>
    </w:p>
    <w:p w14:paraId="6E6A1A78">
      <w:pPr>
        <w:keepNext/>
        <w:keepLines/>
        <w:pageBreakBefore/>
        <w:numPr>
          <w:ilvl w:val="0"/>
          <w:numId w:val="0"/>
        </w:numPr>
        <w:spacing w:after="330" w:line="560" w:lineRule="exact"/>
        <w:jc w:val="center"/>
        <w:outlineLvl w:val="0"/>
        <w:rPr>
          <w:rFonts w:hint="default" w:ascii="宋体" w:eastAsia="宋体"/>
          <w:b/>
          <w:color w:val="auto"/>
          <w:kern w:val="44"/>
          <w:sz w:val="36"/>
          <w:szCs w:val="36"/>
          <w:highlight w:val="none"/>
        </w:rPr>
      </w:pPr>
      <w:bookmarkStart w:id="30" w:name="_Toc1869"/>
      <w:r>
        <w:rPr>
          <w:rFonts w:hint="default" w:ascii="宋体" w:eastAsia="宋体"/>
          <w:b/>
          <w:color w:val="auto"/>
          <w:kern w:val="44"/>
          <w:sz w:val="36"/>
          <w:szCs w:val="36"/>
          <w:highlight w:val="none"/>
        </w:rPr>
        <w:t>第二章 采购需求</w:t>
      </w:r>
      <w:bookmarkEnd w:id="30"/>
    </w:p>
    <w:p w14:paraId="41E68B8F">
      <w:pPr>
        <w:spacing w:line="480" w:lineRule="auto"/>
        <w:jc w:val="left"/>
        <w:rPr>
          <w:rFonts w:hint="default" w:ascii="宋体" w:hAnsi="宋体" w:eastAsia="宋体" w:cs="宋体"/>
          <w:color w:val="auto"/>
          <w:sz w:val="24"/>
          <w:szCs w:val="24"/>
          <w:highlight w:val="none"/>
        </w:rPr>
      </w:pPr>
      <w:bookmarkStart w:id="31" w:name="PO_TDCUS_ITEM_PB_REQ_FILE_1_1"/>
      <w:r>
        <w:rPr>
          <w:rFonts w:hint="default" w:ascii="宋体" w:hAnsi="宋体" w:eastAsia="宋体" w:cs="宋体"/>
          <w:color w:val="auto"/>
          <w:sz w:val="24"/>
          <w:szCs w:val="24"/>
          <w:highlight w:val="none"/>
        </w:rPr>
        <w:t>说明：</w:t>
      </w:r>
    </w:p>
    <w:p w14:paraId="7A1DE308">
      <w:pPr>
        <w:spacing w:line="480" w:lineRule="auto"/>
        <w:ind w:firstLine="480" w:firstLineChars="200"/>
        <w:jc w:val="left"/>
        <w:rPr>
          <w:rFonts w:hint="default" w:ascii="宋体" w:hAnsi="宋体" w:eastAsia="宋体" w:cs="宋体"/>
          <w:color w:val="auto"/>
          <w:sz w:val="24"/>
          <w:szCs w:val="24"/>
          <w:highlight w:val="none"/>
        </w:rPr>
      </w:pPr>
      <w:r>
        <w:rPr>
          <w:rFonts w:hint="default" w:ascii="宋体" w:hAnsi="宋体" w:eastAsia="宋体"/>
          <w:color w:val="auto"/>
          <w:sz w:val="24"/>
          <w:szCs w:val="24"/>
          <w:highlight w:val="none"/>
        </w:rPr>
        <w:t>1</w:t>
      </w:r>
      <w:r>
        <w:rPr>
          <w:rFonts w:hint="default" w:ascii="宋体" w:eastAsia="宋体"/>
          <w:color w:val="auto"/>
          <w:sz w:val="24"/>
          <w:szCs w:val="24"/>
          <w:highlight w:val="none"/>
        </w:rPr>
        <w:t>. 为落实政府采购政策需满足的要求</w:t>
      </w:r>
    </w:p>
    <w:p w14:paraId="64357FCB">
      <w:pPr>
        <w:spacing w:line="480" w:lineRule="auto"/>
        <w:ind w:firstLine="480" w:firstLineChars="200"/>
        <w:jc w:val="left"/>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（1）本竞争性磋商采购文件所称中小企业必须符合《政府采购促进中小企业发展管理办法》（财库〔2020〕46号）的规定。</w:t>
      </w:r>
    </w:p>
    <w:p w14:paraId="22B751CD">
      <w:pPr>
        <w:spacing w:line="480" w:lineRule="auto"/>
        <w:ind w:firstLine="472" w:firstLineChars="196"/>
        <w:rPr>
          <w:rFonts w:hint="default" w:ascii="宋体" w:hAnsi="宋体" w:eastAsia="宋体" w:cs="宋体"/>
          <w:b/>
          <w:color w:val="auto"/>
          <w:sz w:val="24"/>
          <w:szCs w:val="24"/>
          <w:highlight w:val="none"/>
        </w:rPr>
      </w:pPr>
      <w:r>
        <w:rPr>
          <w:rFonts w:hint="default" w:ascii="宋体" w:hAnsi="宋体" w:eastAsia="宋体" w:cs="宋体"/>
          <w:b/>
          <w:color w:val="auto"/>
          <w:sz w:val="24"/>
          <w:szCs w:val="24"/>
          <w:highlight w:val="none"/>
        </w:rPr>
        <w:t>2.“实质性要求”是指采购需求中带“▲”的条款或者不能负偏离的条款或者已经指明不满足按响应文件作无效处理的条款。</w:t>
      </w:r>
    </w:p>
    <w:p w14:paraId="14D39F1D">
      <w:pPr>
        <w:pStyle w:val="7"/>
        <w:ind w:firstLine="480" w:firstLineChars="200"/>
        <w:rPr>
          <w:rFonts w:hint="default" w:ascii="宋体" w:eastAsia="宋体"/>
          <w:b/>
          <w:color w:val="auto"/>
          <w:sz w:val="24"/>
          <w:szCs w:val="24"/>
          <w:highlight w:val="none"/>
        </w:rPr>
      </w:pPr>
      <w:r>
        <w:rPr>
          <w:rFonts w:hint="default" w:ascii="宋体" w:hAnsi="宋体" w:eastAsia="宋体" w:cs="宋体"/>
          <w:color w:val="auto"/>
          <w:sz w:val="24"/>
          <w:szCs w:val="24"/>
          <w:highlight w:val="none"/>
        </w:rPr>
        <w:t>3.</w:t>
      </w:r>
      <w:r>
        <w:rPr>
          <w:rFonts w:hint="default" w:ascii="宋体" w:eastAsia="宋体"/>
          <w:b/>
          <w:color w:val="auto"/>
          <w:sz w:val="24"/>
          <w:szCs w:val="24"/>
          <w:highlight w:val="none"/>
        </w:rPr>
        <w:t>本项目</w:t>
      </w:r>
      <w:r>
        <w:rPr>
          <w:rFonts w:hint="default" w:ascii="宋体" w:hAnsi="宋体" w:eastAsia="宋体"/>
          <w:b/>
          <w:color w:val="auto"/>
          <w:sz w:val="24"/>
          <w:szCs w:val="24"/>
          <w:highlight w:val="none"/>
        </w:rPr>
        <w:t>中小企业划分标准所属行业名称（行业名称及划分见本章附件</w:t>
      </w:r>
      <w:r>
        <w:rPr>
          <w:rFonts w:hint="eastAsia" w:ascii="宋体" w:hAnsi="宋体" w:eastAsia="宋体"/>
          <w:b/>
          <w:color w:val="auto"/>
          <w:sz w:val="24"/>
          <w:szCs w:val="24"/>
          <w:highlight w:val="none"/>
          <w:lang w:val="en-US" w:eastAsia="zh-CN"/>
        </w:rPr>
        <w:t>1</w:t>
      </w:r>
      <w:r>
        <w:rPr>
          <w:rFonts w:hint="default" w:ascii="宋体" w:hAnsi="宋体" w:eastAsia="宋体"/>
          <w:b/>
          <w:color w:val="auto"/>
          <w:sz w:val="24"/>
          <w:szCs w:val="24"/>
          <w:highlight w:val="none"/>
        </w:rPr>
        <w:t>）：</w:t>
      </w:r>
      <w:r>
        <w:rPr>
          <w:rFonts w:hint="default" w:ascii="宋体" w:hAnsi="宋体" w:eastAsia="宋体" w:cs="宋体"/>
          <w:b/>
          <w:color w:val="auto"/>
          <w:sz w:val="24"/>
          <w:szCs w:val="24"/>
          <w:highlight w:val="none"/>
        </w:rPr>
        <w:t>建筑业</w:t>
      </w:r>
    </w:p>
    <w:p w14:paraId="30CC1229">
      <w:pPr>
        <w:rPr>
          <w:rFonts w:hint="default" w:ascii="宋体" w:eastAsia="宋体"/>
          <w:color w:val="auto"/>
          <w:sz w:val="24"/>
          <w:szCs w:val="24"/>
          <w:highlight w:val="none"/>
        </w:rPr>
      </w:pPr>
    </w:p>
    <w:p w14:paraId="5805E947">
      <w:pPr>
        <w:pStyle w:val="3"/>
        <w:rPr>
          <w:rFonts w:hint="default" w:ascii="宋体" w:eastAsia="宋体"/>
          <w:color w:val="auto"/>
          <w:sz w:val="24"/>
          <w:szCs w:val="24"/>
          <w:highlight w:val="none"/>
        </w:rPr>
      </w:pPr>
    </w:p>
    <w:p w14:paraId="1943E294">
      <w:pPr>
        <w:rPr>
          <w:rFonts w:hint="default" w:ascii="宋体" w:eastAsia="宋体"/>
          <w:color w:val="auto"/>
          <w:sz w:val="24"/>
          <w:szCs w:val="24"/>
          <w:highlight w:val="none"/>
        </w:rPr>
      </w:pPr>
    </w:p>
    <w:p w14:paraId="6901405F">
      <w:pPr>
        <w:pStyle w:val="3"/>
        <w:rPr>
          <w:rFonts w:hint="default" w:ascii="宋体" w:eastAsia="宋体"/>
          <w:color w:val="auto"/>
          <w:sz w:val="24"/>
          <w:szCs w:val="24"/>
          <w:highlight w:val="none"/>
        </w:rPr>
      </w:pPr>
    </w:p>
    <w:p w14:paraId="6B337E68">
      <w:pPr>
        <w:rPr>
          <w:rFonts w:hint="default" w:ascii="宋体" w:eastAsia="宋体"/>
          <w:color w:val="auto"/>
          <w:sz w:val="24"/>
          <w:szCs w:val="24"/>
          <w:highlight w:val="none"/>
        </w:rPr>
      </w:pPr>
    </w:p>
    <w:p w14:paraId="23AA1937">
      <w:pPr>
        <w:pStyle w:val="3"/>
        <w:rPr>
          <w:rFonts w:hint="default" w:ascii="宋体" w:eastAsia="宋体"/>
          <w:color w:val="auto"/>
          <w:sz w:val="24"/>
          <w:szCs w:val="24"/>
          <w:highlight w:val="none"/>
        </w:rPr>
      </w:pPr>
    </w:p>
    <w:p w14:paraId="72DCFDC3">
      <w:pPr>
        <w:rPr>
          <w:rFonts w:hint="default" w:ascii="宋体" w:eastAsia="宋体"/>
          <w:color w:val="auto"/>
          <w:sz w:val="21"/>
          <w:szCs w:val="24"/>
          <w:highlight w:val="none"/>
        </w:rPr>
      </w:pPr>
    </w:p>
    <w:p w14:paraId="39BB7799">
      <w:pPr>
        <w:spacing w:line="480" w:lineRule="auto"/>
        <w:ind w:firstLine="420" w:firstLineChars="200"/>
        <w:jc w:val="left"/>
        <w:rPr>
          <w:rFonts w:hint="default" w:ascii="宋体" w:eastAsia="宋体"/>
          <w:color w:val="auto"/>
          <w:sz w:val="21"/>
          <w:szCs w:val="24"/>
          <w:highlight w:val="none"/>
        </w:rPr>
      </w:pPr>
    </w:p>
    <w:p w14:paraId="274468C0">
      <w:pPr>
        <w:spacing w:line="480" w:lineRule="auto"/>
        <w:ind w:firstLine="420" w:firstLineChars="200"/>
        <w:jc w:val="left"/>
        <w:rPr>
          <w:rFonts w:hint="default" w:ascii="宋体" w:eastAsia="宋体"/>
          <w:color w:val="auto"/>
          <w:sz w:val="21"/>
          <w:szCs w:val="24"/>
          <w:highlight w:val="none"/>
        </w:rPr>
      </w:pPr>
    </w:p>
    <w:p w14:paraId="360C14A5">
      <w:pPr>
        <w:keepNext w:val="0"/>
        <w:keepLines w:val="0"/>
        <w:pageBreakBefore/>
        <w:widowControl w:val="0"/>
        <w:kinsoku/>
        <w:wordWrap w:val="0"/>
        <w:overflowPunct/>
        <w:topLinePunct w:val="0"/>
        <w:autoSpaceDE/>
        <w:autoSpaceDN/>
        <w:bidi w:val="0"/>
        <w:adjustRightInd/>
        <w:snapToGrid/>
        <w:spacing w:line="480" w:lineRule="auto"/>
        <w:ind w:firstLine="420" w:firstLineChars="200"/>
        <w:jc w:val="left"/>
        <w:textAlignment w:val="auto"/>
        <w:rPr>
          <w:rFonts w:hint="default" w:ascii="宋体" w:eastAsia="宋体"/>
          <w:color w:val="auto"/>
          <w:sz w:val="21"/>
          <w:szCs w:val="24"/>
          <w:highlight w:val="none"/>
        </w:rPr>
      </w:pPr>
    </w:p>
    <w:bookmarkEnd w:id="31"/>
    <w:tbl>
      <w:tblPr>
        <w:tblStyle w:val="18"/>
        <w:tblpPr w:leftFromText="180" w:rightFromText="180" w:vertAnchor="text" w:tblpXSpec="center" w:tblpY="1"/>
        <w:tblOverlap w:val="never"/>
        <w:tblW w:w="10121"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433"/>
        <w:gridCol w:w="1312"/>
        <w:gridCol w:w="968"/>
        <w:gridCol w:w="7408"/>
      </w:tblGrid>
      <w:tr w14:paraId="1A4B23E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10121" w:type="dxa"/>
            <w:gridSpan w:val="4"/>
            <w:tcBorders>
              <w:top w:val="single" w:color="auto" w:sz="4" w:space="0"/>
              <w:left w:val="single" w:color="auto" w:sz="4" w:space="0"/>
              <w:bottom w:val="nil"/>
              <w:right w:val="single" w:color="auto" w:sz="4" w:space="0"/>
              <w:tl2br w:val="nil"/>
              <w:tr2bl w:val="nil"/>
            </w:tcBorders>
            <w:noWrap w:val="0"/>
            <w:vAlign w:val="center"/>
          </w:tcPr>
          <w:p w14:paraId="4C6304F5">
            <w:pPr>
              <w:spacing w:line="276" w:lineRule="auto"/>
              <w:jc w:val="center"/>
              <w:rPr>
                <w:rFonts w:hint="default" w:ascii="宋体" w:hAnsi="宋体" w:eastAsia="宋体" w:cs="宋体"/>
                <w:b/>
                <w:color w:val="auto"/>
                <w:sz w:val="21"/>
                <w:szCs w:val="21"/>
                <w:highlight w:val="none"/>
              </w:rPr>
            </w:pPr>
            <w:r>
              <w:rPr>
                <w:rFonts w:hint="default" w:ascii="宋体" w:hAnsi="宋体" w:eastAsia="宋体" w:cs="Arial"/>
                <w:b/>
                <w:color w:val="auto"/>
                <w:sz w:val="30"/>
                <w:szCs w:val="30"/>
                <w:highlight w:val="none"/>
              </w:rPr>
              <w:t>需求一览表</w:t>
            </w:r>
          </w:p>
        </w:tc>
      </w:tr>
      <w:tr w14:paraId="2F46DFD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52" w:hRule="atLeast"/>
        </w:trPr>
        <w:tc>
          <w:tcPr>
            <w:tcW w:w="43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5795979">
            <w:pPr>
              <w:spacing w:line="276" w:lineRule="auto"/>
              <w:jc w:val="center"/>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序号</w:t>
            </w:r>
          </w:p>
        </w:tc>
        <w:tc>
          <w:tcPr>
            <w:tcW w:w="131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994B341">
            <w:pPr>
              <w:spacing w:line="276" w:lineRule="auto"/>
              <w:jc w:val="center"/>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标的名称</w:t>
            </w:r>
          </w:p>
        </w:tc>
        <w:tc>
          <w:tcPr>
            <w:tcW w:w="96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21DB4F7">
            <w:pPr>
              <w:spacing w:line="276" w:lineRule="auto"/>
              <w:jc w:val="center"/>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数量及单位</w:t>
            </w:r>
          </w:p>
        </w:tc>
        <w:tc>
          <w:tcPr>
            <w:tcW w:w="740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F24DADD">
            <w:pPr>
              <w:spacing w:line="276" w:lineRule="auto"/>
              <w:jc w:val="center"/>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技术需求及工程内容</w:t>
            </w:r>
          </w:p>
        </w:tc>
      </w:tr>
      <w:tr w14:paraId="5B677E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4997570">
            <w:pPr>
              <w:spacing w:line="440" w:lineRule="exact"/>
              <w:jc w:val="center"/>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1</w:t>
            </w:r>
          </w:p>
        </w:tc>
        <w:tc>
          <w:tcPr>
            <w:tcW w:w="131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6DAA3DF">
            <w:pPr>
              <w:spacing w:line="440" w:lineRule="exact"/>
              <w:jc w:val="center"/>
              <w:rPr>
                <w:rFonts w:hint="default" w:ascii="宋体" w:hAnsi="宋体" w:eastAsia="宋体" w:cs="宋体"/>
                <w:color w:val="auto"/>
                <w:sz w:val="24"/>
                <w:szCs w:val="24"/>
                <w:highlight w:val="none"/>
              </w:rPr>
            </w:pPr>
            <w:r>
              <w:rPr>
                <w:rFonts w:hint="eastAsia" w:ascii="宋体" w:hAnsi="宋体" w:eastAsia="宋体" w:cs="宋体"/>
                <w:b/>
                <w:color w:val="auto"/>
                <w:sz w:val="24"/>
                <w:szCs w:val="24"/>
                <w:highlight w:val="none"/>
                <w:u w:val="single"/>
                <w:lang w:val="en-US" w:eastAsia="zh-CN"/>
              </w:rPr>
              <w:t>永州镇胜利村下感屯田间灌溉排洪渠道工程</w:t>
            </w:r>
          </w:p>
        </w:tc>
        <w:tc>
          <w:tcPr>
            <w:tcW w:w="96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4A91638">
            <w:pPr>
              <w:keepNext w:val="0"/>
              <w:keepLines w:val="0"/>
              <w:pageBreakBefore w:val="0"/>
              <w:kinsoku/>
              <w:wordWrap/>
              <w:overflowPunct/>
              <w:topLinePunct w:val="0"/>
              <w:autoSpaceDE/>
              <w:autoSpaceDN/>
              <w:bidi w:val="0"/>
              <w:adjustRightInd/>
              <w:snapToGrid/>
              <w:spacing w:line="440" w:lineRule="exact"/>
              <w:jc w:val="center"/>
              <w:textAlignment w:val="auto"/>
              <w:rPr>
                <w:rFonts w:hint="default" w:ascii="宋体" w:hAnsi="宋体" w:eastAsia="宋体" w:cs="宋体"/>
                <w:color w:val="auto"/>
                <w:sz w:val="24"/>
                <w:szCs w:val="24"/>
                <w:highlight w:val="none"/>
                <w:lang w:val="en-US"/>
              </w:rPr>
            </w:pPr>
            <w:r>
              <w:rPr>
                <w:rFonts w:hint="default" w:ascii="宋体" w:hAnsi="宋体" w:eastAsia="宋体" w:cs="宋体"/>
                <w:color w:val="auto"/>
                <w:sz w:val="24"/>
                <w:szCs w:val="24"/>
                <w:highlight w:val="none"/>
                <w:lang w:val="en-US"/>
              </w:rPr>
              <w:t>1项</w:t>
            </w:r>
          </w:p>
        </w:tc>
        <w:tc>
          <w:tcPr>
            <w:tcW w:w="7408" w:type="dxa"/>
            <w:tcBorders>
              <w:top w:val="single" w:color="auto" w:sz="4" w:space="0"/>
              <w:left w:val="single" w:color="auto" w:sz="4" w:space="0"/>
              <w:bottom w:val="single" w:color="auto" w:sz="4" w:space="0"/>
              <w:right w:val="single" w:color="auto" w:sz="4" w:space="0"/>
              <w:tl2br w:val="nil"/>
              <w:tr2bl w:val="nil"/>
            </w:tcBorders>
            <w:noWrap w:val="0"/>
            <w:vAlign w:val="top"/>
          </w:tcPr>
          <w:p w14:paraId="0808910C">
            <w:pPr>
              <w:keepNext w:val="0"/>
              <w:keepLines w:val="0"/>
              <w:pageBreakBefore w:val="0"/>
              <w:numPr>
                <w:ilvl w:val="0"/>
                <w:numId w:val="0"/>
              </w:numPr>
              <w:kinsoku/>
              <w:wordWrap/>
              <w:overflowPunct/>
              <w:topLinePunct w:val="0"/>
              <w:autoSpaceDE/>
              <w:autoSpaceDN/>
              <w:bidi w:val="0"/>
              <w:adjustRightInd/>
              <w:snapToGrid/>
              <w:spacing w:line="440" w:lineRule="exact"/>
              <w:textAlignment w:val="auto"/>
              <w:rPr>
                <w:rFonts w:hint="eastAsia" w:ascii="宋体" w:hAnsi="宋体" w:eastAsia="宋体" w:cs="宋体"/>
                <w:b/>
                <w:color w:val="auto"/>
                <w:sz w:val="24"/>
                <w:szCs w:val="24"/>
                <w:highlight w:val="none"/>
                <w:u w:val="single"/>
                <w:lang w:val="en-US" w:eastAsia="zh-CN"/>
              </w:rPr>
            </w:pPr>
            <w:r>
              <w:rPr>
                <w:rFonts w:hint="eastAsia" w:ascii="宋体" w:hAnsi="宋体" w:eastAsia="宋体" w:cs="宋体"/>
                <w:color w:val="auto"/>
                <w:sz w:val="24"/>
                <w:szCs w:val="24"/>
                <w:highlight w:val="none"/>
                <w:lang w:val="en-US" w:eastAsia="zh-CN"/>
              </w:rPr>
              <w:t>1.项目名称：</w:t>
            </w:r>
            <w:r>
              <w:rPr>
                <w:rFonts w:hint="eastAsia" w:ascii="宋体" w:hAnsi="宋体" w:eastAsia="宋体" w:cs="宋体"/>
                <w:b/>
                <w:color w:val="auto"/>
                <w:sz w:val="24"/>
                <w:szCs w:val="24"/>
                <w:highlight w:val="none"/>
                <w:u w:val="single"/>
                <w:lang w:val="en-US" w:eastAsia="zh-CN"/>
              </w:rPr>
              <w:t>永州镇胜利村下感屯田间灌溉排洪渠道工程</w:t>
            </w:r>
          </w:p>
          <w:p w14:paraId="05D97A0A">
            <w:pPr>
              <w:spacing w:line="420" w:lineRule="exact"/>
              <w:jc w:val="left"/>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val="en-US"/>
              </w:rPr>
              <w:t>采购计划文号：NNZC2026-C2-240152-GXJZ</w:t>
            </w:r>
          </w:p>
          <w:p w14:paraId="7E8DB34A">
            <w:pPr>
              <w:spacing w:line="420" w:lineRule="exact"/>
              <w:jc w:val="both"/>
              <w:rPr>
                <w:rFonts w:hint="default"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lang w:val="en-US"/>
              </w:rPr>
              <w:t>3.项目编号：MSZC2026-C2-01445-001、MSZC2026-C2-01445-002</w:t>
            </w:r>
          </w:p>
          <w:p w14:paraId="200E516F">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rPr>
              <w:t>4.建设地点：南宁市</w:t>
            </w:r>
            <w:r>
              <w:rPr>
                <w:rFonts w:hint="eastAsia" w:ascii="宋体" w:hAnsi="宋体" w:eastAsia="宋体" w:cs="宋体"/>
                <w:color w:val="auto"/>
                <w:sz w:val="24"/>
                <w:szCs w:val="24"/>
                <w:highlight w:val="none"/>
                <w:lang w:val="en-US" w:eastAsia="zh-CN"/>
              </w:rPr>
              <w:t>马山县</w:t>
            </w:r>
          </w:p>
          <w:p w14:paraId="38ECE8A2">
            <w:pPr>
              <w:keepNext w:val="0"/>
              <w:keepLines w:val="0"/>
              <w:pageBreakBefore w:val="0"/>
              <w:kinsoku/>
              <w:wordWrap/>
              <w:overflowPunct/>
              <w:topLinePunct w:val="0"/>
              <w:autoSpaceDE/>
              <w:autoSpaceDN/>
              <w:bidi w:val="0"/>
              <w:adjustRightInd/>
              <w:snapToGrid/>
              <w:spacing w:line="440" w:lineRule="exact"/>
              <w:textAlignment w:val="auto"/>
              <w:rPr>
                <w:rFonts w:hint="default"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lang w:val="en-US"/>
              </w:rPr>
              <w:t>5.发包方式：固定综合单价，包工包料</w:t>
            </w:r>
          </w:p>
          <w:p w14:paraId="2A1B6EB1">
            <w:pPr>
              <w:keepNext w:val="0"/>
              <w:keepLines w:val="0"/>
              <w:pageBreakBefore w:val="0"/>
              <w:kinsoku/>
              <w:wordWrap/>
              <w:overflowPunct/>
              <w:topLinePunct w:val="0"/>
              <w:autoSpaceDE/>
              <w:autoSpaceDN/>
              <w:bidi w:val="0"/>
              <w:adjustRightInd/>
              <w:snapToGrid/>
              <w:spacing w:line="440" w:lineRule="exact"/>
              <w:textAlignment w:val="auto"/>
              <w:rPr>
                <w:rFonts w:hint="default" w:ascii="宋体" w:hAnsi="宋体" w:eastAsia="宋体" w:cs="宋体"/>
                <w:color w:val="auto"/>
                <w:sz w:val="24"/>
                <w:szCs w:val="24"/>
                <w:highlight w:val="none"/>
                <w:lang w:val="en-US"/>
              </w:rPr>
            </w:pPr>
            <w:r>
              <w:rPr>
                <w:rFonts w:hint="default" w:ascii="宋体" w:hAnsi="宋体" w:eastAsia="宋体" w:cs="宋体"/>
                <w:color w:val="auto"/>
                <w:sz w:val="24"/>
                <w:szCs w:val="24"/>
                <w:highlight w:val="none"/>
                <w:lang w:val="en-US"/>
              </w:rPr>
              <w:t>▲</w:t>
            </w:r>
            <w:r>
              <w:rPr>
                <w:rFonts w:hint="eastAsia" w:ascii="宋体" w:hAnsi="宋体" w:eastAsia="宋体" w:cs="宋体"/>
                <w:color w:val="auto"/>
                <w:sz w:val="24"/>
                <w:szCs w:val="24"/>
                <w:highlight w:val="none"/>
                <w:lang w:val="en-US" w:eastAsia="zh-CN"/>
              </w:rPr>
              <w:t>6</w:t>
            </w:r>
            <w:r>
              <w:rPr>
                <w:rFonts w:hint="default" w:ascii="宋体" w:hAnsi="宋体" w:eastAsia="宋体" w:cs="宋体"/>
                <w:color w:val="auto"/>
                <w:sz w:val="24"/>
                <w:szCs w:val="24"/>
                <w:highlight w:val="none"/>
                <w:lang w:val="en-US"/>
              </w:rPr>
              <w:t>.工程质量要求：合格。</w:t>
            </w:r>
          </w:p>
          <w:p w14:paraId="7E67DE9C">
            <w:pPr>
              <w:keepNext w:val="0"/>
              <w:keepLines w:val="0"/>
              <w:pageBreakBefore w:val="0"/>
              <w:kinsoku/>
              <w:wordWrap/>
              <w:overflowPunct/>
              <w:topLinePunct w:val="0"/>
              <w:autoSpaceDE/>
              <w:autoSpaceDN/>
              <w:bidi w:val="0"/>
              <w:adjustRightInd/>
              <w:snapToGrid/>
              <w:spacing w:line="440" w:lineRule="exact"/>
              <w:textAlignment w:val="auto"/>
              <w:rPr>
                <w:rFonts w:hint="default" w:ascii="宋体" w:hAnsi="宋体" w:eastAsia="宋体" w:cs="宋体"/>
                <w:color w:val="auto"/>
                <w:sz w:val="24"/>
                <w:szCs w:val="24"/>
                <w:highlight w:val="none"/>
                <w:lang w:val="en-US"/>
              </w:rPr>
            </w:pPr>
            <w:r>
              <w:rPr>
                <w:rFonts w:hint="default" w:ascii="宋体" w:hAnsi="宋体" w:eastAsia="宋体" w:cs="宋体"/>
                <w:color w:val="auto"/>
                <w:sz w:val="24"/>
                <w:szCs w:val="24"/>
                <w:highlight w:val="none"/>
                <w:lang w:val="en-US"/>
              </w:rPr>
              <w:t>开工时间：202</w:t>
            </w:r>
            <w:r>
              <w:rPr>
                <w:rFonts w:hint="eastAsia" w:ascii="宋体" w:hAnsi="宋体" w:eastAsia="宋体" w:cs="宋体"/>
                <w:color w:val="auto"/>
                <w:sz w:val="24"/>
                <w:szCs w:val="24"/>
                <w:highlight w:val="none"/>
                <w:lang w:val="en-US" w:eastAsia="zh-CN"/>
              </w:rPr>
              <w:t>6</w:t>
            </w:r>
            <w:r>
              <w:rPr>
                <w:rFonts w:hint="default" w:ascii="宋体" w:hAnsi="宋体" w:eastAsia="宋体" w:cs="宋体"/>
                <w:color w:val="auto"/>
                <w:sz w:val="24"/>
                <w:szCs w:val="24"/>
                <w:highlight w:val="none"/>
                <w:lang w:val="en-US"/>
              </w:rPr>
              <w:t>年</w:t>
            </w:r>
            <w:r>
              <w:rPr>
                <w:rFonts w:hint="eastAsia" w:ascii="宋体" w:hAnsi="宋体" w:eastAsia="宋体" w:cs="宋体"/>
                <w:color w:val="auto"/>
                <w:sz w:val="24"/>
                <w:szCs w:val="24"/>
                <w:highlight w:val="none"/>
                <w:lang w:val="en-US" w:eastAsia="zh-CN"/>
              </w:rPr>
              <w:t>9</w:t>
            </w:r>
            <w:r>
              <w:rPr>
                <w:rFonts w:hint="default" w:ascii="宋体" w:hAnsi="宋体" w:eastAsia="宋体" w:cs="宋体"/>
                <w:color w:val="auto"/>
                <w:sz w:val="24"/>
                <w:szCs w:val="24"/>
                <w:highlight w:val="none"/>
                <w:lang w:val="en-US"/>
              </w:rPr>
              <w:t>月，具体以采购人（监理）人开工令为准。</w:t>
            </w:r>
          </w:p>
          <w:p w14:paraId="31639FFA">
            <w:pPr>
              <w:keepNext w:val="0"/>
              <w:keepLines w:val="0"/>
              <w:pageBreakBefore w:val="0"/>
              <w:kinsoku/>
              <w:wordWrap/>
              <w:overflowPunct/>
              <w:topLinePunct w:val="0"/>
              <w:autoSpaceDE/>
              <w:autoSpaceDN/>
              <w:bidi w:val="0"/>
              <w:adjustRightInd/>
              <w:snapToGrid/>
              <w:spacing w:line="440" w:lineRule="exact"/>
              <w:textAlignment w:val="auto"/>
              <w:rPr>
                <w:rFonts w:hint="default"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lang w:val="en-US"/>
              </w:rPr>
              <w:t>▲</w:t>
            </w:r>
            <w:r>
              <w:rPr>
                <w:rFonts w:hint="default" w:ascii="宋体" w:hAnsi="宋体" w:eastAsia="宋体" w:cs="宋体"/>
                <w:color w:val="auto"/>
                <w:sz w:val="24"/>
                <w:szCs w:val="24"/>
                <w:highlight w:val="none"/>
                <w:lang w:val="en-US"/>
              </w:rPr>
              <w:t>8</w:t>
            </w:r>
            <w:r>
              <w:rPr>
                <w:rFonts w:hint="eastAsia" w:ascii="宋体" w:hAnsi="宋体" w:eastAsia="宋体" w:cs="宋体"/>
                <w:color w:val="auto"/>
                <w:sz w:val="24"/>
                <w:szCs w:val="24"/>
                <w:highlight w:val="none"/>
                <w:lang w:val="en-US"/>
              </w:rPr>
              <w:t>.合同履行期限(工期)：自签订合同之日起</w:t>
            </w:r>
            <w:r>
              <w:rPr>
                <w:rFonts w:hint="eastAsia" w:ascii="宋体" w:hAnsi="宋体" w:eastAsia="宋体" w:cs="宋体"/>
                <w:color w:val="auto"/>
                <w:sz w:val="24"/>
                <w:szCs w:val="24"/>
                <w:highlight w:val="none"/>
                <w:lang w:val="en-US" w:eastAsia="zh-CN"/>
              </w:rPr>
              <w:t>90日内</w:t>
            </w:r>
            <w:r>
              <w:rPr>
                <w:rFonts w:hint="eastAsia" w:ascii="宋体" w:hAnsi="宋体" w:eastAsia="宋体" w:cs="宋体"/>
                <w:color w:val="auto"/>
                <w:sz w:val="24"/>
                <w:szCs w:val="24"/>
                <w:highlight w:val="none"/>
                <w:lang w:val="en-US"/>
              </w:rPr>
              <w:t>。</w:t>
            </w:r>
          </w:p>
          <w:p w14:paraId="3E4ECBBB">
            <w:pPr>
              <w:keepNext w:val="0"/>
              <w:keepLines w:val="0"/>
              <w:pageBreakBefore w:val="0"/>
              <w:widowControl w:val="0"/>
              <w:numPr>
                <w:ilvl w:val="0"/>
                <w:numId w:val="1"/>
              </w:numPr>
              <w:kinsoku/>
              <w:wordWrap w:val="0"/>
              <w:overflowPunct/>
              <w:topLinePunct w:val="0"/>
              <w:autoSpaceDE/>
              <w:autoSpaceDN/>
              <w:bidi w:val="0"/>
              <w:adjustRightInd/>
              <w:snapToGrid/>
              <w:spacing w:line="440" w:lineRule="exact"/>
              <w:textAlignment w:val="auto"/>
              <w:rPr>
                <w:rFonts w:hint="eastAsia" w:ascii="宋体" w:hAnsi="宋体" w:eastAsia="宋体" w:cs="宋体"/>
                <w:color w:val="auto"/>
                <w:sz w:val="24"/>
                <w:u w:val="single"/>
                <w:lang w:val="en-US" w:eastAsia="zh-CN"/>
              </w:rPr>
            </w:pPr>
            <w:r>
              <w:rPr>
                <w:rFonts w:hint="eastAsia" w:ascii="宋体" w:hAnsi="宋体" w:eastAsia="宋体" w:cs="宋体"/>
                <w:color w:val="auto"/>
                <w:sz w:val="24"/>
                <w:szCs w:val="24"/>
                <w:highlight w:val="none"/>
                <w:lang w:val="en-US"/>
              </w:rPr>
              <w:t>建设内容：</w:t>
            </w:r>
            <w:r>
              <w:rPr>
                <w:rFonts w:hint="eastAsia" w:ascii="宋体" w:hAnsi="宋体" w:eastAsia="宋体" w:cs="宋体"/>
                <w:color w:val="auto"/>
                <w:sz w:val="24"/>
                <w:u w:val="single"/>
                <w:lang w:val="en-US" w:eastAsia="zh-CN"/>
              </w:rPr>
              <w:t>下感屯排水干渠渠总长 1472米，人行盖板1座，机械盖板8座，下感屯排水支渠01(断面400*400mm，L=49m)，下感屯排水支渠02(断面400*400mm，L=188m)，下感屯排水支渠03(断面400*400mm，L=53m)，下感屯排水支渠04(断面400*400mm，L41m穿管涵(8道，51米)，码头(3座)下感屯水源塘围边重力式挡土墙L=193m，抽水设备1套，输配水管网1315米等，具体以图纸及招标控制价为准。</w:t>
            </w:r>
          </w:p>
          <w:p w14:paraId="4962849A">
            <w:pPr>
              <w:keepNext w:val="0"/>
              <w:keepLines w:val="0"/>
              <w:pageBreakBefore w:val="0"/>
              <w:numPr>
                <w:ilvl w:val="0"/>
                <w:numId w:val="0"/>
              </w:numPr>
              <w:kinsoku/>
              <w:wordWrap/>
              <w:overflowPunct/>
              <w:topLinePunct w:val="0"/>
              <w:autoSpaceDE/>
              <w:autoSpaceDN/>
              <w:bidi w:val="0"/>
              <w:adjustRightInd/>
              <w:snapToGrid/>
              <w:spacing w:line="440" w:lineRule="exact"/>
              <w:textAlignment w:val="auto"/>
              <w:rPr>
                <w:rFonts w:hint="default"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lang w:val="en-US" w:eastAsia="zh-CN"/>
              </w:rPr>
              <w:t>10.</w:t>
            </w:r>
            <w:r>
              <w:rPr>
                <w:rFonts w:hint="default" w:ascii="宋体" w:hAnsi="宋体" w:eastAsia="宋体" w:cs="宋体"/>
                <w:color w:val="auto"/>
                <w:sz w:val="24"/>
                <w:szCs w:val="24"/>
                <w:highlight w:val="none"/>
                <w:lang w:val="en-US"/>
              </w:rPr>
              <w:t>工程建设地点的现场条件：</w:t>
            </w:r>
          </w:p>
          <w:p w14:paraId="282D96EE">
            <w:pPr>
              <w:keepNext w:val="0"/>
              <w:keepLines w:val="0"/>
              <w:pageBreakBefore w:val="0"/>
              <w:kinsoku/>
              <w:wordWrap/>
              <w:overflowPunct/>
              <w:topLinePunct w:val="0"/>
              <w:autoSpaceDE/>
              <w:autoSpaceDN/>
              <w:bidi w:val="0"/>
              <w:adjustRightInd/>
              <w:snapToGrid/>
              <w:spacing w:line="440" w:lineRule="exact"/>
              <w:textAlignment w:val="auto"/>
              <w:rPr>
                <w:rFonts w:hint="default" w:ascii="宋体" w:hAnsi="宋体" w:eastAsia="宋体" w:cs="宋体"/>
                <w:color w:val="auto"/>
                <w:sz w:val="24"/>
                <w:szCs w:val="24"/>
                <w:highlight w:val="none"/>
                <w:lang w:val="en-US"/>
              </w:rPr>
            </w:pPr>
            <w:r>
              <w:rPr>
                <w:rFonts w:hint="default" w:ascii="宋体" w:hAnsi="宋体" w:eastAsia="宋体" w:cs="宋体"/>
                <w:color w:val="auto"/>
                <w:sz w:val="24"/>
                <w:szCs w:val="24"/>
                <w:highlight w:val="none"/>
                <w:lang w:val="en-US"/>
              </w:rPr>
              <w:t>（1）现场自然条件：满足施工要求。</w:t>
            </w:r>
          </w:p>
          <w:p w14:paraId="247268A1">
            <w:pPr>
              <w:keepNext w:val="0"/>
              <w:keepLines w:val="0"/>
              <w:pageBreakBefore w:val="0"/>
              <w:kinsoku/>
              <w:wordWrap/>
              <w:overflowPunct/>
              <w:topLinePunct w:val="0"/>
              <w:autoSpaceDE/>
              <w:autoSpaceDN/>
              <w:bidi w:val="0"/>
              <w:adjustRightInd/>
              <w:snapToGrid/>
              <w:spacing w:line="440" w:lineRule="exact"/>
              <w:textAlignment w:val="auto"/>
              <w:rPr>
                <w:rFonts w:hint="default" w:ascii="宋体" w:hAnsi="宋体" w:eastAsia="宋体" w:cs="宋体"/>
                <w:color w:val="auto"/>
                <w:sz w:val="24"/>
                <w:szCs w:val="24"/>
                <w:highlight w:val="none"/>
                <w:lang w:val="en-US"/>
              </w:rPr>
            </w:pPr>
            <w:r>
              <w:rPr>
                <w:rFonts w:hint="default" w:ascii="宋体" w:hAnsi="宋体" w:eastAsia="宋体" w:cs="宋体"/>
                <w:color w:val="auto"/>
                <w:sz w:val="24"/>
                <w:szCs w:val="24"/>
                <w:highlight w:val="none"/>
                <w:lang w:val="en-US"/>
              </w:rPr>
              <w:t>（2）现场施工条件：符合施工要求。</w:t>
            </w:r>
          </w:p>
          <w:p w14:paraId="728D6D1F">
            <w:pPr>
              <w:spacing w:line="420" w:lineRule="exact"/>
              <w:jc w:val="center"/>
              <w:rPr>
                <w:rFonts w:hint="default" w:ascii="宋体" w:eastAsia="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11</w:t>
            </w:r>
            <w:r>
              <w:rPr>
                <w:rFonts w:hint="default" w:ascii="宋体" w:hAnsi="宋体" w:eastAsia="宋体" w:cs="宋体"/>
                <w:color w:val="auto"/>
                <w:sz w:val="24"/>
                <w:szCs w:val="24"/>
                <w:highlight w:val="none"/>
                <w:lang w:val="en-US"/>
              </w:rPr>
              <w:t>.技术规范：按照国家行业和地方现行标准、规范和规程等执行。</w:t>
            </w:r>
          </w:p>
        </w:tc>
      </w:tr>
      <w:tr w14:paraId="74DA02F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713"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4D82D153">
            <w:pPr>
              <w:widowControl/>
              <w:tabs>
                <w:tab w:val="left" w:pos="1440"/>
              </w:tabs>
              <w:spacing w:line="440" w:lineRule="exact"/>
              <w:jc w:val="center"/>
              <w:rPr>
                <w:rFonts w:hint="default" w:ascii="宋体" w:hAnsi="宋体" w:eastAsia="宋体" w:cs="宋体"/>
                <w:b/>
                <w:color w:val="auto"/>
                <w:kern w:val="0"/>
                <w:sz w:val="24"/>
                <w:szCs w:val="24"/>
                <w:highlight w:val="none"/>
              </w:rPr>
            </w:pPr>
            <w:r>
              <w:rPr>
                <w:rFonts w:hint="default" w:ascii="宋体" w:hAnsi="宋体" w:eastAsia="宋体" w:cs="宋体"/>
                <w:b/>
                <w:color w:val="auto"/>
                <w:sz w:val="24"/>
                <w:szCs w:val="24"/>
                <w:highlight w:val="none"/>
              </w:rPr>
              <w:t>最高限价合计</w:t>
            </w:r>
          </w:p>
        </w:tc>
        <w:tc>
          <w:tcPr>
            <w:tcW w:w="740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45C79A8">
            <w:pPr>
              <w:spacing w:line="440" w:lineRule="exact"/>
              <w:rPr>
                <w:rFonts w:hint="default" w:ascii="宋体" w:hAnsi="宋体" w:eastAsia="宋体" w:cs="宋体"/>
                <w:color w:val="auto"/>
                <w:sz w:val="24"/>
                <w:szCs w:val="24"/>
                <w:highlight w:val="none"/>
              </w:rPr>
            </w:pPr>
            <w:r>
              <w:rPr>
                <w:rFonts w:hint="eastAsia" w:ascii="宋体" w:hAnsi="宋体" w:eastAsia="宋体" w:cs="宋体"/>
                <w:b/>
                <w:bCs/>
                <w:color w:val="auto"/>
                <w:sz w:val="24"/>
                <w:szCs w:val="24"/>
                <w:highlight w:val="none"/>
                <w:lang w:eastAsia="zh-CN"/>
              </w:rPr>
              <w:t>2383262.11元</w:t>
            </w:r>
          </w:p>
        </w:tc>
      </w:tr>
      <w:tr w14:paraId="7B08AB1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0121" w:type="dxa"/>
            <w:gridSpan w:val="4"/>
            <w:tcBorders>
              <w:top w:val="single" w:color="auto" w:sz="4" w:space="0"/>
              <w:left w:val="single" w:color="auto" w:sz="4" w:space="0"/>
              <w:bottom w:val="single" w:color="auto" w:sz="4" w:space="0"/>
              <w:right w:val="single" w:color="auto" w:sz="4" w:space="0"/>
              <w:tl2br w:val="nil"/>
              <w:tr2bl w:val="nil"/>
            </w:tcBorders>
            <w:noWrap w:val="0"/>
            <w:vAlign w:val="center"/>
          </w:tcPr>
          <w:p w14:paraId="7680E1F4">
            <w:pPr>
              <w:pStyle w:val="7"/>
              <w:rPr>
                <w:rFonts w:hint="default" w:ascii="宋体" w:hAnsi="宋体" w:eastAsia="宋体" w:cs="宋体"/>
                <w:color w:val="auto"/>
                <w:sz w:val="21"/>
                <w:szCs w:val="21"/>
                <w:highlight w:val="none"/>
              </w:rPr>
            </w:pPr>
            <w:r>
              <w:rPr>
                <w:rFonts w:hint="default" w:ascii="宋体" w:eastAsia="宋体"/>
                <w:b/>
                <w:color w:val="auto"/>
                <w:sz w:val="24"/>
                <w:szCs w:val="24"/>
                <w:highlight w:val="none"/>
              </w:rPr>
              <w:t>本项目</w:t>
            </w:r>
            <w:r>
              <w:rPr>
                <w:rFonts w:hint="default" w:ascii="宋体" w:hAnsi="宋体" w:eastAsia="宋体"/>
                <w:b/>
                <w:color w:val="auto"/>
                <w:sz w:val="24"/>
                <w:szCs w:val="24"/>
                <w:highlight w:val="none"/>
              </w:rPr>
              <w:t>中小企业划分标准所属行业名称（行业名称及划分见本章附件2）：</w:t>
            </w:r>
            <w:r>
              <w:rPr>
                <w:rFonts w:hint="default" w:ascii="宋体" w:hAnsi="宋体" w:eastAsia="宋体" w:cs="宋体"/>
                <w:b/>
                <w:color w:val="auto"/>
                <w:sz w:val="24"/>
                <w:szCs w:val="24"/>
                <w:highlight w:val="none"/>
              </w:rPr>
              <w:t>建筑业</w:t>
            </w:r>
          </w:p>
        </w:tc>
      </w:tr>
      <w:tr w14:paraId="2D38A2B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6" w:hRule="atLeast"/>
        </w:trPr>
        <w:tc>
          <w:tcPr>
            <w:tcW w:w="43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7FEEA8E">
            <w:pPr>
              <w:keepNext w:val="0"/>
              <w:keepLines w:val="0"/>
              <w:pageBreakBefore w:val="0"/>
              <w:widowControl w:val="0"/>
              <w:kinsoku/>
              <w:overflowPunct/>
              <w:topLinePunct w:val="0"/>
              <w:autoSpaceDE/>
              <w:autoSpaceDN/>
              <w:bidi w:val="0"/>
              <w:adjustRightInd/>
              <w:snapToGrid/>
              <w:spacing w:line="440" w:lineRule="exact"/>
              <w:jc w:val="center"/>
              <w:textAlignment w:val="auto"/>
              <w:rPr>
                <w:rFonts w:hint="default" w:ascii="宋体" w:hAnsi="宋体" w:eastAsia="宋体" w:cs="宋体"/>
                <w:b/>
                <w:color w:val="auto"/>
                <w:sz w:val="24"/>
                <w:szCs w:val="24"/>
                <w:highlight w:val="none"/>
              </w:rPr>
            </w:pPr>
            <w:r>
              <w:rPr>
                <w:rFonts w:hint="default" w:ascii="宋体" w:hAnsi="宋体" w:eastAsia="宋体" w:cs="宋体"/>
                <w:b/>
                <w:color w:val="auto"/>
                <w:sz w:val="24"/>
                <w:szCs w:val="24"/>
                <w:highlight w:val="none"/>
              </w:rPr>
              <w:t>商</w:t>
            </w:r>
          </w:p>
          <w:p w14:paraId="0C501CAC">
            <w:pPr>
              <w:keepNext w:val="0"/>
              <w:keepLines w:val="0"/>
              <w:pageBreakBefore w:val="0"/>
              <w:widowControl w:val="0"/>
              <w:kinsoku/>
              <w:overflowPunct/>
              <w:topLinePunct w:val="0"/>
              <w:autoSpaceDE/>
              <w:autoSpaceDN/>
              <w:bidi w:val="0"/>
              <w:adjustRightInd/>
              <w:snapToGrid/>
              <w:spacing w:line="440" w:lineRule="exact"/>
              <w:jc w:val="center"/>
              <w:textAlignment w:val="auto"/>
              <w:rPr>
                <w:rFonts w:hint="default" w:ascii="宋体" w:hAnsi="宋体" w:eastAsia="宋体" w:cs="宋体"/>
                <w:b/>
                <w:color w:val="auto"/>
                <w:sz w:val="24"/>
                <w:szCs w:val="24"/>
                <w:highlight w:val="none"/>
              </w:rPr>
            </w:pPr>
            <w:r>
              <w:rPr>
                <w:rFonts w:hint="default" w:ascii="宋体" w:hAnsi="宋体" w:eastAsia="宋体" w:cs="宋体"/>
                <w:b/>
                <w:color w:val="auto"/>
                <w:sz w:val="24"/>
                <w:szCs w:val="24"/>
                <w:highlight w:val="none"/>
              </w:rPr>
              <w:t>务</w:t>
            </w:r>
          </w:p>
          <w:p w14:paraId="228A8FE5">
            <w:pPr>
              <w:keepNext w:val="0"/>
              <w:keepLines w:val="0"/>
              <w:pageBreakBefore w:val="0"/>
              <w:widowControl w:val="0"/>
              <w:kinsoku/>
              <w:overflowPunct/>
              <w:topLinePunct w:val="0"/>
              <w:autoSpaceDE/>
              <w:autoSpaceDN/>
              <w:bidi w:val="0"/>
              <w:adjustRightInd/>
              <w:snapToGrid/>
              <w:spacing w:line="440" w:lineRule="exact"/>
              <w:jc w:val="center"/>
              <w:textAlignment w:val="auto"/>
              <w:rPr>
                <w:rFonts w:hint="default" w:ascii="宋体" w:hAnsi="宋体" w:eastAsia="宋体" w:cs="宋体"/>
                <w:b/>
                <w:color w:val="auto"/>
                <w:sz w:val="24"/>
                <w:szCs w:val="24"/>
                <w:highlight w:val="none"/>
              </w:rPr>
            </w:pPr>
            <w:r>
              <w:rPr>
                <w:rFonts w:hint="default" w:ascii="宋体" w:hAnsi="宋体" w:eastAsia="宋体" w:cs="宋体"/>
                <w:b/>
                <w:color w:val="auto"/>
                <w:sz w:val="24"/>
                <w:szCs w:val="24"/>
                <w:highlight w:val="none"/>
              </w:rPr>
              <w:t>条</w:t>
            </w:r>
          </w:p>
          <w:p w14:paraId="601F83EE">
            <w:pPr>
              <w:keepNext w:val="0"/>
              <w:keepLines w:val="0"/>
              <w:pageBreakBefore w:val="0"/>
              <w:widowControl w:val="0"/>
              <w:kinsoku/>
              <w:overflowPunct/>
              <w:topLinePunct w:val="0"/>
              <w:autoSpaceDE/>
              <w:autoSpaceDN/>
              <w:bidi w:val="0"/>
              <w:adjustRightInd/>
              <w:snapToGrid/>
              <w:spacing w:line="440" w:lineRule="exact"/>
              <w:jc w:val="center"/>
              <w:textAlignment w:val="auto"/>
              <w:rPr>
                <w:rFonts w:hint="default" w:ascii="宋体" w:hAnsi="宋体" w:eastAsia="宋体" w:cs="宋体"/>
                <w:color w:val="auto"/>
                <w:sz w:val="21"/>
                <w:szCs w:val="21"/>
                <w:highlight w:val="none"/>
              </w:rPr>
            </w:pPr>
            <w:r>
              <w:rPr>
                <w:rFonts w:hint="default" w:ascii="宋体" w:hAnsi="宋体" w:eastAsia="宋体" w:cs="宋体"/>
                <w:b/>
                <w:color w:val="auto"/>
                <w:sz w:val="24"/>
                <w:szCs w:val="24"/>
                <w:highlight w:val="none"/>
              </w:rPr>
              <w:t>款</w:t>
            </w:r>
          </w:p>
        </w:tc>
        <w:tc>
          <w:tcPr>
            <w:tcW w:w="9688" w:type="dxa"/>
            <w:gridSpan w:val="3"/>
            <w:tcBorders>
              <w:top w:val="single" w:color="auto" w:sz="4" w:space="0"/>
              <w:left w:val="single" w:color="auto" w:sz="4" w:space="0"/>
              <w:bottom w:val="single" w:color="auto" w:sz="4" w:space="0"/>
              <w:right w:val="single" w:color="auto" w:sz="4" w:space="0"/>
              <w:tl2br w:val="nil"/>
              <w:tr2bl w:val="nil"/>
            </w:tcBorders>
            <w:noWrap w:val="0"/>
            <w:vAlign w:val="top"/>
          </w:tcPr>
          <w:p w14:paraId="53DF623A">
            <w:pPr>
              <w:keepNext w:val="0"/>
              <w:keepLines w:val="0"/>
              <w:pageBreakBefore w:val="0"/>
              <w:widowControl w:val="0"/>
              <w:kinsoku/>
              <w:overflowPunct/>
              <w:topLinePunct w:val="0"/>
              <w:autoSpaceDE/>
              <w:autoSpaceDN/>
              <w:bidi w:val="0"/>
              <w:adjustRightInd/>
              <w:snapToGrid/>
              <w:spacing w:line="440" w:lineRule="exact"/>
              <w:textAlignment w:val="auto"/>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一、</w:t>
            </w:r>
            <w:r>
              <w:rPr>
                <w:rFonts w:hint="default" w:ascii="宋体" w:hAnsi="宋体" w:eastAsia="宋体" w:cs="宋体"/>
                <w:b/>
                <w:color w:val="auto"/>
                <w:sz w:val="24"/>
                <w:szCs w:val="24"/>
                <w:highlight w:val="none"/>
              </w:rPr>
              <w:t>合同签订期：</w:t>
            </w:r>
            <w:r>
              <w:rPr>
                <w:rFonts w:hint="default" w:ascii="宋体" w:hAnsi="宋体" w:eastAsia="宋体" w:cs="宋体"/>
                <w:color w:val="auto"/>
                <w:sz w:val="24"/>
                <w:szCs w:val="24"/>
                <w:highlight w:val="none"/>
              </w:rPr>
              <w:t>自成交通知书发出之日起25日内。</w:t>
            </w:r>
          </w:p>
          <w:p w14:paraId="69425871">
            <w:pPr>
              <w:keepNext w:val="0"/>
              <w:keepLines w:val="0"/>
              <w:pageBreakBefore w:val="0"/>
              <w:widowControl w:val="0"/>
              <w:kinsoku/>
              <w:overflowPunct/>
              <w:topLinePunct w:val="0"/>
              <w:autoSpaceDE/>
              <w:autoSpaceDN/>
              <w:bidi w:val="0"/>
              <w:adjustRightInd/>
              <w:snapToGrid/>
              <w:spacing w:line="440" w:lineRule="exact"/>
              <w:textAlignment w:val="auto"/>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▲二、</w:t>
            </w:r>
            <w:r>
              <w:rPr>
                <w:rFonts w:hint="default" w:ascii="宋体" w:hAnsi="宋体" w:eastAsia="宋体" w:cs="宋体"/>
                <w:b/>
                <w:color w:val="auto"/>
                <w:sz w:val="24"/>
                <w:szCs w:val="24"/>
                <w:highlight w:val="none"/>
              </w:rPr>
              <w:t>合同履行期限（工期）</w:t>
            </w:r>
            <w:r>
              <w:rPr>
                <w:rFonts w:hint="default" w:ascii="宋体" w:hAnsi="宋体" w:eastAsia="宋体" w:cs="宋体"/>
                <w:color w:val="auto"/>
                <w:sz w:val="24"/>
                <w:szCs w:val="24"/>
                <w:highlight w:val="none"/>
              </w:rPr>
              <w:t>：自合同签订之日起</w:t>
            </w:r>
            <w:r>
              <w:rPr>
                <w:rFonts w:hint="eastAsia" w:ascii="宋体" w:hAnsi="宋体" w:eastAsia="宋体" w:cs="宋体"/>
                <w:color w:val="auto"/>
                <w:sz w:val="24"/>
                <w:szCs w:val="24"/>
                <w:highlight w:val="none"/>
                <w:lang w:val="en-US" w:eastAsia="zh-CN"/>
              </w:rPr>
              <w:t>90</w:t>
            </w:r>
            <w:r>
              <w:rPr>
                <w:rFonts w:hint="default" w:ascii="宋体" w:hAnsi="宋体" w:eastAsia="宋体" w:cs="宋体"/>
                <w:color w:val="auto"/>
                <w:sz w:val="24"/>
                <w:szCs w:val="24"/>
                <w:highlight w:val="none"/>
              </w:rPr>
              <w:t>日内。</w:t>
            </w:r>
          </w:p>
          <w:p w14:paraId="77A218F4">
            <w:pPr>
              <w:keepNext w:val="0"/>
              <w:keepLines w:val="0"/>
              <w:pageBreakBefore w:val="0"/>
              <w:widowControl w:val="0"/>
              <w:kinsoku/>
              <w:overflowPunct/>
              <w:topLinePunct w:val="0"/>
              <w:autoSpaceDE/>
              <w:autoSpaceDN/>
              <w:bidi w:val="0"/>
              <w:adjustRightInd/>
              <w:snapToGrid/>
              <w:spacing w:line="440" w:lineRule="exact"/>
              <w:textAlignment w:val="auto"/>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▲三、</w:t>
            </w:r>
            <w:r>
              <w:rPr>
                <w:rFonts w:hint="default" w:ascii="宋体" w:hAnsi="宋体" w:eastAsia="宋体" w:cs="宋体"/>
                <w:b/>
                <w:color w:val="auto"/>
                <w:sz w:val="24"/>
                <w:szCs w:val="24"/>
                <w:highlight w:val="none"/>
              </w:rPr>
              <w:t>验收标准、规范：</w:t>
            </w:r>
            <w:r>
              <w:rPr>
                <w:rFonts w:hint="default" w:ascii="宋体" w:hAnsi="宋体" w:eastAsia="宋体" w:cs="宋体"/>
                <w:color w:val="auto"/>
                <w:sz w:val="24"/>
                <w:szCs w:val="24"/>
                <w:highlight w:val="none"/>
              </w:rPr>
              <w:t>达到国家施工验收规范</w:t>
            </w:r>
            <w:r>
              <w:rPr>
                <w:rFonts w:hint="default" w:ascii="宋体" w:hAnsi="宋体" w:eastAsia="宋体" w:cs="宋体"/>
                <w:color w:val="auto"/>
                <w:sz w:val="24"/>
                <w:szCs w:val="24"/>
                <w:highlight w:val="none"/>
                <w:u w:val="single"/>
              </w:rPr>
              <w:t xml:space="preserve"> 合格 </w:t>
            </w:r>
            <w:r>
              <w:rPr>
                <w:rFonts w:hint="default" w:ascii="宋体" w:hAnsi="宋体" w:eastAsia="宋体" w:cs="宋体"/>
                <w:color w:val="auto"/>
                <w:sz w:val="24"/>
                <w:szCs w:val="24"/>
                <w:highlight w:val="none"/>
              </w:rPr>
              <w:t>标准。</w:t>
            </w:r>
          </w:p>
          <w:p w14:paraId="4DEB30C3">
            <w:pPr>
              <w:keepNext w:val="0"/>
              <w:keepLines w:val="0"/>
              <w:pageBreakBefore w:val="0"/>
              <w:widowControl w:val="0"/>
              <w:kinsoku/>
              <w:overflowPunct/>
              <w:topLinePunct w:val="0"/>
              <w:autoSpaceDE/>
              <w:autoSpaceDN/>
              <w:bidi w:val="0"/>
              <w:adjustRightInd/>
              <w:snapToGrid/>
              <w:spacing w:line="440" w:lineRule="exact"/>
              <w:textAlignment w:val="auto"/>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▲四、</w:t>
            </w:r>
            <w:r>
              <w:rPr>
                <w:rFonts w:hint="default" w:ascii="宋体" w:hAnsi="宋体" w:eastAsia="宋体" w:cs="宋体"/>
                <w:b/>
                <w:color w:val="auto"/>
                <w:sz w:val="24"/>
                <w:szCs w:val="24"/>
                <w:highlight w:val="none"/>
              </w:rPr>
              <w:t>工程质量保修期：</w:t>
            </w:r>
            <w:r>
              <w:rPr>
                <w:rFonts w:hint="default" w:ascii="宋体" w:hAnsi="宋体" w:eastAsia="宋体" w:cs="宋体"/>
                <w:color w:val="auto"/>
                <w:sz w:val="24"/>
                <w:szCs w:val="24"/>
                <w:highlight w:val="none"/>
              </w:rPr>
              <w:t>工程完工验收合格之日起1年。</w:t>
            </w:r>
          </w:p>
          <w:p w14:paraId="42CCCB05">
            <w:pPr>
              <w:keepNext w:val="0"/>
              <w:keepLines w:val="0"/>
              <w:pageBreakBefore w:val="0"/>
              <w:widowControl w:val="0"/>
              <w:kinsoku/>
              <w:overflowPunct/>
              <w:topLinePunct w:val="0"/>
              <w:autoSpaceDE/>
              <w:autoSpaceDN/>
              <w:bidi w:val="0"/>
              <w:adjustRightInd/>
              <w:snapToGrid/>
              <w:spacing w:line="440" w:lineRule="exact"/>
              <w:textAlignment w:val="auto"/>
              <w:rPr>
                <w:rFonts w:hint="default" w:ascii="宋体" w:hAnsi="宋体" w:eastAsia="宋体" w:cs="宋体"/>
                <w:b/>
                <w:color w:val="auto"/>
                <w:sz w:val="24"/>
                <w:szCs w:val="24"/>
                <w:highlight w:val="none"/>
              </w:rPr>
            </w:pPr>
            <w:r>
              <w:rPr>
                <w:rFonts w:hint="default" w:ascii="宋体" w:hAnsi="宋体" w:eastAsia="宋体" w:cs="宋体"/>
                <w:color w:val="auto"/>
                <w:sz w:val="24"/>
                <w:szCs w:val="24"/>
                <w:highlight w:val="none"/>
              </w:rPr>
              <w:t>五、</w:t>
            </w:r>
            <w:r>
              <w:rPr>
                <w:rFonts w:hint="default" w:ascii="宋体" w:hAnsi="宋体" w:eastAsia="宋体" w:cs="宋体"/>
                <w:b/>
                <w:color w:val="auto"/>
                <w:sz w:val="24"/>
                <w:szCs w:val="24"/>
                <w:highlight w:val="none"/>
              </w:rPr>
              <w:t>其他要求：</w:t>
            </w:r>
          </w:p>
          <w:p w14:paraId="47510024">
            <w:pPr>
              <w:keepNext w:val="0"/>
              <w:keepLines w:val="0"/>
              <w:pageBreakBefore w:val="0"/>
              <w:widowControl w:val="0"/>
              <w:kinsoku/>
              <w:overflowPunct/>
              <w:topLinePunct w:val="0"/>
              <w:autoSpaceDE/>
              <w:autoSpaceDN/>
              <w:bidi w:val="0"/>
              <w:adjustRightInd/>
              <w:snapToGrid/>
              <w:spacing w:line="440" w:lineRule="exact"/>
              <w:ind w:firstLine="480" w:firstLineChars="200"/>
              <w:textAlignment w:val="auto"/>
              <w:rPr>
                <w:rFonts w:hint="default" w:ascii="宋体" w:hAnsi="宋体" w:eastAsia="宋体"/>
                <w:color w:val="auto"/>
                <w:sz w:val="24"/>
                <w:szCs w:val="24"/>
                <w:highlight w:val="none"/>
              </w:rPr>
            </w:pPr>
            <w:r>
              <w:rPr>
                <w:rFonts w:hint="default" w:ascii="宋体" w:hAnsi="宋体" w:eastAsia="宋体" w:cs="宋体"/>
                <w:color w:val="auto"/>
                <w:sz w:val="24"/>
                <w:szCs w:val="24"/>
                <w:highlight w:val="none"/>
              </w:rPr>
              <w:t>1.</w:t>
            </w:r>
            <w:r>
              <w:rPr>
                <w:rFonts w:hint="default" w:ascii="宋体" w:hAnsi="宋体" w:eastAsia="宋体"/>
                <w:color w:val="auto"/>
                <w:sz w:val="24"/>
                <w:szCs w:val="24"/>
                <w:highlight w:val="none"/>
              </w:rPr>
              <w:t>本项目采用工程量清单报价方式，发包方式：固定综合单价，包工包料。工程结算价款以采购人聘任的社会中介机构审定或马山县财政投资项目评审中心核定的为准。报价必须包含以下部分，包括：</w:t>
            </w:r>
          </w:p>
          <w:p w14:paraId="281844D1">
            <w:pPr>
              <w:keepNext w:val="0"/>
              <w:keepLines w:val="0"/>
              <w:pageBreakBefore w:val="0"/>
              <w:widowControl w:val="0"/>
              <w:kinsoku/>
              <w:overflowPunct/>
              <w:topLinePunct w:val="0"/>
              <w:autoSpaceDE/>
              <w:autoSpaceDN/>
              <w:bidi w:val="0"/>
              <w:adjustRightInd/>
              <w:snapToGrid/>
              <w:spacing w:line="440" w:lineRule="exact"/>
              <w:ind w:firstLine="240" w:firstLineChars="100"/>
              <w:textAlignment w:val="auto"/>
              <w:rPr>
                <w:rFonts w:hint="default" w:ascii="宋体" w:hAnsi="宋体" w:eastAsia="宋体"/>
                <w:color w:val="auto"/>
                <w:sz w:val="24"/>
                <w:szCs w:val="24"/>
                <w:highlight w:val="none"/>
              </w:rPr>
            </w:pPr>
            <w:r>
              <w:rPr>
                <w:rFonts w:hint="default" w:ascii="宋体" w:hAnsi="宋体" w:eastAsia="宋体"/>
                <w:color w:val="auto"/>
                <w:sz w:val="24"/>
                <w:szCs w:val="24"/>
                <w:highlight w:val="none"/>
              </w:rPr>
              <w:t>（1）满足本次竞标全部采购需求工程的成本、调试、检验、技术服务、培训、税费等所有费用。</w:t>
            </w:r>
          </w:p>
          <w:p w14:paraId="23EA5D54">
            <w:pPr>
              <w:keepNext w:val="0"/>
              <w:keepLines w:val="0"/>
              <w:pageBreakBefore w:val="0"/>
              <w:widowControl w:val="0"/>
              <w:kinsoku/>
              <w:overflowPunct/>
              <w:topLinePunct w:val="0"/>
              <w:autoSpaceDE/>
              <w:autoSpaceDN/>
              <w:bidi w:val="0"/>
              <w:adjustRightInd/>
              <w:snapToGrid/>
              <w:spacing w:line="440" w:lineRule="exact"/>
              <w:ind w:firstLine="240" w:firstLineChars="100"/>
              <w:textAlignment w:val="auto"/>
              <w:rPr>
                <w:rFonts w:hint="default" w:ascii="宋体" w:hAnsi="宋体" w:eastAsia="宋体" w:cs="宋体"/>
                <w:color w:val="auto"/>
                <w:sz w:val="24"/>
                <w:szCs w:val="24"/>
                <w:highlight w:val="none"/>
              </w:rPr>
            </w:pPr>
            <w:r>
              <w:rPr>
                <w:rFonts w:hint="default" w:ascii="宋体" w:hAnsi="宋体" w:eastAsia="宋体"/>
                <w:color w:val="auto"/>
                <w:sz w:val="24"/>
                <w:szCs w:val="24"/>
                <w:highlight w:val="none"/>
              </w:rPr>
              <w:t>（2）必要的保险费和各项税金（成交供应商需为该工程购买工程一切险）。</w:t>
            </w:r>
          </w:p>
          <w:p w14:paraId="005B8F89">
            <w:pPr>
              <w:keepNext w:val="0"/>
              <w:keepLines w:val="0"/>
              <w:pageBreakBefore w:val="0"/>
              <w:widowControl w:val="0"/>
              <w:kinsoku/>
              <w:overflowPunct/>
              <w:topLinePunct w:val="0"/>
              <w:autoSpaceDE/>
              <w:autoSpaceDN/>
              <w:bidi w:val="0"/>
              <w:adjustRightInd/>
              <w:snapToGrid/>
              <w:spacing w:line="440" w:lineRule="exact"/>
              <w:ind w:firstLine="240" w:firstLineChars="100"/>
              <w:jc w:val="left"/>
              <w:textAlignment w:val="auto"/>
              <w:rPr>
                <w:rFonts w:hint="default" w:ascii="宋体" w:hAnsi="宋体" w:eastAsia="宋体" w:cs="宋体"/>
                <w:b/>
                <w:color w:val="auto"/>
                <w:sz w:val="24"/>
                <w:szCs w:val="24"/>
                <w:highlight w:val="none"/>
              </w:rPr>
            </w:pPr>
            <w:r>
              <w:rPr>
                <w:rFonts w:hint="default" w:ascii="宋体" w:hAnsi="宋体" w:eastAsia="宋体" w:cs="宋体"/>
                <w:color w:val="auto"/>
                <w:sz w:val="24"/>
                <w:szCs w:val="24"/>
                <w:highlight w:val="none"/>
              </w:rPr>
              <w:t>▲2.</w:t>
            </w:r>
            <w:r>
              <w:rPr>
                <w:rFonts w:hint="default" w:ascii="宋体" w:hAnsi="宋体" w:eastAsia="宋体" w:cs="宋体"/>
                <w:b/>
                <w:color w:val="auto"/>
                <w:sz w:val="24"/>
                <w:szCs w:val="24"/>
                <w:highlight w:val="none"/>
              </w:rPr>
              <w:t>竞标人已标价工程量清单（包含首次报价、最后报价）的子目号、子目名称及子目特征描述、计量单位、工程量须与招标工程量清单一致的，否则竞标无效；竞标报价不得高于采购最高限价。本项目采用二次报价方式，竞标人的最终报价如有变动，则必须以工程量清单报价表的格式编制提交（按磋商文件中的相关规定签字盖章），竞标人须提前做好相关准备并按时递交最终报价文件，否则报价无效。</w:t>
            </w:r>
          </w:p>
          <w:p w14:paraId="4A22028E">
            <w:pPr>
              <w:keepNext w:val="0"/>
              <w:keepLines w:val="0"/>
              <w:pageBreakBefore w:val="0"/>
              <w:widowControl w:val="0"/>
              <w:kinsoku/>
              <w:overflowPunct/>
              <w:topLinePunct w:val="0"/>
              <w:autoSpaceDE/>
              <w:autoSpaceDN/>
              <w:bidi w:val="0"/>
              <w:adjustRightInd/>
              <w:snapToGrid/>
              <w:spacing w:line="440" w:lineRule="exact"/>
              <w:ind w:firstLine="480" w:firstLineChars="200"/>
              <w:textAlignment w:val="auto"/>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▲3.付款方式：</w:t>
            </w:r>
          </w:p>
          <w:p w14:paraId="3562068C">
            <w:pPr>
              <w:keepNext w:val="0"/>
              <w:keepLines w:val="0"/>
              <w:pageBreakBefore w:val="0"/>
              <w:widowControl w:val="0"/>
              <w:kinsoku/>
              <w:overflowPunct/>
              <w:topLinePunct w:val="0"/>
              <w:autoSpaceDE/>
              <w:autoSpaceDN/>
              <w:bidi w:val="0"/>
              <w:adjustRightInd/>
              <w:snapToGrid/>
              <w:spacing w:line="440" w:lineRule="exact"/>
              <w:ind w:firstLine="480" w:firstLineChars="200"/>
              <w:textAlignment w:val="auto"/>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3.1预付款：签订合同并进场施工后支付30%预付款（不超合同价），预付款为砂、碎石、水泥等主要材料、设备单据所列费用。预付款抵扣方式：当工程完成投资达到合同价40%后，对预付款实行一次性扣回。</w:t>
            </w:r>
          </w:p>
          <w:p w14:paraId="2E4ABF4A">
            <w:pPr>
              <w:keepNext w:val="0"/>
              <w:keepLines w:val="0"/>
              <w:pageBreakBefore w:val="0"/>
              <w:widowControl w:val="0"/>
              <w:kinsoku/>
              <w:overflowPunct/>
              <w:topLinePunct w:val="0"/>
              <w:autoSpaceDE/>
              <w:autoSpaceDN/>
              <w:bidi w:val="0"/>
              <w:adjustRightInd/>
              <w:snapToGrid/>
              <w:spacing w:line="440" w:lineRule="exact"/>
              <w:ind w:firstLine="480" w:firstLineChars="200"/>
              <w:textAlignment w:val="auto"/>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3.2进度款：根据确定的工程计量结果，工程进度款不低于工程价款的60%，不高于工程价款的</w:t>
            </w:r>
            <w:r>
              <w:rPr>
                <w:rFonts w:hint="eastAsia" w:ascii="宋体" w:hAnsi="宋体" w:eastAsia="宋体" w:cs="宋体"/>
                <w:color w:val="auto"/>
                <w:sz w:val="24"/>
                <w:szCs w:val="24"/>
                <w:highlight w:val="none"/>
                <w:lang w:val="en-US" w:eastAsia="zh-CN"/>
              </w:rPr>
              <w:t>8</w:t>
            </w:r>
            <w:r>
              <w:rPr>
                <w:rFonts w:hint="default" w:ascii="宋体" w:hAnsi="宋体" w:eastAsia="宋体" w:cs="宋体"/>
                <w:color w:val="auto"/>
                <w:sz w:val="24"/>
                <w:szCs w:val="24"/>
                <w:highlight w:val="none"/>
              </w:rPr>
              <w:t>0%（不超合同价）。</w:t>
            </w:r>
          </w:p>
          <w:p w14:paraId="207267CD">
            <w:pPr>
              <w:keepNext w:val="0"/>
              <w:keepLines w:val="0"/>
              <w:pageBreakBefore w:val="0"/>
              <w:widowControl w:val="0"/>
              <w:kinsoku/>
              <w:overflowPunct/>
              <w:topLinePunct w:val="0"/>
              <w:autoSpaceDE/>
              <w:autoSpaceDN/>
              <w:bidi w:val="0"/>
              <w:adjustRightInd/>
              <w:snapToGrid/>
              <w:spacing w:line="440" w:lineRule="exact"/>
              <w:ind w:firstLine="480" w:firstLineChars="200"/>
              <w:textAlignment w:val="auto"/>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3.3尾  款：工程完工验收达到质量要求并经有关部门审定结算后，工程款支付至结算总价的97%（含已支付工程款）。若承包人将质量保修金（审计结算价的3%）存入发包人指定账户，发包人则按审计结算价全额支付工程款。</w:t>
            </w:r>
          </w:p>
          <w:p w14:paraId="37E861E9">
            <w:pPr>
              <w:keepNext w:val="0"/>
              <w:keepLines w:val="0"/>
              <w:pageBreakBefore w:val="0"/>
              <w:widowControl w:val="0"/>
              <w:kinsoku/>
              <w:overflowPunct/>
              <w:topLinePunct w:val="0"/>
              <w:autoSpaceDE/>
              <w:autoSpaceDN/>
              <w:bidi w:val="0"/>
              <w:adjustRightInd/>
              <w:snapToGrid/>
              <w:spacing w:line="440" w:lineRule="exact"/>
              <w:ind w:firstLine="480" w:firstLineChars="200"/>
              <w:textAlignment w:val="auto"/>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3.4质保金：工程质量保修期满，发包人复验无质量问题后签发工程缺陷责任期终止证书并返还缴存的质保金。</w:t>
            </w:r>
          </w:p>
          <w:p w14:paraId="4A841255">
            <w:pPr>
              <w:keepNext w:val="0"/>
              <w:keepLines w:val="0"/>
              <w:pageBreakBefore w:val="0"/>
              <w:widowControl w:val="0"/>
              <w:kinsoku/>
              <w:overflowPunct/>
              <w:topLinePunct w:val="0"/>
              <w:autoSpaceDE/>
              <w:autoSpaceDN/>
              <w:bidi w:val="0"/>
              <w:adjustRightInd/>
              <w:snapToGrid/>
              <w:spacing w:line="440" w:lineRule="exact"/>
              <w:ind w:firstLine="449"/>
              <w:textAlignment w:val="auto"/>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3.5双方约定合同外工程款的支付方式和时间：施工过程中产生的合同外的工程量，必须经过发包人及监理方签字确认后方可生效。未经以上程序的，承包人均无权主张。</w:t>
            </w:r>
          </w:p>
          <w:p w14:paraId="23686F6D">
            <w:pPr>
              <w:keepNext w:val="0"/>
              <w:keepLines w:val="0"/>
              <w:pageBreakBefore w:val="0"/>
              <w:widowControl w:val="0"/>
              <w:numPr>
                <w:ilvl w:val="0"/>
                <w:numId w:val="0"/>
              </w:numPr>
              <w:kinsoku/>
              <w:overflowPunct/>
              <w:topLinePunct w:val="0"/>
              <w:autoSpaceDE/>
              <w:autoSpaceDN/>
              <w:bidi w:val="0"/>
              <w:adjustRightInd/>
              <w:snapToGrid/>
              <w:spacing w:line="440" w:lineRule="exact"/>
              <w:ind w:firstLine="480" w:firstLineChars="200"/>
              <w:jc w:val="left"/>
              <w:textAlignment w:val="auto"/>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4.在未交付使用前，成交供应商应采取一切合理的预防措施，防止人员伤亡，财产损失，费用由成交供应商自行承担。</w:t>
            </w:r>
          </w:p>
          <w:p w14:paraId="6DDE6A88">
            <w:pPr>
              <w:keepNext w:val="0"/>
              <w:keepLines w:val="0"/>
              <w:pageBreakBefore w:val="0"/>
              <w:widowControl w:val="0"/>
              <w:numPr>
                <w:ilvl w:val="0"/>
                <w:numId w:val="0"/>
              </w:numPr>
              <w:kinsoku/>
              <w:overflowPunct/>
              <w:topLinePunct w:val="0"/>
              <w:autoSpaceDE/>
              <w:autoSpaceDN/>
              <w:bidi w:val="0"/>
              <w:adjustRightInd/>
              <w:snapToGrid/>
              <w:spacing w:line="440" w:lineRule="exact"/>
              <w:ind w:firstLine="241" w:firstLineChars="100"/>
              <w:jc w:val="left"/>
              <w:textAlignment w:val="auto"/>
              <w:rPr>
                <w:rFonts w:hint="default" w:ascii="宋体" w:hAnsi="宋体" w:eastAsia="宋体"/>
                <w:b/>
                <w:bCs/>
                <w:color w:val="auto"/>
                <w:sz w:val="24"/>
                <w:szCs w:val="24"/>
                <w:highlight w:val="none"/>
              </w:rPr>
            </w:pPr>
            <w:r>
              <w:rPr>
                <w:rFonts w:hint="default" w:ascii="宋体" w:hAnsi="宋体" w:eastAsia="宋体"/>
                <w:b/>
                <w:bCs/>
                <w:color w:val="auto"/>
                <w:kern w:val="0"/>
                <w:sz w:val="24"/>
                <w:szCs w:val="24"/>
                <w:highlight w:val="none"/>
              </w:rPr>
              <w:t>▲5.</w:t>
            </w:r>
            <w:r>
              <w:rPr>
                <w:rFonts w:hint="default" w:ascii="宋体" w:hAnsi="宋体" w:eastAsia="宋体" w:cs="宋体"/>
                <w:b/>
                <w:bCs/>
                <w:color w:val="auto"/>
                <w:sz w:val="24"/>
                <w:szCs w:val="24"/>
                <w:highlight w:val="none"/>
              </w:rPr>
              <w:t>拟投入本项目人员要求（以下人员情况材料在技术文件中按要求提供）：</w:t>
            </w:r>
          </w:p>
          <w:p w14:paraId="623EFA6E">
            <w:pPr>
              <w:keepNext w:val="0"/>
              <w:keepLines w:val="0"/>
              <w:pageBreakBefore w:val="0"/>
              <w:widowControl w:val="0"/>
              <w:numPr>
                <w:ilvl w:val="0"/>
                <w:numId w:val="0"/>
              </w:numPr>
              <w:kinsoku/>
              <w:overflowPunct/>
              <w:topLinePunct w:val="0"/>
              <w:autoSpaceDE/>
              <w:autoSpaceDN/>
              <w:bidi w:val="0"/>
              <w:adjustRightInd/>
              <w:snapToGrid/>
              <w:spacing w:line="440" w:lineRule="exact"/>
              <w:ind w:firstLine="241" w:firstLineChars="100"/>
              <w:jc w:val="left"/>
              <w:textAlignment w:val="auto"/>
              <w:rPr>
                <w:rFonts w:hint="default" w:ascii="宋体" w:hAnsi="宋体" w:eastAsia="宋体" w:cs="宋体"/>
                <w:b/>
                <w:bCs/>
                <w:color w:val="auto"/>
                <w:sz w:val="24"/>
                <w:szCs w:val="24"/>
                <w:highlight w:val="none"/>
              </w:rPr>
            </w:pPr>
            <w:r>
              <w:rPr>
                <w:rFonts w:hint="default" w:ascii="宋体" w:hAnsi="宋体" w:eastAsia="宋体" w:cs="宋体"/>
                <w:b/>
                <w:bCs/>
                <w:color w:val="auto"/>
                <w:sz w:val="24"/>
                <w:szCs w:val="24"/>
                <w:highlight w:val="none"/>
              </w:rPr>
              <w:t>（1）项目经理要求：持有</w:t>
            </w:r>
            <w:bookmarkStart w:id="32" w:name="EB4751fc3d1ee54027b9f8c3685a99a3ad"/>
            <w:r>
              <w:rPr>
                <w:rFonts w:hint="default" w:ascii="宋体" w:hAnsi="宋体" w:eastAsia="宋体" w:cs="宋体"/>
                <w:b/>
                <w:bCs/>
                <w:color w:val="auto"/>
                <w:sz w:val="24"/>
                <w:szCs w:val="24"/>
                <w:highlight w:val="none"/>
              </w:rPr>
              <w:t>贰</w:t>
            </w:r>
            <w:bookmarkEnd w:id="32"/>
            <w:r>
              <w:rPr>
                <w:rFonts w:hint="default" w:ascii="宋体" w:hAnsi="宋体" w:eastAsia="宋体" w:cs="宋体"/>
                <w:b/>
                <w:bCs/>
                <w:color w:val="auto"/>
                <w:sz w:val="24"/>
                <w:szCs w:val="24"/>
                <w:highlight w:val="none"/>
              </w:rPr>
              <w:t>级或</w:t>
            </w:r>
            <w:bookmarkStart w:id="33" w:name="EBd63a5e7000434829b2eab97cc3ad76a0"/>
            <w:r>
              <w:rPr>
                <w:rFonts w:hint="default" w:ascii="宋体" w:hAnsi="宋体" w:eastAsia="宋体" w:cs="宋体"/>
                <w:b/>
                <w:bCs/>
                <w:color w:val="auto"/>
                <w:sz w:val="24"/>
                <w:szCs w:val="24"/>
                <w:highlight w:val="none"/>
              </w:rPr>
              <w:t>贰</w:t>
            </w:r>
            <w:bookmarkEnd w:id="33"/>
            <w:r>
              <w:rPr>
                <w:rFonts w:hint="default" w:ascii="宋体" w:hAnsi="宋体" w:eastAsia="宋体" w:cs="宋体"/>
                <w:b/>
                <w:bCs/>
                <w:color w:val="auto"/>
                <w:sz w:val="24"/>
                <w:szCs w:val="24"/>
                <w:highlight w:val="none"/>
              </w:rPr>
              <w:t>级以上建造师注册证书，专业是水利水电工程类专业（以建造师注册证书中“专业类别”栏所填写的专业为准）；持有省级或省级以上水行政主管部门或其授权部门（机构）颁发的B类安全生产考核合格证书。</w:t>
            </w:r>
          </w:p>
          <w:p w14:paraId="400FF0F5">
            <w:pPr>
              <w:keepNext w:val="0"/>
              <w:keepLines w:val="0"/>
              <w:pageBreakBefore w:val="0"/>
              <w:widowControl w:val="0"/>
              <w:numPr>
                <w:ilvl w:val="0"/>
                <w:numId w:val="0"/>
              </w:numPr>
              <w:kinsoku/>
              <w:overflowPunct/>
              <w:topLinePunct w:val="0"/>
              <w:autoSpaceDE/>
              <w:autoSpaceDN/>
              <w:bidi w:val="0"/>
              <w:adjustRightInd/>
              <w:snapToGrid/>
              <w:spacing w:line="440" w:lineRule="exact"/>
              <w:ind w:firstLine="241" w:firstLineChars="100"/>
              <w:jc w:val="left"/>
              <w:textAlignment w:val="auto"/>
              <w:rPr>
                <w:rFonts w:hint="default" w:ascii="宋体" w:hAnsi="宋体" w:eastAsia="宋体" w:cs="宋体"/>
                <w:b/>
                <w:bCs/>
                <w:color w:val="auto"/>
                <w:sz w:val="24"/>
                <w:szCs w:val="24"/>
                <w:highlight w:val="none"/>
              </w:rPr>
            </w:pPr>
            <w:r>
              <w:rPr>
                <w:rFonts w:hint="default" w:ascii="宋体" w:hAnsi="宋体" w:eastAsia="宋体" w:cs="宋体"/>
                <w:b/>
                <w:bCs/>
                <w:color w:val="auto"/>
                <w:sz w:val="24"/>
                <w:szCs w:val="24"/>
                <w:highlight w:val="none"/>
              </w:rPr>
              <w:t>（2）项目技术负责人：持有</w:t>
            </w:r>
            <w:bookmarkStart w:id="34" w:name="EB7818c1542f204d1887d45e8df4d88056"/>
            <w:r>
              <w:rPr>
                <w:rFonts w:hint="default" w:ascii="宋体" w:hAnsi="宋体" w:eastAsia="宋体" w:cs="宋体"/>
                <w:b/>
                <w:bCs/>
                <w:color w:val="auto"/>
                <w:sz w:val="24"/>
                <w:szCs w:val="24"/>
                <w:highlight w:val="none"/>
              </w:rPr>
              <w:t>中级或中级</w:t>
            </w:r>
            <w:bookmarkEnd w:id="34"/>
            <w:r>
              <w:rPr>
                <w:rFonts w:hint="default" w:ascii="宋体" w:hAnsi="宋体" w:eastAsia="宋体" w:cs="宋体"/>
                <w:b/>
                <w:bCs/>
                <w:color w:val="auto"/>
                <w:sz w:val="24"/>
                <w:szCs w:val="24"/>
                <w:highlight w:val="none"/>
              </w:rPr>
              <w:t>以上技术职称。</w:t>
            </w:r>
          </w:p>
          <w:p w14:paraId="281BCD6E">
            <w:pPr>
              <w:keepNext w:val="0"/>
              <w:keepLines w:val="0"/>
              <w:pageBreakBefore w:val="0"/>
              <w:widowControl w:val="0"/>
              <w:numPr>
                <w:ilvl w:val="0"/>
                <w:numId w:val="0"/>
              </w:numPr>
              <w:kinsoku/>
              <w:overflowPunct/>
              <w:topLinePunct w:val="0"/>
              <w:autoSpaceDE/>
              <w:autoSpaceDN/>
              <w:bidi w:val="0"/>
              <w:adjustRightInd/>
              <w:snapToGrid/>
              <w:spacing w:line="440" w:lineRule="exact"/>
              <w:ind w:firstLine="241" w:firstLineChars="100"/>
              <w:textAlignment w:val="auto"/>
              <w:rPr>
                <w:rFonts w:hint="default" w:ascii="宋体" w:hAnsi="宋体" w:eastAsia="宋体" w:cs="宋体"/>
                <w:color w:val="auto"/>
                <w:sz w:val="21"/>
                <w:szCs w:val="21"/>
                <w:highlight w:val="none"/>
              </w:rPr>
            </w:pPr>
            <w:r>
              <w:rPr>
                <w:rFonts w:hint="default" w:ascii="宋体" w:hAnsi="宋体" w:eastAsia="宋体" w:cs="宋体"/>
                <w:b/>
                <w:bCs/>
                <w:color w:val="auto"/>
                <w:sz w:val="24"/>
                <w:szCs w:val="24"/>
                <w:highlight w:val="none"/>
              </w:rPr>
              <w:t>（3）专职安全生产管理人员：持有省级或省级以上水行政主管部门或其授权部门（机构）颁发的c 类安全生产考核合格证书。</w:t>
            </w:r>
          </w:p>
        </w:tc>
      </w:tr>
      <w:tr w14:paraId="7ABF392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6" w:hRule="atLeast"/>
        </w:trPr>
        <w:tc>
          <w:tcPr>
            <w:tcW w:w="10121" w:type="dxa"/>
            <w:gridSpan w:val="4"/>
            <w:tcBorders>
              <w:top w:val="single" w:color="auto" w:sz="4" w:space="0"/>
              <w:left w:val="single" w:color="auto" w:sz="4" w:space="0"/>
              <w:bottom w:val="single" w:color="auto" w:sz="4" w:space="0"/>
              <w:right w:val="single" w:color="auto" w:sz="4" w:space="0"/>
              <w:tl2br w:val="nil"/>
              <w:tr2bl w:val="nil"/>
            </w:tcBorders>
            <w:noWrap w:val="0"/>
            <w:vAlign w:val="center"/>
          </w:tcPr>
          <w:p w14:paraId="34204D2D">
            <w:pPr>
              <w:keepNext w:val="0"/>
              <w:keepLines w:val="0"/>
              <w:pageBreakBefore w:val="0"/>
              <w:widowControl w:val="0"/>
              <w:numPr>
                <w:ilvl w:val="0"/>
                <w:numId w:val="0"/>
              </w:numPr>
              <w:kinsoku/>
              <w:overflowPunct/>
              <w:topLinePunct w:val="0"/>
              <w:autoSpaceDE/>
              <w:autoSpaceDN/>
              <w:bidi w:val="0"/>
              <w:adjustRightInd/>
              <w:snapToGrid/>
              <w:spacing w:line="440" w:lineRule="exact"/>
              <w:ind w:firstLine="482" w:firstLineChars="200"/>
              <w:jc w:val="left"/>
              <w:textAlignment w:val="auto"/>
              <w:rPr>
                <w:rFonts w:hint="default" w:ascii="宋体" w:hAnsi="宋体" w:eastAsia="宋体" w:cs="宋体"/>
                <w:color w:val="auto"/>
                <w:sz w:val="24"/>
                <w:szCs w:val="24"/>
                <w:highlight w:val="none"/>
              </w:rPr>
            </w:pPr>
            <w:r>
              <w:rPr>
                <w:rFonts w:hint="default" w:ascii="宋体" w:hAnsi="宋体" w:eastAsia="宋体" w:cs="宋体"/>
                <w:b/>
                <w:color w:val="auto"/>
                <w:sz w:val="24"/>
                <w:szCs w:val="24"/>
                <w:highlight w:val="none"/>
              </w:rPr>
              <w:t>其他要求</w:t>
            </w:r>
          </w:p>
        </w:tc>
      </w:tr>
      <w:tr w14:paraId="63C937B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6" w:hRule="atLeast"/>
        </w:trPr>
        <w:tc>
          <w:tcPr>
            <w:tcW w:w="10121" w:type="dxa"/>
            <w:gridSpan w:val="4"/>
            <w:tcBorders>
              <w:top w:val="single" w:color="auto" w:sz="4" w:space="0"/>
              <w:left w:val="single" w:color="auto" w:sz="4" w:space="0"/>
              <w:bottom w:val="single" w:color="auto" w:sz="4" w:space="0"/>
              <w:right w:val="single" w:color="auto" w:sz="4" w:space="0"/>
              <w:tl2br w:val="nil"/>
              <w:tr2bl w:val="nil"/>
            </w:tcBorders>
            <w:noWrap w:val="0"/>
            <w:vAlign w:val="center"/>
          </w:tcPr>
          <w:p w14:paraId="338AFF39">
            <w:pPr>
              <w:keepNext w:val="0"/>
              <w:keepLines w:val="0"/>
              <w:pageBreakBefore w:val="0"/>
              <w:widowControl w:val="0"/>
              <w:numPr>
                <w:ilvl w:val="0"/>
                <w:numId w:val="0"/>
              </w:numPr>
              <w:kinsoku/>
              <w:overflowPunct/>
              <w:topLinePunct w:val="0"/>
              <w:autoSpaceDE/>
              <w:autoSpaceDN/>
              <w:bidi w:val="0"/>
              <w:adjustRightInd/>
              <w:snapToGrid/>
              <w:spacing w:line="440" w:lineRule="exact"/>
              <w:ind w:firstLine="480" w:firstLineChars="200"/>
              <w:jc w:val="left"/>
              <w:textAlignment w:val="auto"/>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一、其他：供应商可自行到项目所在地进行现场勘察，否则由于对现场情况不了解或了解不透彻导致响应失误的后果由磋商供应商自行承担。</w:t>
            </w:r>
          </w:p>
          <w:p w14:paraId="329E3E7A">
            <w:pPr>
              <w:keepNext w:val="0"/>
              <w:keepLines w:val="0"/>
              <w:pageBreakBefore w:val="0"/>
              <w:widowControl w:val="0"/>
              <w:kinsoku/>
              <w:overflowPunct/>
              <w:topLinePunct w:val="0"/>
              <w:autoSpaceDE/>
              <w:autoSpaceDN/>
              <w:bidi w:val="0"/>
              <w:adjustRightInd/>
              <w:snapToGrid/>
              <w:spacing w:line="440" w:lineRule="exact"/>
              <w:ind w:firstLine="482" w:firstLineChars="200"/>
              <w:jc w:val="left"/>
              <w:textAlignment w:val="auto"/>
              <w:rPr>
                <w:rFonts w:hint="default" w:ascii="宋体" w:hAnsi="宋体" w:eastAsia="宋体" w:cs="宋体"/>
                <w:b/>
                <w:color w:val="auto"/>
                <w:sz w:val="24"/>
                <w:szCs w:val="24"/>
                <w:highlight w:val="none"/>
              </w:rPr>
            </w:pPr>
            <w:r>
              <w:rPr>
                <w:rFonts w:hint="default" w:ascii="宋体" w:hAnsi="宋体" w:eastAsia="宋体" w:cs="宋体"/>
                <w:b/>
                <w:color w:val="auto"/>
                <w:sz w:val="24"/>
                <w:szCs w:val="24"/>
                <w:highlight w:val="none"/>
              </w:rPr>
              <w:t>二、与本工程有关的图纸、工程量清单及其获取方式</w:t>
            </w:r>
          </w:p>
          <w:p w14:paraId="2D54B5AC">
            <w:pPr>
              <w:keepNext w:val="0"/>
              <w:keepLines w:val="0"/>
              <w:pageBreakBefore w:val="0"/>
              <w:widowControl w:val="0"/>
              <w:kinsoku/>
              <w:overflowPunct/>
              <w:topLinePunct w:val="0"/>
              <w:autoSpaceDE/>
              <w:autoSpaceDN/>
              <w:bidi w:val="0"/>
              <w:adjustRightInd/>
              <w:snapToGrid/>
              <w:spacing w:line="440" w:lineRule="exact"/>
              <w:ind w:firstLine="482" w:firstLineChars="200"/>
              <w:jc w:val="left"/>
              <w:textAlignment w:val="auto"/>
              <w:rPr>
                <w:rFonts w:hint="default" w:ascii="宋体" w:hAnsi="宋体" w:eastAsia="宋体" w:cs="宋体"/>
                <w:b/>
                <w:color w:val="auto"/>
                <w:sz w:val="24"/>
                <w:szCs w:val="24"/>
                <w:highlight w:val="none"/>
              </w:rPr>
            </w:pPr>
            <w:r>
              <w:rPr>
                <w:rFonts w:hint="default" w:ascii="宋体" w:hAnsi="宋体" w:eastAsia="宋体" w:cs="宋体"/>
                <w:b/>
                <w:color w:val="auto"/>
                <w:sz w:val="24"/>
                <w:szCs w:val="24"/>
                <w:highlight w:val="none"/>
              </w:rPr>
              <w:t>附件资料名称：1、图纸</w:t>
            </w:r>
            <w:r>
              <w:rPr>
                <w:rFonts w:hint="eastAsia" w:ascii="宋体" w:hAnsi="宋体" w:eastAsia="宋体" w:cs="宋体"/>
                <w:b/>
                <w:color w:val="auto"/>
                <w:sz w:val="24"/>
                <w:szCs w:val="24"/>
                <w:highlight w:val="none"/>
                <w:lang w:eastAsia="zh-CN"/>
              </w:rPr>
              <w:t>、</w:t>
            </w:r>
            <w:r>
              <w:rPr>
                <w:rFonts w:hint="default" w:ascii="宋体" w:hAnsi="宋体" w:eastAsia="宋体" w:cs="宋体"/>
                <w:b/>
                <w:color w:val="auto"/>
                <w:sz w:val="24"/>
                <w:szCs w:val="24"/>
                <w:highlight w:val="none"/>
              </w:rPr>
              <w:t>2、</w:t>
            </w:r>
            <w:r>
              <w:rPr>
                <w:rFonts w:hint="eastAsia" w:ascii="宋体" w:hAnsi="宋体" w:eastAsia="宋体" w:cs="宋体"/>
                <w:b/>
                <w:color w:val="auto"/>
                <w:sz w:val="24"/>
                <w:szCs w:val="24"/>
                <w:highlight w:val="none"/>
                <w:lang w:val="en-US" w:eastAsia="zh-CN"/>
              </w:rPr>
              <w:t>招标控制价</w:t>
            </w:r>
            <w:r>
              <w:rPr>
                <w:rFonts w:hint="default" w:ascii="宋体" w:hAnsi="宋体" w:eastAsia="宋体" w:cs="宋体"/>
                <w:b/>
                <w:color w:val="auto"/>
                <w:sz w:val="24"/>
                <w:szCs w:val="24"/>
                <w:highlight w:val="none"/>
              </w:rPr>
              <w:t>。</w:t>
            </w:r>
          </w:p>
          <w:p w14:paraId="42910CD5">
            <w:pPr>
              <w:keepNext w:val="0"/>
              <w:keepLines w:val="0"/>
              <w:pageBreakBefore w:val="0"/>
              <w:widowControl w:val="0"/>
              <w:numPr>
                <w:ilvl w:val="0"/>
                <w:numId w:val="0"/>
              </w:numPr>
              <w:kinsoku/>
              <w:wordWrap w:val="0"/>
              <w:overflowPunct/>
              <w:topLinePunct w:val="0"/>
              <w:autoSpaceDE/>
              <w:autoSpaceDN/>
              <w:bidi w:val="0"/>
              <w:adjustRightInd/>
              <w:snapToGrid/>
              <w:spacing w:line="440" w:lineRule="exact"/>
              <w:ind w:firstLine="482" w:firstLineChars="200"/>
              <w:textAlignment w:val="auto"/>
              <w:rPr>
                <w:rFonts w:hint="default" w:ascii="宋体" w:hAnsi="宋体" w:eastAsia="宋体" w:cs="宋体"/>
                <w:color w:val="auto"/>
                <w:sz w:val="24"/>
                <w:szCs w:val="24"/>
                <w:highlight w:val="none"/>
              </w:rPr>
            </w:pPr>
            <w:r>
              <w:rPr>
                <w:rFonts w:hint="default" w:ascii="宋体" w:hAnsi="宋体" w:eastAsia="宋体" w:cs="宋体"/>
                <w:b/>
                <w:color w:val="auto"/>
                <w:sz w:val="24"/>
                <w:szCs w:val="24"/>
                <w:highlight w:val="none"/>
              </w:rPr>
              <w:t>获取方式：网上下载，供应商可自行在广西政府采购云平台（https://www.gcy.zfcg.gxzf.gov.cn/）下载相关资料，方式同采购文件获取方式。</w:t>
            </w:r>
          </w:p>
        </w:tc>
      </w:tr>
    </w:tbl>
    <w:p w14:paraId="4A02BD91">
      <w:pPr>
        <w:keepNext w:val="0"/>
        <w:keepLines w:val="0"/>
        <w:pageBreakBefore/>
        <w:widowControl w:val="0"/>
        <w:kinsoku/>
        <w:wordWrap/>
        <w:overflowPunct/>
        <w:topLinePunct w:val="0"/>
        <w:autoSpaceDE/>
        <w:autoSpaceDN/>
        <w:bidi w:val="0"/>
        <w:adjustRightInd/>
        <w:snapToGrid/>
        <w:spacing w:line="428" w:lineRule="exact"/>
        <w:textAlignment w:val="auto"/>
        <w:rPr>
          <w:rFonts w:hint="default" w:ascii="宋体" w:hAnsi="宋体" w:eastAsia="宋体" w:cs="宋体"/>
          <w:color w:val="auto"/>
          <w:sz w:val="32"/>
          <w:szCs w:val="32"/>
          <w:highlight w:val="none"/>
        </w:rPr>
      </w:pPr>
      <w:r>
        <w:rPr>
          <w:rFonts w:hint="default" w:ascii="宋体" w:hAnsi="宋体" w:eastAsia="宋体" w:cs="宋体"/>
          <w:b/>
          <w:color w:val="auto"/>
          <w:kern w:val="0"/>
          <w:sz w:val="24"/>
          <w:szCs w:val="24"/>
          <w:highlight w:val="none"/>
        </w:rPr>
        <w:t>附件</w:t>
      </w:r>
      <w:r>
        <w:rPr>
          <w:rFonts w:hint="eastAsia" w:ascii="宋体" w:hAnsi="宋体" w:eastAsia="宋体" w:cs="宋体"/>
          <w:b/>
          <w:color w:val="auto"/>
          <w:kern w:val="0"/>
          <w:sz w:val="24"/>
          <w:szCs w:val="24"/>
          <w:highlight w:val="none"/>
          <w:lang w:val="en-US" w:eastAsia="zh-CN"/>
        </w:rPr>
        <w:t>1</w:t>
      </w:r>
      <w:r>
        <w:rPr>
          <w:rFonts w:hint="default" w:ascii="宋体" w:hAnsi="宋体" w:eastAsia="宋体" w:cs="宋体"/>
          <w:b/>
          <w:color w:val="auto"/>
          <w:kern w:val="0"/>
          <w:sz w:val="24"/>
          <w:szCs w:val="24"/>
          <w:highlight w:val="none"/>
        </w:rPr>
        <w:t>：</w:t>
      </w:r>
    </w:p>
    <w:p w14:paraId="5C3E1734">
      <w:pPr>
        <w:spacing w:line="428" w:lineRule="exact"/>
        <w:jc w:val="center"/>
        <w:rPr>
          <w:rFonts w:hint="default" w:ascii="宋体" w:hAnsi="宋体" w:eastAsia="宋体" w:cs="宋体"/>
          <w:b/>
          <w:color w:val="auto"/>
          <w:sz w:val="21"/>
          <w:szCs w:val="21"/>
          <w:highlight w:val="none"/>
        </w:rPr>
      </w:pPr>
      <w:r>
        <w:rPr>
          <w:rFonts w:hint="default" w:ascii="宋体" w:hAnsi="宋体" w:eastAsia="宋体" w:cs="宋体"/>
          <w:b/>
          <w:color w:val="auto"/>
          <w:sz w:val="32"/>
          <w:szCs w:val="32"/>
          <w:highlight w:val="none"/>
        </w:rPr>
        <w:t>中小微企业划型标准</w:t>
      </w:r>
    </w:p>
    <w:tbl>
      <w:tblPr>
        <w:tblStyle w:val="18"/>
        <w:tblW w:w="9500" w:type="dxa"/>
        <w:tblInd w:w="25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5"/>
        <w:gridCol w:w="1680"/>
        <w:gridCol w:w="1156"/>
        <w:gridCol w:w="1843"/>
        <w:gridCol w:w="1702"/>
        <w:gridCol w:w="1134"/>
      </w:tblGrid>
      <w:tr w14:paraId="5099E4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98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9E2A751">
            <w:pPr>
              <w:widowControl/>
              <w:jc w:val="left"/>
              <w:rPr>
                <w:rFonts w:hint="default" w:ascii="宋体" w:hAnsi="宋体" w:eastAsia="宋体" w:cs="宋体"/>
                <w:b/>
                <w:color w:val="auto"/>
                <w:kern w:val="0"/>
                <w:sz w:val="21"/>
                <w:szCs w:val="21"/>
                <w:highlight w:val="none"/>
              </w:rPr>
            </w:pPr>
            <w:r>
              <w:rPr>
                <w:rFonts w:hint="default" w:ascii="宋体" w:hAnsi="宋体" w:eastAsia="宋体" w:cs="宋体"/>
                <w:b/>
                <w:color w:val="auto"/>
                <w:kern w:val="0"/>
                <w:sz w:val="21"/>
                <w:szCs w:val="21"/>
                <w:highlight w:val="none"/>
              </w:rPr>
              <w:t>行业名称</w:t>
            </w:r>
          </w:p>
        </w:tc>
        <w:tc>
          <w:tcPr>
            <w:tcW w:w="1680" w:type="dxa"/>
            <w:tcBorders>
              <w:top w:val="single" w:color="auto" w:sz="4" w:space="0"/>
              <w:left w:val="nil"/>
              <w:bottom w:val="single" w:color="auto" w:sz="4" w:space="0"/>
              <w:right w:val="single" w:color="auto" w:sz="4" w:space="0"/>
              <w:tl2br w:val="nil"/>
              <w:tr2bl w:val="nil"/>
            </w:tcBorders>
            <w:noWrap w:val="0"/>
            <w:vAlign w:val="center"/>
          </w:tcPr>
          <w:p w14:paraId="2B867F22">
            <w:pPr>
              <w:widowControl/>
              <w:jc w:val="left"/>
              <w:rPr>
                <w:rFonts w:hint="default" w:ascii="宋体" w:hAnsi="宋体" w:eastAsia="宋体" w:cs="宋体"/>
                <w:b/>
                <w:color w:val="auto"/>
                <w:kern w:val="0"/>
                <w:sz w:val="21"/>
                <w:szCs w:val="21"/>
                <w:highlight w:val="none"/>
              </w:rPr>
            </w:pPr>
            <w:r>
              <w:rPr>
                <w:rFonts w:hint="default" w:ascii="宋体" w:hAnsi="宋体" w:eastAsia="宋体" w:cs="宋体"/>
                <w:b/>
                <w:color w:val="auto"/>
                <w:kern w:val="0"/>
                <w:sz w:val="21"/>
                <w:szCs w:val="21"/>
                <w:highlight w:val="none"/>
              </w:rPr>
              <w:t>指标名称</w:t>
            </w:r>
          </w:p>
        </w:tc>
        <w:tc>
          <w:tcPr>
            <w:tcW w:w="1156" w:type="dxa"/>
            <w:tcBorders>
              <w:top w:val="single" w:color="auto" w:sz="4" w:space="0"/>
              <w:left w:val="nil"/>
              <w:bottom w:val="single" w:color="auto" w:sz="4" w:space="0"/>
              <w:right w:val="single" w:color="auto" w:sz="4" w:space="0"/>
              <w:tl2br w:val="nil"/>
              <w:tr2bl w:val="nil"/>
            </w:tcBorders>
            <w:noWrap w:val="0"/>
            <w:vAlign w:val="center"/>
          </w:tcPr>
          <w:p w14:paraId="5D46E171">
            <w:pPr>
              <w:widowControl/>
              <w:jc w:val="left"/>
              <w:rPr>
                <w:rFonts w:hint="default" w:ascii="宋体" w:hAnsi="宋体" w:eastAsia="宋体" w:cs="宋体"/>
                <w:b/>
                <w:color w:val="auto"/>
                <w:kern w:val="0"/>
                <w:sz w:val="21"/>
                <w:szCs w:val="21"/>
                <w:highlight w:val="none"/>
              </w:rPr>
            </w:pPr>
            <w:r>
              <w:rPr>
                <w:rFonts w:hint="default" w:ascii="宋体" w:hAnsi="宋体" w:eastAsia="宋体" w:cs="宋体"/>
                <w:b/>
                <w:color w:val="auto"/>
                <w:kern w:val="0"/>
                <w:sz w:val="21"/>
                <w:szCs w:val="21"/>
                <w:highlight w:val="none"/>
              </w:rPr>
              <w:t>计量单位</w:t>
            </w:r>
          </w:p>
        </w:tc>
        <w:tc>
          <w:tcPr>
            <w:tcW w:w="1843" w:type="dxa"/>
            <w:tcBorders>
              <w:top w:val="single" w:color="auto" w:sz="4" w:space="0"/>
              <w:left w:val="nil"/>
              <w:bottom w:val="single" w:color="auto" w:sz="4" w:space="0"/>
              <w:right w:val="single" w:color="auto" w:sz="4" w:space="0"/>
              <w:tl2br w:val="nil"/>
              <w:tr2bl w:val="nil"/>
            </w:tcBorders>
            <w:noWrap w:val="0"/>
            <w:vAlign w:val="center"/>
          </w:tcPr>
          <w:p w14:paraId="0819793D">
            <w:pPr>
              <w:widowControl/>
              <w:jc w:val="left"/>
              <w:rPr>
                <w:rFonts w:hint="default" w:ascii="宋体" w:hAnsi="宋体" w:eastAsia="宋体" w:cs="宋体"/>
                <w:b/>
                <w:color w:val="auto"/>
                <w:kern w:val="0"/>
                <w:sz w:val="21"/>
                <w:szCs w:val="21"/>
                <w:highlight w:val="none"/>
              </w:rPr>
            </w:pPr>
            <w:r>
              <w:rPr>
                <w:rFonts w:hint="default" w:ascii="宋体" w:hAnsi="宋体" w:eastAsia="宋体" w:cs="宋体"/>
                <w:b/>
                <w:color w:val="auto"/>
                <w:kern w:val="0"/>
                <w:sz w:val="21"/>
                <w:szCs w:val="21"/>
                <w:highlight w:val="none"/>
              </w:rPr>
              <w:t>中型</w:t>
            </w:r>
          </w:p>
        </w:tc>
        <w:tc>
          <w:tcPr>
            <w:tcW w:w="1702" w:type="dxa"/>
            <w:tcBorders>
              <w:top w:val="single" w:color="auto" w:sz="4" w:space="0"/>
              <w:left w:val="nil"/>
              <w:bottom w:val="single" w:color="auto" w:sz="4" w:space="0"/>
              <w:right w:val="single" w:color="auto" w:sz="4" w:space="0"/>
              <w:tl2br w:val="nil"/>
              <w:tr2bl w:val="nil"/>
            </w:tcBorders>
            <w:noWrap w:val="0"/>
            <w:vAlign w:val="center"/>
          </w:tcPr>
          <w:p w14:paraId="5BF04950">
            <w:pPr>
              <w:widowControl/>
              <w:jc w:val="left"/>
              <w:rPr>
                <w:rFonts w:hint="default" w:ascii="宋体" w:hAnsi="宋体" w:eastAsia="宋体" w:cs="宋体"/>
                <w:b/>
                <w:color w:val="auto"/>
                <w:kern w:val="0"/>
                <w:sz w:val="21"/>
                <w:szCs w:val="21"/>
                <w:highlight w:val="none"/>
              </w:rPr>
            </w:pPr>
            <w:r>
              <w:rPr>
                <w:rFonts w:hint="default" w:ascii="宋体" w:hAnsi="宋体" w:eastAsia="宋体" w:cs="宋体"/>
                <w:b/>
                <w:color w:val="auto"/>
                <w:kern w:val="0"/>
                <w:sz w:val="21"/>
                <w:szCs w:val="21"/>
                <w:highlight w:val="none"/>
              </w:rPr>
              <w:t>小型</w:t>
            </w:r>
          </w:p>
        </w:tc>
        <w:tc>
          <w:tcPr>
            <w:tcW w:w="1134" w:type="dxa"/>
            <w:tcBorders>
              <w:top w:val="single" w:color="auto" w:sz="4" w:space="0"/>
              <w:left w:val="nil"/>
              <w:bottom w:val="single" w:color="auto" w:sz="4" w:space="0"/>
              <w:right w:val="single" w:color="auto" w:sz="4" w:space="0"/>
              <w:tl2br w:val="nil"/>
              <w:tr2bl w:val="nil"/>
            </w:tcBorders>
            <w:noWrap w:val="0"/>
            <w:vAlign w:val="center"/>
          </w:tcPr>
          <w:p w14:paraId="1C4ED9BA">
            <w:pPr>
              <w:widowControl/>
              <w:jc w:val="left"/>
              <w:rPr>
                <w:rFonts w:hint="default" w:ascii="宋体" w:hAnsi="宋体" w:eastAsia="宋体" w:cs="宋体"/>
                <w:b/>
                <w:color w:val="auto"/>
                <w:kern w:val="0"/>
                <w:sz w:val="21"/>
                <w:szCs w:val="21"/>
                <w:highlight w:val="none"/>
              </w:rPr>
            </w:pPr>
            <w:r>
              <w:rPr>
                <w:rFonts w:hint="default" w:ascii="宋体" w:hAnsi="宋体" w:eastAsia="宋体" w:cs="宋体"/>
                <w:b/>
                <w:color w:val="auto"/>
                <w:kern w:val="0"/>
                <w:sz w:val="21"/>
                <w:szCs w:val="21"/>
                <w:highlight w:val="none"/>
              </w:rPr>
              <w:t>微型</w:t>
            </w:r>
          </w:p>
        </w:tc>
      </w:tr>
      <w:tr w14:paraId="1B5985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rPr>
        <w:tc>
          <w:tcPr>
            <w:tcW w:w="1985" w:type="dxa"/>
            <w:tcBorders>
              <w:top w:val="nil"/>
              <w:left w:val="single" w:color="auto" w:sz="4" w:space="0"/>
              <w:bottom w:val="single" w:color="auto" w:sz="4" w:space="0"/>
              <w:right w:val="single" w:color="auto" w:sz="4" w:space="0"/>
              <w:tl2br w:val="nil"/>
              <w:tr2bl w:val="nil"/>
            </w:tcBorders>
            <w:noWrap w:val="0"/>
            <w:vAlign w:val="bottom"/>
          </w:tcPr>
          <w:p w14:paraId="34AF4715">
            <w:pPr>
              <w:widowControl/>
              <w:jc w:val="center"/>
              <w:rPr>
                <w:rFonts w:hint="default" w:ascii="宋体" w:hAnsi="宋体" w:eastAsia="宋体" w:cs="宋体"/>
                <w:b/>
                <w:color w:val="auto"/>
                <w:kern w:val="0"/>
                <w:sz w:val="21"/>
                <w:szCs w:val="21"/>
                <w:highlight w:val="none"/>
              </w:rPr>
            </w:pPr>
            <w:r>
              <w:rPr>
                <w:rFonts w:hint="default" w:ascii="宋体" w:hAnsi="宋体" w:eastAsia="宋体" w:cs="宋体"/>
                <w:b/>
                <w:color w:val="auto"/>
                <w:kern w:val="0"/>
                <w:sz w:val="21"/>
                <w:szCs w:val="21"/>
                <w:highlight w:val="none"/>
              </w:rPr>
              <w:t>农、林、牧、渔</w:t>
            </w:r>
          </w:p>
        </w:tc>
        <w:tc>
          <w:tcPr>
            <w:tcW w:w="1680" w:type="dxa"/>
            <w:tcBorders>
              <w:top w:val="nil"/>
              <w:left w:val="nil"/>
              <w:bottom w:val="single" w:color="auto" w:sz="4" w:space="0"/>
              <w:right w:val="single" w:color="auto" w:sz="4" w:space="0"/>
              <w:tl2br w:val="nil"/>
              <w:tr2bl w:val="nil"/>
            </w:tcBorders>
            <w:noWrap w:val="0"/>
            <w:vAlign w:val="center"/>
          </w:tcPr>
          <w:p w14:paraId="5AACC2EC">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营业收入（Y）</w:t>
            </w:r>
          </w:p>
        </w:tc>
        <w:tc>
          <w:tcPr>
            <w:tcW w:w="1156" w:type="dxa"/>
            <w:tcBorders>
              <w:top w:val="nil"/>
              <w:left w:val="nil"/>
              <w:bottom w:val="single" w:color="auto" w:sz="4" w:space="0"/>
              <w:right w:val="single" w:color="auto" w:sz="4" w:space="0"/>
              <w:tl2br w:val="nil"/>
              <w:tr2bl w:val="nil"/>
            </w:tcBorders>
            <w:noWrap w:val="0"/>
            <w:vAlign w:val="center"/>
          </w:tcPr>
          <w:p w14:paraId="5BBDCA51">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万元</w:t>
            </w:r>
          </w:p>
        </w:tc>
        <w:tc>
          <w:tcPr>
            <w:tcW w:w="1843" w:type="dxa"/>
            <w:tcBorders>
              <w:top w:val="nil"/>
              <w:left w:val="nil"/>
              <w:bottom w:val="single" w:color="auto" w:sz="4" w:space="0"/>
              <w:right w:val="single" w:color="auto" w:sz="4" w:space="0"/>
              <w:tl2br w:val="nil"/>
              <w:tr2bl w:val="nil"/>
            </w:tcBorders>
            <w:noWrap w:val="0"/>
            <w:vAlign w:val="center"/>
          </w:tcPr>
          <w:p w14:paraId="01EC1C02">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500≤Y＜20000</w:t>
            </w:r>
          </w:p>
        </w:tc>
        <w:tc>
          <w:tcPr>
            <w:tcW w:w="1702" w:type="dxa"/>
            <w:tcBorders>
              <w:top w:val="nil"/>
              <w:left w:val="nil"/>
              <w:bottom w:val="single" w:color="auto" w:sz="4" w:space="0"/>
              <w:right w:val="single" w:color="auto" w:sz="4" w:space="0"/>
              <w:tl2br w:val="nil"/>
              <w:tr2bl w:val="nil"/>
            </w:tcBorders>
            <w:noWrap w:val="0"/>
            <w:vAlign w:val="center"/>
          </w:tcPr>
          <w:p w14:paraId="5428AC01">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50≤Y＜500</w:t>
            </w:r>
          </w:p>
        </w:tc>
        <w:tc>
          <w:tcPr>
            <w:tcW w:w="1134" w:type="dxa"/>
            <w:tcBorders>
              <w:top w:val="nil"/>
              <w:left w:val="nil"/>
              <w:bottom w:val="single" w:color="auto" w:sz="4" w:space="0"/>
              <w:right w:val="single" w:color="auto" w:sz="4" w:space="0"/>
              <w:tl2br w:val="nil"/>
              <w:tr2bl w:val="nil"/>
            </w:tcBorders>
            <w:noWrap w:val="0"/>
            <w:vAlign w:val="center"/>
          </w:tcPr>
          <w:p w14:paraId="7A619DAE">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Y＜50</w:t>
            </w:r>
          </w:p>
        </w:tc>
      </w:tr>
      <w:tr w14:paraId="4C7AA9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l2br w:val="nil"/>
              <w:tr2bl w:val="nil"/>
            </w:tcBorders>
            <w:noWrap w:val="0"/>
            <w:vAlign w:val="bottom"/>
          </w:tcPr>
          <w:p w14:paraId="15D9D3DC">
            <w:pPr>
              <w:widowControl/>
              <w:jc w:val="center"/>
              <w:rPr>
                <w:rFonts w:hint="default" w:ascii="宋体" w:hAnsi="宋体" w:eastAsia="宋体" w:cs="宋体"/>
                <w:b/>
                <w:color w:val="auto"/>
                <w:kern w:val="0"/>
                <w:sz w:val="21"/>
                <w:szCs w:val="21"/>
                <w:highlight w:val="none"/>
              </w:rPr>
            </w:pPr>
            <w:r>
              <w:rPr>
                <w:rFonts w:hint="default" w:ascii="宋体" w:hAnsi="宋体" w:eastAsia="宋体" w:cs="宋体"/>
                <w:b/>
                <w:color w:val="auto"/>
                <w:kern w:val="0"/>
                <w:sz w:val="21"/>
                <w:szCs w:val="21"/>
                <w:highlight w:val="none"/>
              </w:rPr>
              <w:t>工业</w:t>
            </w:r>
          </w:p>
        </w:tc>
        <w:tc>
          <w:tcPr>
            <w:tcW w:w="1680" w:type="dxa"/>
            <w:tcBorders>
              <w:top w:val="nil"/>
              <w:left w:val="nil"/>
              <w:bottom w:val="single" w:color="auto" w:sz="4" w:space="0"/>
              <w:right w:val="single" w:color="auto" w:sz="4" w:space="0"/>
              <w:tl2br w:val="nil"/>
              <w:tr2bl w:val="nil"/>
            </w:tcBorders>
            <w:noWrap w:val="0"/>
            <w:vAlign w:val="center"/>
          </w:tcPr>
          <w:p w14:paraId="4F355B0D">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从业人员（X）</w:t>
            </w:r>
          </w:p>
        </w:tc>
        <w:tc>
          <w:tcPr>
            <w:tcW w:w="1156" w:type="dxa"/>
            <w:tcBorders>
              <w:top w:val="nil"/>
              <w:left w:val="nil"/>
              <w:bottom w:val="single" w:color="auto" w:sz="4" w:space="0"/>
              <w:right w:val="single" w:color="auto" w:sz="4" w:space="0"/>
              <w:tl2br w:val="nil"/>
              <w:tr2bl w:val="nil"/>
            </w:tcBorders>
            <w:noWrap w:val="0"/>
            <w:vAlign w:val="center"/>
          </w:tcPr>
          <w:p w14:paraId="62C03D07">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人</w:t>
            </w:r>
          </w:p>
        </w:tc>
        <w:tc>
          <w:tcPr>
            <w:tcW w:w="1843" w:type="dxa"/>
            <w:tcBorders>
              <w:top w:val="nil"/>
              <w:left w:val="nil"/>
              <w:bottom w:val="single" w:color="auto" w:sz="4" w:space="0"/>
              <w:right w:val="single" w:color="auto" w:sz="4" w:space="0"/>
              <w:tl2br w:val="nil"/>
              <w:tr2bl w:val="nil"/>
            </w:tcBorders>
            <w:noWrap w:val="0"/>
            <w:vAlign w:val="center"/>
          </w:tcPr>
          <w:p w14:paraId="47FE65C0">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300≤X＜1000</w:t>
            </w:r>
          </w:p>
        </w:tc>
        <w:tc>
          <w:tcPr>
            <w:tcW w:w="1702" w:type="dxa"/>
            <w:tcBorders>
              <w:top w:val="nil"/>
              <w:left w:val="nil"/>
              <w:bottom w:val="single" w:color="auto" w:sz="4" w:space="0"/>
              <w:right w:val="single" w:color="auto" w:sz="4" w:space="0"/>
              <w:tl2br w:val="nil"/>
              <w:tr2bl w:val="nil"/>
            </w:tcBorders>
            <w:noWrap w:val="0"/>
            <w:vAlign w:val="center"/>
          </w:tcPr>
          <w:p w14:paraId="3DF09B2D">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20≤X＜300</w:t>
            </w:r>
          </w:p>
        </w:tc>
        <w:tc>
          <w:tcPr>
            <w:tcW w:w="1134" w:type="dxa"/>
            <w:tcBorders>
              <w:top w:val="nil"/>
              <w:left w:val="nil"/>
              <w:bottom w:val="single" w:color="auto" w:sz="4" w:space="0"/>
              <w:right w:val="single" w:color="auto" w:sz="4" w:space="0"/>
              <w:tl2br w:val="nil"/>
              <w:tr2bl w:val="nil"/>
            </w:tcBorders>
            <w:noWrap w:val="0"/>
            <w:vAlign w:val="center"/>
          </w:tcPr>
          <w:p w14:paraId="100B2B68">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X＜20</w:t>
            </w:r>
          </w:p>
        </w:tc>
      </w:tr>
      <w:tr w14:paraId="43BF38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l2br w:val="nil"/>
              <w:tr2bl w:val="nil"/>
            </w:tcBorders>
            <w:noWrap w:val="0"/>
            <w:vAlign w:val="center"/>
          </w:tcPr>
          <w:p w14:paraId="57779C06">
            <w:pPr>
              <w:widowControl/>
              <w:jc w:val="center"/>
              <w:rPr>
                <w:rFonts w:hint="default" w:ascii="宋体" w:hAnsi="宋体" w:eastAsia="宋体" w:cs="宋体"/>
                <w:b/>
                <w:color w:val="auto"/>
                <w:kern w:val="0"/>
                <w:sz w:val="21"/>
                <w:szCs w:val="21"/>
                <w:highlight w:val="none"/>
              </w:rPr>
            </w:pPr>
          </w:p>
        </w:tc>
        <w:tc>
          <w:tcPr>
            <w:tcW w:w="1680" w:type="dxa"/>
            <w:tcBorders>
              <w:top w:val="nil"/>
              <w:left w:val="nil"/>
              <w:bottom w:val="single" w:color="auto" w:sz="4" w:space="0"/>
              <w:right w:val="single" w:color="auto" w:sz="4" w:space="0"/>
              <w:tl2br w:val="nil"/>
              <w:tr2bl w:val="nil"/>
            </w:tcBorders>
            <w:noWrap w:val="0"/>
            <w:vAlign w:val="center"/>
          </w:tcPr>
          <w:p w14:paraId="23D0AEB2">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营业收入（Y）</w:t>
            </w:r>
          </w:p>
        </w:tc>
        <w:tc>
          <w:tcPr>
            <w:tcW w:w="1156" w:type="dxa"/>
            <w:tcBorders>
              <w:top w:val="nil"/>
              <w:left w:val="nil"/>
              <w:bottom w:val="single" w:color="auto" w:sz="4" w:space="0"/>
              <w:right w:val="single" w:color="auto" w:sz="4" w:space="0"/>
              <w:tl2br w:val="nil"/>
              <w:tr2bl w:val="nil"/>
            </w:tcBorders>
            <w:noWrap w:val="0"/>
            <w:vAlign w:val="center"/>
          </w:tcPr>
          <w:p w14:paraId="6C34E1F0">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万元</w:t>
            </w:r>
          </w:p>
        </w:tc>
        <w:tc>
          <w:tcPr>
            <w:tcW w:w="1843" w:type="dxa"/>
            <w:tcBorders>
              <w:top w:val="nil"/>
              <w:left w:val="nil"/>
              <w:bottom w:val="single" w:color="auto" w:sz="4" w:space="0"/>
              <w:right w:val="single" w:color="auto" w:sz="4" w:space="0"/>
              <w:tl2br w:val="nil"/>
              <w:tr2bl w:val="nil"/>
            </w:tcBorders>
            <w:noWrap w:val="0"/>
            <w:vAlign w:val="center"/>
          </w:tcPr>
          <w:p w14:paraId="331D0E61">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2000≤Y＜40000</w:t>
            </w:r>
          </w:p>
        </w:tc>
        <w:tc>
          <w:tcPr>
            <w:tcW w:w="1702" w:type="dxa"/>
            <w:tcBorders>
              <w:top w:val="nil"/>
              <w:left w:val="nil"/>
              <w:bottom w:val="single" w:color="auto" w:sz="4" w:space="0"/>
              <w:right w:val="single" w:color="auto" w:sz="4" w:space="0"/>
              <w:tl2br w:val="nil"/>
              <w:tr2bl w:val="nil"/>
            </w:tcBorders>
            <w:noWrap w:val="0"/>
            <w:vAlign w:val="center"/>
          </w:tcPr>
          <w:p w14:paraId="334A1772">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300≤Y＜2000</w:t>
            </w:r>
          </w:p>
        </w:tc>
        <w:tc>
          <w:tcPr>
            <w:tcW w:w="1134" w:type="dxa"/>
            <w:tcBorders>
              <w:top w:val="nil"/>
              <w:left w:val="nil"/>
              <w:bottom w:val="single" w:color="auto" w:sz="4" w:space="0"/>
              <w:right w:val="single" w:color="auto" w:sz="4" w:space="0"/>
              <w:tl2br w:val="nil"/>
              <w:tr2bl w:val="nil"/>
            </w:tcBorders>
            <w:noWrap w:val="0"/>
            <w:vAlign w:val="center"/>
          </w:tcPr>
          <w:p w14:paraId="5926CB79">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Y＜300</w:t>
            </w:r>
          </w:p>
        </w:tc>
      </w:tr>
      <w:tr w14:paraId="4F1791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l2br w:val="nil"/>
              <w:tr2bl w:val="nil"/>
            </w:tcBorders>
            <w:noWrap w:val="0"/>
            <w:vAlign w:val="bottom"/>
          </w:tcPr>
          <w:p w14:paraId="7F5E88EA">
            <w:pPr>
              <w:widowControl/>
              <w:jc w:val="center"/>
              <w:rPr>
                <w:rFonts w:hint="default" w:ascii="宋体" w:hAnsi="宋体" w:eastAsia="宋体" w:cs="宋体"/>
                <w:b/>
                <w:color w:val="auto"/>
                <w:kern w:val="0"/>
                <w:sz w:val="21"/>
                <w:szCs w:val="21"/>
                <w:highlight w:val="none"/>
              </w:rPr>
            </w:pPr>
            <w:r>
              <w:rPr>
                <w:rFonts w:hint="default" w:ascii="宋体" w:hAnsi="宋体" w:eastAsia="宋体" w:cs="宋体"/>
                <w:b/>
                <w:color w:val="auto"/>
                <w:kern w:val="0"/>
                <w:sz w:val="21"/>
                <w:szCs w:val="21"/>
                <w:highlight w:val="none"/>
              </w:rPr>
              <w:t>建筑业</w:t>
            </w:r>
          </w:p>
        </w:tc>
        <w:tc>
          <w:tcPr>
            <w:tcW w:w="1680" w:type="dxa"/>
            <w:tcBorders>
              <w:top w:val="nil"/>
              <w:left w:val="nil"/>
              <w:bottom w:val="single" w:color="auto" w:sz="4" w:space="0"/>
              <w:right w:val="single" w:color="auto" w:sz="4" w:space="0"/>
              <w:tl2br w:val="nil"/>
              <w:tr2bl w:val="nil"/>
            </w:tcBorders>
            <w:noWrap w:val="0"/>
            <w:vAlign w:val="center"/>
          </w:tcPr>
          <w:p w14:paraId="39D70DB0">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营业收入（Y）</w:t>
            </w:r>
          </w:p>
        </w:tc>
        <w:tc>
          <w:tcPr>
            <w:tcW w:w="1156" w:type="dxa"/>
            <w:tcBorders>
              <w:top w:val="nil"/>
              <w:left w:val="nil"/>
              <w:bottom w:val="single" w:color="auto" w:sz="4" w:space="0"/>
              <w:right w:val="single" w:color="auto" w:sz="4" w:space="0"/>
              <w:tl2br w:val="nil"/>
              <w:tr2bl w:val="nil"/>
            </w:tcBorders>
            <w:noWrap w:val="0"/>
            <w:vAlign w:val="center"/>
          </w:tcPr>
          <w:p w14:paraId="1BBBC0A8">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万元</w:t>
            </w:r>
          </w:p>
        </w:tc>
        <w:tc>
          <w:tcPr>
            <w:tcW w:w="1843" w:type="dxa"/>
            <w:tcBorders>
              <w:top w:val="nil"/>
              <w:left w:val="nil"/>
              <w:bottom w:val="single" w:color="auto" w:sz="4" w:space="0"/>
              <w:right w:val="single" w:color="auto" w:sz="4" w:space="0"/>
              <w:tl2br w:val="nil"/>
              <w:tr2bl w:val="nil"/>
            </w:tcBorders>
            <w:noWrap w:val="0"/>
            <w:vAlign w:val="center"/>
          </w:tcPr>
          <w:p w14:paraId="003A3898">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6000≤Y＜80000</w:t>
            </w:r>
          </w:p>
        </w:tc>
        <w:tc>
          <w:tcPr>
            <w:tcW w:w="1702" w:type="dxa"/>
            <w:tcBorders>
              <w:top w:val="nil"/>
              <w:left w:val="nil"/>
              <w:bottom w:val="single" w:color="auto" w:sz="4" w:space="0"/>
              <w:right w:val="single" w:color="auto" w:sz="4" w:space="0"/>
              <w:tl2br w:val="nil"/>
              <w:tr2bl w:val="nil"/>
            </w:tcBorders>
            <w:noWrap w:val="0"/>
            <w:vAlign w:val="center"/>
          </w:tcPr>
          <w:p w14:paraId="62044D28">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300≤Y＜6000</w:t>
            </w:r>
          </w:p>
        </w:tc>
        <w:tc>
          <w:tcPr>
            <w:tcW w:w="1134" w:type="dxa"/>
            <w:tcBorders>
              <w:top w:val="nil"/>
              <w:left w:val="nil"/>
              <w:bottom w:val="single" w:color="auto" w:sz="4" w:space="0"/>
              <w:right w:val="single" w:color="auto" w:sz="4" w:space="0"/>
              <w:tl2br w:val="nil"/>
              <w:tr2bl w:val="nil"/>
            </w:tcBorders>
            <w:noWrap w:val="0"/>
            <w:vAlign w:val="center"/>
          </w:tcPr>
          <w:p w14:paraId="0E80A2A8">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Y＜300</w:t>
            </w:r>
          </w:p>
        </w:tc>
      </w:tr>
      <w:tr w14:paraId="23A095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l2br w:val="nil"/>
              <w:tr2bl w:val="nil"/>
            </w:tcBorders>
            <w:noWrap w:val="0"/>
            <w:vAlign w:val="center"/>
          </w:tcPr>
          <w:p w14:paraId="6E1C536E">
            <w:pPr>
              <w:widowControl/>
              <w:jc w:val="center"/>
              <w:rPr>
                <w:rFonts w:hint="default" w:ascii="宋体" w:hAnsi="宋体" w:eastAsia="宋体" w:cs="宋体"/>
                <w:b/>
                <w:color w:val="auto"/>
                <w:kern w:val="0"/>
                <w:sz w:val="21"/>
                <w:szCs w:val="21"/>
                <w:highlight w:val="none"/>
              </w:rPr>
            </w:pPr>
          </w:p>
        </w:tc>
        <w:tc>
          <w:tcPr>
            <w:tcW w:w="1680" w:type="dxa"/>
            <w:tcBorders>
              <w:top w:val="nil"/>
              <w:left w:val="nil"/>
              <w:bottom w:val="single" w:color="auto" w:sz="4" w:space="0"/>
              <w:right w:val="single" w:color="auto" w:sz="4" w:space="0"/>
              <w:tl2br w:val="nil"/>
              <w:tr2bl w:val="nil"/>
            </w:tcBorders>
            <w:noWrap w:val="0"/>
            <w:vAlign w:val="center"/>
          </w:tcPr>
          <w:p w14:paraId="25067EF8">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资产总额（Z）</w:t>
            </w:r>
          </w:p>
        </w:tc>
        <w:tc>
          <w:tcPr>
            <w:tcW w:w="1156" w:type="dxa"/>
            <w:tcBorders>
              <w:top w:val="nil"/>
              <w:left w:val="nil"/>
              <w:bottom w:val="single" w:color="auto" w:sz="4" w:space="0"/>
              <w:right w:val="single" w:color="auto" w:sz="4" w:space="0"/>
              <w:tl2br w:val="nil"/>
              <w:tr2bl w:val="nil"/>
            </w:tcBorders>
            <w:noWrap w:val="0"/>
            <w:vAlign w:val="center"/>
          </w:tcPr>
          <w:p w14:paraId="05CC8B1D">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万元</w:t>
            </w:r>
          </w:p>
        </w:tc>
        <w:tc>
          <w:tcPr>
            <w:tcW w:w="1843" w:type="dxa"/>
            <w:tcBorders>
              <w:top w:val="nil"/>
              <w:left w:val="nil"/>
              <w:bottom w:val="single" w:color="auto" w:sz="4" w:space="0"/>
              <w:right w:val="single" w:color="auto" w:sz="4" w:space="0"/>
              <w:tl2br w:val="nil"/>
              <w:tr2bl w:val="nil"/>
            </w:tcBorders>
            <w:noWrap w:val="0"/>
            <w:vAlign w:val="center"/>
          </w:tcPr>
          <w:p w14:paraId="795EDCDF">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5000≤Z＜80000</w:t>
            </w:r>
          </w:p>
        </w:tc>
        <w:tc>
          <w:tcPr>
            <w:tcW w:w="1702" w:type="dxa"/>
            <w:tcBorders>
              <w:top w:val="nil"/>
              <w:left w:val="nil"/>
              <w:bottom w:val="single" w:color="auto" w:sz="4" w:space="0"/>
              <w:right w:val="single" w:color="auto" w:sz="4" w:space="0"/>
              <w:tl2br w:val="nil"/>
              <w:tr2bl w:val="nil"/>
            </w:tcBorders>
            <w:noWrap w:val="0"/>
            <w:vAlign w:val="center"/>
          </w:tcPr>
          <w:p w14:paraId="11374417">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300≤Z＜5000</w:t>
            </w:r>
          </w:p>
        </w:tc>
        <w:tc>
          <w:tcPr>
            <w:tcW w:w="1134" w:type="dxa"/>
            <w:tcBorders>
              <w:top w:val="nil"/>
              <w:left w:val="nil"/>
              <w:bottom w:val="single" w:color="auto" w:sz="4" w:space="0"/>
              <w:right w:val="single" w:color="auto" w:sz="4" w:space="0"/>
              <w:tl2br w:val="nil"/>
              <w:tr2bl w:val="nil"/>
            </w:tcBorders>
            <w:noWrap w:val="0"/>
            <w:vAlign w:val="center"/>
          </w:tcPr>
          <w:p w14:paraId="73977F4B">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Z＜300</w:t>
            </w:r>
          </w:p>
        </w:tc>
      </w:tr>
      <w:tr w14:paraId="07D5D6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l2br w:val="nil"/>
              <w:tr2bl w:val="nil"/>
            </w:tcBorders>
            <w:noWrap w:val="0"/>
            <w:vAlign w:val="bottom"/>
          </w:tcPr>
          <w:p w14:paraId="213637E1">
            <w:pPr>
              <w:widowControl/>
              <w:jc w:val="center"/>
              <w:rPr>
                <w:rFonts w:hint="default" w:ascii="宋体" w:hAnsi="宋体" w:eastAsia="宋体" w:cs="宋体"/>
                <w:b/>
                <w:color w:val="auto"/>
                <w:kern w:val="0"/>
                <w:sz w:val="21"/>
                <w:szCs w:val="21"/>
                <w:highlight w:val="none"/>
              </w:rPr>
            </w:pPr>
            <w:r>
              <w:rPr>
                <w:rFonts w:hint="default" w:ascii="宋体" w:hAnsi="宋体" w:eastAsia="宋体" w:cs="宋体"/>
                <w:b/>
                <w:color w:val="auto"/>
                <w:kern w:val="0"/>
                <w:sz w:val="21"/>
                <w:szCs w:val="21"/>
                <w:highlight w:val="none"/>
              </w:rPr>
              <w:t>批发业</w:t>
            </w:r>
          </w:p>
        </w:tc>
        <w:tc>
          <w:tcPr>
            <w:tcW w:w="1680" w:type="dxa"/>
            <w:tcBorders>
              <w:top w:val="nil"/>
              <w:left w:val="nil"/>
              <w:bottom w:val="single" w:color="auto" w:sz="4" w:space="0"/>
              <w:right w:val="single" w:color="auto" w:sz="4" w:space="0"/>
              <w:tl2br w:val="nil"/>
              <w:tr2bl w:val="nil"/>
            </w:tcBorders>
            <w:noWrap w:val="0"/>
            <w:vAlign w:val="center"/>
          </w:tcPr>
          <w:p w14:paraId="12EAD8BD">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从业人员（X）</w:t>
            </w:r>
          </w:p>
        </w:tc>
        <w:tc>
          <w:tcPr>
            <w:tcW w:w="1156" w:type="dxa"/>
            <w:tcBorders>
              <w:top w:val="nil"/>
              <w:left w:val="nil"/>
              <w:bottom w:val="single" w:color="auto" w:sz="4" w:space="0"/>
              <w:right w:val="single" w:color="auto" w:sz="4" w:space="0"/>
              <w:tl2br w:val="nil"/>
              <w:tr2bl w:val="nil"/>
            </w:tcBorders>
            <w:noWrap w:val="0"/>
            <w:vAlign w:val="center"/>
          </w:tcPr>
          <w:p w14:paraId="136DCB26">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人</w:t>
            </w:r>
          </w:p>
        </w:tc>
        <w:tc>
          <w:tcPr>
            <w:tcW w:w="1843" w:type="dxa"/>
            <w:tcBorders>
              <w:top w:val="nil"/>
              <w:left w:val="nil"/>
              <w:bottom w:val="single" w:color="auto" w:sz="4" w:space="0"/>
              <w:right w:val="single" w:color="auto" w:sz="4" w:space="0"/>
              <w:tl2br w:val="nil"/>
              <w:tr2bl w:val="nil"/>
            </w:tcBorders>
            <w:noWrap w:val="0"/>
            <w:vAlign w:val="center"/>
          </w:tcPr>
          <w:p w14:paraId="0A298ADD">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20≤X＜200</w:t>
            </w:r>
          </w:p>
        </w:tc>
        <w:tc>
          <w:tcPr>
            <w:tcW w:w="1702" w:type="dxa"/>
            <w:tcBorders>
              <w:top w:val="nil"/>
              <w:left w:val="nil"/>
              <w:bottom w:val="single" w:color="auto" w:sz="4" w:space="0"/>
              <w:right w:val="single" w:color="auto" w:sz="4" w:space="0"/>
              <w:tl2br w:val="nil"/>
              <w:tr2bl w:val="nil"/>
            </w:tcBorders>
            <w:noWrap w:val="0"/>
            <w:vAlign w:val="center"/>
          </w:tcPr>
          <w:p w14:paraId="671225A4">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5≤X＜20</w:t>
            </w:r>
          </w:p>
        </w:tc>
        <w:tc>
          <w:tcPr>
            <w:tcW w:w="1134" w:type="dxa"/>
            <w:tcBorders>
              <w:top w:val="nil"/>
              <w:left w:val="nil"/>
              <w:bottom w:val="single" w:color="auto" w:sz="4" w:space="0"/>
              <w:right w:val="single" w:color="auto" w:sz="4" w:space="0"/>
              <w:tl2br w:val="nil"/>
              <w:tr2bl w:val="nil"/>
            </w:tcBorders>
            <w:noWrap w:val="0"/>
            <w:vAlign w:val="center"/>
          </w:tcPr>
          <w:p w14:paraId="6A6ED7CB">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X＜5</w:t>
            </w:r>
          </w:p>
        </w:tc>
      </w:tr>
      <w:tr w14:paraId="23264E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l2br w:val="nil"/>
              <w:tr2bl w:val="nil"/>
            </w:tcBorders>
            <w:noWrap w:val="0"/>
            <w:vAlign w:val="center"/>
          </w:tcPr>
          <w:p w14:paraId="6E4DBA07">
            <w:pPr>
              <w:widowControl/>
              <w:jc w:val="center"/>
              <w:rPr>
                <w:rFonts w:hint="default" w:ascii="宋体" w:hAnsi="宋体" w:eastAsia="宋体" w:cs="宋体"/>
                <w:b/>
                <w:color w:val="auto"/>
                <w:kern w:val="0"/>
                <w:sz w:val="21"/>
                <w:szCs w:val="21"/>
                <w:highlight w:val="none"/>
              </w:rPr>
            </w:pPr>
          </w:p>
        </w:tc>
        <w:tc>
          <w:tcPr>
            <w:tcW w:w="1680" w:type="dxa"/>
            <w:tcBorders>
              <w:top w:val="nil"/>
              <w:left w:val="nil"/>
              <w:bottom w:val="single" w:color="auto" w:sz="4" w:space="0"/>
              <w:right w:val="single" w:color="auto" w:sz="4" w:space="0"/>
              <w:tl2br w:val="nil"/>
              <w:tr2bl w:val="nil"/>
            </w:tcBorders>
            <w:noWrap w:val="0"/>
            <w:vAlign w:val="center"/>
          </w:tcPr>
          <w:p w14:paraId="08FF542D">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营业收入（Y）</w:t>
            </w:r>
          </w:p>
        </w:tc>
        <w:tc>
          <w:tcPr>
            <w:tcW w:w="1156" w:type="dxa"/>
            <w:tcBorders>
              <w:top w:val="nil"/>
              <w:left w:val="nil"/>
              <w:bottom w:val="single" w:color="auto" w:sz="4" w:space="0"/>
              <w:right w:val="single" w:color="auto" w:sz="4" w:space="0"/>
              <w:tl2br w:val="nil"/>
              <w:tr2bl w:val="nil"/>
            </w:tcBorders>
            <w:noWrap w:val="0"/>
            <w:vAlign w:val="center"/>
          </w:tcPr>
          <w:p w14:paraId="4BA03228">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万元</w:t>
            </w:r>
          </w:p>
        </w:tc>
        <w:tc>
          <w:tcPr>
            <w:tcW w:w="1843" w:type="dxa"/>
            <w:tcBorders>
              <w:top w:val="nil"/>
              <w:left w:val="nil"/>
              <w:bottom w:val="single" w:color="auto" w:sz="4" w:space="0"/>
              <w:right w:val="single" w:color="auto" w:sz="4" w:space="0"/>
              <w:tl2br w:val="nil"/>
              <w:tr2bl w:val="nil"/>
            </w:tcBorders>
            <w:noWrap w:val="0"/>
            <w:vAlign w:val="center"/>
          </w:tcPr>
          <w:p w14:paraId="58AD99E8">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5000≤Y＜40000</w:t>
            </w:r>
          </w:p>
        </w:tc>
        <w:tc>
          <w:tcPr>
            <w:tcW w:w="1702" w:type="dxa"/>
            <w:tcBorders>
              <w:top w:val="nil"/>
              <w:left w:val="nil"/>
              <w:bottom w:val="single" w:color="auto" w:sz="4" w:space="0"/>
              <w:right w:val="single" w:color="auto" w:sz="4" w:space="0"/>
              <w:tl2br w:val="nil"/>
              <w:tr2bl w:val="nil"/>
            </w:tcBorders>
            <w:noWrap w:val="0"/>
            <w:vAlign w:val="center"/>
          </w:tcPr>
          <w:p w14:paraId="34CA551B">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1000≤Y＜5000</w:t>
            </w:r>
          </w:p>
        </w:tc>
        <w:tc>
          <w:tcPr>
            <w:tcW w:w="1134" w:type="dxa"/>
            <w:tcBorders>
              <w:top w:val="nil"/>
              <w:left w:val="nil"/>
              <w:bottom w:val="single" w:color="auto" w:sz="4" w:space="0"/>
              <w:right w:val="single" w:color="auto" w:sz="4" w:space="0"/>
              <w:tl2br w:val="nil"/>
              <w:tr2bl w:val="nil"/>
            </w:tcBorders>
            <w:noWrap w:val="0"/>
            <w:vAlign w:val="center"/>
          </w:tcPr>
          <w:p w14:paraId="422C8CDC">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Y＜1000</w:t>
            </w:r>
          </w:p>
        </w:tc>
      </w:tr>
      <w:tr w14:paraId="37B9B8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l2br w:val="nil"/>
              <w:tr2bl w:val="nil"/>
            </w:tcBorders>
            <w:noWrap w:val="0"/>
            <w:vAlign w:val="bottom"/>
          </w:tcPr>
          <w:p w14:paraId="602D35B2">
            <w:pPr>
              <w:widowControl/>
              <w:jc w:val="center"/>
              <w:rPr>
                <w:rFonts w:hint="default" w:ascii="宋体" w:hAnsi="宋体" w:eastAsia="宋体" w:cs="宋体"/>
                <w:b/>
                <w:color w:val="auto"/>
                <w:kern w:val="0"/>
                <w:sz w:val="21"/>
                <w:szCs w:val="21"/>
                <w:highlight w:val="none"/>
              </w:rPr>
            </w:pPr>
            <w:r>
              <w:rPr>
                <w:rFonts w:hint="default" w:ascii="宋体" w:hAnsi="宋体" w:eastAsia="宋体" w:cs="宋体"/>
                <w:b/>
                <w:color w:val="auto"/>
                <w:kern w:val="0"/>
                <w:sz w:val="21"/>
                <w:szCs w:val="21"/>
                <w:highlight w:val="none"/>
              </w:rPr>
              <w:t>零售业</w:t>
            </w:r>
          </w:p>
        </w:tc>
        <w:tc>
          <w:tcPr>
            <w:tcW w:w="1680" w:type="dxa"/>
            <w:tcBorders>
              <w:top w:val="nil"/>
              <w:left w:val="nil"/>
              <w:bottom w:val="single" w:color="auto" w:sz="4" w:space="0"/>
              <w:right w:val="single" w:color="auto" w:sz="4" w:space="0"/>
              <w:tl2br w:val="nil"/>
              <w:tr2bl w:val="nil"/>
            </w:tcBorders>
            <w:noWrap w:val="0"/>
            <w:vAlign w:val="center"/>
          </w:tcPr>
          <w:p w14:paraId="56220D08">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从业人员（X）</w:t>
            </w:r>
          </w:p>
        </w:tc>
        <w:tc>
          <w:tcPr>
            <w:tcW w:w="1156" w:type="dxa"/>
            <w:tcBorders>
              <w:top w:val="nil"/>
              <w:left w:val="nil"/>
              <w:bottom w:val="single" w:color="auto" w:sz="4" w:space="0"/>
              <w:right w:val="single" w:color="auto" w:sz="4" w:space="0"/>
              <w:tl2br w:val="nil"/>
              <w:tr2bl w:val="nil"/>
            </w:tcBorders>
            <w:noWrap w:val="0"/>
            <w:vAlign w:val="center"/>
          </w:tcPr>
          <w:p w14:paraId="603E91F2">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人</w:t>
            </w:r>
          </w:p>
        </w:tc>
        <w:tc>
          <w:tcPr>
            <w:tcW w:w="1843" w:type="dxa"/>
            <w:tcBorders>
              <w:top w:val="nil"/>
              <w:left w:val="nil"/>
              <w:bottom w:val="single" w:color="auto" w:sz="4" w:space="0"/>
              <w:right w:val="single" w:color="auto" w:sz="4" w:space="0"/>
              <w:tl2br w:val="nil"/>
              <w:tr2bl w:val="nil"/>
            </w:tcBorders>
            <w:noWrap w:val="0"/>
            <w:vAlign w:val="center"/>
          </w:tcPr>
          <w:p w14:paraId="27DA8602">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50≤X＜300</w:t>
            </w:r>
          </w:p>
        </w:tc>
        <w:tc>
          <w:tcPr>
            <w:tcW w:w="1702" w:type="dxa"/>
            <w:tcBorders>
              <w:top w:val="nil"/>
              <w:left w:val="nil"/>
              <w:bottom w:val="single" w:color="auto" w:sz="4" w:space="0"/>
              <w:right w:val="single" w:color="auto" w:sz="4" w:space="0"/>
              <w:tl2br w:val="nil"/>
              <w:tr2bl w:val="nil"/>
            </w:tcBorders>
            <w:noWrap w:val="0"/>
            <w:vAlign w:val="center"/>
          </w:tcPr>
          <w:p w14:paraId="16AC31F2">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10≤X＜50</w:t>
            </w:r>
          </w:p>
        </w:tc>
        <w:tc>
          <w:tcPr>
            <w:tcW w:w="1134" w:type="dxa"/>
            <w:tcBorders>
              <w:top w:val="nil"/>
              <w:left w:val="nil"/>
              <w:bottom w:val="single" w:color="auto" w:sz="4" w:space="0"/>
              <w:right w:val="single" w:color="auto" w:sz="4" w:space="0"/>
              <w:tl2br w:val="nil"/>
              <w:tr2bl w:val="nil"/>
            </w:tcBorders>
            <w:noWrap w:val="0"/>
            <w:vAlign w:val="center"/>
          </w:tcPr>
          <w:p w14:paraId="7238B9A4">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X＜10</w:t>
            </w:r>
          </w:p>
        </w:tc>
      </w:tr>
      <w:tr w14:paraId="042B6B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l2br w:val="nil"/>
              <w:tr2bl w:val="nil"/>
            </w:tcBorders>
            <w:noWrap w:val="0"/>
            <w:vAlign w:val="center"/>
          </w:tcPr>
          <w:p w14:paraId="49ED3D3C">
            <w:pPr>
              <w:widowControl/>
              <w:jc w:val="center"/>
              <w:rPr>
                <w:rFonts w:hint="default" w:ascii="宋体" w:hAnsi="宋体" w:eastAsia="宋体" w:cs="宋体"/>
                <w:b/>
                <w:color w:val="auto"/>
                <w:kern w:val="0"/>
                <w:sz w:val="21"/>
                <w:szCs w:val="21"/>
                <w:highlight w:val="none"/>
              </w:rPr>
            </w:pPr>
          </w:p>
        </w:tc>
        <w:tc>
          <w:tcPr>
            <w:tcW w:w="1680" w:type="dxa"/>
            <w:tcBorders>
              <w:top w:val="nil"/>
              <w:left w:val="nil"/>
              <w:bottom w:val="single" w:color="auto" w:sz="4" w:space="0"/>
              <w:right w:val="single" w:color="auto" w:sz="4" w:space="0"/>
              <w:tl2br w:val="nil"/>
              <w:tr2bl w:val="nil"/>
            </w:tcBorders>
            <w:noWrap w:val="0"/>
            <w:vAlign w:val="center"/>
          </w:tcPr>
          <w:p w14:paraId="7C81AA2B">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营业收入（Y）</w:t>
            </w:r>
          </w:p>
        </w:tc>
        <w:tc>
          <w:tcPr>
            <w:tcW w:w="1156" w:type="dxa"/>
            <w:tcBorders>
              <w:top w:val="nil"/>
              <w:left w:val="nil"/>
              <w:bottom w:val="single" w:color="auto" w:sz="4" w:space="0"/>
              <w:right w:val="single" w:color="auto" w:sz="4" w:space="0"/>
              <w:tl2br w:val="nil"/>
              <w:tr2bl w:val="nil"/>
            </w:tcBorders>
            <w:noWrap w:val="0"/>
            <w:vAlign w:val="center"/>
          </w:tcPr>
          <w:p w14:paraId="2EF329A8">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万元</w:t>
            </w:r>
          </w:p>
        </w:tc>
        <w:tc>
          <w:tcPr>
            <w:tcW w:w="1843" w:type="dxa"/>
            <w:tcBorders>
              <w:top w:val="nil"/>
              <w:left w:val="nil"/>
              <w:bottom w:val="single" w:color="auto" w:sz="4" w:space="0"/>
              <w:right w:val="single" w:color="auto" w:sz="4" w:space="0"/>
              <w:tl2br w:val="nil"/>
              <w:tr2bl w:val="nil"/>
            </w:tcBorders>
            <w:noWrap w:val="0"/>
            <w:vAlign w:val="center"/>
          </w:tcPr>
          <w:p w14:paraId="0EA06817">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500≤Y＜20000</w:t>
            </w:r>
          </w:p>
        </w:tc>
        <w:tc>
          <w:tcPr>
            <w:tcW w:w="1702" w:type="dxa"/>
            <w:tcBorders>
              <w:top w:val="nil"/>
              <w:left w:val="nil"/>
              <w:bottom w:val="single" w:color="auto" w:sz="4" w:space="0"/>
              <w:right w:val="single" w:color="auto" w:sz="4" w:space="0"/>
              <w:tl2br w:val="nil"/>
              <w:tr2bl w:val="nil"/>
            </w:tcBorders>
            <w:noWrap w:val="0"/>
            <w:vAlign w:val="center"/>
          </w:tcPr>
          <w:p w14:paraId="5294ECFC">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100≤Y＜500</w:t>
            </w:r>
          </w:p>
        </w:tc>
        <w:tc>
          <w:tcPr>
            <w:tcW w:w="1134" w:type="dxa"/>
            <w:tcBorders>
              <w:top w:val="nil"/>
              <w:left w:val="nil"/>
              <w:bottom w:val="single" w:color="auto" w:sz="4" w:space="0"/>
              <w:right w:val="single" w:color="auto" w:sz="4" w:space="0"/>
              <w:tl2br w:val="nil"/>
              <w:tr2bl w:val="nil"/>
            </w:tcBorders>
            <w:noWrap w:val="0"/>
            <w:vAlign w:val="center"/>
          </w:tcPr>
          <w:p w14:paraId="67A475AE">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Y＜100</w:t>
            </w:r>
          </w:p>
        </w:tc>
      </w:tr>
      <w:tr w14:paraId="6F04BF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l2br w:val="nil"/>
              <w:tr2bl w:val="nil"/>
            </w:tcBorders>
            <w:noWrap w:val="0"/>
            <w:vAlign w:val="bottom"/>
          </w:tcPr>
          <w:p w14:paraId="31DA5747">
            <w:pPr>
              <w:widowControl/>
              <w:jc w:val="center"/>
              <w:rPr>
                <w:rFonts w:hint="default" w:ascii="宋体" w:hAnsi="宋体" w:eastAsia="宋体" w:cs="宋体"/>
                <w:b/>
                <w:color w:val="auto"/>
                <w:kern w:val="0"/>
                <w:sz w:val="21"/>
                <w:szCs w:val="21"/>
                <w:highlight w:val="none"/>
              </w:rPr>
            </w:pPr>
            <w:r>
              <w:rPr>
                <w:rFonts w:hint="default" w:ascii="宋体" w:hAnsi="宋体" w:eastAsia="宋体" w:cs="宋体"/>
                <w:b/>
                <w:color w:val="auto"/>
                <w:kern w:val="0"/>
                <w:sz w:val="21"/>
                <w:szCs w:val="21"/>
                <w:highlight w:val="none"/>
              </w:rPr>
              <w:t>交通运输业</w:t>
            </w:r>
          </w:p>
        </w:tc>
        <w:tc>
          <w:tcPr>
            <w:tcW w:w="1680" w:type="dxa"/>
            <w:tcBorders>
              <w:top w:val="nil"/>
              <w:left w:val="nil"/>
              <w:bottom w:val="single" w:color="auto" w:sz="4" w:space="0"/>
              <w:right w:val="single" w:color="auto" w:sz="4" w:space="0"/>
              <w:tl2br w:val="nil"/>
              <w:tr2bl w:val="nil"/>
            </w:tcBorders>
            <w:noWrap w:val="0"/>
            <w:vAlign w:val="center"/>
          </w:tcPr>
          <w:p w14:paraId="608D20BA">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从业人员（X）</w:t>
            </w:r>
          </w:p>
        </w:tc>
        <w:tc>
          <w:tcPr>
            <w:tcW w:w="1156" w:type="dxa"/>
            <w:tcBorders>
              <w:top w:val="nil"/>
              <w:left w:val="nil"/>
              <w:bottom w:val="single" w:color="auto" w:sz="4" w:space="0"/>
              <w:right w:val="single" w:color="auto" w:sz="4" w:space="0"/>
              <w:tl2br w:val="nil"/>
              <w:tr2bl w:val="nil"/>
            </w:tcBorders>
            <w:noWrap w:val="0"/>
            <w:vAlign w:val="center"/>
          </w:tcPr>
          <w:p w14:paraId="7076A995">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人</w:t>
            </w:r>
          </w:p>
        </w:tc>
        <w:tc>
          <w:tcPr>
            <w:tcW w:w="1843" w:type="dxa"/>
            <w:tcBorders>
              <w:top w:val="nil"/>
              <w:left w:val="nil"/>
              <w:bottom w:val="single" w:color="auto" w:sz="4" w:space="0"/>
              <w:right w:val="single" w:color="auto" w:sz="4" w:space="0"/>
              <w:tl2br w:val="nil"/>
              <w:tr2bl w:val="nil"/>
            </w:tcBorders>
            <w:noWrap w:val="0"/>
            <w:vAlign w:val="center"/>
          </w:tcPr>
          <w:p w14:paraId="104A1DD5">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300≤X＜1000</w:t>
            </w:r>
          </w:p>
        </w:tc>
        <w:tc>
          <w:tcPr>
            <w:tcW w:w="1702" w:type="dxa"/>
            <w:tcBorders>
              <w:top w:val="nil"/>
              <w:left w:val="nil"/>
              <w:bottom w:val="single" w:color="auto" w:sz="4" w:space="0"/>
              <w:right w:val="single" w:color="auto" w:sz="4" w:space="0"/>
              <w:tl2br w:val="nil"/>
              <w:tr2bl w:val="nil"/>
            </w:tcBorders>
            <w:noWrap w:val="0"/>
            <w:vAlign w:val="center"/>
          </w:tcPr>
          <w:p w14:paraId="0AC71579">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20≤X＜300</w:t>
            </w:r>
          </w:p>
        </w:tc>
        <w:tc>
          <w:tcPr>
            <w:tcW w:w="1134" w:type="dxa"/>
            <w:tcBorders>
              <w:top w:val="nil"/>
              <w:left w:val="nil"/>
              <w:bottom w:val="single" w:color="auto" w:sz="4" w:space="0"/>
              <w:right w:val="single" w:color="auto" w:sz="4" w:space="0"/>
              <w:tl2br w:val="nil"/>
              <w:tr2bl w:val="nil"/>
            </w:tcBorders>
            <w:noWrap w:val="0"/>
            <w:vAlign w:val="center"/>
          </w:tcPr>
          <w:p w14:paraId="2AFC8807">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X＜20</w:t>
            </w:r>
          </w:p>
        </w:tc>
      </w:tr>
      <w:tr w14:paraId="07BF13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l2br w:val="nil"/>
              <w:tr2bl w:val="nil"/>
            </w:tcBorders>
            <w:noWrap w:val="0"/>
            <w:vAlign w:val="center"/>
          </w:tcPr>
          <w:p w14:paraId="0D7F2195">
            <w:pPr>
              <w:widowControl/>
              <w:jc w:val="center"/>
              <w:rPr>
                <w:rFonts w:hint="default" w:ascii="宋体" w:hAnsi="宋体" w:eastAsia="宋体" w:cs="宋体"/>
                <w:b/>
                <w:color w:val="auto"/>
                <w:kern w:val="0"/>
                <w:sz w:val="21"/>
                <w:szCs w:val="21"/>
                <w:highlight w:val="none"/>
              </w:rPr>
            </w:pPr>
          </w:p>
        </w:tc>
        <w:tc>
          <w:tcPr>
            <w:tcW w:w="1680" w:type="dxa"/>
            <w:tcBorders>
              <w:top w:val="nil"/>
              <w:left w:val="nil"/>
              <w:bottom w:val="single" w:color="auto" w:sz="4" w:space="0"/>
              <w:right w:val="single" w:color="auto" w:sz="4" w:space="0"/>
              <w:tl2br w:val="nil"/>
              <w:tr2bl w:val="nil"/>
            </w:tcBorders>
            <w:noWrap w:val="0"/>
            <w:vAlign w:val="center"/>
          </w:tcPr>
          <w:p w14:paraId="54F163AC">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营业收入（Y）</w:t>
            </w:r>
          </w:p>
        </w:tc>
        <w:tc>
          <w:tcPr>
            <w:tcW w:w="1156" w:type="dxa"/>
            <w:tcBorders>
              <w:top w:val="nil"/>
              <w:left w:val="nil"/>
              <w:bottom w:val="single" w:color="auto" w:sz="4" w:space="0"/>
              <w:right w:val="single" w:color="auto" w:sz="4" w:space="0"/>
              <w:tl2br w:val="nil"/>
              <w:tr2bl w:val="nil"/>
            </w:tcBorders>
            <w:noWrap w:val="0"/>
            <w:vAlign w:val="center"/>
          </w:tcPr>
          <w:p w14:paraId="21D24CB4">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万元</w:t>
            </w:r>
          </w:p>
        </w:tc>
        <w:tc>
          <w:tcPr>
            <w:tcW w:w="1843" w:type="dxa"/>
            <w:tcBorders>
              <w:top w:val="nil"/>
              <w:left w:val="nil"/>
              <w:bottom w:val="single" w:color="auto" w:sz="4" w:space="0"/>
              <w:right w:val="single" w:color="auto" w:sz="4" w:space="0"/>
              <w:tl2br w:val="nil"/>
              <w:tr2bl w:val="nil"/>
            </w:tcBorders>
            <w:noWrap w:val="0"/>
            <w:vAlign w:val="center"/>
          </w:tcPr>
          <w:p w14:paraId="1F4D2345">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3000≤Y＜30000</w:t>
            </w:r>
          </w:p>
        </w:tc>
        <w:tc>
          <w:tcPr>
            <w:tcW w:w="1702" w:type="dxa"/>
            <w:tcBorders>
              <w:top w:val="nil"/>
              <w:left w:val="nil"/>
              <w:bottom w:val="single" w:color="auto" w:sz="4" w:space="0"/>
              <w:right w:val="single" w:color="auto" w:sz="4" w:space="0"/>
              <w:tl2br w:val="nil"/>
              <w:tr2bl w:val="nil"/>
            </w:tcBorders>
            <w:noWrap w:val="0"/>
            <w:vAlign w:val="center"/>
          </w:tcPr>
          <w:p w14:paraId="3535DA11">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200≤Y＜3000</w:t>
            </w:r>
          </w:p>
        </w:tc>
        <w:tc>
          <w:tcPr>
            <w:tcW w:w="1134" w:type="dxa"/>
            <w:tcBorders>
              <w:top w:val="nil"/>
              <w:left w:val="nil"/>
              <w:bottom w:val="single" w:color="auto" w:sz="4" w:space="0"/>
              <w:right w:val="single" w:color="auto" w:sz="4" w:space="0"/>
              <w:tl2br w:val="nil"/>
              <w:tr2bl w:val="nil"/>
            </w:tcBorders>
            <w:noWrap w:val="0"/>
            <w:vAlign w:val="center"/>
          </w:tcPr>
          <w:p w14:paraId="71176EA4">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Y＜200</w:t>
            </w:r>
          </w:p>
        </w:tc>
      </w:tr>
      <w:tr w14:paraId="0A30B2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l2br w:val="nil"/>
              <w:tr2bl w:val="nil"/>
            </w:tcBorders>
            <w:noWrap w:val="0"/>
            <w:vAlign w:val="bottom"/>
          </w:tcPr>
          <w:p w14:paraId="68C0E96D">
            <w:pPr>
              <w:widowControl/>
              <w:jc w:val="center"/>
              <w:rPr>
                <w:rFonts w:hint="default" w:ascii="宋体" w:hAnsi="宋体" w:eastAsia="宋体" w:cs="宋体"/>
                <w:b/>
                <w:color w:val="auto"/>
                <w:kern w:val="0"/>
                <w:sz w:val="21"/>
                <w:szCs w:val="21"/>
                <w:highlight w:val="none"/>
              </w:rPr>
            </w:pPr>
            <w:r>
              <w:rPr>
                <w:rFonts w:hint="default" w:ascii="宋体" w:hAnsi="宋体" w:eastAsia="宋体" w:cs="宋体"/>
                <w:b/>
                <w:color w:val="auto"/>
                <w:kern w:val="0"/>
                <w:sz w:val="21"/>
                <w:szCs w:val="21"/>
                <w:highlight w:val="none"/>
              </w:rPr>
              <w:t>仓储业</w:t>
            </w:r>
          </w:p>
        </w:tc>
        <w:tc>
          <w:tcPr>
            <w:tcW w:w="1680" w:type="dxa"/>
            <w:tcBorders>
              <w:top w:val="nil"/>
              <w:left w:val="nil"/>
              <w:bottom w:val="single" w:color="auto" w:sz="4" w:space="0"/>
              <w:right w:val="single" w:color="auto" w:sz="4" w:space="0"/>
              <w:tl2br w:val="nil"/>
              <w:tr2bl w:val="nil"/>
            </w:tcBorders>
            <w:noWrap w:val="0"/>
            <w:vAlign w:val="center"/>
          </w:tcPr>
          <w:p w14:paraId="6BD44503">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从业人员（X）</w:t>
            </w:r>
          </w:p>
        </w:tc>
        <w:tc>
          <w:tcPr>
            <w:tcW w:w="1156" w:type="dxa"/>
            <w:tcBorders>
              <w:top w:val="nil"/>
              <w:left w:val="nil"/>
              <w:bottom w:val="single" w:color="auto" w:sz="4" w:space="0"/>
              <w:right w:val="single" w:color="auto" w:sz="4" w:space="0"/>
              <w:tl2br w:val="nil"/>
              <w:tr2bl w:val="nil"/>
            </w:tcBorders>
            <w:noWrap w:val="0"/>
            <w:vAlign w:val="center"/>
          </w:tcPr>
          <w:p w14:paraId="18CD78FC">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人</w:t>
            </w:r>
          </w:p>
        </w:tc>
        <w:tc>
          <w:tcPr>
            <w:tcW w:w="1843" w:type="dxa"/>
            <w:tcBorders>
              <w:top w:val="nil"/>
              <w:left w:val="nil"/>
              <w:bottom w:val="single" w:color="auto" w:sz="4" w:space="0"/>
              <w:right w:val="single" w:color="auto" w:sz="4" w:space="0"/>
              <w:tl2br w:val="nil"/>
              <w:tr2bl w:val="nil"/>
            </w:tcBorders>
            <w:noWrap w:val="0"/>
            <w:vAlign w:val="center"/>
          </w:tcPr>
          <w:p w14:paraId="1014D8B8">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100≤X＜200</w:t>
            </w:r>
          </w:p>
        </w:tc>
        <w:tc>
          <w:tcPr>
            <w:tcW w:w="1702" w:type="dxa"/>
            <w:tcBorders>
              <w:top w:val="nil"/>
              <w:left w:val="nil"/>
              <w:bottom w:val="single" w:color="auto" w:sz="4" w:space="0"/>
              <w:right w:val="single" w:color="auto" w:sz="4" w:space="0"/>
              <w:tl2br w:val="nil"/>
              <w:tr2bl w:val="nil"/>
            </w:tcBorders>
            <w:noWrap w:val="0"/>
            <w:vAlign w:val="center"/>
          </w:tcPr>
          <w:p w14:paraId="5E0A6212">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20≤X＜100</w:t>
            </w:r>
          </w:p>
        </w:tc>
        <w:tc>
          <w:tcPr>
            <w:tcW w:w="1134" w:type="dxa"/>
            <w:tcBorders>
              <w:top w:val="nil"/>
              <w:left w:val="nil"/>
              <w:bottom w:val="single" w:color="auto" w:sz="4" w:space="0"/>
              <w:right w:val="single" w:color="auto" w:sz="4" w:space="0"/>
              <w:tl2br w:val="nil"/>
              <w:tr2bl w:val="nil"/>
            </w:tcBorders>
            <w:noWrap w:val="0"/>
            <w:vAlign w:val="center"/>
          </w:tcPr>
          <w:p w14:paraId="784F88CB">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X＜20</w:t>
            </w:r>
          </w:p>
        </w:tc>
      </w:tr>
      <w:tr w14:paraId="7454BC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l2br w:val="nil"/>
              <w:tr2bl w:val="nil"/>
            </w:tcBorders>
            <w:noWrap w:val="0"/>
            <w:vAlign w:val="center"/>
          </w:tcPr>
          <w:p w14:paraId="29C7EDC4">
            <w:pPr>
              <w:widowControl/>
              <w:jc w:val="center"/>
              <w:rPr>
                <w:rFonts w:hint="default" w:ascii="宋体" w:hAnsi="宋体" w:eastAsia="宋体" w:cs="宋体"/>
                <w:b/>
                <w:color w:val="auto"/>
                <w:kern w:val="0"/>
                <w:sz w:val="21"/>
                <w:szCs w:val="21"/>
                <w:highlight w:val="none"/>
              </w:rPr>
            </w:pPr>
          </w:p>
        </w:tc>
        <w:tc>
          <w:tcPr>
            <w:tcW w:w="1680" w:type="dxa"/>
            <w:tcBorders>
              <w:top w:val="nil"/>
              <w:left w:val="nil"/>
              <w:bottom w:val="single" w:color="auto" w:sz="4" w:space="0"/>
              <w:right w:val="single" w:color="auto" w:sz="4" w:space="0"/>
              <w:tl2br w:val="nil"/>
              <w:tr2bl w:val="nil"/>
            </w:tcBorders>
            <w:noWrap w:val="0"/>
            <w:vAlign w:val="center"/>
          </w:tcPr>
          <w:p w14:paraId="522DCC95">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营业收入（Y）</w:t>
            </w:r>
          </w:p>
        </w:tc>
        <w:tc>
          <w:tcPr>
            <w:tcW w:w="1156" w:type="dxa"/>
            <w:tcBorders>
              <w:top w:val="nil"/>
              <w:left w:val="nil"/>
              <w:bottom w:val="single" w:color="auto" w:sz="4" w:space="0"/>
              <w:right w:val="single" w:color="auto" w:sz="4" w:space="0"/>
              <w:tl2br w:val="nil"/>
              <w:tr2bl w:val="nil"/>
            </w:tcBorders>
            <w:noWrap w:val="0"/>
            <w:vAlign w:val="center"/>
          </w:tcPr>
          <w:p w14:paraId="7CAF60B2">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万元</w:t>
            </w:r>
          </w:p>
        </w:tc>
        <w:tc>
          <w:tcPr>
            <w:tcW w:w="1843" w:type="dxa"/>
            <w:tcBorders>
              <w:top w:val="nil"/>
              <w:left w:val="nil"/>
              <w:bottom w:val="single" w:color="auto" w:sz="4" w:space="0"/>
              <w:right w:val="single" w:color="auto" w:sz="4" w:space="0"/>
              <w:tl2br w:val="nil"/>
              <w:tr2bl w:val="nil"/>
            </w:tcBorders>
            <w:noWrap w:val="0"/>
            <w:vAlign w:val="center"/>
          </w:tcPr>
          <w:p w14:paraId="11C88A0D">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1000≤Y＜30000</w:t>
            </w:r>
          </w:p>
        </w:tc>
        <w:tc>
          <w:tcPr>
            <w:tcW w:w="1702" w:type="dxa"/>
            <w:tcBorders>
              <w:top w:val="nil"/>
              <w:left w:val="nil"/>
              <w:bottom w:val="single" w:color="auto" w:sz="4" w:space="0"/>
              <w:right w:val="single" w:color="auto" w:sz="4" w:space="0"/>
              <w:tl2br w:val="nil"/>
              <w:tr2bl w:val="nil"/>
            </w:tcBorders>
            <w:noWrap w:val="0"/>
            <w:vAlign w:val="center"/>
          </w:tcPr>
          <w:p w14:paraId="23793EBB">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100≤Y＜1000</w:t>
            </w:r>
          </w:p>
        </w:tc>
        <w:tc>
          <w:tcPr>
            <w:tcW w:w="1134" w:type="dxa"/>
            <w:tcBorders>
              <w:top w:val="nil"/>
              <w:left w:val="nil"/>
              <w:bottom w:val="single" w:color="auto" w:sz="4" w:space="0"/>
              <w:right w:val="single" w:color="auto" w:sz="4" w:space="0"/>
              <w:tl2br w:val="nil"/>
              <w:tr2bl w:val="nil"/>
            </w:tcBorders>
            <w:noWrap w:val="0"/>
            <w:vAlign w:val="center"/>
          </w:tcPr>
          <w:p w14:paraId="221F8869">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Y＜100</w:t>
            </w:r>
          </w:p>
        </w:tc>
      </w:tr>
      <w:tr w14:paraId="2BC87C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l2br w:val="nil"/>
              <w:tr2bl w:val="nil"/>
            </w:tcBorders>
            <w:noWrap w:val="0"/>
            <w:vAlign w:val="bottom"/>
          </w:tcPr>
          <w:p w14:paraId="66976E48">
            <w:pPr>
              <w:widowControl/>
              <w:jc w:val="center"/>
              <w:rPr>
                <w:rFonts w:hint="default" w:ascii="宋体" w:hAnsi="宋体" w:eastAsia="宋体" w:cs="宋体"/>
                <w:b/>
                <w:color w:val="auto"/>
                <w:kern w:val="0"/>
                <w:sz w:val="21"/>
                <w:szCs w:val="21"/>
                <w:highlight w:val="none"/>
              </w:rPr>
            </w:pPr>
            <w:r>
              <w:rPr>
                <w:rFonts w:hint="default" w:ascii="宋体" w:hAnsi="宋体" w:eastAsia="宋体" w:cs="宋体"/>
                <w:b/>
                <w:color w:val="auto"/>
                <w:kern w:val="0"/>
                <w:sz w:val="21"/>
                <w:szCs w:val="21"/>
                <w:highlight w:val="none"/>
              </w:rPr>
              <w:t>邮政业</w:t>
            </w:r>
          </w:p>
        </w:tc>
        <w:tc>
          <w:tcPr>
            <w:tcW w:w="1680" w:type="dxa"/>
            <w:tcBorders>
              <w:top w:val="nil"/>
              <w:left w:val="nil"/>
              <w:bottom w:val="single" w:color="auto" w:sz="4" w:space="0"/>
              <w:right w:val="single" w:color="auto" w:sz="4" w:space="0"/>
              <w:tl2br w:val="nil"/>
              <w:tr2bl w:val="nil"/>
            </w:tcBorders>
            <w:noWrap w:val="0"/>
            <w:vAlign w:val="center"/>
          </w:tcPr>
          <w:p w14:paraId="203AFF57">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从业人员（X）</w:t>
            </w:r>
          </w:p>
        </w:tc>
        <w:tc>
          <w:tcPr>
            <w:tcW w:w="1156" w:type="dxa"/>
            <w:tcBorders>
              <w:top w:val="nil"/>
              <w:left w:val="nil"/>
              <w:bottom w:val="single" w:color="auto" w:sz="4" w:space="0"/>
              <w:right w:val="single" w:color="auto" w:sz="4" w:space="0"/>
              <w:tl2br w:val="nil"/>
              <w:tr2bl w:val="nil"/>
            </w:tcBorders>
            <w:noWrap w:val="0"/>
            <w:vAlign w:val="center"/>
          </w:tcPr>
          <w:p w14:paraId="6F926A4E">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人</w:t>
            </w:r>
          </w:p>
        </w:tc>
        <w:tc>
          <w:tcPr>
            <w:tcW w:w="1843" w:type="dxa"/>
            <w:tcBorders>
              <w:top w:val="nil"/>
              <w:left w:val="nil"/>
              <w:bottom w:val="single" w:color="auto" w:sz="4" w:space="0"/>
              <w:right w:val="single" w:color="auto" w:sz="4" w:space="0"/>
              <w:tl2br w:val="nil"/>
              <w:tr2bl w:val="nil"/>
            </w:tcBorders>
            <w:noWrap w:val="0"/>
            <w:vAlign w:val="center"/>
          </w:tcPr>
          <w:p w14:paraId="37D17598">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300≤X＜1000</w:t>
            </w:r>
          </w:p>
        </w:tc>
        <w:tc>
          <w:tcPr>
            <w:tcW w:w="1702" w:type="dxa"/>
            <w:tcBorders>
              <w:top w:val="nil"/>
              <w:left w:val="nil"/>
              <w:bottom w:val="single" w:color="auto" w:sz="4" w:space="0"/>
              <w:right w:val="single" w:color="auto" w:sz="4" w:space="0"/>
              <w:tl2br w:val="nil"/>
              <w:tr2bl w:val="nil"/>
            </w:tcBorders>
            <w:noWrap w:val="0"/>
            <w:vAlign w:val="center"/>
          </w:tcPr>
          <w:p w14:paraId="4D6DC49E">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20≤X＜300</w:t>
            </w:r>
          </w:p>
        </w:tc>
        <w:tc>
          <w:tcPr>
            <w:tcW w:w="1134" w:type="dxa"/>
            <w:tcBorders>
              <w:top w:val="nil"/>
              <w:left w:val="nil"/>
              <w:bottom w:val="single" w:color="auto" w:sz="4" w:space="0"/>
              <w:right w:val="single" w:color="auto" w:sz="4" w:space="0"/>
              <w:tl2br w:val="nil"/>
              <w:tr2bl w:val="nil"/>
            </w:tcBorders>
            <w:noWrap w:val="0"/>
            <w:vAlign w:val="center"/>
          </w:tcPr>
          <w:p w14:paraId="26630CA9">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X＜20</w:t>
            </w:r>
          </w:p>
        </w:tc>
      </w:tr>
      <w:tr w14:paraId="61E532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l2br w:val="nil"/>
              <w:tr2bl w:val="nil"/>
            </w:tcBorders>
            <w:noWrap w:val="0"/>
            <w:vAlign w:val="center"/>
          </w:tcPr>
          <w:p w14:paraId="26AF8DA4">
            <w:pPr>
              <w:widowControl/>
              <w:jc w:val="center"/>
              <w:rPr>
                <w:rFonts w:hint="default" w:ascii="宋体" w:hAnsi="宋体" w:eastAsia="宋体" w:cs="宋体"/>
                <w:b/>
                <w:color w:val="auto"/>
                <w:kern w:val="0"/>
                <w:sz w:val="21"/>
                <w:szCs w:val="21"/>
                <w:highlight w:val="none"/>
              </w:rPr>
            </w:pPr>
          </w:p>
        </w:tc>
        <w:tc>
          <w:tcPr>
            <w:tcW w:w="1680" w:type="dxa"/>
            <w:tcBorders>
              <w:top w:val="nil"/>
              <w:left w:val="nil"/>
              <w:bottom w:val="single" w:color="auto" w:sz="4" w:space="0"/>
              <w:right w:val="single" w:color="auto" w:sz="4" w:space="0"/>
              <w:tl2br w:val="nil"/>
              <w:tr2bl w:val="nil"/>
            </w:tcBorders>
            <w:noWrap w:val="0"/>
            <w:vAlign w:val="center"/>
          </w:tcPr>
          <w:p w14:paraId="65BB71DF">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营业收入（Y）</w:t>
            </w:r>
          </w:p>
        </w:tc>
        <w:tc>
          <w:tcPr>
            <w:tcW w:w="1156" w:type="dxa"/>
            <w:tcBorders>
              <w:top w:val="nil"/>
              <w:left w:val="nil"/>
              <w:bottom w:val="single" w:color="auto" w:sz="4" w:space="0"/>
              <w:right w:val="single" w:color="auto" w:sz="4" w:space="0"/>
              <w:tl2br w:val="nil"/>
              <w:tr2bl w:val="nil"/>
            </w:tcBorders>
            <w:noWrap w:val="0"/>
            <w:vAlign w:val="center"/>
          </w:tcPr>
          <w:p w14:paraId="1AD8732A">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万元</w:t>
            </w:r>
          </w:p>
        </w:tc>
        <w:tc>
          <w:tcPr>
            <w:tcW w:w="1843" w:type="dxa"/>
            <w:tcBorders>
              <w:top w:val="nil"/>
              <w:left w:val="nil"/>
              <w:bottom w:val="single" w:color="auto" w:sz="4" w:space="0"/>
              <w:right w:val="single" w:color="auto" w:sz="4" w:space="0"/>
              <w:tl2br w:val="nil"/>
              <w:tr2bl w:val="nil"/>
            </w:tcBorders>
            <w:noWrap w:val="0"/>
            <w:vAlign w:val="center"/>
          </w:tcPr>
          <w:p w14:paraId="39889836">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2000≤Y＜30000</w:t>
            </w:r>
          </w:p>
        </w:tc>
        <w:tc>
          <w:tcPr>
            <w:tcW w:w="1702" w:type="dxa"/>
            <w:tcBorders>
              <w:top w:val="nil"/>
              <w:left w:val="nil"/>
              <w:bottom w:val="single" w:color="auto" w:sz="4" w:space="0"/>
              <w:right w:val="single" w:color="auto" w:sz="4" w:space="0"/>
              <w:tl2br w:val="nil"/>
              <w:tr2bl w:val="nil"/>
            </w:tcBorders>
            <w:noWrap w:val="0"/>
            <w:vAlign w:val="center"/>
          </w:tcPr>
          <w:p w14:paraId="1209A15E">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100≤Y＜2000</w:t>
            </w:r>
          </w:p>
        </w:tc>
        <w:tc>
          <w:tcPr>
            <w:tcW w:w="1134" w:type="dxa"/>
            <w:tcBorders>
              <w:top w:val="nil"/>
              <w:left w:val="nil"/>
              <w:bottom w:val="single" w:color="auto" w:sz="4" w:space="0"/>
              <w:right w:val="single" w:color="auto" w:sz="4" w:space="0"/>
              <w:tl2br w:val="nil"/>
              <w:tr2bl w:val="nil"/>
            </w:tcBorders>
            <w:noWrap w:val="0"/>
            <w:vAlign w:val="center"/>
          </w:tcPr>
          <w:p w14:paraId="762F1788">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Y＜100</w:t>
            </w:r>
          </w:p>
        </w:tc>
      </w:tr>
      <w:tr w14:paraId="1324C0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l2br w:val="nil"/>
              <w:tr2bl w:val="nil"/>
            </w:tcBorders>
            <w:noWrap w:val="0"/>
            <w:vAlign w:val="bottom"/>
          </w:tcPr>
          <w:p w14:paraId="7C97F28B">
            <w:pPr>
              <w:widowControl/>
              <w:jc w:val="center"/>
              <w:rPr>
                <w:rFonts w:hint="default" w:ascii="宋体" w:hAnsi="宋体" w:eastAsia="宋体" w:cs="宋体"/>
                <w:b/>
                <w:color w:val="auto"/>
                <w:kern w:val="0"/>
                <w:sz w:val="21"/>
                <w:szCs w:val="21"/>
                <w:highlight w:val="none"/>
              </w:rPr>
            </w:pPr>
            <w:r>
              <w:rPr>
                <w:rFonts w:hint="default" w:ascii="宋体" w:hAnsi="宋体" w:eastAsia="宋体" w:cs="宋体"/>
                <w:b/>
                <w:color w:val="auto"/>
                <w:kern w:val="0"/>
                <w:sz w:val="21"/>
                <w:szCs w:val="21"/>
                <w:highlight w:val="none"/>
              </w:rPr>
              <w:t>住宿业</w:t>
            </w:r>
          </w:p>
        </w:tc>
        <w:tc>
          <w:tcPr>
            <w:tcW w:w="1680" w:type="dxa"/>
            <w:tcBorders>
              <w:top w:val="nil"/>
              <w:left w:val="nil"/>
              <w:bottom w:val="single" w:color="auto" w:sz="4" w:space="0"/>
              <w:right w:val="single" w:color="auto" w:sz="4" w:space="0"/>
              <w:tl2br w:val="nil"/>
              <w:tr2bl w:val="nil"/>
            </w:tcBorders>
            <w:noWrap w:val="0"/>
            <w:vAlign w:val="center"/>
          </w:tcPr>
          <w:p w14:paraId="2EAC6931">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从业人员（X）</w:t>
            </w:r>
          </w:p>
        </w:tc>
        <w:tc>
          <w:tcPr>
            <w:tcW w:w="1156" w:type="dxa"/>
            <w:tcBorders>
              <w:top w:val="nil"/>
              <w:left w:val="nil"/>
              <w:bottom w:val="single" w:color="auto" w:sz="4" w:space="0"/>
              <w:right w:val="single" w:color="auto" w:sz="4" w:space="0"/>
              <w:tl2br w:val="nil"/>
              <w:tr2bl w:val="nil"/>
            </w:tcBorders>
            <w:noWrap w:val="0"/>
            <w:vAlign w:val="center"/>
          </w:tcPr>
          <w:p w14:paraId="2A51D07C">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人</w:t>
            </w:r>
          </w:p>
        </w:tc>
        <w:tc>
          <w:tcPr>
            <w:tcW w:w="1843" w:type="dxa"/>
            <w:tcBorders>
              <w:top w:val="nil"/>
              <w:left w:val="nil"/>
              <w:bottom w:val="single" w:color="auto" w:sz="4" w:space="0"/>
              <w:right w:val="single" w:color="auto" w:sz="4" w:space="0"/>
              <w:tl2br w:val="nil"/>
              <w:tr2bl w:val="nil"/>
            </w:tcBorders>
            <w:noWrap w:val="0"/>
            <w:vAlign w:val="center"/>
          </w:tcPr>
          <w:p w14:paraId="76957BF4">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100≤X＜300</w:t>
            </w:r>
          </w:p>
        </w:tc>
        <w:tc>
          <w:tcPr>
            <w:tcW w:w="1702" w:type="dxa"/>
            <w:tcBorders>
              <w:top w:val="nil"/>
              <w:left w:val="nil"/>
              <w:bottom w:val="single" w:color="auto" w:sz="4" w:space="0"/>
              <w:right w:val="single" w:color="auto" w:sz="4" w:space="0"/>
              <w:tl2br w:val="nil"/>
              <w:tr2bl w:val="nil"/>
            </w:tcBorders>
            <w:noWrap w:val="0"/>
            <w:vAlign w:val="center"/>
          </w:tcPr>
          <w:p w14:paraId="4C9A6832">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10≤X＜100</w:t>
            </w:r>
          </w:p>
        </w:tc>
        <w:tc>
          <w:tcPr>
            <w:tcW w:w="1134" w:type="dxa"/>
            <w:tcBorders>
              <w:top w:val="nil"/>
              <w:left w:val="nil"/>
              <w:bottom w:val="single" w:color="auto" w:sz="4" w:space="0"/>
              <w:right w:val="single" w:color="auto" w:sz="4" w:space="0"/>
              <w:tl2br w:val="nil"/>
              <w:tr2bl w:val="nil"/>
            </w:tcBorders>
            <w:noWrap w:val="0"/>
            <w:vAlign w:val="center"/>
          </w:tcPr>
          <w:p w14:paraId="21A433E6">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X＜10</w:t>
            </w:r>
          </w:p>
        </w:tc>
      </w:tr>
      <w:tr w14:paraId="191B58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l2br w:val="nil"/>
              <w:tr2bl w:val="nil"/>
            </w:tcBorders>
            <w:noWrap w:val="0"/>
            <w:vAlign w:val="center"/>
          </w:tcPr>
          <w:p w14:paraId="54D42CA6">
            <w:pPr>
              <w:widowControl/>
              <w:jc w:val="center"/>
              <w:rPr>
                <w:rFonts w:hint="default" w:ascii="宋体" w:hAnsi="宋体" w:eastAsia="宋体" w:cs="宋体"/>
                <w:b/>
                <w:color w:val="auto"/>
                <w:kern w:val="0"/>
                <w:sz w:val="21"/>
                <w:szCs w:val="21"/>
                <w:highlight w:val="none"/>
              </w:rPr>
            </w:pPr>
          </w:p>
        </w:tc>
        <w:tc>
          <w:tcPr>
            <w:tcW w:w="1680" w:type="dxa"/>
            <w:tcBorders>
              <w:top w:val="nil"/>
              <w:left w:val="nil"/>
              <w:bottom w:val="single" w:color="auto" w:sz="4" w:space="0"/>
              <w:right w:val="single" w:color="auto" w:sz="4" w:space="0"/>
              <w:tl2br w:val="nil"/>
              <w:tr2bl w:val="nil"/>
            </w:tcBorders>
            <w:noWrap w:val="0"/>
            <w:vAlign w:val="center"/>
          </w:tcPr>
          <w:p w14:paraId="107976C5">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营业收入（Y）</w:t>
            </w:r>
          </w:p>
        </w:tc>
        <w:tc>
          <w:tcPr>
            <w:tcW w:w="1156" w:type="dxa"/>
            <w:tcBorders>
              <w:top w:val="nil"/>
              <w:left w:val="nil"/>
              <w:bottom w:val="single" w:color="auto" w:sz="4" w:space="0"/>
              <w:right w:val="single" w:color="auto" w:sz="4" w:space="0"/>
              <w:tl2br w:val="nil"/>
              <w:tr2bl w:val="nil"/>
            </w:tcBorders>
            <w:noWrap w:val="0"/>
            <w:vAlign w:val="center"/>
          </w:tcPr>
          <w:p w14:paraId="76A4A02A">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万元</w:t>
            </w:r>
          </w:p>
        </w:tc>
        <w:tc>
          <w:tcPr>
            <w:tcW w:w="1843" w:type="dxa"/>
            <w:tcBorders>
              <w:top w:val="nil"/>
              <w:left w:val="nil"/>
              <w:bottom w:val="single" w:color="auto" w:sz="4" w:space="0"/>
              <w:right w:val="single" w:color="auto" w:sz="4" w:space="0"/>
              <w:tl2br w:val="nil"/>
              <w:tr2bl w:val="nil"/>
            </w:tcBorders>
            <w:noWrap w:val="0"/>
            <w:vAlign w:val="center"/>
          </w:tcPr>
          <w:p w14:paraId="33BAB561">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2000≤Y＜10000</w:t>
            </w:r>
          </w:p>
        </w:tc>
        <w:tc>
          <w:tcPr>
            <w:tcW w:w="1702" w:type="dxa"/>
            <w:tcBorders>
              <w:top w:val="nil"/>
              <w:left w:val="nil"/>
              <w:bottom w:val="single" w:color="auto" w:sz="4" w:space="0"/>
              <w:right w:val="single" w:color="auto" w:sz="4" w:space="0"/>
              <w:tl2br w:val="nil"/>
              <w:tr2bl w:val="nil"/>
            </w:tcBorders>
            <w:noWrap w:val="0"/>
            <w:vAlign w:val="center"/>
          </w:tcPr>
          <w:p w14:paraId="5F521341">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100≤Y＜2000</w:t>
            </w:r>
          </w:p>
        </w:tc>
        <w:tc>
          <w:tcPr>
            <w:tcW w:w="1134" w:type="dxa"/>
            <w:tcBorders>
              <w:top w:val="nil"/>
              <w:left w:val="nil"/>
              <w:bottom w:val="single" w:color="auto" w:sz="4" w:space="0"/>
              <w:right w:val="single" w:color="auto" w:sz="4" w:space="0"/>
              <w:tl2br w:val="nil"/>
              <w:tr2bl w:val="nil"/>
            </w:tcBorders>
            <w:noWrap w:val="0"/>
            <w:vAlign w:val="center"/>
          </w:tcPr>
          <w:p w14:paraId="014BF41D">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Y＜100</w:t>
            </w:r>
          </w:p>
        </w:tc>
      </w:tr>
      <w:tr w14:paraId="47B343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l2br w:val="nil"/>
              <w:tr2bl w:val="nil"/>
            </w:tcBorders>
            <w:noWrap w:val="0"/>
            <w:vAlign w:val="bottom"/>
          </w:tcPr>
          <w:p w14:paraId="01B9D551">
            <w:pPr>
              <w:widowControl/>
              <w:jc w:val="center"/>
              <w:rPr>
                <w:rFonts w:hint="default" w:ascii="宋体" w:hAnsi="宋体" w:eastAsia="宋体" w:cs="宋体"/>
                <w:b/>
                <w:color w:val="auto"/>
                <w:kern w:val="0"/>
                <w:sz w:val="21"/>
                <w:szCs w:val="21"/>
                <w:highlight w:val="none"/>
              </w:rPr>
            </w:pPr>
            <w:r>
              <w:rPr>
                <w:rFonts w:hint="default" w:ascii="宋体" w:hAnsi="宋体" w:eastAsia="宋体" w:cs="宋体"/>
                <w:b/>
                <w:color w:val="auto"/>
                <w:kern w:val="0"/>
                <w:sz w:val="21"/>
                <w:szCs w:val="21"/>
                <w:highlight w:val="none"/>
              </w:rPr>
              <w:t>餐饮业</w:t>
            </w:r>
          </w:p>
        </w:tc>
        <w:tc>
          <w:tcPr>
            <w:tcW w:w="1680" w:type="dxa"/>
            <w:tcBorders>
              <w:top w:val="nil"/>
              <w:left w:val="nil"/>
              <w:bottom w:val="single" w:color="auto" w:sz="4" w:space="0"/>
              <w:right w:val="single" w:color="auto" w:sz="4" w:space="0"/>
              <w:tl2br w:val="nil"/>
              <w:tr2bl w:val="nil"/>
            </w:tcBorders>
            <w:noWrap w:val="0"/>
            <w:vAlign w:val="center"/>
          </w:tcPr>
          <w:p w14:paraId="1EB6E131">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从业人员（X）</w:t>
            </w:r>
          </w:p>
        </w:tc>
        <w:tc>
          <w:tcPr>
            <w:tcW w:w="1156" w:type="dxa"/>
            <w:tcBorders>
              <w:top w:val="nil"/>
              <w:left w:val="nil"/>
              <w:bottom w:val="single" w:color="auto" w:sz="4" w:space="0"/>
              <w:right w:val="single" w:color="auto" w:sz="4" w:space="0"/>
              <w:tl2br w:val="nil"/>
              <w:tr2bl w:val="nil"/>
            </w:tcBorders>
            <w:noWrap w:val="0"/>
            <w:vAlign w:val="center"/>
          </w:tcPr>
          <w:p w14:paraId="3E0CB800">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人</w:t>
            </w:r>
          </w:p>
        </w:tc>
        <w:tc>
          <w:tcPr>
            <w:tcW w:w="1843" w:type="dxa"/>
            <w:tcBorders>
              <w:top w:val="nil"/>
              <w:left w:val="nil"/>
              <w:bottom w:val="single" w:color="auto" w:sz="4" w:space="0"/>
              <w:right w:val="single" w:color="auto" w:sz="4" w:space="0"/>
              <w:tl2br w:val="nil"/>
              <w:tr2bl w:val="nil"/>
            </w:tcBorders>
            <w:noWrap w:val="0"/>
            <w:vAlign w:val="center"/>
          </w:tcPr>
          <w:p w14:paraId="09C0D690">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100≤X＜300</w:t>
            </w:r>
          </w:p>
        </w:tc>
        <w:tc>
          <w:tcPr>
            <w:tcW w:w="1702" w:type="dxa"/>
            <w:tcBorders>
              <w:top w:val="nil"/>
              <w:left w:val="nil"/>
              <w:bottom w:val="single" w:color="auto" w:sz="4" w:space="0"/>
              <w:right w:val="single" w:color="auto" w:sz="4" w:space="0"/>
              <w:tl2br w:val="nil"/>
              <w:tr2bl w:val="nil"/>
            </w:tcBorders>
            <w:noWrap w:val="0"/>
            <w:vAlign w:val="center"/>
          </w:tcPr>
          <w:p w14:paraId="6AC058C4">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10≤X＜100</w:t>
            </w:r>
          </w:p>
        </w:tc>
        <w:tc>
          <w:tcPr>
            <w:tcW w:w="1134" w:type="dxa"/>
            <w:tcBorders>
              <w:top w:val="nil"/>
              <w:left w:val="nil"/>
              <w:bottom w:val="single" w:color="auto" w:sz="4" w:space="0"/>
              <w:right w:val="single" w:color="auto" w:sz="4" w:space="0"/>
              <w:tl2br w:val="nil"/>
              <w:tr2bl w:val="nil"/>
            </w:tcBorders>
            <w:noWrap w:val="0"/>
            <w:vAlign w:val="center"/>
          </w:tcPr>
          <w:p w14:paraId="199E8D3F">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X＜10</w:t>
            </w:r>
          </w:p>
        </w:tc>
      </w:tr>
      <w:tr w14:paraId="4DABD9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l2br w:val="nil"/>
              <w:tr2bl w:val="nil"/>
            </w:tcBorders>
            <w:noWrap w:val="0"/>
            <w:vAlign w:val="center"/>
          </w:tcPr>
          <w:p w14:paraId="2A9A1B2B">
            <w:pPr>
              <w:widowControl/>
              <w:jc w:val="center"/>
              <w:rPr>
                <w:rFonts w:hint="default" w:ascii="宋体" w:hAnsi="宋体" w:eastAsia="宋体" w:cs="宋体"/>
                <w:b/>
                <w:color w:val="auto"/>
                <w:kern w:val="0"/>
                <w:sz w:val="21"/>
                <w:szCs w:val="21"/>
                <w:highlight w:val="none"/>
              </w:rPr>
            </w:pPr>
          </w:p>
        </w:tc>
        <w:tc>
          <w:tcPr>
            <w:tcW w:w="1680" w:type="dxa"/>
            <w:tcBorders>
              <w:top w:val="nil"/>
              <w:left w:val="nil"/>
              <w:bottom w:val="single" w:color="auto" w:sz="4" w:space="0"/>
              <w:right w:val="single" w:color="auto" w:sz="4" w:space="0"/>
              <w:tl2br w:val="nil"/>
              <w:tr2bl w:val="nil"/>
            </w:tcBorders>
            <w:noWrap w:val="0"/>
            <w:vAlign w:val="center"/>
          </w:tcPr>
          <w:p w14:paraId="06D37DD2">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营业收入（Y）</w:t>
            </w:r>
          </w:p>
        </w:tc>
        <w:tc>
          <w:tcPr>
            <w:tcW w:w="1156" w:type="dxa"/>
            <w:tcBorders>
              <w:top w:val="nil"/>
              <w:left w:val="nil"/>
              <w:bottom w:val="single" w:color="auto" w:sz="4" w:space="0"/>
              <w:right w:val="single" w:color="auto" w:sz="4" w:space="0"/>
              <w:tl2br w:val="nil"/>
              <w:tr2bl w:val="nil"/>
            </w:tcBorders>
            <w:noWrap w:val="0"/>
            <w:vAlign w:val="center"/>
          </w:tcPr>
          <w:p w14:paraId="4469F6D1">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万元</w:t>
            </w:r>
          </w:p>
        </w:tc>
        <w:tc>
          <w:tcPr>
            <w:tcW w:w="1843" w:type="dxa"/>
            <w:tcBorders>
              <w:top w:val="nil"/>
              <w:left w:val="nil"/>
              <w:bottom w:val="single" w:color="auto" w:sz="4" w:space="0"/>
              <w:right w:val="single" w:color="auto" w:sz="4" w:space="0"/>
              <w:tl2br w:val="nil"/>
              <w:tr2bl w:val="nil"/>
            </w:tcBorders>
            <w:noWrap w:val="0"/>
            <w:vAlign w:val="center"/>
          </w:tcPr>
          <w:p w14:paraId="0A5DA74B">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2000≤Y＜10000</w:t>
            </w:r>
          </w:p>
        </w:tc>
        <w:tc>
          <w:tcPr>
            <w:tcW w:w="1702" w:type="dxa"/>
            <w:tcBorders>
              <w:top w:val="nil"/>
              <w:left w:val="nil"/>
              <w:bottom w:val="single" w:color="auto" w:sz="4" w:space="0"/>
              <w:right w:val="single" w:color="auto" w:sz="4" w:space="0"/>
              <w:tl2br w:val="nil"/>
              <w:tr2bl w:val="nil"/>
            </w:tcBorders>
            <w:noWrap w:val="0"/>
            <w:vAlign w:val="center"/>
          </w:tcPr>
          <w:p w14:paraId="3974CB22">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100≤Y＜2000</w:t>
            </w:r>
          </w:p>
        </w:tc>
        <w:tc>
          <w:tcPr>
            <w:tcW w:w="1134" w:type="dxa"/>
            <w:tcBorders>
              <w:top w:val="nil"/>
              <w:left w:val="nil"/>
              <w:bottom w:val="single" w:color="auto" w:sz="4" w:space="0"/>
              <w:right w:val="single" w:color="auto" w:sz="4" w:space="0"/>
              <w:tl2br w:val="nil"/>
              <w:tr2bl w:val="nil"/>
            </w:tcBorders>
            <w:noWrap w:val="0"/>
            <w:vAlign w:val="center"/>
          </w:tcPr>
          <w:p w14:paraId="3AF8C79B">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Y＜100</w:t>
            </w:r>
          </w:p>
        </w:tc>
      </w:tr>
      <w:tr w14:paraId="7D3CD7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l2br w:val="nil"/>
              <w:tr2bl w:val="nil"/>
            </w:tcBorders>
            <w:noWrap w:val="0"/>
            <w:vAlign w:val="bottom"/>
          </w:tcPr>
          <w:p w14:paraId="73729FA8">
            <w:pPr>
              <w:widowControl/>
              <w:jc w:val="center"/>
              <w:rPr>
                <w:rFonts w:hint="default" w:ascii="宋体" w:hAnsi="宋体" w:eastAsia="宋体" w:cs="宋体"/>
                <w:b/>
                <w:color w:val="auto"/>
                <w:kern w:val="0"/>
                <w:sz w:val="21"/>
                <w:szCs w:val="21"/>
                <w:highlight w:val="none"/>
              </w:rPr>
            </w:pPr>
            <w:r>
              <w:rPr>
                <w:rFonts w:hint="default" w:ascii="宋体" w:hAnsi="宋体" w:eastAsia="宋体" w:cs="宋体"/>
                <w:b/>
                <w:color w:val="auto"/>
                <w:kern w:val="0"/>
                <w:sz w:val="21"/>
                <w:szCs w:val="21"/>
                <w:highlight w:val="none"/>
              </w:rPr>
              <w:t>信息传输业</w:t>
            </w:r>
          </w:p>
        </w:tc>
        <w:tc>
          <w:tcPr>
            <w:tcW w:w="1680" w:type="dxa"/>
            <w:tcBorders>
              <w:top w:val="nil"/>
              <w:left w:val="nil"/>
              <w:bottom w:val="single" w:color="auto" w:sz="4" w:space="0"/>
              <w:right w:val="single" w:color="auto" w:sz="4" w:space="0"/>
              <w:tl2br w:val="nil"/>
              <w:tr2bl w:val="nil"/>
            </w:tcBorders>
            <w:noWrap w:val="0"/>
            <w:vAlign w:val="center"/>
          </w:tcPr>
          <w:p w14:paraId="7B2B4BA5">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从业人员（X）</w:t>
            </w:r>
          </w:p>
        </w:tc>
        <w:tc>
          <w:tcPr>
            <w:tcW w:w="1156" w:type="dxa"/>
            <w:tcBorders>
              <w:top w:val="nil"/>
              <w:left w:val="nil"/>
              <w:bottom w:val="single" w:color="auto" w:sz="4" w:space="0"/>
              <w:right w:val="single" w:color="auto" w:sz="4" w:space="0"/>
              <w:tl2br w:val="nil"/>
              <w:tr2bl w:val="nil"/>
            </w:tcBorders>
            <w:noWrap w:val="0"/>
            <w:vAlign w:val="center"/>
          </w:tcPr>
          <w:p w14:paraId="4E6D8F2C">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人</w:t>
            </w:r>
          </w:p>
        </w:tc>
        <w:tc>
          <w:tcPr>
            <w:tcW w:w="1843" w:type="dxa"/>
            <w:tcBorders>
              <w:top w:val="nil"/>
              <w:left w:val="nil"/>
              <w:bottom w:val="single" w:color="auto" w:sz="4" w:space="0"/>
              <w:right w:val="single" w:color="auto" w:sz="4" w:space="0"/>
              <w:tl2br w:val="nil"/>
              <w:tr2bl w:val="nil"/>
            </w:tcBorders>
            <w:noWrap w:val="0"/>
            <w:vAlign w:val="center"/>
          </w:tcPr>
          <w:p w14:paraId="6BE014FD">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100≤X＜2000</w:t>
            </w:r>
          </w:p>
        </w:tc>
        <w:tc>
          <w:tcPr>
            <w:tcW w:w="1702" w:type="dxa"/>
            <w:tcBorders>
              <w:top w:val="nil"/>
              <w:left w:val="nil"/>
              <w:bottom w:val="single" w:color="auto" w:sz="4" w:space="0"/>
              <w:right w:val="single" w:color="auto" w:sz="4" w:space="0"/>
              <w:tl2br w:val="nil"/>
              <w:tr2bl w:val="nil"/>
            </w:tcBorders>
            <w:noWrap w:val="0"/>
            <w:vAlign w:val="center"/>
          </w:tcPr>
          <w:p w14:paraId="34E0EA44">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10≤X＜100</w:t>
            </w:r>
          </w:p>
        </w:tc>
        <w:tc>
          <w:tcPr>
            <w:tcW w:w="1134" w:type="dxa"/>
            <w:tcBorders>
              <w:top w:val="nil"/>
              <w:left w:val="nil"/>
              <w:bottom w:val="single" w:color="auto" w:sz="4" w:space="0"/>
              <w:right w:val="single" w:color="auto" w:sz="4" w:space="0"/>
              <w:tl2br w:val="nil"/>
              <w:tr2bl w:val="nil"/>
            </w:tcBorders>
            <w:noWrap w:val="0"/>
            <w:vAlign w:val="center"/>
          </w:tcPr>
          <w:p w14:paraId="1CCB936A">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X＜10</w:t>
            </w:r>
          </w:p>
        </w:tc>
      </w:tr>
      <w:tr w14:paraId="4BBCC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l2br w:val="nil"/>
              <w:tr2bl w:val="nil"/>
            </w:tcBorders>
            <w:noWrap w:val="0"/>
            <w:vAlign w:val="center"/>
          </w:tcPr>
          <w:p w14:paraId="6A2D52FB">
            <w:pPr>
              <w:widowControl/>
              <w:jc w:val="center"/>
              <w:rPr>
                <w:rFonts w:hint="default" w:ascii="宋体" w:hAnsi="宋体" w:eastAsia="宋体" w:cs="宋体"/>
                <w:b/>
                <w:color w:val="auto"/>
                <w:kern w:val="0"/>
                <w:sz w:val="21"/>
                <w:szCs w:val="21"/>
                <w:highlight w:val="none"/>
              </w:rPr>
            </w:pPr>
          </w:p>
        </w:tc>
        <w:tc>
          <w:tcPr>
            <w:tcW w:w="1680" w:type="dxa"/>
            <w:tcBorders>
              <w:top w:val="nil"/>
              <w:left w:val="nil"/>
              <w:bottom w:val="single" w:color="auto" w:sz="4" w:space="0"/>
              <w:right w:val="single" w:color="auto" w:sz="4" w:space="0"/>
              <w:tl2br w:val="nil"/>
              <w:tr2bl w:val="nil"/>
            </w:tcBorders>
            <w:noWrap w:val="0"/>
            <w:vAlign w:val="center"/>
          </w:tcPr>
          <w:p w14:paraId="435EB7A8">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营业收入（Y）</w:t>
            </w:r>
          </w:p>
        </w:tc>
        <w:tc>
          <w:tcPr>
            <w:tcW w:w="1156" w:type="dxa"/>
            <w:tcBorders>
              <w:top w:val="nil"/>
              <w:left w:val="nil"/>
              <w:bottom w:val="single" w:color="auto" w:sz="4" w:space="0"/>
              <w:right w:val="single" w:color="auto" w:sz="4" w:space="0"/>
              <w:tl2br w:val="nil"/>
              <w:tr2bl w:val="nil"/>
            </w:tcBorders>
            <w:noWrap w:val="0"/>
            <w:vAlign w:val="center"/>
          </w:tcPr>
          <w:p w14:paraId="57C21D47">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万元</w:t>
            </w:r>
          </w:p>
        </w:tc>
        <w:tc>
          <w:tcPr>
            <w:tcW w:w="1843" w:type="dxa"/>
            <w:tcBorders>
              <w:top w:val="nil"/>
              <w:left w:val="nil"/>
              <w:bottom w:val="single" w:color="auto" w:sz="4" w:space="0"/>
              <w:right w:val="single" w:color="auto" w:sz="4" w:space="0"/>
              <w:tl2br w:val="nil"/>
              <w:tr2bl w:val="nil"/>
            </w:tcBorders>
            <w:noWrap w:val="0"/>
            <w:vAlign w:val="center"/>
          </w:tcPr>
          <w:p w14:paraId="0B06C2D0">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1000≤Y＜100000</w:t>
            </w:r>
          </w:p>
        </w:tc>
        <w:tc>
          <w:tcPr>
            <w:tcW w:w="1702" w:type="dxa"/>
            <w:tcBorders>
              <w:top w:val="nil"/>
              <w:left w:val="nil"/>
              <w:bottom w:val="single" w:color="auto" w:sz="4" w:space="0"/>
              <w:right w:val="single" w:color="auto" w:sz="4" w:space="0"/>
              <w:tl2br w:val="nil"/>
              <w:tr2bl w:val="nil"/>
            </w:tcBorders>
            <w:noWrap w:val="0"/>
            <w:vAlign w:val="center"/>
          </w:tcPr>
          <w:p w14:paraId="49C5BDC8">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100≤Y＜1000</w:t>
            </w:r>
          </w:p>
        </w:tc>
        <w:tc>
          <w:tcPr>
            <w:tcW w:w="1134" w:type="dxa"/>
            <w:tcBorders>
              <w:top w:val="nil"/>
              <w:left w:val="nil"/>
              <w:bottom w:val="single" w:color="auto" w:sz="4" w:space="0"/>
              <w:right w:val="single" w:color="auto" w:sz="4" w:space="0"/>
              <w:tl2br w:val="nil"/>
              <w:tr2bl w:val="nil"/>
            </w:tcBorders>
            <w:noWrap w:val="0"/>
            <w:vAlign w:val="center"/>
          </w:tcPr>
          <w:p w14:paraId="6C79037C">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Y＜100</w:t>
            </w:r>
          </w:p>
        </w:tc>
      </w:tr>
      <w:tr w14:paraId="00A1A8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l2br w:val="nil"/>
              <w:tr2bl w:val="nil"/>
            </w:tcBorders>
            <w:noWrap w:val="0"/>
            <w:vAlign w:val="bottom"/>
          </w:tcPr>
          <w:p w14:paraId="0AB559DC">
            <w:pPr>
              <w:widowControl/>
              <w:jc w:val="center"/>
              <w:rPr>
                <w:rFonts w:hint="default" w:ascii="宋体" w:hAnsi="宋体" w:eastAsia="宋体" w:cs="宋体"/>
                <w:b/>
                <w:color w:val="auto"/>
                <w:kern w:val="0"/>
                <w:sz w:val="21"/>
                <w:szCs w:val="21"/>
                <w:highlight w:val="none"/>
              </w:rPr>
            </w:pPr>
            <w:r>
              <w:rPr>
                <w:rFonts w:hint="default" w:ascii="宋体" w:hAnsi="宋体" w:eastAsia="宋体" w:cs="宋体"/>
                <w:b/>
                <w:color w:val="auto"/>
                <w:kern w:val="0"/>
                <w:sz w:val="21"/>
                <w:szCs w:val="21"/>
                <w:highlight w:val="none"/>
              </w:rPr>
              <w:t>软件和信息技术服务业</w:t>
            </w:r>
          </w:p>
        </w:tc>
        <w:tc>
          <w:tcPr>
            <w:tcW w:w="1680" w:type="dxa"/>
            <w:tcBorders>
              <w:top w:val="nil"/>
              <w:left w:val="nil"/>
              <w:bottom w:val="single" w:color="auto" w:sz="4" w:space="0"/>
              <w:right w:val="single" w:color="auto" w:sz="4" w:space="0"/>
              <w:tl2br w:val="nil"/>
              <w:tr2bl w:val="nil"/>
            </w:tcBorders>
            <w:noWrap w:val="0"/>
            <w:vAlign w:val="center"/>
          </w:tcPr>
          <w:p w14:paraId="0364A1A6">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从业人员（X）</w:t>
            </w:r>
          </w:p>
        </w:tc>
        <w:tc>
          <w:tcPr>
            <w:tcW w:w="1156" w:type="dxa"/>
            <w:tcBorders>
              <w:top w:val="nil"/>
              <w:left w:val="nil"/>
              <w:bottom w:val="single" w:color="auto" w:sz="4" w:space="0"/>
              <w:right w:val="single" w:color="auto" w:sz="4" w:space="0"/>
              <w:tl2br w:val="nil"/>
              <w:tr2bl w:val="nil"/>
            </w:tcBorders>
            <w:noWrap w:val="0"/>
            <w:vAlign w:val="center"/>
          </w:tcPr>
          <w:p w14:paraId="7E175974">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人</w:t>
            </w:r>
          </w:p>
        </w:tc>
        <w:tc>
          <w:tcPr>
            <w:tcW w:w="1843" w:type="dxa"/>
            <w:tcBorders>
              <w:top w:val="nil"/>
              <w:left w:val="nil"/>
              <w:bottom w:val="single" w:color="auto" w:sz="4" w:space="0"/>
              <w:right w:val="single" w:color="auto" w:sz="4" w:space="0"/>
              <w:tl2br w:val="nil"/>
              <w:tr2bl w:val="nil"/>
            </w:tcBorders>
            <w:noWrap w:val="0"/>
            <w:vAlign w:val="center"/>
          </w:tcPr>
          <w:p w14:paraId="65317F0F">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100≤X＜300</w:t>
            </w:r>
          </w:p>
        </w:tc>
        <w:tc>
          <w:tcPr>
            <w:tcW w:w="1702" w:type="dxa"/>
            <w:tcBorders>
              <w:top w:val="nil"/>
              <w:left w:val="nil"/>
              <w:bottom w:val="single" w:color="auto" w:sz="4" w:space="0"/>
              <w:right w:val="single" w:color="auto" w:sz="4" w:space="0"/>
              <w:tl2br w:val="nil"/>
              <w:tr2bl w:val="nil"/>
            </w:tcBorders>
            <w:noWrap w:val="0"/>
            <w:vAlign w:val="center"/>
          </w:tcPr>
          <w:p w14:paraId="0C5AA303">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10≤X＜100</w:t>
            </w:r>
          </w:p>
        </w:tc>
        <w:tc>
          <w:tcPr>
            <w:tcW w:w="1134" w:type="dxa"/>
            <w:tcBorders>
              <w:top w:val="nil"/>
              <w:left w:val="nil"/>
              <w:bottom w:val="single" w:color="auto" w:sz="4" w:space="0"/>
              <w:right w:val="single" w:color="auto" w:sz="4" w:space="0"/>
              <w:tl2br w:val="nil"/>
              <w:tr2bl w:val="nil"/>
            </w:tcBorders>
            <w:noWrap w:val="0"/>
            <w:vAlign w:val="center"/>
          </w:tcPr>
          <w:p w14:paraId="62214D38">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X＜10</w:t>
            </w:r>
          </w:p>
        </w:tc>
      </w:tr>
      <w:tr w14:paraId="5499DC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l2br w:val="nil"/>
              <w:tr2bl w:val="nil"/>
            </w:tcBorders>
            <w:noWrap w:val="0"/>
            <w:vAlign w:val="center"/>
          </w:tcPr>
          <w:p w14:paraId="624BDF6D">
            <w:pPr>
              <w:widowControl/>
              <w:jc w:val="center"/>
              <w:rPr>
                <w:rFonts w:hint="default" w:ascii="宋体" w:hAnsi="宋体" w:eastAsia="宋体" w:cs="宋体"/>
                <w:b/>
                <w:color w:val="auto"/>
                <w:kern w:val="0"/>
                <w:sz w:val="21"/>
                <w:szCs w:val="21"/>
                <w:highlight w:val="none"/>
              </w:rPr>
            </w:pPr>
          </w:p>
        </w:tc>
        <w:tc>
          <w:tcPr>
            <w:tcW w:w="1680" w:type="dxa"/>
            <w:tcBorders>
              <w:top w:val="nil"/>
              <w:left w:val="nil"/>
              <w:bottom w:val="single" w:color="auto" w:sz="4" w:space="0"/>
              <w:right w:val="single" w:color="auto" w:sz="4" w:space="0"/>
              <w:tl2br w:val="nil"/>
              <w:tr2bl w:val="nil"/>
            </w:tcBorders>
            <w:noWrap w:val="0"/>
            <w:vAlign w:val="center"/>
          </w:tcPr>
          <w:p w14:paraId="01456B7F">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营业收入（Y）</w:t>
            </w:r>
          </w:p>
        </w:tc>
        <w:tc>
          <w:tcPr>
            <w:tcW w:w="1156" w:type="dxa"/>
            <w:tcBorders>
              <w:top w:val="nil"/>
              <w:left w:val="nil"/>
              <w:bottom w:val="single" w:color="auto" w:sz="4" w:space="0"/>
              <w:right w:val="single" w:color="auto" w:sz="4" w:space="0"/>
              <w:tl2br w:val="nil"/>
              <w:tr2bl w:val="nil"/>
            </w:tcBorders>
            <w:noWrap w:val="0"/>
            <w:vAlign w:val="center"/>
          </w:tcPr>
          <w:p w14:paraId="22CA806C">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万元</w:t>
            </w:r>
          </w:p>
        </w:tc>
        <w:tc>
          <w:tcPr>
            <w:tcW w:w="1843" w:type="dxa"/>
            <w:tcBorders>
              <w:top w:val="nil"/>
              <w:left w:val="nil"/>
              <w:bottom w:val="single" w:color="auto" w:sz="4" w:space="0"/>
              <w:right w:val="single" w:color="auto" w:sz="4" w:space="0"/>
              <w:tl2br w:val="nil"/>
              <w:tr2bl w:val="nil"/>
            </w:tcBorders>
            <w:noWrap w:val="0"/>
            <w:vAlign w:val="center"/>
          </w:tcPr>
          <w:p w14:paraId="710E73AA">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1000≤Y＜10000</w:t>
            </w:r>
          </w:p>
        </w:tc>
        <w:tc>
          <w:tcPr>
            <w:tcW w:w="1702" w:type="dxa"/>
            <w:tcBorders>
              <w:top w:val="nil"/>
              <w:left w:val="nil"/>
              <w:bottom w:val="single" w:color="auto" w:sz="4" w:space="0"/>
              <w:right w:val="single" w:color="auto" w:sz="4" w:space="0"/>
              <w:tl2br w:val="nil"/>
              <w:tr2bl w:val="nil"/>
            </w:tcBorders>
            <w:noWrap w:val="0"/>
            <w:vAlign w:val="center"/>
          </w:tcPr>
          <w:p w14:paraId="27A12FF8">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50≤Y＜1000</w:t>
            </w:r>
          </w:p>
        </w:tc>
        <w:tc>
          <w:tcPr>
            <w:tcW w:w="1134" w:type="dxa"/>
            <w:tcBorders>
              <w:top w:val="nil"/>
              <w:left w:val="nil"/>
              <w:bottom w:val="single" w:color="auto" w:sz="4" w:space="0"/>
              <w:right w:val="single" w:color="auto" w:sz="4" w:space="0"/>
              <w:tl2br w:val="nil"/>
              <w:tr2bl w:val="nil"/>
            </w:tcBorders>
            <w:noWrap w:val="0"/>
            <w:vAlign w:val="center"/>
          </w:tcPr>
          <w:p w14:paraId="3BC72441">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Y＜50</w:t>
            </w:r>
          </w:p>
        </w:tc>
      </w:tr>
      <w:tr w14:paraId="2E5BEB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l2br w:val="nil"/>
              <w:tr2bl w:val="nil"/>
            </w:tcBorders>
            <w:noWrap w:val="0"/>
            <w:vAlign w:val="bottom"/>
          </w:tcPr>
          <w:p w14:paraId="1AF36E27">
            <w:pPr>
              <w:widowControl/>
              <w:jc w:val="center"/>
              <w:rPr>
                <w:rFonts w:hint="default" w:ascii="宋体" w:hAnsi="宋体" w:eastAsia="宋体" w:cs="宋体"/>
                <w:b/>
                <w:color w:val="auto"/>
                <w:kern w:val="0"/>
                <w:sz w:val="21"/>
                <w:szCs w:val="21"/>
                <w:highlight w:val="none"/>
              </w:rPr>
            </w:pPr>
            <w:r>
              <w:rPr>
                <w:rFonts w:hint="default" w:ascii="宋体" w:hAnsi="宋体" w:eastAsia="宋体" w:cs="宋体"/>
                <w:b/>
                <w:color w:val="auto"/>
                <w:kern w:val="0"/>
                <w:sz w:val="21"/>
                <w:szCs w:val="21"/>
                <w:highlight w:val="none"/>
              </w:rPr>
              <w:t>房地产开发经营</w:t>
            </w:r>
          </w:p>
        </w:tc>
        <w:tc>
          <w:tcPr>
            <w:tcW w:w="1680" w:type="dxa"/>
            <w:tcBorders>
              <w:top w:val="nil"/>
              <w:left w:val="nil"/>
              <w:bottom w:val="single" w:color="auto" w:sz="4" w:space="0"/>
              <w:right w:val="single" w:color="auto" w:sz="4" w:space="0"/>
              <w:tl2br w:val="nil"/>
              <w:tr2bl w:val="nil"/>
            </w:tcBorders>
            <w:noWrap w:val="0"/>
            <w:vAlign w:val="center"/>
          </w:tcPr>
          <w:p w14:paraId="1EA026D1">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营业收入（Y）</w:t>
            </w:r>
          </w:p>
        </w:tc>
        <w:tc>
          <w:tcPr>
            <w:tcW w:w="1156" w:type="dxa"/>
            <w:tcBorders>
              <w:top w:val="nil"/>
              <w:left w:val="nil"/>
              <w:bottom w:val="single" w:color="auto" w:sz="4" w:space="0"/>
              <w:right w:val="single" w:color="auto" w:sz="4" w:space="0"/>
              <w:tl2br w:val="nil"/>
              <w:tr2bl w:val="nil"/>
            </w:tcBorders>
            <w:noWrap w:val="0"/>
            <w:vAlign w:val="center"/>
          </w:tcPr>
          <w:p w14:paraId="4010F084">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万元</w:t>
            </w:r>
          </w:p>
        </w:tc>
        <w:tc>
          <w:tcPr>
            <w:tcW w:w="1843" w:type="dxa"/>
            <w:tcBorders>
              <w:top w:val="nil"/>
              <w:left w:val="nil"/>
              <w:bottom w:val="single" w:color="auto" w:sz="4" w:space="0"/>
              <w:right w:val="single" w:color="auto" w:sz="4" w:space="0"/>
              <w:tl2br w:val="nil"/>
              <w:tr2bl w:val="nil"/>
            </w:tcBorders>
            <w:noWrap w:val="0"/>
            <w:vAlign w:val="center"/>
          </w:tcPr>
          <w:p w14:paraId="70CCBAF7">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1000≤Y＜200000</w:t>
            </w:r>
          </w:p>
        </w:tc>
        <w:tc>
          <w:tcPr>
            <w:tcW w:w="1702" w:type="dxa"/>
            <w:tcBorders>
              <w:top w:val="nil"/>
              <w:left w:val="nil"/>
              <w:bottom w:val="single" w:color="auto" w:sz="4" w:space="0"/>
              <w:right w:val="single" w:color="auto" w:sz="4" w:space="0"/>
              <w:tl2br w:val="nil"/>
              <w:tr2bl w:val="nil"/>
            </w:tcBorders>
            <w:noWrap w:val="0"/>
            <w:vAlign w:val="center"/>
          </w:tcPr>
          <w:p w14:paraId="3A67C601">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100≤X＜1000</w:t>
            </w:r>
          </w:p>
        </w:tc>
        <w:tc>
          <w:tcPr>
            <w:tcW w:w="1134" w:type="dxa"/>
            <w:tcBorders>
              <w:top w:val="nil"/>
              <w:left w:val="nil"/>
              <w:bottom w:val="single" w:color="auto" w:sz="4" w:space="0"/>
              <w:right w:val="single" w:color="auto" w:sz="4" w:space="0"/>
              <w:tl2br w:val="nil"/>
              <w:tr2bl w:val="nil"/>
            </w:tcBorders>
            <w:noWrap w:val="0"/>
            <w:vAlign w:val="center"/>
          </w:tcPr>
          <w:p w14:paraId="1D7DA49A">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X＜100</w:t>
            </w:r>
          </w:p>
        </w:tc>
      </w:tr>
      <w:tr w14:paraId="04EF1B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l2br w:val="nil"/>
              <w:tr2bl w:val="nil"/>
            </w:tcBorders>
            <w:noWrap w:val="0"/>
            <w:vAlign w:val="center"/>
          </w:tcPr>
          <w:p w14:paraId="7C5EAE21">
            <w:pPr>
              <w:widowControl/>
              <w:jc w:val="center"/>
              <w:rPr>
                <w:rFonts w:hint="default" w:ascii="宋体" w:hAnsi="宋体" w:eastAsia="宋体" w:cs="宋体"/>
                <w:b/>
                <w:color w:val="auto"/>
                <w:kern w:val="0"/>
                <w:sz w:val="21"/>
                <w:szCs w:val="21"/>
                <w:highlight w:val="none"/>
              </w:rPr>
            </w:pPr>
          </w:p>
        </w:tc>
        <w:tc>
          <w:tcPr>
            <w:tcW w:w="1680" w:type="dxa"/>
            <w:tcBorders>
              <w:top w:val="nil"/>
              <w:left w:val="nil"/>
              <w:bottom w:val="single" w:color="auto" w:sz="4" w:space="0"/>
              <w:right w:val="single" w:color="auto" w:sz="4" w:space="0"/>
              <w:tl2br w:val="nil"/>
              <w:tr2bl w:val="nil"/>
            </w:tcBorders>
            <w:noWrap w:val="0"/>
            <w:vAlign w:val="center"/>
          </w:tcPr>
          <w:p w14:paraId="32347BD8">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资产总额（Z）</w:t>
            </w:r>
          </w:p>
        </w:tc>
        <w:tc>
          <w:tcPr>
            <w:tcW w:w="1156" w:type="dxa"/>
            <w:tcBorders>
              <w:top w:val="nil"/>
              <w:left w:val="nil"/>
              <w:bottom w:val="single" w:color="auto" w:sz="4" w:space="0"/>
              <w:right w:val="single" w:color="auto" w:sz="4" w:space="0"/>
              <w:tl2br w:val="nil"/>
              <w:tr2bl w:val="nil"/>
            </w:tcBorders>
            <w:noWrap w:val="0"/>
            <w:vAlign w:val="center"/>
          </w:tcPr>
          <w:p w14:paraId="42ACF38F">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万元</w:t>
            </w:r>
          </w:p>
        </w:tc>
        <w:tc>
          <w:tcPr>
            <w:tcW w:w="1843" w:type="dxa"/>
            <w:tcBorders>
              <w:top w:val="nil"/>
              <w:left w:val="nil"/>
              <w:bottom w:val="single" w:color="auto" w:sz="4" w:space="0"/>
              <w:right w:val="single" w:color="auto" w:sz="4" w:space="0"/>
              <w:tl2br w:val="nil"/>
              <w:tr2bl w:val="nil"/>
            </w:tcBorders>
            <w:noWrap w:val="0"/>
            <w:vAlign w:val="center"/>
          </w:tcPr>
          <w:p w14:paraId="69C5E1B0">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5000≤Z＜10000</w:t>
            </w:r>
          </w:p>
        </w:tc>
        <w:tc>
          <w:tcPr>
            <w:tcW w:w="1702" w:type="dxa"/>
            <w:tcBorders>
              <w:top w:val="nil"/>
              <w:left w:val="nil"/>
              <w:bottom w:val="single" w:color="auto" w:sz="4" w:space="0"/>
              <w:right w:val="single" w:color="auto" w:sz="4" w:space="0"/>
              <w:tl2br w:val="nil"/>
              <w:tr2bl w:val="nil"/>
            </w:tcBorders>
            <w:noWrap w:val="0"/>
            <w:vAlign w:val="center"/>
          </w:tcPr>
          <w:p w14:paraId="3DBEC702">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2000≤Y＜5000</w:t>
            </w:r>
          </w:p>
        </w:tc>
        <w:tc>
          <w:tcPr>
            <w:tcW w:w="1134" w:type="dxa"/>
            <w:tcBorders>
              <w:top w:val="nil"/>
              <w:left w:val="nil"/>
              <w:bottom w:val="single" w:color="auto" w:sz="4" w:space="0"/>
              <w:right w:val="single" w:color="auto" w:sz="4" w:space="0"/>
              <w:tl2br w:val="nil"/>
              <w:tr2bl w:val="nil"/>
            </w:tcBorders>
            <w:noWrap w:val="0"/>
            <w:vAlign w:val="center"/>
          </w:tcPr>
          <w:p w14:paraId="72621994">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Y＜2000</w:t>
            </w:r>
          </w:p>
        </w:tc>
      </w:tr>
      <w:tr w14:paraId="4DE4DB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l2br w:val="nil"/>
              <w:tr2bl w:val="nil"/>
            </w:tcBorders>
            <w:noWrap w:val="0"/>
            <w:vAlign w:val="bottom"/>
          </w:tcPr>
          <w:p w14:paraId="32983D52">
            <w:pPr>
              <w:widowControl/>
              <w:jc w:val="center"/>
              <w:rPr>
                <w:rFonts w:hint="default" w:ascii="宋体" w:hAnsi="宋体" w:eastAsia="宋体" w:cs="宋体"/>
                <w:b/>
                <w:color w:val="auto"/>
                <w:kern w:val="0"/>
                <w:sz w:val="21"/>
                <w:szCs w:val="21"/>
                <w:highlight w:val="none"/>
              </w:rPr>
            </w:pPr>
            <w:r>
              <w:rPr>
                <w:rFonts w:hint="default" w:ascii="宋体" w:hAnsi="宋体" w:eastAsia="宋体" w:cs="宋体"/>
                <w:b/>
                <w:color w:val="auto"/>
                <w:kern w:val="0"/>
                <w:sz w:val="21"/>
                <w:szCs w:val="21"/>
                <w:highlight w:val="none"/>
              </w:rPr>
              <w:t>物业管理</w:t>
            </w:r>
          </w:p>
        </w:tc>
        <w:tc>
          <w:tcPr>
            <w:tcW w:w="1680" w:type="dxa"/>
            <w:tcBorders>
              <w:top w:val="nil"/>
              <w:left w:val="nil"/>
              <w:bottom w:val="single" w:color="auto" w:sz="4" w:space="0"/>
              <w:right w:val="single" w:color="auto" w:sz="4" w:space="0"/>
              <w:tl2br w:val="nil"/>
              <w:tr2bl w:val="nil"/>
            </w:tcBorders>
            <w:noWrap w:val="0"/>
            <w:vAlign w:val="center"/>
          </w:tcPr>
          <w:p w14:paraId="17BB120C">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从业人员（X）</w:t>
            </w:r>
          </w:p>
        </w:tc>
        <w:tc>
          <w:tcPr>
            <w:tcW w:w="1156" w:type="dxa"/>
            <w:tcBorders>
              <w:top w:val="nil"/>
              <w:left w:val="nil"/>
              <w:bottom w:val="single" w:color="auto" w:sz="4" w:space="0"/>
              <w:right w:val="single" w:color="auto" w:sz="4" w:space="0"/>
              <w:tl2br w:val="nil"/>
              <w:tr2bl w:val="nil"/>
            </w:tcBorders>
            <w:noWrap w:val="0"/>
            <w:vAlign w:val="center"/>
          </w:tcPr>
          <w:p w14:paraId="14660A87">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人</w:t>
            </w:r>
          </w:p>
        </w:tc>
        <w:tc>
          <w:tcPr>
            <w:tcW w:w="1843" w:type="dxa"/>
            <w:tcBorders>
              <w:top w:val="nil"/>
              <w:left w:val="nil"/>
              <w:bottom w:val="single" w:color="auto" w:sz="4" w:space="0"/>
              <w:right w:val="single" w:color="auto" w:sz="4" w:space="0"/>
              <w:tl2br w:val="nil"/>
              <w:tr2bl w:val="nil"/>
            </w:tcBorders>
            <w:noWrap w:val="0"/>
            <w:vAlign w:val="center"/>
          </w:tcPr>
          <w:p w14:paraId="39F6F597">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300≤X＜1000</w:t>
            </w:r>
          </w:p>
        </w:tc>
        <w:tc>
          <w:tcPr>
            <w:tcW w:w="1702" w:type="dxa"/>
            <w:tcBorders>
              <w:top w:val="nil"/>
              <w:left w:val="nil"/>
              <w:bottom w:val="single" w:color="auto" w:sz="4" w:space="0"/>
              <w:right w:val="single" w:color="auto" w:sz="4" w:space="0"/>
              <w:tl2br w:val="nil"/>
              <w:tr2bl w:val="nil"/>
            </w:tcBorders>
            <w:noWrap w:val="0"/>
            <w:vAlign w:val="center"/>
          </w:tcPr>
          <w:p w14:paraId="76731F56">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100≤X＜300</w:t>
            </w:r>
          </w:p>
        </w:tc>
        <w:tc>
          <w:tcPr>
            <w:tcW w:w="1134" w:type="dxa"/>
            <w:tcBorders>
              <w:top w:val="nil"/>
              <w:left w:val="nil"/>
              <w:bottom w:val="single" w:color="auto" w:sz="4" w:space="0"/>
              <w:right w:val="single" w:color="auto" w:sz="4" w:space="0"/>
              <w:tl2br w:val="nil"/>
              <w:tr2bl w:val="nil"/>
            </w:tcBorders>
            <w:noWrap w:val="0"/>
            <w:vAlign w:val="center"/>
          </w:tcPr>
          <w:p w14:paraId="440410E6">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X＜100</w:t>
            </w:r>
          </w:p>
        </w:tc>
      </w:tr>
      <w:tr w14:paraId="27952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l2br w:val="nil"/>
              <w:tr2bl w:val="nil"/>
            </w:tcBorders>
            <w:noWrap w:val="0"/>
            <w:vAlign w:val="center"/>
          </w:tcPr>
          <w:p w14:paraId="26BB42CD">
            <w:pPr>
              <w:widowControl/>
              <w:jc w:val="center"/>
              <w:rPr>
                <w:rFonts w:hint="default" w:ascii="宋体" w:hAnsi="宋体" w:eastAsia="宋体" w:cs="宋体"/>
                <w:b/>
                <w:color w:val="auto"/>
                <w:kern w:val="0"/>
                <w:sz w:val="21"/>
                <w:szCs w:val="21"/>
                <w:highlight w:val="none"/>
              </w:rPr>
            </w:pPr>
          </w:p>
        </w:tc>
        <w:tc>
          <w:tcPr>
            <w:tcW w:w="1680" w:type="dxa"/>
            <w:tcBorders>
              <w:top w:val="nil"/>
              <w:left w:val="nil"/>
              <w:bottom w:val="single" w:color="auto" w:sz="4" w:space="0"/>
              <w:right w:val="single" w:color="auto" w:sz="4" w:space="0"/>
              <w:tl2br w:val="nil"/>
              <w:tr2bl w:val="nil"/>
            </w:tcBorders>
            <w:noWrap w:val="0"/>
            <w:vAlign w:val="center"/>
          </w:tcPr>
          <w:p w14:paraId="001D3380">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营业收入（Y）</w:t>
            </w:r>
          </w:p>
        </w:tc>
        <w:tc>
          <w:tcPr>
            <w:tcW w:w="1156" w:type="dxa"/>
            <w:tcBorders>
              <w:top w:val="nil"/>
              <w:left w:val="nil"/>
              <w:bottom w:val="single" w:color="auto" w:sz="4" w:space="0"/>
              <w:right w:val="single" w:color="auto" w:sz="4" w:space="0"/>
              <w:tl2br w:val="nil"/>
              <w:tr2bl w:val="nil"/>
            </w:tcBorders>
            <w:noWrap w:val="0"/>
            <w:vAlign w:val="center"/>
          </w:tcPr>
          <w:p w14:paraId="097E27EA">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万元</w:t>
            </w:r>
          </w:p>
        </w:tc>
        <w:tc>
          <w:tcPr>
            <w:tcW w:w="1843" w:type="dxa"/>
            <w:tcBorders>
              <w:top w:val="nil"/>
              <w:left w:val="nil"/>
              <w:bottom w:val="single" w:color="auto" w:sz="4" w:space="0"/>
              <w:right w:val="single" w:color="auto" w:sz="4" w:space="0"/>
              <w:tl2br w:val="nil"/>
              <w:tr2bl w:val="nil"/>
            </w:tcBorders>
            <w:noWrap w:val="0"/>
            <w:vAlign w:val="center"/>
          </w:tcPr>
          <w:p w14:paraId="1D7F5E67">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1000≤Y＜5000</w:t>
            </w:r>
          </w:p>
        </w:tc>
        <w:tc>
          <w:tcPr>
            <w:tcW w:w="1702" w:type="dxa"/>
            <w:tcBorders>
              <w:top w:val="nil"/>
              <w:left w:val="nil"/>
              <w:bottom w:val="single" w:color="auto" w:sz="4" w:space="0"/>
              <w:right w:val="single" w:color="auto" w:sz="4" w:space="0"/>
              <w:tl2br w:val="nil"/>
              <w:tr2bl w:val="nil"/>
            </w:tcBorders>
            <w:noWrap w:val="0"/>
            <w:vAlign w:val="center"/>
          </w:tcPr>
          <w:p w14:paraId="327CE3E3">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500≤Y＜1000</w:t>
            </w:r>
          </w:p>
        </w:tc>
        <w:tc>
          <w:tcPr>
            <w:tcW w:w="1134" w:type="dxa"/>
            <w:tcBorders>
              <w:top w:val="nil"/>
              <w:left w:val="nil"/>
              <w:bottom w:val="single" w:color="auto" w:sz="4" w:space="0"/>
              <w:right w:val="single" w:color="auto" w:sz="4" w:space="0"/>
              <w:tl2br w:val="nil"/>
              <w:tr2bl w:val="nil"/>
            </w:tcBorders>
            <w:noWrap w:val="0"/>
            <w:vAlign w:val="center"/>
          </w:tcPr>
          <w:p w14:paraId="0CD07236">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Y＜500</w:t>
            </w:r>
          </w:p>
        </w:tc>
      </w:tr>
      <w:tr w14:paraId="2EC0BA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l2br w:val="nil"/>
              <w:tr2bl w:val="nil"/>
            </w:tcBorders>
            <w:noWrap w:val="0"/>
            <w:vAlign w:val="bottom"/>
          </w:tcPr>
          <w:p w14:paraId="34114332">
            <w:pPr>
              <w:widowControl/>
              <w:jc w:val="center"/>
              <w:rPr>
                <w:rFonts w:hint="default" w:ascii="宋体" w:hAnsi="宋体" w:eastAsia="宋体" w:cs="宋体"/>
                <w:b/>
                <w:color w:val="auto"/>
                <w:kern w:val="0"/>
                <w:sz w:val="21"/>
                <w:szCs w:val="21"/>
                <w:highlight w:val="none"/>
              </w:rPr>
            </w:pPr>
            <w:r>
              <w:rPr>
                <w:rFonts w:hint="default" w:ascii="宋体" w:hAnsi="宋体" w:eastAsia="宋体" w:cs="宋体"/>
                <w:b/>
                <w:color w:val="auto"/>
                <w:kern w:val="0"/>
                <w:sz w:val="21"/>
                <w:szCs w:val="21"/>
                <w:highlight w:val="none"/>
              </w:rPr>
              <w:t>租赁和商务服务业</w:t>
            </w:r>
          </w:p>
        </w:tc>
        <w:tc>
          <w:tcPr>
            <w:tcW w:w="1680" w:type="dxa"/>
            <w:tcBorders>
              <w:top w:val="nil"/>
              <w:left w:val="nil"/>
              <w:bottom w:val="single" w:color="auto" w:sz="4" w:space="0"/>
              <w:right w:val="single" w:color="auto" w:sz="4" w:space="0"/>
              <w:tl2br w:val="nil"/>
              <w:tr2bl w:val="nil"/>
            </w:tcBorders>
            <w:noWrap w:val="0"/>
            <w:vAlign w:val="center"/>
          </w:tcPr>
          <w:p w14:paraId="1178D4CA">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从业人员（X）</w:t>
            </w:r>
          </w:p>
        </w:tc>
        <w:tc>
          <w:tcPr>
            <w:tcW w:w="1156" w:type="dxa"/>
            <w:tcBorders>
              <w:top w:val="nil"/>
              <w:left w:val="nil"/>
              <w:bottom w:val="single" w:color="auto" w:sz="4" w:space="0"/>
              <w:right w:val="single" w:color="auto" w:sz="4" w:space="0"/>
              <w:tl2br w:val="nil"/>
              <w:tr2bl w:val="nil"/>
            </w:tcBorders>
            <w:noWrap w:val="0"/>
            <w:vAlign w:val="center"/>
          </w:tcPr>
          <w:p w14:paraId="403261D4">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人</w:t>
            </w:r>
          </w:p>
        </w:tc>
        <w:tc>
          <w:tcPr>
            <w:tcW w:w="1843" w:type="dxa"/>
            <w:tcBorders>
              <w:top w:val="nil"/>
              <w:left w:val="nil"/>
              <w:bottom w:val="single" w:color="auto" w:sz="4" w:space="0"/>
              <w:right w:val="single" w:color="auto" w:sz="4" w:space="0"/>
              <w:tl2br w:val="nil"/>
              <w:tr2bl w:val="nil"/>
            </w:tcBorders>
            <w:noWrap w:val="0"/>
            <w:vAlign w:val="center"/>
          </w:tcPr>
          <w:p w14:paraId="5AF0DFCD">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100≤X＜300</w:t>
            </w:r>
          </w:p>
        </w:tc>
        <w:tc>
          <w:tcPr>
            <w:tcW w:w="1702" w:type="dxa"/>
            <w:tcBorders>
              <w:top w:val="nil"/>
              <w:left w:val="nil"/>
              <w:bottom w:val="single" w:color="auto" w:sz="4" w:space="0"/>
              <w:right w:val="single" w:color="auto" w:sz="4" w:space="0"/>
              <w:tl2br w:val="nil"/>
              <w:tr2bl w:val="nil"/>
            </w:tcBorders>
            <w:noWrap w:val="0"/>
            <w:vAlign w:val="center"/>
          </w:tcPr>
          <w:p w14:paraId="5B430DE5">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10≤X＜100</w:t>
            </w:r>
          </w:p>
        </w:tc>
        <w:tc>
          <w:tcPr>
            <w:tcW w:w="1134" w:type="dxa"/>
            <w:tcBorders>
              <w:top w:val="nil"/>
              <w:left w:val="nil"/>
              <w:bottom w:val="single" w:color="auto" w:sz="4" w:space="0"/>
              <w:right w:val="single" w:color="auto" w:sz="4" w:space="0"/>
              <w:tl2br w:val="nil"/>
              <w:tr2bl w:val="nil"/>
            </w:tcBorders>
            <w:noWrap w:val="0"/>
            <w:vAlign w:val="center"/>
          </w:tcPr>
          <w:p w14:paraId="1F53663F">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X＜10</w:t>
            </w:r>
          </w:p>
        </w:tc>
      </w:tr>
      <w:tr w14:paraId="2719DA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l2br w:val="nil"/>
              <w:tr2bl w:val="nil"/>
            </w:tcBorders>
            <w:noWrap w:val="0"/>
            <w:vAlign w:val="center"/>
          </w:tcPr>
          <w:p w14:paraId="4B44D837">
            <w:pPr>
              <w:widowControl/>
              <w:jc w:val="center"/>
              <w:rPr>
                <w:rFonts w:hint="default" w:ascii="宋体" w:hAnsi="宋体" w:eastAsia="宋体" w:cs="宋体"/>
                <w:b/>
                <w:color w:val="auto"/>
                <w:kern w:val="0"/>
                <w:sz w:val="21"/>
                <w:szCs w:val="21"/>
                <w:highlight w:val="none"/>
              </w:rPr>
            </w:pPr>
          </w:p>
        </w:tc>
        <w:tc>
          <w:tcPr>
            <w:tcW w:w="1680" w:type="dxa"/>
            <w:tcBorders>
              <w:top w:val="nil"/>
              <w:left w:val="nil"/>
              <w:bottom w:val="single" w:color="auto" w:sz="4" w:space="0"/>
              <w:right w:val="single" w:color="auto" w:sz="4" w:space="0"/>
              <w:tl2br w:val="nil"/>
              <w:tr2bl w:val="nil"/>
            </w:tcBorders>
            <w:noWrap w:val="0"/>
            <w:vAlign w:val="center"/>
          </w:tcPr>
          <w:p w14:paraId="74F3FF76">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资产总额（Z）</w:t>
            </w:r>
          </w:p>
        </w:tc>
        <w:tc>
          <w:tcPr>
            <w:tcW w:w="1156" w:type="dxa"/>
            <w:tcBorders>
              <w:top w:val="nil"/>
              <w:left w:val="nil"/>
              <w:bottom w:val="single" w:color="auto" w:sz="4" w:space="0"/>
              <w:right w:val="single" w:color="auto" w:sz="4" w:space="0"/>
              <w:tl2br w:val="nil"/>
              <w:tr2bl w:val="nil"/>
            </w:tcBorders>
            <w:noWrap w:val="0"/>
            <w:vAlign w:val="center"/>
          </w:tcPr>
          <w:p w14:paraId="7E2792B6">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万元</w:t>
            </w:r>
          </w:p>
        </w:tc>
        <w:tc>
          <w:tcPr>
            <w:tcW w:w="1843" w:type="dxa"/>
            <w:tcBorders>
              <w:top w:val="nil"/>
              <w:left w:val="nil"/>
              <w:bottom w:val="single" w:color="auto" w:sz="4" w:space="0"/>
              <w:right w:val="single" w:color="auto" w:sz="4" w:space="0"/>
              <w:tl2br w:val="nil"/>
              <w:tr2bl w:val="nil"/>
            </w:tcBorders>
            <w:noWrap w:val="0"/>
            <w:vAlign w:val="center"/>
          </w:tcPr>
          <w:p w14:paraId="7BCE080A">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8000≤Z＜120000</w:t>
            </w:r>
          </w:p>
        </w:tc>
        <w:tc>
          <w:tcPr>
            <w:tcW w:w="1702" w:type="dxa"/>
            <w:tcBorders>
              <w:top w:val="nil"/>
              <w:left w:val="nil"/>
              <w:bottom w:val="single" w:color="auto" w:sz="4" w:space="0"/>
              <w:right w:val="single" w:color="auto" w:sz="4" w:space="0"/>
              <w:tl2br w:val="nil"/>
              <w:tr2bl w:val="nil"/>
            </w:tcBorders>
            <w:noWrap w:val="0"/>
            <w:vAlign w:val="center"/>
          </w:tcPr>
          <w:p w14:paraId="5D94B00F">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100≤Z＜8000</w:t>
            </w:r>
          </w:p>
        </w:tc>
        <w:tc>
          <w:tcPr>
            <w:tcW w:w="1134" w:type="dxa"/>
            <w:tcBorders>
              <w:top w:val="nil"/>
              <w:left w:val="nil"/>
              <w:bottom w:val="single" w:color="auto" w:sz="4" w:space="0"/>
              <w:right w:val="single" w:color="auto" w:sz="4" w:space="0"/>
              <w:tl2br w:val="nil"/>
              <w:tr2bl w:val="nil"/>
            </w:tcBorders>
            <w:noWrap w:val="0"/>
            <w:vAlign w:val="center"/>
          </w:tcPr>
          <w:p w14:paraId="36AF53E6">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Y＜100</w:t>
            </w:r>
          </w:p>
        </w:tc>
      </w:tr>
      <w:tr w14:paraId="5B4207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rPr>
        <w:tc>
          <w:tcPr>
            <w:tcW w:w="1985" w:type="dxa"/>
            <w:tcBorders>
              <w:top w:val="nil"/>
              <w:left w:val="single" w:color="auto" w:sz="4" w:space="0"/>
              <w:bottom w:val="single" w:color="auto" w:sz="4" w:space="0"/>
              <w:right w:val="single" w:color="auto" w:sz="4" w:space="0"/>
              <w:tl2br w:val="nil"/>
              <w:tr2bl w:val="nil"/>
            </w:tcBorders>
            <w:noWrap w:val="0"/>
            <w:vAlign w:val="bottom"/>
          </w:tcPr>
          <w:p w14:paraId="01DAE1BF">
            <w:pPr>
              <w:widowControl/>
              <w:jc w:val="center"/>
              <w:rPr>
                <w:rFonts w:hint="default" w:ascii="宋体" w:hAnsi="宋体" w:eastAsia="宋体" w:cs="宋体"/>
                <w:b/>
                <w:color w:val="auto"/>
                <w:kern w:val="0"/>
                <w:sz w:val="21"/>
                <w:szCs w:val="21"/>
                <w:highlight w:val="none"/>
              </w:rPr>
            </w:pPr>
            <w:r>
              <w:rPr>
                <w:rFonts w:hint="default" w:ascii="宋体" w:hAnsi="宋体" w:eastAsia="宋体" w:cs="宋体"/>
                <w:b/>
                <w:color w:val="auto"/>
                <w:kern w:val="0"/>
                <w:sz w:val="21"/>
                <w:szCs w:val="21"/>
                <w:highlight w:val="none"/>
              </w:rPr>
              <w:t>其他未列明行业</w:t>
            </w:r>
          </w:p>
        </w:tc>
        <w:tc>
          <w:tcPr>
            <w:tcW w:w="1680" w:type="dxa"/>
            <w:tcBorders>
              <w:top w:val="nil"/>
              <w:left w:val="nil"/>
              <w:bottom w:val="single" w:color="auto" w:sz="4" w:space="0"/>
              <w:right w:val="single" w:color="auto" w:sz="4" w:space="0"/>
              <w:tl2br w:val="nil"/>
              <w:tr2bl w:val="nil"/>
            </w:tcBorders>
            <w:noWrap w:val="0"/>
            <w:vAlign w:val="center"/>
          </w:tcPr>
          <w:p w14:paraId="0F22C81A">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从业人员（X）</w:t>
            </w:r>
          </w:p>
        </w:tc>
        <w:tc>
          <w:tcPr>
            <w:tcW w:w="1156" w:type="dxa"/>
            <w:tcBorders>
              <w:top w:val="nil"/>
              <w:left w:val="nil"/>
              <w:bottom w:val="single" w:color="auto" w:sz="4" w:space="0"/>
              <w:right w:val="single" w:color="auto" w:sz="4" w:space="0"/>
              <w:tl2br w:val="nil"/>
              <w:tr2bl w:val="nil"/>
            </w:tcBorders>
            <w:noWrap w:val="0"/>
            <w:vAlign w:val="center"/>
          </w:tcPr>
          <w:p w14:paraId="263E32C3">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人</w:t>
            </w:r>
          </w:p>
        </w:tc>
        <w:tc>
          <w:tcPr>
            <w:tcW w:w="1843" w:type="dxa"/>
            <w:tcBorders>
              <w:top w:val="nil"/>
              <w:left w:val="nil"/>
              <w:bottom w:val="single" w:color="auto" w:sz="4" w:space="0"/>
              <w:right w:val="single" w:color="auto" w:sz="4" w:space="0"/>
              <w:tl2br w:val="nil"/>
              <w:tr2bl w:val="nil"/>
            </w:tcBorders>
            <w:noWrap w:val="0"/>
            <w:vAlign w:val="center"/>
          </w:tcPr>
          <w:p w14:paraId="421C0D62">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100≤X＜300</w:t>
            </w:r>
          </w:p>
        </w:tc>
        <w:tc>
          <w:tcPr>
            <w:tcW w:w="1702" w:type="dxa"/>
            <w:tcBorders>
              <w:top w:val="nil"/>
              <w:left w:val="nil"/>
              <w:bottom w:val="single" w:color="auto" w:sz="4" w:space="0"/>
              <w:right w:val="single" w:color="auto" w:sz="4" w:space="0"/>
              <w:tl2br w:val="nil"/>
              <w:tr2bl w:val="nil"/>
            </w:tcBorders>
            <w:noWrap w:val="0"/>
            <w:vAlign w:val="center"/>
          </w:tcPr>
          <w:p w14:paraId="7A144869">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10≤X＜100</w:t>
            </w:r>
          </w:p>
        </w:tc>
        <w:tc>
          <w:tcPr>
            <w:tcW w:w="1134" w:type="dxa"/>
            <w:tcBorders>
              <w:top w:val="nil"/>
              <w:left w:val="nil"/>
              <w:bottom w:val="single" w:color="auto" w:sz="4" w:space="0"/>
              <w:right w:val="single" w:color="auto" w:sz="4" w:space="0"/>
              <w:tl2br w:val="nil"/>
              <w:tr2bl w:val="nil"/>
            </w:tcBorders>
            <w:noWrap w:val="0"/>
            <w:vAlign w:val="center"/>
          </w:tcPr>
          <w:p w14:paraId="62B1BC78">
            <w:pPr>
              <w:widowControl/>
              <w:jc w:val="center"/>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X＜10</w:t>
            </w:r>
          </w:p>
        </w:tc>
      </w:tr>
    </w:tbl>
    <w:p w14:paraId="58B9839B">
      <w:pPr>
        <w:spacing w:line="560" w:lineRule="exact"/>
        <w:ind w:firstLine="525" w:firstLineChars="250"/>
        <w:rPr>
          <w:rFonts w:hint="default" w:ascii="宋体" w:hAnsi="宋体" w:eastAsia="宋体" w:cs="宋体"/>
          <w:color w:val="auto"/>
          <w:sz w:val="21"/>
          <w:szCs w:val="21"/>
          <w:highlight w:val="none"/>
        </w:rPr>
      </w:pPr>
      <w:r>
        <w:rPr>
          <w:rFonts w:hint="default" w:ascii="宋体" w:hAnsi="宋体" w:eastAsia="宋体" w:cs="宋体"/>
          <w:color w:val="auto"/>
          <w:sz w:val="21"/>
          <w:szCs w:val="21"/>
          <w:highlight w:val="none"/>
        </w:rPr>
        <w:t>说明：上述标准参照《关于印发中小企业划型标准规定的通知》（工信部联企业[2011]300号），大型、中型和小型企业须同时满足所列指标的下限，否则下划一档；微型企业只须满足所列指标中的一项即可。</w:t>
      </w:r>
    </w:p>
    <w:p w14:paraId="4A945962">
      <w:pPr>
        <w:widowControl/>
        <w:jc w:val="left"/>
        <w:rPr>
          <w:rFonts w:hint="default" w:ascii="宋体" w:hAnsi="宋体" w:eastAsia="宋体"/>
          <w:color w:val="auto"/>
          <w:kern w:val="0"/>
          <w:sz w:val="21"/>
          <w:szCs w:val="21"/>
          <w:highlight w:val="none"/>
        </w:rPr>
        <w:sectPr>
          <w:headerReference r:id="rId8" w:type="default"/>
          <w:footerReference r:id="rId9" w:type="default"/>
          <w:pgSz w:w="11906" w:h="16838"/>
          <w:pgMar w:top="1361" w:right="1134" w:bottom="1134" w:left="1361" w:header="720" w:footer="720" w:gutter="0"/>
          <w:lnNumType w:countBy="0" w:distance="360"/>
          <w:cols w:space="720" w:num="1"/>
          <w:docGrid w:type="lines" w:linePitch="331" w:charSpace="0"/>
        </w:sectPr>
      </w:pPr>
    </w:p>
    <w:p w14:paraId="7AB92304">
      <w:pPr>
        <w:keepNext/>
        <w:keepLines/>
        <w:pageBreakBefore/>
        <w:numPr>
          <w:ilvl w:val="0"/>
          <w:numId w:val="0"/>
        </w:numPr>
        <w:spacing w:after="330" w:line="560" w:lineRule="exact"/>
        <w:jc w:val="center"/>
        <w:outlineLvl w:val="0"/>
        <w:rPr>
          <w:rFonts w:hint="default" w:ascii="宋体" w:eastAsia="宋体"/>
          <w:b/>
          <w:color w:val="auto"/>
          <w:kern w:val="44"/>
          <w:sz w:val="44"/>
          <w:szCs w:val="44"/>
          <w:highlight w:val="none"/>
        </w:rPr>
      </w:pPr>
      <w:bookmarkStart w:id="35" w:name="_Toc15728"/>
      <w:r>
        <w:rPr>
          <w:rFonts w:hint="default" w:ascii="宋体" w:eastAsia="宋体"/>
          <w:b/>
          <w:color w:val="auto"/>
          <w:kern w:val="44"/>
          <w:sz w:val="44"/>
          <w:szCs w:val="44"/>
          <w:highlight w:val="none"/>
        </w:rPr>
        <w:t>第三章 供应商须知</w:t>
      </w:r>
      <w:bookmarkEnd w:id="35"/>
    </w:p>
    <w:p w14:paraId="63ADAE46">
      <w:pPr>
        <w:keepNext/>
        <w:keepLines/>
        <w:numPr>
          <w:ilvl w:val="0"/>
          <w:numId w:val="0"/>
        </w:numPr>
        <w:spacing w:before="340" w:after="330" w:line="440" w:lineRule="exact"/>
        <w:jc w:val="center"/>
        <w:outlineLvl w:val="0"/>
        <w:rPr>
          <w:rFonts w:hint="default" w:ascii="宋体" w:hAnsi="宋体" w:eastAsia="宋体"/>
          <w:b/>
          <w:color w:val="auto"/>
          <w:sz w:val="21"/>
          <w:szCs w:val="21"/>
          <w:highlight w:val="none"/>
        </w:rPr>
      </w:pPr>
      <w:bookmarkStart w:id="36" w:name="_Toc4818"/>
      <w:r>
        <w:rPr>
          <w:rFonts w:hint="default" w:ascii="宋体" w:hAnsi="宋体" w:eastAsia="宋体"/>
          <w:b/>
          <w:color w:val="auto"/>
          <w:sz w:val="32"/>
          <w:szCs w:val="32"/>
          <w:highlight w:val="none"/>
        </w:rPr>
        <w:t>第一节 供应商须知前附表</w:t>
      </w:r>
      <w:bookmarkEnd w:id="36"/>
    </w:p>
    <w:tbl>
      <w:tblPr>
        <w:tblStyle w:val="18"/>
        <w:tblW w:w="1007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80"/>
        <w:gridCol w:w="1510"/>
        <w:gridCol w:w="7580"/>
      </w:tblGrid>
      <w:tr w14:paraId="3778DC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3" w:hRule="atLeast"/>
          <w:jc w:val="center"/>
        </w:trPr>
        <w:tc>
          <w:tcPr>
            <w:tcW w:w="98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3D502A6C">
            <w:pPr>
              <w:spacing w:line="480" w:lineRule="exact"/>
              <w:jc w:val="center"/>
              <w:rPr>
                <w:rFonts w:hint="default" w:ascii="宋体" w:hAnsi="宋体" w:eastAsia="宋体" w:cs="宋体"/>
                <w:b/>
                <w:color w:val="auto"/>
                <w:sz w:val="21"/>
                <w:szCs w:val="21"/>
                <w:highlight w:val="none"/>
              </w:rPr>
            </w:pPr>
            <w:r>
              <w:rPr>
                <w:rFonts w:hint="default" w:ascii="宋体" w:hAnsi="宋体" w:eastAsia="宋体" w:cs="宋体"/>
                <w:b/>
                <w:color w:val="auto"/>
                <w:sz w:val="21"/>
                <w:szCs w:val="21"/>
                <w:highlight w:val="none"/>
              </w:rPr>
              <w:t>条款号</w:t>
            </w:r>
          </w:p>
        </w:tc>
        <w:tc>
          <w:tcPr>
            <w:tcW w:w="151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293EDE91">
            <w:pPr>
              <w:spacing w:line="480" w:lineRule="exact"/>
              <w:jc w:val="center"/>
              <w:rPr>
                <w:rFonts w:hint="default" w:ascii="宋体" w:hAnsi="宋体" w:eastAsia="宋体" w:cs="宋体"/>
                <w:b/>
                <w:color w:val="auto"/>
                <w:sz w:val="21"/>
                <w:szCs w:val="21"/>
                <w:highlight w:val="none"/>
              </w:rPr>
            </w:pPr>
            <w:r>
              <w:rPr>
                <w:rFonts w:hint="default" w:ascii="宋体" w:hAnsi="宋体" w:eastAsia="宋体" w:cs="宋体"/>
                <w:b/>
                <w:color w:val="auto"/>
                <w:sz w:val="21"/>
                <w:szCs w:val="21"/>
                <w:highlight w:val="none"/>
              </w:rPr>
              <w:t>条款内容</w:t>
            </w:r>
          </w:p>
        </w:tc>
        <w:tc>
          <w:tcPr>
            <w:tcW w:w="758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6A878A20">
            <w:pPr>
              <w:spacing w:line="480" w:lineRule="exact"/>
              <w:jc w:val="center"/>
              <w:rPr>
                <w:rFonts w:hint="default" w:ascii="宋体" w:hAnsi="宋体" w:eastAsia="宋体" w:cs="宋体"/>
                <w:b/>
                <w:color w:val="auto"/>
                <w:sz w:val="21"/>
                <w:szCs w:val="21"/>
                <w:highlight w:val="none"/>
              </w:rPr>
            </w:pPr>
            <w:r>
              <w:rPr>
                <w:rFonts w:hint="default" w:ascii="宋体" w:hAnsi="宋体" w:eastAsia="宋体" w:cs="宋体"/>
                <w:b/>
                <w:color w:val="auto"/>
                <w:sz w:val="21"/>
                <w:szCs w:val="21"/>
                <w:highlight w:val="none"/>
              </w:rPr>
              <w:t>具体要求</w:t>
            </w:r>
          </w:p>
        </w:tc>
      </w:tr>
      <w:tr w14:paraId="5CA40D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8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12F4BFFB">
            <w:pPr>
              <w:spacing w:line="48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3.1</w:t>
            </w:r>
          </w:p>
        </w:tc>
        <w:tc>
          <w:tcPr>
            <w:tcW w:w="151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31F71811">
            <w:pPr>
              <w:spacing w:line="48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供应商资格条件</w:t>
            </w:r>
          </w:p>
        </w:tc>
        <w:tc>
          <w:tcPr>
            <w:tcW w:w="7580"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188D50E0">
            <w:pPr>
              <w:spacing w:line="48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供应商资格条件要求详见公告。</w:t>
            </w:r>
          </w:p>
        </w:tc>
      </w:tr>
      <w:tr w14:paraId="0B2809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8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17787776">
            <w:pPr>
              <w:spacing w:line="48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5.1</w:t>
            </w:r>
          </w:p>
        </w:tc>
        <w:tc>
          <w:tcPr>
            <w:tcW w:w="151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7DB609C4">
            <w:pPr>
              <w:spacing w:line="48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是否接受联合体竞标</w:t>
            </w:r>
          </w:p>
        </w:tc>
        <w:tc>
          <w:tcPr>
            <w:tcW w:w="758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15E4DE9A">
            <w:pPr>
              <w:spacing w:line="480" w:lineRule="exact"/>
              <w:rPr>
                <w:rFonts w:hint="eastAsia" w:ascii="宋体" w:hAnsi="宋体" w:eastAsia="宋体" w:cs="宋体"/>
                <w:color w:val="auto"/>
                <w:sz w:val="24"/>
                <w:szCs w:val="24"/>
                <w:highlight w:val="none"/>
              </w:rPr>
            </w:pPr>
            <w:bookmarkStart w:id="37" w:name="PO_3000001868_PM007"/>
            <w:r>
              <w:rPr>
                <w:rFonts w:hint="eastAsia" w:ascii="宋体" w:hAnsi="宋体" w:eastAsia="宋体" w:cs="宋体"/>
                <w:color w:val="auto"/>
                <w:sz w:val="24"/>
                <w:szCs w:val="24"/>
                <w:highlight w:val="none"/>
              </w:rPr>
              <w:t>不允许联合体投标</w:t>
            </w:r>
            <w:bookmarkEnd w:id="37"/>
          </w:p>
        </w:tc>
      </w:tr>
      <w:tr w14:paraId="225977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8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6D07C490">
            <w:pPr>
              <w:spacing w:line="48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5.2</w:t>
            </w:r>
          </w:p>
        </w:tc>
        <w:tc>
          <w:tcPr>
            <w:tcW w:w="151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615D4D18">
            <w:pPr>
              <w:spacing w:line="48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联合体竞标要求</w:t>
            </w:r>
          </w:p>
        </w:tc>
        <w:tc>
          <w:tcPr>
            <w:tcW w:w="758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6FA3DF6D">
            <w:pPr>
              <w:spacing w:line="48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w:t>
            </w:r>
          </w:p>
        </w:tc>
      </w:tr>
      <w:tr w14:paraId="55B030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8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1303DB3B">
            <w:pPr>
              <w:spacing w:line="48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6.1</w:t>
            </w:r>
          </w:p>
        </w:tc>
        <w:tc>
          <w:tcPr>
            <w:tcW w:w="151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2BEEF965">
            <w:pPr>
              <w:spacing w:line="48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是否允许</w:t>
            </w:r>
          </w:p>
          <w:p w14:paraId="29FAFA1D">
            <w:pPr>
              <w:spacing w:line="48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分包</w:t>
            </w:r>
          </w:p>
        </w:tc>
        <w:tc>
          <w:tcPr>
            <w:tcW w:w="758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52BE8728">
            <w:pPr>
              <w:spacing w:line="480" w:lineRule="exact"/>
              <w:jc w:val="left"/>
              <w:rPr>
                <w:rFonts w:hint="eastAsia" w:ascii="宋体" w:hAnsi="宋体" w:eastAsia="宋体" w:cs="宋体"/>
                <w:color w:val="auto"/>
                <w:sz w:val="24"/>
                <w:szCs w:val="24"/>
                <w:highlight w:val="none"/>
              </w:rPr>
            </w:pPr>
            <w:bookmarkStart w:id="38" w:name="PO_3000001868_PM044"/>
            <w:r>
              <w:rPr>
                <w:rFonts w:hint="eastAsia" w:ascii="宋体" w:hAnsi="宋体" w:eastAsia="宋体" w:cs="宋体"/>
                <w:color w:val="auto"/>
                <w:sz w:val="24"/>
                <w:szCs w:val="24"/>
                <w:highlight w:val="none"/>
              </w:rPr>
              <w:t>不允许分包</w:t>
            </w:r>
            <w:bookmarkEnd w:id="38"/>
          </w:p>
          <w:p w14:paraId="6C1202DF">
            <w:pPr>
              <w:spacing w:line="480" w:lineRule="exact"/>
              <w:jc w:val="left"/>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分包内容：</w:t>
            </w:r>
            <w:r>
              <w:rPr>
                <w:rFonts w:hint="eastAsia" w:ascii="宋体" w:hAnsi="宋体" w:eastAsia="宋体" w:cs="宋体"/>
                <w:color w:val="auto"/>
                <w:sz w:val="24"/>
                <w:szCs w:val="24"/>
                <w:highlight w:val="none"/>
                <w:u w:val="single"/>
              </w:rPr>
              <w:t xml:space="preserve">   /   。</w:t>
            </w:r>
          </w:p>
          <w:p w14:paraId="6F59137A">
            <w:pPr>
              <w:spacing w:line="480" w:lineRule="exact"/>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分包金额或者比例：</w:t>
            </w:r>
            <w:r>
              <w:rPr>
                <w:rFonts w:hint="eastAsia" w:ascii="宋体" w:hAnsi="宋体" w:eastAsia="宋体" w:cs="宋体"/>
                <w:color w:val="auto"/>
                <w:sz w:val="24"/>
                <w:szCs w:val="24"/>
                <w:highlight w:val="none"/>
                <w:u w:val="single"/>
              </w:rPr>
              <w:t xml:space="preserve">  /  。</w:t>
            </w:r>
          </w:p>
        </w:tc>
      </w:tr>
      <w:tr w14:paraId="74F931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8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720F1A93">
            <w:pPr>
              <w:spacing w:line="48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12.1.1</w:t>
            </w:r>
          </w:p>
        </w:tc>
        <w:tc>
          <w:tcPr>
            <w:tcW w:w="151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49893BA9">
            <w:pPr>
              <w:spacing w:line="480" w:lineRule="exact"/>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资格证明</w:t>
            </w:r>
          </w:p>
          <w:p w14:paraId="2B87A192">
            <w:pPr>
              <w:spacing w:line="480" w:lineRule="exact"/>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文件组成</w:t>
            </w:r>
          </w:p>
          <w:p w14:paraId="292CE68F">
            <w:pPr>
              <w:spacing w:line="480" w:lineRule="exact"/>
              <w:jc w:val="center"/>
              <w:rPr>
                <w:rFonts w:hint="eastAsia" w:ascii="宋体" w:hAnsi="宋体" w:eastAsia="宋体" w:cs="宋体"/>
                <w:color w:val="auto"/>
                <w:sz w:val="24"/>
                <w:szCs w:val="24"/>
                <w:highlight w:val="none"/>
              </w:rPr>
            </w:pPr>
          </w:p>
        </w:tc>
        <w:tc>
          <w:tcPr>
            <w:tcW w:w="758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07B86E07">
            <w:pPr>
              <w:spacing w:line="480" w:lineRule="exact"/>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1.供应商为法人或者其他组织的提供其营业执照等证明文件（如营业执照或者事业单位法人证书或者执业许可证等），供应商为自然人的提供其身份证复印件；（</w:t>
            </w:r>
            <w:r>
              <w:rPr>
                <w:rFonts w:hint="eastAsia" w:ascii="宋体" w:hAnsi="宋体" w:eastAsia="宋体" w:cs="宋体"/>
                <w:b/>
                <w:color w:val="auto"/>
                <w:sz w:val="24"/>
                <w:szCs w:val="24"/>
                <w:highlight w:val="none"/>
              </w:rPr>
              <w:t>必须提供，否则响应文件按无效响应处理</w:t>
            </w:r>
            <w:r>
              <w:rPr>
                <w:rFonts w:hint="eastAsia" w:ascii="宋体" w:hAnsi="宋体" w:eastAsia="宋体" w:cs="宋体"/>
                <w:color w:val="auto"/>
                <w:sz w:val="24"/>
                <w:szCs w:val="24"/>
                <w:highlight w:val="none"/>
              </w:rPr>
              <w:t>）</w:t>
            </w:r>
          </w:p>
          <w:p w14:paraId="4BEE7328">
            <w:pPr>
              <w:spacing w:line="480" w:lineRule="exact"/>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2.供应商依法缴纳税收的相关材料：[</w:t>
            </w:r>
            <w:r>
              <w:rPr>
                <w:rFonts w:hint="eastAsia" w:ascii="宋体" w:hAnsi="宋体" w:eastAsia="宋体" w:cs="宋体"/>
                <w:b/>
                <w:color w:val="auto"/>
                <w:sz w:val="24"/>
                <w:szCs w:val="24"/>
                <w:highlight w:val="none"/>
                <w:u w:val="single"/>
              </w:rPr>
              <w:t>截标前连续3个月</w:t>
            </w:r>
            <w:r>
              <w:rPr>
                <w:rFonts w:hint="eastAsia" w:ascii="宋体" w:hAnsi="宋体" w:eastAsia="宋体" w:cs="宋体"/>
                <w:color w:val="auto"/>
                <w:sz w:val="24"/>
                <w:szCs w:val="24"/>
                <w:highlight w:val="none"/>
              </w:rPr>
              <w:t>]的依法缴纳税收的凭据复印件；依法免税的供应商，必须提供相应文件证明其依法免税。从取得营业执照时间起到投标文件提交截止时间为止不足要求月数的，只需提供从取得营业执照起的依法缴纳税收相应证明文件）；（</w:t>
            </w:r>
            <w:r>
              <w:rPr>
                <w:rFonts w:hint="eastAsia" w:ascii="宋体" w:hAnsi="宋体" w:eastAsia="宋体" w:cs="宋体"/>
                <w:b/>
                <w:color w:val="auto"/>
                <w:sz w:val="24"/>
                <w:szCs w:val="24"/>
                <w:highlight w:val="none"/>
              </w:rPr>
              <w:t>必须提供，否则作无效竞标处理</w:t>
            </w:r>
            <w:r>
              <w:rPr>
                <w:rFonts w:hint="eastAsia" w:ascii="宋体" w:hAnsi="宋体" w:eastAsia="宋体" w:cs="宋体"/>
                <w:color w:val="auto"/>
                <w:sz w:val="24"/>
                <w:szCs w:val="24"/>
                <w:highlight w:val="none"/>
              </w:rPr>
              <w:t>）</w:t>
            </w:r>
          </w:p>
          <w:p w14:paraId="18C64C55">
            <w:pPr>
              <w:spacing w:line="480" w:lineRule="exact"/>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3.供应商依法缴纳社会保障资金的相关材料：</w:t>
            </w:r>
            <w:r>
              <w:rPr>
                <w:rFonts w:hint="eastAsia" w:ascii="宋体" w:hAnsi="宋体" w:eastAsia="宋体" w:cs="宋体"/>
                <w:b/>
                <w:color w:val="auto"/>
                <w:sz w:val="24"/>
                <w:szCs w:val="24"/>
                <w:highlight w:val="none"/>
                <w:u w:val="single"/>
              </w:rPr>
              <w:t>[截标前连续3个月</w:t>
            </w:r>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szCs w:val="24"/>
                <w:highlight w:val="none"/>
              </w:rPr>
              <w:t>的依法缴纳社会保障资金的缴费凭证（专用收据或者社会保险缴纳清单）复印件；依法不需要缴纳社会保障资金的供应商，必须提供相应文件证明不需要缴纳社会保障资金。从取得营业执照时间起到响应文件提交截止时间为止不足要求月数的只需提供从取得营业执照起的依法缴纳社会保障资金的相应证明文件]；（</w:t>
            </w:r>
            <w:r>
              <w:rPr>
                <w:rFonts w:hint="eastAsia" w:ascii="宋体" w:hAnsi="宋体" w:eastAsia="宋体" w:cs="宋体"/>
                <w:b/>
                <w:color w:val="auto"/>
                <w:sz w:val="24"/>
                <w:szCs w:val="24"/>
                <w:highlight w:val="none"/>
              </w:rPr>
              <w:t>必须提供，否则作无效竞标处理</w:t>
            </w:r>
            <w:r>
              <w:rPr>
                <w:rFonts w:hint="eastAsia" w:ascii="宋体" w:hAnsi="宋体" w:eastAsia="宋体" w:cs="宋体"/>
                <w:color w:val="auto"/>
                <w:sz w:val="24"/>
                <w:szCs w:val="24"/>
                <w:highlight w:val="none"/>
              </w:rPr>
              <w:t>）</w:t>
            </w:r>
          </w:p>
          <w:p w14:paraId="70311D62">
            <w:pPr>
              <w:spacing w:line="480" w:lineRule="exact"/>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4.供应商财务状况报告：</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u w:val="single"/>
                <w:lang w:val="en-US" w:eastAsia="zh-CN"/>
              </w:rPr>
              <w:t>2025年</w:t>
            </w:r>
            <w:r>
              <w:rPr>
                <w:rFonts w:hint="eastAsia" w:ascii="宋体" w:hAnsi="宋体" w:eastAsia="宋体" w:cs="宋体"/>
                <w:color w:val="auto"/>
                <w:sz w:val="24"/>
                <w:szCs w:val="24"/>
                <w:highlight w:val="none"/>
              </w:rPr>
              <w:t>]财务状况报告复印件；供应商成立不满一年的应按提供首次响应文件提交截止时间上一个月的财务状况报告复印件。（上述财务状况报告包括：供应商执行《企业会计准则》的，提供资产负债表、利润表、现金流量表、所有者权益变动表及其附注（以下称“四表一注”）；供应商执行《小企业会计准则》的，提供资产负债表、利润表、现金流量表及其附注（以下称“三表一注”）；供应商执行《政府会计制度》的，提供资产负债表、收入费用表和净资产变动表及其附注)；（</w:t>
            </w:r>
            <w:r>
              <w:rPr>
                <w:rFonts w:hint="eastAsia" w:ascii="宋体" w:hAnsi="宋体" w:eastAsia="宋体" w:cs="宋体"/>
                <w:b/>
                <w:color w:val="auto"/>
                <w:sz w:val="24"/>
                <w:szCs w:val="24"/>
                <w:highlight w:val="none"/>
              </w:rPr>
              <w:t>必须提供，否则作无效竞标处理</w:t>
            </w:r>
            <w:r>
              <w:rPr>
                <w:rFonts w:hint="eastAsia" w:ascii="宋体" w:hAnsi="宋体" w:eastAsia="宋体" w:cs="宋体"/>
                <w:color w:val="auto"/>
                <w:sz w:val="24"/>
                <w:szCs w:val="24"/>
                <w:highlight w:val="none"/>
              </w:rPr>
              <w:t>）</w:t>
            </w:r>
          </w:p>
          <w:p w14:paraId="2D0F5D84">
            <w:pPr>
              <w:spacing w:line="480" w:lineRule="exact"/>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5.供应商直接控股、管理关系信息表；（</w:t>
            </w:r>
            <w:r>
              <w:rPr>
                <w:rFonts w:hint="eastAsia" w:ascii="宋体" w:hAnsi="宋体" w:eastAsia="宋体" w:cs="宋体"/>
                <w:b/>
                <w:color w:val="auto"/>
                <w:sz w:val="24"/>
                <w:szCs w:val="24"/>
                <w:highlight w:val="none"/>
              </w:rPr>
              <w:t>必须提供，否则响应文件按无效响应处理</w:t>
            </w:r>
            <w:r>
              <w:rPr>
                <w:rFonts w:hint="eastAsia" w:ascii="宋体" w:hAnsi="宋体" w:eastAsia="宋体" w:cs="宋体"/>
                <w:color w:val="auto"/>
                <w:sz w:val="24"/>
                <w:szCs w:val="24"/>
                <w:highlight w:val="none"/>
              </w:rPr>
              <w:t>）</w:t>
            </w:r>
          </w:p>
          <w:p w14:paraId="10DAA950">
            <w:pPr>
              <w:spacing w:line="480" w:lineRule="exact"/>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6.资格声明函（</w:t>
            </w:r>
            <w:r>
              <w:rPr>
                <w:rFonts w:hint="eastAsia" w:ascii="宋体" w:hAnsi="宋体" w:eastAsia="宋体" w:cs="宋体"/>
                <w:b/>
                <w:color w:val="auto"/>
                <w:sz w:val="24"/>
                <w:szCs w:val="24"/>
                <w:highlight w:val="none"/>
              </w:rPr>
              <w:t>必须提供，否则响应文件按无效响应处理</w:t>
            </w:r>
            <w:r>
              <w:rPr>
                <w:rFonts w:hint="eastAsia" w:ascii="宋体" w:hAnsi="宋体" w:eastAsia="宋体" w:cs="宋体"/>
                <w:color w:val="auto"/>
                <w:sz w:val="24"/>
                <w:szCs w:val="24"/>
                <w:highlight w:val="none"/>
              </w:rPr>
              <w:t>）；</w:t>
            </w:r>
          </w:p>
          <w:p w14:paraId="4E16EA40">
            <w:pPr>
              <w:spacing w:line="480" w:lineRule="exact"/>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7.《中小企业声明函》（</w:t>
            </w:r>
            <w:r>
              <w:rPr>
                <w:rFonts w:hint="eastAsia" w:ascii="宋体" w:hAnsi="宋体" w:eastAsia="宋体" w:cs="宋体"/>
                <w:b/>
                <w:color w:val="auto"/>
                <w:sz w:val="24"/>
                <w:szCs w:val="24"/>
                <w:highlight w:val="none"/>
              </w:rPr>
              <w:t>必须提供，否则响应文件按无效响应处理</w:t>
            </w:r>
            <w:r>
              <w:rPr>
                <w:rFonts w:hint="eastAsia" w:ascii="宋体" w:hAnsi="宋体" w:eastAsia="宋体" w:cs="宋体"/>
                <w:color w:val="auto"/>
                <w:sz w:val="24"/>
                <w:szCs w:val="24"/>
                <w:highlight w:val="none"/>
              </w:rPr>
              <w:t>）；</w:t>
            </w:r>
          </w:p>
          <w:p w14:paraId="55E0B781">
            <w:pPr>
              <w:spacing w:line="480" w:lineRule="exact"/>
              <w:jc w:val="left"/>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8.采购人或采购代理机构根据竞争性磋商公告对应的特定资格要求及特定条件设置供应商提供的资格证明材料；</w:t>
            </w:r>
            <w:r>
              <w:rPr>
                <w:rFonts w:hint="eastAsia" w:ascii="宋体" w:hAnsi="宋体" w:eastAsia="宋体" w:cs="宋体"/>
                <w:b/>
                <w:color w:val="auto"/>
                <w:sz w:val="24"/>
                <w:szCs w:val="24"/>
                <w:highlight w:val="none"/>
              </w:rPr>
              <w:t>（本项目的特定资格要求：供应商具备水利水电工程施工总承包</w:t>
            </w:r>
            <w:r>
              <w:rPr>
                <w:rFonts w:hint="eastAsia" w:ascii="宋体" w:hAnsi="宋体" w:eastAsia="宋体" w:cs="宋体"/>
                <w:b/>
                <w:color w:val="auto"/>
                <w:sz w:val="24"/>
                <w:szCs w:val="24"/>
                <w:highlight w:val="none"/>
                <w:lang w:val="en-US" w:eastAsia="zh-CN"/>
              </w:rPr>
              <w:t>贰</w:t>
            </w:r>
            <w:r>
              <w:rPr>
                <w:rFonts w:hint="eastAsia" w:ascii="宋体" w:hAnsi="宋体" w:eastAsia="宋体" w:cs="宋体"/>
                <w:b/>
                <w:color w:val="auto"/>
                <w:sz w:val="24"/>
                <w:szCs w:val="24"/>
                <w:highlight w:val="none"/>
              </w:rPr>
              <w:t>级（含）以上资质、</w:t>
            </w:r>
            <w:r>
              <w:rPr>
                <w:rFonts w:hint="eastAsia" w:ascii="宋体" w:hAnsi="宋体" w:eastAsia="宋体" w:cs="宋体"/>
                <w:b/>
                <w:color w:val="auto"/>
                <w:sz w:val="24"/>
                <w:szCs w:val="24"/>
                <w:highlight w:val="none"/>
                <w:lang w:val="en-US" w:eastAsia="zh-CN"/>
              </w:rPr>
              <w:t>有效的</w:t>
            </w:r>
            <w:r>
              <w:rPr>
                <w:rFonts w:hint="default" w:ascii="宋体" w:hAnsi="宋体" w:eastAsia="宋体" w:cs="宋体"/>
                <w:b/>
                <w:bCs/>
                <w:color w:val="auto"/>
                <w:sz w:val="24"/>
                <w:szCs w:val="24"/>
                <w:highlight w:val="none"/>
              </w:rPr>
              <w:t>安全生产许可证</w:t>
            </w:r>
            <w:r>
              <w:rPr>
                <w:rFonts w:hint="eastAsia" w:ascii="宋体" w:hAnsi="宋体" w:eastAsia="宋体" w:cs="宋体"/>
                <w:b/>
                <w:bCs/>
                <w:color w:val="auto"/>
                <w:sz w:val="24"/>
                <w:szCs w:val="24"/>
                <w:highlight w:val="none"/>
                <w:lang w:eastAsia="zh-CN"/>
              </w:rPr>
              <w:t>、</w:t>
            </w:r>
            <w:r>
              <w:rPr>
                <w:rFonts w:hint="eastAsia" w:ascii="宋体" w:hAnsi="宋体" w:eastAsia="宋体" w:cs="宋体"/>
                <w:b/>
                <w:color w:val="auto"/>
                <w:sz w:val="24"/>
                <w:szCs w:val="24"/>
                <w:highlight w:val="none"/>
              </w:rPr>
              <w:t>拟投入本项目的项目经理须具备有效的水利水电工程类专业贰级（含）以上注册建造师执业资格，具备有效的安全生产考核合格证书（B类），必须提供，否则响应文件按无效响应处理）</w:t>
            </w:r>
          </w:p>
          <w:p w14:paraId="7E6B1488">
            <w:pPr>
              <w:spacing w:line="480" w:lineRule="exact"/>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9.除磋商文件规定必须提供以外，供应商认为需要提供的其他证明材料</w:t>
            </w:r>
            <w:r>
              <w:rPr>
                <w:rFonts w:hint="eastAsia" w:ascii="宋体" w:hAnsi="宋体" w:eastAsia="宋体" w:cs="宋体"/>
                <w:color w:val="auto"/>
                <w:kern w:val="0"/>
                <w:sz w:val="24"/>
                <w:szCs w:val="24"/>
                <w:highlight w:val="none"/>
              </w:rPr>
              <w:t>；</w:t>
            </w:r>
          </w:p>
          <w:p w14:paraId="24CBB4E4">
            <w:pPr>
              <w:spacing w:line="480" w:lineRule="exact"/>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注：1.以上标明“必须提供”的材料必须加盖供应商电子公章，否则响应文件按无效响应处理。</w:t>
            </w:r>
          </w:p>
          <w:p w14:paraId="1528B078">
            <w:pPr>
              <w:spacing w:line="480" w:lineRule="exact"/>
              <w:ind w:firstLine="482" w:firstLineChars="200"/>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2.联合体竞标时，第1-5项资格证明文件联合体各方均必须分别提供，联合体各方分别盖章和签字，否则响应文件按无效响应处理。</w:t>
            </w:r>
          </w:p>
        </w:tc>
      </w:tr>
      <w:tr w14:paraId="724D5E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80" w:type="dxa"/>
            <w:vMerge w:val="restar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B1DCE0B">
            <w:pPr>
              <w:spacing w:line="48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12.1.2</w:t>
            </w:r>
          </w:p>
        </w:tc>
        <w:tc>
          <w:tcPr>
            <w:tcW w:w="151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33DFCFBE">
            <w:pPr>
              <w:spacing w:line="480" w:lineRule="exact"/>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商务文件</w:t>
            </w:r>
          </w:p>
          <w:p w14:paraId="023E6C85">
            <w:pPr>
              <w:spacing w:line="480" w:lineRule="exact"/>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组成</w:t>
            </w:r>
          </w:p>
        </w:tc>
        <w:tc>
          <w:tcPr>
            <w:tcW w:w="758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56240C96">
            <w:pPr>
              <w:spacing w:line="48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1.无串通竞标行为的承诺函；（</w:t>
            </w:r>
            <w:r>
              <w:rPr>
                <w:rFonts w:hint="eastAsia" w:ascii="宋体" w:hAnsi="宋体" w:eastAsia="宋体" w:cs="宋体"/>
                <w:b/>
                <w:color w:val="auto"/>
                <w:sz w:val="24"/>
                <w:szCs w:val="24"/>
                <w:highlight w:val="none"/>
              </w:rPr>
              <w:t>必须提供，否则响应文件按无效响应处理</w:t>
            </w:r>
            <w:r>
              <w:rPr>
                <w:rFonts w:hint="eastAsia" w:ascii="宋体" w:hAnsi="宋体" w:eastAsia="宋体" w:cs="宋体"/>
                <w:color w:val="auto"/>
                <w:sz w:val="24"/>
                <w:szCs w:val="24"/>
                <w:highlight w:val="none"/>
              </w:rPr>
              <w:t>）</w:t>
            </w:r>
          </w:p>
          <w:p w14:paraId="6C5AEE84">
            <w:pPr>
              <w:spacing w:line="480" w:lineRule="exact"/>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2.法定代表人身份证明书及法定代表人有效身份证正反面复印件；（</w:t>
            </w:r>
            <w:r>
              <w:rPr>
                <w:rFonts w:hint="eastAsia" w:ascii="宋体" w:hAnsi="宋体" w:eastAsia="宋体" w:cs="宋体"/>
                <w:b/>
                <w:color w:val="auto"/>
                <w:sz w:val="24"/>
                <w:szCs w:val="24"/>
                <w:highlight w:val="none"/>
              </w:rPr>
              <w:t>除自然人竞标外必须提供，否则响应文件按无效响应处理</w:t>
            </w:r>
            <w:r>
              <w:rPr>
                <w:rFonts w:hint="eastAsia" w:ascii="宋体" w:hAnsi="宋体" w:eastAsia="宋体" w:cs="宋体"/>
                <w:color w:val="auto"/>
                <w:sz w:val="24"/>
                <w:szCs w:val="24"/>
                <w:highlight w:val="none"/>
              </w:rPr>
              <w:t>）</w:t>
            </w:r>
          </w:p>
          <w:p w14:paraId="54FE4900">
            <w:pPr>
              <w:spacing w:line="480" w:lineRule="exact"/>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3.法定代表人授权委托书及委托代理人有效身份证正反面复印件；（</w:t>
            </w:r>
            <w:r>
              <w:rPr>
                <w:rFonts w:hint="eastAsia" w:ascii="宋体" w:hAnsi="宋体" w:eastAsia="宋体" w:cs="宋体"/>
                <w:b/>
                <w:color w:val="auto"/>
                <w:sz w:val="24"/>
                <w:szCs w:val="24"/>
                <w:highlight w:val="none"/>
              </w:rPr>
              <w:t>委托时必须提供，否则响应文件按无效响应处理</w:t>
            </w:r>
            <w:r>
              <w:rPr>
                <w:rFonts w:hint="eastAsia" w:ascii="宋体" w:hAnsi="宋体" w:eastAsia="宋体" w:cs="宋体"/>
                <w:color w:val="auto"/>
                <w:sz w:val="24"/>
                <w:szCs w:val="24"/>
                <w:highlight w:val="none"/>
              </w:rPr>
              <w:t>）</w:t>
            </w:r>
          </w:p>
          <w:p w14:paraId="67D0A592">
            <w:pPr>
              <w:spacing w:line="48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4.商务条款偏离表；（</w:t>
            </w:r>
            <w:r>
              <w:rPr>
                <w:rFonts w:hint="eastAsia" w:ascii="宋体" w:hAnsi="宋体" w:eastAsia="宋体" w:cs="宋体"/>
                <w:b/>
                <w:color w:val="auto"/>
                <w:sz w:val="24"/>
                <w:szCs w:val="24"/>
                <w:highlight w:val="none"/>
              </w:rPr>
              <w:t>必须提供，否则响应文件按无效响应处理</w:t>
            </w:r>
            <w:r>
              <w:rPr>
                <w:rFonts w:hint="eastAsia" w:ascii="宋体" w:hAnsi="宋体" w:eastAsia="宋体" w:cs="宋体"/>
                <w:color w:val="auto"/>
                <w:sz w:val="24"/>
                <w:szCs w:val="24"/>
                <w:highlight w:val="none"/>
              </w:rPr>
              <w:t>）</w:t>
            </w:r>
          </w:p>
          <w:p w14:paraId="231E23E3">
            <w:pPr>
              <w:spacing w:line="480" w:lineRule="exac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5.供应商认为需要提供的其他有关资料。</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含</w:t>
            </w:r>
            <w:r>
              <w:rPr>
                <w:rFonts w:hint="eastAsia" w:ascii="宋体" w:hAnsi="宋体" w:eastAsia="宋体" w:cs="宋体"/>
                <w:color w:val="auto"/>
                <w:sz w:val="24"/>
                <w:lang w:val="en-US" w:eastAsia="zh-CN"/>
              </w:rPr>
              <w:t>近三年来施工企业承建的项目竣工工程情况表等</w:t>
            </w:r>
            <w:r>
              <w:rPr>
                <w:rFonts w:hint="eastAsia" w:ascii="宋体" w:hAnsi="宋体" w:eastAsia="宋体" w:cs="宋体"/>
                <w:color w:val="auto"/>
                <w:sz w:val="24"/>
                <w:szCs w:val="24"/>
                <w:highlight w:val="none"/>
                <w:lang w:eastAsia="zh-CN"/>
              </w:rPr>
              <w:t>）</w:t>
            </w:r>
          </w:p>
          <w:p w14:paraId="7990D41A">
            <w:pPr>
              <w:spacing w:line="480" w:lineRule="exact"/>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 xml:space="preserve">注： </w:t>
            </w:r>
          </w:p>
          <w:p w14:paraId="63CC70A1">
            <w:pPr>
              <w:spacing w:line="480" w:lineRule="exact"/>
              <w:ind w:firstLine="482" w:firstLineChars="200"/>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1.法定代表人授权委托书必须由法定代表人及委托代理人签字，并加盖供应商公章，否则响应文件按无效响应处理。</w:t>
            </w:r>
          </w:p>
          <w:p w14:paraId="0257CC3B">
            <w:pPr>
              <w:spacing w:line="480" w:lineRule="exact"/>
              <w:ind w:firstLine="472" w:firstLineChars="196"/>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2.以上标明“必须提供”的材料必须加盖供应商电子公章，否则响应文件按无效响应处理。</w:t>
            </w:r>
          </w:p>
        </w:tc>
      </w:tr>
      <w:tr w14:paraId="6C5900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80" w:type="dxa"/>
            <w:vMerge w:val="continue"/>
            <w:tcBorders>
              <w:top w:val="single" w:color="000000" w:sz="4" w:space="0"/>
              <w:left w:val="single" w:color="000000" w:sz="4" w:space="0"/>
              <w:bottom w:val="single" w:color="000000" w:sz="4" w:space="0"/>
              <w:right w:val="single" w:color="000000" w:sz="4" w:space="0"/>
              <w:tl2br w:val="nil"/>
              <w:tr2bl w:val="nil"/>
            </w:tcBorders>
            <w:noWrap w:val="0"/>
            <w:vAlign w:val="center"/>
          </w:tcPr>
          <w:p w14:paraId="29FE61B3">
            <w:pPr>
              <w:widowControl/>
              <w:spacing w:line="480" w:lineRule="exact"/>
              <w:jc w:val="left"/>
              <w:rPr>
                <w:rFonts w:hint="eastAsia" w:ascii="宋体" w:hAnsi="宋体" w:eastAsia="宋体" w:cs="宋体"/>
                <w:color w:val="auto"/>
                <w:sz w:val="24"/>
                <w:szCs w:val="24"/>
                <w:highlight w:val="none"/>
              </w:rPr>
            </w:pPr>
          </w:p>
        </w:tc>
        <w:tc>
          <w:tcPr>
            <w:tcW w:w="151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13618A15">
            <w:pPr>
              <w:spacing w:line="480" w:lineRule="exact"/>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技术文件</w:t>
            </w:r>
          </w:p>
          <w:p w14:paraId="55418534">
            <w:pPr>
              <w:spacing w:line="480" w:lineRule="exact"/>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组成</w:t>
            </w:r>
          </w:p>
        </w:tc>
        <w:tc>
          <w:tcPr>
            <w:tcW w:w="758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0A8DDC5D">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企业概况表；（</w:t>
            </w:r>
            <w:r>
              <w:rPr>
                <w:rFonts w:hint="eastAsia" w:ascii="宋体" w:hAnsi="宋体" w:eastAsia="宋体" w:cs="宋体"/>
                <w:b/>
                <w:color w:val="auto"/>
                <w:sz w:val="24"/>
                <w:szCs w:val="24"/>
                <w:highlight w:val="none"/>
              </w:rPr>
              <w:t>必须提供，否则响应文件按无效响应处理</w:t>
            </w:r>
            <w:r>
              <w:rPr>
                <w:rFonts w:hint="eastAsia" w:ascii="宋体" w:hAnsi="宋体" w:eastAsia="宋体" w:cs="宋体"/>
                <w:color w:val="auto"/>
                <w:sz w:val="24"/>
                <w:szCs w:val="24"/>
                <w:highlight w:val="none"/>
              </w:rPr>
              <w:t>）</w:t>
            </w:r>
          </w:p>
          <w:p w14:paraId="490708DC">
            <w:pPr>
              <w:pStyle w:val="7"/>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2.技术需求偏离表；</w:t>
            </w:r>
            <w:r>
              <w:rPr>
                <w:rFonts w:hint="eastAsia" w:ascii="宋体" w:hAnsi="宋体" w:eastAsia="宋体" w:cs="宋体"/>
                <w:b/>
                <w:color w:val="auto"/>
                <w:sz w:val="24"/>
                <w:szCs w:val="24"/>
                <w:highlight w:val="none"/>
              </w:rPr>
              <w:t>（必须提供，否则响应文件按无效响应处理）</w:t>
            </w:r>
          </w:p>
          <w:p w14:paraId="6F7D0BC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3.项目经理</w:t>
            </w:r>
            <w:r>
              <w:rPr>
                <w:rFonts w:hint="eastAsia" w:ascii="宋体" w:hAnsi="宋体" w:eastAsia="宋体" w:cs="宋体"/>
                <w:color w:val="auto"/>
                <w:sz w:val="24"/>
              </w:rPr>
              <w:t>（或建造师）</w:t>
            </w:r>
            <w:r>
              <w:rPr>
                <w:rFonts w:hint="eastAsia" w:ascii="宋体" w:hAnsi="宋体" w:eastAsia="宋体" w:cs="宋体"/>
                <w:color w:val="auto"/>
                <w:sz w:val="24"/>
                <w:szCs w:val="24"/>
                <w:highlight w:val="none"/>
              </w:rPr>
              <w:t>简历表；（</w:t>
            </w:r>
            <w:r>
              <w:rPr>
                <w:rFonts w:hint="eastAsia" w:ascii="宋体" w:hAnsi="宋体" w:eastAsia="宋体" w:cs="宋体"/>
                <w:b/>
                <w:color w:val="auto"/>
                <w:sz w:val="24"/>
                <w:szCs w:val="24"/>
                <w:highlight w:val="none"/>
              </w:rPr>
              <w:t>必须提供，否则响应文件按无效响应处理</w:t>
            </w:r>
            <w:r>
              <w:rPr>
                <w:rFonts w:hint="eastAsia" w:ascii="宋体" w:hAnsi="宋体" w:eastAsia="宋体" w:cs="宋体"/>
                <w:color w:val="auto"/>
                <w:sz w:val="24"/>
                <w:szCs w:val="24"/>
                <w:highlight w:val="none"/>
              </w:rPr>
              <w:t>）</w:t>
            </w:r>
          </w:p>
          <w:p w14:paraId="0203F7D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4.主要施工管理人员表；（</w:t>
            </w:r>
            <w:r>
              <w:rPr>
                <w:rFonts w:hint="eastAsia" w:ascii="宋体" w:hAnsi="宋体" w:eastAsia="宋体" w:cs="宋体"/>
                <w:b/>
                <w:color w:val="auto"/>
                <w:sz w:val="24"/>
                <w:szCs w:val="24"/>
                <w:highlight w:val="none"/>
              </w:rPr>
              <w:t>必须提供，否则响应文件按无效响应处理</w:t>
            </w:r>
            <w:r>
              <w:rPr>
                <w:rFonts w:hint="eastAsia" w:ascii="宋体" w:hAnsi="宋体" w:eastAsia="宋体" w:cs="宋体"/>
                <w:color w:val="auto"/>
                <w:sz w:val="24"/>
                <w:szCs w:val="24"/>
                <w:highlight w:val="none"/>
              </w:rPr>
              <w:t>）</w:t>
            </w:r>
          </w:p>
          <w:p w14:paraId="7039303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5.项目经理未在其他在施建设工程项目中任职的承诺函；（</w:t>
            </w:r>
            <w:r>
              <w:rPr>
                <w:rFonts w:hint="eastAsia" w:ascii="宋体" w:hAnsi="宋体" w:eastAsia="宋体" w:cs="宋体"/>
                <w:b/>
                <w:color w:val="auto"/>
                <w:sz w:val="24"/>
                <w:szCs w:val="24"/>
                <w:highlight w:val="none"/>
              </w:rPr>
              <w:t>必须提供，否则响应文件按无效响应处理</w:t>
            </w:r>
            <w:r>
              <w:rPr>
                <w:rFonts w:hint="eastAsia" w:ascii="宋体" w:hAnsi="宋体" w:eastAsia="宋体" w:cs="宋体"/>
                <w:color w:val="auto"/>
                <w:sz w:val="24"/>
                <w:szCs w:val="24"/>
                <w:highlight w:val="none"/>
              </w:rPr>
              <w:t>）</w:t>
            </w:r>
          </w:p>
          <w:p w14:paraId="7F66A38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.安全员未在其他在施建设工程项目中任专职安全员的承诺函；（</w:t>
            </w:r>
            <w:r>
              <w:rPr>
                <w:rFonts w:hint="eastAsia" w:ascii="宋体" w:hAnsi="宋体" w:eastAsia="宋体" w:cs="宋体"/>
                <w:b/>
                <w:color w:val="auto"/>
                <w:sz w:val="24"/>
                <w:szCs w:val="24"/>
                <w:highlight w:val="none"/>
              </w:rPr>
              <w:t>必须提供，否则响应文件按无效响应处理</w:t>
            </w:r>
            <w:r>
              <w:rPr>
                <w:rFonts w:hint="eastAsia" w:ascii="宋体" w:hAnsi="宋体" w:eastAsia="宋体" w:cs="宋体"/>
                <w:color w:val="auto"/>
                <w:sz w:val="24"/>
                <w:szCs w:val="24"/>
                <w:highlight w:val="none"/>
              </w:rPr>
              <w:t>）</w:t>
            </w:r>
          </w:p>
          <w:p w14:paraId="0F462CCB">
            <w:pPr>
              <w:pStyle w:val="7"/>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.农民工工资保证金的交纳与使用的承诺书（</w:t>
            </w:r>
            <w:r>
              <w:rPr>
                <w:rFonts w:hint="eastAsia" w:ascii="宋体" w:hAnsi="宋体" w:eastAsia="宋体" w:cs="宋体"/>
                <w:b/>
                <w:color w:val="auto"/>
                <w:sz w:val="24"/>
                <w:szCs w:val="24"/>
                <w:highlight w:val="none"/>
              </w:rPr>
              <w:t>必须提供，否则响应文件按无效响应处理</w:t>
            </w:r>
            <w:r>
              <w:rPr>
                <w:rFonts w:hint="eastAsia" w:ascii="宋体" w:hAnsi="宋体" w:eastAsia="宋体" w:cs="宋体"/>
                <w:color w:val="auto"/>
                <w:sz w:val="24"/>
                <w:szCs w:val="24"/>
                <w:highlight w:val="none"/>
              </w:rPr>
              <w:t>）</w:t>
            </w:r>
          </w:p>
          <w:p w14:paraId="1440952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.施工组织设计；（</w:t>
            </w:r>
            <w:r>
              <w:rPr>
                <w:rFonts w:hint="eastAsia" w:ascii="宋体" w:hAnsi="宋体" w:eastAsia="宋体" w:cs="宋体"/>
                <w:b/>
                <w:color w:val="auto"/>
                <w:sz w:val="24"/>
                <w:szCs w:val="24"/>
                <w:highlight w:val="none"/>
              </w:rPr>
              <w:t>必须提供，否则响应文件按无效响应处理</w:t>
            </w:r>
            <w:r>
              <w:rPr>
                <w:rFonts w:hint="eastAsia" w:ascii="宋体" w:hAnsi="宋体" w:eastAsia="宋体" w:cs="宋体"/>
                <w:color w:val="auto"/>
                <w:sz w:val="24"/>
                <w:szCs w:val="24"/>
                <w:highlight w:val="none"/>
              </w:rPr>
              <w:t>）</w:t>
            </w:r>
          </w:p>
          <w:p w14:paraId="28E589A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rPr>
              <w:t>.按本竞争性磋商文件规定提交的其它资料。</w:t>
            </w:r>
          </w:p>
          <w:p w14:paraId="7F9943F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注：1.以上标明“必须提供”的材料必须加盖供应商电子公章，否则响应文件按无效响应处理。</w:t>
            </w:r>
          </w:p>
        </w:tc>
      </w:tr>
      <w:tr w14:paraId="24C059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8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2BC366E4">
            <w:pPr>
              <w:spacing w:line="48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12.1.2</w:t>
            </w:r>
          </w:p>
        </w:tc>
        <w:tc>
          <w:tcPr>
            <w:tcW w:w="151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0138D4F5">
            <w:pPr>
              <w:spacing w:line="480" w:lineRule="exact"/>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报价文件</w:t>
            </w:r>
          </w:p>
          <w:p w14:paraId="6A81A130">
            <w:pPr>
              <w:spacing w:line="480" w:lineRule="exact"/>
              <w:jc w:val="center"/>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组成</w:t>
            </w:r>
          </w:p>
        </w:tc>
        <w:tc>
          <w:tcPr>
            <w:tcW w:w="758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2D22E689">
            <w:pPr>
              <w:tabs>
                <w:tab w:val="left" w:pos="459"/>
              </w:tabs>
              <w:spacing w:line="480" w:lineRule="exact"/>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1.响应函；</w:t>
            </w:r>
            <w:r>
              <w:rPr>
                <w:rFonts w:hint="eastAsia" w:ascii="宋体" w:hAnsi="宋体" w:eastAsia="宋体" w:cs="宋体"/>
                <w:b/>
                <w:color w:val="auto"/>
                <w:sz w:val="24"/>
                <w:szCs w:val="24"/>
                <w:highlight w:val="none"/>
              </w:rPr>
              <w:t>（必须提供，否则作无效响应处理）</w:t>
            </w:r>
          </w:p>
          <w:p w14:paraId="73D9E549">
            <w:pPr>
              <w:spacing w:line="48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2.响应报价表；（</w:t>
            </w:r>
            <w:r>
              <w:rPr>
                <w:rFonts w:hint="eastAsia" w:ascii="宋体" w:hAnsi="宋体" w:eastAsia="宋体" w:cs="宋体"/>
                <w:b/>
                <w:color w:val="auto"/>
                <w:sz w:val="24"/>
                <w:szCs w:val="24"/>
                <w:highlight w:val="none"/>
              </w:rPr>
              <w:t>必须提供，否则响应文件按无效响应处理</w:t>
            </w:r>
            <w:r>
              <w:rPr>
                <w:rFonts w:hint="eastAsia" w:ascii="宋体" w:hAnsi="宋体" w:eastAsia="宋体" w:cs="宋体"/>
                <w:color w:val="auto"/>
                <w:sz w:val="24"/>
                <w:szCs w:val="24"/>
                <w:highlight w:val="none"/>
              </w:rPr>
              <w:t>）</w:t>
            </w:r>
          </w:p>
          <w:p w14:paraId="7D738CF0">
            <w:pPr>
              <w:spacing w:line="48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3.工程量清单报价有关资料；（</w:t>
            </w:r>
            <w:r>
              <w:rPr>
                <w:rFonts w:hint="eastAsia" w:ascii="宋体" w:hAnsi="宋体" w:eastAsia="宋体" w:cs="宋体"/>
                <w:b/>
                <w:color w:val="auto"/>
                <w:sz w:val="24"/>
                <w:szCs w:val="24"/>
                <w:highlight w:val="none"/>
              </w:rPr>
              <w:t>必须提供，否则响应文件按无效响应处理</w:t>
            </w:r>
            <w:r>
              <w:rPr>
                <w:rFonts w:hint="eastAsia" w:ascii="宋体" w:hAnsi="宋体" w:eastAsia="宋体" w:cs="宋体"/>
                <w:color w:val="auto"/>
                <w:sz w:val="24"/>
                <w:szCs w:val="24"/>
                <w:highlight w:val="none"/>
              </w:rPr>
              <w:t>）</w:t>
            </w:r>
          </w:p>
        </w:tc>
      </w:tr>
      <w:tr w14:paraId="5B3EC8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8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2BEBA5E6">
            <w:pPr>
              <w:spacing w:line="48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12.2</w:t>
            </w:r>
          </w:p>
        </w:tc>
        <w:tc>
          <w:tcPr>
            <w:tcW w:w="151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74E253EF">
            <w:pPr>
              <w:spacing w:line="48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响应文件电子版要求</w:t>
            </w:r>
          </w:p>
        </w:tc>
        <w:tc>
          <w:tcPr>
            <w:tcW w:w="758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675C0C6C">
            <w:pPr>
              <w:spacing w:line="480" w:lineRule="exact"/>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1.响应文件电子版要求：按照本采购文件“第五章 响应文件格式”编写（第五章未附格式的，由供应商自行拟定），不可涂改并在规定加盖公章处加盖电子公章，</w:t>
            </w:r>
            <w:r>
              <w:rPr>
                <w:rFonts w:hint="eastAsia" w:ascii="宋体" w:hAnsi="宋体" w:eastAsia="宋体" w:cs="宋体"/>
                <w:b/>
                <w:color w:val="auto"/>
                <w:sz w:val="24"/>
                <w:szCs w:val="24"/>
                <w:highlight w:val="none"/>
              </w:rPr>
              <w:t>否则响应文件按无效响应处理。</w:t>
            </w:r>
          </w:p>
          <w:p w14:paraId="6109FB45">
            <w:pPr>
              <w:spacing w:line="480" w:lineRule="exact"/>
              <w:jc w:val="left"/>
              <w:rPr>
                <w:rFonts w:hint="eastAsia" w:ascii="宋体" w:hAnsi="宋体" w:eastAsia="宋体" w:cs="宋体"/>
                <w:b/>
                <w:color w:val="auto"/>
                <w:sz w:val="24"/>
                <w:szCs w:val="24"/>
                <w:highlight w:val="none"/>
                <w:u w:val="single"/>
              </w:rPr>
            </w:pPr>
            <w:r>
              <w:rPr>
                <w:rFonts w:hint="eastAsia" w:ascii="宋体" w:hAnsi="宋体" w:eastAsia="宋体" w:cs="宋体"/>
                <w:color w:val="auto"/>
                <w:sz w:val="24"/>
                <w:szCs w:val="24"/>
                <w:highlight w:val="none"/>
              </w:rPr>
              <w:t>2.响应文件电子版密封方式：电子响应文件通过平台有效CA加密后在“广西政府采购云平台”平台投送。</w:t>
            </w:r>
            <w:r>
              <w:rPr>
                <w:rFonts w:hint="eastAsia" w:ascii="宋体" w:hAnsi="宋体" w:eastAsia="宋体" w:cs="宋体"/>
                <w:b/>
                <w:color w:val="auto"/>
                <w:sz w:val="24"/>
                <w:szCs w:val="24"/>
                <w:highlight w:val="none"/>
                <w:u w:val="single"/>
              </w:rPr>
              <w:t>（操作方式见公告附件“电子响应文件制作与投送教程”）。</w:t>
            </w:r>
          </w:p>
          <w:p w14:paraId="75E39074">
            <w:pPr>
              <w:spacing w:line="480" w:lineRule="exact"/>
              <w:jc w:val="lef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3.在领取成交通知书时，成交单位需打印与电子投标文件一致的纸质文件一式</w:t>
            </w:r>
            <w:r>
              <w:rPr>
                <w:rFonts w:hint="eastAsia" w:ascii="宋体" w:hAnsi="宋体" w:eastAsia="宋体" w:cs="宋体"/>
                <w:b/>
                <w:color w:val="auto"/>
                <w:sz w:val="24"/>
                <w:szCs w:val="24"/>
                <w:highlight w:val="none"/>
                <w:lang w:val="en-US" w:eastAsia="zh-CN"/>
              </w:rPr>
              <w:t>叁</w:t>
            </w:r>
            <w:r>
              <w:rPr>
                <w:rFonts w:hint="eastAsia" w:ascii="宋体" w:hAnsi="宋体" w:eastAsia="宋体" w:cs="宋体"/>
                <w:b/>
                <w:color w:val="auto"/>
                <w:sz w:val="24"/>
                <w:szCs w:val="24"/>
                <w:highlight w:val="none"/>
              </w:rPr>
              <w:t>份供采购人归档。</w:t>
            </w:r>
          </w:p>
        </w:tc>
      </w:tr>
      <w:tr w14:paraId="2365FA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8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345CC935">
            <w:pPr>
              <w:spacing w:line="48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15.2</w:t>
            </w:r>
          </w:p>
        </w:tc>
        <w:tc>
          <w:tcPr>
            <w:tcW w:w="151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209FD9C1">
            <w:pPr>
              <w:spacing w:line="48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响应报价</w:t>
            </w:r>
          </w:p>
          <w:p w14:paraId="0FDC847E">
            <w:pPr>
              <w:spacing w:line="48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要求</w:t>
            </w:r>
          </w:p>
        </w:tc>
        <w:tc>
          <w:tcPr>
            <w:tcW w:w="758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18EAA4F6">
            <w:pPr>
              <w:spacing w:line="480" w:lineRule="exact"/>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响应报价必须包含满足本次竞标全部采购需求工程的成本、调试、检验、技术服务、培训、税费等所有费用。</w:t>
            </w:r>
          </w:p>
        </w:tc>
      </w:tr>
      <w:tr w14:paraId="32FEE4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8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1951BD24">
            <w:pPr>
              <w:spacing w:line="48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16.2</w:t>
            </w:r>
          </w:p>
        </w:tc>
        <w:tc>
          <w:tcPr>
            <w:tcW w:w="151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5EFDFF2E">
            <w:pPr>
              <w:spacing w:line="48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竞标有效期</w:t>
            </w:r>
          </w:p>
        </w:tc>
        <w:tc>
          <w:tcPr>
            <w:tcW w:w="758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3D76CFA7">
            <w:pPr>
              <w:tabs>
                <w:tab w:val="left" w:pos="720"/>
                <w:tab w:val="left" w:pos="840"/>
              </w:tabs>
              <w:spacing w:after="120" w:afterLines="50" w:line="480" w:lineRule="exact"/>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自首次响应文件提交截止之日起</w:t>
            </w:r>
            <w:bookmarkStart w:id="39" w:name="PO_3000001868_PM046"/>
            <w:r>
              <w:rPr>
                <w:rFonts w:hint="eastAsia" w:ascii="宋体" w:hAnsi="宋体" w:eastAsia="宋体" w:cs="宋体"/>
                <w:color w:val="auto"/>
                <w:sz w:val="24"/>
                <w:szCs w:val="24"/>
                <w:highlight w:val="none"/>
                <w:u w:val="single"/>
              </w:rPr>
              <w:t>90日历天</w:t>
            </w:r>
            <w:bookmarkEnd w:id="39"/>
            <w:r>
              <w:rPr>
                <w:rFonts w:hint="eastAsia" w:ascii="宋体" w:hAnsi="宋体" w:eastAsia="宋体" w:cs="宋体"/>
                <w:color w:val="auto"/>
                <w:sz w:val="24"/>
                <w:szCs w:val="24"/>
                <w:highlight w:val="none"/>
              </w:rPr>
              <w:t>日。</w:t>
            </w:r>
          </w:p>
        </w:tc>
      </w:tr>
      <w:tr w14:paraId="137FDC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8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6EAA6A3E">
            <w:pPr>
              <w:spacing w:line="48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17.1</w:t>
            </w:r>
          </w:p>
        </w:tc>
        <w:tc>
          <w:tcPr>
            <w:tcW w:w="151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3E8CA5B2">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磋商保证金</w:t>
            </w:r>
          </w:p>
        </w:tc>
        <w:tc>
          <w:tcPr>
            <w:tcW w:w="758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6E1987AA">
            <w:pPr>
              <w:spacing w:line="48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详见竞争性磋商公告。</w:t>
            </w:r>
          </w:p>
        </w:tc>
      </w:tr>
      <w:tr w14:paraId="11ABBB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8" w:hRule="atLeast"/>
          <w:jc w:val="center"/>
        </w:trPr>
        <w:tc>
          <w:tcPr>
            <w:tcW w:w="980" w:type="dxa"/>
            <w:vMerge w:val="restar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FD540AD">
            <w:pPr>
              <w:spacing w:line="48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20.1</w:t>
            </w:r>
          </w:p>
        </w:tc>
        <w:tc>
          <w:tcPr>
            <w:tcW w:w="151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773B2B0F">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首次响应文件提交起止时间</w:t>
            </w:r>
          </w:p>
        </w:tc>
        <w:tc>
          <w:tcPr>
            <w:tcW w:w="758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7E28DA2D">
            <w:pPr>
              <w:spacing w:line="480" w:lineRule="exact"/>
              <w:jc w:val="left"/>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详见竞争性磋商公告。</w:t>
            </w:r>
          </w:p>
        </w:tc>
      </w:tr>
      <w:tr w14:paraId="23996C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980" w:type="dxa"/>
            <w:vMerge w:val="continue"/>
            <w:tcBorders>
              <w:top w:val="single" w:color="000000" w:sz="4" w:space="0"/>
              <w:left w:val="single" w:color="000000" w:sz="4" w:space="0"/>
              <w:bottom w:val="single" w:color="000000" w:sz="4" w:space="0"/>
              <w:right w:val="single" w:color="000000" w:sz="4" w:space="0"/>
              <w:tl2br w:val="nil"/>
              <w:tr2bl w:val="nil"/>
            </w:tcBorders>
            <w:noWrap w:val="0"/>
            <w:vAlign w:val="center"/>
          </w:tcPr>
          <w:p w14:paraId="5BC067F6">
            <w:pPr>
              <w:widowControl/>
              <w:spacing w:line="480" w:lineRule="exact"/>
              <w:jc w:val="left"/>
              <w:rPr>
                <w:rFonts w:hint="eastAsia" w:ascii="宋体" w:hAnsi="宋体" w:eastAsia="宋体" w:cs="宋体"/>
                <w:color w:val="auto"/>
                <w:sz w:val="24"/>
                <w:szCs w:val="24"/>
                <w:highlight w:val="none"/>
              </w:rPr>
            </w:pPr>
          </w:p>
        </w:tc>
        <w:tc>
          <w:tcPr>
            <w:tcW w:w="151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46EF026A">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首次响应文件提交地点</w:t>
            </w:r>
          </w:p>
        </w:tc>
        <w:tc>
          <w:tcPr>
            <w:tcW w:w="758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2EE01733">
            <w:pPr>
              <w:spacing w:line="480" w:lineRule="exact"/>
              <w:jc w:val="left"/>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详见竞争性磋商公告。</w:t>
            </w:r>
          </w:p>
        </w:tc>
      </w:tr>
      <w:tr w14:paraId="7B5077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98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0EBF4D86">
            <w:pPr>
              <w:spacing w:line="48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20.6</w:t>
            </w:r>
          </w:p>
        </w:tc>
        <w:tc>
          <w:tcPr>
            <w:tcW w:w="151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4B8029CB">
            <w:pPr>
              <w:spacing w:line="48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备份响应</w:t>
            </w:r>
          </w:p>
          <w:p w14:paraId="52EF13F6">
            <w:pPr>
              <w:spacing w:line="48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文件</w:t>
            </w:r>
          </w:p>
        </w:tc>
        <w:tc>
          <w:tcPr>
            <w:tcW w:w="758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51E3E35F">
            <w:pPr>
              <w:spacing w:line="480" w:lineRule="exact"/>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本项目不接受备份响应文件。</w:t>
            </w:r>
          </w:p>
        </w:tc>
      </w:tr>
      <w:tr w14:paraId="7A84E2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98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0B941ACD">
            <w:pPr>
              <w:spacing w:line="48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w:t>
            </w:r>
          </w:p>
        </w:tc>
        <w:tc>
          <w:tcPr>
            <w:tcW w:w="151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15C323C4">
            <w:pPr>
              <w:spacing w:line="48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首次响应文件的退回</w:t>
            </w:r>
          </w:p>
        </w:tc>
        <w:tc>
          <w:tcPr>
            <w:tcW w:w="758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7DF81217">
            <w:pPr>
              <w:spacing w:line="480" w:lineRule="exact"/>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详见竞争性磋商公告。</w:t>
            </w:r>
          </w:p>
        </w:tc>
      </w:tr>
      <w:tr w14:paraId="3B387B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7" w:hRule="atLeast"/>
          <w:jc w:val="center"/>
        </w:trPr>
        <w:tc>
          <w:tcPr>
            <w:tcW w:w="980" w:type="dxa"/>
            <w:vMerge w:val="restar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3EA00FF">
            <w:pPr>
              <w:spacing w:line="48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26.2</w:t>
            </w:r>
          </w:p>
        </w:tc>
        <w:tc>
          <w:tcPr>
            <w:tcW w:w="151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24089B0C">
            <w:pPr>
              <w:spacing w:line="48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负偏离要求</w:t>
            </w:r>
          </w:p>
        </w:tc>
        <w:tc>
          <w:tcPr>
            <w:tcW w:w="758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7CFB7F66">
            <w:pPr>
              <w:spacing w:line="48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采购需求评审中允许负偏离的条款数为</w:t>
            </w:r>
            <w:r>
              <w:rPr>
                <w:rFonts w:hint="eastAsia" w:ascii="宋体" w:hAnsi="宋体" w:eastAsia="宋体" w:cs="宋体"/>
                <w:color w:val="auto"/>
                <w:sz w:val="24"/>
                <w:szCs w:val="24"/>
                <w:highlight w:val="none"/>
                <w:u w:val="single"/>
              </w:rPr>
              <w:t>非标注“ ▲”条款</w:t>
            </w:r>
            <w:r>
              <w:rPr>
                <w:rFonts w:hint="eastAsia" w:ascii="宋体" w:hAnsi="宋体" w:eastAsia="宋体" w:cs="宋体"/>
                <w:color w:val="auto"/>
                <w:sz w:val="24"/>
                <w:szCs w:val="24"/>
                <w:highlight w:val="none"/>
              </w:rPr>
              <w:t>项。</w:t>
            </w:r>
          </w:p>
        </w:tc>
      </w:tr>
      <w:tr w14:paraId="7077FC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80" w:type="dxa"/>
            <w:vMerge w:val="continue"/>
            <w:tcBorders>
              <w:top w:val="single" w:color="000000" w:sz="4" w:space="0"/>
              <w:left w:val="single" w:color="000000" w:sz="4" w:space="0"/>
              <w:bottom w:val="single" w:color="000000" w:sz="4" w:space="0"/>
              <w:right w:val="single" w:color="000000" w:sz="4" w:space="0"/>
              <w:tl2br w:val="nil"/>
              <w:tr2bl w:val="nil"/>
            </w:tcBorders>
            <w:noWrap w:val="0"/>
            <w:vAlign w:val="center"/>
          </w:tcPr>
          <w:p w14:paraId="4F750CCB">
            <w:pPr>
              <w:widowControl/>
              <w:spacing w:line="480" w:lineRule="exact"/>
              <w:jc w:val="left"/>
              <w:rPr>
                <w:rFonts w:hint="eastAsia" w:ascii="宋体" w:hAnsi="宋体" w:eastAsia="宋体" w:cs="宋体"/>
                <w:color w:val="auto"/>
                <w:sz w:val="24"/>
                <w:szCs w:val="24"/>
                <w:highlight w:val="none"/>
              </w:rPr>
            </w:pPr>
          </w:p>
        </w:tc>
        <w:tc>
          <w:tcPr>
            <w:tcW w:w="151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5FFFC2A2">
            <w:pPr>
              <w:spacing w:line="48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磋商的顺序</w:t>
            </w:r>
          </w:p>
          <w:p w14:paraId="6602D2B1">
            <w:pPr>
              <w:spacing w:line="480" w:lineRule="exact"/>
              <w:jc w:val="center"/>
              <w:rPr>
                <w:rFonts w:hint="eastAsia" w:ascii="宋体" w:hAnsi="宋体" w:eastAsia="宋体" w:cs="宋体"/>
                <w:color w:val="auto"/>
                <w:sz w:val="24"/>
                <w:szCs w:val="24"/>
                <w:highlight w:val="none"/>
              </w:rPr>
            </w:pPr>
          </w:p>
        </w:tc>
        <w:tc>
          <w:tcPr>
            <w:tcW w:w="758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75A1CCC2">
            <w:pPr>
              <w:spacing w:line="480" w:lineRule="exact"/>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☑按照提交首次响应文件的顺序，通知磋商时，若某供应商不在通知现场时，该供应商排序到最后磋商，按照签到的顺序由其下一位供应商先参与磋商。</w:t>
            </w:r>
          </w:p>
          <w:p w14:paraId="4931BB7B">
            <w:pPr>
              <w:spacing w:line="480" w:lineRule="exact"/>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□随机排序。</w:t>
            </w:r>
          </w:p>
        </w:tc>
      </w:tr>
      <w:tr w14:paraId="455C2C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8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07F31E85">
            <w:pPr>
              <w:spacing w:line="48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28</w:t>
            </w:r>
          </w:p>
        </w:tc>
        <w:tc>
          <w:tcPr>
            <w:tcW w:w="151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54D89949">
            <w:pPr>
              <w:spacing w:line="48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履约保证金</w:t>
            </w:r>
          </w:p>
        </w:tc>
        <w:tc>
          <w:tcPr>
            <w:tcW w:w="758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39E19D13">
            <w:pPr>
              <w:spacing w:line="48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本项目不收取履约保证金 </w:t>
            </w:r>
          </w:p>
        </w:tc>
      </w:tr>
      <w:tr w14:paraId="66F097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8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4D9240F5">
            <w:pPr>
              <w:spacing w:line="48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29.5</w:t>
            </w:r>
          </w:p>
        </w:tc>
        <w:tc>
          <w:tcPr>
            <w:tcW w:w="151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0435DD24">
            <w:pPr>
              <w:spacing w:line="48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签订合同携带的材料</w:t>
            </w:r>
          </w:p>
        </w:tc>
        <w:tc>
          <w:tcPr>
            <w:tcW w:w="758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520CB4C3">
            <w:pPr>
              <w:spacing w:line="48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使用的有效CA证书加盖单位电子公章</w:t>
            </w:r>
          </w:p>
        </w:tc>
      </w:tr>
      <w:tr w14:paraId="1CDB07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80" w:type="dxa"/>
            <w:vMerge w:val="restar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59297FF">
            <w:pPr>
              <w:spacing w:line="48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31.2</w:t>
            </w:r>
          </w:p>
        </w:tc>
        <w:tc>
          <w:tcPr>
            <w:tcW w:w="151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2633D23C">
            <w:pPr>
              <w:spacing w:line="48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接收质疑函方式</w:t>
            </w:r>
          </w:p>
        </w:tc>
        <w:tc>
          <w:tcPr>
            <w:tcW w:w="758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68305ADF">
            <w:pPr>
              <w:spacing w:line="48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以书面形式</w:t>
            </w:r>
          </w:p>
        </w:tc>
      </w:tr>
      <w:tr w14:paraId="657CAD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80" w:type="dxa"/>
            <w:vMerge w:val="continue"/>
            <w:tcBorders>
              <w:top w:val="single" w:color="000000" w:sz="4" w:space="0"/>
              <w:left w:val="single" w:color="000000" w:sz="4" w:space="0"/>
              <w:bottom w:val="single" w:color="000000" w:sz="4" w:space="0"/>
              <w:right w:val="single" w:color="000000" w:sz="4" w:space="0"/>
              <w:tl2br w:val="nil"/>
              <w:tr2bl w:val="nil"/>
            </w:tcBorders>
            <w:noWrap w:val="0"/>
            <w:vAlign w:val="center"/>
          </w:tcPr>
          <w:p w14:paraId="63DC6284">
            <w:pPr>
              <w:widowControl/>
              <w:spacing w:line="480" w:lineRule="exact"/>
              <w:jc w:val="left"/>
              <w:rPr>
                <w:rFonts w:hint="eastAsia" w:ascii="宋体" w:hAnsi="宋体" w:eastAsia="宋体" w:cs="宋体"/>
                <w:color w:val="auto"/>
                <w:sz w:val="24"/>
                <w:szCs w:val="24"/>
                <w:highlight w:val="none"/>
              </w:rPr>
            </w:pPr>
          </w:p>
        </w:tc>
        <w:tc>
          <w:tcPr>
            <w:tcW w:w="151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7D5AF428">
            <w:pPr>
              <w:spacing w:line="48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质疑联系部门及联系方式</w:t>
            </w:r>
          </w:p>
        </w:tc>
        <w:tc>
          <w:tcPr>
            <w:tcW w:w="758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316A49E8">
            <w:pPr>
              <w:snapToGrid w:val="0"/>
              <w:spacing w:line="38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rPr>
              <w:t>（1）</w:t>
            </w:r>
            <w:r>
              <w:rPr>
                <w:rFonts w:hint="eastAsia" w:asciiTheme="minorEastAsia" w:hAnsiTheme="minorEastAsia" w:eastAsiaTheme="minorEastAsia" w:cstheme="minorEastAsia"/>
                <w:color w:val="auto"/>
                <w:sz w:val="24"/>
                <w:szCs w:val="24"/>
                <w:highlight w:val="none"/>
                <w:lang w:eastAsia="zh-CN"/>
              </w:rPr>
              <w:t>广西建咨源工程咨询有限公司</w:t>
            </w:r>
            <w:r>
              <w:rPr>
                <w:rFonts w:hint="eastAsia" w:ascii="宋体" w:hAnsi="宋体" w:eastAsia="宋体" w:cs="宋体"/>
                <w:color w:val="auto"/>
                <w:sz w:val="24"/>
                <w:szCs w:val="24"/>
                <w:highlight w:val="none"/>
              </w:rPr>
              <w:t>；</w:t>
            </w:r>
          </w:p>
          <w:p w14:paraId="6D0A5FC5">
            <w:pPr>
              <w:snapToGrid w:val="0"/>
              <w:spacing w:line="38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联系电话：</w:t>
            </w:r>
            <w:r>
              <w:rPr>
                <w:rFonts w:hint="eastAsia" w:asciiTheme="minorEastAsia" w:hAnsiTheme="minorEastAsia" w:eastAsiaTheme="minorEastAsia" w:cstheme="minorEastAsia"/>
                <w:color w:val="auto"/>
                <w:sz w:val="24"/>
                <w:szCs w:val="24"/>
                <w:highlight w:val="none"/>
                <w:lang w:eastAsia="zh-CN"/>
              </w:rPr>
              <w:t>0771-5850128</w:t>
            </w:r>
            <w:r>
              <w:rPr>
                <w:rFonts w:hint="eastAsia" w:ascii="宋体" w:hAnsi="宋体" w:eastAsia="宋体" w:cs="宋体"/>
                <w:color w:val="auto"/>
                <w:sz w:val="24"/>
                <w:szCs w:val="24"/>
                <w:highlight w:val="none"/>
              </w:rPr>
              <w:t>，</w:t>
            </w:r>
          </w:p>
          <w:p w14:paraId="2E36922D">
            <w:pPr>
              <w:spacing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通讯地址：</w:t>
            </w:r>
            <w:r>
              <w:rPr>
                <w:rFonts w:hint="eastAsia" w:asciiTheme="minorEastAsia" w:hAnsiTheme="minorEastAsia" w:eastAsiaTheme="minorEastAsia" w:cstheme="minorEastAsia"/>
                <w:color w:val="auto"/>
                <w:sz w:val="24"/>
                <w:szCs w:val="24"/>
                <w:highlight w:val="none"/>
                <w:lang w:eastAsia="zh-CN"/>
              </w:rPr>
              <w:t>南宁市青秀区竹溪大道21号喜乐荟1栋A座16楼1612号</w:t>
            </w:r>
          </w:p>
        </w:tc>
      </w:tr>
      <w:tr w14:paraId="42BCE4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80" w:type="dxa"/>
            <w:vMerge w:val="continue"/>
            <w:tcBorders>
              <w:top w:val="single" w:color="000000" w:sz="4" w:space="0"/>
              <w:left w:val="single" w:color="000000" w:sz="4" w:space="0"/>
              <w:bottom w:val="single" w:color="000000" w:sz="4" w:space="0"/>
              <w:right w:val="single" w:color="000000" w:sz="4" w:space="0"/>
              <w:tl2br w:val="nil"/>
              <w:tr2bl w:val="nil"/>
            </w:tcBorders>
            <w:noWrap w:val="0"/>
            <w:vAlign w:val="center"/>
          </w:tcPr>
          <w:p w14:paraId="7A92C0AF">
            <w:pPr>
              <w:widowControl/>
              <w:spacing w:line="480" w:lineRule="exact"/>
              <w:jc w:val="left"/>
              <w:rPr>
                <w:rFonts w:hint="eastAsia" w:ascii="宋体" w:hAnsi="宋体" w:eastAsia="宋体" w:cs="宋体"/>
                <w:color w:val="auto"/>
                <w:sz w:val="24"/>
                <w:szCs w:val="24"/>
                <w:highlight w:val="none"/>
              </w:rPr>
            </w:pPr>
          </w:p>
        </w:tc>
        <w:tc>
          <w:tcPr>
            <w:tcW w:w="151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438DEAD9">
            <w:pPr>
              <w:spacing w:line="48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现场提交质疑办理业务时间</w:t>
            </w:r>
          </w:p>
        </w:tc>
        <w:tc>
          <w:tcPr>
            <w:tcW w:w="758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63E59FDD">
            <w:pPr>
              <w:spacing w:line="480" w:lineRule="exact"/>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质疑期内每个工作日</w:t>
            </w:r>
            <w:r>
              <w:rPr>
                <w:rFonts w:hint="eastAsia" w:ascii="宋体" w:hAnsi="宋体" w:eastAsia="宋体" w:cs="宋体"/>
                <w:color w:val="auto"/>
                <w:sz w:val="24"/>
                <w:szCs w:val="24"/>
                <w:highlight w:val="none"/>
                <w:u w:val="single"/>
              </w:rPr>
              <w:t xml:space="preserve"> 08 </w:t>
            </w:r>
            <w:r>
              <w:rPr>
                <w:rFonts w:hint="eastAsia" w:ascii="宋体" w:hAnsi="宋体" w:eastAsia="宋体" w:cs="宋体"/>
                <w:color w:val="auto"/>
                <w:sz w:val="24"/>
                <w:szCs w:val="24"/>
                <w:highlight w:val="none"/>
              </w:rPr>
              <w:t>时</w:t>
            </w:r>
            <w:r>
              <w:rPr>
                <w:rFonts w:hint="eastAsia" w:ascii="宋体" w:hAnsi="宋体" w:eastAsia="宋体" w:cs="宋体"/>
                <w:color w:val="auto"/>
                <w:sz w:val="24"/>
                <w:szCs w:val="24"/>
                <w:highlight w:val="none"/>
                <w:u w:val="single"/>
              </w:rPr>
              <w:t xml:space="preserve"> 30 </w:t>
            </w:r>
            <w:r>
              <w:rPr>
                <w:rFonts w:hint="eastAsia" w:ascii="宋体" w:hAnsi="宋体" w:eastAsia="宋体" w:cs="宋体"/>
                <w:color w:val="auto"/>
                <w:sz w:val="24"/>
                <w:szCs w:val="24"/>
                <w:highlight w:val="none"/>
              </w:rPr>
              <w:t>分到</w:t>
            </w:r>
            <w:r>
              <w:rPr>
                <w:rFonts w:hint="eastAsia" w:ascii="宋体" w:hAnsi="宋体" w:eastAsia="宋体" w:cs="宋体"/>
                <w:color w:val="auto"/>
                <w:sz w:val="24"/>
                <w:szCs w:val="24"/>
                <w:highlight w:val="none"/>
                <w:u w:val="single"/>
              </w:rPr>
              <w:t xml:space="preserve"> 12 </w:t>
            </w:r>
            <w:r>
              <w:rPr>
                <w:rFonts w:hint="eastAsia" w:ascii="宋体" w:hAnsi="宋体" w:eastAsia="宋体" w:cs="宋体"/>
                <w:color w:val="auto"/>
                <w:sz w:val="24"/>
                <w:szCs w:val="24"/>
                <w:highlight w:val="none"/>
              </w:rPr>
              <w:t>时</w:t>
            </w:r>
            <w:r>
              <w:rPr>
                <w:rFonts w:hint="eastAsia" w:ascii="宋体" w:hAnsi="宋体" w:eastAsia="宋体" w:cs="宋体"/>
                <w:color w:val="auto"/>
                <w:sz w:val="24"/>
                <w:szCs w:val="24"/>
                <w:highlight w:val="none"/>
                <w:u w:val="single"/>
              </w:rPr>
              <w:t xml:space="preserve"> 00 </w:t>
            </w:r>
            <w:r>
              <w:rPr>
                <w:rFonts w:hint="eastAsia" w:ascii="宋体" w:hAnsi="宋体" w:eastAsia="宋体" w:cs="宋体"/>
                <w:color w:val="auto"/>
                <w:sz w:val="24"/>
                <w:szCs w:val="24"/>
                <w:highlight w:val="none"/>
              </w:rPr>
              <w:t>分，</w:t>
            </w:r>
            <w:r>
              <w:rPr>
                <w:rFonts w:hint="eastAsia" w:ascii="宋体" w:hAnsi="宋体" w:eastAsia="宋体" w:cs="宋体"/>
                <w:color w:val="auto"/>
                <w:sz w:val="24"/>
                <w:szCs w:val="24"/>
                <w:highlight w:val="none"/>
                <w:u w:val="single"/>
              </w:rPr>
              <w:t xml:space="preserve"> 15 </w:t>
            </w:r>
            <w:r>
              <w:rPr>
                <w:rFonts w:hint="eastAsia" w:ascii="宋体" w:hAnsi="宋体" w:eastAsia="宋体" w:cs="宋体"/>
                <w:color w:val="auto"/>
                <w:sz w:val="24"/>
                <w:szCs w:val="24"/>
                <w:highlight w:val="none"/>
              </w:rPr>
              <w:t>时</w:t>
            </w:r>
            <w:r>
              <w:rPr>
                <w:rFonts w:hint="eastAsia" w:ascii="宋体" w:hAnsi="宋体" w:eastAsia="宋体" w:cs="宋体"/>
                <w:color w:val="auto"/>
                <w:sz w:val="24"/>
                <w:szCs w:val="24"/>
                <w:highlight w:val="none"/>
                <w:u w:val="single"/>
              </w:rPr>
              <w:t xml:space="preserve"> 00</w:t>
            </w:r>
            <w:r>
              <w:rPr>
                <w:rFonts w:hint="eastAsia" w:ascii="宋体" w:hAnsi="宋体" w:eastAsia="宋体" w:cs="宋体"/>
                <w:color w:val="auto"/>
                <w:sz w:val="24"/>
                <w:szCs w:val="24"/>
                <w:highlight w:val="none"/>
              </w:rPr>
              <w:t>分到</w:t>
            </w:r>
            <w:r>
              <w:rPr>
                <w:rFonts w:hint="eastAsia" w:ascii="宋体" w:hAnsi="宋体" w:eastAsia="宋体" w:cs="宋体"/>
                <w:color w:val="auto"/>
                <w:sz w:val="24"/>
                <w:szCs w:val="24"/>
                <w:highlight w:val="none"/>
                <w:u w:val="single"/>
              </w:rPr>
              <w:t>17</w:t>
            </w:r>
            <w:r>
              <w:rPr>
                <w:rFonts w:hint="eastAsia" w:ascii="宋体" w:hAnsi="宋体" w:eastAsia="宋体" w:cs="宋体"/>
                <w:color w:val="auto"/>
                <w:sz w:val="24"/>
                <w:szCs w:val="24"/>
                <w:highlight w:val="none"/>
              </w:rPr>
              <w:t>时</w:t>
            </w:r>
            <w:r>
              <w:rPr>
                <w:rFonts w:hint="eastAsia" w:ascii="宋体" w:hAnsi="宋体" w:eastAsia="宋体" w:cs="宋体"/>
                <w:color w:val="auto"/>
                <w:sz w:val="24"/>
                <w:szCs w:val="24"/>
                <w:highlight w:val="none"/>
                <w:u w:val="single"/>
              </w:rPr>
              <w:t xml:space="preserve"> 30 </w:t>
            </w:r>
            <w:r>
              <w:rPr>
                <w:rFonts w:hint="eastAsia" w:ascii="宋体" w:hAnsi="宋体" w:eastAsia="宋体" w:cs="宋体"/>
                <w:color w:val="auto"/>
                <w:sz w:val="24"/>
                <w:szCs w:val="24"/>
                <w:highlight w:val="none"/>
              </w:rPr>
              <w:t>分</w:t>
            </w:r>
          </w:p>
        </w:tc>
      </w:tr>
      <w:tr w14:paraId="2DD8E4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35" w:hRule="atLeast"/>
          <w:jc w:val="center"/>
        </w:trPr>
        <w:tc>
          <w:tcPr>
            <w:tcW w:w="98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645E40D8">
            <w:pPr>
              <w:spacing w:line="48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31.6</w:t>
            </w:r>
          </w:p>
        </w:tc>
        <w:tc>
          <w:tcPr>
            <w:tcW w:w="151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4C2EDD9F">
            <w:pPr>
              <w:spacing w:line="48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受理投诉方式</w:t>
            </w:r>
          </w:p>
        </w:tc>
        <w:tc>
          <w:tcPr>
            <w:tcW w:w="758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5E8B0EF1">
            <w:pPr>
              <w:spacing w:line="48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1、受理方式：纸质方式受理，投诉书正、副本（经过质疑的事项才可投诉）。</w:t>
            </w:r>
          </w:p>
          <w:p w14:paraId="5BDF7485">
            <w:pPr>
              <w:snapToGrid w:val="0"/>
              <w:spacing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2.邮寄地址：</w:t>
            </w:r>
          </w:p>
          <w:p w14:paraId="71473A77">
            <w:pPr>
              <w:snapToGrid w:val="0"/>
              <w:spacing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监督部门：马山县财政局</w:t>
            </w:r>
          </w:p>
          <w:p w14:paraId="102BDB5B">
            <w:pPr>
              <w:snapToGrid w:val="0"/>
              <w:spacing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地址：马山县新兴大道169号</w:t>
            </w:r>
          </w:p>
          <w:p w14:paraId="67ACE24C">
            <w:pPr>
              <w:snapToGrid w:val="0"/>
              <w:spacing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联系电话：0771-6825986</w:t>
            </w:r>
          </w:p>
        </w:tc>
      </w:tr>
      <w:tr w14:paraId="55D410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8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2337898D">
            <w:pPr>
              <w:spacing w:line="48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33</w:t>
            </w:r>
          </w:p>
        </w:tc>
        <w:tc>
          <w:tcPr>
            <w:tcW w:w="151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389F2CB1">
            <w:pPr>
              <w:spacing w:line="48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采购代理费</w:t>
            </w:r>
          </w:p>
        </w:tc>
        <w:tc>
          <w:tcPr>
            <w:tcW w:w="758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6E01622C">
            <w:pPr>
              <w:spacing w:line="440" w:lineRule="exac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 是否收取采购代理费：</w:t>
            </w:r>
          </w:p>
          <w:p w14:paraId="6D4DF04A">
            <w:pPr>
              <w:spacing w:line="440" w:lineRule="exact"/>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kern w:val="0"/>
                <w:sz w:val="24"/>
                <w:szCs w:val="24"/>
                <w:highlight w:val="none"/>
              </w:rPr>
              <w:t>是    □ 否</w:t>
            </w:r>
          </w:p>
          <w:p w14:paraId="7EC700DC">
            <w:pPr>
              <w:spacing w:line="440" w:lineRule="exac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2.采购代理费支付方式：</w:t>
            </w:r>
          </w:p>
          <w:p w14:paraId="03DF4947">
            <w:pPr>
              <w:spacing w:line="440" w:lineRule="exact"/>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kern w:val="0"/>
                <w:sz w:val="24"/>
                <w:szCs w:val="24"/>
                <w:highlight w:val="none"/>
              </w:rPr>
              <w:t>本项目代理服务费由成交供应商一次性向采购代理机构支付。</w:t>
            </w:r>
          </w:p>
          <w:p w14:paraId="4AEAC8D8">
            <w:pPr>
              <w:spacing w:line="440" w:lineRule="exac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□采购人支付。</w:t>
            </w:r>
          </w:p>
          <w:p w14:paraId="00CBF481">
            <w:pPr>
              <w:spacing w:line="440" w:lineRule="exact"/>
              <w:rPr>
                <w:rFonts w:hint="eastAsia" w:ascii="宋体" w:hAnsi="宋体" w:eastAsia="宋体" w:cs="宋体"/>
                <w:b/>
                <w:color w:val="auto"/>
                <w:sz w:val="24"/>
                <w:szCs w:val="24"/>
                <w:highlight w:val="none"/>
                <w:u w:val="single"/>
              </w:rPr>
            </w:pPr>
            <w:r>
              <w:rPr>
                <w:rFonts w:hint="eastAsia" w:ascii="宋体" w:hAnsi="宋体" w:eastAsia="宋体" w:cs="宋体"/>
                <w:color w:val="auto"/>
                <w:kern w:val="0"/>
                <w:sz w:val="24"/>
                <w:szCs w:val="24"/>
                <w:highlight w:val="none"/>
              </w:rPr>
              <w:t>3.采购代理费收取标准：</w:t>
            </w:r>
            <w:bookmarkStart w:id="40" w:name="PO_3000001868_PM025"/>
            <w:r>
              <w:rPr>
                <w:rFonts w:hint="eastAsia" w:ascii="宋体" w:hAnsi="宋体" w:cs="宋体"/>
                <w:b/>
                <w:bCs/>
                <w:color w:val="auto"/>
                <w:sz w:val="24"/>
                <w:u w:val="single"/>
              </w:rPr>
              <w:t>参照《广西壮族自治区物价局转发国家发展改革委关于降低部分建设项目收费标准规范收费行为等有关问题的通知》（桂价费〔2011〕55号）收费标准（</w:t>
            </w:r>
            <w:r>
              <w:rPr>
                <w:rFonts w:hint="eastAsia" w:ascii="宋体" w:hAnsi="宋体" w:cs="宋体"/>
                <w:b/>
                <w:bCs/>
                <w:color w:val="auto"/>
                <w:sz w:val="24"/>
                <w:u w:val="single"/>
                <w:lang w:val="en-US" w:eastAsia="zh-CN"/>
              </w:rPr>
              <w:t>工程</w:t>
            </w:r>
            <w:r>
              <w:rPr>
                <w:rFonts w:hint="eastAsia" w:ascii="宋体" w:hAnsi="宋体" w:cs="宋体"/>
                <w:b/>
                <w:bCs/>
                <w:color w:val="auto"/>
                <w:sz w:val="24"/>
                <w:u w:val="single"/>
              </w:rPr>
              <w:t>类）的标准</w:t>
            </w:r>
            <w:r>
              <w:rPr>
                <w:rFonts w:hint="eastAsia" w:ascii="宋体" w:hAnsi="宋体" w:eastAsia="宋体" w:cs="宋体"/>
                <w:b/>
                <w:bCs/>
                <w:color w:val="auto"/>
                <w:kern w:val="0"/>
                <w:sz w:val="24"/>
                <w:szCs w:val="24"/>
                <w:highlight w:val="none"/>
                <w:u w:val="single"/>
              </w:rPr>
              <w:t>，</w:t>
            </w:r>
            <w:r>
              <w:rPr>
                <w:rFonts w:hint="eastAsia" w:ascii="宋体" w:hAnsi="宋体" w:eastAsia="宋体" w:cs="宋体"/>
                <w:b/>
                <w:bCs/>
                <w:color w:val="auto"/>
                <w:kern w:val="0"/>
                <w:sz w:val="24"/>
                <w:szCs w:val="24"/>
                <w:highlight w:val="none"/>
                <w:u w:val="single"/>
                <w:lang w:val="en-US" w:eastAsia="zh-CN"/>
              </w:rPr>
              <w:t>以采购预算为基础</w:t>
            </w:r>
            <w:r>
              <w:rPr>
                <w:rFonts w:hint="eastAsia" w:ascii="宋体" w:hAnsi="宋体" w:eastAsia="宋体" w:cs="宋体"/>
                <w:b/>
                <w:bCs/>
                <w:color w:val="auto"/>
                <w:kern w:val="0"/>
                <w:sz w:val="24"/>
                <w:szCs w:val="24"/>
                <w:highlight w:val="none"/>
                <w:u w:val="single"/>
              </w:rPr>
              <w:t>采用差额定率累进法计算后向成交供应商收取</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b/>
                <w:color w:val="auto"/>
                <w:sz w:val="24"/>
                <w:szCs w:val="24"/>
                <w:highlight w:val="none"/>
                <w:u w:val="single"/>
              </w:rPr>
              <w:t xml:space="preserve"> </w:t>
            </w:r>
            <w:bookmarkEnd w:id="40"/>
          </w:p>
          <w:p w14:paraId="2EDD9DAE">
            <w:pPr>
              <w:spacing w:line="440" w:lineRule="exac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 采购代理费收取银行账户</w:t>
            </w:r>
          </w:p>
          <w:p w14:paraId="1A5C295D">
            <w:pPr>
              <w:spacing w:line="440" w:lineRule="exact"/>
              <w:rPr>
                <w:rFonts w:hint="eastAsia" w:ascii="宋体" w:hAnsi="宋体" w:eastAsia="Times New Roman" w:cs="宋体"/>
                <w:b/>
                <w:bCs/>
                <w:color w:val="auto"/>
                <w:sz w:val="24"/>
                <w:u w:val="single"/>
                <w:lang w:val="en-US" w:eastAsia="zh-CN"/>
              </w:rPr>
            </w:pPr>
            <w:r>
              <w:rPr>
                <w:rFonts w:hint="eastAsia" w:ascii="宋体" w:hAnsi="宋体" w:eastAsia="Times New Roman" w:cs="宋体"/>
                <w:b/>
                <w:bCs/>
                <w:color w:val="auto"/>
                <w:sz w:val="24"/>
                <w:u w:val="none"/>
                <w:lang w:val="en-US" w:eastAsia="zh-CN"/>
              </w:rPr>
              <w:t>名 称：</w:t>
            </w:r>
            <w:r>
              <w:rPr>
                <w:rFonts w:hint="eastAsia" w:ascii="宋体" w:hAnsi="宋体" w:eastAsia="Times New Roman" w:cs="宋体"/>
                <w:b/>
                <w:bCs/>
                <w:color w:val="auto"/>
                <w:sz w:val="24"/>
                <w:u w:val="single"/>
                <w:lang w:val="en-US" w:eastAsia="zh-CN"/>
              </w:rPr>
              <w:t>广西建咨源工程咨询有限公司</w:t>
            </w:r>
          </w:p>
          <w:p w14:paraId="02EA742A">
            <w:pPr>
              <w:spacing w:line="440" w:lineRule="exact"/>
              <w:rPr>
                <w:rFonts w:hint="eastAsia" w:ascii="宋体" w:hAnsi="宋体" w:eastAsia="Times New Roman" w:cs="宋体"/>
                <w:b/>
                <w:bCs/>
                <w:color w:val="auto"/>
                <w:sz w:val="24"/>
                <w:u w:val="single"/>
                <w:lang w:val="en-US" w:eastAsia="zh-CN"/>
              </w:rPr>
            </w:pPr>
            <w:r>
              <w:rPr>
                <w:rFonts w:hint="eastAsia" w:ascii="宋体" w:hAnsi="宋体" w:eastAsia="Times New Roman" w:cs="宋体"/>
                <w:b/>
                <w:bCs/>
                <w:color w:val="auto"/>
                <w:sz w:val="24"/>
                <w:u w:val="none"/>
                <w:lang w:val="en-US" w:eastAsia="zh-CN"/>
              </w:rPr>
              <w:t>开户行：</w:t>
            </w:r>
            <w:r>
              <w:rPr>
                <w:rFonts w:hint="eastAsia" w:ascii="宋体" w:hAnsi="宋体" w:eastAsia="Times New Roman" w:cs="宋体"/>
                <w:b/>
                <w:bCs/>
                <w:color w:val="auto"/>
                <w:sz w:val="24"/>
                <w:u w:val="single"/>
                <w:lang w:val="en-US" w:eastAsia="zh-CN"/>
              </w:rPr>
              <w:t>广西北部湾银行股份有限公司南宁市南湖支行</w:t>
            </w:r>
          </w:p>
          <w:p w14:paraId="09012756">
            <w:pPr>
              <w:spacing w:line="440" w:lineRule="exact"/>
              <w:rPr>
                <w:rFonts w:hint="eastAsia" w:ascii="宋体" w:hAnsi="宋体" w:eastAsia="宋体" w:cs="宋体"/>
                <w:color w:val="auto"/>
                <w:kern w:val="0"/>
                <w:sz w:val="24"/>
                <w:szCs w:val="24"/>
                <w:highlight w:val="none"/>
              </w:rPr>
            </w:pPr>
            <w:r>
              <w:rPr>
                <w:rFonts w:hint="eastAsia" w:ascii="宋体" w:hAnsi="宋体" w:eastAsia="Times New Roman" w:cs="宋体"/>
                <w:b/>
                <w:bCs/>
                <w:color w:val="auto"/>
                <w:sz w:val="24"/>
                <w:u w:val="none"/>
                <w:lang w:val="en-US" w:eastAsia="zh-CN"/>
              </w:rPr>
              <w:t>帐 号：</w:t>
            </w:r>
            <w:r>
              <w:rPr>
                <w:rFonts w:hint="eastAsia" w:ascii="宋体" w:hAnsi="宋体" w:eastAsia="Times New Roman" w:cs="宋体"/>
                <w:b/>
                <w:bCs/>
                <w:color w:val="auto"/>
                <w:sz w:val="24"/>
                <w:u w:val="single"/>
                <w:lang w:val="en-US" w:eastAsia="zh-CN"/>
              </w:rPr>
              <w:t>8001 3220 3300 010</w:t>
            </w:r>
          </w:p>
        </w:tc>
      </w:tr>
      <w:tr w14:paraId="751ED8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8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24C446E7">
            <w:pPr>
              <w:spacing w:line="48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34.1</w:t>
            </w:r>
          </w:p>
        </w:tc>
        <w:tc>
          <w:tcPr>
            <w:tcW w:w="151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44C8A31D">
            <w:pPr>
              <w:spacing w:line="48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解释</w:t>
            </w:r>
          </w:p>
        </w:tc>
        <w:tc>
          <w:tcPr>
            <w:tcW w:w="758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3B780B4D">
            <w:pPr>
              <w:spacing w:line="480" w:lineRule="exact"/>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解释权：</w:t>
            </w:r>
            <w:r>
              <w:rPr>
                <w:rFonts w:hint="eastAsia" w:ascii="宋体" w:hAnsi="宋体" w:eastAsia="宋体" w:cs="宋体"/>
                <w:color w:val="auto"/>
                <w:kern w:val="0"/>
                <w:sz w:val="24"/>
                <w:szCs w:val="24"/>
                <w:highlight w:val="none"/>
              </w:rPr>
              <w:t>构成本磋商文件的各个组成文件应互为解释，互为说明；除磋商文件中有特别规定外，仅适用于竞标阶段的规定，按更正公告（澄清公告）、竞争性磋商公告、供应商须知、采购需求、评审程序、评审方法和评审标准、响应文件格式、合同文本的先后顺序解释；同一组成文件中就同一事项的规定或者约定不一致的，以编排顺序在后者为准；同一组成文件不同版本之间有不一致的，以形成时间在后者为准；更正公告（澄清公告）与同步更新的磋商文件不一致时以更正公告（澄清公告）为准。按本款前述规定仍不能形成结论的，</w:t>
            </w:r>
            <w:r>
              <w:rPr>
                <w:rFonts w:hint="eastAsia" w:ascii="宋体" w:hAnsi="宋体" w:eastAsia="宋体" w:cs="宋体"/>
                <w:b/>
                <w:color w:val="auto"/>
                <w:kern w:val="0"/>
                <w:sz w:val="24"/>
                <w:szCs w:val="24"/>
                <w:highlight w:val="none"/>
              </w:rPr>
              <w:t>由采购人或者采购代理机构负责解释。</w:t>
            </w:r>
          </w:p>
          <w:p w14:paraId="472EB0F4">
            <w:pPr>
              <w:spacing w:line="480" w:lineRule="exact"/>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法律责任：</w:t>
            </w:r>
          </w:p>
          <w:p w14:paraId="23D2ED47">
            <w:pPr>
              <w:spacing w:line="480" w:lineRule="exact"/>
              <w:rPr>
                <w:rFonts w:hint="eastAsia" w:ascii="宋体" w:hAnsi="宋体" w:eastAsia="宋体" w:cs="宋体"/>
                <w:color w:val="auto"/>
                <w:kern w:val="0"/>
                <w:sz w:val="24"/>
                <w:szCs w:val="24"/>
                <w:highlight w:val="none"/>
              </w:rPr>
            </w:pPr>
            <w:r>
              <w:rPr>
                <w:rFonts w:hint="eastAsia" w:ascii="宋体" w:hAnsi="宋体" w:eastAsia="宋体" w:cs="宋体"/>
                <w:b/>
                <w:color w:val="auto"/>
                <w:kern w:val="0"/>
                <w:sz w:val="24"/>
                <w:szCs w:val="24"/>
                <w:highlight w:val="none"/>
              </w:rPr>
              <w:t>1.</w:t>
            </w:r>
            <w:r>
              <w:rPr>
                <w:rFonts w:hint="eastAsia" w:ascii="宋体" w:hAnsi="宋体" w:eastAsia="宋体" w:cs="宋体"/>
                <w:color w:val="auto"/>
                <w:kern w:val="0"/>
                <w:sz w:val="24"/>
                <w:szCs w:val="24"/>
                <w:highlight w:val="none"/>
              </w:rPr>
              <w:t>本采购文件根据《中华人民共和国政府采购法》、《中华人民共和国民法典》；《中华人民共和国政府采购法实施条例》、《政府采购竞争性磋商采购方式管理暂行办法》等有关法律、法规编制，参与本项目的各政府采购当事人依法享有上述法律法规所赋予的权利与义务。</w:t>
            </w:r>
          </w:p>
          <w:p w14:paraId="4B47647F">
            <w:pPr>
              <w:spacing w:line="480" w:lineRule="exac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2. 本项目采购代理机构应严格按照“广西政府采购云平台”平台项目采购全流程电子化电子开评标规程执行项目采购活动，代理机构在“广西政府采购云平台”平台的“项目管理”—“采购文件管理”内开评标规则设置作为本采购文件的组成部分，截标之后不可更改，因代理机构开评标规则设置错误导致采购活动无法开展下去的情况，由代理机构负责解释并承担其后果。</w:t>
            </w:r>
          </w:p>
        </w:tc>
      </w:tr>
      <w:tr w14:paraId="36D1B5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8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1C48B185">
            <w:pPr>
              <w:spacing w:line="48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34.2</w:t>
            </w:r>
          </w:p>
        </w:tc>
        <w:tc>
          <w:tcPr>
            <w:tcW w:w="151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13467705">
            <w:pPr>
              <w:spacing w:line="48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其他</w:t>
            </w:r>
          </w:p>
        </w:tc>
        <w:tc>
          <w:tcPr>
            <w:tcW w:w="758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6468F386">
            <w:pPr>
              <w:spacing w:line="480" w:lineRule="exac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本磋商文件中描述供应商的“公章”是指根据我国对公章的管理规定，用供应商法定主体行为名称制作的印章，除本磋商文件有特殊规定外，供应商的财务章、部门章、分公司章、工会章、合同章、竞标/投标专用章、业务专用章及银行的转账章、现金收讫章、现金付讫章等其他形式印章均不能代替公章。</w:t>
            </w:r>
          </w:p>
          <w:p w14:paraId="486E1AAF">
            <w:pPr>
              <w:spacing w:line="480" w:lineRule="exac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153499C5">
            <w:pPr>
              <w:spacing w:line="480" w:lineRule="exac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3.本磋商文件中描述供应商的“签字”是指供应商的法定代表人或者委托代理人亲自在文件规定签署处亲笔写上个人的名字的行为，私章、签字章、印鉴、影印等其他形式均不能代替亲笔签字。</w:t>
            </w:r>
          </w:p>
          <w:p w14:paraId="177F89CE">
            <w:pPr>
              <w:pStyle w:val="5"/>
              <w:spacing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4.电子响应文件中须加盖供应商公章部分均采用 CA 签章，并根据“广西政府采购云平台项目电子交易管理操作指南-供应商”及本竞争性磋商文件规定的格式和顺序编制电子响应文件并进行关联定位，以便磋商小组在评审时，点击评分项可直接定位到该评分项内容。</w:t>
            </w:r>
          </w:p>
          <w:p w14:paraId="61FB141F">
            <w:pPr>
              <w:pStyle w:val="5"/>
              <w:spacing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5.CA 签章上没有法人（负责人）或授权代表签字信息的，供应商在响应文件中涉及到签字的位置线下签好字然后扫描或者拍照做成 PDF 的格式亦可。响应文件中涉及到签字的位置未按要求签字的，提供的材料视为无效。</w:t>
            </w:r>
          </w:p>
          <w:p w14:paraId="7FDC5D2D">
            <w:pPr>
              <w:spacing w:line="480" w:lineRule="exac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6.自然人竞标的，磋商文件规定盖公章处由自然人摁手指指印。</w:t>
            </w:r>
          </w:p>
          <w:p w14:paraId="45BD5AE4">
            <w:pPr>
              <w:spacing w:line="480" w:lineRule="exac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7.本磋商文件所称的“以上”“以下”“以内”“届满”，包括本数；所称的“不满”“超过”“以外”，不包括本数。</w:t>
            </w:r>
          </w:p>
        </w:tc>
      </w:tr>
    </w:tbl>
    <w:p w14:paraId="419D36D9">
      <w:pPr>
        <w:keepNext/>
        <w:keepLines/>
        <w:spacing w:before="260" w:after="260" w:line="420" w:lineRule="exact"/>
        <w:jc w:val="center"/>
        <w:outlineLvl w:val="1"/>
        <w:rPr>
          <w:rFonts w:hint="default" w:ascii="宋体" w:hAnsi="宋体" w:eastAsia="宋体" w:cs="宋体"/>
          <w:color w:val="auto"/>
          <w:sz w:val="32"/>
          <w:szCs w:val="32"/>
          <w:highlight w:val="none"/>
        </w:rPr>
      </w:pPr>
      <w:r>
        <w:rPr>
          <w:rFonts w:hint="eastAsia" w:ascii="宋体" w:hAnsi="宋体" w:eastAsia="宋体" w:cs="宋体"/>
          <w:b/>
          <w:color w:val="auto"/>
          <w:sz w:val="24"/>
          <w:szCs w:val="24"/>
          <w:highlight w:val="none"/>
        </w:rPr>
        <w:br w:type="page"/>
      </w:r>
      <w:bookmarkStart w:id="41" w:name="_Toc32001"/>
      <w:r>
        <w:rPr>
          <w:rFonts w:hint="default" w:ascii="宋体" w:hAnsi="宋体" w:eastAsia="宋体"/>
          <w:b/>
          <w:color w:val="auto"/>
          <w:sz w:val="32"/>
          <w:szCs w:val="32"/>
          <w:highlight w:val="none"/>
        </w:rPr>
        <w:t>第二节 供应商须知正文</w:t>
      </w:r>
      <w:bookmarkEnd w:id="41"/>
    </w:p>
    <w:p w14:paraId="350DB975">
      <w:pPr>
        <w:keepNext/>
        <w:keepLines/>
        <w:spacing w:line="480" w:lineRule="exact"/>
        <w:outlineLvl w:val="2"/>
        <w:rPr>
          <w:rFonts w:hint="default" w:ascii="宋体" w:hAnsi="宋体" w:eastAsia="宋体" w:cs="宋体"/>
          <w:b/>
          <w:color w:val="auto"/>
          <w:sz w:val="28"/>
          <w:szCs w:val="28"/>
          <w:highlight w:val="none"/>
        </w:rPr>
      </w:pPr>
      <w:bookmarkStart w:id="42" w:name="_Toc19041"/>
      <w:bookmarkStart w:id="43" w:name="_Toc106263699"/>
      <w:r>
        <w:rPr>
          <w:rFonts w:hint="default" w:ascii="宋体" w:hAnsi="宋体" w:eastAsia="宋体" w:cs="宋体"/>
          <w:b/>
          <w:color w:val="auto"/>
          <w:sz w:val="28"/>
          <w:szCs w:val="28"/>
          <w:highlight w:val="none"/>
        </w:rPr>
        <w:t>一、总则</w:t>
      </w:r>
      <w:bookmarkEnd w:id="42"/>
      <w:bookmarkEnd w:id="43"/>
    </w:p>
    <w:p w14:paraId="62F3DD3B">
      <w:pPr>
        <w:spacing w:line="480" w:lineRule="exact"/>
        <w:ind w:firstLine="482" w:firstLineChars="200"/>
        <w:rPr>
          <w:rFonts w:hint="default" w:ascii="宋体" w:hAnsi="宋体" w:eastAsia="宋体" w:cs="宋体"/>
          <w:b/>
          <w:color w:val="auto"/>
          <w:sz w:val="24"/>
          <w:szCs w:val="24"/>
          <w:highlight w:val="none"/>
        </w:rPr>
      </w:pPr>
      <w:r>
        <w:rPr>
          <w:rFonts w:hint="default" w:ascii="宋体" w:hAnsi="宋体" w:eastAsia="宋体" w:cs="宋体"/>
          <w:b/>
          <w:color w:val="auto"/>
          <w:sz w:val="24"/>
          <w:szCs w:val="24"/>
          <w:highlight w:val="none"/>
        </w:rPr>
        <w:t>1.适用范围</w:t>
      </w:r>
    </w:p>
    <w:p w14:paraId="42D3CCB4">
      <w:pPr>
        <w:spacing w:line="480" w:lineRule="exact"/>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1.1本项目采购人、采购代理机构、供应商、磋商小组的相关行为均受《中华人民共和国政府采购法》《中华人民共和国政府采购法实施条例》《政府采购竞争性磋商采购方式管理暂行办法》《财政部关于政府采购竞争性磋商采购方式管理暂行办法有关问题的补充通知》及本项目本级和上级财政部门政府采购有关规定的约束和保护。</w:t>
      </w:r>
    </w:p>
    <w:p w14:paraId="76BDFCBE">
      <w:pPr>
        <w:spacing w:line="480" w:lineRule="exact"/>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1.2</w:t>
      </w:r>
      <w:r>
        <w:rPr>
          <w:rFonts w:hint="default" w:ascii="宋体" w:hAnsi="宋体" w:eastAsia="宋体" w:cs="宋体"/>
          <w:color w:val="auto"/>
          <w:spacing w:val="-6"/>
          <w:sz w:val="24"/>
          <w:szCs w:val="24"/>
          <w:highlight w:val="none"/>
        </w:rPr>
        <w:t>本竞争性磋商文件（以下简称磋商文件）适用于本项目的所有采购程序和环节（法律、法规另有规定的，从其规定）。</w:t>
      </w:r>
    </w:p>
    <w:p w14:paraId="52515A37">
      <w:pPr>
        <w:spacing w:line="480" w:lineRule="exact"/>
        <w:ind w:firstLine="482" w:firstLineChars="200"/>
        <w:rPr>
          <w:rFonts w:hint="default" w:ascii="宋体" w:hAnsi="宋体" w:eastAsia="宋体" w:cs="宋体"/>
          <w:b/>
          <w:color w:val="auto"/>
          <w:sz w:val="24"/>
          <w:szCs w:val="24"/>
          <w:highlight w:val="none"/>
        </w:rPr>
      </w:pPr>
      <w:r>
        <w:rPr>
          <w:rFonts w:hint="default" w:ascii="宋体" w:hAnsi="宋体" w:eastAsia="宋体" w:cs="宋体"/>
          <w:b/>
          <w:color w:val="auto"/>
          <w:sz w:val="24"/>
          <w:szCs w:val="24"/>
          <w:highlight w:val="none"/>
        </w:rPr>
        <w:t>2.定义</w:t>
      </w:r>
    </w:p>
    <w:p w14:paraId="5C13AE48">
      <w:pPr>
        <w:spacing w:line="480" w:lineRule="exact"/>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2.1“采购人”是指依法进行政府采购的国家机关、事业单位、团体组织。</w:t>
      </w:r>
    </w:p>
    <w:p w14:paraId="58F22D13">
      <w:pPr>
        <w:spacing w:line="480" w:lineRule="exact"/>
        <w:ind w:firstLine="480" w:firstLineChars="200"/>
        <w:rPr>
          <w:rFonts w:hint="default" w:ascii="宋体" w:hAnsi="宋体" w:eastAsia="宋体" w:cs="宋体"/>
          <w:color w:val="auto"/>
          <w:sz w:val="24"/>
          <w:szCs w:val="24"/>
          <w:highlight w:val="none"/>
          <w:u w:val="single"/>
        </w:rPr>
      </w:pPr>
      <w:r>
        <w:rPr>
          <w:rFonts w:hint="default" w:ascii="宋体" w:hAnsi="宋体" w:eastAsia="宋体" w:cs="宋体"/>
          <w:color w:val="auto"/>
          <w:sz w:val="24"/>
          <w:szCs w:val="24"/>
          <w:highlight w:val="none"/>
        </w:rPr>
        <w:t>2.2“采购代理机构”是指政府采购集中采购机构和集中采购机构以外的采购代理机构。</w:t>
      </w:r>
    </w:p>
    <w:p w14:paraId="6AAC109F">
      <w:pPr>
        <w:spacing w:line="480" w:lineRule="exact"/>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2.3“供应商”是指向采购人提供货物、工程或者服务的法人、其他组织或者自然人。</w:t>
      </w:r>
    </w:p>
    <w:p w14:paraId="2AD4696C">
      <w:pPr>
        <w:spacing w:line="480" w:lineRule="exact"/>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2.4“工程”是指除货物和服务以外的其他政府采购对象。</w:t>
      </w:r>
    </w:p>
    <w:p w14:paraId="650696F5">
      <w:pPr>
        <w:spacing w:line="480" w:lineRule="exact"/>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2.5“竞标”是指供应商按照本项目竞争性磋商公告或者邀请函规定的方式获取磋商文件、提交响应文件并希望获得标的的行为。</w:t>
      </w:r>
    </w:p>
    <w:p w14:paraId="02DC49CE">
      <w:pPr>
        <w:spacing w:line="480" w:lineRule="exact"/>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2.6“响应文件”</w:t>
      </w:r>
      <w:r>
        <w:rPr>
          <w:rFonts w:hint="default" w:ascii="宋体" w:hAnsi="宋体" w:eastAsia="宋体" w:cs="宋体"/>
          <w:color w:val="auto"/>
          <w:spacing w:val="-6"/>
          <w:sz w:val="24"/>
          <w:szCs w:val="24"/>
          <w:highlight w:val="none"/>
        </w:rPr>
        <w:t>是指：供应商根据本磋商文件要求，编制包含资格证明、报价商务技术等所有内容的文件。</w:t>
      </w:r>
    </w:p>
    <w:p w14:paraId="5F05E495">
      <w:pPr>
        <w:spacing w:line="480" w:lineRule="exact"/>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2.7“实质性要求”是指磋商文件中已经指明不满足则响应文件按无效响应处理的条款，或者不能负偏离的条款，或者采购需求中带“▲”的条款。</w:t>
      </w:r>
    </w:p>
    <w:p w14:paraId="1C66F5DB">
      <w:pPr>
        <w:spacing w:line="480" w:lineRule="exact"/>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2.8“正偏离”，是指响应文件对磋商文件“采购需求”中有关条款作出的响应优于条款要求并有利于采购人的情形。</w:t>
      </w:r>
    </w:p>
    <w:p w14:paraId="2F0346B5">
      <w:pPr>
        <w:spacing w:line="480" w:lineRule="exact"/>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2.9“负偏离”，是指响应文件对磋商文件“采购需求”中有关条款作出的响应不满足条款要求，导致采购人要求不能得到满足的情形。</w:t>
      </w:r>
    </w:p>
    <w:p w14:paraId="42DF17C2">
      <w:pPr>
        <w:spacing w:line="480" w:lineRule="exact"/>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2.10“允许负偏离的条款”是指采购需求中的不属于“实质性要求”的条款。</w:t>
      </w:r>
    </w:p>
    <w:p w14:paraId="4637CA55">
      <w:pPr>
        <w:spacing w:line="480" w:lineRule="exact"/>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2.11“书面形式”是指合同书、信件和数据电文（包括电报、电传、传真、电子数据交换和电子邮件）等可以有形地表现所载内容的形式。</w:t>
      </w:r>
    </w:p>
    <w:p w14:paraId="7B5B1640">
      <w:pPr>
        <w:spacing w:line="480" w:lineRule="exact"/>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2.12“首次报价”是指供应商提交的首次响应文件中的报价。</w:t>
      </w:r>
    </w:p>
    <w:p w14:paraId="403CA503">
      <w:pPr>
        <w:spacing w:line="480" w:lineRule="exact"/>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2.13“评审报价”是指供应商提交的最后报价并经修正（如有）和政策功能价格扣除（如有）后的价格。</w:t>
      </w:r>
    </w:p>
    <w:p w14:paraId="344A9236">
      <w:pPr>
        <w:spacing w:line="480" w:lineRule="exact"/>
        <w:ind w:firstLine="482" w:firstLineChars="200"/>
        <w:rPr>
          <w:rFonts w:hint="default" w:ascii="宋体" w:hAnsi="宋体" w:eastAsia="宋体" w:cs="宋体"/>
          <w:b/>
          <w:color w:val="auto"/>
          <w:sz w:val="24"/>
          <w:szCs w:val="24"/>
          <w:highlight w:val="none"/>
        </w:rPr>
      </w:pPr>
      <w:r>
        <w:rPr>
          <w:rFonts w:hint="default" w:ascii="宋体" w:hAnsi="宋体" w:eastAsia="宋体" w:cs="宋体"/>
          <w:b/>
          <w:color w:val="auto"/>
          <w:sz w:val="24"/>
          <w:szCs w:val="24"/>
          <w:highlight w:val="none"/>
        </w:rPr>
        <w:t>3.供应商的资格条件</w:t>
      </w:r>
    </w:p>
    <w:p w14:paraId="1A6ACFDD">
      <w:pPr>
        <w:spacing w:line="480" w:lineRule="exact"/>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供应商的资格条件详见“供应商须知前附表”。</w:t>
      </w:r>
    </w:p>
    <w:p w14:paraId="112EE145">
      <w:pPr>
        <w:spacing w:line="480" w:lineRule="exact"/>
        <w:ind w:firstLine="482" w:firstLineChars="200"/>
        <w:rPr>
          <w:rFonts w:hint="default" w:ascii="宋体" w:hAnsi="宋体" w:eastAsia="宋体" w:cs="宋体"/>
          <w:b/>
          <w:color w:val="auto"/>
          <w:sz w:val="24"/>
          <w:szCs w:val="24"/>
          <w:highlight w:val="none"/>
        </w:rPr>
      </w:pPr>
      <w:r>
        <w:rPr>
          <w:rFonts w:hint="default" w:ascii="宋体" w:hAnsi="宋体" w:eastAsia="宋体" w:cs="宋体"/>
          <w:b/>
          <w:color w:val="auto"/>
          <w:sz w:val="24"/>
          <w:szCs w:val="24"/>
          <w:highlight w:val="none"/>
        </w:rPr>
        <w:t>4.磋商费用</w:t>
      </w:r>
    </w:p>
    <w:p w14:paraId="38FC997D">
      <w:pPr>
        <w:spacing w:line="480" w:lineRule="exact"/>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供应商应承担参与本次采购活动有关的所有费用，包括但不限于、勘查现场、编制和提交响应文件、参加磋商与应答、签订合同等，不论竞标结果如何，均应自行承担。</w:t>
      </w:r>
    </w:p>
    <w:p w14:paraId="760C293B">
      <w:pPr>
        <w:spacing w:line="480" w:lineRule="exact"/>
        <w:ind w:firstLine="482" w:firstLineChars="200"/>
        <w:rPr>
          <w:rFonts w:hint="default" w:ascii="宋体" w:hAnsi="宋体" w:eastAsia="宋体" w:cs="宋体"/>
          <w:b/>
          <w:color w:val="auto"/>
          <w:sz w:val="24"/>
          <w:szCs w:val="24"/>
          <w:highlight w:val="none"/>
        </w:rPr>
      </w:pPr>
      <w:r>
        <w:rPr>
          <w:rFonts w:hint="default" w:ascii="宋体" w:hAnsi="宋体" w:eastAsia="宋体" w:cs="宋体"/>
          <w:b/>
          <w:color w:val="auto"/>
          <w:sz w:val="24"/>
          <w:szCs w:val="24"/>
          <w:highlight w:val="none"/>
        </w:rPr>
        <w:t>5.联合体竞标</w:t>
      </w:r>
    </w:p>
    <w:p w14:paraId="1C95CA18">
      <w:pPr>
        <w:spacing w:line="480" w:lineRule="exact"/>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5.1本项目是否接受联合体竞标，详见“供应商须知前附表”。</w:t>
      </w:r>
    </w:p>
    <w:p w14:paraId="5C6CD6D4">
      <w:pPr>
        <w:spacing w:line="480" w:lineRule="exact"/>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5.2如接受联合体竞标，联合体竞标要求详见“供应商须知前附表”。</w:t>
      </w:r>
    </w:p>
    <w:p w14:paraId="22855C55">
      <w:pPr>
        <w:spacing w:line="480" w:lineRule="exact"/>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5.3根据《政府采购促进中小企业发展暂行办法》（财库[2020]46号）第九条规定，接受大中型企业与小微企业组成联合体的采购项目，对于联合协议约定小微企业的合同份额占到合同总金额 30%以上的，采购人、采购代理机构应当对联合体的报价给予工程项目为 1%—2%的扣除，用扣除后的价格参加评审。组成联合体的小微企业与联合体内其他企业、分包企业之间存在直接控股、管理关系的，不享受价格扣除优惠政策。</w:t>
      </w:r>
    </w:p>
    <w:p w14:paraId="5BD64584">
      <w:pPr>
        <w:spacing w:line="480" w:lineRule="exact"/>
        <w:ind w:firstLine="480" w:firstLineChars="200"/>
        <w:rPr>
          <w:rFonts w:hint="default" w:ascii="宋体" w:hAnsi="宋体" w:eastAsia="宋体" w:cs="宋体"/>
          <w:color w:val="auto"/>
          <w:sz w:val="24"/>
          <w:szCs w:val="24"/>
          <w:highlight w:val="none"/>
        </w:rPr>
      </w:pPr>
      <w:bookmarkStart w:id="44" w:name="_Toc254970675"/>
      <w:bookmarkStart w:id="45" w:name="_Toc254970534"/>
      <w:bookmarkStart w:id="46" w:name="_Toc106263700"/>
      <w:r>
        <w:rPr>
          <w:rFonts w:hint="default" w:ascii="宋体" w:hAnsi="宋体" w:eastAsia="宋体" w:cs="宋体"/>
          <w:color w:val="auto"/>
          <w:sz w:val="24"/>
          <w:szCs w:val="24"/>
          <w:highlight w:val="none"/>
        </w:rPr>
        <w:t>6.联合体投标</w:t>
      </w:r>
    </w:p>
    <w:p w14:paraId="20104B67">
      <w:pPr>
        <w:spacing w:line="480" w:lineRule="exact"/>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6.1本项目是否接受联合体投标，详见“投标人须知前附表”。</w:t>
      </w:r>
    </w:p>
    <w:p w14:paraId="393D9F22">
      <w:pPr>
        <w:spacing w:line="480" w:lineRule="exact"/>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6.2如接受联合体投标，联合体投标要求详见“投标人须知前附表”。</w:t>
      </w:r>
    </w:p>
    <w:p w14:paraId="0D6746E6">
      <w:pPr>
        <w:spacing w:line="480" w:lineRule="exact"/>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6.3根据《政府采购促进中小企业发展管理办法》（财库[2020]46号）第九条</w:t>
      </w:r>
      <w:r>
        <w:rPr>
          <w:rFonts w:hint="eastAsia" w:ascii="宋体" w:hAnsi="宋体" w:eastAsia="宋体" w:cs="宋体"/>
          <w:bCs/>
          <w:color w:val="auto"/>
          <w:sz w:val="24"/>
          <w:szCs w:val="24"/>
        </w:rPr>
        <w:t>及《广西壮族自治区财政厅关于持续优化政府采购营商环境推动高质量发展的通知》桂财采〔2024〕55 号</w:t>
      </w:r>
      <w:r>
        <w:rPr>
          <w:rFonts w:hint="eastAsia" w:ascii="宋体" w:hAnsi="宋体" w:eastAsia="宋体" w:cs="宋体"/>
          <w:color w:val="auto"/>
          <w:sz w:val="24"/>
          <w:szCs w:val="24"/>
          <w:highlight w:val="none"/>
          <w:lang w:eastAsia="zh-CN"/>
        </w:rPr>
        <w:t>、</w:t>
      </w:r>
      <w:r>
        <w:rPr>
          <w:rFonts w:hint="default" w:ascii="宋体" w:hAnsi="宋体" w:eastAsia="宋体" w:cs="宋体"/>
          <w:color w:val="auto"/>
          <w:sz w:val="24"/>
          <w:szCs w:val="24"/>
          <w:highlight w:val="none"/>
        </w:rPr>
        <w:t>《广西壮族自治区财政厅 广西壮族自治区工业和信息化厅转发财政部 工业和信息化部政府采购促进中小企业发展管理办法的通知》（桂财采〔2021〕70号）规定，接受大中型企业与小微企业组成联合体的采购项目，对于联合协议约定小微企业的合同份额占到合同总金额 30%以上的，采购人、采购代理机构应当对联合体的报价给予 4%-6%（工程项目为 1%—2%）的扣除，用扣除后的价格参加评审。组成联合体的小微企业与联合体内其他企业、分包企业之间存在直接控股、管理关系的，不享受价格扣除优惠政策。</w:t>
      </w:r>
    </w:p>
    <w:p w14:paraId="02539117">
      <w:pPr>
        <w:spacing w:line="480" w:lineRule="exact"/>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 xml:space="preserve">7.转包与分包             </w:t>
      </w:r>
    </w:p>
    <w:p w14:paraId="7CA70B61">
      <w:pPr>
        <w:spacing w:line="480" w:lineRule="exact"/>
        <w:ind w:firstLine="482" w:firstLineChars="200"/>
        <w:rPr>
          <w:rFonts w:hint="default" w:ascii="宋体" w:hAnsi="宋体" w:eastAsia="宋体" w:cs="宋体"/>
          <w:b/>
          <w:color w:val="auto"/>
          <w:sz w:val="24"/>
          <w:szCs w:val="24"/>
          <w:highlight w:val="none"/>
        </w:rPr>
      </w:pPr>
      <w:r>
        <w:rPr>
          <w:rFonts w:hint="default" w:ascii="宋体" w:hAnsi="宋体" w:eastAsia="宋体" w:cs="宋体"/>
          <w:b/>
          <w:color w:val="auto"/>
          <w:sz w:val="24"/>
          <w:szCs w:val="24"/>
          <w:highlight w:val="none"/>
        </w:rPr>
        <w:t>7.1本项目是否允许分包详见“投标人须知前附表”，本项目不允许违法分包。投标人根据招标文件的规定和采购项目的实际情况，拟在中标后将中标项目的非主体、非关键性工作分包的，应当在投标文件中载明分包承担主体，分包承担主体应当具备相应资质条件且不得再次分包。</w:t>
      </w:r>
    </w:p>
    <w:p w14:paraId="76052122">
      <w:pPr>
        <w:spacing w:line="480" w:lineRule="exact"/>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7.2根据《政府采购促进中小企业发展管理办法》（财库[2020]46号）第九条</w:t>
      </w:r>
      <w:r>
        <w:rPr>
          <w:rFonts w:hint="eastAsia" w:ascii="宋体" w:hAnsi="宋体" w:eastAsia="宋体" w:cs="宋体"/>
          <w:bCs/>
          <w:color w:val="auto"/>
          <w:sz w:val="24"/>
          <w:szCs w:val="24"/>
        </w:rPr>
        <w:t>及《广西壮族自治区财政厅关于持续优化政府采购营商环境推动高质量发展的通知》桂财采〔2024〕55 号</w:t>
      </w:r>
      <w:r>
        <w:rPr>
          <w:rFonts w:hint="default" w:ascii="宋体" w:hAnsi="宋体" w:eastAsia="宋体" w:cs="宋体"/>
          <w:color w:val="auto"/>
          <w:sz w:val="24"/>
          <w:szCs w:val="24"/>
          <w:highlight w:val="none"/>
        </w:rPr>
        <w:t>规定，允许大中型企业向一家或者多家小微企业分包的采购项目，对于分包意向协议约定小微企业的合同份额占到合同总金额 30%以上的，采购人、采购代理机构应当对大中型企业的报价给予 4%-6%的扣除，用扣除后的价格参加评审。接受分包的小微企业与分包企业之间存在直接控股、管理关系的，不享受价格扣除优惠政策。</w:t>
      </w:r>
    </w:p>
    <w:p w14:paraId="015A80DC">
      <w:pPr>
        <w:spacing w:line="480" w:lineRule="exact"/>
        <w:ind w:firstLine="480" w:firstLineChars="200"/>
        <w:rPr>
          <w:rFonts w:hint="default" w:ascii="宋体" w:hAnsi="宋体" w:eastAsia="宋体" w:cs="宋体"/>
          <w:color w:val="auto"/>
          <w:sz w:val="24"/>
          <w:szCs w:val="24"/>
          <w:highlight w:val="none"/>
        </w:rPr>
      </w:pPr>
      <w:bookmarkStart w:id="47" w:name="_Toc254970532"/>
      <w:bookmarkStart w:id="48" w:name="_Toc254970673"/>
      <w:r>
        <w:rPr>
          <w:rFonts w:hint="default" w:ascii="宋体" w:hAnsi="宋体" w:eastAsia="宋体" w:cs="宋体"/>
          <w:color w:val="auto"/>
          <w:sz w:val="24"/>
          <w:szCs w:val="24"/>
          <w:highlight w:val="none"/>
        </w:rPr>
        <w:t>8.特别说明：</w:t>
      </w:r>
      <w:bookmarkEnd w:id="47"/>
      <w:bookmarkEnd w:id="48"/>
      <w:bookmarkStart w:id="49" w:name="_8.1提供相同品牌产品且通过资格审查、符合性审查的不同投标人参加同一合"/>
      <w:bookmarkEnd w:id="49"/>
    </w:p>
    <w:p w14:paraId="53225427">
      <w:pPr>
        <w:spacing w:line="480" w:lineRule="exact"/>
        <w:ind w:firstLine="482" w:firstLineChars="200"/>
        <w:rPr>
          <w:rFonts w:hint="default" w:ascii="宋体" w:hAnsi="宋体" w:eastAsia="宋体" w:cs="宋体"/>
          <w:b/>
          <w:color w:val="auto"/>
          <w:sz w:val="24"/>
          <w:szCs w:val="24"/>
          <w:highlight w:val="none"/>
        </w:rPr>
      </w:pPr>
      <w:r>
        <w:rPr>
          <w:rFonts w:hint="default" w:ascii="宋体" w:hAnsi="宋体" w:eastAsia="宋体" w:cs="宋体"/>
          <w:b/>
          <w:color w:val="auto"/>
          <w:sz w:val="24"/>
          <w:szCs w:val="24"/>
          <w:highlight w:val="none"/>
        </w:rPr>
        <w:t>8.1如果本招标文件要求投标人提供资格、信誉、荣誉、业绩与企业认证等材料的，则投标人所提供的以上材料必须为投标人所拥有。</w:t>
      </w:r>
    </w:p>
    <w:p w14:paraId="013674A5">
      <w:pPr>
        <w:spacing w:line="480" w:lineRule="exact"/>
        <w:ind w:firstLine="482" w:firstLineChars="200"/>
        <w:rPr>
          <w:rFonts w:hint="default" w:ascii="宋体" w:hAnsi="宋体" w:eastAsia="宋体" w:cs="宋体"/>
          <w:b/>
          <w:color w:val="auto"/>
          <w:sz w:val="24"/>
          <w:szCs w:val="24"/>
          <w:highlight w:val="none"/>
        </w:rPr>
      </w:pPr>
      <w:r>
        <w:rPr>
          <w:rFonts w:hint="default" w:ascii="宋体" w:hAnsi="宋体" w:eastAsia="宋体" w:cs="宋体"/>
          <w:b/>
          <w:color w:val="auto"/>
          <w:sz w:val="24"/>
          <w:szCs w:val="24"/>
          <w:highlight w:val="none"/>
        </w:rPr>
        <w:t>8.2投标人应仔细阅读招标文件的所有内容，按照招标文件的要求提交投标文件，并对所提供的全部资料的真实性承担法律责任。</w:t>
      </w:r>
    </w:p>
    <w:p w14:paraId="0319CDBD">
      <w:pPr>
        <w:spacing w:line="480" w:lineRule="exact"/>
        <w:ind w:firstLine="482" w:firstLineChars="200"/>
        <w:rPr>
          <w:rFonts w:hint="default" w:ascii="宋体" w:hAnsi="宋体" w:eastAsia="宋体" w:cs="宋体"/>
          <w:b/>
          <w:color w:val="auto"/>
          <w:sz w:val="24"/>
          <w:szCs w:val="24"/>
          <w:highlight w:val="none"/>
        </w:rPr>
      </w:pPr>
      <w:r>
        <w:rPr>
          <w:rFonts w:hint="default" w:ascii="宋体" w:hAnsi="宋体" w:eastAsia="宋体" w:cs="宋体"/>
          <w:b/>
          <w:color w:val="auto"/>
          <w:sz w:val="24"/>
          <w:szCs w:val="24"/>
          <w:highlight w:val="none"/>
        </w:rPr>
        <w:t>8.3投标人在投标活动中提供任何虚假材料，将报监管部门查处；中标后发现的，中标人须依照《中华人民共和国消费者权益保护法》规定赔偿采购人，且民事赔偿并不免除违法投标人的行政与刑事责任。</w:t>
      </w:r>
    </w:p>
    <w:p w14:paraId="06157AA5">
      <w:pPr>
        <w:spacing w:line="480" w:lineRule="exact"/>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9.回避与串通投标</w:t>
      </w:r>
    </w:p>
    <w:p w14:paraId="4B84DF72">
      <w:pPr>
        <w:spacing w:line="480" w:lineRule="exact"/>
        <w:ind w:firstLine="482" w:firstLineChars="200"/>
        <w:rPr>
          <w:rFonts w:hint="default" w:ascii="宋体" w:hAnsi="宋体" w:eastAsia="宋体" w:cs="宋体"/>
          <w:b/>
          <w:color w:val="auto"/>
          <w:sz w:val="24"/>
          <w:szCs w:val="24"/>
          <w:highlight w:val="none"/>
        </w:rPr>
      </w:pPr>
      <w:r>
        <w:rPr>
          <w:rFonts w:hint="default" w:ascii="宋体" w:hAnsi="宋体" w:eastAsia="宋体" w:cs="宋体"/>
          <w:b/>
          <w:color w:val="auto"/>
          <w:sz w:val="24"/>
          <w:szCs w:val="24"/>
          <w:highlight w:val="none"/>
        </w:rPr>
        <w:t>9.1在政府采购活动中，采购人员及相关人员与供应商有下列利害关系之一的，应当回避：</w:t>
      </w:r>
    </w:p>
    <w:p w14:paraId="5A26939E">
      <w:pPr>
        <w:spacing w:line="480" w:lineRule="exact"/>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（1）参加采购活动前3年内与供应商存在劳动关系；</w:t>
      </w:r>
    </w:p>
    <w:p w14:paraId="656E5239">
      <w:pPr>
        <w:spacing w:line="480" w:lineRule="exact"/>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（2）参加采购活动前3年内担任供应商的董事、监事；</w:t>
      </w:r>
    </w:p>
    <w:p w14:paraId="48FEDDF0">
      <w:pPr>
        <w:spacing w:line="480" w:lineRule="exact"/>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（3）参加采购活动前3年内是供应商的控股股东或者实际控制人；</w:t>
      </w:r>
    </w:p>
    <w:p w14:paraId="15FBCA58">
      <w:pPr>
        <w:spacing w:line="480" w:lineRule="exact"/>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（4）与供应商的法定代表人或者负责人有夫妻、直系血亲、三代以内旁系血亲或者近姻亲关系；</w:t>
      </w:r>
    </w:p>
    <w:p w14:paraId="7D7122E6">
      <w:pPr>
        <w:spacing w:line="480" w:lineRule="exact"/>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（5）与供应商有其他可能影响政府采购活动公平、公正进行的关系。</w:t>
      </w:r>
    </w:p>
    <w:p w14:paraId="37E45B21">
      <w:pPr>
        <w:spacing w:line="480" w:lineRule="exact"/>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12450081">
      <w:pPr>
        <w:spacing w:line="480" w:lineRule="exact"/>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9.2有下列情形之一的视为投标人相互串通投标，投标文件将被视为无效：</w:t>
      </w:r>
    </w:p>
    <w:p w14:paraId="6A856DD0">
      <w:pPr>
        <w:spacing w:line="480" w:lineRule="exact"/>
        <w:ind w:firstLine="482" w:firstLineChars="200"/>
        <w:rPr>
          <w:rFonts w:hint="default" w:ascii="宋体" w:hAnsi="宋体" w:eastAsia="宋体" w:cs="宋体"/>
          <w:b/>
          <w:color w:val="auto"/>
          <w:sz w:val="24"/>
          <w:szCs w:val="24"/>
          <w:highlight w:val="none"/>
        </w:rPr>
      </w:pPr>
      <w:r>
        <w:rPr>
          <w:rFonts w:hint="default" w:ascii="宋体" w:hAnsi="宋体" w:eastAsia="宋体" w:cs="宋体"/>
          <w:b/>
          <w:color w:val="auto"/>
          <w:sz w:val="24"/>
          <w:szCs w:val="24"/>
          <w:highlight w:val="none"/>
        </w:rPr>
        <w:t>（1）不同投标人的投标文件由同一单位或者个人编制；或者不同投标人报名的IP地址一致的；</w:t>
      </w:r>
    </w:p>
    <w:p w14:paraId="225084CD">
      <w:pPr>
        <w:spacing w:line="480" w:lineRule="exact"/>
        <w:ind w:firstLine="482" w:firstLineChars="200"/>
        <w:rPr>
          <w:rFonts w:hint="default" w:ascii="宋体" w:hAnsi="宋体" w:eastAsia="宋体" w:cs="宋体"/>
          <w:b/>
          <w:color w:val="auto"/>
          <w:sz w:val="24"/>
          <w:szCs w:val="24"/>
          <w:highlight w:val="none"/>
        </w:rPr>
      </w:pPr>
      <w:r>
        <w:rPr>
          <w:rFonts w:hint="default" w:ascii="宋体" w:hAnsi="宋体" w:eastAsia="宋体" w:cs="宋体"/>
          <w:b/>
          <w:color w:val="auto"/>
          <w:sz w:val="24"/>
          <w:szCs w:val="24"/>
          <w:highlight w:val="none"/>
        </w:rPr>
        <w:t>（2）不同投标人委托同一单位或者个人办理投标事宜；</w:t>
      </w:r>
    </w:p>
    <w:p w14:paraId="4723AB2F">
      <w:pPr>
        <w:spacing w:line="480" w:lineRule="exact"/>
        <w:ind w:firstLine="482" w:firstLineChars="200"/>
        <w:rPr>
          <w:rFonts w:hint="default" w:ascii="宋体" w:hAnsi="宋体" w:eastAsia="宋体" w:cs="宋体"/>
          <w:b/>
          <w:color w:val="auto"/>
          <w:sz w:val="24"/>
          <w:szCs w:val="24"/>
          <w:highlight w:val="none"/>
        </w:rPr>
      </w:pPr>
      <w:r>
        <w:rPr>
          <w:rFonts w:hint="default" w:ascii="宋体" w:hAnsi="宋体" w:eastAsia="宋体" w:cs="宋体"/>
          <w:b/>
          <w:color w:val="auto"/>
          <w:sz w:val="24"/>
          <w:szCs w:val="24"/>
          <w:highlight w:val="none"/>
        </w:rPr>
        <w:t>（3）不同的投标人的投标文件载明的项目管理员为同一个人；</w:t>
      </w:r>
    </w:p>
    <w:p w14:paraId="290AC5F2">
      <w:pPr>
        <w:spacing w:line="480" w:lineRule="exact"/>
        <w:ind w:firstLine="482" w:firstLineChars="200"/>
        <w:rPr>
          <w:rFonts w:hint="default" w:ascii="宋体" w:hAnsi="宋体" w:eastAsia="宋体" w:cs="宋体"/>
          <w:b/>
          <w:color w:val="auto"/>
          <w:sz w:val="24"/>
          <w:szCs w:val="24"/>
          <w:highlight w:val="none"/>
        </w:rPr>
      </w:pPr>
      <w:r>
        <w:rPr>
          <w:rFonts w:hint="default" w:ascii="宋体" w:hAnsi="宋体" w:eastAsia="宋体" w:cs="宋体"/>
          <w:b/>
          <w:color w:val="auto"/>
          <w:sz w:val="24"/>
          <w:szCs w:val="24"/>
          <w:highlight w:val="none"/>
        </w:rPr>
        <w:t>（4）不同投标人的电子或纸质投标文件异常一致或者投标报价呈规律性差异；</w:t>
      </w:r>
    </w:p>
    <w:p w14:paraId="5634E72F">
      <w:pPr>
        <w:spacing w:line="480" w:lineRule="exact"/>
        <w:ind w:firstLine="482" w:firstLineChars="200"/>
        <w:rPr>
          <w:rFonts w:hint="default" w:ascii="宋体" w:hAnsi="宋体" w:eastAsia="宋体" w:cs="宋体"/>
          <w:b/>
          <w:color w:val="auto"/>
          <w:sz w:val="24"/>
          <w:szCs w:val="24"/>
          <w:highlight w:val="none"/>
        </w:rPr>
      </w:pPr>
      <w:r>
        <w:rPr>
          <w:rFonts w:hint="default" w:ascii="宋体" w:hAnsi="宋体" w:eastAsia="宋体" w:cs="宋体"/>
          <w:b/>
          <w:color w:val="auto"/>
          <w:sz w:val="24"/>
          <w:szCs w:val="24"/>
          <w:highlight w:val="none"/>
        </w:rPr>
        <w:t>（5）不同投标人的纸质投标文件相互混装；</w:t>
      </w:r>
    </w:p>
    <w:p w14:paraId="096BD073">
      <w:pPr>
        <w:spacing w:line="480" w:lineRule="exact"/>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9.3供应商有下列情形之一的，属于恶意串通行为，将报同级监督管理部门：</w:t>
      </w:r>
    </w:p>
    <w:p w14:paraId="134AF0B0">
      <w:pPr>
        <w:spacing w:line="480" w:lineRule="exact"/>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（1）供应商直接或者间接从采购人或者采购代理机构处获得其他供应商的相关信息并修改其投标文件或者投标文件；</w:t>
      </w:r>
    </w:p>
    <w:p w14:paraId="3414A7CA">
      <w:pPr>
        <w:spacing w:line="480" w:lineRule="exact"/>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（2）供应商按照采购人或者采购代理机构的授意撤换、修改投标文件或者投标文件；</w:t>
      </w:r>
    </w:p>
    <w:p w14:paraId="74394C1F">
      <w:pPr>
        <w:spacing w:line="480" w:lineRule="exact"/>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（3）供应商之间协商报价、技术方案等投标文件或者投标文件的实质性内容；</w:t>
      </w:r>
    </w:p>
    <w:p w14:paraId="2A70D887">
      <w:pPr>
        <w:spacing w:line="480" w:lineRule="exact"/>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（4）属于同一集团、协会、商会等组织成员的供应商按照该组织要求协同参加政府采购活动；</w:t>
      </w:r>
    </w:p>
    <w:p w14:paraId="05E1938D">
      <w:pPr>
        <w:spacing w:line="480" w:lineRule="exact"/>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（5）供应商之间事先约定一致抬高或者压低投标报价，或者在招标项目中事先约定轮流以高价位或者低价位中标，或者事先约定由某一特定供应商中标，然后再参加投标；</w:t>
      </w:r>
    </w:p>
    <w:p w14:paraId="78AEA68D">
      <w:pPr>
        <w:spacing w:line="480" w:lineRule="exact"/>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（6）供应商之间商定部分供应商放弃参加政府采购活动或者放弃中标；</w:t>
      </w:r>
    </w:p>
    <w:p w14:paraId="0DA6AD28">
      <w:pPr>
        <w:spacing w:line="480" w:lineRule="exact"/>
        <w:ind w:firstLine="480" w:firstLineChars="200"/>
        <w:rPr>
          <w:rFonts w:hint="default" w:ascii="宋体" w:hAnsi="宋体" w:eastAsia="宋体" w:cs="宋体"/>
          <w:color w:val="auto"/>
          <w:sz w:val="21"/>
          <w:szCs w:val="21"/>
          <w:highlight w:val="none"/>
        </w:rPr>
      </w:pPr>
      <w:r>
        <w:rPr>
          <w:rFonts w:hint="default" w:ascii="宋体" w:hAnsi="宋体" w:eastAsia="宋体" w:cs="宋体"/>
          <w:color w:val="auto"/>
          <w:sz w:val="24"/>
          <w:szCs w:val="24"/>
          <w:highlight w:val="none"/>
        </w:rPr>
        <w:t>（7）供应商与采购人或者采购代理机构之间、供应商相互之间，为谋求特定供应商中标或者排斥其他供应商的其他串通行为。</w:t>
      </w:r>
    </w:p>
    <w:p w14:paraId="1F38CBD8">
      <w:pPr>
        <w:keepNext/>
        <w:keepLines/>
        <w:spacing w:line="480" w:lineRule="exact"/>
        <w:outlineLvl w:val="2"/>
        <w:rPr>
          <w:rFonts w:hint="default" w:ascii="宋体" w:hAnsi="宋体" w:eastAsia="宋体" w:cs="宋体"/>
          <w:b/>
          <w:color w:val="auto"/>
          <w:sz w:val="28"/>
          <w:szCs w:val="28"/>
          <w:highlight w:val="none"/>
        </w:rPr>
      </w:pPr>
      <w:bookmarkStart w:id="50" w:name="_Toc7590"/>
      <w:r>
        <w:rPr>
          <w:rFonts w:hint="default" w:ascii="宋体" w:hAnsi="宋体" w:eastAsia="宋体" w:cs="宋体"/>
          <w:b/>
          <w:color w:val="auto"/>
          <w:sz w:val="28"/>
          <w:szCs w:val="28"/>
          <w:highlight w:val="none"/>
        </w:rPr>
        <w:t>二、磋商文件</w:t>
      </w:r>
      <w:bookmarkEnd w:id="44"/>
      <w:bookmarkEnd w:id="45"/>
      <w:bookmarkEnd w:id="46"/>
      <w:bookmarkEnd w:id="50"/>
    </w:p>
    <w:p w14:paraId="5A6F933A">
      <w:pPr>
        <w:spacing w:line="480" w:lineRule="exact"/>
        <w:ind w:firstLine="482" w:firstLineChars="200"/>
        <w:rPr>
          <w:rFonts w:hint="default" w:ascii="宋体" w:hAnsi="宋体" w:eastAsia="宋体" w:cs="宋体"/>
          <w:b/>
          <w:color w:val="auto"/>
          <w:sz w:val="24"/>
          <w:szCs w:val="24"/>
          <w:highlight w:val="none"/>
        </w:rPr>
      </w:pPr>
      <w:r>
        <w:rPr>
          <w:rFonts w:hint="default" w:ascii="宋体" w:hAnsi="宋体" w:eastAsia="宋体" w:cs="宋体"/>
          <w:b/>
          <w:color w:val="auto"/>
          <w:sz w:val="24"/>
          <w:szCs w:val="24"/>
          <w:highlight w:val="none"/>
        </w:rPr>
        <w:t>8.磋商文件的构成</w:t>
      </w:r>
    </w:p>
    <w:p w14:paraId="06FC2240">
      <w:pPr>
        <w:spacing w:line="480" w:lineRule="exact"/>
        <w:ind w:firstLine="480" w:firstLineChars="200"/>
        <w:jc w:val="left"/>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第一章 竞争性磋商公告；</w:t>
      </w:r>
    </w:p>
    <w:p w14:paraId="4B5E1F92">
      <w:pPr>
        <w:spacing w:line="480" w:lineRule="exact"/>
        <w:ind w:firstLine="480" w:firstLineChars="200"/>
        <w:jc w:val="left"/>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第二章 采购需求；</w:t>
      </w:r>
    </w:p>
    <w:p w14:paraId="21508A53">
      <w:pPr>
        <w:spacing w:line="480" w:lineRule="exact"/>
        <w:ind w:firstLine="480" w:firstLineChars="200"/>
        <w:jc w:val="left"/>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 xml:space="preserve">第三章 供应商须知； </w:t>
      </w:r>
    </w:p>
    <w:p w14:paraId="2050DFF1">
      <w:pPr>
        <w:spacing w:line="480" w:lineRule="exact"/>
        <w:ind w:firstLine="480" w:firstLineChars="200"/>
        <w:jc w:val="left"/>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第四章 评审程序、评审方法和评审标准；</w:t>
      </w:r>
    </w:p>
    <w:p w14:paraId="1DDB968F">
      <w:pPr>
        <w:spacing w:line="480" w:lineRule="exact"/>
        <w:ind w:firstLine="480" w:firstLineChars="200"/>
        <w:jc w:val="left"/>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第五章 响应文件格式；</w:t>
      </w:r>
    </w:p>
    <w:p w14:paraId="2EE50FEB">
      <w:pPr>
        <w:spacing w:line="480" w:lineRule="exact"/>
        <w:ind w:firstLine="480" w:firstLineChars="200"/>
        <w:jc w:val="left"/>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第六章 图纸及招标控制价</w:t>
      </w:r>
    </w:p>
    <w:p w14:paraId="1C2F5945">
      <w:pPr>
        <w:spacing w:line="480" w:lineRule="exact"/>
        <w:ind w:firstLine="480" w:firstLineChars="200"/>
        <w:jc w:val="left"/>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第七章　合同文本；</w:t>
      </w:r>
    </w:p>
    <w:p w14:paraId="7F537DEF">
      <w:pPr>
        <w:spacing w:line="480" w:lineRule="exact"/>
        <w:ind w:firstLine="480" w:firstLineChars="200"/>
        <w:jc w:val="left"/>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第八章 质疑、投诉材料格式。</w:t>
      </w:r>
    </w:p>
    <w:p w14:paraId="249F7745">
      <w:pPr>
        <w:spacing w:line="480" w:lineRule="exact"/>
        <w:ind w:firstLine="482" w:firstLineChars="200"/>
        <w:rPr>
          <w:rFonts w:hint="default" w:ascii="宋体" w:hAnsi="宋体" w:eastAsia="宋体" w:cs="宋体"/>
          <w:b/>
          <w:color w:val="auto"/>
          <w:sz w:val="24"/>
          <w:szCs w:val="24"/>
          <w:highlight w:val="none"/>
        </w:rPr>
      </w:pPr>
      <w:r>
        <w:rPr>
          <w:rFonts w:hint="default" w:ascii="宋体" w:hAnsi="宋体" w:eastAsia="宋体" w:cs="宋体"/>
          <w:b/>
          <w:color w:val="auto"/>
          <w:sz w:val="24"/>
          <w:szCs w:val="24"/>
          <w:highlight w:val="none"/>
        </w:rPr>
        <w:t>9.供应商的询问</w:t>
      </w:r>
    </w:p>
    <w:p w14:paraId="100B023B">
      <w:pPr>
        <w:spacing w:line="480" w:lineRule="exact"/>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供应商应认真阅读磋商文件的采购需求，如供应商对磋商文件有疑问的，如要求采购人作出澄清或者修改的，供应商尽应在提交首次响应文件截止之日前，以书面形式向采购人、采购代理机构提出。</w:t>
      </w:r>
    </w:p>
    <w:p w14:paraId="2797D7CC">
      <w:pPr>
        <w:spacing w:line="480" w:lineRule="exact"/>
        <w:ind w:firstLine="482" w:firstLineChars="200"/>
        <w:rPr>
          <w:rFonts w:hint="default" w:ascii="宋体" w:hAnsi="宋体" w:eastAsia="宋体" w:cs="宋体"/>
          <w:b/>
          <w:color w:val="auto"/>
          <w:sz w:val="24"/>
          <w:szCs w:val="24"/>
          <w:highlight w:val="none"/>
        </w:rPr>
      </w:pPr>
      <w:r>
        <w:rPr>
          <w:rFonts w:hint="default" w:ascii="宋体" w:hAnsi="宋体" w:eastAsia="宋体" w:cs="宋体"/>
          <w:b/>
          <w:color w:val="auto"/>
          <w:sz w:val="24"/>
          <w:szCs w:val="24"/>
          <w:highlight w:val="none"/>
        </w:rPr>
        <w:t>10.磋商文件的澄清和修改</w:t>
      </w:r>
    </w:p>
    <w:p w14:paraId="2CE76C75">
      <w:pPr>
        <w:spacing w:line="480" w:lineRule="exact"/>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10.1已获取磋商文件的潜在供应商，若有问题需要澄清，应于应标截止时间前，以书面形式向采购代理机构提出，采购代理机构与采购人研究后，对认为有必要回答的问题，按照本章10.3的内容处理。</w:t>
      </w:r>
    </w:p>
    <w:p w14:paraId="1917D851">
      <w:pPr>
        <w:spacing w:line="480" w:lineRule="exact"/>
        <w:ind w:firstLine="482" w:firstLineChars="200"/>
        <w:rPr>
          <w:rFonts w:hint="default" w:ascii="宋体" w:hAnsi="宋体" w:eastAsia="宋体" w:cs="宋体"/>
          <w:b/>
          <w:color w:val="auto"/>
          <w:sz w:val="24"/>
          <w:szCs w:val="24"/>
          <w:highlight w:val="none"/>
        </w:rPr>
      </w:pPr>
      <w:r>
        <w:rPr>
          <w:rFonts w:hint="default" w:ascii="宋体" w:hAnsi="宋体" w:eastAsia="宋体" w:cs="宋体"/>
          <w:b/>
          <w:color w:val="auto"/>
          <w:sz w:val="24"/>
          <w:szCs w:val="24"/>
          <w:highlight w:val="none"/>
        </w:rPr>
        <w:t>10.2采购人或者采购代理机构可以对已发出的磋商文件进行必要的澄清或者修改，但不得改变采购标的和资格条件。澄清或者修改应当在原公告发布媒体上发布澄清公告。澄清或者修改的内容为磋商文件的组成部分。</w:t>
      </w:r>
    </w:p>
    <w:p w14:paraId="1BAC6B98">
      <w:pPr>
        <w:spacing w:line="480" w:lineRule="exact"/>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10.3提交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或者磋商小组在提交首次响应文件截止之日5日前，以书面形式（目前为网上公告和系统短信等形式）通知所有获取磋商文件的供应商，不足5日的，应当顺延提交首次响应文件截止之日。</w:t>
      </w:r>
    </w:p>
    <w:p w14:paraId="2E31AB36">
      <w:pPr>
        <w:spacing w:line="480" w:lineRule="exact"/>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10.4</w:t>
      </w:r>
      <w:r>
        <w:rPr>
          <w:rFonts w:hint="default" w:ascii="宋体" w:hAnsi="宋体" w:eastAsia="宋体" w:cs="宋体"/>
          <w:color w:val="auto"/>
          <w:sz w:val="24"/>
          <w:szCs w:val="24"/>
          <w:highlight w:val="none"/>
          <w:shd w:val="clear" w:color="auto" w:fill="FFFFFF"/>
        </w:rPr>
        <w:t>采购信息更正公告的内容应当包括采购人和采购代理机构名称、地址、联系方式，原公告的采购项目名称及首次公告日期，更正事项、内容及日期，采购项目联系人和电话。</w:t>
      </w:r>
    </w:p>
    <w:p w14:paraId="790DEC90">
      <w:pPr>
        <w:spacing w:line="480" w:lineRule="exact"/>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10.5  采购人和采购代理机构可以视采购具体情况，变更提交首次响应文件截止时间和竞谈时间，将变更时间将在“采购文件公告”中“七、其他补充事宜3.网上查询地址”规定的政府采购信息发布媒体上发布更正公告。</w:t>
      </w:r>
    </w:p>
    <w:p w14:paraId="7B6B1DD1">
      <w:pPr>
        <w:spacing w:line="480" w:lineRule="exact"/>
        <w:ind w:firstLine="480" w:firstLineChars="200"/>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w:t>
      </w:r>
      <w:r>
        <w:rPr>
          <w:rFonts w:hint="default" w:ascii="宋体" w:hAnsi="宋体" w:eastAsia="宋体" w:cs="宋体"/>
          <w:b/>
          <w:color w:val="auto"/>
          <w:kern w:val="0"/>
          <w:sz w:val="24"/>
          <w:szCs w:val="24"/>
          <w:highlight w:val="none"/>
        </w:rPr>
        <w:t>响应文件未按磋商文件的澄清、修改的内容编制，又不符合实质性要求的，其响应文件作无效处理。</w:t>
      </w:r>
    </w:p>
    <w:p w14:paraId="0A1B4E17">
      <w:pPr>
        <w:keepNext/>
        <w:keepLines/>
        <w:spacing w:line="480" w:lineRule="exact"/>
        <w:outlineLvl w:val="2"/>
        <w:rPr>
          <w:rFonts w:hint="default" w:ascii="宋体" w:hAnsi="宋体" w:eastAsia="宋体" w:cs="宋体"/>
          <w:b/>
          <w:color w:val="auto"/>
          <w:sz w:val="21"/>
          <w:szCs w:val="21"/>
          <w:highlight w:val="none"/>
        </w:rPr>
      </w:pPr>
      <w:bookmarkStart w:id="51" w:name="_Toc106263701"/>
      <w:bookmarkStart w:id="52" w:name="_Toc5143"/>
      <w:r>
        <w:rPr>
          <w:rFonts w:hint="default" w:ascii="宋体" w:hAnsi="宋体" w:eastAsia="宋体" w:cs="宋体"/>
          <w:b/>
          <w:color w:val="auto"/>
          <w:sz w:val="28"/>
          <w:szCs w:val="28"/>
          <w:highlight w:val="none"/>
        </w:rPr>
        <w:t>三、响应文件的编制</w:t>
      </w:r>
      <w:bookmarkEnd w:id="51"/>
      <w:bookmarkEnd w:id="52"/>
    </w:p>
    <w:p w14:paraId="62607AE3">
      <w:pPr>
        <w:spacing w:line="48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11.响应文件的编制原则</w:t>
      </w:r>
    </w:p>
    <w:p w14:paraId="4201D8A5">
      <w:pPr>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供应商必须按照磋商文件的要求编制响应文件，并对其提交的响应文件的真实性、合法性承担法律责任。响应文件必须对磋商文件作出实质性响应。</w:t>
      </w:r>
    </w:p>
    <w:p w14:paraId="1BE0853D">
      <w:pPr>
        <w:spacing w:line="48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12.响应文件的组成</w:t>
      </w:r>
    </w:p>
    <w:p w14:paraId="455B0846">
      <w:pPr>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12.1响应文件由资格证明文件、报价文件、商务和技术文件三部分组成。</w:t>
      </w:r>
    </w:p>
    <w:p w14:paraId="20D5388F">
      <w:pPr>
        <w:spacing w:line="480" w:lineRule="exact"/>
        <w:ind w:left="420" w:leftChars="20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12.1.1资格证明文件：详见须知前附表</w:t>
      </w:r>
    </w:p>
    <w:p w14:paraId="4B3D482E">
      <w:pPr>
        <w:spacing w:line="480" w:lineRule="exact"/>
        <w:ind w:left="420" w:leftChars="20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12.1.2商务技术文件：详见须知前附表</w:t>
      </w:r>
    </w:p>
    <w:p w14:paraId="00C04349">
      <w:pPr>
        <w:spacing w:line="480" w:lineRule="exact"/>
        <w:ind w:left="420" w:leftChars="20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12.1.3报价文件：详见须知前附表</w:t>
      </w:r>
    </w:p>
    <w:p w14:paraId="3E4F30DE">
      <w:pPr>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12.2响应文件电子版：详见须知前附表</w:t>
      </w:r>
    </w:p>
    <w:p w14:paraId="49C71252">
      <w:pPr>
        <w:spacing w:line="48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13.计量单位</w:t>
      </w:r>
    </w:p>
    <w:p w14:paraId="31A021D2">
      <w:pPr>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磋商文件已有明确规定的，使用磋商文件规定的计量单位；磋商文件没有规定的，应采用中华人民共和国法定计量单位，货币种类为人民币，否则视同未响应。</w:t>
      </w:r>
    </w:p>
    <w:p w14:paraId="144E6A25">
      <w:pPr>
        <w:spacing w:line="48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14.竞标的风险</w:t>
      </w:r>
    </w:p>
    <w:p w14:paraId="292A1060">
      <w:pPr>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供应商没有按照磋商文件要求提供全部资料，或者供应商没有对磋商文件在各方面作出实质性响应可能导致其响应无效，是供应商应当考虑的风险。</w:t>
      </w:r>
    </w:p>
    <w:p w14:paraId="4D2FE1AF">
      <w:pPr>
        <w:spacing w:line="48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15.响应报价要求和构成</w:t>
      </w:r>
    </w:p>
    <w:p w14:paraId="375D5F3F">
      <w:pPr>
        <w:tabs>
          <w:tab w:val="left" w:pos="2492"/>
        </w:tabs>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15.1响应报价应按“第五章 响应文件格式”中“响应报价表”格式填写。</w:t>
      </w:r>
    </w:p>
    <w:p w14:paraId="7AD8E950">
      <w:pPr>
        <w:tabs>
          <w:tab w:val="left" w:pos="2492"/>
        </w:tabs>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15.2响应报价的价格构成见“供应商须知前附表”。</w:t>
      </w:r>
    </w:p>
    <w:p w14:paraId="5002E068">
      <w:pPr>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15.3响应报价要求</w:t>
      </w:r>
    </w:p>
    <w:p w14:paraId="3743636D">
      <w:pPr>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15.3.1供应商的响应报价应符合以下要求，否则响应文件按无效响应处理：</w:t>
      </w:r>
    </w:p>
    <w:p w14:paraId="3EA4F38C">
      <w:pPr>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（1）供应商必须就“采购需求”中所竞标的每个分标的全部内容分别作完整唯一总价报价，不得存在漏项报价；</w:t>
      </w:r>
    </w:p>
    <w:p w14:paraId="63DFE3D3">
      <w:pPr>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（2）供应商必须就所竞标的分标的单项内容作唯一报价。</w:t>
      </w:r>
    </w:p>
    <w:p w14:paraId="5C564841">
      <w:pPr>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15.3.2响应报价（包含首次报价、最后报价）超过所竞标分标规定的采购预算金额或者最高限价的，其响应文件将作无效处理。</w:t>
      </w:r>
    </w:p>
    <w:p w14:paraId="3BCBD01A">
      <w:pPr>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15.3.3</w:t>
      </w:r>
      <w:bookmarkStart w:id="53" w:name="_Hlk42592874"/>
      <w:r>
        <w:rPr>
          <w:rFonts w:hint="eastAsia" w:ascii="宋体" w:hAnsi="宋体" w:eastAsia="宋体" w:cs="宋体"/>
          <w:color w:val="auto"/>
          <w:sz w:val="24"/>
          <w:szCs w:val="24"/>
          <w:highlight w:val="none"/>
        </w:rPr>
        <w:t>响应报价（包含首次报价、最后报价）超过分项采购预算金额或者最高限价的，其响应文件将作无效处理。</w:t>
      </w:r>
    </w:p>
    <w:p w14:paraId="1FB5686F">
      <w:pPr>
        <w:spacing w:line="480" w:lineRule="exact"/>
        <w:ind w:firstLine="420"/>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15.3.4本项目采用多次报价方式，作最终报价时采购人将书面告知各供应商，供应商的最终报价如有变动，则必须以完整的工</w:t>
      </w:r>
      <w:r>
        <w:rPr>
          <w:rFonts w:hint="eastAsia" w:ascii="宋体" w:hAnsi="宋体" w:eastAsia="宋体" w:cs="宋体"/>
          <w:b/>
          <w:color w:val="auto"/>
          <w:sz w:val="24"/>
          <w:szCs w:val="24"/>
          <w:highlight w:val="none"/>
          <w:lang w:val="en-US" w:eastAsia="zh-CN"/>
        </w:rPr>
        <w:t>程量清单</w:t>
      </w:r>
      <w:r>
        <w:rPr>
          <w:rFonts w:hint="eastAsia" w:ascii="宋体" w:hAnsi="宋体" w:eastAsia="宋体" w:cs="宋体"/>
          <w:b/>
          <w:color w:val="auto"/>
          <w:sz w:val="24"/>
          <w:szCs w:val="24"/>
          <w:highlight w:val="none"/>
        </w:rPr>
        <w:t>报价表的格式（按磋商文件中的相关规定签字盖章）编制提交，供应商须提前做好相关准备并按时递交最终报价文件，否则按响应无效处理。</w:t>
      </w:r>
    </w:p>
    <w:bookmarkEnd w:id="53"/>
    <w:p w14:paraId="63172A7B">
      <w:pPr>
        <w:spacing w:line="48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16.竞标有效期</w:t>
      </w:r>
    </w:p>
    <w:p w14:paraId="74F4744E">
      <w:pPr>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16.1竞标有效期是指为保证采购人有足够的时间在提交响应文件后完成评审、确定成交供应商、合同签订等工作而要求供应商提交的响应文件在一定时间内保持有效的期限。</w:t>
      </w:r>
    </w:p>
    <w:p w14:paraId="24C839F9">
      <w:pPr>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16.2 竞标有效期应由供应商按“供应商须知前附表”规定的期限作出响应。</w:t>
      </w:r>
    </w:p>
    <w:p w14:paraId="2519A87C">
      <w:pPr>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16.3供应商的响应文件在竞标有效期内均保持有效。</w:t>
      </w:r>
    </w:p>
    <w:p w14:paraId="646AB8A4">
      <w:pPr>
        <w:spacing w:line="48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17.磋商保证金</w:t>
      </w:r>
    </w:p>
    <w:p w14:paraId="060FDB9B">
      <w:pPr>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详见“供应商须知前附表”。</w:t>
      </w:r>
    </w:p>
    <w:p w14:paraId="464B0D29">
      <w:pPr>
        <w:spacing w:line="48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18.响应文件编制的要求</w:t>
      </w:r>
    </w:p>
    <w:p w14:paraId="2255BC66">
      <w:pPr>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18.1各供应商在编制响应文件时请按照磋商文件“第五章 响应文件格式”规定的格式进行，混乱的编排导致响应文件被误读或磋商小组查找不到有效文件是供应商的风险。不完整、编排混乱导致响应文件被误读、漏读或者查找不到相关内容的，由此引发的后果由供应商承担。</w:t>
      </w:r>
    </w:p>
    <w:p w14:paraId="661E82F3">
      <w:pPr>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18.2响应文件应按资格证明、报价分别编制，商务技术文件合并编制，本磋商只接受电子版响应文件，要求见本章“12.2响应文件电子版要求”。</w:t>
      </w:r>
    </w:p>
    <w:p w14:paraId="338B62A6">
      <w:pPr>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w:t>
      </w:r>
      <w:bookmarkStart w:id="54" w:name="_Hlk65832699"/>
      <w:r>
        <w:rPr>
          <w:rFonts w:hint="eastAsia" w:ascii="宋体" w:hAnsi="宋体" w:eastAsia="宋体" w:cs="宋体"/>
          <w:color w:val="auto"/>
          <w:sz w:val="24"/>
          <w:szCs w:val="24"/>
          <w:highlight w:val="none"/>
        </w:rPr>
        <w:t>3响应文件须由供应商在</w:t>
      </w:r>
      <w:r>
        <w:rPr>
          <w:rFonts w:hint="eastAsia" w:ascii="宋体" w:hAnsi="宋体" w:eastAsia="宋体" w:cs="宋体"/>
          <w:color w:val="auto"/>
          <w:kern w:val="0"/>
          <w:sz w:val="24"/>
          <w:szCs w:val="24"/>
          <w:highlight w:val="none"/>
          <w:lang w:val="zh-CN"/>
        </w:rPr>
        <w:t>“</w:t>
      </w:r>
      <w:r>
        <w:rPr>
          <w:rFonts w:hint="eastAsia" w:ascii="宋体" w:hAnsi="宋体" w:eastAsia="宋体" w:cs="宋体"/>
          <w:color w:val="auto"/>
          <w:sz w:val="24"/>
          <w:szCs w:val="24"/>
          <w:highlight w:val="none"/>
        </w:rPr>
        <w:t>第五章 响应文件格式</w:t>
      </w:r>
      <w:r>
        <w:rPr>
          <w:rFonts w:hint="eastAsia" w:ascii="宋体" w:hAnsi="宋体" w:eastAsia="宋体" w:cs="宋体"/>
          <w:color w:val="auto"/>
          <w:kern w:val="0"/>
          <w:sz w:val="24"/>
          <w:szCs w:val="24"/>
          <w:highlight w:val="none"/>
          <w:lang w:val="zh-CN"/>
        </w:rPr>
        <w:t>”</w:t>
      </w:r>
      <w:r>
        <w:rPr>
          <w:rFonts w:hint="eastAsia" w:ascii="宋体" w:hAnsi="宋体" w:eastAsia="宋体" w:cs="宋体"/>
          <w:color w:val="auto"/>
          <w:sz w:val="24"/>
          <w:szCs w:val="24"/>
          <w:highlight w:val="none"/>
        </w:rPr>
        <w:t>规定位置进行签署、盖章</w:t>
      </w:r>
      <w:bookmarkEnd w:id="54"/>
      <w:r>
        <w:rPr>
          <w:rFonts w:hint="eastAsia" w:ascii="宋体" w:hAnsi="宋体" w:eastAsia="宋体" w:cs="宋体"/>
          <w:color w:val="auto"/>
          <w:sz w:val="24"/>
          <w:szCs w:val="24"/>
          <w:highlight w:val="none"/>
        </w:rPr>
        <w:t>，否则其响应文件按无效响应处理。骑缝盖公章不视为在规定位置盖章。</w:t>
      </w:r>
    </w:p>
    <w:p w14:paraId="410E2077">
      <w:pPr>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18.4响应文件中标注的供应商名称应与营业执照（事业单位法人证书、执业许可证、自然人身份证）及电子公章一致，否则其响应文件按无效响应处理。</w:t>
      </w:r>
    </w:p>
    <w:p w14:paraId="77D96C48">
      <w:pPr>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18.5响应文件应避免涂改、行间插字或者删除，否则其响应文件按无效响应处理。</w:t>
      </w:r>
    </w:p>
    <w:p w14:paraId="4E7BC33E">
      <w:pPr>
        <w:spacing w:line="48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19.响应文件的密封和标记</w:t>
      </w:r>
    </w:p>
    <w:p w14:paraId="3CD97CDA">
      <w:pPr>
        <w:spacing w:line="480" w:lineRule="exact"/>
        <w:ind w:firstLine="480" w:firstLineChars="200"/>
        <w:rPr>
          <w:rFonts w:hint="eastAsia" w:ascii="宋体" w:hAnsi="宋体" w:eastAsia="宋体" w:cs="宋体"/>
          <w:color w:val="auto"/>
          <w:kern w:val="0"/>
          <w:sz w:val="24"/>
          <w:szCs w:val="24"/>
          <w:highlight w:val="none"/>
          <w:lang w:val="zh-CN"/>
        </w:rPr>
      </w:pPr>
      <w:r>
        <w:rPr>
          <w:rFonts w:hint="eastAsia" w:ascii="宋体" w:hAnsi="宋体" w:eastAsia="宋体" w:cs="宋体"/>
          <w:color w:val="auto"/>
          <w:kern w:val="0"/>
          <w:sz w:val="24"/>
          <w:szCs w:val="24"/>
          <w:highlight w:val="none"/>
          <w:lang w:val="zh-CN"/>
        </w:rPr>
        <w:t>19.1供应商进行电子交易应安装客户端软件—“广西政府采购云平台电子交易客户端”，并按照磋商文件和电子交易平台的要求编制并加密响应文件。供应商未按规定加密的响应文件，电子交易平台将拒收并提示。</w:t>
      </w:r>
    </w:p>
    <w:p w14:paraId="2C3891B4">
      <w:pPr>
        <w:spacing w:line="480" w:lineRule="exact"/>
        <w:ind w:firstLine="480" w:firstLineChars="200"/>
        <w:rPr>
          <w:rFonts w:hint="eastAsia" w:ascii="宋体" w:hAnsi="宋体" w:eastAsia="宋体" w:cs="宋体"/>
          <w:color w:val="auto"/>
          <w:kern w:val="0"/>
          <w:sz w:val="24"/>
          <w:szCs w:val="24"/>
          <w:highlight w:val="none"/>
          <w:lang w:val="zh-CN"/>
        </w:rPr>
      </w:pPr>
      <w:r>
        <w:rPr>
          <w:rFonts w:hint="eastAsia" w:ascii="宋体" w:hAnsi="宋体" w:eastAsia="宋体" w:cs="宋体"/>
          <w:color w:val="auto"/>
          <w:kern w:val="0"/>
          <w:sz w:val="24"/>
          <w:szCs w:val="24"/>
          <w:highlight w:val="none"/>
          <w:lang w:val="zh-CN"/>
        </w:rPr>
        <w:t>19.2使用“广西政府采购云平台电子交易客户端”需要提前申领CA数字证书，申领流程见该项目采购公告附件。</w:t>
      </w:r>
    </w:p>
    <w:p w14:paraId="4BD372B1">
      <w:pPr>
        <w:spacing w:line="480" w:lineRule="exact"/>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19.3为确保网上操作合法、有效和安全，供应商应当在响应文件提交截止时间前完成在“政府采购云平台”的身份认证，确保在电子交易过程中能够对相关数据电文进行加密和使用电子签名。</w:t>
      </w:r>
    </w:p>
    <w:p w14:paraId="333BCB5C">
      <w:pPr>
        <w:spacing w:line="48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20.响应文件的提交</w:t>
      </w:r>
    </w:p>
    <w:p w14:paraId="4E98471D">
      <w:pPr>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20.1供应商必须在“供应商须知前附表”规定的时间和地点提交响应文件。</w:t>
      </w:r>
    </w:p>
    <w:p w14:paraId="26DFA9EB">
      <w:pPr>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20.2 在响应文件提交截止时间以后，不能补充、修改响应文件。</w:t>
      </w:r>
    </w:p>
    <w:p w14:paraId="304ED7CE">
      <w:pPr>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20.3 在提交“最后报价”后，供应商不能退出谈判。</w:t>
      </w:r>
    </w:p>
    <w:p w14:paraId="28417AE2">
      <w:pPr>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20.4 电子交易平台收到响应文件，将妥善保存并即时向供应商发出确认回执通知。在响应文件提交截止时间前，除供应商补充、修改或者撤回响应文件外，任何单位和个人不得解密或提取响应文件。</w:t>
      </w:r>
    </w:p>
    <w:p w14:paraId="03FEFDCB">
      <w:pPr>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20.5 采购机构不可视情况延长提交响应文件的截止时间。</w:t>
      </w:r>
    </w:p>
    <w:p w14:paraId="10B09C16">
      <w:pPr>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20.6备份响应文件。详见在“供应商须知前附表”。</w:t>
      </w:r>
    </w:p>
    <w:p w14:paraId="72CEA448">
      <w:pPr>
        <w:spacing w:line="48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21.首次响应文件的补充、修改与撤回</w:t>
      </w:r>
    </w:p>
    <w:p w14:paraId="6FDB5DAC">
      <w:pPr>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详见“供应商须知前附表”。</w:t>
      </w:r>
    </w:p>
    <w:p w14:paraId="50646FF9">
      <w:pPr>
        <w:spacing w:line="480" w:lineRule="exact"/>
        <w:ind w:firstLine="482" w:firstLineChars="200"/>
        <w:rPr>
          <w:rFonts w:hint="eastAsia" w:ascii="宋体" w:hAnsi="宋体" w:eastAsia="宋体" w:cs="宋体"/>
          <w:b/>
          <w:color w:val="auto"/>
          <w:sz w:val="24"/>
          <w:szCs w:val="24"/>
          <w:highlight w:val="none"/>
        </w:rPr>
      </w:pPr>
      <w:bookmarkStart w:id="55" w:name="_Hlk45702405"/>
      <w:r>
        <w:rPr>
          <w:rFonts w:hint="eastAsia" w:ascii="宋体" w:hAnsi="宋体" w:eastAsia="宋体" w:cs="宋体"/>
          <w:b/>
          <w:color w:val="auto"/>
          <w:sz w:val="24"/>
          <w:szCs w:val="24"/>
          <w:highlight w:val="none"/>
        </w:rPr>
        <w:t>22. 首次响应文件的退回</w:t>
      </w:r>
    </w:p>
    <w:p w14:paraId="4242ADCD">
      <w:pPr>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在首次响应文件提交截止时间止提交响应文件的供应商不足3家时电子响应文件由代理机构在“广西政府采购云平台”平台操作退回，除此之外采购人和采购代理机构对已提交的电子响应文件概不退回。</w:t>
      </w:r>
    </w:p>
    <w:p w14:paraId="3930AF00">
      <w:pPr>
        <w:spacing w:line="48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23. 截止时间后的撤回</w:t>
      </w:r>
    </w:p>
    <w:p w14:paraId="01285BFA">
      <w:pPr>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本项目不收取磋商保证金，供应商在首次响应文件提交截止时间后可向采购人、采购代理机构书面申请撤回电子响应文件。</w:t>
      </w:r>
      <w:bookmarkEnd w:id="55"/>
    </w:p>
    <w:p w14:paraId="59F3AA3F">
      <w:pPr>
        <w:keepNext/>
        <w:keepLines/>
        <w:spacing w:line="480" w:lineRule="exact"/>
        <w:outlineLvl w:val="2"/>
        <w:rPr>
          <w:rFonts w:hint="default" w:ascii="宋体" w:hAnsi="宋体" w:eastAsia="宋体" w:cs="宋体"/>
          <w:b/>
          <w:color w:val="auto"/>
          <w:sz w:val="28"/>
          <w:szCs w:val="28"/>
          <w:highlight w:val="none"/>
        </w:rPr>
      </w:pPr>
      <w:bookmarkStart w:id="56" w:name="_Toc106263702"/>
      <w:bookmarkStart w:id="57" w:name="_Toc14519"/>
      <w:r>
        <w:rPr>
          <w:rFonts w:hint="default" w:ascii="宋体" w:hAnsi="宋体" w:eastAsia="宋体" w:cs="宋体"/>
          <w:b/>
          <w:color w:val="auto"/>
          <w:sz w:val="28"/>
          <w:szCs w:val="28"/>
          <w:highlight w:val="none"/>
        </w:rPr>
        <w:t>四、评审及磋商</w:t>
      </w:r>
      <w:bookmarkEnd w:id="56"/>
      <w:bookmarkEnd w:id="57"/>
    </w:p>
    <w:p w14:paraId="21906F13">
      <w:pPr>
        <w:spacing w:line="480" w:lineRule="exact"/>
        <w:ind w:firstLine="482" w:firstLineChars="200"/>
        <w:rPr>
          <w:rFonts w:hint="default" w:ascii="宋体" w:hAnsi="宋体" w:eastAsia="宋体" w:cs="宋体"/>
          <w:b/>
          <w:color w:val="auto"/>
          <w:sz w:val="24"/>
          <w:szCs w:val="24"/>
          <w:highlight w:val="none"/>
        </w:rPr>
      </w:pPr>
      <w:bookmarkStart w:id="58" w:name="_Toc26857"/>
      <w:r>
        <w:rPr>
          <w:rFonts w:hint="default" w:ascii="宋体" w:hAnsi="宋体" w:eastAsia="宋体" w:cs="宋体"/>
          <w:b/>
          <w:color w:val="auto"/>
          <w:sz w:val="24"/>
          <w:szCs w:val="24"/>
          <w:highlight w:val="none"/>
        </w:rPr>
        <w:t>24.磋商小组成立</w:t>
      </w:r>
      <w:bookmarkEnd w:id="58"/>
    </w:p>
    <w:p w14:paraId="171F682F">
      <w:pPr>
        <w:spacing w:line="480" w:lineRule="exact"/>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24.1磋商小组由采购人代表和评审专家共3人以上单数组成，其中评审专家人数不得少于磋商小组成员总数的2/3。采购人代表不得以评审专家身份参加本部门或者本单位采购项目的评审。采购代理机构人员不得参加本机构代理的采购项目的评审。达到公开招标数额标准的货物或者服务采购项目，或者达到公开招标规模标准的政府采购工程，经批准采用竞争性磋商方式采购的，磋商小组由5人以上单数组成。</w:t>
      </w:r>
    </w:p>
    <w:p w14:paraId="685D7345">
      <w:pPr>
        <w:spacing w:line="480" w:lineRule="exact"/>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24.2评审专家应当从政府采购评审专家库内相关专业的专家名单中随机抽取。市场竞争不充分的科研项目，以及需要扶持的科技成果转化项目，以及情况特殊、通过随机方式难以确定合适的评审专家的项目，经主管预算单位同意，可以自行选定评审专家。技术复杂、专业性强的采购项目，评审专家中应当包含1名法律专家。</w:t>
      </w:r>
    </w:p>
    <w:p w14:paraId="71678CAE">
      <w:pPr>
        <w:spacing w:line="480" w:lineRule="exact"/>
        <w:ind w:firstLine="482" w:firstLineChars="200"/>
        <w:rPr>
          <w:rFonts w:hint="default" w:ascii="宋体" w:hAnsi="宋体" w:eastAsia="宋体" w:cs="宋体"/>
          <w:b/>
          <w:color w:val="auto"/>
          <w:sz w:val="24"/>
          <w:szCs w:val="24"/>
          <w:highlight w:val="none"/>
        </w:rPr>
      </w:pPr>
      <w:r>
        <w:rPr>
          <w:rFonts w:hint="default" w:ascii="宋体" w:hAnsi="宋体" w:eastAsia="宋体" w:cs="宋体"/>
          <w:b/>
          <w:color w:val="auto"/>
          <w:sz w:val="24"/>
          <w:szCs w:val="24"/>
          <w:highlight w:val="none"/>
        </w:rPr>
        <w:t>25.首次响应文件的开启</w:t>
      </w:r>
    </w:p>
    <w:p w14:paraId="0D68ECD5">
      <w:pPr>
        <w:spacing w:line="480" w:lineRule="exact"/>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25.1首次响应文件由磋商小组或者采购代理机构在“供应商须知前附表”规定的时间开启。</w:t>
      </w:r>
    </w:p>
    <w:p w14:paraId="413B65D4">
      <w:pPr>
        <w:spacing w:line="480" w:lineRule="exact"/>
        <w:ind w:firstLine="480" w:firstLineChars="200"/>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25.2 响应文件解密</w:t>
      </w:r>
    </w:p>
    <w:p w14:paraId="3246F1D9">
      <w:pPr>
        <w:snapToGrid w:val="0"/>
        <w:spacing w:line="480" w:lineRule="exact"/>
        <w:ind w:firstLine="480" w:firstLineChars="200"/>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采购代理机构将在“供应商须知前附表”规定的时间通过电子交易平台组织响应文件开启，采购机构依托电子交易平台发起开始解密指令，供应商的法定代表人或其委托代理人</w:t>
      </w:r>
      <w:r>
        <w:rPr>
          <w:rFonts w:hint="default" w:ascii="宋体" w:hAnsi="宋体" w:eastAsia="宋体" w:cs="宋体"/>
          <w:b/>
          <w:color w:val="auto"/>
          <w:kern w:val="0"/>
          <w:sz w:val="24"/>
          <w:szCs w:val="24"/>
          <w:highlight w:val="none"/>
        </w:rPr>
        <w:t>须携带加密时所用的CA锁按平台提示和采购文件的规定登录到“广西政府采购云平台”平台电子开标大厅签到并在发起解密指令之时起30分钟内完成对电子响应文件在线解密</w:t>
      </w:r>
      <w:r>
        <w:rPr>
          <w:rFonts w:hint="default" w:ascii="宋体" w:hAnsi="宋体" w:eastAsia="宋体" w:cs="宋体"/>
          <w:color w:val="auto"/>
          <w:kern w:val="0"/>
          <w:sz w:val="24"/>
          <w:szCs w:val="24"/>
          <w:highlight w:val="none"/>
        </w:rPr>
        <w:t>。发起解密指令之时起5分钟内供应商还未进行解密的，代理机构要通知供应商，供应商没预留联系方式或预留联系方式无效，导致代理机构无法联系到供应商进行解密的，</w:t>
      </w:r>
      <w:r>
        <w:rPr>
          <w:rFonts w:hint="default" w:ascii="宋体" w:hAnsi="宋体" w:eastAsia="宋体" w:cs="宋体"/>
          <w:b/>
          <w:color w:val="auto"/>
          <w:kern w:val="0"/>
          <w:sz w:val="24"/>
          <w:szCs w:val="24"/>
          <w:highlight w:val="none"/>
        </w:rPr>
        <w:t>视为响应文件无效。</w:t>
      </w:r>
      <w:r>
        <w:rPr>
          <w:rFonts w:hint="default" w:ascii="宋体" w:hAnsi="宋体" w:eastAsia="宋体" w:cs="宋体"/>
          <w:color w:val="auto"/>
          <w:kern w:val="0"/>
          <w:sz w:val="24"/>
          <w:szCs w:val="24"/>
          <w:highlight w:val="none"/>
        </w:rPr>
        <w:t>（解密异常情况处理：详见本章26.3 电子交易活动的中止。）</w:t>
      </w:r>
    </w:p>
    <w:p w14:paraId="3768695A">
      <w:pPr>
        <w:spacing w:line="480" w:lineRule="exact"/>
        <w:ind w:firstLine="480" w:firstLineChars="200"/>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如供应商成功解密响应文件，但未在“广西政府采购云平台”电子开标大厅参加谈判的，视同认可谈判过程和结果，由此产生的后果由供应商自行负责。 参与谈判的供应商不足3家的，不得谈判。</w:t>
      </w:r>
    </w:p>
    <w:p w14:paraId="007E3F87">
      <w:pPr>
        <w:spacing w:line="480" w:lineRule="exact"/>
        <w:ind w:firstLine="482" w:firstLineChars="200"/>
        <w:rPr>
          <w:rFonts w:hint="default" w:ascii="宋体" w:hAnsi="宋体" w:eastAsia="宋体" w:cs="宋体"/>
          <w:b/>
          <w:color w:val="auto"/>
          <w:sz w:val="24"/>
          <w:szCs w:val="24"/>
          <w:highlight w:val="none"/>
        </w:rPr>
      </w:pPr>
      <w:r>
        <w:rPr>
          <w:rFonts w:hint="default" w:ascii="宋体" w:hAnsi="宋体" w:eastAsia="宋体" w:cs="宋体"/>
          <w:b/>
          <w:color w:val="auto"/>
          <w:sz w:val="24"/>
          <w:szCs w:val="24"/>
          <w:highlight w:val="none"/>
        </w:rPr>
        <w:t>26.评审程序、评审方法和评审标准</w:t>
      </w:r>
    </w:p>
    <w:p w14:paraId="48B7ECA3">
      <w:pPr>
        <w:spacing w:line="480" w:lineRule="exact"/>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26.1磋商小组按照“第四章 评审程序、评审方法和评审标准”规定的方法、评审因素、标准和程序对响应文件进行评审。</w:t>
      </w:r>
    </w:p>
    <w:p w14:paraId="14B567C6">
      <w:pPr>
        <w:spacing w:line="480" w:lineRule="exact"/>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26.2 采购需求负偏离要求及磋商顺序详见 “ 供应商须知前附表”。</w:t>
      </w:r>
    </w:p>
    <w:p w14:paraId="7E2A6016">
      <w:pPr>
        <w:spacing w:line="480" w:lineRule="exact"/>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26.3电子交易活动的中止。采购过程中出现以下情形，导致电子交易平台无法正常运行，或者无法保证电子交易的公平、公正和安全时，采购机构可中止电子交易活动：</w:t>
      </w:r>
    </w:p>
    <w:p w14:paraId="11194866">
      <w:pPr>
        <w:spacing w:line="480" w:lineRule="exact"/>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 xml:space="preserve">（1）电子交易平台发生故障而无法登录访问的； </w:t>
      </w:r>
    </w:p>
    <w:p w14:paraId="4C81663F">
      <w:pPr>
        <w:spacing w:line="480" w:lineRule="exact"/>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（2）电子交易平台应用或数据库出现错误，不能进行正常操作的；</w:t>
      </w:r>
    </w:p>
    <w:p w14:paraId="4A2EDA9D">
      <w:pPr>
        <w:spacing w:line="480" w:lineRule="exact"/>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（3）电子交易平台发现严重安全漏洞，有潜在泄密危险的；</w:t>
      </w:r>
    </w:p>
    <w:p w14:paraId="054A3E8F">
      <w:pPr>
        <w:spacing w:line="480" w:lineRule="exact"/>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 xml:space="preserve">（4）病毒发作导致不能进行正常操作的； </w:t>
      </w:r>
    </w:p>
    <w:p w14:paraId="5E611871">
      <w:pPr>
        <w:spacing w:line="480" w:lineRule="exact"/>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（4）其他无法保证电子交易的公平、公正和安全的情况。</w:t>
      </w:r>
    </w:p>
    <w:p w14:paraId="545EAB8B">
      <w:pPr>
        <w:spacing w:line="480" w:lineRule="exact"/>
        <w:ind w:firstLine="480" w:firstLineChars="200"/>
        <w:rPr>
          <w:rFonts w:hint="default" w:ascii="宋体" w:hAnsi="宋体" w:eastAsia="宋体" w:cs="宋体"/>
          <w:color w:val="auto"/>
          <w:sz w:val="21"/>
          <w:szCs w:val="21"/>
          <w:highlight w:val="none"/>
        </w:rPr>
      </w:pPr>
      <w:r>
        <w:rPr>
          <w:rFonts w:hint="default" w:ascii="宋体" w:hAnsi="宋体" w:eastAsia="宋体" w:cs="宋体"/>
          <w:color w:val="auto"/>
          <w:sz w:val="24"/>
          <w:szCs w:val="24"/>
          <w:highlight w:val="none"/>
        </w:rPr>
        <w:t>26.4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w:t>
      </w:r>
    </w:p>
    <w:p w14:paraId="6B19B7EF">
      <w:pPr>
        <w:keepNext/>
        <w:keepLines/>
        <w:spacing w:line="480" w:lineRule="exact"/>
        <w:outlineLvl w:val="2"/>
        <w:rPr>
          <w:rFonts w:hint="default" w:ascii="宋体" w:hAnsi="宋体" w:eastAsia="宋体" w:cs="宋体"/>
          <w:b/>
          <w:color w:val="auto"/>
          <w:sz w:val="28"/>
          <w:szCs w:val="28"/>
          <w:highlight w:val="none"/>
        </w:rPr>
      </w:pPr>
      <w:bookmarkStart w:id="59" w:name="_Toc106263703"/>
      <w:bookmarkStart w:id="60" w:name="_Toc7246"/>
      <w:r>
        <w:rPr>
          <w:rFonts w:hint="default" w:ascii="宋体" w:hAnsi="宋体" w:eastAsia="宋体" w:cs="宋体"/>
          <w:b/>
          <w:color w:val="auto"/>
          <w:sz w:val="28"/>
          <w:szCs w:val="28"/>
          <w:highlight w:val="none"/>
        </w:rPr>
        <w:t>五、成交及合同</w:t>
      </w:r>
      <w:bookmarkEnd w:id="59"/>
      <w:bookmarkEnd w:id="60"/>
    </w:p>
    <w:p w14:paraId="786EF1C7">
      <w:pPr>
        <w:spacing w:line="480" w:lineRule="exact"/>
        <w:ind w:firstLine="482" w:firstLineChars="200"/>
        <w:rPr>
          <w:rFonts w:hint="default" w:ascii="宋体" w:hAnsi="宋体" w:eastAsia="宋体" w:cs="宋体"/>
          <w:b/>
          <w:color w:val="auto"/>
          <w:sz w:val="24"/>
          <w:szCs w:val="24"/>
          <w:highlight w:val="none"/>
        </w:rPr>
      </w:pPr>
      <w:r>
        <w:rPr>
          <w:rFonts w:hint="default" w:ascii="宋体" w:hAnsi="宋体" w:eastAsia="宋体" w:cs="宋体"/>
          <w:b/>
          <w:color w:val="auto"/>
          <w:sz w:val="24"/>
          <w:szCs w:val="24"/>
          <w:highlight w:val="none"/>
        </w:rPr>
        <w:t>27.确定成交供应商及结果公告</w:t>
      </w:r>
    </w:p>
    <w:p w14:paraId="267232B9">
      <w:pPr>
        <w:spacing w:line="480" w:lineRule="exact"/>
        <w:ind w:firstLine="480" w:firstLineChars="200"/>
        <w:rPr>
          <w:rFonts w:hint="eastAsia" w:ascii="宋体" w:hAnsi="宋体" w:eastAsia="宋体" w:cs="宋体"/>
          <w:color w:val="auto"/>
          <w:kern w:val="0"/>
          <w:sz w:val="24"/>
          <w:szCs w:val="24"/>
          <w:u w:val="single"/>
        </w:rPr>
      </w:pPr>
      <w:r>
        <w:rPr>
          <w:rFonts w:hint="default" w:ascii="宋体" w:hAnsi="宋体" w:eastAsia="宋体" w:cs="宋体"/>
          <w:color w:val="auto"/>
          <w:sz w:val="24"/>
          <w:szCs w:val="24"/>
          <w:highlight w:val="none"/>
        </w:rPr>
        <w:t>27.1确定成交供应商。</w:t>
      </w:r>
      <w:r>
        <w:rPr>
          <w:rFonts w:hint="default"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u w:val="single"/>
        </w:rPr>
        <w:t>采购代理机构应当在评审结束后2个工作日内将评审报告送采购人确认。采购人应当在收到评审报告后2个工作日内，从评审报告提出的成交候选供应商中，按照排序由高到低的原则确定成交供应商，也可以书面授权</w:t>
      </w:r>
      <w:r>
        <w:rPr>
          <w:rFonts w:hint="eastAsia" w:ascii="宋体" w:hAnsi="宋体" w:eastAsia="宋体" w:cs="宋体"/>
          <w:color w:val="auto"/>
          <w:kern w:val="0"/>
          <w:sz w:val="24"/>
          <w:szCs w:val="24"/>
          <w:u w:val="single"/>
          <w:lang w:val="en-US" w:eastAsia="zh-CN"/>
        </w:rPr>
        <w:t>磋商</w:t>
      </w:r>
      <w:r>
        <w:rPr>
          <w:rFonts w:hint="eastAsia" w:ascii="宋体" w:hAnsi="宋体" w:eastAsia="宋体" w:cs="宋体"/>
          <w:color w:val="auto"/>
          <w:kern w:val="0"/>
          <w:sz w:val="24"/>
          <w:szCs w:val="24"/>
          <w:u w:val="single"/>
        </w:rPr>
        <w:t>小组直接确定成交供应商。</w:t>
      </w:r>
    </w:p>
    <w:p w14:paraId="0E88D365">
      <w:pPr>
        <w:spacing w:line="480" w:lineRule="exact"/>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27.2成交通知及成交结果公告。</w:t>
      </w:r>
      <w:r>
        <w:rPr>
          <w:rFonts w:hint="default" w:ascii="宋体" w:hAnsi="宋体" w:eastAsia="宋体" w:cs="宋体"/>
          <w:color w:val="auto"/>
          <w:kern w:val="0"/>
          <w:sz w:val="24"/>
          <w:szCs w:val="24"/>
          <w:highlight w:val="none"/>
        </w:rPr>
        <w:t>成交</w:t>
      </w:r>
      <w:r>
        <w:rPr>
          <w:rFonts w:hint="default" w:ascii="宋体" w:hAnsi="宋体" w:eastAsia="宋体" w:cs="宋体"/>
          <w:color w:val="auto"/>
          <w:sz w:val="24"/>
          <w:szCs w:val="24"/>
          <w:highlight w:val="none"/>
        </w:rPr>
        <w:t>供应商确定后2个工作日内，在省级以上财政部门指定的媒体上公</w:t>
      </w:r>
      <w:r>
        <w:rPr>
          <w:rFonts w:hint="default" w:ascii="宋体" w:hAnsi="宋体" w:eastAsia="宋体" w:cs="宋体"/>
          <w:color w:val="auto"/>
          <w:kern w:val="0"/>
          <w:sz w:val="24"/>
          <w:szCs w:val="24"/>
          <w:highlight w:val="none"/>
        </w:rPr>
        <w:t>告成交结果（成交通知及成交结果公告应使用南宁市模板进行公告，公告内容除包含《政府采购公告和公示信息格式规范（2020年版）》要求内容外，还应包含采购人专门面向中小企业预留份额情况及成交供应商评审价格、优惠率等内容），</w:t>
      </w:r>
      <w:r>
        <w:rPr>
          <w:rFonts w:hint="default" w:ascii="宋体" w:hAnsi="宋体" w:eastAsia="宋体" w:cs="宋体"/>
          <w:color w:val="auto"/>
          <w:sz w:val="24"/>
          <w:szCs w:val="24"/>
          <w:highlight w:val="none"/>
        </w:rPr>
        <w:t>同时向成交供应商发出成交通知书，成交通知书规定签订合同的时间不得超过25日。</w:t>
      </w:r>
    </w:p>
    <w:p w14:paraId="0C75DF8D">
      <w:pPr>
        <w:spacing w:line="480" w:lineRule="exact"/>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27.3采购人或者采购代理机构发出成交通知书前，应当对成交供应商信用进行查询核实，对列入失信被执行人、</w:t>
      </w:r>
      <w:r>
        <w:rPr>
          <w:rFonts w:hint="eastAsia" w:ascii="宋体" w:hAnsi="宋体" w:eastAsia="宋体" w:cs="宋体"/>
          <w:color w:val="auto"/>
          <w:sz w:val="24"/>
          <w:szCs w:val="24"/>
          <w:highlight w:val="none"/>
          <w:lang w:eastAsia="zh-CN"/>
        </w:rPr>
        <w:t>重大税收违法失信主体</w:t>
      </w:r>
      <w:r>
        <w:rPr>
          <w:rFonts w:hint="default" w:ascii="宋体" w:hAnsi="宋体" w:eastAsia="宋体" w:cs="宋体"/>
          <w:color w:val="auto"/>
          <w:sz w:val="24"/>
          <w:szCs w:val="24"/>
          <w:highlight w:val="none"/>
        </w:rPr>
        <w:t>、政府采购严重违法失信行为记录名单及其他不符合《中华人民共和国政府采购法》第二十二条规定条件的供应商，取消其成交资格，并确定排名第二的成交候选人为成交供应商。排名第二的成交候选人因上述规定的同样原因被取消成交资格的，采购人可以确定排名第三的成交候选人为成交供应商，以此类推。以上信息查询记录及相关证据与竞磋文件一并保存。成交供应商享受《政府采购促进中小企业发展管理办法》（财库〔2020〕46号）规定的中小企业扶持政策的，采购人、采购代理机构应当随成交结果公开成交供应商的《中小企业声明函》。</w:t>
      </w:r>
    </w:p>
    <w:p w14:paraId="5BE82054">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80" w:lineRule="exact"/>
        <w:ind w:left="0" w:right="0" w:firstLine="482" w:firstLineChars="200"/>
        <w:textAlignment w:val="auto"/>
        <w:rPr>
          <w:rFonts w:hint="default"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27.4在发出成交通知书前，代理机构将通过全国四库一平台入口（https://jzsc.mohurd.gov.cn）对成交供应商的企业信息（含企业资质资格、注册人员、工程项目、业绩技术指标、不良行为、良好行为、黑名单记录、失信联合惩戒记录、变更记录）及拟投入人员社保情况进行查询，并将查询信息提供给采购人，且成交供应商不得有以下情形，否则采购人有权取消成交资格。</w:t>
      </w:r>
    </w:p>
    <w:p w14:paraId="2BD3D41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（1）被人民法院宣告破产或进入清算程序；</w:t>
      </w:r>
    </w:p>
    <w:p w14:paraId="156B294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（2）因重大违法、违约行为被依法责令停业整顿或吊销相关证照；</w:t>
      </w:r>
    </w:p>
    <w:p w14:paraId="1F494F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（3）提供虚假材料骗取中标（成交）或严重违约或工程质量安全问题，正处于停业整顿或暂停投标期间的。</w:t>
      </w:r>
      <w:r>
        <w:rPr>
          <w:rFonts w:hint="eastAsia" w:ascii="宋体" w:hAnsi="宋体" w:eastAsia="宋体" w:cs="宋体"/>
          <w:color w:val="auto"/>
          <w:sz w:val="24"/>
          <w:szCs w:val="24"/>
          <w:highlight w:val="none"/>
          <w:lang w:val="en-US" w:eastAsia="zh-CN"/>
        </w:rPr>
        <w:t xml:space="preserve">                     </w:t>
      </w:r>
      <w:r>
        <w:rPr>
          <w:rFonts w:hint="eastAsia" w:ascii="Calibri" w:hAnsi="Calibri" w:cs="Times New Roman"/>
          <w:color w:val="auto"/>
          <w:highlight w:val="none"/>
          <w:u w:val="none"/>
          <w:lang w:val="en-US" w:eastAsia="zh-CN"/>
        </w:rPr>
        <w:t xml:space="preserve">  </w:t>
      </w:r>
    </w:p>
    <w:p w14:paraId="33D2BABB">
      <w:pPr>
        <w:spacing w:line="480" w:lineRule="exact"/>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27.</w:t>
      </w:r>
      <w:r>
        <w:rPr>
          <w:rFonts w:hint="eastAsia" w:ascii="宋体" w:hAnsi="宋体" w:eastAsia="宋体" w:cs="宋体"/>
          <w:color w:val="auto"/>
          <w:sz w:val="24"/>
          <w:szCs w:val="24"/>
          <w:highlight w:val="none"/>
          <w:lang w:val="en-US" w:eastAsia="zh-CN"/>
        </w:rPr>
        <w:t>5</w:t>
      </w:r>
      <w:r>
        <w:rPr>
          <w:rFonts w:hint="default" w:ascii="宋体" w:hAnsi="宋体" w:eastAsia="宋体" w:cs="宋体"/>
          <w:color w:val="auto"/>
          <w:sz w:val="24"/>
          <w:szCs w:val="24"/>
          <w:highlight w:val="none"/>
        </w:rPr>
        <w:t>采购人、采购代理机构认为供应商对采购过程、成交结果提出的质疑成立且影响或者可能影响成交结果的，合格供应商符合法定数量时，可以从合格的成交候选人中另行确定成交供应商的，应当依法另行确定成交供应商；否则应当重新开展采购活动。</w:t>
      </w:r>
    </w:p>
    <w:p w14:paraId="38005186">
      <w:pPr>
        <w:spacing w:line="480" w:lineRule="exact"/>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27.</w:t>
      </w:r>
      <w:r>
        <w:rPr>
          <w:rFonts w:hint="eastAsia" w:ascii="宋体" w:hAnsi="宋体" w:eastAsia="宋体" w:cs="宋体"/>
          <w:color w:val="auto"/>
          <w:sz w:val="24"/>
          <w:szCs w:val="24"/>
          <w:highlight w:val="none"/>
          <w:lang w:val="en-US" w:eastAsia="zh-CN"/>
        </w:rPr>
        <w:t>6</w:t>
      </w:r>
      <w:r>
        <w:rPr>
          <w:rFonts w:hint="default" w:ascii="宋体" w:hAnsi="宋体" w:eastAsia="宋体" w:cs="宋体"/>
          <w:color w:val="auto"/>
          <w:sz w:val="24"/>
          <w:szCs w:val="24"/>
          <w:highlight w:val="none"/>
        </w:rPr>
        <w:t>排名第一的成交候选人放弃成交、因不可抗力提出不能履行合同，采购人可以确定排名第二的成交候选人为成交供应商。排名第二的成交候选人因前款规定的同样原因不能签订合同的，采购人可以确定排名第三的成交候选人为成交供应商。</w:t>
      </w:r>
    </w:p>
    <w:p w14:paraId="0C597AF9">
      <w:pPr>
        <w:spacing w:line="480" w:lineRule="exact"/>
        <w:ind w:firstLine="482" w:firstLineChars="200"/>
        <w:rPr>
          <w:rFonts w:hint="default" w:ascii="宋体" w:hAnsi="宋体" w:eastAsia="宋体" w:cs="宋体"/>
          <w:b/>
          <w:color w:val="auto"/>
          <w:sz w:val="24"/>
          <w:szCs w:val="24"/>
          <w:highlight w:val="none"/>
        </w:rPr>
      </w:pPr>
      <w:r>
        <w:rPr>
          <w:rFonts w:hint="default" w:ascii="宋体" w:hAnsi="宋体" w:eastAsia="宋体" w:cs="宋体"/>
          <w:b/>
          <w:color w:val="auto"/>
          <w:sz w:val="24"/>
          <w:szCs w:val="24"/>
          <w:highlight w:val="none"/>
        </w:rPr>
        <w:t>28.履约保证金</w:t>
      </w:r>
    </w:p>
    <w:p w14:paraId="5B583C5E">
      <w:pPr>
        <w:spacing w:line="480" w:lineRule="exact"/>
        <w:ind w:firstLine="480" w:firstLineChars="200"/>
        <w:rPr>
          <w:rFonts w:hint="default" w:ascii="宋体" w:hAnsi="宋体" w:eastAsia="宋体" w:cs="宋体"/>
          <w:b/>
          <w:color w:val="auto"/>
          <w:sz w:val="24"/>
          <w:szCs w:val="24"/>
          <w:highlight w:val="none"/>
        </w:rPr>
      </w:pPr>
      <w:r>
        <w:rPr>
          <w:rFonts w:hint="default" w:ascii="宋体" w:hAnsi="宋体" w:eastAsia="宋体" w:cs="宋体"/>
          <w:color w:val="auto"/>
          <w:sz w:val="24"/>
          <w:szCs w:val="24"/>
          <w:highlight w:val="none"/>
        </w:rPr>
        <w:t>详见 “供应商须知前附表”</w:t>
      </w:r>
    </w:p>
    <w:p w14:paraId="73E3A1D4">
      <w:pPr>
        <w:spacing w:line="480" w:lineRule="exact"/>
        <w:ind w:firstLine="482" w:firstLineChars="200"/>
        <w:rPr>
          <w:rFonts w:hint="default" w:ascii="宋体" w:hAnsi="宋体" w:eastAsia="宋体" w:cs="宋体"/>
          <w:b/>
          <w:color w:val="auto"/>
          <w:sz w:val="24"/>
          <w:szCs w:val="24"/>
          <w:highlight w:val="none"/>
        </w:rPr>
      </w:pPr>
      <w:r>
        <w:rPr>
          <w:rFonts w:hint="default" w:ascii="宋体" w:hAnsi="宋体" w:eastAsia="宋体" w:cs="宋体"/>
          <w:b/>
          <w:color w:val="auto"/>
          <w:sz w:val="24"/>
          <w:szCs w:val="24"/>
          <w:highlight w:val="none"/>
        </w:rPr>
        <w:t>29.签订合同</w:t>
      </w:r>
    </w:p>
    <w:p w14:paraId="6EEEB040">
      <w:pPr>
        <w:adjustRightInd w:val="0"/>
        <w:snapToGrid w:val="0"/>
        <w:spacing w:line="480" w:lineRule="exact"/>
        <w:ind w:firstLine="480" w:firstLineChars="200"/>
        <w:rPr>
          <w:rFonts w:hint="default" w:ascii="宋体" w:hAnsi="宋体" w:eastAsia="宋体" w:cs="宋体"/>
          <w:color w:val="auto"/>
          <w:kern w:val="0"/>
          <w:sz w:val="24"/>
          <w:szCs w:val="24"/>
          <w:highlight w:val="none"/>
          <w:lang w:val="zh-CN"/>
        </w:rPr>
      </w:pPr>
      <w:r>
        <w:rPr>
          <w:rFonts w:hint="default" w:ascii="宋体" w:hAnsi="宋体" w:eastAsia="宋体" w:cs="宋体"/>
          <w:color w:val="auto"/>
          <w:kern w:val="0"/>
          <w:sz w:val="24"/>
          <w:szCs w:val="24"/>
          <w:highlight w:val="none"/>
        </w:rPr>
        <w:t>29.1采购人与成交供应商应当在成交通知书规定的时间内，按照磋商文件确定的合同文本以及采购标的、服务技术、采购金额、采购数量、技术和服务要求等事项签订政府采购合同。</w:t>
      </w:r>
      <w:r>
        <w:rPr>
          <w:rFonts w:hint="default" w:ascii="宋体" w:hAnsi="宋体" w:eastAsia="宋体" w:cs="宋体"/>
          <w:color w:val="auto"/>
          <w:kern w:val="0"/>
          <w:sz w:val="24"/>
          <w:szCs w:val="24"/>
          <w:highlight w:val="none"/>
          <w:lang w:val="zh-CN"/>
        </w:rPr>
        <w:t>如成交供应商为联合体的，由联合体成员各方法定代表人或其授权代表与采购人代表签订合同。</w:t>
      </w:r>
    </w:p>
    <w:p w14:paraId="401F9BEC">
      <w:pPr>
        <w:spacing w:line="480" w:lineRule="exact"/>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29.2采购人不得向成交供应商提出超出磋商文件以外的根本性要求作为签订合同的条件，不得与成交供应商订立背离磋商文件确定的合同文本以及采购标的、服务技术、采购金额、采购数量、技术和服务要求等实质性内容的协议。</w:t>
      </w:r>
    </w:p>
    <w:p w14:paraId="1B0901CB">
      <w:pPr>
        <w:pageBreakBefore w:val="0"/>
        <w:widowControl w:val="0"/>
        <w:kinsoku/>
        <w:wordWrap/>
        <w:overflowPunct/>
        <w:topLinePunct w:val="0"/>
        <w:autoSpaceDE/>
        <w:autoSpaceDN/>
        <w:bidi w:val="0"/>
        <w:snapToGrid/>
        <w:spacing w:line="460" w:lineRule="exact"/>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29.3成交供应商拒绝签订政府采购合同的，采购人可以按照评审报告推荐的成交候选人名单排序，确定下一候选人为成交供应商，也可以重新开展采购活动。拒绝签订政府采购合同的成交供应商不得参加对该项目重新开展的采购活动。</w:t>
      </w:r>
    </w:p>
    <w:p w14:paraId="38AD8DFF">
      <w:pPr>
        <w:pageBreakBefore w:val="0"/>
        <w:widowControl w:val="0"/>
        <w:kinsoku/>
        <w:wordWrap/>
        <w:overflowPunct/>
        <w:topLinePunct w:val="0"/>
        <w:autoSpaceDE/>
        <w:autoSpaceDN/>
        <w:bidi w:val="0"/>
        <w:snapToGrid/>
        <w:spacing w:line="460" w:lineRule="exact"/>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29.4如签订合同并生效后，供应商无故拒绝或延期，除按照合同条款处理外，列入不良行为记录，并给予通报。</w:t>
      </w:r>
    </w:p>
    <w:p w14:paraId="2F5B4592">
      <w:pPr>
        <w:pageBreakBefore w:val="0"/>
        <w:widowControl w:val="0"/>
        <w:kinsoku/>
        <w:wordWrap/>
        <w:overflowPunct/>
        <w:topLinePunct w:val="0"/>
        <w:autoSpaceDE/>
        <w:autoSpaceDN/>
        <w:bidi w:val="0"/>
        <w:adjustRightInd w:val="0"/>
        <w:snapToGrid/>
        <w:spacing w:line="460" w:lineRule="exact"/>
        <w:ind w:firstLine="480" w:firstLineChars="200"/>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29.5采购合同由采购人与成交供应商根据磋商文件、响应文件等内容通过政府采购电子交易平台在线签订，自动备案，在线签订须携带的材料见“ 供应商须知前附表”。</w:t>
      </w:r>
    </w:p>
    <w:p w14:paraId="5D3F39B5">
      <w:pPr>
        <w:pageBreakBefore w:val="0"/>
        <w:widowControl w:val="0"/>
        <w:kinsoku/>
        <w:wordWrap/>
        <w:overflowPunct/>
        <w:topLinePunct w:val="0"/>
        <w:autoSpaceDE/>
        <w:autoSpaceDN/>
        <w:bidi w:val="0"/>
        <w:snapToGrid/>
        <w:spacing w:line="460" w:lineRule="exact"/>
        <w:ind w:firstLine="482" w:firstLineChars="200"/>
        <w:rPr>
          <w:rFonts w:hint="default" w:ascii="宋体" w:hAnsi="宋体" w:eastAsia="宋体" w:cs="宋体"/>
          <w:b/>
          <w:color w:val="auto"/>
          <w:sz w:val="24"/>
          <w:szCs w:val="24"/>
          <w:highlight w:val="none"/>
        </w:rPr>
      </w:pPr>
      <w:r>
        <w:rPr>
          <w:rFonts w:hint="default" w:ascii="宋体" w:hAnsi="宋体" w:eastAsia="宋体" w:cs="宋体"/>
          <w:b/>
          <w:color w:val="auto"/>
          <w:sz w:val="24"/>
          <w:szCs w:val="24"/>
          <w:highlight w:val="none"/>
        </w:rPr>
        <w:t>30.政府采购合同公告</w:t>
      </w:r>
    </w:p>
    <w:p w14:paraId="6DF2C511">
      <w:pPr>
        <w:pageBreakBefore w:val="0"/>
        <w:widowControl w:val="0"/>
        <w:kinsoku/>
        <w:wordWrap/>
        <w:overflowPunct/>
        <w:topLinePunct w:val="0"/>
        <w:autoSpaceDE/>
        <w:autoSpaceDN/>
        <w:bidi w:val="0"/>
        <w:snapToGrid/>
        <w:spacing w:line="460" w:lineRule="exact"/>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采购人或者受托采购代理机构应当自政府采购合同签订之日起2个工作日内，将政府采购合同在以下媒体上发布</w:t>
      </w:r>
      <w:r>
        <w:rPr>
          <w:rFonts w:hint="default" w:ascii="宋体" w:hAnsi="宋体" w:eastAsia="宋体" w:cs="宋体"/>
          <w:color w:val="auto"/>
          <w:kern w:val="0"/>
          <w:sz w:val="24"/>
          <w:szCs w:val="24"/>
          <w:highlight w:val="none"/>
        </w:rPr>
        <w:t xml:space="preserve"> “广西政府采购网”（http://zfcg.gxzf.gov.cn）</w:t>
      </w:r>
      <w:r>
        <w:rPr>
          <w:rFonts w:hint="default" w:ascii="宋体" w:hAnsi="宋体" w:eastAsia="宋体" w:cs="宋体"/>
          <w:color w:val="auto"/>
          <w:sz w:val="24"/>
          <w:szCs w:val="24"/>
          <w:highlight w:val="none"/>
        </w:rPr>
        <w:t>上公告，但政府采购合同中涉及国家秘密、商业秘密的内容除外。</w:t>
      </w:r>
    </w:p>
    <w:p w14:paraId="17310944">
      <w:pPr>
        <w:pageBreakBefore w:val="0"/>
        <w:widowControl w:val="0"/>
        <w:kinsoku/>
        <w:wordWrap/>
        <w:overflowPunct/>
        <w:topLinePunct w:val="0"/>
        <w:autoSpaceDE/>
        <w:autoSpaceDN/>
        <w:bidi w:val="0"/>
        <w:snapToGrid/>
        <w:spacing w:line="460" w:lineRule="exact"/>
        <w:ind w:firstLine="482" w:firstLineChars="200"/>
        <w:rPr>
          <w:rFonts w:hint="default" w:ascii="宋体" w:hAnsi="宋体" w:eastAsia="宋体" w:cs="宋体"/>
          <w:b/>
          <w:color w:val="auto"/>
          <w:sz w:val="24"/>
          <w:szCs w:val="24"/>
          <w:highlight w:val="none"/>
        </w:rPr>
      </w:pPr>
      <w:r>
        <w:rPr>
          <w:rFonts w:hint="default" w:ascii="宋体" w:hAnsi="宋体" w:eastAsia="宋体" w:cs="宋体"/>
          <w:b/>
          <w:color w:val="auto"/>
          <w:sz w:val="24"/>
          <w:szCs w:val="24"/>
          <w:highlight w:val="none"/>
        </w:rPr>
        <w:t>31. 询问、质疑和投诉</w:t>
      </w:r>
    </w:p>
    <w:p w14:paraId="12FAF623">
      <w:pPr>
        <w:pageBreakBefore w:val="0"/>
        <w:widowControl w:val="0"/>
        <w:kinsoku/>
        <w:wordWrap/>
        <w:overflowPunct/>
        <w:topLinePunct w:val="0"/>
        <w:autoSpaceDE/>
        <w:autoSpaceDN/>
        <w:bidi w:val="0"/>
        <w:snapToGrid/>
        <w:spacing w:line="460" w:lineRule="exact"/>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31.1供应商对政府采购活动事项有疑问的，可以向采购人、采购代理机构提出询问，采购人或者采购代理机构应当在3个工作日内对供应商依法提出的询问作出答复。</w:t>
      </w:r>
    </w:p>
    <w:p w14:paraId="117BE86E">
      <w:pPr>
        <w:pageBreakBefore w:val="0"/>
        <w:widowControl w:val="0"/>
        <w:kinsoku/>
        <w:wordWrap/>
        <w:overflowPunct/>
        <w:topLinePunct w:val="0"/>
        <w:autoSpaceDE/>
        <w:autoSpaceDN/>
        <w:bidi w:val="0"/>
        <w:snapToGrid/>
        <w:spacing w:line="460" w:lineRule="exact"/>
        <w:ind w:firstLine="480" w:firstLineChars="200"/>
        <w:rPr>
          <w:rFonts w:hint="default" w:ascii="宋体" w:hAnsi="宋体" w:eastAsia="宋体" w:cs="宋体"/>
          <w:b/>
          <w:color w:val="auto"/>
          <w:sz w:val="24"/>
          <w:szCs w:val="24"/>
          <w:highlight w:val="none"/>
        </w:rPr>
      </w:pPr>
      <w:r>
        <w:rPr>
          <w:rFonts w:hint="default" w:ascii="宋体" w:hAnsi="宋体" w:eastAsia="宋体" w:cs="宋体"/>
          <w:color w:val="auto"/>
          <w:sz w:val="24"/>
          <w:szCs w:val="24"/>
          <w:highlight w:val="none"/>
        </w:rPr>
        <w:t>31.2供应商认为磋商文件、采购过程或者成交结果使自己的合法权益受到损害的，应当在知道或者应知其权益受到损害之日起7个工作日内，以书面形式向采购人、采购代理机构提出质疑，</w:t>
      </w:r>
      <w:r>
        <w:rPr>
          <w:rFonts w:hint="default" w:ascii="宋体" w:hAnsi="宋体" w:eastAsia="宋体" w:cs="宋体"/>
          <w:color w:val="auto"/>
          <w:sz w:val="24"/>
          <w:szCs w:val="24"/>
          <w:highlight w:val="none"/>
          <w:shd w:val="clear" w:color="auto" w:fill="FFFFFF"/>
        </w:rPr>
        <w:t>接收质疑函的方式、联系部门、联系电话和通讯地址等信息详见</w:t>
      </w:r>
      <w:r>
        <w:rPr>
          <w:rFonts w:hint="default" w:ascii="宋体" w:hAnsi="宋体" w:eastAsia="宋体" w:cs="宋体"/>
          <w:color w:val="auto"/>
          <w:sz w:val="24"/>
          <w:szCs w:val="24"/>
          <w:highlight w:val="none"/>
        </w:rPr>
        <w:t>“供应商须知前附表”。</w:t>
      </w:r>
      <w:r>
        <w:rPr>
          <w:rFonts w:hint="default" w:ascii="宋体" w:hAnsi="宋体" w:eastAsia="宋体" w:cs="宋体"/>
          <w:b/>
          <w:color w:val="auto"/>
          <w:sz w:val="24"/>
          <w:szCs w:val="24"/>
          <w:highlight w:val="none"/>
        </w:rPr>
        <w:t xml:space="preserve">具体质疑起算时间及处理方式如下： </w:t>
      </w:r>
    </w:p>
    <w:p w14:paraId="58B4A36E">
      <w:pPr>
        <w:pageBreakBefore w:val="0"/>
        <w:widowControl w:val="0"/>
        <w:kinsoku/>
        <w:wordWrap/>
        <w:overflowPunct/>
        <w:topLinePunct w:val="0"/>
        <w:autoSpaceDE/>
        <w:autoSpaceDN/>
        <w:bidi w:val="0"/>
        <w:snapToGrid/>
        <w:spacing w:line="460" w:lineRule="exact"/>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1）潜在供应商依法获取采购文件后，认为采购文件使自己的权益受到损害的，应当在竞争性磋商采购文件公告期限届满之日起7个工作日内书面提出质疑。委托代理协议无特殊约定的，对竞争性磋商文件中采购需求（含资格要求、采购预算和评分办法）的质疑由采购人受理并负责答复；对竞争性磋商文件中的采购执行程序的质疑由采购代理机构受理并负责答复。</w:t>
      </w:r>
    </w:p>
    <w:p w14:paraId="0BE63A31">
      <w:pPr>
        <w:pageBreakBefore w:val="0"/>
        <w:widowControl w:val="0"/>
        <w:kinsoku/>
        <w:wordWrap/>
        <w:overflowPunct/>
        <w:topLinePunct w:val="0"/>
        <w:autoSpaceDE/>
        <w:autoSpaceDN/>
        <w:bidi w:val="0"/>
        <w:snapToGrid/>
        <w:spacing w:line="460" w:lineRule="exact"/>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2）供应商认为采购过程使自己的权益受到损害的，应当在各采购程序环节结束之日起7个工作日内书面提出质疑。对采购过程中资格审查、符合性审查等具体评审情况的质疑应向采购人或代理机构提出，由采购人或代理机构受理并负责答复；对采购过程中采购执行程序的质疑由采购代理机构受理并负责答复。</w:t>
      </w:r>
    </w:p>
    <w:p w14:paraId="796310BD">
      <w:pPr>
        <w:pageBreakBefore w:val="0"/>
        <w:widowControl w:val="0"/>
        <w:kinsoku/>
        <w:wordWrap/>
        <w:overflowPunct/>
        <w:topLinePunct w:val="0"/>
        <w:autoSpaceDE/>
        <w:autoSpaceDN/>
        <w:bidi w:val="0"/>
        <w:snapToGrid/>
        <w:spacing w:line="460" w:lineRule="exact"/>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（3）供应商认为成交结果使自己的权益受到损害的，应当在成交结果公告期限届满之日起7个工作日内书面提出质疑，由采购人受理并负责答复。</w:t>
      </w:r>
    </w:p>
    <w:p w14:paraId="55E62C87">
      <w:pPr>
        <w:pageBreakBefore w:val="0"/>
        <w:widowControl w:val="0"/>
        <w:kinsoku/>
        <w:wordWrap/>
        <w:overflowPunct/>
        <w:topLinePunct w:val="0"/>
        <w:autoSpaceDE/>
        <w:autoSpaceDN/>
        <w:bidi w:val="0"/>
        <w:snapToGrid/>
        <w:spacing w:line="460" w:lineRule="exact"/>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31.3供应商提出的询问或者质疑超出采购人对采购代理机构委托授权范围的，采购代理机构应当告知供应商向采购人提出。政府采购评审专家应当配合采购人或者采购代理机构答复供应商的询问和质疑。</w:t>
      </w:r>
    </w:p>
    <w:p w14:paraId="0651BC99">
      <w:pPr>
        <w:pageBreakBefore w:val="0"/>
        <w:widowControl w:val="0"/>
        <w:kinsoku/>
        <w:wordWrap/>
        <w:overflowPunct/>
        <w:topLinePunct w:val="0"/>
        <w:autoSpaceDE/>
        <w:autoSpaceDN/>
        <w:bidi w:val="0"/>
        <w:snapToGrid/>
        <w:spacing w:line="460" w:lineRule="exact"/>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31.4 供应商提出质疑应当提交质疑函和必要的证明材料，针对同一采购程序环节的质疑必须在法定质疑期内一次性提出。质疑函应当包括下列内容（质疑函格式后附）：</w:t>
      </w:r>
    </w:p>
    <w:p w14:paraId="63FE0027">
      <w:pPr>
        <w:pageBreakBefore w:val="0"/>
        <w:widowControl w:val="0"/>
        <w:kinsoku/>
        <w:wordWrap/>
        <w:overflowPunct/>
        <w:topLinePunct w:val="0"/>
        <w:autoSpaceDE/>
        <w:autoSpaceDN/>
        <w:bidi w:val="0"/>
        <w:snapToGrid/>
        <w:spacing w:line="460" w:lineRule="exact"/>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（1）供应商的姓名或者名称、地址、邮编、联系人及联系电话；</w:t>
      </w:r>
    </w:p>
    <w:p w14:paraId="2161F2BD">
      <w:pPr>
        <w:pageBreakBefore w:val="0"/>
        <w:widowControl w:val="0"/>
        <w:kinsoku/>
        <w:wordWrap/>
        <w:overflowPunct/>
        <w:topLinePunct w:val="0"/>
        <w:autoSpaceDE/>
        <w:autoSpaceDN/>
        <w:bidi w:val="0"/>
        <w:snapToGrid/>
        <w:spacing w:line="460" w:lineRule="exact"/>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（2）质疑项目的名称、编号；</w:t>
      </w:r>
    </w:p>
    <w:p w14:paraId="7FA2D801">
      <w:pPr>
        <w:pageBreakBefore w:val="0"/>
        <w:widowControl w:val="0"/>
        <w:kinsoku/>
        <w:wordWrap/>
        <w:overflowPunct/>
        <w:topLinePunct w:val="0"/>
        <w:autoSpaceDE/>
        <w:autoSpaceDN/>
        <w:bidi w:val="0"/>
        <w:snapToGrid/>
        <w:spacing w:line="460" w:lineRule="exact"/>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（3）具体、明确的质疑事项和与质疑事项相关的请求；</w:t>
      </w:r>
    </w:p>
    <w:p w14:paraId="44757DFD">
      <w:pPr>
        <w:pageBreakBefore w:val="0"/>
        <w:widowControl w:val="0"/>
        <w:kinsoku/>
        <w:wordWrap/>
        <w:overflowPunct/>
        <w:topLinePunct w:val="0"/>
        <w:autoSpaceDE/>
        <w:autoSpaceDN/>
        <w:bidi w:val="0"/>
        <w:snapToGrid/>
        <w:spacing w:line="460" w:lineRule="exact"/>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（4）事实依据；</w:t>
      </w:r>
    </w:p>
    <w:p w14:paraId="05F9C3A6">
      <w:pPr>
        <w:pageBreakBefore w:val="0"/>
        <w:widowControl w:val="0"/>
        <w:kinsoku/>
        <w:wordWrap/>
        <w:overflowPunct/>
        <w:topLinePunct w:val="0"/>
        <w:autoSpaceDE/>
        <w:autoSpaceDN/>
        <w:bidi w:val="0"/>
        <w:snapToGrid/>
        <w:spacing w:line="460" w:lineRule="exact"/>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（5）必要的法律依据；</w:t>
      </w:r>
    </w:p>
    <w:p w14:paraId="4A1DBDE8">
      <w:pPr>
        <w:pageBreakBefore w:val="0"/>
        <w:widowControl w:val="0"/>
        <w:kinsoku/>
        <w:wordWrap/>
        <w:overflowPunct/>
        <w:topLinePunct w:val="0"/>
        <w:autoSpaceDE/>
        <w:autoSpaceDN/>
        <w:bidi w:val="0"/>
        <w:snapToGrid/>
        <w:spacing w:line="460" w:lineRule="exact"/>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（6）提出质疑的日期。</w:t>
      </w:r>
    </w:p>
    <w:p w14:paraId="23385CF3">
      <w:pPr>
        <w:pageBreakBefore w:val="0"/>
        <w:widowControl w:val="0"/>
        <w:kinsoku/>
        <w:wordWrap/>
        <w:overflowPunct/>
        <w:topLinePunct w:val="0"/>
        <w:autoSpaceDE/>
        <w:autoSpaceDN/>
        <w:bidi w:val="0"/>
        <w:snapToGrid/>
        <w:spacing w:line="460" w:lineRule="exact"/>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供应商为自然人的，应当由本人签字；供应商为法人或者其他组织的，应当由法定代表人、主要负责人，或者其委托代理人签字或者盖章，并加盖公章。</w:t>
      </w:r>
    </w:p>
    <w:p w14:paraId="09FF7A35">
      <w:pPr>
        <w:pageBreakBefore w:val="0"/>
        <w:widowControl w:val="0"/>
        <w:kinsoku/>
        <w:wordWrap/>
        <w:overflowPunct/>
        <w:topLinePunct w:val="0"/>
        <w:autoSpaceDE/>
        <w:autoSpaceDN/>
        <w:bidi w:val="0"/>
        <w:snapToGrid/>
        <w:spacing w:line="460" w:lineRule="exact"/>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31.5采购人、采购代理机构认为供应商质疑不成立，或者成立但未对成交结果构成影响的，继续开展采购活动；认为供应商质疑成立且影响或者可能影响成交结果的，按照下列情况处理：</w:t>
      </w:r>
    </w:p>
    <w:p w14:paraId="7E15E0E4">
      <w:pPr>
        <w:pageBreakBefore w:val="0"/>
        <w:widowControl w:val="0"/>
        <w:kinsoku/>
        <w:wordWrap/>
        <w:overflowPunct/>
        <w:topLinePunct w:val="0"/>
        <w:autoSpaceDE/>
        <w:autoSpaceDN/>
        <w:bidi w:val="0"/>
        <w:snapToGrid/>
        <w:spacing w:line="460" w:lineRule="exact"/>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（一）对采购文件提出的质疑，依法通过澄清或者修改可以继续开展采购活动的，澄清或者修改采购文件后继续开展采购活动；否则应当修改采购文件后重新开展采购活动。</w:t>
      </w:r>
    </w:p>
    <w:p w14:paraId="58B21C9E">
      <w:pPr>
        <w:pageBreakBefore w:val="0"/>
        <w:widowControl w:val="0"/>
        <w:kinsoku/>
        <w:wordWrap/>
        <w:overflowPunct/>
        <w:topLinePunct w:val="0"/>
        <w:autoSpaceDE/>
        <w:autoSpaceDN/>
        <w:bidi w:val="0"/>
        <w:snapToGrid/>
        <w:spacing w:line="460" w:lineRule="exact"/>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（二）对采购过程或者成交结果提出的质疑，合格供应商符合法定数量时，可以从合格的成交候选人中另行确定成交供应商的，应当依法另行确定成交供应商；否则应当重新开展采购活动。</w:t>
      </w:r>
    </w:p>
    <w:p w14:paraId="2C8D1BA0">
      <w:pPr>
        <w:pageBreakBefore w:val="0"/>
        <w:widowControl w:val="0"/>
        <w:kinsoku/>
        <w:wordWrap/>
        <w:overflowPunct/>
        <w:topLinePunct w:val="0"/>
        <w:autoSpaceDE/>
        <w:autoSpaceDN/>
        <w:bidi w:val="0"/>
        <w:snapToGrid/>
        <w:spacing w:line="460" w:lineRule="exact"/>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质疑答复导致成交结果改变的，采购人或者采购代理机构应当将有关情况书面报告本级财政部门。</w:t>
      </w:r>
    </w:p>
    <w:p w14:paraId="55E95878">
      <w:pPr>
        <w:pageBreakBefore w:val="0"/>
        <w:widowControl w:val="0"/>
        <w:kinsoku/>
        <w:wordWrap/>
        <w:overflowPunct/>
        <w:topLinePunct w:val="0"/>
        <w:autoSpaceDE/>
        <w:autoSpaceDN/>
        <w:bidi w:val="0"/>
        <w:snapToGrid/>
        <w:spacing w:line="460" w:lineRule="exact"/>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31.6投诉的权利。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受理投诉方式见“供应商须知前附表”。</w:t>
      </w:r>
      <w:bookmarkStart w:id="61" w:name="_Toc80205930"/>
    </w:p>
    <w:p w14:paraId="5308291F">
      <w:pPr>
        <w:keepNext/>
        <w:keepLines/>
        <w:pageBreakBefore w:val="0"/>
        <w:widowControl w:val="0"/>
        <w:kinsoku/>
        <w:wordWrap/>
        <w:overflowPunct/>
        <w:topLinePunct w:val="0"/>
        <w:autoSpaceDE/>
        <w:autoSpaceDN/>
        <w:bidi w:val="0"/>
        <w:snapToGrid/>
        <w:spacing w:line="460" w:lineRule="exact"/>
        <w:outlineLvl w:val="2"/>
        <w:rPr>
          <w:rFonts w:hint="default" w:ascii="宋体" w:hAnsi="宋体" w:eastAsia="宋体" w:cs="宋体"/>
          <w:b/>
          <w:color w:val="auto"/>
          <w:sz w:val="28"/>
          <w:szCs w:val="28"/>
          <w:highlight w:val="none"/>
        </w:rPr>
      </w:pPr>
      <w:bookmarkStart w:id="62" w:name="_Toc7073"/>
      <w:bookmarkStart w:id="63" w:name="_Toc106263704"/>
      <w:r>
        <w:rPr>
          <w:rFonts w:hint="default" w:ascii="宋体" w:hAnsi="宋体" w:eastAsia="宋体" w:cs="宋体"/>
          <w:b/>
          <w:color w:val="auto"/>
          <w:sz w:val="28"/>
          <w:szCs w:val="28"/>
          <w:highlight w:val="none"/>
        </w:rPr>
        <w:t>六、验收</w:t>
      </w:r>
      <w:bookmarkEnd w:id="61"/>
      <w:bookmarkEnd w:id="62"/>
      <w:bookmarkEnd w:id="63"/>
    </w:p>
    <w:p w14:paraId="54533132">
      <w:pPr>
        <w:pageBreakBefore w:val="0"/>
        <w:widowControl w:val="0"/>
        <w:tabs>
          <w:tab w:val="left" w:pos="0"/>
        </w:tabs>
        <w:kinsoku/>
        <w:wordWrap/>
        <w:overflowPunct/>
        <w:topLinePunct w:val="0"/>
        <w:autoSpaceDE/>
        <w:autoSpaceDN/>
        <w:bidi w:val="0"/>
        <w:snapToGrid/>
        <w:spacing w:line="460" w:lineRule="exact"/>
        <w:ind w:firstLine="482" w:firstLineChars="200"/>
        <w:rPr>
          <w:rFonts w:hint="default" w:ascii="宋体" w:hAnsi="宋体" w:eastAsia="宋体" w:cs="宋体"/>
          <w:b/>
          <w:color w:val="auto"/>
          <w:sz w:val="24"/>
          <w:szCs w:val="24"/>
          <w:highlight w:val="none"/>
        </w:rPr>
      </w:pPr>
      <w:r>
        <w:rPr>
          <w:rFonts w:hint="default" w:ascii="宋体" w:hAnsi="宋体" w:eastAsia="宋体" w:cs="宋体"/>
          <w:b/>
          <w:color w:val="auto"/>
          <w:sz w:val="24"/>
          <w:szCs w:val="24"/>
          <w:highlight w:val="none"/>
        </w:rPr>
        <w:t>32.验收</w:t>
      </w:r>
    </w:p>
    <w:p w14:paraId="5C10D3DC">
      <w:pPr>
        <w:pageBreakBefore w:val="0"/>
        <w:widowControl w:val="0"/>
        <w:tabs>
          <w:tab w:val="left" w:pos="0"/>
        </w:tabs>
        <w:kinsoku/>
        <w:wordWrap/>
        <w:overflowPunct/>
        <w:topLinePunct w:val="0"/>
        <w:autoSpaceDE/>
        <w:autoSpaceDN/>
        <w:bidi w:val="0"/>
        <w:snapToGrid/>
        <w:spacing w:line="460" w:lineRule="exact"/>
        <w:ind w:firstLine="480" w:firstLineChars="200"/>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32.1竣工验收条件</w:t>
      </w:r>
    </w:p>
    <w:p w14:paraId="10253170">
      <w:pPr>
        <w:pageBreakBefore w:val="0"/>
        <w:widowControl w:val="0"/>
        <w:tabs>
          <w:tab w:val="left" w:pos="0"/>
        </w:tabs>
        <w:kinsoku/>
        <w:wordWrap/>
        <w:overflowPunct/>
        <w:topLinePunct w:val="0"/>
        <w:autoSpaceDE/>
        <w:autoSpaceDN/>
        <w:bidi w:val="0"/>
        <w:snapToGrid/>
        <w:spacing w:line="460" w:lineRule="exact"/>
        <w:ind w:firstLine="480" w:firstLineChars="200"/>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工程具备以下条件的，成交供应商可以申请竣工验收:</w:t>
      </w:r>
    </w:p>
    <w:p w14:paraId="117946B1">
      <w:pPr>
        <w:pageBreakBefore w:val="0"/>
        <w:widowControl w:val="0"/>
        <w:tabs>
          <w:tab w:val="left" w:pos="0"/>
        </w:tabs>
        <w:kinsoku/>
        <w:wordWrap/>
        <w:overflowPunct/>
        <w:topLinePunct w:val="0"/>
        <w:autoSpaceDE/>
        <w:autoSpaceDN/>
        <w:bidi w:val="0"/>
        <w:snapToGrid/>
        <w:spacing w:line="460" w:lineRule="exact"/>
        <w:ind w:firstLine="480" w:firstLineChars="200"/>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(1)除采购人同意的甩项工作和缺陷修补工作外，合同范围内的全部工程以及有关工作，包括合同要求的试验、试运行以及检验均已完成，并符合合同要求；</w:t>
      </w:r>
    </w:p>
    <w:p w14:paraId="1EFCE10F">
      <w:pPr>
        <w:pageBreakBefore w:val="0"/>
        <w:widowControl w:val="0"/>
        <w:tabs>
          <w:tab w:val="left" w:pos="0"/>
        </w:tabs>
        <w:kinsoku/>
        <w:wordWrap/>
        <w:overflowPunct/>
        <w:topLinePunct w:val="0"/>
        <w:autoSpaceDE/>
        <w:autoSpaceDN/>
        <w:bidi w:val="0"/>
        <w:snapToGrid/>
        <w:spacing w:line="460" w:lineRule="exact"/>
        <w:ind w:firstLine="480" w:firstLineChars="200"/>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(2)已按合同约定编制了甩项工作和缺陷修补工作清单以及相应的施工计划；</w:t>
      </w:r>
    </w:p>
    <w:p w14:paraId="5E105D3A">
      <w:pPr>
        <w:pageBreakBefore w:val="0"/>
        <w:widowControl w:val="0"/>
        <w:tabs>
          <w:tab w:val="left" w:pos="0"/>
        </w:tabs>
        <w:kinsoku/>
        <w:wordWrap/>
        <w:overflowPunct/>
        <w:topLinePunct w:val="0"/>
        <w:autoSpaceDE/>
        <w:autoSpaceDN/>
        <w:bidi w:val="0"/>
        <w:snapToGrid/>
        <w:spacing w:line="460" w:lineRule="exact"/>
        <w:ind w:firstLine="480" w:firstLineChars="200"/>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(3)已按合同约定的内容和份数备齐竣工资料。</w:t>
      </w:r>
    </w:p>
    <w:p w14:paraId="657E5A0D">
      <w:pPr>
        <w:pageBreakBefore w:val="0"/>
        <w:widowControl w:val="0"/>
        <w:tabs>
          <w:tab w:val="left" w:pos="0"/>
        </w:tabs>
        <w:kinsoku/>
        <w:wordWrap/>
        <w:overflowPunct/>
        <w:topLinePunct w:val="0"/>
        <w:autoSpaceDE/>
        <w:autoSpaceDN/>
        <w:bidi w:val="0"/>
        <w:snapToGrid/>
        <w:spacing w:line="460" w:lineRule="exact"/>
        <w:ind w:firstLine="480" w:firstLineChars="200"/>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32.2竣工验收程序</w:t>
      </w:r>
    </w:p>
    <w:p w14:paraId="641B25BE">
      <w:pPr>
        <w:pageBreakBefore w:val="0"/>
        <w:widowControl w:val="0"/>
        <w:tabs>
          <w:tab w:val="left" w:pos="0"/>
        </w:tabs>
        <w:kinsoku/>
        <w:wordWrap/>
        <w:overflowPunct/>
        <w:topLinePunct w:val="0"/>
        <w:autoSpaceDE/>
        <w:autoSpaceDN/>
        <w:bidi w:val="0"/>
        <w:snapToGrid/>
        <w:spacing w:line="460" w:lineRule="exact"/>
        <w:ind w:firstLine="480" w:firstLineChars="200"/>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除专用合同条款另有约定外，成交供应商申请竣工验收的，应当按照以下程序进行:</w:t>
      </w:r>
    </w:p>
    <w:p w14:paraId="330F18B6">
      <w:pPr>
        <w:pageBreakBefore w:val="0"/>
        <w:widowControl w:val="0"/>
        <w:tabs>
          <w:tab w:val="left" w:pos="0"/>
        </w:tabs>
        <w:kinsoku/>
        <w:wordWrap/>
        <w:overflowPunct/>
        <w:topLinePunct w:val="0"/>
        <w:autoSpaceDE/>
        <w:autoSpaceDN/>
        <w:bidi w:val="0"/>
        <w:snapToGrid/>
        <w:spacing w:line="460" w:lineRule="exact"/>
        <w:ind w:firstLine="480" w:firstLineChars="200"/>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(1)成交供应商向监理人报送竣工验收申请报告，监理人应在收到竣工验收申请报告后14天内完成审查并报送发包人。监理人审查后认为尚不具备验收条件的，应通知承包人在竣工验收前承包人还需完成的工作内容，承包人应在完成监理人通知的全部工作内容后，再次提交竣工验收申请报告。</w:t>
      </w:r>
    </w:p>
    <w:p w14:paraId="1356ABAA">
      <w:pPr>
        <w:pageBreakBefore w:val="0"/>
        <w:widowControl w:val="0"/>
        <w:tabs>
          <w:tab w:val="left" w:pos="0"/>
        </w:tabs>
        <w:kinsoku/>
        <w:wordWrap/>
        <w:overflowPunct/>
        <w:topLinePunct w:val="0"/>
        <w:autoSpaceDE/>
        <w:autoSpaceDN/>
        <w:bidi w:val="0"/>
        <w:snapToGrid/>
        <w:spacing w:line="460" w:lineRule="exact"/>
        <w:ind w:firstLine="480" w:firstLineChars="200"/>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(2)监理人审查后认为已具备竣工验收条件的，应将竣工验收申请报告提交采购人，采购人应在收到经监理人审核的竣工验收申请报告后28天内审批完毕并组织监理人、成交供应商、设计人等相关单位完成竣工验收。</w:t>
      </w:r>
    </w:p>
    <w:p w14:paraId="347F4E8F">
      <w:pPr>
        <w:pageBreakBefore w:val="0"/>
        <w:widowControl w:val="0"/>
        <w:tabs>
          <w:tab w:val="left" w:pos="0"/>
        </w:tabs>
        <w:kinsoku/>
        <w:wordWrap/>
        <w:overflowPunct/>
        <w:topLinePunct w:val="0"/>
        <w:autoSpaceDE/>
        <w:autoSpaceDN/>
        <w:bidi w:val="0"/>
        <w:snapToGrid/>
        <w:spacing w:line="460" w:lineRule="exact"/>
        <w:ind w:firstLine="480" w:firstLineChars="200"/>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(3)竣工验收合格的，采购人应在验收合格后14天内向成交供应商签发工程接收证书。采购人无正当理由逾期不颁发工程接收证书的，自验收合格后第15 天起视为已颁发工程接收证书。</w:t>
      </w:r>
    </w:p>
    <w:p w14:paraId="680ACCFC">
      <w:pPr>
        <w:pageBreakBefore w:val="0"/>
        <w:widowControl w:val="0"/>
        <w:tabs>
          <w:tab w:val="left" w:pos="0"/>
        </w:tabs>
        <w:kinsoku/>
        <w:wordWrap/>
        <w:overflowPunct/>
        <w:topLinePunct w:val="0"/>
        <w:autoSpaceDE/>
        <w:autoSpaceDN/>
        <w:bidi w:val="0"/>
        <w:snapToGrid/>
        <w:spacing w:line="460" w:lineRule="exact"/>
        <w:ind w:firstLine="480" w:firstLineChars="200"/>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(4)竣工验收不合格的，监理人应按照验收意见发出指示，要求承包人对不合格工程返工、修复或采取其他补救措施，由此增加的费用和(或)延误的工期由承包人承担。承包人在完成不合格工程的返工、修复或采取其他补救措施后，应重新提交竣工验收申请报告，并按本项约定的程序重新进行验收。</w:t>
      </w:r>
    </w:p>
    <w:p w14:paraId="3166238A">
      <w:pPr>
        <w:pageBreakBefore w:val="0"/>
        <w:widowControl w:val="0"/>
        <w:tabs>
          <w:tab w:val="left" w:pos="0"/>
        </w:tabs>
        <w:kinsoku/>
        <w:wordWrap/>
        <w:overflowPunct/>
        <w:topLinePunct w:val="0"/>
        <w:autoSpaceDE/>
        <w:autoSpaceDN/>
        <w:bidi w:val="0"/>
        <w:snapToGrid/>
        <w:spacing w:line="460" w:lineRule="exact"/>
        <w:ind w:firstLine="480" w:firstLineChars="200"/>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(5)工程未经验收或验收不合格，发包人擅自使用的，应在转移占有工程后7天内向成交供应商颁发工程接收证书;采购人无正当理由逾期不颁发工程接收证书的，自转移占有后第15天起视为已颁发工程接收证书。</w:t>
      </w:r>
    </w:p>
    <w:p w14:paraId="01697505">
      <w:pPr>
        <w:pageBreakBefore w:val="0"/>
        <w:widowControl w:val="0"/>
        <w:tabs>
          <w:tab w:val="left" w:pos="0"/>
        </w:tabs>
        <w:kinsoku/>
        <w:wordWrap/>
        <w:overflowPunct/>
        <w:topLinePunct w:val="0"/>
        <w:autoSpaceDE/>
        <w:autoSpaceDN/>
        <w:bidi w:val="0"/>
        <w:snapToGrid/>
        <w:spacing w:line="460" w:lineRule="exact"/>
        <w:ind w:firstLine="480" w:firstLineChars="200"/>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32.3竣工日期</w:t>
      </w:r>
    </w:p>
    <w:p w14:paraId="5F4B5540">
      <w:pPr>
        <w:pageBreakBefore w:val="0"/>
        <w:widowControl w:val="0"/>
        <w:tabs>
          <w:tab w:val="left" w:pos="0"/>
        </w:tabs>
        <w:kinsoku/>
        <w:wordWrap/>
        <w:overflowPunct/>
        <w:topLinePunct w:val="0"/>
        <w:autoSpaceDE/>
        <w:autoSpaceDN/>
        <w:bidi w:val="0"/>
        <w:snapToGrid/>
        <w:spacing w:line="460" w:lineRule="exact"/>
        <w:ind w:firstLine="480" w:firstLineChars="200"/>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工程经竣工验收合格的，以成交供应商提交竣工验收申请报告之日为实际竣工日期，并在工程接收证书中载明;因采购人原因，未在监理人收到成交供应商提交的竣工验收申请报告42天内完成竣工验收，或完成竣工验收不予签发工程接收证书的，以提交竣工验收申请报告的日期为实际竣工日期，验收不合格的除外;工程未经竣工验收，采购人擅自使用的，以转移占有工程之日为实际竣工日期。</w:t>
      </w:r>
    </w:p>
    <w:p w14:paraId="2B5E2A55">
      <w:pPr>
        <w:pageBreakBefore w:val="0"/>
        <w:widowControl w:val="0"/>
        <w:tabs>
          <w:tab w:val="left" w:pos="0"/>
        </w:tabs>
        <w:kinsoku/>
        <w:wordWrap/>
        <w:overflowPunct/>
        <w:topLinePunct w:val="0"/>
        <w:autoSpaceDE/>
        <w:autoSpaceDN/>
        <w:bidi w:val="0"/>
        <w:snapToGrid/>
        <w:spacing w:line="460" w:lineRule="exact"/>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kern w:val="0"/>
          <w:sz w:val="24"/>
          <w:szCs w:val="24"/>
          <w:highlight w:val="none"/>
        </w:rPr>
        <w:t>32.4验收合格的项目，实际使用人将根据采购合同的约定及时向供应商支付采购资金。验收不合格的项目，采购人将依法及时处理。采购合同的履行、违约责任和解决争议的方式等适用《中华人民共和国民法典》。供应商在履约过程中有政府采购法律法规规定的违法违规情形的，采购人应当及时报告本级财政部门。</w:t>
      </w:r>
    </w:p>
    <w:p w14:paraId="3171004F">
      <w:pPr>
        <w:keepNext/>
        <w:keepLines/>
        <w:pageBreakBefore w:val="0"/>
        <w:widowControl w:val="0"/>
        <w:kinsoku/>
        <w:wordWrap/>
        <w:overflowPunct/>
        <w:topLinePunct w:val="0"/>
        <w:autoSpaceDE/>
        <w:autoSpaceDN/>
        <w:bidi w:val="0"/>
        <w:snapToGrid/>
        <w:spacing w:line="460" w:lineRule="exact"/>
        <w:outlineLvl w:val="2"/>
        <w:rPr>
          <w:rFonts w:hint="default" w:ascii="宋体" w:hAnsi="宋体" w:eastAsia="宋体" w:cs="宋体"/>
          <w:b/>
          <w:color w:val="auto"/>
          <w:sz w:val="28"/>
          <w:szCs w:val="28"/>
          <w:highlight w:val="none"/>
        </w:rPr>
      </w:pPr>
      <w:bookmarkStart w:id="64" w:name="_Toc24790"/>
      <w:bookmarkStart w:id="65" w:name="_Toc106263705"/>
      <w:r>
        <w:rPr>
          <w:rFonts w:hint="default" w:ascii="宋体" w:hAnsi="宋体" w:eastAsia="宋体" w:cs="宋体"/>
          <w:b/>
          <w:color w:val="auto"/>
          <w:sz w:val="28"/>
          <w:szCs w:val="28"/>
          <w:highlight w:val="none"/>
        </w:rPr>
        <w:t>七、其他事项</w:t>
      </w:r>
      <w:bookmarkEnd w:id="64"/>
      <w:bookmarkEnd w:id="65"/>
    </w:p>
    <w:p w14:paraId="6E8FE7FE">
      <w:pPr>
        <w:pageBreakBefore w:val="0"/>
        <w:widowControl w:val="0"/>
        <w:kinsoku/>
        <w:wordWrap/>
        <w:overflowPunct/>
        <w:topLinePunct w:val="0"/>
        <w:autoSpaceDE/>
        <w:autoSpaceDN/>
        <w:bidi w:val="0"/>
        <w:snapToGrid/>
        <w:spacing w:line="460" w:lineRule="exact"/>
        <w:ind w:firstLine="482" w:firstLineChars="200"/>
        <w:rPr>
          <w:rFonts w:hint="default" w:ascii="宋体" w:hAnsi="宋体" w:eastAsia="宋体" w:cs="宋体"/>
          <w:b/>
          <w:color w:val="auto"/>
          <w:sz w:val="24"/>
          <w:szCs w:val="24"/>
          <w:highlight w:val="none"/>
        </w:rPr>
      </w:pPr>
      <w:r>
        <w:rPr>
          <w:rFonts w:hint="default" w:ascii="宋体" w:hAnsi="宋体" w:eastAsia="宋体" w:cs="宋体"/>
          <w:b/>
          <w:color w:val="auto"/>
          <w:sz w:val="24"/>
          <w:szCs w:val="24"/>
          <w:highlight w:val="none"/>
        </w:rPr>
        <w:t>33.代理服务费</w:t>
      </w:r>
    </w:p>
    <w:p w14:paraId="57CF3FC5">
      <w:pPr>
        <w:pageBreakBefore w:val="0"/>
        <w:widowControl w:val="0"/>
        <w:tabs>
          <w:tab w:val="left" w:pos="2835"/>
        </w:tabs>
        <w:kinsoku/>
        <w:wordWrap/>
        <w:overflowPunct/>
        <w:topLinePunct w:val="0"/>
        <w:autoSpaceDE/>
        <w:autoSpaceDN/>
        <w:bidi w:val="0"/>
        <w:snapToGrid/>
        <w:spacing w:line="460" w:lineRule="exact"/>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代理服务收费标准及缴费账户详见“供应商须知前附表”，供应商为联合体的，可以由联合体中的一方或者多方共同交纳代理服务费。</w:t>
      </w:r>
    </w:p>
    <w:p w14:paraId="39A89592">
      <w:pPr>
        <w:pageBreakBefore w:val="0"/>
        <w:widowControl w:val="0"/>
        <w:kinsoku/>
        <w:wordWrap/>
        <w:overflowPunct/>
        <w:topLinePunct w:val="0"/>
        <w:autoSpaceDE/>
        <w:autoSpaceDN/>
        <w:bidi w:val="0"/>
        <w:snapToGrid/>
        <w:spacing w:line="460" w:lineRule="exact"/>
        <w:ind w:firstLine="482" w:firstLineChars="200"/>
        <w:rPr>
          <w:rFonts w:hint="default" w:ascii="宋体" w:hAnsi="宋体" w:eastAsia="宋体" w:cs="宋体"/>
          <w:b/>
          <w:color w:val="auto"/>
          <w:sz w:val="24"/>
          <w:szCs w:val="24"/>
          <w:highlight w:val="none"/>
        </w:rPr>
      </w:pPr>
      <w:r>
        <w:rPr>
          <w:rFonts w:hint="default" w:ascii="宋体" w:hAnsi="宋体" w:eastAsia="宋体" w:cs="宋体"/>
          <w:b/>
          <w:color w:val="auto"/>
          <w:sz w:val="24"/>
          <w:szCs w:val="24"/>
          <w:highlight w:val="none"/>
        </w:rPr>
        <w:t>34.需要补充的其他内容</w:t>
      </w:r>
    </w:p>
    <w:p w14:paraId="6228BF46">
      <w:pPr>
        <w:pageBreakBefore w:val="0"/>
        <w:widowControl w:val="0"/>
        <w:kinsoku/>
        <w:wordWrap/>
        <w:overflowPunct/>
        <w:topLinePunct w:val="0"/>
        <w:autoSpaceDE/>
        <w:autoSpaceDN/>
        <w:bidi w:val="0"/>
        <w:snapToGrid/>
        <w:spacing w:line="460" w:lineRule="exact"/>
        <w:ind w:firstLine="480" w:firstLineChars="200"/>
        <w:textAlignment w:val="center"/>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34.1本磋商文件解释规则详见“供应商须知前附表”。</w:t>
      </w:r>
    </w:p>
    <w:p w14:paraId="2B08AA91">
      <w:pPr>
        <w:pageBreakBefore w:val="0"/>
        <w:widowControl w:val="0"/>
        <w:kinsoku/>
        <w:wordWrap/>
        <w:overflowPunct/>
        <w:topLinePunct w:val="0"/>
        <w:autoSpaceDE/>
        <w:autoSpaceDN/>
        <w:bidi w:val="0"/>
        <w:snapToGrid/>
        <w:spacing w:line="460" w:lineRule="exact"/>
        <w:ind w:firstLine="480" w:firstLineChars="200"/>
        <w:textAlignment w:val="center"/>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34.2 其他事项详见“供应商须知前附表”。</w:t>
      </w:r>
    </w:p>
    <w:p w14:paraId="4768C56A">
      <w:pPr>
        <w:pageBreakBefore w:val="0"/>
        <w:widowControl w:val="0"/>
        <w:kinsoku/>
        <w:wordWrap/>
        <w:overflowPunct/>
        <w:topLinePunct w:val="0"/>
        <w:autoSpaceDE/>
        <w:autoSpaceDN/>
        <w:bidi w:val="0"/>
        <w:snapToGrid/>
        <w:spacing w:line="460" w:lineRule="exact"/>
        <w:ind w:firstLine="480" w:firstLineChars="200"/>
        <w:textAlignment w:val="center"/>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34.3本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w:t>
      </w:r>
      <w:r>
        <w:rPr>
          <w:rFonts w:hint="default" w:ascii="宋体" w:hAnsi="宋体" w:eastAsia="宋体" w:cs="宋体"/>
          <w:color w:val="auto"/>
          <w:kern w:val="0"/>
          <w:sz w:val="24"/>
          <w:szCs w:val="24"/>
          <w:highlight w:val="none"/>
        </w:rPr>
        <w:t>服务由中小企业承接，即提供服务的人员为中小企业依照《中华人民共和国劳动合同法》订立劳动合同的从业人员，不对其中涉及的货物的制造商和工程承建商作出要求的</w:t>
      </w:r>
      <w:r>
        <w:rPr>
          <w:rFonts w:hint="default" w:ascii="宋体" w:hAnsi="宋体" w:eastAsia="宋体" w:cs="宋体"/>
          <w:color w:val="auto"/>
          <w:sz w:val="24"/>
          <w:szCs w:val="24"/>
          <w:highlight w:val="none"/>
        </w:rPr>
        <w:t>，享受本文件规定的中小企业扶持政策。</w:t>
      </w:r>
    </w:p>
    <w:p w14:paraId="6C7A1D7D">
      <w:pPr>
        <w:pageBreakBefore w:val="0"/>
        <w:widowControl w:val="0"/>
        <w:kinsoku/>
        <w:wordWrap/>
        <w:overflowPunct/>
        <w:topLinePunct w:val="0"/>
        <w:autoSpaceDE/>
        <w:autoSpaceDN/>
        <w:bidi w:val="0"/>
        <w:snapToGrid/>
        <w:spacing w:line="460" w:lineRule="exact"/>
        <w:ind w:firstLine="480" w:firstLineChars="200"/>
        <w:textAlignment w:val="center"/>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以联合体形式参加政府采购活动，联合体各方均为中小企业的，联合体视同中小企业。其中，联合体各方均为小微企业的，联合体视同小微企业。</w:t>
      </w:r>
    </w:p>
    <w:p w14:paraId="1439B983">
      <w:pPr>
        <w:pageBreakBefore w:val="0"/>
        <w:widowControl w:val="0"/>
        <w:kinsoku/>
        <w:wordWrap/>
        <w:overflowPunct/>
        <w:topLinePunct w:val="0"/>
        <w:autoSpaceDE/>
        <w:autoSpaceDN/>
        <w:bidi w:val="0"/>
        <w:snapToGrid/>
        <w:spacing w:line="460" w:lineRule="exact"/>
        <w:ind w:firstLine="480" w:firstLineChars="200"/>
        <w:textAlignment w:val="center"/>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依据本文件规定享受扶持政策获得政府采购合同的，小微企业不得将合同分包给大中型企业，中型企业不得将合同分包给大型企业。</w:t>
      </w:r>
    </w:p>
    <w:p w14:paraId="7A6C1E1E">
      <w:pPr>
        <w:spacing w:line="480" w:lineRule="exact"/>
        <w:ind w:firstLine="480" w:firstLineChars="200"/>
        <w:jc w:val="left"/>
        <w:rPr>
          <w:rFonts w:hint="default" w:ascii="宋体" w:hAnsi="宋体" w:eastAsia="宋体"/>
          <w:color w:val="auto"/>
          <w:sz w:val="21"/>
          <w:szCs w:val="24"/>
          <w:highlight w:val="none"/>
        </w:rPr>
      </w:pPr>
      <w:r>
        <w:rPr>
          <w:rFonts w:hint="default" w:ascii="宋体" w:hAnsi="宋体" w:eastAsia="宋体" w:cs="宋体"/>
          <w:color w:val="auto"/>
          <w:sz w:val="24"/>
          <w:szCs w:val="24"/>
          <w:highlight w:val="none"/>
        </w:rPr>
        <w:br w:type="page"/>
      </w:r>
      <w:r>
        <w:rPr>
          <w:rFonts w:hint="default" w:ascii="宋体" w:eastAsia="宋体"/>
          <w:b/>
          <w:color w:val="auto"/>
          <w:kern w:val="44"/>
          <w:sz w:val="44"/>
          <w:szCs w:val="44"/>
          <w:highlight w:val="none"/>
        </w:rPr>
        <w:t>第四章</w:t>
      </w:r>
      <w:r>
        <w:rPr>
          <w:rFonts w:hint="eastAsia"/>
          <w:b/>
          <w:color w:val="auto"/>
          <w:kern w:val="44"/>
          <w:sz w:val="44"/>
          <w:szCs w:val="44"/>
          <w:highlight w:val="none"/>
        </w:rPr>
        <w:t xml:space="preserve">  </w:t>
      </w:r>
      <w:r>
        <w:rPr>
          <w:rFonts w:hint="default" w:ascii="宋体" w:eastAsia="宋体"/>
          <w:b/>
          <w:color w:val="auto"/>
          <w:kern w:val="44"/>
          <w:sz w:val="44"/>
          <w:szCs w:val="44"/>
          <w:highlight w:val="none"/>
        </w:rPr>
        <w:t>评审程序、评审方法和评审标准</w:t>
      </w:r>
    </w:p>
    <w:p w14:paraId="74E3C1DF">
      <w:pPr>
        <w:keepNext/>
        <w:keepLines/>
        <w:spacing w:before="260" w:after="260" w:line="416" w:lineRule="auto"/>
        <w:jc w:val="center"/>
        <w:outlineLvl w:val="1"/>
        <w:rPr>
          <w:rFonts w:hint="default" w:ascii="宋体" w:hAnsi="宋体" w:eastAsia="宋体"/>
          <w:color w:val="auto"/>
          <w:sz w:val="32"/>
          <w:szCs w:val="32"/>
          <w:highlight w:val="none"/>
        </w:rPr>
      </w:pPr>
      <w:bookmarkStart w:id="66" w:name="_Toc22682"/>
      <w:r>
        <w:rPr>
          <w:rFonts w:hint="default" w:ascii="宋体" w:hAnsi="宋体" w:eastAsia="宋体"/>
          <w:color w:val="auto"/>
          <w:sz w:val="32"/>
          <w:szCs w:val="32"/>
          <w:highlight w:val="none"/>
        </w:rPr>
        <w:t>第一节 评审程序和评审方法</w:t>
      </w:r>
      <w:bookmarkEnd w:id="66"/>
    </w:p>
    <w:p w14:paraId="66FF035D">
      <w:pPr>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1.确认磋商文件</w:t>
      </w:r>
    </w:p>
    <w:p w14:paraId="32FA08FC">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由磋商小组确认磋商文件。</w:t>
      </w:r>
    </w:p>
    <w:p w14:paraId="2084ABC0">
      <w:pPr>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2.资格审查</w:t>
      </w:r>
    </w:p>
    <w:p w14:paraId="3B181E85">
      <w:pPr>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2.1响应文件开启后，磋商小组依法对供应商的资格证明文件进行审查。</w:t>
      </w:r>
    </w:p>
    <w:p w14:paraId="7D671773">
      <w:pPr>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注：采购人代表或者采购代理机构在资格审查结束前，对供应商进行信用查询。</w:t>
      </w:r>
    </w:p>
    <w:p w14:paraId="20864B8B">
      <w:pPr>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（1）查询渠道：“广西政府采购云平台”“信用中国”网站(</w:t>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"http://www.creditchina.gov.cn"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u w:val="single"/>
        </w:rPr>
        <w:t>www.creditchina.gov.cn</w:t>
      </w:r>
      <w:r>
        <w:rPr>
          <w:rFonts w:hint="eastAsia" w:ascii="宋体" w:hAnsi="宋体" w:eastAsia="宋体" w:cs="宋体"/>
          <w:color w:val="auto"/>
          <w:sz w:val="24"/>
          <w:szCs w:val="24"/>
          <w:highlight w:val="none"/>
          <w:u w:val="single"/>
        </w:rPr>
        <w:fldChar w:fldCharType="end"/>
      </w:r>
      <w:r>
        <w:rPr>
          <w:rFonts w:hint="eastAsia" w:ascii="宋体" w:hAnsi="宋体" w:eastAsia="宋体" w:cs="宋体"/>
          <w:color w:val="auto"/>
          <w:sz w:val="24"/>
          <w:szCs w:val="24"/>
          <w:highlight w:val="none"/>
        </w:rPr>
        <w:t>)、中国政府采购网(</w:t>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"http://www.ccgp.gov.cn"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u w:val="single"/>
        </w:rPr>
        <w:t>www.ccgp.gov.cn</w:t>
      </w:r>
      <w:r>
        <w:rPr>
          <w:rFonts w:hint="eastAsia" w:ascii="宋体" w:hAnsi="宋体" w:eastAsia="宋体" w:cs="宋体"/>
          <w:color w:val="auto"/>
          <w:sz w:val="24"/>
          <w:szCs w:val="24"/>
          <w:highlight w:val="none"/>
          <w:u w:val="single"/>
        </w:rPr>
        <w:fldChar w:fldCharType="end"/>
      </w:r>
      <w:r>
        <w:rPr>
          <w:rFonts w:hint="eastAsia" w:ascii="宋体" w:hAnsi="宋体" w:eastAsia="宋体" w:cs="宋体"/>
          <w:color w:val="auto"/>
          <w:sz w:val="24"/>
          <w:szCs w:val="24"/>
          <w:highlight w:val="none"/>
        </w:rPr>
        <w:t>)链接入口。</w:t>
      </w:r>
    </w:p>
    <w:p w14:paraId="044401E0">
      <w:pPr>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（2）信用查询截止时点：资格审查结束前。</w:t>
      </w:r>
    </w:p>
    <w:p w14:paraId="7A4F99EA">
      <w:pPr>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查询记录和证据留存方式：在查询网站中直接打印查询记录，截图另存为电子文档作为评审资料保存。</w:t>
      </w:r>
    </w:p>
    <w:p w14:paraId="0E9950DA">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（3）信用信息使用规则：对在“信用中国”网站(www.creditchina.gov.cn) 、中国政府采购网(www.ccgp.gov.cn)被列入失信被执行人、</w:t>
      </w:r>
      <w:r>
        <w:rPr>
          <w:rFonts w:hint="eastAsia" w:ascii="宋体" w:hAnsi="宋体" w:eastAsia="宋体" w:cs="宋体"/>
          <w:color w:val="auto"/>
          <w:sz w:val="24"/>
          <w:szCs w:val="24"/>
          <w:highlight w:val="none"/>
          <w:lang w:eastAsia="zh-CN"/>
        </w:rPr>
        <w:t>重大税收违法失信主体</w:t>
      </w:r>
      <w:r>
        <w:rPr>
          <w:rFonts w:hint="eastAsia" w:ascii="宋体" w:hAnsi="宋体" w:eastAsia="宋体" w:cs="宋体"/>
          <w:color w:val="auto"/>
          <w:sz w:val="24"/>
          <w:szCs w:val="24"/>
          <w:highlight w:val="none"/>
        </w:rPr>
        <w:t>、政府采购严重违法失信行为记录名单及其他不符合《中华人民共和国政府采购法》第二十二条规定条件的供应商，资格审查不通过，不得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3F021DCF">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2.2资格审查标准为本磋商文件中载明对供应商资格要求的条件。资格审查采用合格制，凡符合磋商文件规定的供应商资格要求的响应文件均通过资格审查。</w:t>
      </w:r>
    </w:p>
    <w:p w14:paraId="6611B8E6">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2.3供应商有下列情形之一的，资格审查不通过，其响应文件按无效响应处理：</w:t>
      </w:r>
    </w:p>
    <w:p w14:paraId="28762A9D">
      <w:pPr>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（1）不具备磋商文件中规定的资格要求的；</w:t>
      </w:r>
    </w:p>
    <w:p w14:paraId="6F80070D">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（2）响应文件未提供任一项“供应商须知前附表”资格证明文件规定的“必须提供”的文件资料的；</w:t>
      </w:r>
    </w:p>
    <w:p w14:paraId="796F65CA">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（3）响应文件提供的资格证明文件出现任一项不符合“供应商须知前附表”资格证明文件规定的“必须提供”的文件资料要求或者无效的。</w:t>
      </w:r>
    </w:p>
    <w:p w14:paraId="6C884D42">
      <w:pPr>
        <w:spacing w:line="360" w:lineRule="auto"/>
        <w:ind w:firstLine="480" w:firstLineChars="200"/>
        <w:rPr>
          <w:rFonts w:hint="eastAsia" w:ascii="宋体" w:hAnsi="宋体" w:eastAsia="宋体" w:cs="宋体"/>
          <w:color w:val="auto"/>
          <w:sz w:val="24"/>
          <w:szCs w:val="24"/>
          <w:highlight w:val="none"/>
        </w:rPr>
      </w:pPr>
      <w:bookmarkStart w:id="67" w:name="_Hlk68601553"/>
      <w:r>
        <w:rPr>
          <w:rFonts w:hint="eastAsia" w:ascii="宋体" w:hAnsi="宋体" w:eastAsia="宋体" w:cs="宋体"/>
          <w:color w:val="auto"/>
          <w:sz w:val="24"/>
          <w:szCs w:val="24"/>
          <w:highlight w:val="none"/>
        </w:rPr>
        <w:t>（4）同一合同项下的不同供应商，单位负责人为同一人或者存在直接控股、管理关系的；为本项目提供过整体设计、规范编制或者项目管理、监理、检测等服务的。</w:t>
      </w:r>
      <w:bookmarkEnd w:id="67"/>
    </w:p>
    <w:p w14:paraId="1857DEF0">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2.4通过资格审查的合格供应商不足3家的，不得进入符合性审查环节，采购人或者采购代理机构应当重新开展采购活动。</w:t>
      </w:r>
    </w:p>
    <w:p w14:paraId="212DD7AD">
      <w:pPr>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3.符合性审查</w:t>
      </w:r>
    </w:p>
    <w:p w14:paraId="0147262B">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3.1由磋商小组对通过资格审查的合格供应商的响应文件的响应报价、商务、技术等实质性要求进行符合性审查，以确定其是否满足磋商文件的实质性要求。</w:t>
      </w:r>
    </w:p>
    <w:p w14:paraId="44247286">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磋商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7F70F8E6">
      <w:pPr>
        <w:spacing w:line="360" w:lineRule="auto"/>
        <w:ind w:firstLine="480" w:firstLineChars="200"/>
        <w:rPr>
          <w:rFonts w:hint="eastAsia" w:ascii="宋体" w:hAnsi="宋体" w:eastAsia="宋体" w:cs="宋体"/>
          <w:color w:val="auto"/>
          <w:spacing w:val="-6"/>
          <w:sz w:val="24"/>
          <w:szCs w:val="24"/>
          <w:highlight w:val="none"/>
        </w:rPr>
      </w:pPr>
      <w:r>
        <w:rPr>
          <w:rFonts w:hint="eastAsia" w:ascii="宋体" w:hAnsi="宋体" w:eastAsia="宋体" w:cs="宋体"/>
          <w:color w:val="auto"/>
          <w:sz w:val="24"/>
          <w:szCs w:val="24"/>
          <w:highlight w:val="none"/>
        </w:rPr>
        <w:t>3.3磋商小组要求供应商澄清、说明或者更正响应文件应当以电子澄清函形式作出。供应商的澄清、说明或者更正应当已电子回函形式按照磋商小组的要求作出明确的澄清、说明或者更正，未按磋商小组的要求作出明确澄清、说明或者更正的供应商的响应文件将按照有利于采购人的原则由磋商小组进行判定。供应商的澄清、说明或者更正必须加盖电子公章</w:t>
      </w:r>
      <w:r>
        <w:rPr>
          <w:rFonts w:hint="eastAsia" w:ascii="宋体" w:hAnsi="宋体" w:eastAsia="宋体" w:cs="宋体"/>
          <w:color w:val="auto"/>
          <w:spacing w:val="-6"/>
          <w:sz w:val="24"/>
          <w:szCs w:val="24"/>
          <w:highlight w:val="none"/>
        </w:rPr>
        <w:t>。供应商为自然人的，必须由本人签字并附身份证明。</w:t>
      </w:r>
    </w:p>
    <w:p w14:paraId="13B9B242">
      <w:pPr>
        <w:spacing w:line="360" w:lineRule="auto"/>
        <w:ind w:firstLine="456" w:firstLineChars="200"/>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3.4</w:t>
      </w:r>
      <w:r>
        <w:rPr>
          <w:rFonts w:hint="eastAsia" w:ascii="宋体" w:hAnsi="宋体" w:eastAsia="宋体" w:cs="宋体"/>
          <w:color w:val="auto"/>
          <w:sz w:val="24"/>
          <w:szCs w:val="24"/>
          <w:highlight w:val="none"/>
        </w:rPr>
        <w:t xml:space="preserve">首次响应文件报价出现前后不一致的，按照下列规定修正： </w:t>
      </w:r>
    </w:p>
    <w:p w14:paraId="3D8B4013">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（1）响应文件中报价表内容与响应文件中相应内容不一致的，以报价表为准；</w:t>
      </w:r>
    </w:p>
    <w:p w14:paraId="11DCCF62">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（2）大写金额和小写金额不一致的，以大写金额为准；</w:t>
      </w:r>
    </w:p>
    <w:p w14:paraId="48D2E595">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（3）单价金额小数点或者百分比有明显错位的，以报价表的总价为准，并修改单价；</w:t>
      </w:r>
    </w:p>
    <w:p w14:paraId="761AB101">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（4）总价金额与按单价汇总金额不一致的，以单价金额计算结果为准。</w:t>
      </w:r>
    </w:p>
    <w:p w14:paraId="0BC039FD">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同时出现两种以上不一致的，按照以上（1）-（4）规定的顺序逐条进行修正。修正后的报价经供应商确认后产生约束力，供应商不确认的，其响应文件按无效响应处理。</w:t>
      </w:r>
    </w:p>
    <w:p w14:paraId="66435505">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3.5商务技术、报价评审</w:t>
      </w:r>
    </w:p>
    <w:p w14:paraId="27457D54">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在评审时，如发现下列情形之一的，将被视为响应文件无效处理：</w:t>
      </w:r>
    </w:p>
    <w:p w14:paraId="57ACD9B6">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（1）商务技术评审</w:t>
      </w:r>
    </w:p>
    <w:p w14:paraId="54819547">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1）响应文件未按磋商文件要求签署、盖章；</w:t>
      </w:r>
    </w:p>
    <w:p w14:paraId="0FF6AD01">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2）委托代理人未能出具有效身份证明或者出具的身份证明与授权委托书中的信息不符； </w:t>
      </w:r>
    </w:p>
    <w:p w14:paraId="066B32EA">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3）响应文件未提供任一项“供应商须知前附表” 商务技术文件中 “必须提供”或者“委托时必须提供”的文件资料；响应文件提供的商务技术文件出现任一项不符合“供应商须知前附表”商务技术文件中 “必须提供”或者“委托时必须提供”文件资料要求的规定或者提供的商务技术文件无效。</w:t>
      </w:r>
    </w:p>
    <w:p w14:paraId="60309AE5">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4）商务条款中标“▲”的条款发生负偏离的或者允许负偏离的条款数超过“供应商须知前附表”规定项数的或者标明实质性的要求发生负偏离；</w:t>
      </w:r>
    </w:p>
    <w:p w14:paraId="59F12FEC">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5）未对竞标有效期作出响应或者响应文件承诺的竞标有效期不满足磋商文件要求；</w:t>
      </w:r>
    </w:p>
    <w:p w14:paraId="7935AEB0">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6）响应文件的实质性内容未使用中文表述、使用计量单位不符合磋商文件要求；</w:t>
      </w:r>
    </w:p>
    <w:p w14:paraId="52214F0B">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7）响应文件中的文件资料因填写不齐全或者内容虚假或者出现其他情形而导致被磋商小组认定无效；</w:t>
      </w:r>
    </w:p>
    <w:p w14:paraId="118F1A78">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8）响应文件含有采购人不能接受的附加条件；</w:t>
      </w:r>
    </w:p>
    <w:p w14:paraId="0FB33A94">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9）属于“供应商须知正文”第9.2条情形；</w:t>
      </w:r>
    </w:p>
    <w:p w14:paraId="15B824C4">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10）技术需求允许负偏离的条款数超过“供应商须知前附表”规定项数；</w:t>
      </w:r>
    </w:p>
    <w:p w14:paraId="3C64C034">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11）虚假竞标，或者出现其他情形而导致被磋商小组认定无效；</w:t>
      </w:r>
    </w:p>
    <w:p w14:paraId="24351442">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12）竞标技术方案不明确，磋商文件未允许但响应文件中存在一个或者一个以上备选（替代）竞标方案；</w:t>
      </w:r>
    </w:p>
    <w:p w14:paraId="5C91FC97">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13）响应文件标注的项目名称或者项目编号与竞争性磋商文件标注的项目名称或者项目编号不一致的；</w:t>
      </w:r>
    </w:p>
    <w:p w14:paraId="4E8D5862">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14）未响应磋商文件实质性要求；</w:t>
      </w:r>
    </w:p>
    <w:p w14:paraId="3E17E726">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15）法律、法规和磋商文件规定的其他无效情形。</w:t>
      </w:r>
    </w:p>
    <w:p w14:paraId="79D98A7C">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（2）报价评审</w:t>
      </w:r>
    </w:p>
    <w:p w14:paraId="3C37B76B">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 响应文件未提供“供应商须知前附表” 报价文件中规定的“响应报价表”；</w:t>
      </w:r>
    </w:p>
    <w:p w14:paraId="2EFEF2CA">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2）未采用人民币报价或者未按照磋商文件标明的币种报价；</w:t>
      </w:r>
    </w:p>
    <w:p w14:paraId="27FE8160">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供应商未就所竞标分标进行报价或者存在漏项报价；供应商未就所竞标分标的单项内容作唯一报价；供应商未就所竞标分标的全部内容作唯一总价报价；供应商响应文件中存在有选择、有条件报价的（磋商文件允许有备选方案或者其他约定的除外）；</w:t>
      </w:r>
    </w:p>
    <w:p w14:paraId="799D3DDC">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响应报价（包含首次报价、最后报价）超过所竞标分标规定的采购预算金额或者最高限价的（如本项目公布了最高限价）；响应报价（包含首次报价、最后报价）超过磋商文件分项采购预算金额或者最高限价的（如本项目公布了最高限价）；</w:t>
      </w:r>
    </w:p>
    <w:p w14:paraId="7CB313E4">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修正后的报价，供应商不确认的；或者经供应商确认修正后的响应报价（包含首次报价、最后报价）超过所竞标分标规定的采购预算金额或者最高限价（如本项目公布了最高限价）；或者经供应商确认修正后响应报价（包含首次报价、最后报价）超过磋商文件分项采购预算金额或者最高限价的（如本项目公布了最高限价）。</w:t>
      </w:r>
    </w:p>
    <w:p w14:paraId="65F275AF">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6）响应文件响应的标的数量及单位与竞争性磋商采购文件要求实质性不一致的。</w:t>
      </w:r>
    </w:p>
    <w:p w14:paraId="1A887C69">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3.6磋商小组对响应文件进行评审，未实质性响应磋商文件的响应文件按无效处理，磋商小组应当将资格和符合性不通过的情况告知有关供应商。磋商小组从符合磋商文件规定的相应资格条件的供应商名单中确定不少于3家的供应商参加磋商。</w:t>
      </w:r>
    </w:p>
    <w:p w14:paraId="4ACA3A16">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3.7非政府购买服务项目，通过符合性审查的合格供应商不足3家的，不得进入磋商环节，采购人或者采购代理机构应当重新开展采购活动。政府购买服务项目，按《财政部关于政府采购竞争性磋商采购方式管理暂行办法有关问题的补充通知》（财库〔2015〕124号）规定，采购过程中通过符合性审查的供应商（社会资本）只有2家的，磋商采购活动可以继续进行。</w:t>
      </w:r>
    </w:p>
    <w:p w14:paraId="4BDAD7DC">
      <w:pPr>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4.磋商程序</w:t>
      </w:r>
    </w:p>
    <w:p w14:paraId="5BEC0CD4">
      <w:pPr>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4.1磋商小组按照“供应商须知前附表”</w:t>
      </w:r>
      <w:r>
        <w:rPr>
          <w:rFonts w:hint="eastAsia" w:ascii="宋体" w:hAnsi="宋体" w:eastAsia="宋体" w:cs="宋体"/>
          <w:color w:val="auto"/>
          <w:sz w:val="24"/>
          <w:szCs w:val="24"/>
          <w:highlight w:val="none"/>
        </w:rPr>
        <w:t xml:space="preserve"> </w:t>
      </w:r>
      <w:r>
        <w:rPr>
          <w:rFonts w:hint="eastAsia" w:ascii="宋体" w:hAnsi="宋体" w:eastAsia="宋体" w:cs="宋体"/>
          <w:color w:val="auto"/>
          <w:kern w:val="0"/>
          <w:sz w:val="24"/>
          <w:szCs w:val="24"/>
          <w:highlight w:val="none"/>
        </w:rPr>
        <w:t>确定的</w:t>
      </w:r>
      <w:r>
        <w:rPr>
          <w:rFonts w:hint="eastAsia" w:ascii="宋体" w:hAnsi="宋体" w:eastAsia="宋体" w:cs="宋体"/>
          <w:color w:val="auto"/>
          <w:sz w:val="24"/>
          <w:szCs w:val="24"/>
          <w:highlight w:val="none"/>
        </w:rPr>
        <w:t>顺序，集中与单一供应商分别进行磋商，并给予所有参加磋商的供应商平等的磋商机会。符合磋商资格的供应商必须在接到磋商通知后规定时间内参加磋商，未在规定时间内参加磋商的视同放弃参加磋商权利，其响应文件按无效响应处理。</w:t>
      </w:r>
    </w:p>
    <w:p w14:paraId="38009DEA">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4.2在磋商过程中，磋商小组可以根据磋商文件和磋商情况实质性变动采购需求中的技术、服务要求以及合同草案条款，但不得变动磋商文件中的其他内容。实质性变动的内容，须经采购人代表确认。可能实质性变动的内容为采购需求中的技术、服务要求以及合同草案条款。</w:t>
      </w:r>
    </w:p>
    <w:p w14:paraId="2D72D5B5">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4.3对磋商文件作出的实质性变动是磋商文件的有效组成部分，由磋商小组及时以电子澄清函形式同时通知所有参加磋商的供应商。</w:t>
      </w:r>
    </w:p>
    <w:p w14:paraId="3474C8E2">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4.4供应商必须按照磋商文件的变动情况和磋商小组的要求以回函的形式重新提交响应文件，并加盖电子公章。供应商为自然人的，必须由本人签字并附身份证明。参加磋商的供应商未在规定时间内重新提交响应文件的，视同退出磋商。</w:t>
      </w:r>
    </w:p>
    <w:p w14:paraId="03968BCE">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4.5磋商中，</w:t>
      </w:r>
      <w:r>
        <w:rPr>
          <w:rFonts w:hint="eastAsia" w:ascii="宋体" w:hAnsi="宋体" w:eastAsia="宋体" w:cs="宋体"/>
          <w:color w:val="auto"/>
          <w:spacing w:val="-6"/>
          <w:sz w:val="24"/>
          <w:szCs w:val="24"/>
          <w:highlight w:val="none"/>
        </w:rPr>
        <w:t>磋商的任何一方不得透露与磋商有关的其他供应商的技术资料、价格和其他信息。</w:t>
      </w:r>
    </w:p>
    <w:p w14:paraId="5E5AEF9E">
      <w:pPr>
        <w:widowControl/>
        <w:tabs>
          <w:tab w:val="left" w:pos="540"/>
        </w:tabs>
        <w:spacing w:line="360" w:lineRule="auto"/>
        <w:ind w:firstLine="480" w:firstLineChars="200"/>
        <w:jc w:val="left"/>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4.6磋商小组应对磋商过程和重要磋商内容进行记录，作为评标报告一部分，磋商小组在记录上签字确认。</w:t>
      </w:r>
      <w:r>
        <w:rPr>
          <w:rFonts w:hint="eastAsia" w:ascii="宋体" w:hAnsi="宋体" w:eastAsia="宋体" w:cs="宋体"/>
          <w:b/>
          <w:color w:val="auto"/>
          <w:sz w:val="24"/>
          <w:szCs w:val="24"/>
          <w:highlight w:val="none"/>
        </w:rPr>
        <w:t>主要内容包括：</w:t>
      </w:r>
    </w:p>
    <w:p w14:paraId="4F8E96C9">
      <w:pPr>
        <w:adjustRightInd w:val="0"/>
        <w:spacing w:line="360" w:lineRule="auto"/>
        <w:ind w:firstLine="456" w:firstLineChars="200"/>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（1）按照相关规定进行公示的，公示情况说明；</w:t>
      </w:r>
    </w:p>
    <w:p w14:paraId="3496DA2F">
      <w:pPr>
        <w:adjustRightInd w:val="0"/>
        <w:spacing w:line="360" w:lineRule="auto"/>
        <w:ind w:firstLine="456" w:firstLineChars="200"/>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（2）磋商日期和地点，磋商人员名单；</w:t>
      </w:r>
    </w:p>
    <w:p w14:paraId="1D6D6720">
      <w:pPr>
        <w:adjustRightInd w:val="0"/>
        <w:spacing w:line="360" w:lineRule="auto"/>
        <w:ind w:firstLine="456" w:firstLineChars="200"/>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（3）合同主要条款及价格商定情况。</w:t>
      </w:r>
    </w:p>
    <w:p w14:paraId="7EF26655">
      <w:pPr>
        <w:widowControl/>
        <w:tabs>
          <w:tab w:val="left" w:pos="540"/>
        </w:tabs>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4.7磋商过程中重新提交的响应文件，供应商可以在开启前补充、修改。</w:t>
      </w:r>
    </w:p>
    <w:p w14:paraId="7765BB80">
      <w:pPr>
        <w:tabs>
          <w:tab w:val="left" w:pos="2835"/>
        </w:tabs>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4.8对磋商过程提交的响应文件进行有效性、完整性和响应程度审查，通过审查的合格供应商不足3家的，采购人或者采购代理机构应当重新开展采购活动。</w:t>
      </w:r>
    </w:p>
    <w:p w14:paraId="7BB2A24F">
      <w:pPr>
        <w:ind w:firstLine="482" w:firstLineChars="200"/>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5.最后报价</w:t>
      </w:r>
    </w:p>
    <w:p w14:paraId="74BDF442">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5.1磋商文件能够详细列明采购标的的技术、服务要求的，磋商结束后，由磋商小组要求所有继续参加磋商的供应商在规定时间内密封提交最后报价，除本章第5.3条外，提交最后报价的供应商不得少于3家，否则必须重新采购。</w:t>
      </w:r>
    </w:p>
    <w:p w14:paraId="46999358">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5.2磋商文件不能详细列明采购标的的技术、服务要求，需经磋商由供应商提供最后设计方案或者解决方案的，磋商结束后，由磋商小组按照少数服从多数的原则投票推荐3家以上供应商的设计方案或者解决方案，并要求其在规定时间内密封提交最后报价。</w:t>
      </w:r>
    </w:p>
    <w:p w14:paraId="2DFF30B3">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5.3 最后报价是供应商响应文件的有效组成部分。符合《政府采购竞争性磋商采购方式管理暂行办法》（财库〔2014〕214号）第三条第四项“市场竞争不充分的科研项目，以及需要扶持的科技成果转化项目”的，提交最后报价的供应商可以为2家。</w:t>
      </w:r>
    </w:p>
    <w:p w14:paraId="596915DE">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5.4已经提交响应文件的供应商，在提交最后报价之前，可以根据磋商情况退出磋商，退出磋商的供应商的响应文件按无效响应处理。</w:t>
      </w:r>
    </w:p>
    <w:p w14:paraId="3F5E61CE">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5.5供应商未在规定时间内提交最后报价的，视同退出磋商。</w:t>
      </w:r>
    </w:p>
    <w:p w14:paraId="01F302C5">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5.6磋商小组收齐某一分标最后报价后统一开启，磋商小组对最后报价进行有效性、完整性和响应程度的审查。</w:t>
      </w:r>
    </w:p>
    <w:p w14:paraId="5B3B82FD">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5.7最终响应文件的报价出现前后不一致的，按照本章第3.4条的规定修正。 </w:t>
      </w:r>
    </w:p>
    <w:p w14:paraId="1F9A006D">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5.8修正后的最终报价出现下列情形的，按无效响应处理：</w:t>
      </w:r>
    </w:p>
    <w:p w14:paraId="1F028560">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（1）供应商不确认的（全流程电子化评标采取在线确认）；</w:t>
      </w:r>
    </w:p>
    <w:p w14:paraId="3392B96B">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（2）经供应商确认修正后的响应报价（包含首次报价、最后报价）超过所竞标分标规定的采购预算金额或者最高限价的（如本项目公布了最高限价）；</w:t>
      </w:r>
    </w:p>
    <w:p w14:paraId="6C7CE3C4">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（3）经供应商确认修正后的响应报价（包含首次报价、最后报价）超过分项采购预算金额或者最高限价的（如本项目公布了最高限价）。</w:t>
      </w:r>
    </w:p>
    <w:p w14:paraId="5B26BF6F">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5.9经供应商确认修正后的最后报价作为评审及签订合同的依据。</w:t>
      </w:r>
    </w:p>
    <w:p w14:paraId="34DFF55F">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5.10供应商出现最后报价按无效响应处理或者响应文件按无效处理时，磋商小组应当告知有关供应商。</w:t>
      </w:r>
    </w:p>
    <w:p w14:paraId="12B33BBB">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5.11最后报价结束后，磋商小组不得再与供应商进行任何形式的商谈。</w:t>
      </w:r>
    </w:p>
    <w:p w14:paraId="47D48F4B">
      <w:pPr>
        <w:ind w:firstLine="470" w:firstLineChars="195"/>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6.比较与评价</w:t>
      </w:r>
    </w:p>
    <w:p w14:paraId="41189FB4">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6.1评审方法：综合评分法。</w:t>
      </w:r>
    </w:p>
    <w:p w14:paraId="6C281071">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6.2经磋商确定最终采购需求和提交最后报价的供应商后，由磋商小组采用综合评分法对提交最后报价的供应商的响应文件和最后报价进行综合评分。</w:t>
      </w:r>
    </w:p>
    <w:p w14:paraId="0C77C7BD">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6.3评审时，磋商小组各成员应当独立对每个有效响应的文件进行评价、打分，然后汇总每个供应商每项评分因素的得分。</w:t>
      </w:r>
    </w:p>
    <w:p w14:paraId="61F90F1F">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评审委员会成员要根据政府采购法律法规和采购文件所载明的评审方法、标准进行评审。对供应商的价格分等客观评分项的评分应当一致，对其他需要借助专业知识评判的主观评分项，应当严格按照评分细则公正评分。</w:t>
      </w:r>
    </w:p>
    <w:p w14:paraId="6BC1F68C">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（2）磋商小组按照磋商文件中规定的评审标准计算各供应商的报价得分。项目评审过程中，不得去掉最后报价中的最高报价和最低报价。</w:t>
      </w:r>
    </w:p>
    <w:p w14:paraId="7F8526FC">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（3）各供应商的得分为磋商小组所有成员的有效评分的算术平均数。</w:t>
      </w:r>
    </w:p>
    <w:p w14:paraId="3B68F076">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6.4评审价为供应商的最后报价进行政策性扣除后的价格，评审价只是作为评审时使用。最终成交供应商的成交金额等于最后报价（如有修正，以确认修正后的最后报价为准）。</w:t>
      </w:r>
    </w:p>
    <w:p w14:paraId="5BCC4371">
      <w:pPr>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6.5由磋商小组根据综合评分情况，按照评审得分由高到低顺序推荐3名以上成交候选供应商，并编写评</w:t>
      </w:r>
      <w:r>
        <w:rPr>
          <w:rFonts w:hint="eastAsia" w:ascii="宋体" w:hAnsi="宋体" w:eastAsia="宋体" w:cs="宋体"/>
          <w:color w:val="auto"/>
          <w:kern w:val="0"/>
          <w:sz w:val="24"/>
          <w:szCs w:val="24"/>
          <w:highlight w:val="none"/>
        </w:rPr>
        <w:t>审报告。符合本章第4.3条情形的，可以推荐2家成交候选供应商。评审得分相同的，按照最后报价由低到高的顺序推荐。评审得分且最后报价相同的，按照技术指标优劣顺序推荐。</w:t>
      </w:r>
    </w:p>
    <w:p w14:paraId="1D624B57">
      <w:pPr>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6.6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70C9744E">
      <w:pPr>
        <w:spacing w:line="360" w:lineRule="auto"/>
        <w:ind w:firstLine="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7.评审复核</w:t>
      </w:r>
    </w:p>
    <w:p w14:paraId="4ED512B1">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7.1评审报告签署前，评审委员会要对评审结果进行复核，复核意见要体现在评审报告中。</w:t>
      </w:r>
    </w:p>
    <w:p w14:paraId="5A21B3DE">
      <w:pPr>
        <w:widowControl/>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7.2评审结果汇总完成后，采购人、采购代理机构和评审委员会均不得修改评审结果或者要求重新评审，但资格性检查认定错误、分值汇总计算错误、分项评分超出评分标准范围、客观分评分不一致、经评审委员会一致认定评分畸高、畸低的情形除外。出现上述除外情形的，评审委员会应当现场修改评审结果，并在评审报告中明确记载。</w:t>
      </w:r>
    </w:p>
    <w:p w14:paraId="77BE9D32">
      <w:pPr>
        <w:ind w:firstLine="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8.评审标准</w:t>
      </w:r>
    </w:p>
    <w:p w14:paraId="0083C59E">
      <w:pPr>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8.</w:t>
      </w:r>
      <w:r>
        <w:rPr>
          <w:rFonts w:hint="eastAsia" w:ascii="宋体" w:hAnsi="宋体" w:eastAsia="宋体" w:cs="宋体"/>
          <w:color w:val="auto"/>
          <w:sz w:val="24"/>
          <w:szCs w:val="24"/>
          <w:highlight w:val="none"/>
        </w:rPr>
        <w:t>1</w:t>
      </w:r>
      <w:bookmarkStart w:id="68" w:name="PO_TDCUS_ITEM_SM_TABLE_1"/>
      <w:r>
        <w:rPr>
          <w:rFonts w:hint="eastAsia" w:ascii="宋体" w:hAnsi="宋体" w:eastAsia="宋体" w:cs="宋体"/>
          <w:color w:val="auto"/>
          <w:sz w:val="24"/>
          <w:szCs w:val="24"/>
          <w:highlight w:val="none"/>
        </w:rPr>
        <w:t>评审依据：磋商小组将以磋商响应文件为评审依据，对供应商的报价、技术、商务等方面内容按百分制打分。（计分方法按四舍五入取至百分位）</w:t>
      </w:r>
      <w:bookmarkEnd w:id="68"/>
    </w:p>
    <w:tbl>
      <w:tblPr>
        <w:tblStyle w:val="18"/>
        <w:tblW w:w="98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3"/>
        <w:gridCol w:w="1275"/>
        <w:gridCol w:w="6780"/>
        <w:gridCol w:w="1060"/>
      </w:tblGrid>
      <w:tr w14:paraId="7F358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703" w:type="dxa"/>
            <w:tcBorders>
              <w:top w:val="single" w:color="auto" w:sz="4" w:space="0"/>
              <w:left w:val="single" w:color="auto" w:sz="4" w:space="0"/>
              <w:bottom w:val="single" w:color="auto" w:sz="4" w:space="0"/>
              <w:right w:val="single" w:color="auto" w:sz="4" w:space="0"/>
              <w:tl2br w:val="nil"/>
              <w:tr2bl w:val="nil"/>
            </w:tcBorders>
            <w:shd w:val="clear" w:color="auto" w:fill="FFFFFF"/>
            <w:noWrap w:val="0"/>
            <w:vAlign w:val="center"/>
          </w:tcPr>
          <w:p w14:paraId="48EB2187">
            <w:pPr>
              <w:adjustRightInd w:val="0"/>
              <w:spacing w:line="410" w:lineRule="exact"/>
              <w:textAlignment w:val="baseline"/>
              <w:rPr>
                <w:rFonts w:hint="default" w:ascii="宋体" w:hAnsi="宋体" w:eastAsia="宋体" w:cs="宋体"/>
                <w:b/>
                <w:color w:val="auto"/>
                <w:sz w:val="21"/>
                <w:szCs w:val="21"/>
                <w:highlight w:val="none"/>
              </w:rPr>
            </w:pPr>
            <w:r>
              <w:rPr>
                <w:rFonts w:hint="default" w:ascii="宋体" w:hAnsi="宋体" w:eastAsia="宋体" w:cs="宋体"/>
                <w:b/>
                <w:color w:val="auto"/>
                <w:sz w:val="21"/>
                <w:szCs w:val="21"/>
                <w:highlight w:val="none"/>
              </w:rPr>
              <w:t>序号</w:t>
            </w:r>
          </w:p>
        </w:tc>
        <w:tc>
          <w:tcPr>
            <w:tcW w:w="1275" w:type="dxa"/>
            <w:tcBorders>
              <w:top w:val="single" w:color="auto" w:sz="4" w:space="0"/>
              <w:left w:val="single" w:color="auto" w:sz="4" w:space="0"/>
              <w:bottom w:val="single" w:color="auto" w:sz="4" w:space="0"/>
              <w:right w:val="single" w:color="auto" w:sz="4" w:space="0"/>
              <w:tl2br w:val="nil"/>
              <w:tr2bl w:val="nil"/>
            </w:tcBorders>
            <w:shd w:val="clear" w:color="auto" w:fill="FFFFFF"/>
            <w:noWrap w:val="0"/>
            <w:vAlign w:val="center"/>
          </w:tcPr>
          <w:p w14:paraId="15545760">
            <w:pPr>
              <w:pStyle w:val="10"/>
              <w:spacing w:line="400" w:lineRule="exact"/>
              <w:rPr>
                <w:rFonts w:hint="default" w:hAnsi="宋体" w:cs="宋体"/>
                <w:b/>
                <w:color w:val="auto"/>
                <w:sz w:val="21"/>
                <w:szCs w:val="21"/>
                <w:highlight w:val="none"/>
              </w:rPr>
            </w:pPr>
            <w:r>
              <w:rPr>
                <w:rFonts w:hint="default" w:hAnsi="宋体" w:cs="宋体"/>
                <w:b/>
                <w:color w:val="auto"/>
                <w:sz w:val="21"/>
                <w:szCs w:val="21"/>
                <w:highlight w:val="none"/>
              </w:rPr>
              <w:t>评分类型</w:t>
            </w:r>
          </w:p>
        </w:tc>
        <w:tc>
          <w:tcPr>
            <w:tcW w:w="6780" w:type="dxa"/>
            <w:tcBorders>
              <w:top w:val="single" w:color="auto" w:sz="4" w:space="0"/>
              <w:left w:val="single" w:color="auto" w:sz="4" w:space="0"/>
              <w:bottom w:val="single" w:color="auto" w:sz="4" w:space="0"/>
              <w:right w:val="single" w:color="auto" w:sz="4" w:space="0"/>
              <w:tl2br w:val="nil"/>
              <w:tr2bl w:val="nil"/>
            </w:tcBorders>
            <w:shd w:val="clear" w:color="auto" w:fill="FFFFFF"/>
            <w:noWrap w:val="0"/>
            <w:vAlign w:val="center"/>
          </w:tcPr>
          <w:p w14:paraId="1AA2340E">
            <w:pPr>
              <w:adjustRightInd w:val="0"/>
              <w:spacing w:line="410" w:lineRule="exact"/>
              <w:jc w:val="center"/>
              <w:textAlignment w:val="baseline"/>
              <w:rPr>
                <w:rFonts w:hint="default" w:ascii="宋体" w:hAnsi="宋体" w:eastAsia="宋体" w:cs="宋体"/>
                <w:b/>
                <w:color w:val="auto"/>
                <w:sz w:val="21"/>
                <w:szCs w:val="21"/>
                <w:highlight w:val="none"/>
              </w:rPr>
            </w:pPr>
            <w:r>
              <w:rPr>
                <w:rFonts w:hint="default" w:ascii="宋体" w:hAnsi="宋体" w:eastAsia="宋体" w:cs="宋体"/>
                <w:b/>
                <w:color w:val="auto"/>
                <w:sz w:val="21"/>
                <w:szCs w:val="21"/>
                <w:highlight w:val="none"/>
              </w:rPr>
              <w:t>评分标准</w:t>
            </w:r>
          </w:p>
        </w:tc>
        <w:tc>
          <w:tcPr>
            <w:tcW w:w="1060" w:type="dxa"/>
            <w:tcBorders>
              <w:top w:val="single" w:color="auto" w:sz="4" w:space="0"/>
              <w:left w:val="single" w:color="auto" w:sz="4" w:space="0"/>
              <w:bottom w:val="single" w:color="auto" w:sz="4" w:space="0"/>
              <w:right w:val="single" w:color="auto" w:sz="4" w:space="0"/>
              <w:tl2br w:val="nil"/>
              <w:tr2bl w:val="nil"/>
            </w:tcBorders>
            <w:shd w:val="clear" w:color="auto" w:fill="FFFFFF"/>
            <w:noWrap w:val="0"/>
            <w:vAlign w:val="center"/>
          </w:tcPr>
          <w:p w14:paraId="325B03D5">
            <w:pPr>
              <w:adjustRightInd w:val="0"/>
              <w:spacing w:line="410" w:lineRule="exact"/>
              <w:jc w:val="center"/>
              <w:textAlignment w:val="baseline"/>
              <w:rPr>
                <w:rFonts w:hint="default" w:ascii="宋体" w:hAnsi="宋体" w:eastAsia="宋体" w:cs="宋体"/>
                <w:b/>
                <w:color w:val="auto"/>
                <w:sz w:val="21"/>
                <w:szCs w:val="21"/>
                <w:highlight w:val="none"/>
              </w:rPr>
            </w:pPr>
            <w:r>
              <w:rPr>
                <w:rFonts w:hint="default" w:ascii="宋体" w:hAnsi="宋体" w:eastAsia="宋体" w:cs="宋体"/>
                <w:b/>
                <w:color w:val="auto"/>
                <w:sz w:val="21"/>
                <w:szCs w:val="21"/>
                <w:highlight w:val="none"/>
              </w:rPr>
              <w:t>分值</w:t>
            </w:r>
          </w:p>
        </w:tc>
      </w:tr>
      <w:tr w14:paraId="478F1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3" w:type="dxa"/>
            <w:tcBorders>
              <w:top w:val="single" w:color="auto" w:sz="4" w:space="0"/>
              <w:left w:val="single" w:color="auto" w:sz="4" w:space="0"/>
              <w:bottom w:val="single" w:color="auto" w:sz="4" w:space="0"/>
              <w:right w:val="single" w:color="auto" w:sz="4" w:space="0"/>
              <w:tl2br w:val="nil"/>
              <w:tr2bl w:val="nil"/>
            </w:tcBorders>
            <w:shd w:val="clear" w:color="auto" w:fill="FFFFFF"/>
            <w:noWrap w:val="0"/>
            <w:vAlign w:val="center"/>
          </w:tcPr>
          <w:p w14:paraId="738E4602">
            <w:pPr>
              <w:adjustRightInd w:val="0"/>
              <w:spacing w:line="360" w:lineRule="exact"/>
              <w:jc w:val="center"/>
              <w:textAlignment w:val="baseline"/>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w:t>
            </w:r>
          </w:p>
        </w:tc>
        <w:tc>
          <w:tcPr>
            <w:tcW w:w="1275" w:type="dxa"/>
            <w:tcBorders>
              <w:top w:val="single" w:color="auto" w:sz="4" w:space="0"/>
              <w:left w:val="single" w:color="auto" w:sz="4" w:space="0"/>
              <w:bottom w:val="single" w:color="auto" w:sz="4" w:space="0"/>
              <w:right w:val="single" w:color="auto" w:sz="4" w:space="0"/>
              <w:tl2br w:val="nil"/>
              <w:tr2bl w:val="nil"/>
            </w:tcBorders>
            <w:shd w:val="clear" w:color="auto" w:fill="FFFFFF"/>
            <w:noWrap w:val="0"/>
            <w:vAlign w:val="center"/>
          </w:tcPr>
          <w:p w14:paraId="4757AB02">
            <w:pPr>
              <w:adjustRightInd w:val="0"/>
              <w:spacing w:line="360" w:lineRule="exact"/>
              <w:jc w:val="center"/>
              <w:textAlignment w:val="baseline"/>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价格分</w:t>
            </w:r>
          </w:p>
          <w:p w14:paraId="505456E6">
            <w:pPr>
              <w:adjustRightInd w:val="0"/>
              <w:spacing w:line="360" w:lineRule="exact"/>
              <w:jc w:val="center"/>
              <w:textAlignment w:val="baseline"/>
              <w:rPr>
                <w:rFonts w:hint="eastAsia" w:ascii="宋体" w:hAnsi="宋体" w:eastAsia="宋体" w:cs="宋体"/>
                <w:b/>
                <w:color w:val="auto"/>
                <w:sz w:val="24"/>
                <w:szCs w:val="24"/>
                <w:highlight w:val="none"/>
              </w:rPr>
            </w:pPr>
          </w:p>
        </w:tc>
        <w:tc>
          <w:tcPr>
            <w:tcW w:w="6780" w:type="dxa"/>
            <w:tcBorders>
              <w:top w:val="single" w:color="auto" w:sz="4" w:space="0"/>
              <w:left w:val="single" w:color="auto" w:sz="4" w:space="0"/>
              <w:bottom w:val="single" w:color="auto" w:sz="4" w:space="0"/>
              <w:right w:val="single" w:color="auto" w:sz="4" w:space="0"/>
              <w:tl2br w:val="nil"/>
              <w:tr2bl w:val="nil"/>
            </w:tcBorders>
            <w:shd w:val="clear" w:color="auto" w:fill="FFFFFF"/>
            <w:noWrap w:val="0"/>
            <w:vAlign w:val="center"/>
          </w:tcPr>
          <w:p w14:paraId="4DDC1FB1">
            <w:pPr>
              <w:spacing w:line="440" w:lineRule="exact"/>
              <w:ind w:firstLine="240" w:firstLineChars="1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（1）本项目专门面向</w:t>
            </w:r>
            <w:r>
              <w:rPr>
                <w:rFonts w:hint="eastAsia" w:ascii="宋体" w:hAnsi="宋体" w:eastAsia="宋体" w:cs="宋体"/>
                <w:color w:val="auto"/>
                <w:sz w:val="24"/>
                <w:szCs w:val="24"/>
                <w:highlight w:val="none"/>
                <w:lang w:val="en-US" w:eastAsia="zh-CN"/>
              </w:rPr>
              <w:t>小微</w:t>
            </w:r>
            <w:r>
              <w:rPr>
                <w:rFonts w:hint="eastAsia" w:ascii="宋体" w:hAnsi="宋体" w:eastAsia="宋体" w:cs="宋体"/>
                <w:color w:val="auto"/>
                <w:sz w:val="24"/>
                <w:szCs w:val="24"/>
                <w:highlight w:val="none"/>
              </w:rPr>
              <w:t>企业采购，不再执行价格优惠扶持政策，评标报价=投标报价。</w:t>
            </w:r>
          </w:p>
          <w:p w14:paraId="2F31A285">
            <w:pPr>
              <w:spacing w:line="440" w:lineRule="exact"/>
              <w:ind w:firstLine="266" w:firstLineChars="11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（2）满足</w:t>
            </w: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rPr>
              <w:t>文件要求且评标报价最低的评标报价为评标基准价，其价格分为满分。</w:t>
            </w:r>
          </w:p>
          <w:p w14:paraId="76E6D069">
            <w:pPr>
              <w:spacing w:line="440" w:lineRule="exact"/>
              <w:ind w:firstLine="266" w:firstLineChars="11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（3）价格分计算公式：        </w:t>
            </w:r>
          </w:p>
          <w:p w14:paraId="3A3500E2">
            <w:pPr>
              <w:spacing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价格分=(评标基准价／评标报价)×</w:t>
            </w:r>
            <w:r>
              <w:rPr>
                <w:rFonts w:hint="eastAsia" w:ascii="宋体" w:hAnsi="宋体" w:eastAsia="宋体" w:cs="宋体"/>
                <w:color w:val="auto"/>
                <w:sz w:val="24"/>
                <w:szCs w:val="24"/>
                <w:highlight w:val="none"/>
                <w:u w:val="single"/>
                <w:lang w:val="en-US" w:eastAsia="zh-CN"/>
              </w:rPr>
              <w:t>20</w:t>
            </w:r>
            <w:r>
              <w:rPr>
                <w:rFonts w:hint="eastAsia" w:ascii="宋体" w:hAnsi="宋体" w:eastAsia="宋体" w:cs="宋体"/>
                <w:color w:val="auto"/>
                <w:sz w:val="24"/>
                <w:szCs w:val="24"/>
                <w:highlight w:val="none"/>
              </w:rPr>
              <w:t>分</w:t>
            </w:r>
          </w:p>
          <w:p w14:paraId="5E1AF932">
            <w:pPr>
              <w:spacing w:line="440" w:lineRule="atLeast"/>
              <w:ind w:firstLine="482" w:firstLineChars="200"/>
              <w:jc w:val="left"/>
              <w:rPr>
                <w:rFonts w:hint="eastAsia" w:ascii="宋体" w:hAnsi="宋体" w:eastAsia="宋体" w:cs="宋体"/>
                <w:b/>
                <w:bCs/>
                <w:color w:val="auto"/>
                <w:sz w:val="24"/>
                <w:highlight w:val="none"/>
              </w:rPr>
            </w:pPr>
            <w:r>
              <w:rPr>
                <w:rFonts w:hint="eastAsia" w:ascii="宋体" w:hAnsi="宋体" w:eastAsia="宋体" w:cs="宋体"/>
                <w:b/>
                <w:bCs/>
                <w:color w:val="auto"/>
                <w:kern w:val="2"/>
                <w:sz w:val="24"/>
                <w:szCs w:val="24"/>
                <w:highlight w:val="none"/>
                <w:lang w:val="en-US" w:eastAsia="zh-CN" w:bidi="ar"/>
              </w:rPr>
              <w:t>（4）根据《财政部关于推动解决政府采购异常低价问题的通知》财库〔2026〕2 号的规定，在评审中出现下列情形之一的，</w:t>
            </w:r>
            <w:r>
              <w:rPr>
                <w:rFonts w:hint="eastAsia" w:ascii="宋体" w:hAnsi="宋体" w:cs="宋体"/>
                <w:b/>
                <w:bCs/>
                <w:i w:val="0"/>
                <w:iCs w:val="0"/>
                <w:color w:val="auto"/>
                <w:spacing w:val="0"/>
                <w:sz w:val="24"/>
                <w:szCs w:val="24"/>
                <w:highlight w:val="none"/>
                <w:lang w:val="en-US" w:eastAsia="zh-CN"/>
              </w:rPr>
              <w:t>磋商小组</w:t>
            </w:r>
            <w:r>
              <w:rPr>
                <w:rFonts w:hint="eastAsia" w:ascii="宋体" w:hAnsi="宋体" w:eastAsia="宋体" w:cs="宋体"/>
                <w:b/>
                <w:bCs/>
                <w:i w:val="0"/>
                <w:iCs w:val="0"/>
                <w:color w:val="auto"/>
                <w:spacing w:val="0"/>
                <w:sz w:val="24"/>
                <w:szCs w:val="24"/>
                <w:highlight w:val="none"/>
              </w:rPr>
              <w:t>应当启动异常低价响应审查程序：</w:t>
            </w:r>
          </w:p>
          <w:p w14:paraId="28CC1480">
            <w:pPr>
              <w:spacing w:line="440" w:lineRule="atLeast"/>
              <w:ind w:firstLine="480" w:firstLineChars="200"/>
              <w:rPr>
                <w:rFonts w:hint="eastAsia" w:ascii="宋体" w:hAnsi="宋体" w:eastAsia="宋体" w:cs="宋体"/>
                <w:b w:val="0"/>
                <w:bCs w:val="0"/>
                <w:color w:val="auto"/>
                <w:sz w:val="24"/>
                <w:highlight w:val="none"/>
              </w:rPr>
            </w:pPr>
            <w:r>
              <w:rPr>
                <w:rFonts w:hint="eastAsia" w:ascii="微软雅黑" w:hAnsi="微软雅黑" w:eastAsia="微软雅黑" w:cs="微软雅黑"/>
                <w:b w:val="0"/>
                <w:bCs w:val="0"/>
                <w:i w:val="0"/>
                <w:iCs w:val="0"/>
                <w:color w:val="auto"/>
                <w:spacing w:val="0"/>
                <w:sz w:val="24"/>
                <w:szCs w:val="24"/>
                <w:highlight w:val="none"/>
                <w:lang w:val="en-US" w:eastAsia="zh-CN"/>
              </w:rPr>
              <w:t>①</w:t>
            </w:r>
            <w:r>
              <w:rPr>
                <w:rFonts w:hint="eastAsia" w:ascii="宋体" w:hAnsi="宋体" w:eastAsia="宋体" w:cs="宋体"/>
                <w:b w:val="0"/>
                <w:bCs w:val="0"/>
                <w:i w:val="0"/>
                <w:iCs w:val="0"/>
                <w:color w:val="auto"/>
                <w:spacing w:val="0"/>
                <w:sz w:val="24"/>
                <w:szCs w:val="24"/>
                <w:highlight w:val="none"/>
              </w:rPr>
              <w:t>响应报价低于全部通过符合性审查供应商响应报价平均值50%的，即响应报价&lt;全部通过符合性审查供应商响应报价平均值×50%；</w:t>
            </w:r>
          </w:p>
          <w:p w14:paraId="4E50AEF7">
            <w:pPr>
              <w:spacing w:line="440" w:lineRule="atLeast"/>
              <w:ind w:firstLine="480" w:firstLineChars="200"/>
              <w:rPr>
                <w:rFonts w:hint="eastAsia" w:ascii="宋体" w:hAnsi="宋体" w:eastAsia="宋体" w:cs="宋体"/>
                <w:b w:val="0"/>
                <w:bCs w:val="0"/>
                <w:i w:val="0"/>
                <w:iCs w:val="0"/>
                <w:color w:val="auto"/>
                <w:spacing w:val="0"/>
                <w:sz w:val="24"/>
                <w:szCs w:val="24"/>
                <w:highlight w:val="none"/>
              </w:rPr>
            </w:pPr>
            <w:r>
              <w:rPr>
                <w:rFonts w:hint="eastAsia" w:ascii="宋体" w:hAnsi="宋体" w:eastAsia="宋体" w:cs="宋体"/>
                <w:b w:val="0"/>
                <w:bCs w:val="0"/>
                <w:i w:val="0"/>
                <w:iCs w:val="0"/>
                <w:color w:val="auto"/>
                <w:spacing w:val="0"/>
                <w:sz w:val="24"/>
                <w:szCs w:val="24"/>
                <w:highlight w:val="none"/>
                <w:lang w:eastAsia="zh-CN"/>
              </w:rPr>
              <w:t>②</w:t>
            </w:r>
            <w:r>
              <w:rPr>
                <w:rFonts w:hint="eastAsia" w:ascii="宋体" w:hAnsi="宋体" w:eastAsia="宋体" w:cs="宋体"/>
                <w:b w:val="0"/>
                <w:bCs w:val="0"/>
                <w:i w:val="0"/>
                <w:iCs w:val="0"/>
                <w:color w:val="auto"/>
                <w:spacing w:val="0"/>
                <w:sz w:val="24"/>
                <w:szCs w:val="24"/>
                <w:highlight w:val="none"/>
              </w:rPr>
              <w:t>响应报价低于通过符合性审查的次低报价供应商响应报价50%的，即响应报价&lt;通过符合性审查的次低报价供应商响应报价×50%；</w:t>
            </w:r>
          </w:p>
          <w:p w14:paraId="584DF703">
            <w:pPr>
              <w:spacing w:line="440" w:lineRule="atLeast"/>
              <w:ind w:firstLine="480" w:firstLineChars="200"/>
              <w:rPr>
                <w:rFonts w:hint="eastAsia" w:ascii="宋体" w:hAnsi="宋体" w:eastAsia="宋体" w:cs="宋体"/>
                <w:b w:val="0"/>
                <w:bCs w:val="0"/>
                <w:i w:val="0"/>
                <w:iCs w:val="0"/>
                <w:color w:val="auto"/>
                <w:spacing w:val="0"/>
                <w:sz w:val="24"/>
                <w:szCs w:val="24"/>
                <w:highlight w:val="none"/>
              </w:rPr>
            </w:pPr>
            <w:r>
              <w:rPr>
                <w:rFonts w:hint="eastAsia" w:ascii="宋体" w:hAnsi="宋体" w:eastAsia="宋体" w:cs="宋体"/>
                <w:b w:val="0"/>
                <w:bCs w:val="0"/>
                <w:i w:val="0"/>
                <w:iCs w:val="0"/>
                <w:color w:val="auto"/>
                <w:spacing w:val="0"/>
                <w:sz w:val="24"/>
                <w:szCs w:val="24"/>
                <w:highlight w:val="none"/>
                <w:lang w:eastAsia="zh-CN"/>
              </w:rPr>
              <w:t>③</w:t>
            </w:r>
            <w:r>
              <w:rPr>
                <w:rFonts w:hint="eastAsia" w:ascii="宋体" w:hAnsi="宋体" w:eastAsia="宋体" w:cs="宋体"/>
                <w:b w:val="0"/>
                <w:bCs w:val="0"/>
                <w:i w:val="0"/>
                <w:iCs w:val="0"/>
                <w:color w:val="auto"/>
                <w:spacing w:val="0"/>
                <w:sz w:val="24"/>
                <w:szCs w:val="24"/>
                <w:highlight w:val="none"/>
              </w:rPr>
              <w:t>响应报价低于采购项目最高限价45%的，即响应报价&lt;采购项目最高限价×45%；</w:t>
            </w:r>
          </w:p>
          <w:p w14:paraId="1EECC183">
            <w:pPr>
              <w:tabs>
                <w:tab w:val="left" w:pos="1680"/>
              </w:tabs>
              <w:spacing w:line="440" w:lineRule="atLeast"/>
              <w:ind w:firstLine="480" w:firstLineChars="200"/>
              <w:rPr>
                <w:rFonts w:hint="eastAsia" w:ascii="宋体" w:hAnsi="宋体" w:eastAsia="宋体" w:cs="宋体"/>
                <w:b w:val="0"/>
                <w:bCs w:val="0"/>
                <w:i w:val="0"/>
                <w:iCs w:val="0"/>
                <w:color w:val="auto"/>
                <w:spacing w:val="0"/>
                <w:sz w:val="24"/>
                <w:szCs w:val="24"/>
                <w:highlight w:val="none"/>
                <w:lang w:eastAsia="zh-CN"/>
              </w:rPr>
            </w:pPr>
            <w:r>
              <w:rPr>
                <w:rFonts w:hint="eastAsia" w:ascii="宋体" w:hAnsi="宋体" w:eastAsia="宋体" w:cs="宋体"/>
                <w:b w:val="0"/>
                <w:bCs w:val="0"/>
                <w:i w:val="0"/>
                <w:iCs w:val="0"/>
                <w:color w:val="auto"/>
                <w:spacing w:val="0"/>
                <w:sz w:val="24"/>
                <w:szCs w:val="24"/>
                <w:highlight w:val="none"/>
                <w:lang w:eastAsia="zh-CN"/>
              </w:rPr>
              <w:t>④</w:t>
            </w:r>
            <w:r>
              <w:rPr>
                <w:rFonts w:hint="eastAsia" w:ascii="宋体" w:hAnsi="宋体" w:cs="宋体"/>
                <w:b w:val="0"/>
                <w:bCs w:val="0"/>
                <w:i w:val="0"/>
                <w:iCs w:val="0"/>
                <w:color w:val="auto"/>
                <w:spacing w:val="0"/>
                <w:sz w:val="24"/>
                <w:szCs w:val="24"/>
                <w:highlight w:val="none"/>
                <w:lang w:val="en-US" w:eastAsia="zh-CN"/>
              </w:rPr>
              <w:t>磋商小组</w:t>
            </w:r>
            <w:r>
              <w:rPr>
                <w:rFonts w:hint="eastAsia" w:ascii="宋体" w:hAnsi="宋体" w:eastAsia="宋体" w:cs="宋体"/>
                <w:b w:val="0"/>
                <w:bCs w:val="0"/>
                <w:i w:val="0"/>
                <w:iCs w:val="0"/>
                <w:color w:val="auto"/>
                <w:spacing w:val="0"/>
                <w:sz w:val="24"/>
                <w:szCs w:val="24"/>
                <w:highlight w:val="none"/>
              </w:rPr>
              <w:t>认为响应报价过低，有可能影响产品质量或者不能诚信履约的其他情形</w:t>
            </w:r>
            <w:r>
              <w:rPr>
                <w:rFonts w:hint="eastAsia" w:ascii="宋体" w:hAnsi="宋体" w:eastAsia="宋体" w:cs="宋体"/>
                <w:b w:val="0"/>
                <w:bCs w:val="0"/>
                <w:i w:val="0"/>
                <w:iCs w:val="0"/>
                <w:color w:val="auto"/>
                <w:spacing w:val="0"/>
                <w:sz w:val="24"/>
                <w:szCs w:val="24"/>
                <w:highlight w:val="none"/>
                <w:lang w:eastAsia="zh-CN"/>
              </w:rPr>
              <w:t>。</w:t>
            </w:r>
          </w:p>
          <w:p w14:paraId="617725FF">
            <w:pPr>
              <w:tabs>
                <w:tab w:val="left" w:pos="1680"/>
              </w:tabs>
              <w:spacing w:line="440" w:lineRule="atLeast"/>
              <w:ind w:firstLine="480" w:firstLineChars="200"/>
              <w:rPr>
                <w:rFonts w:hint="eastAsia" w:ascii="宋体" w:hAnsi="宋体" w:eastAsia="宋体" w:cs="宋体"/>
                <w:b w:val="0"/>
                <w:bCs w:val="0"/>
                <w:i w:val="0"/>
                <w:iCs w:val="0"/>
                <w:color w:val="auto"/>
                <w:spacing w:val="0"/>
                <w:sz w:val="24"/>
                <w:szCs w:val="24"/>
                <w:highlight w:val="none"/>
              </w:rPr>
            </w:pPr>
            <w:r>
              <w:rPr>
                <w:rFonts w:hint="eastAsia" w:ascii="宋体" w:hAnsi="宋体" w:eastAsia="宋体" w:cs="宋体"/>
                <w:b w:val="0"/>
                <w:bCs w:val="0"/>
                <w:i w:val="0"/>
                <w:iCs w:val="0"/>
                <w:color w:val="auto"/>
                <w:spacing w:val="0"/>
                <w:sz w:val="24"/>
                <w:szCs w:val="24"/>
                <w:highlight w:val="none"/>
                <w:lang w:val="en-US" w:eastAsia="zh-CN"/>
              </w:rPr>
              <w:t>磋商小组</w:t>
            </w:r>
            <w:r>
              <w:rPr>
                <w:rFonts w:hint="eastAsia" w:ascii="宋体" w:hAnsi="宋体" w:eastAsia="宋体" w:cs="宋体"/>
                <w:b w:val="0"/>
                <w:bCs w:val="0"/>
                <w:i w:val="0"/>
                <w:iCs w:val="0"/>
                <w:color w:val="auto"/>
                <w:spacing w:val="0"/>
                <w:sz w:val="24"/>
                <w:szCs w:val="24"/>
                <w:highlight w:val="none"/>
              </w:rPr>
              <w:t>启动异常低价审查后，要求相关供应商在评审现场合理的时间内对</w:t>
            </w:r>
            <w:r>
              <w:rPr>
                <w:rFonts w:hint="eastAsia" w:ascii="宋体" w:hAnsi="宋体" w:eastAsia="宋体" w:cs="宋体"/>
                <w:b w:val="0"/>
                <w:bCs w:val="0"/>
                <w:i w:val="0"/>
                <w:iCs w:val="0"/>
                <w:color w:val="auto"/>
                <w:spacing w:val="0"/>
                <w:sz w:val="24"/>
                <w:szCs w:val="24"/>
                <w:highlight w:val="none"/>
                <w:lang w:val="en-US" w:eastAsia="zh-CN"/>
              </w:rPr>
              <w:t>竞标</w:t>
            </w:r>
            <w:r>
              <w:rPr>
                <w:rFonts w:hint="eastAsia" w:ascii="宋体" w:hAnsi="宋体" w:eastAsia="宋体" w:cs="宋体"/>
                <w:b w:val="0"/>
                <w:bCs w:val="0"/>
                <w:i w:val="0"/>
                <w:iCs w:val="0"/>
                <w:color w:val="auto"/>
                <w:spacing w:val="0"/>
                <w:sz w:val="24"/>
                <w:szCs w:val="24"/>
                <w:highlight w:val="none"/>
              </w:rPr>
              <w:t>价格作出解释，提供项目具体成本测算等与报价合理性相关的书面说明及必要的证明材料，包括但不限于</w:t>
            </w:r>
            <w:r>
              <w:rPr>
                <w:rFonts w:hint="eastAsia" w:ascii="宋体" w:hAnsi="宋体" w:eastAsia="宋体" w:cs="宋体"/>
                <w:b w:val="0"/>
                <w:bCs w:val="0"/>
                <w:i w:val="0"/>
                <w:iCs w:val="0"/>
                <w:color w:val="auto"/>
                <w:spacing w:val="0"/>
                <w:sz w:val="24"/>
                <w:szCs w:val="24"/>
                <w:highlight w:val="none"/>
                <w:lang w:val="en-US" w:eastAsia="zh-CN"/>
              </w:rPr>
              <w:t>主要</w:t>
            </w:r>
            <w:r>
              <w:rPr>
                <w:rFonts w:hint="eastAsia" w:ascii="宋体" w:hAnsi="宋体" w:eastAsia="宋体" w:cs="宋体"/>
                <w:b w:val="0"/>
                <w:bCs w:val="0"/>
                <w:i w:val="0"/>
                <w:iCs w:val="0"/>
                <w:color w:val="auto"/>
                <w:spacing w:val="0"/>
                <w:sz w:val="24"/>
                <w:szCs w:val="24"/>
                <w:highlight w:val="none"/>
              </w:rPr>
              <w:t>材料</w:t>
            </w:r>
            <w:r>
              <w:rPr>
                <w:rFonts w:hint="eastAsia" w:ascii="宋体" w:hAnsi="宋体" w:eastAsia="宋体" w:cs="宋体"/>
                <w:b w:val="0"/>
                <w:bCs w:val="0"/>
                <w:i w:val="0"/>
                <w:iCs w:val="0"/>
                <w:color w:val="auto"/>
                <w:spacing w:val="0"/>
                <w:sz w:val="24"/>
                <w:szCs w:val="24"/>
                <w:highlight w:val="none"/>
                <w:lang w:val="en-US" w:eastAsia="zh-CN"/>
              </w:rPr>
              <w:t>采购</w:t>
            </w:r>
            <w:r>
              <w:rPr>
                <w:rFonts w:hint="eastAsia" w:ascii="宋体" w:hAnsi="宋体" w:eastAsia="宋体" w:cs="宋体"/>
                <w:b w:val="0"/>
                <w:bCs w:val="0"/>
                <w:i w:val="0"/>
                <w:iCs w:val="0"/>
                <w:color w:val="auto"/>
                <w:spacing w:val="0"/>
                <w:sz w:val="24"/>
                <w:szCs w:val="24"/>
                <w:highlight w:val="none"/>
              </w:rPr>
              <w:t>成本、</w:t>
            </w:r>
            <w:r>
              <w:rPr>
                <w:rFonts w:hint="eastAsia" w:ascii="宋体" w:hAnsi="宋体" w:eastAsia="宋体" w:cs="宋体"/>
                <w:b w:val="0"/>
                <w:bCs w:val="0"/>
                <w:i w:val="0"/>
                <w:iCs w:val="0"/>
                <w:color w:val="auto"/>
                <w:spacing w:val="0"/>
                <w:sz w:val="24"/>
                <w:szCs w:val="24"/>
                <w:highlight w:val="none"/>
                <w:lang w:val="en-US" w:eastAsia="zh-CN"/>
              </w:rPr>
              <w:t>分项成本分析、管理费构成</w:t>
            </w:r>
            <w:r>
              <w:rPr>
                <w:rFonts w:hint="eastAsia" w:ascii="宋体" w:hAnsi="宋体" w:eastAsia="宋体" w:cs="宋体"/>
                <w:b w:val="0"/>
                <w:bCs w:val="0"/>
                <w:i w:val="0"/>
                <w:iCs w:val="0"/>
                <w:color w:val="auto"/>
                <w:spacing w:val="0"/>
                <w:sz w:val="24"/>
                <w:szCs w:val="24"/>
                <w:highlight w:val="none"/>
              </w:rPr>
              <w:t>等，给予相关供应商的合理时间一般不少于30分钟。</w:t>
            </w:r>
          </w:p>
          <w:p w14:paraId="31837DC3">
            <w:pPr>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b w:val="0"/>
                <w:bCs w:val="0"/>
                <w:i w:val="0"/>
                <w:iCs w:val="0"/>
                <w:color w:val="auto"/>
                <w:spacing w:val="0"/>
                <w:sz w:val="24"/>
                <w:szCs w:val="24"/>
                <w:highlight w:val="none"/>
              </w:rPr>
              <w:t>供应商提供书面说明后，</w:t>
            </w:r>
            <w:r>
              <w:rPr>
                <w:rFonts w:hint="eastAsia" w:ascii="宋体" w:hAnsi="宋体" w:eastAsia="宋体" w:cs="宋体"/>
                <w:b w:val="0"/>
                <w:bCs w:val="0"/>
                <w:i w:val="0"/>
                <w:iCs w:val="0"/>
                <w:color w:val="auto"/>
                <w:spacing w:val="0"/>
                <w:sz w:val="24"/>
                <w:szCs w:val="24"/>
                <w:highlight w:val="none"/>
                <w:lang w:val="en-US" w:eastAsia="zh-CN"/>
              </w:rPr>
              <w:t>磋商小组</w:t>
            </w:r>
            <w:r>
              <w:rPr>
                <w:rFonts w:hint="eastAsia" w:ascii="宋体" w:hAnsi="宋体" w:eastAsia="宋体" w:cs="宋体"/>
                <w:b w:val="0"/>
                <w:bCs w:val="0"/>
                <w:i w:val="0"/>
                <w:iCs w:val="0"/>
                <w:color w:val="auto"/>
                <w:spacing w:val="0"/>
                <w:sz w:val="24"/>
                <w:szCs w:val="24"/>
                <w:highlight w:val="none"/>
              </w:rPr>
              <w:t>依据专业经验，参考同类项目中标（成交）价格、类似产品市场价格水平、行业人工费用标准、国家有关部门指导行业协会发布的行业平均成本等情况，对报价合理性进行判断。供应商不能提供书面说明、或者变相拒绝提供证明材料，或者提供的书面说明、证明材料不能证明其报价合理性的，</w:t>
            </w:r>
            <w:r>
              <w:rPr>
                <w:rFonts w:hint="eastAsia" w:ascii="宋体" w:hAnsi="宋体" w:eastAsia="宋体" w:cs="宋体"/>
                <w:b w:val="0"/>
                <w:bCs w:val="0"/>
                <w:i w:val="0"/>
                <w:iCs w:val="0"/>
                <w:color w:val="auto"/>
                <w:spacing w:val="0"/>
                <w:sz w:val="24"/>
                <w:szCs w:val="24"/>
                <w:highlight w:val="none"/>
                <w:lang w:val="en-US" w:eastAsia="zh-CN"/>
              </w:rPr>
              <w:t>磋商小组</w:t>
            </w:r>
            <w:r>
              <w:rPr>
                <w:rFonts w:hint="eastAsia" w:ascii="宋体" w:hAnsi="宋体" w:eastAsia="宋体" w:cs="宋体"/>
                <w:b w:val="0"/>
                <w:bCs w:val="0"/>
                <w:i w:val="0"/>
                <w:iCs w:val="0"/>
                <w:color w:val="auto"/>
                <w:spacing w:val="0"/>
                <w:sz w:val="24"/>
                <w:szCs w:val="24"/>
                <w:highlight w:val="none"/>
              </w:rPr>
              <w:t>应当将其作为无效投标处理。</w:t>
            </w:r>
          </w:p>
        </w:tc>
        <w:tc>
          <w:tcPr>
            <w:tcW w:w="1060" w:type="dxa"/>
            <w:tcBorders>
              <w:top w:val="single" w:color="auto" w:sz="4" w:space="0"/>
              <w:left w:val="single" w:color="auto" w:sz="4" w:space="0"/>
              <w:bottom w:val="single" w:color="auto" w:sz="4" w:space="0"/>
              <w:right w:val="single" w:color="auto" w:sz="4" w:space="0"/>
              <w:tl2br w:val="nil"/>
              <w:tr2bl w:val="nil"/>
            </w:tcBorders>
            <w:shd w:val="clear" w:color="auto" w:fill="FFFFFF"/>
            <w:noWrap w:val="0"/>
            <w:vAlign w:val="center"/>
          </w:tcPr>
          <w:p w14:paraId="3BF72395">
            <w:pPr>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0-</w:t>
            </w:r>
            <w:r>
              <w:rPr>
                <w:rFonts w:hint="eastAsia" w:ascii="宋体" w:hAnsi="宋体" w:eastAsia="宋体" w:cs="宋体"/>
                <w:b/>
                <w:color w:val="auto"/>
                <w:sz w:val="24"/>
                <w:szCs w:val="24"/>
                <w:highlight w:val="none"/>
                <w:lang w:val="en-US" w:eastAsia="zh-CN"/>
              </w:rPr>
              <w:t>20</w:t>
            </w:r>
            <w:r>
              <w:rPr>
                <w:rFonts w:hint="eastAsia" w:ascii="宋体" w:hAnsi="宋体" w:eastAsia="宋体" w:cs="宋体"/>
                <w:b/>
                <w:color w:val="auto"/>
                <w:sz w:val="24"/>
                <w:szCs w:val="24"/>
                <w:highlight w:val="none"/>
              </w:rPr>
              <w:t>分</w:t>
            </w:r>
          </w:p>
        </w:tc>
      </w:tr>
      <w:tr w14:paraId="3DC11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03" w:type="dxa"/>
            <w:tcBorders>
              <w:top w:val="single" w:color="auto" w:sz="4" w:space="0"/>
              <w:left w:val="single" w:color="auto" w:sz="4" w:space="0"/>
              <w:bottom w:val="single" w:color="auto" w:sz="4" w:space="0"/>
              <w:right w:val="single" w:color="auto" w:sz="4" w:space="0"/>
              <w:tl2br w:val="nil"/>
              <w:tr2bl w:val="nil"/>
            </w:tcBorders>
            <w:shd w:val="clear" w:color="auto" w:fill="FFFFFF"/>
            <w:noWrap w:val="0"/>
            <w:vAlign w:val="center"/>
          </w:tcPr>
          <w:p w14:paraId="55128CB0">
            <w:pPr>
              <w:adjustRightInd w:val="0"/>
              <w:spacing w:line="360" w:lineRule="exact"/>
              <w:jc w:val="center"/>
              <w:textAlignment w:val="baseline"/>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2</w:t>
            </w:r>
          </w:p>
        </w:tc>
        <w:tc>
          <w:tcPr>
            <w:tcW w:w="1275" w:type="dxa"/>
            <w:tcBorders>
              <w:top w:val="single" w:color="auto" w:sz="4" w:space="0"/>
              <w:left w:val="single" w:color="auto" w:sz="4" w:space="0"/>
              <w:bottom w:val="single" w:color="auto" w:sz="4" w:space="0"/>
              <w:right w:val="single" w:color="auto" w:sz="4" w:space="0"/>
              <w:tl2br w:val="nil"/>
              <w:tr2bl w:val="nil"/>
            </w:tcBorders>
            <w:shd w:val="clear" w:color="auto" w:fill="FFFFFF"/>
            <w:noWrap w:val="0"/>
            <w:vAlign w:val="center"/>
          </w:tcPr>
          <w:p w14:paraId="23AF957F">
            <w:pPr>
              <w:adjustRightInd w:val="0"/>
              <w:spacing w:line="360" w:lineRule="exact"/>
              <w:jc w:val="center"/>
              <w:textAlignment w:val="baseline"/>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技术分</w:t>
            </w:r>
          </w:p>
        </w:tc>
        <w:tc>
          <w:tcPr>
            <w:tcW w:w="6780" w:type="dxa"/>
            <w:tcBorders>
              <w:top w:val="single" w:color="auto" w:sz="4" w:space="0"/>
              <w:left w:val="single" w:color="auto" w:sz="4" w:space="0"/>
              <w:bottom w:val="single" w:color="auto" w:sz="4" w:space="0"/>
              <w:right w:val="single" w:color="auto" w:sz="4" w:space="0"/>
              <w:tl2br w:val="nil"/>
              <w:tr2bl w:val="nil"/>
            </w:tcBorders>
            <w:shd w:val="clear" w:color="auto" w:fill="FFFFFF"/>
            <w:noWrap w:val="0"/>
            <w:vAlign w:val="center"/>
          </w:tcPr>
          <w:p w14:paraId="12B873B8">
            <w:pPr>
              <w:adjustRightInd w:val="0"/>
              <w:spacing w:line="360" w:lineRule="exact"/>
              <w:jc w:val="center"/>
              <w:textAlignment w:val="baseline"/>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评审因素</w:t>
            </w:r>
          </w:p>
        </w:tc>
        <w:tc>
          <w:tcPr>
            <w:tcW w:w="1060" w:type="dxa"/>
            <w:tcBorders>
              <w:top w:val="single" w:color="auto" w:sz="4" w:space="0"/>
              <w:left w:val="single" w:color="auto" w:sz="4" w:space="0"/>
              <w:bottom w:val="single" w:color="auto" w:sz="4" w:space="0"/>
              <w:right w:val="single" w:color="auto" w:sz="4" w:space="0"/>
              <w:tl2br w:val="nil"/>
              <w:tr2bl w:val="nil"/>
            </w:tcBorders>
            <w:shd w:val="clear" w:color="auto" w:fill="FFFFFF"/>
            <w:noWrap w:val="0"/>
            <w:vAlign w:val="center"/>
          </w:tcPr>
          <w:p w14:paraId="23563A43">
            <w:pPr>
              <w:adjustRightInd w:val="0"/>
              <w:spacing w:line="360" w:lineRule="exact"/>
              <w:jc w:val="center"/>
              <w:textAlignment w:val="baseline"/>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0-7</w:t>
            </w:r>
            <w:r>
              <w:rPr>
                <w:rFonts w:hint="eastAsia" w:ascii="宋体" w:hAnsi="宋体" w:eastAsia="宋体" w:cs="宋体"/>
                <w:b/>
                <w:color w:val="auto"/>
                <w:sz w:val="24"/>
                <w:szCs w:val="24"/>
                <w:highlight w:val="none"/>
                <w:lang w:val="en-US" w:eastAsia="zh-CN"/>
              </w:rPr>
              <w:t>6</w:t>
            </w:r>
            <w:r>
              <w:rPr>
                <w:rFonts w:hint="eastAsia" w:ascii="宋体" w:hAnsi="宋体" w:eastAsia="宋体" w:cs="宋体"/>
                <w:b/>
                <w:color w:val="auto"/>
                <w:sz w:val="24"/>
                <w:szCs w:val="24"/>
                <w:highlight w:val="none"/>
              </w:rPr>
              <w:t>分</w:t>
            </w:r>
          </w:p>
        </w:tc>
      </w:tr>
      <w:tr w14:paraId="35470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3" w:type="dxa"/>
            <w:tcBorders>
              <w:top w:val="single" w:color="auto" w:sz="4" w:space="0"/>
              <w:left w:val="single" w:color="auto" w:sz="4" w:space="0"/>
              <w:bottom w:val="single" w:color="auto" w:sz="4" w:space="0"/>
              <w:right w:val="single" w:color="auto" w:sz="4" w:space="0"/>
              <w:tl2br w:val="nil"/>
              <w:tr2bl w:val="nil"/>
            </w:tcBorders>
            <w:shd w:val="clear" w:color="auto" w:fill="FFFFFF"/>
            <w:noWrap w:val="0"/>
            <w:vAlign w:val="center"/>
          </w:tcPr>
          <w:p w14:paraId="435C2FF5">
            <w:pPr>
              <w:adjustRightInd w:val="0"/>
              <w:snapToGrid w:val="0"/>
              <w:spacing w:line="360" w:lineRule="atLeast"/>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w:t>
            </w:r>
          </w:p>
        </w:tc>
        <w:tc>
          <w:tcPr>
            <w:tcW w:w="1275" w:type="dxa"/>
            <w:tcBorders>
              <w:top w:val="single" w:color="auto" w:sz="4" w:space="0"/>
              <w:left w:val="single" w:color="auto" w:sz="4" w:space="0"/>
              <w:bottom w:val="single" w:color="auto" w:sz="4" w:space="0"/>
              <w:right w:val="single" w:color="auto" w:sz="4" w:space="0"/>
              <w:tl2br w:val="nil"/>
              <w:tr2bl w:val="nil"/>
            </w:tcBorders>
            <w:shd w:val="clear" w:color="auto" w:fill="FFFFFF"/>
            <w:noWrap w:val="0"/>
            <w:vAlign w:val="center"/>
          </w:tcPr>
          <w:p w14:paraId="5CC22440">
            <w:pPr>
              <w:snapToGrid w:val="0"/>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主要施工方法</w:t>
            </w:r>
          </w:p>
        </w:tc>
        <w:tc>
          <w:tcPr>
            <w:tcW w:w="6780" w:type="dxa"/>
            <w:tcBorders>
              <w:top w:val="single" w:color="auto" w:sz="4" w:space="0"/>
              <w:left w:val="single" w:color="auto" w:sz="4" w:space="0"/>
              <w:bottom w:val="single" w:color="auto" w:sz="4" w:space="0"/>
              <w:right w:val="single" w:color="auto" w:sz="4" w:space="0"/>
              <w:tl2br w:val="nil"/>
              <w:tr2bl w:val="nil"/>
            </w:tcBorders>
            <w:shd w:val="clear" w:color="auto" w:fill="FFFFFF"/>
            <w:noWrap w:val="0"/>
            <w:vAlign w:val="center"/>
          </w:tcPr>
          <w:p w14:paraId="7448E94E">
            <w:pPr>
              <w:tabs>
                <w:tab w:val="left" w:pos="1440"/>
              </w:tabs>
              <w:spacing w:line="440" w:lineRule="exac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优（</w:t>
            </w:r>
            <w:r>
              <w:rPr>
                <w:rFonts w:hint="eastAsia" w:ascii="宋体" w:hAnsi="宋体" w:eastAsia="宋体" w:cs="宋体"/>
                <w:b/>
                <w:color w:val="auto"/>
                <w:sz w:val="24"/>
                <w:szCs w:val="24"/>
                <w:highlight w:val="none"/>
                <w:lang w:val="en-US" w:eastAsia="zh-CN"/>
              </w:rPr>
              <w:t>8</w:t>
            </w:r>
            <w:r>
              <w:rPr>
                <w:rFonts w:hint="eastAsia" w:ascii="宋体" w:hAnsi="宋体" w:eastAsia="宋体" w:cs="宋体"/>
                <w:b/>
                <w:color w:val="auto"/>
                <w:sz w:val="24"/>
                <w:szCs w:val="24"/>
                <w:highlight w:val="none"/>
              </w:rPr>
              <w:t>分）：</w:t>
            </w:r>
            <w:r>
              <w:rPr>
                <w:rFonts w:hint="eastAsia" w:ascii="宋体" w:hAnsi="宋体" w:eastAsia="宋体" w:cs="宋体"/>
                <w:color w:val="auto"/>
                <w:sz w:val="24"/>
                <w:szCs w:val="24"/>
                <w:highlight w:val="none"/>
              </w:rPr>
              <w:t>各主要分部施工方法针对性强，施工技术方案详尽周密，工艺先进、方法科学、可行，能很好的指导具体施工并确保安全。</w:t>
            </w:r>
          </w:p>
          <w:p w14:paraId="5420ED9B">
            <w:pPr>
              <w:tabs>
                <w:tab w:val="left" w:pos="1440"/>
              </w:tabs>
              <w:spacing w:line="440" w:lineRule="exac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良（</w:t>
            </w:r>
            <w:r>
              <w:rPr>
                <w:rFonts w:hint="eastAsia" w:ascii="宋体" w:hAnsi="宋体" w:eastAsia="宋体" w:cs="宋体"/>
                <w:b/>
                <w:color w:val="auto"/>
                <w:sz w:val="24"/>
                <w:szCs w:val="24"/>
                <w:highlight w:val="none"/>
                <w:lang w:val="en-US" w:eastAsia="zh-CN"/>
              </w:rPr>
              <w:t>6</w:t>
            </w:r>
            <w:r>
              <w:rPr>
                <w:rFonts w:hint="eastAsia" w:ascii="宋体" w:hAnsi="宋体" w:eastAsia="宋体" w:cs="宋体"/>
                <w:b/>
                <w:color w:val="auto"/>
                <w:sz w:val="24"/>
                <w:szCs w:val="24"/>
                <w:highlight w:val="none"/>
              </w:rPr>
              <w:t>分）</w:t>
            </w:r>
            <w:r>
              <w:rPr>
                <w:rFonts w:hint="eastAsia" w:ascii="宋体" w:hAnsi="宋体" w:eastAsia="宋体" w:cs="宋体"/>
                <w:color w:val="auto"/>
                <w:sz w:val="24"/>
                <w:szCs w:val="24"/>
                <w:highlight w:val="none"/>
              </w:rPr>
              <w:t>：各主要分部施工方法符合项目实际，施工技术方案齐全，工艺成熟、方法合理、可行，能指导具体施工并确保安全。</w:t>
            </w:r>
          </w:p>
          <w:p w14:paraId="3F3631A1">
            <w:pPr>
              <w:tabs>
                <w:tab w:val="left" w:pos="1440"/>
              </w:tabs>
              <w:spacing w:line="440" w:lineRule="exac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中（4分</w:t>
            </w:r>
            <w:r>
              <w:rPr>
                <w:rFonts w:hint="eastAsia" w:ascii="宋体" w:hAnsi="宋体" w:eastAsia="宋体" w:cs="宋体"/>
                <w:color w:val="auto"/>
                <w:sz w:val="24"/>
                <w:szCs w:val="24"/>
                <w:highlight w:val="none"/>
              </w:rPr>
              <w:t xml:space="preserve">）：各主要分部施工方法基本符合项目实际，施工技术方案基本齐全，方法基本合理、基本可行，基本能指导具体施工并确保安全。 </w:t>
            </w:r>
          </w:p>
          <w:p w14:paraId="3EEC1E3B">
            <w:pPr>
              <w:tabs>
                <w:tab w:val="left" w:pos="1440"/>
              </w:tabs>
              <w:spacing w:line="440" w:lineRule="exac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差（2分）</w:t>
            </w:r>
            <w:r>
              <w:rPr>
                <w:rFonts w:hint="eastAsia" w:ascii="宋体" w:hAnsi="宋体" w:eastAsia="宋体" w:cs="宋体"/>
                <w:color w:val="auto"/>
                <w:sz w:val="24"/>
                <w:szCs w:val="24"/>
                <w:highlight w:val="none"/>
              </w:rPr>
              <w:t>：各主要分部施工方法针对性差，施工技术方案差， 工艺落后、方法不合理，不能指导具体施工和确保安全。</w:t>
            </w:r>
          </w:p>
        </w:tc>
        <w:tc>
          <w:tcPr>
            <w:tcW w:w="1060" w:type="dxa"/>
            <w:tcBorders>
              <w:top w:val="single" w:color="auto" w:sz="4" w:space="0"/>
              <w:left w:val="single" w:color="auto" w:sz="4" w:space="0"/>
              <w:bottom w:val="single" w:color="auto" w:sz="4" w:space="0"/>
              <w:right w:val="single" w:color="auto" w:sz="4" w:space="0"/>
              <w:tl2br w:val="nil"/>
              <w:tr2bl w:val="nil"/>
            </w:tcBorders>
            <w:shd w:val="clear" w:color="auto" w:fill="FFFFFF"/>
            <w:noWrap w:val="0"/>
            <w:vAlign w:val="center"/>
          </w:tcPr>
          <w:p w14:paraId="5E120CB1">
            <w:pPr>
              <w:adjustRightInd w:val="0"/>
              <w:snapToGrid w:val="0"/>
              <w:spacing w:line="360" w:lineRule="atLeast"/>
              <w:jc w:val="center"/>
              <w:textAlignment w:val="baseline"/>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0-</w:t>
            </w:r>
            <w:r>
              <w:rPr>
                <w:rFonts w:hint="eastAsia" w:ascii="宋体" w:hAnsi="宋体" w:eastAsia="宋体" w:cs="宋体"/>
                <w:b/>
                <w:color w:val="auto"/>
                <w:sz w:val="24"/>
                <w:szCs w:val="24"/>
                <w:highlight w:val="none"/>
                <w:lang w:val="en-US" w:eastAsia="zh-CN"/>
              </w:rPr>
              <w:t>8</w:t>
            </w:r>
            <w:r>
              <w:rPr>
                <w:rFonts w:hint="eastAsia" w:ascii="宋体" w:hAnsi="宋体" w:eastAsia="宋体" w:cs="宋体"/>
                <w:b/>
                <w:color w:val="auto"/>
                <w:sz w:val="24"/>
                <w:szCs w:val="24"/>
                <w:highlight w:val="none"/>
              </w:rPr>
              <w:t>分</w:t>
            </w:r>
          </w:p>
        </w:tc>
      </w:tr>
      <w:tr w14:paraId="3ECE5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3" w:type="dxa"/>
            <w:tcBorders>
              <w:top w:val="single" w:color="auto" w:sz="4" w:space="0"/>
              <w:left w:val="single" w:color="auto" w:sz="4" w:space="0"/>
              <w:bottom w:val="single" w:color="auto" w:sz="4" w:space="0"/>
              <w:right w:val="single" w:color="auto" w:sz="4" w:space="0"/>
              <w:tl2br w:val="nil"/>
              <w:tr2bl w:val="nil"/>
            </w:tcBorders>
            <w:shd w:val="clear" w:color="auto" w:fill="FFFFFF"/>
            <w:noWrap w:val="0"/>
            <w:vAlign w:val="center"/>
          </w:tcPr>
          <w:p w14:paraId="0E5D9EF3">
            <w:pPr>
              <w:adjustRightInd w:val="0"/>
              <w:snapToGrid w:val="0"/>
              <w:spacing w:line="360" w:lineRule="atLeast"/>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w:t>
            </w:r>
          </w:p>
        </w:tc>
        <w:tc>
          <w:tcPr>
            <w:tcW w:w="1275" w:type="dxa"/>
            <w:tcBorders>
              <w:top w:val="single" w:color="auto" w:sz="4" w:space="0"/>
              <w:left w:val="single" w:color="auto" w:sz="4" w:space="0"/>
              <w:bottom w:val="single" w:color="auto" w:sz="4" w:space="0"/>
              <w:right w:val="single" w:color="auto" w:sz="4" w:space="0"/>
              <w:tl2br w:val="nil"/>
              <w:tr2bl w:val="nil"/>
            </w:tcBorders>
            <w:shd w:val="clear" w:color="auto" w:fill="FFFFFF"/>
            <w:noWrap w:val="0"/>
            <w:vAlign w:val="center"/>
          </w:tcPr>
          <w:p w14:paraId="100E40DB">
            <w:pPr>
              <w:snapToGrid w:val="0"/>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拟投入的主要物资计划</w:t>
            </w:r>
          </w:p>
        </w:tc>
        <w:tc>
          <w:tcPr>
            <w:tcW w:w="6780" w:type="dxa"/>
            <w:tcBorders>
              <w:top w:val="single" w:color="auto" w:sz="4" w:space="0"/>
              <w:left w:val="single" w:color="auto" w:sz="4" w:space="0"/>
              <w:bottom w:val="single" w:color="auto" w:sz="4" w:space="0"/>
              <w:right w:val="single" w:color="auto" w:sz="4" w:space="0"/>
              <w:tl2br w:val="nil"/>
              <w:tr2bl w:val="nil"/>
            </w:tcBorders>
            <w:shd w:val="clear" w:color="auto" w:fill="FFFFFF"/>
            <w:noWrap w:val="0"/>
            <w:vAlign w:val="center"/>
          </w:tcPr>
          <w:p w14:paraId="595ED61B">
            <w:pPr>
              <w:tabs>
                <w:tab w:val="left" w:pos="1440"/>
              </w:tabs>
              <w:spacing w:line="440" w:lineRule="exac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优（8分）</w:t>
            </w:r>
            <w:r>
              <w:rPr>
                <w:rFonts w:hint="eastAsia" w:ascii="宋体" w:hAnsi="宋体" w:eastAsia="宋体" w:cs="宋体"/>
                <w:color w:val="auto"/>
                <w:sz w:val="24"/>
                <w:szCs w:val="24"/>
                <w:highlight w:val="none"/>
              </w:rPr>
              <w:t>：投入的施工材料有详细的组织计划且计划周密，投入计划与进度计划呼应，完全满足施工需要，调配投入计划合理、准确、完整。</w:t>
            </w:r>
          </w:p>
          <w:p w14:paraId="5A35BF38">
            <w:pPr>
              <w:tabs>
                <w:tab w:val="left" w:pos="1440"/>
              </w:tabs>
              <w:spacing w:line="440" w:lineRule="exac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良（</w:t>
            </w:r>
            <w:r>
              <w:rPr>
                <w:rFonts w:hint="eastAsia" w:ascii="宋体" w:hAnsi="宋体" w:eastAsia="宋体" w:cs="宋体"/>
                <w:b/>
                <w:color w:val="auto"/>
                <w:sz w:val="24"/>
                <w:szCs w:val="24"/>
                <w:highlight w:val="none"/>
                <w:lang w:val="en-US" w:eastAsia="zh-CN"/>
              </w:rPr>
              <w:t>6</w:t>
            </w:r>
            <w:r>
              <w:rPr>
                <w:rFonts w:hint="eastAsia" w:ascii="宋体" w:hAnsi="宋体" w:eastAsia="宋体" w:cs="宋体"/>
                <w:b/>
                <w:color w:val="auto"/>
                <w:sz w:val="24"/>
                <w:szCs w:val="24"/>
                <w:highlight w:val="none"/>
              </w:rPr>
              <w:t>分）</w:t>
            </w:r>
            <w:r>
              <w:rPr>
                <w:rFonts w:hint="eastAsia" w:ascii="宋体" w:hAnsi="宋体" w:eastAsia="宋体" w:cs="宋体"/>
                <w:color w:val="auto"/>
                <w:sz w:val="24"/>
                <w:szCs w:val="24"/>
                <w:highlight w:val="none"/>
              </w:rPr>
              <w:t xml:space="preserve">：投入的施工材料有详细的组织计划，投入计划与进度计划呼应，可以满足施工需要，调配投入计划基本合理、准确。 </w:t>
            </w:r>
          </w:p>
          <w:p w14:paraId="78155792">
            <w:pPr>
              <w:tabs>
                <w:tab w:val="left" w:pos="1440"/>
              </w:tabs>
              <w:spacing w:line="440" w:lineRule="exac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中（</w:t>
            </w:r>
            <w:r>
              <w:rPr>
                <w:rFonts w:hint="eastAsia" w:ascii="宋体" w:hAnsi="宋体" w:eastAsia="宋体" w:cs="宋体"/>
                <w:b/>
                <w:color w:val="auto"/>
                <w:sz w:val="24"/>
                <w:szCs w:val="24"/>
                <w:highlight w:val="none"/>
                <w:lang w:val="en-US" w:eastAsia="zh-CN"/>
              </w:rPr>
              <w:t>4</w:t>
            </w:r>
            <w:r>
              <w:rPr>
                <w:rFonts w:hint="eastAsia" w:ascii="宋体" w:hAnsi="宋体" w:eastAsia="宋体" w:cs="宋体"/>
                <w:b/>
                <w:color w:val="auto"/>
                <w:sz w:val="24"/>
                <w:szCs w:val="24"/>
                <w:highlight w:val="none"/>
              </w:rPr>
              <w:t>分）</w:t>
            </w:r>
            <w:r>
              <w:rPr>
                <w:rFonts w:hint="eastAsia" w:ascii="宋体" w:hAnsi="宋体" w:eastAsia="宋体" w:cs="宋体"/>
                <w:color w:val="auto"/>
                <w:sz w:val="24"/>
                <w:szCs w:val="24"/>
                <w:highlight w:val="none"/>
              </w:rPr>
              <w:t xml:space="preserve">：投入的施工材料有完整的组织计划，投入计划与进度计划呼应，基本满足施工需要，调配投入计划基本合理。 </w:t>
            </w:r>
          </w:p>
          <w:p w14:paraId="78CBBE00">
            <w:pPr>
              <w:tabs>
                <w:tab w:val="left" w:pos="1440"/>
              </w:tabs>
              <w:spacing w:line="440" w:lineRule="exac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差（</w:t>
            </w:r>
            <w:r>
              <w:rPr>
                <w:rFonts w:hint="eastAsia" w:ascii="宋体" w:hAnsi="宋体" w:eastAsia="宋体" w:cs="宋体"/>
                <w:b/>
                <w:color w:val="auto"/>
                <w:sz w:val="24"/>
                <w:szCs w:val="24"/>
                <w:highlight w:val="none"/>
                <w:lang w:val="en-US" w:eastAsia="zh-CN"/>
              </w:rPr>
              <w:t>2</w:t>
            </w:r>
            <w:r>
              <w:rPr>
                <w:rFonts w:hint="eastAsia" w:ascii="宋体" w:hAnsi="宋体" w:eastAsia="宋体" w:cs="宋体"/>
                <w:b/>
                <w:color w:val="auto"/>
                <w:sz w:val="24"/>
                <w:szCs w:val="24"/>
                <w:highlight w:val="none"/>
              </w:rPr>
              <w:t>分）</w:t>
            </w:r>
            <w:r>
              <w:rPr>
                <w:rFonts w:hint="eastAsia" w:ascii="宋体" w:hAnsi="宋体" w:eastAsia="宋体" w:cs="宋体"/>
                <w:color w:val="auto"/>
                <w:sz w:val="24"/>
                <w:szCs w:val="24"/>
                <w:highlight w:val="none"/>
              </w:rPr>
              <w:t>：投入的施工材料的组织计划差，投入计划与进度计划不呼应，勉强满足施工需要。</w:t>
            </w:r>
          </w:p>
        </w:tc>
        <w:tc>
          <w:tcPr>
            <w:tcW w:w="1060" w:type="dxa"/>
            <w:tcBorders>
              <w:top w:val="single" w:color="auto" w:sz="4" w:space="0"/>
              <w:left w:val="single" w:color="auto" w:sz="4" w:space="0"/>
              <w:bottom w:val="single" w:color="auto" w:sz="4" w:space="0"/>
              <w:right w:val="single" w:color="auto" w:sz="4" w:space="0"/>
              <w:tl2br w:val="nil"/>
              <w:tr2bl w:val="nil"/>
            </w:tcBorders>
            <w:shd w:val="clear" w:color="auto" w:fill="FFFFFF"/>
            <w:noWrap w:val="0"/>
            <w:vAlign w:val="center"/>
          </w:tcPr>
          <w:p w14:paraId="42974333">
            <w:pPr>
              <w:adjustRightInd w:val="0"/>
              <w:snapToGrid w:val="0"/>
              <w:spacing w:line="360" w:lineRule="atLeast"/>
              <w:jc w:val="center"/>
              <w:textAlignment w:val="baseline"/>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0-8分</w:t>
            </w:r>
          </w:p>
        </w:tc>
      </w:tr>
      <w:tr w14:paraId="6EBAE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3" w:type="dxa"/>
            <w:tcBorders>
              <w:top w:val="single" w:color="auto" w:sz="4" w:space="0"/>
              <w:left w:val="single" w:color="auto" w:sz="4" w:space="0"/>
              <w:bottom w:val="single" w:color="auto" w:sz="4" w:space="0"/>
              <w:right w:val="single" w:color="auto" w:sz="4" w:space="0"/>
              <w:tl2br w:val="nil"/>
              <w:tr2bl w:val="nil"/>
            </w:tcBorders>
            <w:shd w:val="clear" w:color="auto" w:fill="FFFFFF"/>
            <w:noWrap w:val="0"/>
            <w:vAlign w:val="center"/>
          </w:tcPr>
          <w:p w14:paraId="235B9925">
            <w:pPr>
              <w:adjustRightInd w:val="0"/>
              <w:snapToGrid w:val="0"/>
              <w:spacing w:line="360" w:lineRule="atLeast"/>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2.3</w:t>
            </w:r>
          </w:p>
        </w:tc>
        <w:tc>
          <w:tcPr>
            <w:tcW w:w="1275" w:type="dxa"/>
            <w:tcBorders>
              <w:top w:val="single" w:color="auto" w:sz="4" w:space="0"/>
              <w:left w:val="single" w:color="auto" w:sz="4" w:space="0"/>
              <w:bottom w:val="single" w:color="auto" w:sz="4" w:space="0"/>
              <w:right w:val="single" w:color="auto" w:sz="4" w:space="0"/>
              <w:tl2br w:val="nil"/>
              <w:tr2bl w:val="nil"/>
            </w:tcBorders>
            <w:shd w:val="clear" w:color="auto" w:fill="FFFFFF"/>
            <w:noWrap w:val="0"/>
            <w:vAlign w:val="center"/>
          </w:tcPr>
          <w:p w14:paraId="4DD8E7C1">
            <w:pPr>
              <w:snapToGrid w:val="0"/>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拟投入的主要施工机械、设备计划</w:t>
            </w:r>
          </w:p>
        </w:tc>
        <w:tc>
          <w:tcPr>
            <w:tcW w:w="6780" w:type="dxa"/>
            <w:tcBorders>
              <w:top w:val="single" w:color="auto" w:sz="4" w:space="0"/>
              <w:left w:val="single" w:color="auto" w:sz="4" w:space="0"/>
              <w:bottom w:val="single" w:color="auto" w:sz="4" w:space="0"/>
              <w:right w:val="single" w:color="auto" w:sz="4" w:space="0"/>
              <w:tl2br w:val="nil"/>
              <w:tr2bl w:val="nil"/>
            </w:tcBorders>
            <w:shd w:val="clear" w:color="auto" w:fill="FFFFFF"/>
            <w:noWrap w:val="0"/>
            <w:vAlign w:val="center"/>
          </w:tcPr>
          <w:p w14:paraId="004B1F2A">
            <w:pPr>
              <w:tabs>
                <w:tab w:val="left" w:pos="1440"/>
              </w:tabs>
              <w:spacing w:line="440" w:lineRule="exac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优（8分）</w:t>
            </w:r>
            <w:r>
              <w:rPr>
                <w:rFonts w:hint="eastAsia" w:ascii="宋体" w:hAnsi="宋体" w:eastAsia="宋体" w:cs="宋体"/>
                <w:color w:val="auto"/>
                <w:sz w:val="24"/>
                <w:szCs w:val="24"/>
                <w:highlight w:val="none"/>
              </w:rPr>
              <w:t xml:space="preserve">：投入的施工机械、设备、机具有详细的组织计划且计划周密，设备数量、选型配置、进场时间安排合理，完全满足施工需要。 </w:t>
            </w:r>
          </w:p>
          <w:p w14:paraId="5271B473">
            <w:pPr>
              <w:tabs>
                <w:tab w:val="left" w:pos="1440"/>
              </w:tabs>
              <w:spacing w:line="440" w:lineRule="exac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良（</w:t>
            </w:r>
            <w:r>
              <w:rPr>
                <w:rFonts w:hint="eastAsia" w:ascii="宋体" w:hAnsi="宋体" w:eastAsia="宋体" w:cs="宋体"/>
                <w:b/>
                <w:color w:val="auto"/>
                <w:sz w:val="24"/>
                <w:szCs w:val="24"/>
                <w:highlight w:val="none"/>
                <w:lang w:val="en-US" w:eastAsia="zh-CN"/>
              </w:rPr>
              <w:t>6</w:t>
            </w:r>
            <w:r>
              <w:rPr>
                <w:rFonts w:hint="eastAsia" w:ascii="宋体" w:hAnsi="宋体" w:eastAsia="宋体" w:cs="宋体"/>
                <w:b/>
                <w:color w:val="auto"/>
                <w:sz w:val="24"/>
                <w:szCs w:val="24"/>
                <w:highlight w:val="none"/>
              </w:rPr>
              <w:t>分）</w:t>
            </w:r>
            <w:r>
              <w:rPr>
                <w:rFonts w:hint="eastAsia" w:ascii="宋体" w:hAnsi="宋体" w:eastAsia="宋体" w:cs="宋体"/>
                <w:color w:val="auto"/>
                <w:sz w:val="24"/>
                <w:szCs w:val="24"/>
                <w:highlight w:val="none"/>
              </w:rPr>
              <w:t xml:space="preserve">：投入的施工机械、设备、 机具有详细的组织计划，设备数量、选型配置、进场投入计划与进度计划呼应，满足施工需要。 </w:t>
            </w:r>
          </w:p>
          <w:p w14:paraId="47D4C25E">
            <w:pPr>
              <w:tabs>
                <w:tab w:val="left" w:pos="1440"/>
              </w:tabs>
              <w:spacing w:line="440" w:lineRule="exac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中（</w:t>
            </w:r>
            <w:r>
              <w:rPr>
                <w:rFonts w:hint="eastAsia" w:ascii="宋体" w:hAnsi="宋体" w:eastAsia="宋体" w:cs="宋体"/>
                <w:b/>
                <w:color w:val="auto"/>
                <w:sz w:val="24"/>
                <w:szCs w:val="24"/>
                <w:highlight w:val="none"/>
                <w:lang w:val="en-US" w:eastAsia="zh-CN"/>
              </w:rPr>
              <w:t>4</w:t>
            </w:r>
            <w:r>
              <w:rPr>
                <w:rFonts w:hint="eastAsia" w:ascii="宋体" w:hAnsi="宋体" w:eastAsia="宋体" w:cs="宋体"/>
                <w:b/>
                <w:color w:val="auto"/>
                <w:sz w:val="24"/>
                <w:szCs w:val="24"/>
                <w:highlight w:val="none"/>
              </w:rPr>
              <w:t>分）</w:t>
            </w:r>
            <w:r>
              <w:rPr>
                <w:rFonts w:hint="eastAsia" w:ascii="宋体" w:hAnsi="宋体" w:eastAsia="宋体" w:cs="宋体"/>
                <w:color w:val="auto"/>
                <w:sz w:val="24"/>
                <w:szCs w:val="24"/>
                <w:highlight w:val="none"/>
              </w:rPr>
              <w:t xml:space="preserve">：投入的施工机械、设备、机具有组织计划，设备数量、选型配置、进场投入计划与进度计划呼应，基本满足施工需要。 </w:t>
            </w:r>
          </w:p>
          <w:p w14:paraId="5B7E32CC">
            <w:pPr>
              <w:tabs>
                <w:tab w:val="left" w:pos="1440"/>
              </w:tabs>
              <w:spacing w:line="440" w:lineRule="exac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差（</w:t>
            </w:r>
            <w:r>
              <w:rPr>
                <w:rFonts w:hint="eastAsia" w:ascii="宋体" w:hAnsi="宋体" w:eastAsia="宋体" w:cs="宋体"/>
                <w:b/>
                <w:color w:val="auto"/>
                <w:sz w:val="24"/>
                <w:szCs w:val="24"/>
                <w:highlight w:val="none"/>
                <w:lang w:val="en-US" w:eastAsia="zh-CN"/>
              </w:rPr>
              <w:t>2</w:t>
            </w:r>
            <w:r>
              <w:rPr>
                <w:rFonts w:hint="eastAsia" w:ascii="宋体" w:hAnsi="宋体" w:eastAsia="宋体" w:cs="宋体"/>
                <w:b/>
                <w:color w:val="auto"/>
                <w:sz w:val="24"/>
                <w:szCs w:val="24"/>
                <w:highlight w:val="none"/>
              </w:rPr>
              <w:t>分）</w:t>
            </w:r>
            <w:r>
              <w:rPr>
                <w:rFonts w:hint="eastAsia" w:ascii="宋体" w:hAnsi="宋体" w:eastAsia="宋体" w:cs="宋体"/>
                <w:color w:val="auto"/>
                <w:sz w:val="24"/>
                <w:szCs w:val="24"/>
                <w:highlight w:val="none"/>
              </w:rPr>
              <w:t>：投入的施工机械、设备、机具组织计划差，投入计划与进度计划不呼应，勉强满足施工需要。</w:t>
            </w:r>
          </w:p>
        </w:tc>
        <w:tc>
          <w:tcPr>
            <w:tcW w:w="1060" w:type="dxa"/>
            <w:tcBorders>
              <w:top w:val="single" w:color="auto" w:sz="4" w:space="0"/>
              <w:left w:val="single" w:color="auto" w:sz="4" w:space="0"/>
              <w:bottom w:val="single" w:color="auto" w:sz="4" w:space="0"/>
              <w:right w:val="single" w:color="auto" w:sz="4" w:space="0"/>
              <w:tl2br w:val="nil"/>
              <w:tr2bl w:val="nil"/>
            </w:tcBorders>
            <w:shd w:val="clear" w:color="auto" w:fill="FFFFFF"/>
            <w:noWrap w:val="0"/>
            <w:vAlign w:val="center"/>
          </w:tcPr>
          <w:p w14:paraId="36362329">
            <w:pPr>
              <w:adjustRightInd w:val="0"/>
              <w:snapToGrid w:val="0"/>
              <w:spacing w:line="360" w:lineRule="atLeast"/>
              <w:jc w:val="center"/>
              <w:textAlignment w:val="baseline"/>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0-8分</w:t>
            </w:r>
          </w:p>
        </w:tc>
      </w:tr>
      <w:tr w14:paraId="6BCEC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3" w:type="dxa"/>
            <w:tcBorders>
              <w:top w:val="single" w:color="auto" w:sz="4" w:space="0"/>
              <w:left w:val="single" w:color="auto" w:sz="4" w:space="0"/>
              <w:bottom w:val="single" w:color="auto" w:sz="4" w:space="0"/>
              <w:right w:val="single" w:color="auto" w:sz="4" w:space="0"/>
              <w:tl2br w:val="nil"/>
              <w:tr2bl w:val="nil"/>
            </w:tcBorders>
            <w:shd w:val="clear" w:color="auto" w:fill="FFFFFF"/>
            <w:noWrap w:val="0"/>
            <w:vAlign w:val="center"/>
          </w:tcPr>
          <w:p w14:paraId="00A53A44">
            <w:pPr>
              <w:adjustRightInd w:val="0"/>
              <w:snapToGrid w:val="0"/>
              <w:spacing w:line="360" w:lineRule="atLeast"/>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2.4</w:t>
            </w:r>
          </w:p>
        </w:tc>
        <w:tc>
          <w:tcPr>
            <w:tcW w:w="1275" w:type="dxa"/>
            <w:tcBorders>
              <w:top w:val="single" w:color="auto" w:sz="4" w:space="0"/>
              <w:left w:val="single" w:color="auto" w:sz="4" w:space="0"/>
              <w:bottom w:val="single" w:color="auto" w:sz="4" w:space="0"/>
              <w:right w:val="single" w:color="auto" w:sz="4" w:space="0"/>
              <w:tl2br w:val="nil"/>
              <w:tr2bl w:val="nil"/>
            </w:tcBorders>
            <w:shd w:val="clear" w:color="auto" w:fill="FFFFFF"/>
            <w:noWrap w:val="0"/>
            <w:vAlign w:val="center"/>
          </w:tcPr>
          <w:p w14:paraId="5837D1B5">
            <w:pPr>
              <w:snapToGrid w:val="0"/>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确保工程质量的技术组织措施</w:t>
            </w:r>
          </w:p>
        </w:tc>
        <w:tc>
          <w:tcPr>
            <w:tcW w:w="6780" w:type="dxa"/>
            <w:tcBorders>
              <w:top w:val="single" w:color="auto" w:sz="4" w:space="0"/>
              <w:left w:val="single" w:color="auto" w:sz="4" w:space="0"/>
              <w:bottom w:val="single" w:color="auto" w:sz="4" w:space="0"/>
              <w:right w:val="single" w:color="auto" w:sz="4" w:space="0"/>
              <w:tl2br w:val="nil"/>
              <w:tr2bl w:val="nil"/>
            </w:tcBorders>
            <w:shd w:val="clear" w:color="auto" w:fill="FFFFFF"/>
            <w:noWrap w:val="0"/>
            <w:vAlign w:val="center"/>
          </w:tcPr>
          <w:p w14:paraId="450DE9E0">
            <w:pPr>
              <w:tabs>
                <w:tab w:val="left" w:pos="1440"/>
              </w:tabs>
              <w:spacing w:line="440" w:lineRule="exac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优（8分）</w:t>
            </w:r>
            <w:r>
              <w:rPr>
                <w:rFonts w:hint="eastAsia" w:ascii="宋体" w:hAnsi="宋体" w:eastAsia="宋体" w:cs="宋体"/>
                <w:color w:val="auto"/>
                <w:sz w:val="24"/>
                <w:szCs w:val="24"/>
                <w:highlight w:val="none"/>
              </w:rPr>
              <w:t>：有专门的质量技术管理班子和制度，且人员配备合理，制度健全。主要工序有质量技术保证措施和手段，且先进、可行、具体，高于</w:t>
            </w: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rPr>
              <w:t>文件的质量要求及施工验收规范要求，达到承诺的质量标准。</w:t>
            </w:r>
          </w:p>
          <w:p w14:paraId="4C4E4AD2">
            <w:pPr>
              <w:tabs>
                <w:tab w:val="left" w:pos="1440"/>
              </w:tabs>
              <w:spacing w:line="440" w:lineRule="exac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良（6分）</w:t>
            </w:r>
            <w:r>
              <w:rPr>
                <w:rFonts w:hint="eastAsia" w:ascii="宋体" w:hAnsi="宋体" w:eastAsia="宋体" w:cs="宋体"/>
                <w:color w:val="auto"/>
                <w:sz w:val="24"/>
                <w:szCs w:val="24"/>
                <w:highlight w:val="none"/>
              </w:rPr>
              <w:t>：有专门的质量技术管理班子和制度，且人员配备合理，制度健全。主要工序有质量技术保证措施和手段，自控体系完整，能有效保证技术质量，可以达到承诺的质量标准。</w:t>
            </w:r>
          </w:p>
          <w:p w14:paraId="436C937C">
            <w:pPr>
              <w:tabs>
                <w:tab w:val="left" w:pos="1440"/>
              </w:tabs>
              <w:spacing w:line="440" w:lineRule="exac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中（4分）</w:t>
            </w:r>
            <w:r>
              <w:rPr>
                <w:rFonts w:hint="eastAsia" w:ascii="宋体" w:hAnsi="宋体" w:eastAsia="宋体" w:cs="宋体"/>
                <w:color w:val="auto"/>
                <w:sz w:val="24"/>
                <w:szCs w:val="24"/>
                <w:highlight w:val="none"/>
              </w:rPr>
              <w:t>：质量技术管理班子人员配备基本合理，制度基本健全。主要工序有质量技术保证措施和手段，能有效保证技术质量，满足</w:t>
            </w:r>
            <w:r>
              <w:rPr>
                <w:rFonts w:hint="eastAsia" w:ascii="宋体" w:hAnsi="宋体" w:eastAsia="宋体" w:cs="宋体"/>
                <w:color w:val="auto"/>
                <w:sz w:val="24"/>
                <w:szCs w:val="24"/>
                <w:highlight w:val="none"/>
                <w:lang w:val="en-US" w:eastAsia="zh-CN"/>
              </w:rPr>
              <w:t>采购</w:t>
            </w:r>
            <w:bookmarkStart w:id="1532" w:name="_GoBack"/>
            <w:bookmarkEnd w:id="1532"/>
            <w:r>
              <w:rPr>
                <w:rFonts w:hint="eastAsia" w:ascii="宋体" w:hAnsi="宋体" w:eastAsia="宋体" w:cs="宋体"/>
                <w:color w:val="auto"/>
                <w:sz w:val="24"/>
                <w:szCs w:val="24"/>
                <w:highlight w:val="none"/>
              </w:rPr>
              <w:t xml:space="preserve">文件的质量要求。 </w:t>
            </w:r>
          </w:p>
          <w:p w14:paraId="03B3724A">
            <w:pPr>
              <w:tabs>
                <w:tab w:val="left" w:pos="1440"/>
              </w:tabs>
              <w:spacing w:line="440" w:lineRule="exac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差（2分）</w:t>
            </w:r>
            <w:r>
              <w:rPr>
                <w:rFonts w:hint="eastAsia" w:ascii="宋体" w:hAnsi="宋体" w:eastAsia="宋体" w:cs="宋体"/>
                <w:color w:val="auto"/>
                <w:sz w:val="24"/>
                <w:szCs w:val="24"/>
                <w:highlight w:val="none"/>
              </w:rPr>
              <w:t>：质量技术管理班子人员配备不合理，制度不健全。质量技术保证措施和手段不可行，没有质量违约责任</w:t>
            </w:r>
            <w:r>
              <w:rPr>
                <w:rFonts w:hint="eastAsia" w:ascii="宋体" w:hAnsi="宋体" w:eastAsia="宋体" w:cs="宋体"/>
                <w:color w:val="auto"/>
                <w:sz w:val="24"/>
                <w:szCs w:val="24"/>
                <w:highlight w:val="none"/>
                <w:lang w:val="en-US" w:eastAsia="zh-CN"/>
              </w:rPr>
              <w:t>承</w:t>
            </w:r>
            <w:r>
              <w:rPr>
                <w:rFonts w:hint="eastAsia" w:ascii="宋体" w:hAnsi="宋体" w:eastAsia="宋体" w:cs="宋体"/>
                <w:color w:val="auto"/>
                <w:sz w:val="24"/>
                <w:szCs w:val="24"/>
                <w:highlight w:val="none"/>
              </w:rPr>
              <w:t>诺。</w:t>
            </w:r>
          </w:p>
        </w:tc>
        <w:tc>
          <w:tcPr>
            <w:tcW w:w="1060" w:type="dxa"/>
            <w:tcBorders>
              <w:top w:val="single" w:color="auto" w:sz="4" w:space="0"/>
              <w:left w:val="single" w:color="auto" w:sz="4" w:space="0"/>
              <w:bottom w:val="single" w:color="auto" w:sz="4" w:space="0"/>
              <w:right w:val="single" w:color="auto" w:sz="4" w:space="0"/>
              <w:tl2br w:val="nil"/>
              <w:tr2bl w:val="nil"/>
            </w:tcBorders>
            <w:shd w:val="clear" w:color="auto" w:fill="FFFFFF"/>
            <w:noWrap w:val="0"/>
            <w:vAlign w:val="center"/>
          </w:tcPr>
          <w:p w14:paraId="605F7869">
            <w:pPr>
              <w:adjustRightInd w:val="0"/>
              <w:snapToGrid w:val="0"/>
              <w:spacing w:line="360" w:lineRule="atLeast"/>
              <w:jc w:val="center"/>
              <w:textAlignment w:val="baseline"/>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0-8分</w:t>
            </w:r>
          </w:p>
        </w:tc>
      </w:tr>
      <w:tr w14:paraId="5351F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3" w:type="dxa"/>
            <w:tcBorders>
              <w:top w:val="single" w:color="auto" w:sz="4" w:space="0"/>
              <w:left w:val="single" w:color="auto" w:sz="4" w:space="0"/>
              <w:bottom w:val="single" w:color="auto" w:sz="4" w:space="0"/>
              <w:right w:val="single" w:color="auto" w:sz="4" w:space="0"/>
              <w:tl2br w:val="nil"/>
              <w:tr2bl w:val="nil"/>
            </w:tcBorders>
            <w:shd w:val="clear" w:color="auto" w:fill="FFFFFF"/>
            <w:noWrap w:val="0"/>
            <w:vAlign w:val="center"/>
          </w:tcPr>
          <w:p w14:paraId="425BDE55">
            <w:pPr>
              <w:adjustRightInd w:val="0"/>
              <w:snapToGrid w:val="0"/>
              <w:spacing w:line="360" w:lineRule="atLeast"/>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2.5</w:t>
            </w:r>
          </w:p>
        </w:tc>
        <w:tc>
          <w:tcPr>
            <w:tcW w:w="1275" w:type="dxa"/>
            <w:tcBorders>
              <w:top w:val="single" w:color="auto" w:sz="4" w:space="0"/>
              <w:left w:val="single" w:color="auto" w:sz="4" w:space="0"/>
              <w:bottom w:val="single" w:color="auto" w:sz="4" w:space="0"/>
              <w:right w:val="single" w:color="auto" w:sz="4" w:space="0"/>
              <w:tl2br w:val="nil"/>
              <w:tr2bl w:val="nil"/>
            </w:tcBorders>
            <w:shd w:val="clear" w:color="auto" w:fill="FFFFFF"/>
            <w:noWrap w:val="0"/>
            <w:vAlign w:val="center"/>
          </w:tcPr>
          <w:p w14:paraId="16D309D7">
            <w:pPr>
              <w:widowControl/>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确保安全生产的技术组织措施</w:t>
            </w:r>
          </w:p>
        </w:tc>
        <w:tc>
          <w:tcPr>
            <w:tcW w:w="6780" w:type="dxa"/>
            <w:tcBorders>
              <w:top w:val="single" w:color="auto" w:sz="4" w:space="0"/>
              <w:left w:val="single" w:color="auto" w:sz="4" w:space="0"/>
              <w:bottom w:val="single" w:color="auto" w:sz="4" w:space="0"/>
              <w:right w:val="single" w:color="auto" w:sz="4" w:space="0"/>
              <w:tl2br w:val="nil"/>
              <w:tr2bl w:val="nil"/>
            </w:tcBorders>
            <w:shd w:val="clear" w:color="auto" w:fill="FFFFFF"/>
            <w:noWrap w:val="0"/>
            <w:vAlign w:val="center"/>
          </w:tcPr>
          <w:p w14:paraId="203ACCBE">
            <w:pPr>
              <w:pStyle w:val="21"/>
              <w:spacing w:before="100" w:line="440" w:lineRule="exact"/>
              <w:ind w:left="107"/>
              <w:rPr>
                <w:rFonts w:hint="eastAsia" w:ascii="宋体" w:hAnsi="宋体" w:eastAsia="宋体" w:cs="宋体"/>
                <w:color w:val="auto"/>
                <w:sz w:val="24"/>
                <w:szCs w:val="24"/>
                <w:highlight w:val="none"/>
                <w:lang w:eastAsia="zh-CN"/>
              </w:rPr>
            </w:pPr>
            <w:r>
              <w:rPr>
                <w:rFonts w:hint="eastAsia" w:ascii="宋体" w:hAnsi="宋体" w:eastAsia="宋体" w:cs="宋体"/>
                <w:b/>
                <w:color w:val="auto"/>
                <w:sz w:val="24"/>
                <w:szCs w:val="24"/>
                <w:highlight w:val="none"/>
                <w:lang w:eastAsia="zh-CN"/>
              </w:rPr>
              <w:t>优（8分）</w:t>
            </w:r>
            <w:r>
              <w:rPr>
                <w:rFonts w:hint="eastAsia" w:ascii="宋体" w:hAnsi="宋体" w:eastAsia="宋体" w:cs="宋体"/>
                <w:color w:val="auto"/>
                <w:sz w:val="24"/>
                <w:szCs w:val="24"/>
                <w:highlight w:val="none"/>
                <w:lang w:eastAsia="zh-CN"/>
              </w:rPr>
              <w:t>：有配备满足项目要求的专职安全员，人员配备合理。有健全的安全管理制度， 各道工序安全技术措施针对性强，符合实际且高于国家有关安全技术标准要求。现场防火、应急救援、社会治安安全措施得力。</w:t>
            </w:r>
          </w:p>
          <w:p w14:paraId="1DB7102D">
            <w:pPr>
              <w:pStyle w:val="21"/>
              <w:spacing w:before="100" w:line="440" w:lineRule="exact"/>
              <w:ind w:left="107"/>
              <w:rPr>
                <w:rFonts w:hint="eastAsia" w:ascii="宋体" w:hAnsi="宋体" w:eastAsia="宋体" w:cs="宋体"/>
                <w:color w:val="auto"/>
                <w:sz w:val="24"/>
                <w:szCs w:val="24"/>
                <w:highlight w:val="none"/>
                <w:lang w:eastAsia="zh-CN"/>
              </w:rPr>
            </w:pPr>
            <w:r>
              <w:rPr>
                <w:rFonts w:hint="eastAsia" w:ascii="宋体" w:hAnsi="宋体" w:eastAsia="宋体" w:cs="宋体"/>
                <w:b/>
                <w:color w:val="auto"/>
                <w:sz w:val="24"/>
                <w:szCs w:val="24"/>
                <w:highlight w:val="none"/>
                <w:lang w:eastAsia="zh-CN"/>
              </w:rPr>
              <w:t>良（6分）</w:t>
            </w:r>
            <w:r>
              <w:rPr>
                <w:rFonts w:hint="eastAsia" w:ascii="宋体" w:hAnsi="宋体" w:eastAsia="宋体" w:cs="宋体"/>
                <w:color w:val="auto"/>
                <w:sz w:val="24"/>
                <w:szCs w:val="24"/>
                <w:highlight w:val="none"/>
                <w:lang w:eastAsia="zh-CN"/>
              </w:rPr>
              <w:t>：有配备满足项目要求的专职安全员，人员配备合理，有健全的安全管理制度，各道工序安全技术措施符合实际且满足有关安全技术标准要求。现场防火、应急救援、社会治安安全措施合理。</w:t>
            </w:r>
          </w:p>
          <w:p w14:paraId="6E1C445E">
            <w:pPr>
              <w:pStyle w:val="21"/>
              <w:spacing w:before="100" w:line="440" w:lineRule="exact"/>
              <w:ind w:left="107"/>
              <w:rPr>
                <w:rFonts w:hint="eastAsia" w:ascii="宋体" w:hAnsi="宋体" w:eastAsia="宋体" w:cs="宋体"/>
                <w:color w:val="auto"/>
                <w:sz w:val="24"/>
                <w:szCs w:val="24"/>
                <w:highlight w:val="none"/>
                <w:lang w:eastAsia="zh-CN"/>
              </w:rPr>
            </w:pPr>
            <w:r>
              <w:rPr>
                <w:rFonts w:hint="eastAsia" w:ascii="宋体" w:hAnsi="宋体" w:eastAsia="宋体" w:cs="宋体"/>
                <w:b/>
                <w:color w:val="auto"/>
                <w:sz w:val="24"/>
                <w:szCs w:val="24"/>
                <w:highlight w:val="none"/>
                <w:lang w:eastAsia="zh-CN"/>
              </w:rPr>
              <w:t xml:space="preserve"> 中（4分）</w:t>
            </w:r>
            <w:r>
              <w:rPr>
                <w:rFonts w:hint="eastAsia" w:ascii="宋体" w:hAnsi="宋体" w:eastAsia="宋体" w:cs="宋体"/>
                <w:color w:val="auto"/>
                <w:sz w:val="24"/>
                <w:szCs w:val="24"/>
                <w:highlight w:val="none"/>
                <w:lang w:eastAsia="zh-CN"/>
              </w:rPr>
              <w:t>：有配备满足项目要求的专职安全员，人员配备基本合理，安全管理制度基本健全，各道工序安全技术措施基本符合实际，基本满足有关安全技术标准要求。现场防火、应急救援、社会治安安全措施基本合理。</w:t>
            </w:r>
          </w:p>
          <w:p w14:paraId="5448D741">
            <w:pPr>
              <w:pStyle w:val="21"/>
              <w:spacing w:before="100" w:line="440" w:lineRule="exact"/>
              <w:ind w:left="107"/>
              <w:rPr>
                <w:rFonts w:hint="eastAsia" w:ascii="宋体" w:hAnsi="宋体" w:eastAsia="宋体" w:cs="宋体"/>
                <w:color w:val="auto"/>
                <w:sz w:val="24"/>
                <w:szCs w:val="24"/>
                <w:highlight w:val="none"/>
                <w:lang w:eastAsia="zh-CN"/>
              </w:rPr>
            </w:pPr>
            <w:r>
              <w:rPr>
                <w:rFonts w:hint="eastAsia" w:ascii="宋体" w:hAnsi="宋体" w:eastAsia="宋体" w:cs="宋体"/>
                <w:b/>
                <w:color w:val="auto"/>
                <w:sz w:val="24"/>
                <w:szCs w:val="24"/>
                <w:highlight w:val="none"/>
                <w:lang w:eastAsia="zh-CN"/>
              </w:rPr>
              <w:t>差（2分）</w:t>
            </w:r>
            <w:r>
              <w:rPr>
                <w:rFonts w:hint="eastAsia" w:ascii="宋体" w:hAnsi="宋体" w:eastAsia="宋体" w:cs="宋体"/>
                <w:color w:val="auto"/>
                <w:sz w:val="24"/>
                <w:szCs w:val="24"/>
                <w:highlight w:val="none"/>
                <w:lang w:eastAsia="zh-CN"/>
              </w:rPr>
              <w:t>：有配备满足项目要求的专职安全员，人员配备不合理，安全管理制度不健全，各道工序安全技术措施基本符合实际，不能满足有关安全技术标准要求。现场防火、应急 救援、社会治安安全措施不合理。</w:t>
            </w:r>
          </w:p>
        </w:tc>
        <w:tc>
          <w:tcPr>
            <w:tcW w:w="1060" w:type="dxa"/>
            <w:tcBorders>
              <w:top w:val="single" w:color="auto" w:sz="4" w:space="0"/>
              <w:left w:val="single" w:color="auto" w:sz="4" w:space="0"/>
              <w:bottom w:val="single" w:color="auto" w:sz="4" w:space="0"/>
              <w:right w:val="single" w:color="auto" w:sz="4" w:space="0"/>
              <w:tl2br w:val="nil"/>
              <w:tr2bl w:val="nil"/>
            </w:tcBorders>
            <w:shd w:val="clear" w:color="auto" w:fill="FFFFFF"/>
            <w:noWrap w:val="0"/>
            <w:vAlign w:val="center"/>
          </w:tcPr>
          <w:p w14:paraId="644D8590">
            <w:pPr>
              <w:adjustRightInd w:val="0"/>
              <w:snapToGrid w:val="0"/>
              <w:spacing w:line="360" w:lineRule="atLeast"/>
              <w:jc w:val="center"/>
              <w:textAlignment w:val="baseline"/>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0-8分</w:t>
            </w:r>
          </w:p>
        </w:tc>
      </w:tr>
      <w:tr w14:paraId="0BDA8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3" w:type="dxa"/>
            <w:tcBorders>
              <w:top w:val="single" w:color="auto" w:sz="4" w:space="0"/>
              <w:left w:val="single" w:color="auto" w:sz="4" w:space="0"/>
              <w:bottom w:val="single" w:color="auto" w:sz="4" w:space="0"/>
              <w:right w:val="single" w:color="auto" w:sz="4" w:space="0"/>
              <w:tl2br w:val="nil"/>
              <w:tr2bl w:val="nil"/>
            </w:tcBorders>
            <w:shd w:val="clear" w:color="auto" w:fill="FFFFFF"/>
            <w:noWrap w:val="0"/>
            <w:vAlign w:val="center"/>
          </w:tcPr>
          <w:p w14:paraId="55F0BBD1">
            <w:pPr>
              <w:adjustRightInd w:val="0"/>
              <w:snapToGrid w:val="0"/>
              <w:spacing w:line="360" w:lineRule="atLeast"/>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2.6</w:t>
            </w:r>
          </w:p>
        </w:tc>
        <w:tc>
          <w:tcPr>
            <w:tcW w:w="1275" w:type="dxa"/>
            <w:tcBorders>
              <w:top w:val="single" w:color="auto" w:sz="4" w:space="0"/>
              <w:left w:val="single" w:color="auto" w:sz="4" w:space="0"/>
              <w:bottom w:val="single" w:color="auto" w:sz="4" w:space="0"/>
              <w:right w:val="single" w:color="auto" w:sz="4" w:space="0"/>
              <w:tl2br w:val="nil"/>
              <w:tr2bl w:val="nil"/>
            </w:tcBorders>
            <w:shd w:val="clear" w:color="auto" w:fill="FFFFFF"/>
            <w:noWrap w:val="0"/>
            <w:vAlign w:val="center"/>
          </w:tcPr>
          <w:p w14:paraId="0F8875FC">
            <w:pPr>
              <w:widowControl/>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劳动力安排计划</w:t>
            </w:r>
          </w:p>
        </w:tc>
        <w:tc>
          <w:tcPr>
            <w:tcW w:w="6780" w:type="dxa"/>
            <w:tcBorders>
              <w:top w:val="single" w:color="auto" w:sz="4" w:space="0"/>
              <w:left w:val="single" w:color="auto" w:sz="4" w:space="0"/>
              <w:bottom w:val="single" w:color="auto" w:sz="4" w:space="0"/>
              <w:right w:val="single" w:color="auto" w:sz="4" w:space="0"/>
              <w:tl2br w:val="nil"/>
              <w:tr2bl w:val="nil"/>
            </w:tcBorders>
            <w:shd w:val="clear" w:color="auto" w:fill="FFFFFF"/>
            <w:noWrap w:val="0"/>
            <w:vAlign w:val="center"/>
          </w:tcPr>
          <w:p w14:paraId="166D6C5A">
            <w:pPr>
              <w:pStyle w:val="21"/>
              <w:spacing w:line="440" w:lineRule="exact"/>
              <w:ind w:left="107"/>
              <w:rPr>
                <w:rFonts w:hint="eastAsia" w:ascii="宋体" w:hAnsi="宋体" w:eastAsia="宋体" w:cs="宋体"/>
                <w:color w:val="auto"/>
                <w:kern w:val="2"/>
                <w:sz w:val="24"/>
                <w:szCs w:val="24"/>
                <w:highlight w:val="none"/>
                <w:lang w:eastAsia="zh-CN"/>
              </w:rPr>
            </w:pPr>
            <w:r>
              <w:rPr>
                <w:rFonts w:hint="eastAsia" w:ascii="宋体" w:hAnsi="宋体" w:eastAsia="宋体" w:cs="宋体"/>
                <w:b/>
                <w:color w:val="auto"/>
                <w:kern w:val="2"/>
                <w:sz w:val="24"/>
                <w:szCs w:val="24"/>
                <w:highlight w:val="none"/>
                <w:lang w:eastAsia="zh-CN"/>
              </w:rPr>
              <w:t>优（8分）</w:t>
            </w:r>
            <w:r>
              <w:rPr>
                <w:rFonts w:hint="eastAsia" w:ascii="宋体" w:hAnsi="宋体" w:eastAsia="宋体" w:cs="宋体"/>
                <w:color w:val="auto"/>
                <w:kern w:val="2"/>
                <w:sz w:val="24"/>
                <w:szCs w:val="24"/>
                <w:highlight w:val="none"/>
                <w:lang w:eastAsia="zh-CN"/>
              </w:rPr>
              <w:t xml:space="preserve">：各主要施工工序有详细周密的劳动力安排计划，各工种劳动力安排计划齐全，劳动力投入与进度计划呼应合理，完全满足施工需要。 </w:t>
            </w:r>
          </w:p>
          <w:p w14:paraId="39C56BFD">
            <w:pPr>
              <w:pStyle w:val="21"/>
              <w:spacing w:line="440" w:lineRule="exact"/>
              <w:ind w:left="107"/>
              <w:rPr>
                <w:rFonts w:hint="eastAsia" w:ascii="宋体" w:hAnsi="宋体" w:eastAsia="宋体" w:cs="宋体"/>
                <w:color w:val="auto"/>
                <w:kern w:val="2"/>
                <w:sz w:val="24"/>
                <w:szCs w:val="24"/>
                <w:highlight w:val="none"/>
                <w:lang w:eastAsia="zh-CN"/>
              </w:rPr>
            </w:pPr>
            <w:r>
              <w:rPr>
                <w:rFonts w:hint="eastAsia" w:ascii="宋体" w:hAnsi="宋体" w:eastAsia="宋体" w:cs="宋体"/>
                <w:b/>
                <w:color w:val="auto"/>
                <w:kern w:val="2"/>
                <w:sz w:val="24"/>
                <w:szCs w:val="24"/>
                <w:highlight w:val="none"/>
                <w:lang w:eastAsia="zh-CN"/>
              </w:rPr>
              <w:t>良（</w:t>
            </w:r>
            <w:r>
              <w:rPr>
                <w:rFonts w:hint="eastAsia" w:ascii="宋体" w:hAnsi="宋体" w:eastAsia="宋体" w:cs="宋体"/>
                <w:b/>
                <w:color w:val="auto"/>
                <w:kern w:val="2"/>
                <w:sz w:val="24"/>
                <w:szCs w:val="24"/>
                <w:highlight w:val="none"/>
                <w:lang w:val="en-US" w:eastAsia="zh-CN"/>
              </w:rPr>
              <w:t>6</w:t>
            </w:r>
            <w:r>
              <w:rPr>
                <w:rFonts w:hint="eastAsia" w:ascii="宋体" w:hAnsi="宋体" w:eastAsia="宋体" w:cs="宋体"/>
                <w:b/>
                <w:color w:val="auto"/>
                <w:kern w:val="2"/>
                <w:sz w:val="24"/>
                <w:szCs w:val="24"/>
                <w:highlight w:val="none"/>
                <w:lang w:eastAsia="zh-CN"/>
              </w:rPr>
              <w:t>分）</w:t>
            </w:r>
            <w:r>
              <w:rPr>
                <w:rFonts w:hint="eastAsia" w:ascii="宋体" w:hAnsi="宋体" w:eastAsia="宋体" w:cs="宋体"/>
                <w:color w:val="auto"/>
                <w:kern w:val="2"/>
                <w:sz w:val="24"/>
                <w:szCs w:val="24"/>
                <w:highlight w:val="none"/>
                <w:lang w:eastAsia="zh-CN"/>
              </w:rPr>
              <w:t xml:space="preserve">：各主要施工工序有详细的劳动力安排计划，有各工种劳动力安排计划，劳动力投入合理，可以满足施工需要。 </w:t>
            </w:r>
          </w:p>
          <w:p w14:paraId="06047494">
            <w:pPr>
              <w:pStyle w:val="21"/>
              <w:spacing w:line="440" w:lineRule="exact"/>
              <w:ind w:left="107"/>
              <w:rPr>
                <w:rFonts w:hint="eastAsia" w:ascii="宋体" w:hAnsi="宋体" w:eastAsia="宋体" w:cs="宋体"/>
                <w:color w:val="auto"/>
                <w:kern w:val="2"/>
                <w:sz w:val="24"/>
                <w:szCs w:val="24"/>
                <w:highlight w:val="none"/>
                <w:lang w:eastAsia="zh-CN"/>
              </w:rPr>
            </w:pPr>
            <w:r>
              <w:rPr>
                <w:rFonts w:hint="eastAsia" w:ascii="宋体" w:hAnsi="宋体" w:eastAsia="宋体" w:cs="宋体"/>
                <w:b/>
                <w:color w:val="auto"/>
                <w:kern w:val="2"/>
                <w:sz w:val="24"/>
                <w:szCs w:val="24"/>
                <w:highlight w:val="none"/>
                <w:lang w:eastAsia="zh-CN"/>
              </w:rPr>
              <w:t>中（</w:t>
            </w:r>
            <w:r>
              <w:rPr>
                <w:rFonts w:hint="eastAsia" w:ascii="宋体" w:hAnsi="宋体" w:eastAsia="宋体" w:cs="宋体"/>
                <w:b/>
                <w:color w:val="auto"/>
                <w:kern w:val="2"/>
                <w:sz w:val="24"/>
                <w:szCs w:val="24"/>
                <w:highlight w:val="none"/>
                <w:lang w:val="en-US" w:eastAsia="zh-CN"/>
              </w:rPr>
              <w:t>4</w:t>
            </w:r>
            <w:r>
              <w:rPr>
                <w:rFonts w:hint="eastAsia" w:ascii="宋体" w:hAnsi="宋体" w:eastAsia="宋体" w:cs="宋体"/>
                <w:b/>
                <w:color w:val="auto"/>
                <w:kern w:val="2"/>
                <w:sz w:val="24"/>
                <w:szCs w:val="24"/>
                <w:highlight w:val="none"/>
                <w:lang w:eastAsia="zh-CN"/>
              </w:rPr>
              <w:t>分）</w:t>
            </w:r>
            <w:r>
              <w:rPr>
                <w:rFonts w:hint="eastAsia" w:ascii="宋体" w:hAnsi="宋体" w:eastAsia="宋体" w:cs="宋体"/>
                <w:color w:val="auto"/>
                <w:kern w:val="2"/>
                <w:sz w:val="24"/>
                <w:szCs w:val="24"/>
                <w:highlight w:val="none"/>
                <w:lang w:eastAsia="zh-CN"/>
              </w:rPr>
              <w:t>： 各主要施工工序应有劳动力安排计划，有各工种劳动力安排计划，劳动力投入基本合理，基本满足施工需要。</w:t>
            </w:r>
          </w:p>
          <w:p w14:paraId="3B9E7454">
            <w:pPr>
              <w:pStyle w:val="21"/>
              <w:spacing w:line="440" w:lineRule="exact"/>
              <w:ind w:left="107"/>
              <w:rPr>
                <w:rFonts w:hint="eastAsia" w:ascii="宋体" w:hAnsi="宋体" w:eastAsia="宋体" w:cs="宋体"/>
                <w:color w:val="auto"/>
                <w:kern w:val="2"/>
                <w:sz w:val="24"/>
                <w:szCs w:val="24"/>
                <w:highlight w:val="none"/>
                <w:lang w:eastAsia="zh-CN"/>
              </w:rPr>
            </w:pPr>
            <w:r>
              <w:rPr>
                <w:rFonts w:hint="eastAsia" w:ascii="宋体" w:hAnsi="宋体" w:eastAsia="宋体" w:cs="宋体"/>
                <w:b/>
                <w:color w:val="auto"/>
                <w:kern w:val="2"/>
                <w:sz w:val="24"/>
                <w:szCs w:val="24"/>
                <w:highlight w:val="none"/>
                <w:lang w:eastAsia="zh-CN"/>
              </w:rPr>
              <w:t>差（</w:t>
            </w:r>
            <w:r>
              <w:rPr>
                <w:rFonts w:hint="eastAsia" w:ascii="宋体" w:hAnsi="宋体" w:eastAsia="宋体" w:cs="宋体"/>
                <w:b/>
                <w:color w:val="auto"/>
                <w:kern w:val="2"/>
                <w:sz w:val="24"/>
                <w:szCs w:val="24"/>
                <w:highlight w:val="none"/>
                <w:lang w:val="en-US" w:eastAsia="zh-CN"/>
              </w:rPr>
              <w:t>2</w:t>
            </w:r>
            <w:r>
              <w:rPr>
                <w:rFonts w:hint="eastAsia" w:ascii="宋体" w:hAnsi="宋体" w:eastAsia="宋体" w:cs="宋体"/>
                <w:b/>
                <w:color w:val="auto"/>
                <w:kern w:val="2"/>
                <w:sz w:val="24"/>
                <w:szCs w:val="24"/>
                <w:highlight w:val="none"/>
                <w:lang w:eastAsia="zh-CN"/>
              </w:rPr>
              <w:t>分）</w:t>
            </w:r>
            <w:r>
              <w:rPr>
                <w:rFonts w:hint="eastAsia" w:ascii="宋体" w:hAnsi="宋体" w:eastAsia="宋体" w:cs="宋体"/>
                <w:color w:val="auto"/>
                <w:kern w:val="2"/>
                <w:sz w:val="24"/>
                <w:szCs w:val="24"/>
                <w:highlight w:val="none"/>
                <w:lang w:eastAsia="zh-CN"/>
              </w:rPr>
              <w:t>：各主要施工工序劳动力安排计划不全，无各工种劳动力安排计划或计划不全，劳动力投入不合理，不能满足施工需求。</w:t>
            </w:r>
          </w:p>
        </w:tc>
        <w:tc>
          <w:tcPr>
            <w:tcW w:w="1060" w:type="dxa"/>
            <w:tcBorders>
              <w:top w:val="single" w:color="auto" w:sz="4" w:space="0"/>
              <w:left w:val="single" w:color="auto" w:sz="4" w:space="0"/>
              <w:bottom w:val="single" w:color="auto" w:sz="4" w:space="0"/>
              <w:right w:val="single" w:color="auto" w:sz="4" w:space="0"/>
              <w:tl2br w:val="nil"/>
              <w:tr2bl w:val="nil"/>
            </w:tcBorders>
            <w:shd w:val="clear" w:color="auto" w:fill="FFFFFF"/>
            <w:noWrap w:val="0"/>
            <w:vAlign w:val="center"/>
          </w:tcPr>
          <w:p w14:paraId="4FB5E37D">
            <w:pPr>
              <w:adjustRightInd w:val="0"/>
              <w:snapToGrid w:val="0"/>
              <w:spacing w:line="360" w:lineRule="atLeast"/>
              <w:jc w:val="center"/>
              <w:textAlignment w:val="baseline"/>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0-8分</w:t>
            </w:r>
          </w:p>
        </w:tc>
      </w:tr>
      <w:tr w14:paraId="3B53B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3" w:type="dxa"/>
            <w:tcBorders>
              <w:top w:val="single" w:color="auto" w:sz="4" w:space="0"/>
              <w:left w:val="single" w:color="auto" w:sz="4" w:space="0"/>
              <w:bottom w:val="single" w:color="auto" w:sz="4" w:space="0"/>
              <w:right w:val="single" w:color="auto" w:sz="4" w:space="0"/>
              <w:tl2br w:val="nil"/>
              <w:tr2bl w:val="nil"/>
            </w:tcBorders>
            <w:shd w:val="clear" w:color="auto" w:fill="FFFFFF"/>
            <w:noWrap w:val="0"/>
            <w:vAlign w:val="center"/>
          </w:tcPr>
          <w:p w14:paraId="3E0EBF1A">
            <w:pPr>
              <w:adjustRightInd w:val="0"/>
              <w:snapToGrid w:val="0"/>
              <w:spacing w:line="360" w:lineRule="atLeast"/>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2.7</w:t>
            </w:r>
          </w:p>
        </w:tc>
        <w:tc>
          <w:tcPr>
            <w:tcW w:w="1275" w:type="dxa"/>
            <w:tcBorders>
              <w:top w:val="single" w:color="auto" w:sz="4" w:space="0"/>
              <w:left w:val="single" w:color="auto" w:sz="4" w:space="0"/>
              <w:bottom w:val="single" w:color="auto" w:sz="4" w:space="0"/>
              <w:right w:val="single" w:color="auto" w:sz="4" w:space="0"/>
              <w:tl2br w:val="nil"/>
              <w:tr2bl w:val="nil"/>
            </w:tcBorders>
            <w:shd w:val="clear" w:color="auto" w:fill="FFFFFF"/>
            <w:noWrap w:val="0"/>
            <w:vAlign w:val="center"/>
          </w:tcPr>
          <w:p w14:paraId="650991F9">
            <w:pPr>
              <w:widowControl/>
              <w:spacing w:line="440" w:lineRule="exac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确保工期的技术组织措施</w:t>
            </w:r>
          </w:p>
          <w:p w14:paraId="4A297B79">
            <w:pPr>
              <w:widowControl/>
              <w:spacing w:line="440" w:lineRule="exact"/>
              <w:jc w:val="center"/>
              <w:rPr>
                <w:rFonts w:hint="eastAsia" w:ascii="宋体" w:hAnsi="宋体" w:eastAsia="宋体" w:cs="宋体"/>
                <w:color w:val="auto"/>
                <w:sz w:val="24"/>
                <w:szCs w:val="24"/>
                <w:highlight w:val="none"/>
              </w:rPr>
            </w:pPr>
          </w:p>
        </w:tc>
        <w:tc>
          <w:tcPr>
            <w:tcW w:w="6780" w:type="dxa"/>
            <w:tcBorders>
              <w:top w:val="single" w:color="auto" w:sz="4" w:space="0"/>
              <w:left w:val="single" w:color="auto" w:sz="4" w:space="0"/>
              <w:bottom w:val="single" w:color="auto" w:sz="4" w:space="0"/>
              <w:right w:val="single" w:color="auto" w:sz="4" w:space="0"/>
              <w:tl2br w:val="nil"/>
              <w:tr2bl w:val="nil"/>
            </w:tcBorders>
            <w:shd w:val="clear" w:color="auto" w:fill="FFFFFF"/>
            <w:noWrap w:val="0"/>
            <w:vAlign w:val="center"/>
          </w:tcPr>
          <w:p w14:paraId="73C0F44B">
            <w:pPr>
              <w:pStyle w:val="21"/>
              <w:spacing w:before="100" w:line="440" w:lineRule="exact"/>
              <w:ind w:left="107"/>
              <w:rPr>
                <w:rFonts w:hint="eastAsia" w:ascii="宋体" w:hAnsi="宋体" w:eastAsia="宋体" w:cs="宋体"/>
                <w:color w:val="auto"/>
                <w:sz w:val="24"/>
                <w:szCs w:val="24"/>
                <w:highlight w:val="none"/>
                <w:lang w:eastAsia="zh-CN"/>
              </w:rPr>
            </w:pPr>
            <w:r>
              <w:rPr>
                <w:rFonts w:hint="eastAsia" w:ascii="宋体" w:hAnsi="宋体" w:eastAsia="宋体" w:cs="宋体"/>
                <w:b/>
                <w:color w:val="auto"/>
                <w:sz w:val="24"/>
                <w:szCs w:val="24"/>
                <w:highlight w:val="none"/>
                <w:lang w:eastAsia="zh-CN"/>
              </w:rPr>
              <w:t>优（</w:t>
            </w:r>
            <w:r>
              <w:rPr>
                <w:rFonts w:hint="eastAsia" w:ascii="宋体" w:hAnsi="宋体" w:cs="宋体"/>
                <w:b/>
                <w:color w:val="auto"/>
                <w:sz w:val="24"/>
                <w:szCs w:val="24"/>
                <w:highlight w:val="none"/>
                <w:lang w:val="en-US" w:eastAsia="zh-CN"/>
              </w:rPr>
              <w:t>7</w:t>
            </w:r>
            <w:r>
              <w:rPr>
                <w:rFonts w:hint="eastAsia" w:ascii="宋体" w:hAnsi="宋体" w:eastAsia="宋体" w:cs="宋体"/>
                <w:b/>
                <w:color w:val="auto"/>
                <w:sz w:val="24"/>
                <w:szCs w:val="24"/>
                <w:highlight w:val="none"/>
                <w:lang w:eastAsia="zh-CN"/>
              </w:rPr>
              <w:t>分）</w:t>
            </w:r>
            <w:r>
              <w:rPr>
                <w:rFonts w:hint="eastAsia" w:ascii="宋体" w:hAnsi="宋体" w:eastAsia="宋体" w:cs="宋体"/>
                <w:color w:val="auto"/>
                <w:sz w:val="24"/>
                <w:szCs w:val="24"/>
                <w:highlight w:val="none"/>
                <w:lang w:eastAsia="zh-CN"/>
              </w:rPr>
              <w:t xml:space="preserve">：有保证工期的具体措施且措施得力。各项计划图表编制详尽周密，安排科学合理，符合本项目施工实际要求。 </w:t>
            </w:r>
          </w:p>
          <w:p w14:paraId="184F6FFA">
            <w:pPr>
              <w:pStyle w:val="21"/>
              <w:spacing w:before="100" w:line="440" w:lineRule="exact"/>
              <w:ind w:left="107"/>
              <w:rPr>
                <w:rFonts w:hint="eastAsia" w:ascii="宋体" w:hAnsi="宋体" w:eastAsia="宋体" w:cs="宋体"/>
                <w:color w:val="auto"/>
                <w:sz w:val="24"/>
                <w:szCs w:val="24"/>
                <w:highlight w:val="none"/>
                <w:lang w:eastAsia="zh-CN"/>
              </w:rPr>
            </w:pPr>
            <w:r>
              <w:rPr>
                <w:rFonts w:hint="eastAsia" w:ascii="宋体" w:hAnsi="宋体" w:eastAsia="宋体" w:cs="宋体"/>
                <w:b/>
                <w:color w:val="auto"/>
                <w:sz w:val="24"/>
                <w:szCs w:val="24"/>
                <w:highlight w:val="none"/>
                <w:lang w:eastAsia="zh-CN"/>
              </w:rPr>
              <w:t>良（</w:t>
            </w:r>
            <w:r>
              <w:rPr>
                <w:rFonts w:hint="eastAsia" w:ascii="宋体" w:hAnsi="宋体" w:cs="宋体"/>
                <w:b/>
                <w:color w:val="auto"/>
                <w:sz w:val="24"/>
                <w:szCs w:val="24"/>
                <w:highlight w:val="none"/>
                <w:lang w:val="en-US" w:eastAsia="zh-CN"/>
              </w:rPr>
              <w:t>5</w:t>
            </w:r>
            <w:r>
              <w:rPr>
                <w:rFonts w:hint="eastAsia" w:ascii="宋体" w:hAnsi="宋体" w:eastAsia="宋体" w:cs="宋体"/>
                <w:b/>
                <w:color w:val="auto"/>
                <w:sz w:val="24"/>
                <w:szCs w:val="24"/>
                <w:highlight w:val="none"/>
                <w:lang w:eastAsia="zh-CN"/>
              </w:rPr>
              <w:t>分）</w:t>
            </w:r>
            <w:r>
              <w:rPr>
                <w:rFonts w:hint="eastAsia" w:ascii="宋体" w:hAnsi="宋体" w:eastAsia="宋体" w:cs="宋体"/>
                <w:color w:val="auto"/>
                <w:sz w:val="24"/>
                <w:szCs w:val="24"/>
                <w:highlight w:val="none"/>
                <w:lang w:eastAsia="zh-CN"/>
              </w:rPr>
              <w:t>：有保证工期的具体措施且措施得当。各项计划</w:t>
            </w:r>
          </w:p>
          <w:p w14:paraId="349F48DF">
            <w:pPr>
              <w:pStyle w:val="21"/>
              <w:spacing w:line="440" w:lineRule="exact"/>
              <w:ind w:left="107"/>
              <w:rPr>
                <w:rFonts w:hint="eastAsia" w:ascii="宋体" w:hAnsi="宋体" w:eastAsia="宋体" w:cs="宋体"/>
                <w:color w:val="auto"/>
                <w:spacing w:val="-12"/>
                <w:sz w:val="24"/>
                <w:szCs w:val="24"/>
                <w:highlight w:val="none"/>
                <w:lang w:eastAsia="zh-CN"/>
              </w:rPr>
            </w:pPr>
            <w:r>
              <w:rPr>
                <w:rFonts w:hint="eastAsia" w:ascii="宋体" w:hAnsi="宋体" w:eastAsia="宋体" w:cs="宋体"/>
                <w:color w:val="auto"/>
                <w:sz w:val="24"/>
                <w:szCs w:val="24"/>
                <w:highlight w:val="none"/>
                <w:lang w:eastAsia="zh-CN"/>
              </w:rPr>
              <w:t>图表编制完善，安排较合理，符合本项目施工</w:t>
            </w:r>
            <w:r>
              <w:rPr>
                <w:rFonts w:hint="eastAsia" w:ascii="宋体" w:hAnsi="宋体" w:eastAsia="宋体" w:cs="宋体"/>
                <w:color w:val="auto"/>
                <w:spacing w:val="-12"/>
                <w:sz w:val="24"/>
                <w:szCs w:val="24"/>
                <w:highlight w:val="none"/>
                <w:lang w:eastAsia="zh-CN"/>
              </w:rPr>
              <w:t>实际要求。</w:t>
            </w:r>
          </w:p>
          <w:p w14:paraId="69A0245B">
            <w:pPr>
              <w:pStyle w:val="21"/>
              <w:spacing w:line="440" w:lineRule="exact"/>
              <w:ind w:left="107"/>
              <w:rPr>
                <w:rFonts w:hint="eastAsia" w:ascii="宋体" w:hAnsi="宋体" w:eastAsia="宋体" w:cs="宋体"/>
                <w:color w:val="auto"/>
                <w:sz w:val="24"/>
                <w:szCs w:val="24"/>
                <w:highlight w:val="none"/>
                <w:lang w:eastAsia="zh-CN"/>
              </w:rPr>
            </w:pPr>
            <w:r>
              <w:rPr>
                <w:rFonts w:hint="eastAsia" w:ascii="宋体" w:hAnsi="宋体" w:eastAsia="宋体" w:cs="宋体"/>
                <w:b/>
                <w:color w:val="auto"/>
                <w:spacing w:val="-12"/>
                <w:sz w:val="24"/>
                <w:szCs w:val="24"/>
                <w:highlight w:val="none"/>
                <w:lang w:eastAsia="zh-CN"/>
              </w:rPr>
              <w:t>中</w:t>
            </w:r>
            <w:r>
              <w:rPr>
                <w:rFonts w:hint="eastAsia" w:ascii="宋体" w:hAnsi="宋体" w:eastAsia="宋体" w:cs="宋体"/>
                <w:b/>
                <w:color w:val="auto"/>
                <w:sz w:val="24"/>
                <w:szCs w:val="24"/>
                <w:highlight w:val="none"/>
                <w:lang w:eastAsia="zh-CN"/>
              </w:rPr>
              <w:t>（</w:t>
            </w:r>
            <w:r>
              <w:rPr>
                <w:rFonts w:hint="eastAsia" w:ascii="宋体" w:hAnsi="宋体" w:cs="宋体"/>
                <w:b/>
                <w:color w:val="auto"/>
                <w:sz w:val="24"/>
                <w:szCs w:val="24"/>
                <w:highlight w:val="none"/>
                <w:lang w:val="en-US" w:eastAsia="zh-CN"/>
              </w:rPr>
              <w:t>3</w:t>
            </w:r>
            <w:r>
              <w:rPr>
                <w:rFonts w:hint="eastAsia" w:ascii="宋体" w:hAnsi="宋体" w:eastAsia="宋体" w:cs="宋体"/>
                <w:b/>
                <w:color w:val="auto"/>
                <w:spacing w:val="-28"/>
                <w:sz w:val="24"/>
                <w:szCs w:val="24"/>
                <w:highlight w:val="none"/>
                <w:lang w:eastAsia="zh-CN"/>
              </w:rPr>
              <w:t>分</w:t>
            </w:r>
            <w:r>
              <w:rPr>
                <w:rFonts w:hint="eastAsia" w:ascii="宋体" w:hAnsi="宋体" w:eastAsia="宋体" w:cs="宋体"/>
                <w:b/>
                <w:color w:val="auto"/>
                <w:spacing w:val="-35"/>
                <w:sz w:val="24"/>
                <w:szCs w:val="24"/>
                <w:highlight w:val="none"/>
                <w:lang w:eastAsia="zh-CN"/>
              </w:rPr>
              <w:t>）</w:t>
            </w:r>
            <w:r>
              <w:rPr>
                <w:rFonts w:hint="eastAsia" w:ascii="宋体" w:hAnsi="宋体" w:eastAsia="宋体" w:cs="宋体"/>
                <w:color w:val="auto"/>
                <w:spacing w:val="-35"/>
                <w:sz w:val="24"/>
                <w:szCs w:val="24"/>
                <w:highlight w:val="none"/>
                <w:lang w:eastAsia="zh-CN"/>
              </w:rPr>
              <w:t>：</w:t>
            </w:r>
            <w:r>
              <w:rPr>
                <w:rFonts w:hint="eastAsia" w:ascii="宋体" w:hAnsi="宋体" w:eastAsia="宋体" w:cs="宋体"/>
                <w:color w:val="auto"/>
                <w:sz w:val="24"/>
                <w:szCs w:val="24"/>
                <w:highlight w:val="none"/>
                <w:lang w:eastAsia="zh-CN"/>
              </w:rPr>
              <w:t xml:space="preserve">有保证工期的具体措施，措施基本得当。各项计划图表编制基本齐全，安排基本合理，基本符合本项目施工实际要求。 </w:t>
            </w:r>
          </w:p>
          <w:p w14:paraId="516FEFE6">
            <w:pPr>
              <w:pStyle w:val="21"/>
              <w:spacing w:line="440" w:lineRule="exact"/>
              <w:ind w:left="107"/>
              <w:rPr>
                <w:rFonts w:hint="eastAsia" w:ascii="宋体" w:hAnsi="宋体" w:eastAsia="宋体" w:cs="宋体"/>
                <w:color w:val="auto"/>
                <w:sz w:val="24"/>
                <w:szCs w:val="24"/>
                <w:highlight w:val="none"/>
                <w:lang w:eastAsia="zh-CN"/>
              </w:rPr>
            </w:pPr>
            <w:r>
              <w:rPr>
                <w:rFonts w:hint="eastAsia" w:ascii="宋体" w:hAnsi="宋体" w:eastAsia="宋体" w:cs="宋体"/>
                <w:b/>
                <w:color w:val="auto"/>
                <w:sz w:val="24"/>
                <w:szCs w:val="24"/>
                <w:highlight w:val="none"/>
                <w:lang w:eastAsia="zh-CN"/>
              </w:rPr>
              <w:t>差（</w:t>
            </w:r>
            <w:r>
              <w:rPr>
                <w:rFonts w:hint="eastAsia" w:ascii="宋体" w:hAnsi="宋体" w:cs="宋体"/>
                <w:b/>
                <w:color w:val="auto"/>
                <w:sz w:val="24"/>
                <w:szCs w:val="24"/>
                <w:highlight w:val="none"/>
                <w:lang w:val="en-US" w:eastAsia="zh-CN"/>
              </w:rPr>
              <w:t>1</w:t>
            </w:r>
            <w:r>
              <w:rPr>
                <w:rFonts w:hint="eastAsia" w:ascii="宋体" w:hAnsi="宋体" w:eastAsia="宋体" w:cs="宋体"/>
                <w:b/>
                <w:color w:val="auto"/>
                <w:sz w:val="24"/>
                <w:szCs w:val="24"/>
                <w:highlight w:val="none"/>
                <w:lang w:eastAsia="zh-CN"/>
              </w:rPr>
              <w:t>分）</w:t>
            </w:r>
            <w:r>
              <w:rPr>
                <w:rFonts w:hint="eastAsia" w:ascii="宋体" w:hAnsi="宋体" w:eastAsia="宋体" w:cs="宋体"/>
                <w:color w:val="auto"/>
                <w:sz w:val="24"/>
                <w:szCs w:val="24"/>
                <w:highlight w:val="none"/>
                <w:lang w:eastAsia="zh-CN"/>
              </w:rPr>
              <w:t>：有保证工期的具体措施。各项计划图表编制不完善，安排不合理，不能满足本项目施工实际要求。</w:t>
            </w:r>
          </w:p>
        </w:tc>
        <w:tc>
          <w:tcPr>
            <w:tcW w:w="1060" w:type="dxa"/>
            <w:tcBorders>
              <w:top w:val="single" w:color="auto" w:sz="4" w:space="0"/>
              <w:left w:val="single" w:color="auto" w:sz="4" w:space="0"/>
              <w:bottom w:val="single" w:color="auto" w:sz="4" w:space="0"/>
              <w:right w:val="single" w:color="auto" w:sz="4" w:space="0"/>
              <w:tl2br w:val="nil"/>
              <w:tr2bl w:val="nil"/>
            </w:tcBorders>
            <w:shd w:val="clear" w:color="auto" w:fill="FFFFFF"/>
            <w:noWrap w:val="0"/>
            <w:vAlign w:val="center"/>
          </w:tcPr>
          <w:p w14:paraId="5856C5D3">
            <w:pPr>
              <w:adjustRightInd w:val="0"/>
              <w:snapToGrid w:val="0"/>
              <w:spacing w:line="360" w:lineRule="atLeast"/>
              <w:jc w:val="center"/>
              <w:textAlignment w:val="baseline"/>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0-</w:t>
            </w:r>
            <w:r>
              <w:rPr>
                <w:rFonts w:hint="eastAsia" w:ascii="宋体" w:hAnsi="宋体" w:eastAsia="宋体" w:cs="宋体"/>
                <w:b/>
                <w:color w:val="auto"/>
                <w:sz w:val="24"/>
                <w:szCs w:val="24"/>
                <w:highlight w:val="none"/>
                <w:lang w:val="en-US" w:eastAsia="zh-CN"/>
              </w:rPr>
              <w:t>7</w:t>
            </w:r>
            <w:r>
              <w:rPr>
                <w:rFonts w:hint="eastAsia" w:ascii="宋体" w:hAnsi="宋体" w:eastAsia="宋体" w:cs="宋体"/>
                <w:b/>
                <w:color w:val="auto"/>
                <w:sz w:val="24"/>
                <w:szCs w:val="24"/>
                <w:highlight w:val="none"/>
              </w:rPr>
              <w:t>分</w:t>
            </w:r>
          </w:p>
        </w:tc>
      </w:tr>
      <w:tr w14:paraId="682CE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3" w:type="dxa"/>
            <w:tcBorders>
              <w:top w:val="single" w:color="auto" w:sz="4" w:space="0"/>
              <w:left w:val="single" w:color="auto" w:sz="4" w:space="0"/>
              <w:bottom w:val="single" w:color="auto" w:sz="4" w:space="0"/>
              <w:right w:val="single" w:color="auto" w:sz="4" w:space="0"/>
              <w:tl2br w:val="nil"/>
              <w:tr2bl w:val="nil"/>
            </w:tcBorders>
            <w:shd w:val="clear" w:color="auto" w:fill="FFFFFF"/>
            <w:noWrap w:val="0"/>
            <w:vAlign w:val="center"/>
          </w:tcPr>
          <w:p w14:paraId="0DCAB627">
            <w:pPr>
              <w:adjustRightInd w:val="0"/>
              <w:snapToGrid w:val="0"/>
              <w:spacing w:line="360" w:lineRule="atLeast"/>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2.8</w:t>
            </w:r>
          </w:p>
        </w:tc>
        <w:tc>
          <w:tcPr>
            <w:tcW w:w="1275" w:type="dxa"/>
            <w:tcBorders>
              <w:top w:val="single" w:color="auto" w:sz="4" w:space="0"/>
              <w:left w:val="single" w:color="auto" w:sz="4" w:space="0"/>
              <w:bottom w:val="single" w:color="auto" w:sz="4" w:space="0"/>
              <w:right w:val="single" w:color="auto" w:sz="4" w:space="0"/>
              <w:tl2br w:val="nil"/>
              <w:tr2bl w:val="nil"/>
            </w:tcBorders>
            <w:shd w:val="clear" w:color="auto" w:fill="FFFFFF"/>
            <w:noWrap w:val="0"/>
            <w:vAlign w:val="center"/>
          </w:tcPr>
          <w:p w14:paraId="1787D53E">
            <w:pPr>
              <w:widowControl/>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确保文明施工的技术组织措施</w:t>
            </w:r>
          </w:p>
        </w:tc>
        <w:tc>
          <w:tcPr>
            <w:tcW w:w="6780" w:type="dxa"/>
            <w:tcBorders>
              <w:top w:val="single" w:color="auto" w:sz="4" w:space="0"/>
              <w:left w:val="single" w:color="auto" w:sz="4" w:space="0"/>
              <w:bottom w:val="single" w:color="auto" w:sz="4" w:space="0"/>
              <w:right w:val="single" w:color="auto" w:sz="4" w:space="0"/>
              <w:tl2br w:val="nil"/>
              <w:tr2bl w:val="nil"/>
            </w:tcBorders>
            <w:shd w:val="clear" w:color="auto" w:fill="FFFFFF"/>
            <w:noWrap w:val="0"/>
            <w:vAlign w:val="center"/>
          </w:tcPr>
          <w:p w14:paraId="2E746964">
            <w:pPr>
              <w:pStyle w:val="21"/>
              <w:spacing w:before="101" w:line="440" w:lineRule="exact"/>
              <w:ind w:left="107"/>
              <w:rPr>
                <w:rFonts w:hint="eastAsia" w:ascii="宋体" w:hAnsi="宋体" w:eastAsia="宋体" w:cs="宋体"/>
                <w:color w:val="auto"/>
                <w:sz w:val="24"/>
                <w:szCs w:val="24"/>
                <w:highlight w:val="none"/>
                <w:lang w:eastAsia="zh-CN"/>
              </w:rPr>
            </w:pPr>
            <w:r>
              <w:rPr>
                <w:rFonts w:hint="eastAsia" w:ascii="宋体" w:hAnsi="宋体" w:eastAsia="宋体" w:cs="宋体"/>
                <w:b/>
                <w:color w:val="auto"/>
                <w:sz w:val="24"/>
                <w:szCs w:val="24"/>
                <w:highlight w:val="none"/>
                <w:lang w:eastAsia="zh-CN"/>
              </w:rPr>
              <w:t>优（7 分）</w:t>
            </w:r>
            <w:r>
              <w:rPr>
                <w:rFonts w:hint="eastAsia" w:ascii="宋体" w:hAnsi="宋体" w:eastAsia="宋体" w:cs="宋体"/>
                <w:color w:val="auto"/>
                <w:sz w:val="24"/>
                <w:szCs w:val="24"/>
                <w:highlight w:val="none"/>
                <w:lang w:eastAsia="zh-CN"/>
              </w:rPr>
              <w:t>：现场文明施工、环境保护措施和内容达到相关施工安全生产标准或文明施工等要求；承诺创建自治区级及以上文明工地和标准化工</w:t>
            </w:r>
            <w:r>
              <w:rPr>
                <w:rFonts w:hint="eastAsia" w:ascii="宋体" w:hAnsi="宋体" w:eastAsia="宋体" w:cs="宋体"/>
                <w:color w:val="auto"/>
                <w:spacing w:val="-10"/>
                <w:sz w:val="24"/>
                <w:szCs w:val="24"/>
                <w:highlight w:val="none"/>
                <w:lang w:eastAsia="zh-CN"/>
              </w:rPr>
              <w:t>地，而且各项措施周全、</w:t>
            </w:r>
            <w:r>
              <w:rPr>
                <w:rFonts w:hint="eastAsia" w:ascii="宋体" w:hAnsi="宋体" w:eastAsia="宋体" w:cs="宋体"/>
                <w:color w:val="auto"/>
                <w:sz w:val="24"/>
                <w:szCs w:val="24"/>
                <w:highlight w:val="none"/>
                <w:lang w:eastAsia="zh-CN"/>
              </w:rPr>
              <w:t xml:space="preserve">具体、有效的。 </w:t>
            </w:r>
          </w:p>
          <w:p w14:paraId="36681FE8">
            <w:pPr>
              <w:pStyle w:val="21"/>
              <w:spacing w:before="101" w:line="440" w:lineRule="exact"/>
              <w:ind w:left="107"/>
              <w:rPr>
                <w:rFonts w:hint="eastAsia" w:ascii="宋体" w:hAnsi="宋体" w:eastAsia="宋体" w:cs="宋体"/>
                <w:color w:val="auto"/>
                <w:sz w:val="24"/>
                <w:szCs w:val="24"/>
                <w:highlight w:val="none"/>
                <w:lang w:eastAsia="zh-CN"/>
              </w:rPr>
            </w:pPr>
            <w:r>
              <w:rPr>
                <w:rFonts w:hint="eastAsia" w:ascii="宋体" w:hAnsi="宋体" w:eastAsia="宋体" w:cs="宋体"/>
                <w:b/>
                <w:color w:val="auto"/>
                <w:sz w:val="24"/>
                <w:szCs w:val="24"/>
                <w:highlight w:val="none"/>
                <w:lang w:eastAsia="zh-CN"/>
              </w:rPr>
              <w:t>良（5分）</w:t>
            </w:r>
            <w:r>
              <w:rPr>
                <w:rFonts w:hint="eastAsia" w:ascii="宋体" w:hAnsi="宋体" w:eastAsia="宋体" w:cs="宋体"/>
                <w:color w:val="auto"/>
                <w:sz w:val="24"/>
                <w:szCs w:val="24"/>
                <w:highlight w:val="none"/>
                <w:lang w:eastAsia="zh-CN"/>
              </w:rPr>
              <w:t xml:space="preserve">：现场文明施工、环境保护措施和内容达到相关施工安全生产标准或文明施工要求的；承诺创建市级文明工地和标准化工地，而且各项措施周全、具体、有效的。 </w:t>
            </w:r>
          </w:p>
          <w:p w14:paraId="47C3A070">
            <w:pPr>
              <w:pStyle w:val="21"/>
              <w:spacing w:line="440" w:lineRule="exact"/>
              <w:ind w:left="107"/>
              <w:rPr>
                <w:rFonts w:hint="eastAsia" w:ascii="宋体" w:hAnsi="宋体" w:eastAsia="宋体" w:cs="宋体"/>
                <w:color w:val="auto"/>
                <w:sz w:val="24"/>
                <w:szCs w:val="24"/>
                <w:highlight w:val="none"/>
                <w:lang w:eastAsia="zh-CN"/>
              </w:rPr>
            </w:pPr>
            <w:r>
              <w:rPr>
                <w:rFonts w:hint="eastAsia" w:ascii="宋体" w:hAnsi="宋体" w:eastAsia="宋体" w:cs="宋体"/>
                <w:b/>
                <w:color w:val="auto"/>
                <w:sz w:val="24"/>
                <w:szCs w:val="24"/>
                <w:highlight w:val="none"/>
                <w:lang w:eastAsia="zh-CN"/>
              </w:rPr>
              <w:t>中（3分）</w:t>
            </w:r>
            <w:r>
              <w:rPr>
                <w:rFonts w:hint="eastAsia" w:ascii="宋体" w:hAnsi="宋体" w:eastAsia="宋体" w:cs="宋体"/>
                <w:color w:val="auto"/>
                <w:sz w:val="24"/>
                <w:szCs w:val="24"/>
                <w:highlight w:val="none"/>
                <w:lang w:eastAsia="zh-CN"/>
              </w:rPr>
              <w:t>：现场文明施工、环境保护措施和内容基本达到相关施工安全生产标准或文明施工要求的；有具体实现现场文明施工目标的承诺，而且各项措施基本周全、具体、有效的。</w:t>
            </w:r>
          </w:p>
          <w:p w14:paraId="4C6C5BBD">
            <w:pPr>
              <w:pStyle w:val="21"/>
              <w:spacing w:line="440" w:lineRule="exact"/>
              <w:ind w:left="107"/>
              <w:rPr>
                <w:rFonts w:hint="eastAsia" w:ascii="宋体" w:hAnsi="宋体" w:eastAsia="宋体" w:cs="宋体"/>
                <w:color w:val="auto"/>
                <w:sz w:val="24"/>
                <w:szCs w:val="24"/>
                <w:highlight w:val="none"/>
                <w:lang w:eastAsia="zh-CN"/>
              </w:rPr>
            </w:pPr>
            <w:r>
              <w:rPr>
                <w:rFonts w:hint="eastAsia" w:ascii="宋体" w:hAnsi="宋体" w:eastAsia="宋体" w:cs="宋体"/>
                <w:b/>
                <w:color w:val="auto"/>
                <w:sz w:val="24"/>
                <w:szCs w:val="24"/>
                <w:highlight w:val="none"/>
                <w:lang w:eastAsia="zh-CN"/>
              </w:rPr>
              <w:t>差（1分）</w:t>
            </w:r>
            <w:r>
              <w:rPr>
                <w:rFonts w:hint="eastAsia" w:ascii="宋体" w:hAnsi="宋体" w:eastAsia="宋体" w:cs="宋体"/>
                <w:color w:val="auto"/>
                <w:sz w:val="24"/>
                <w:szCs w:val="24"/>
                <w:highlight w:val="none"/>
                <w:lang w:eastAsia="zh-CN"/>
              </w:rPr>
              <w:t xml:space="preserve"> ：现场文明施工、环境保护措施和内容与相关施工安全生产标准或文明施工要求的的要求偏差大，有监督的现场文明施工目标的承诺。</w:t>
            </w:r>
          </w:p>
        </w:tc>
        <w:tc>
          <w:tcPr>
            <w:tcW w:w="1060" w:type="dxa"/>
            <w:tcBorders>
              <w:top w:val="single" w:color="auto" w:sz="4" w:space="0"/>
              <w:left w:val="single" w:color="auto" w:sz="4" w:space="0"/>
              <w:bottom w:val="single" w:color="auto" w:sz="4" w:space="0"/>
              <w:right w:val="single" w:color="auto" w:sz="4" w:space="0"/>
              <w:tl2br w:val="nil"/>
              <w:tr2bl w:val="nil"/>
            </w:tcBorders>
            <w:shd w:val="clear" w:color="auto" w:fill="FFFFFF"/>
            <w:noWrap w:val="0"/>
            <w:vAlign w:val="center"/>
          </w:tcPr>
          <w:p w14:paraId="1482EB80">
            <w:pPr>
              <w:adjustRightInd w:val="0"/>
              <w:snapToGrid w:val="0"/>
              <w:spacing w:line="360" w:lineRule="atLeast"/>
              <w:jc w:val="center"/>
              <w:textAlignment w:val="baseline"/>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0-7分</w:t>
            </w:r>
          </w:p>
        </w:tc>
      </w:tr>
      <w:tr w14:paraId="35133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703" w:type="dxa"/>
            <w:tcBorders>
              <w:top w:val="single" w:color="auto" w:sz="4" w:space="0"/>
              <w:left w:val="single" w:color="auto" w:sz="4" w:space="0"/>
              <w:bottom w:val="single" w:color="auto" w:sz="4" w:space="0"/>
              <w:right w:val="single" w:color="auto" w:sz="4" w:space="0"/>
              <w:tl2br w:val="nil"/>
              <w:tr2bl w:val="nil"/>
            </w:tcBorders>
            <w:shd w:val="clear" w:color="auto" w:fill="FFFFFF"/>
            <w:noWrap w:val="0"/>
            <w:vAlign w:val="center"/>
          </w:tcPr>
          <w:p w14:paraId="29D76C6F">
            <w:pPr>
              <w:adjustRightInd w:val="0"/>
              <w:snapToGrid w:val="0"/>
              <w:spacing w:line="360" w:lineRule="atLeast"/>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2.9</w:t>
            </w:r>
          </w:p>
        </w:tc>
        <w:tc>
          <w:tcPr>
            <w:tcW w:w="1275" w:type="dxa"/>
            <w:tcBorders>
              <w:top w:val="single" w:color="auto" w:sz="4" w:space="0"/>
              <w:left w:val="single" w:color="auto" w:sz="4" w:space="0"/>
              <w:bottom w:val="single" w:color="auto" w:sz="4" w:space="0"/>
              <w:right w:val="single" w:color="auto" w:sz="4" w:space="0"/>
              <w:tl2br w:val="nil"/>
              <w:tr2bl w:val="nil"/>
            </w:tcBorders>
            <w:shd w:val="clear" w:color="auto" w:fill="FFFFFF"/>
            <w:noWrap w:val="0"/>
            <w:vAlign w:val="center"/>
          </w:tcPr>
          <w:p w14:paraId="15BDD289">
            <w:pPr>
              <w:widowControl/>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工程施工的重点和难点及保证措施</w:t>
            </w:r>
          </w:p>
        </w:tc>
        <w:tc>
          <w:tcPr>
            <w:tcW w:w="6780" w:type="dxa"/>
            <w:tcBorders>
              <w:top w:val="single" w:color="auto" w:sz="4" w:space="0"/>
              <w:left w:val="single" w:color="auto" w:sz="4" w:space="0"/>
              <w:bottom w:val="single" w:color="auto" w:sz="4" w:space="0"/>
              <w:right w:val="single" w:color="auto" w:sz="4" w:space="0"/>
              <w:tl2br w:val="nil"/>
              <w:tr2bl w:val="nil"/>
            </w:tcBorders>
            <w:shd w:val="clear" w:color="auto" w:fill="FFFFFF"/>
            <w:noWrap w:val="0"/>
            <w:vAlign w:val="center"/>
          </w:tcPr>
          <w:p w14:paraId="1C5A6A3A">
            <w:pPr>
              <w:pStyle w:val="21"/>
              <w:spacing w:before="101" w:line="440" w:lineRule="exact"/>
              <w:ind w:left="107" w:right="101"/>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优（</w:t>
            </w:r>
            <w:r>
              <w:rPr>
                <w:rFonts w:hint="eastAsia" w:ascii="宋体" w:hAnsi="宋体" w:eastAsia="宋体" w:cs="宋体"/>
                <w:b/>
                <w:color w:val="auto"/>
                <w:sz w:val="24"/>
                <w:szCs w:val="24"/>
                <w:highlight w:val="none"/>
                <w:lang w:eastAsia="zh-CN"/>
              </w:rPr>
              <w:t>7</w:t>
            </w:r>
            <w:r>
              <w:rPr>
                <w:rFonts w:hint="eastAsia" w:ascii="宋体" w:hAnsi="宋体" w:eastAsia="宋体" w:cs="宋体"/>
                <w:b/>
                <w:color w:val="auto"/>
                <w:spacing w:val="-28"/>
                <w:sz w:val="24"/>
                <w:szCs w:val="24"/>
                <w:highlight w:val="none"/>
                <w:lang w:eastAsia="zh-CN"/>
              </w:rPr>
              <w:t>分</w:t>
            </w:r>
            <w:r>
              <w:rPr>
                <w:rFonts w:hint="eastAsia" w:ascii="宋体" w:hAnsi="宋体" w:eastAsia="宋体" w:cs="宋体"/>
                <w:color w:val="auto"/>
                <w:sz w:val="24"/>
                <w:szCs w:val="24"/>
                <w:highlight w:val="none"/>
                <w:lang w:eastAsia="zh-CN"/>
              </w:rPr>
              <w:t xml:space="preserve">）：针对该项目的难点、重点详细分析，重点考虑各部分施工如何相互交叉和衔接，以保证施工质量效果和设计效果的完美统一。 </w:t>
            </w:r>
          </w:p>
          <w:p w14:paraId="0995F180">
            <w:pPr>
              <w:pStyle w:val="21"/>
              <w:spacing w:before="101" w:line="440" w:lineRule="exact"/>
              <w:ind w:left="107" w:right="101"/>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良（</w:t>
            </w:r>
            <w:r>
              <w:rPr>
                <w:rFonts w:hint="eastAsia" w:ascii="宋体" w:hAnsi="宋体" w:eastAsia="宋体" w:cs="宋体"/>
                <w:b/>
                <w:color w:val="auto"/>
                <w:sz w:val="24"/>
                <w:szCs w:val="24"/>
                <w:highlight w:val="none"/>
                <w:lang w:eastAsia="zh-CN"/>
              </w:rPr>
              <w:t>5分</w:t>
            </w:r>
            <w:r>
              <w:rPr>
                <w:rFonts w:hint="eastAsia" w:ascii="宋体" w:hAnsi="宋体" w:eastAsia="宋体" w:cs="宋体"/>
                <w:color w:val="auto"/>
                <w:sz w:val="24"/>
                <w:szCs w:val="24"/>
                <w:highlight w:val="none"/>
                <w:lang w:eastAsia="zh-CN"/>
              </w:rPr>
              <w:t>）：针对该项目的难点、重点分析到位，未重点考虑各部分施工如何相互交叉和衔接，施工质量效果基本达到设计效果。</w:t>
            </w:r>
          </w:p>
          <w:p w14:paraId="29F133E3">
            <w:pPr>
              <w:pStyle w:val="21"/>
              <w:spacing w:before="101" w:line="440" w:lineRule="exact"/>
              <w:ind w:left="107" w:right="101"/>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中（</w:t>
            </w:r>
            <w:r>
              <w:rPr>
                <w:rFonts w:hint="eastAsia" w:ascii="宋体" w:hAnsi="宋体" w:eastAsia="宋体" w:cs="宋体"/>
                <w:b/>
                <w:color w:val="auto"/>
                <w:sz w:val="24"/>
                <w:szCs w:val="24"/>
                <w:highlight w:val="none"/>
                <w:lang w:eastAsia="zh-CN"/>
              </w:rPr>
              <w:t>3分</w:t>
            </w:r>
            <w:r>
              <w:rPr>
                <w:rFonts w:hint="eastAsia" w:ascii="宋体" w:hAnsi="宋体" w:eastAsia="宋体" w:cs="宋体"/>
                <w:color w:val="auto"/>
                <w:sz w:val="24"/>
                <w:szCs w:val="24"/>
                <w:highlight w:val="none"/>
                <w:lang w:eastAsia="zh-CN"/>
              </w:rPr>
              <w:t xml:space="preserve">）：针对该项目的难点、重点分析不具体，各部分施工如何相互交叉和衔接不合理， 施工质量效果和设计效果有较大差距。 </w:t>
            </w:r>
          </w:p>
          <w:p w14:paraId="03F6920F">
            <w:pPr>
              <w:pStyle w:val="21"/>
              <w:spacing w:before="101" w:line="440" w:lineRule="exact"/>
              <w:ind w:left="107" w:right="101"/>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差（</w:t>
            </w:r>
            <w:r>
              <w:rPr>
                <w:rFonts w:hint="eastAsia" w:ascii="宋体" w:hAnsi="宋体" w:eastAsia="宋体" w:cs="宋体"/>
                <w:b/>
                <w:color w:val="auto"/>
                <w:sz w:val="24"/>
                <w:szCs w:val="24"/>
                <w:highlight w:val="none"/>
                <w:lang w:eastAsia="zh-CN"/>
              </w:rPr>
              <w:t>1分</w:t>
            </w:r>
            <w:r>
              <w:rPr>
                <w:rFonts w:hint="eastAsia" w:ascii="宋体" w:hAnsi="宋体" w:eastAsia="宋体" w:cs="宋体"/>
                <w:color w:val="auto"/>
                <w:sz w:val="24"/>
                <w:szCs w:val="24"/>
                <w:highlight w:val="none"/>
                <w:lang w:eastAsia="zh-CN"/>
              </w:rPr>
              <w:t>）：未针对该项目的难点、重点进行分析，未考虑各部分施工如何相互交叉和衔接，施工质量效果和设计效果的无法统一。</w:t>
            </w:r>
          </w:p>
        </w:tc>
        <w:tc>
          <w:tcPr>
            <w:tcW w:w="1060" w:type="dxa"/>
            <w:tcBorders>
              <w:top w:val="single" w:color="auto" w:sz="4" w:space="0"/>
              <w:left w:val="single" w:color="auto" w:sz="4" w:space="0"/>
              <w:bottom w:val="single" w:color="auto" w:sz="4" w:space="0"/>
              <w:right w:val="single" w:color="auto" w:sz="4" w:space="0"/>
              <w:tl2br w:val="nil"/>
              <w:tr2bl w:val="nil"/>
            </w:tcBorders>
            <w:shd w:val="clear" w:color="auto" w:fill="FFFFFF"/>
            <w:noWrap w:val="0"/>
            <w:vAlign w:val="center"/>
          </w:tcPr>
          <w:p w14:paraId="1FB2DA57">
            <w:pPr>
              <w:adjustRightInd w:val="0"/>
              <w:snapToGrid w:val="0"/>
              <w:spacing w:line="360" w:lineRule="atLeast"/>
              <w:jc w:val="center"/>
              <w:textAlignment w:val="baseline"/>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0-7分</w:t>
            </w:r>
          </w:p>
        </w:tc>
      </w:tr>
      <w:tr w14:paraId="5E9CA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3" w:type="dxa"/>
            <w:tcBorders>
              <w:top w:val="single" w:color="auto" w:sz="4" w:space="0"/>
              <w:left w:val="single" w:color="auto" w:sz="4" w:space="0"/>
              <w:bottom w:val="single" w:color="auto" w:sz="4" w:space="0"/>
              <w:right w:val="single" w:color="auto" w:sz="4" w:space="0"/>
              <w:tl2br w:val="nil"/>
              <w:tr2bl w:val="nil"/>
            </w:tcBorders>
            <w:shd w:val="clear" w:color="auto" w:fill="FFFFFF"/>
            <w:noWrap w:val="0"/>
            <w:vAlign w:val="center"/>
          </w:tcPr>
          <w:p w14:paraId="5BA20D71">
            <w:pPr>
              <w:adjustRightInd w:val="0"/>
              <w:snapToGrid w:val="0"/>
              <w:spacing w:line="360" w:lineRule="atLeast"/>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2.10</w:t>
            </w:r>
          </w:p>
        </w:tc>
        <w:tc>
          <w:tcPr>
            <w:tcW w:w="1275" w:type="dxa"/>
            <w:tcBorders>
              <w:top w:val="single" w:color="auto" w:sz="4" w:space="0"/>
              <w:left w:val="single" w:color="auto" w:sz="4" w:space="0"/>
              <w:bottom w:val="single" w:color="auto" w:sz="4" w:space="0"/>
              <w:right w:val="single" w:color="auto" w:sz="4" w:space="0"/>
              <w:tl2br w:val="nil"/>
              <w:tr2bl w:val="nil"/>
            </w:tcBorders>
            <w:shd w:val="clear" w:color="auto" w:fill="FFFFFF"/>
            <w:noWrap w:val="0"/>
            <w:vAlign w:val="center"/>
          </w:tcPr>
          <w:p w14:paraId="14C24AA7">
            <w:pPr>
              <w:widowControl/>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施工总平面布置图</w:t>
            </w:r>
          </w:p>
        </w:tc>
        <w:tc>
          <w:tcPr>
            <w:tcW w:w="6780" w:type="dxa"/>
            <w:tcBorders>
              <w:top w:val="single" w:color="auto" w:sz="4" w:space="0"/>
              <w:left w:val="single" w:color="auto" w:sz="4" w:space="0"/>
              <w:bottom w:val="single" w:color="auto" w:sz="4" w:space="0"/>
              <w:right w:val="single" w:color="auto" w:sz="4" w:space="0"/>
              <w:tl2br w:val="nil"/>
              <w:tr2bl w:val="nil"/>
            </w:tcBorders>
            <w:shd w:val="clear" w:color="auto" w:fill="FFFFFF"/>
            <w:noWrap w:val="0"/>
            <w:vAlign w:val="center"/>
          </w:tcPr>
          <w:p w14:paraId="2822F5D6">
            <w:pPr>
              <w:pStyle w:val="21"/>
              <w:spacing w:before="101" w:line="440" w:lineRule="exac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优（</w:t>
            </w:r>
            <w:r>
              <w:rPr>
                <w:rFonts w:hint="eastAsia" w:ascii="宋体" w:hAnsi="宋体" w:eastAsia="宋体" w:cs="宋体"/>
                <w:b/>
                <w:color w:val="auto"/>
                <w:sz w:val="24"/>
                <w:szCs w:val="24"/>
                <w:highlight w:val="none"/>
                <w:lang w:eastAsia="zh-CN"/>
              </w:rPr>
              <w:t>7分</w:t>
            </w:r>
            <w:r>
              <w:rPr>
                <w:rFonts w:hint="eastAsia" w:ascii="宋体" w:hAnsi="宋体" w:eastAsia="宋体" w:cs="宋体"/>
                <w:color w:val="auto"/>
                <w:sz w:val="24"/>
                <w:szCs w:val="24"/>
                <w:highlight w:val="none"/>
                <w:lang w:eastAsia="zh-CN"/>
              </w:rPr>
              <w:t xml:space="preserve">）：总体布置有针对性、合理，完全满足施工需要，符合安全、文明生产要求。 </w:t>
            </w:r>
          </w:p>
          <w:p w14:paraId="1E15004E">
            <w:pPr>
              <w:pStyle w:val="21"/>
              <w:spacing w:before="101" w:line="440" w:lineRule="exac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良（</w:t>
            </w:r>
            <w:r>
              <w:rPr>
                <w:rFonts w:hint="eastAsia" w:ascii="宋体" w:hAnsi="宋体" w:eastAsia="宋体" w:cs="宋体"/>
                <w:b/>
                <w:color w:val="auto"/>
                <w:sz w:val="24"/>
                <w:szCs w:val="24"/>
                <w:highlight w:val="none"/>
                <w:lang w:eastAsia="zh-CN"/>
              </w:rPr>
              <w:t>5分</w:t>
            </w:r>
            <w:r>
              <w:rPr>
                <w:rFonts w:hint="eastAsia" w:ascii="宋体" w:hAnsi="宋体" w:eastAsia="宋体" w:cs="宋体"/>
                <w:color w:val="auto"/>
                <w:sz w:val="24"/>
                <w:szCs w:val="24"/>
                <w:highlight w:val="none"/>
                <w:lang w:eastAsia="zh-CN"/>
              </w:rPr>
              <w:t>）：总体布置合理，能满足施工需要， 可以符合安全、文明生产要求。</w:t>
            </w:r>
          </w:p>
          <w:p w14:paraId="46F513CD">
            <w:pPr>
              <w:pStyle w:val="21"/>
              <w:spacing w:before="101" w:line="440" w:lineRule="exac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中（</w:t>
            </w:r>
            <w:r>
              <w:rPr>
                <w:rFonts w:hint="eastAsia" w:ascii="宋体" w:hAnsi="宋体" w:eastAsia="宋体" w:cs="宋体"/>
                <w:b/>
                <w:color w:val="auto"/>
                <w:sz w:val="24"/>
                <w:szCs w:val="24"/>
                <w:highlight w:val="none"/>
                <w:lang w:eastAsia="zh-CN"/>
              </w:rPr>
              <w:t>3分</w:t>
            </w:r>
            <w:r>
              <w:rPr>
                <w:rFonts w:hint="eastAsia" w:ascii="宋体" w:hAnsi="宋体" w:eastAsia="宋体" w:cs="宋体"/>
                <w:color w:val="auto"/>
                <w:sz w:val="24"/>
                <w:szCs w:val="24"/>
                <w:highlight w:val="none"/>
                <w:lang w:eastAsia="zh-CN"/>
              </w:rPr>
              <w:t>）：总体布置基本合理，基本满足施工需要。</w:t>
            </w:r>
          </w:p>
          <w:p w14:paraId="2C621EBE">
            <w:pPr>
              <w:pStyle w:val="21"/>
              <w:spacing w:before="101" w:line="440" w:lineRule="exac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差（</w:t>
            </w:r>
            <w:r>
              <w:rPr>
                <w:rFonts w:hint="eastAsia" w:ascii="宋体" w:hAnsi="宋体" w:eastAsia="宋体" w:cs="宋体"/>
                <w:b/>
                <w:color w:val="auto"/>
                <w:sz w:val="24"/>
                <w:szCs w:val="24"/>
                <w:highlight w:val="none"/>
                <w:lang w:eastAsia="zh-CN"/>
              </w:rPr>
              <w:t>1分</w:t>
            </w:r>
            <w:r>
              <w:rPr>
                <w:rFonts w:hint="eastAsia" w:ascii="宋体" w:hAnsi="宋体" w:eastAsia="宋体" w:cs="宋体"/>
                <w:color w:val="auto"/>
                <w:sz w:val="24"/>
                <w:szCs w:val="24"/>
                <w:highlight w:val="none"/>
                <w:lang w:eastAsia="zh-CN"/>
              </w:rPr>
              <w:t>）：总体布置不合理，不符合安全、文明生产要求。</w:t>
            </w:r>
          </w:p>
        </w:tc>
        <w:tc>
          <w:tcPr>
            <w:tcW w:w="1060" w:type="dxa"/>
            <w:tcBorders>
              <w:top w:val="single" w:color="auto" w:sz="4" w:space="0"/>
              <w:left w:val="single" w:color="auto" w:sz="4" w:space="0"/>
              <w:bottom w:val="single" w:color="auto" w:sz="4" w:space="0"/>
              <w:right w:val="single" w:color="auto" w:sz="4" w:space="0"/>
              <w:tl2br w:val="nil"/>
              <w:tr2bl w:val="nil"/>
            </w:tcBorders>
            <w:shd w:val="clear" w:color="auto" w:fill="FFFFFF"/>
            <w:noWrap w:val="0"/>
            <w:vAlign w:val="center"/>
          </w:tcPr>
          <w:p w14:paraId="6487C3DE">
            <w:pPr>
              <w:adjustRightInd w:val="0"/>
              <w:snapToGrid w:val="0"/>
              <w:spacing w:line="360" w:lineRule="atLeast"/>
              <w:jc w:val="center"/>
              <w:textAlignment w:val="baseline"/>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0-7分</w:t>
            </w:r>
          </w:p>
        </w:tc>
      </w:tr>
      <w:tr w14:paraId="09AD7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03" w:type="dxa"/>
            <w:tcBorders>
              <w:top w:val="single" w:color="auto" w:sz="4" w:space="0"/>
              <w:left w:val="single" w:color="auto" w:sz="4" w:space="0"/>
              <w:bottom w:val="single" w:color="auto" w:sz="4" w:space="0"/>
              <w:right w:val="single" w:color="auto" w:sz="4" w:space="0"/>
              <w:tl2br w:val="nil"/>
              <w:tr2bl w:val="nil"/>
            </w:tcBorders>
            <w:shd w:val="clear" w:color="auto" w:fill="FFFFFF"/>
            <w:noWrap w:val="0"/>
            <w:vAlign w:val="center"/>
          </w:tcPr>
          <w:p w14:paraId="0797C46F">
            <w:pPr>
              <w:snapToGrid w:val="0"/>
              <w:spacing w:line="360" w:lineRule="atLeast"/>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3</w:t>
            </w:r>
          </w:p>
        </w:tc>
        <w:tc>
          <w:tcPr>
            <w:tcW w:w="1275" w:type="dxa"/>
            <w:tcBorders>
              <w:top w:val="single" w:color="auto" w:sz="4" w:space="0"/>
              <w:left w:val="single" w:color="auto" w:sz="4" w:space="0"/>
              <w:bottom w:val="single" w:color="auto" w:sz="4" w:space="0"/>
              <w:right w:val="single" w:color="auto" w:sz="4" w:space="0"/>
              <w:tl2br w:val="nil"/>
              <w:tr2bl w:val="nil"/>
            </w:tcBorders>
            <w:shd w:val="clear" w:color="auto" w:fill="FFFFFF"/>
            <w:noWrap w:val="0"/>
            <w:vAlign w:val="center"/>
          </w:tcPr>
          <w:p w14:paraId="7FCFEF8C">
            <w:pPr>
              <w:snapToGrid w:val="0"/>
              <w:spacing w:line="440" w:lineRule="exac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商务分</w:t>
            </w:r>
          </w:p>
        </w:tc>
        <w:tc>
          <w:tcPr>
            <w:tcW w:w="6780" w:type="dxa"/>
            <w:tcBorders>
              <w:top w:val="single" w:color="auto" w:sz="4" w:space="0"/>
              <w:left w:val="single" w:color="auto" w:sz="4" w:space="0"/>
              <w:bottom w:val="single" w:color="auto" w:sz="4" w:space="0"/>
              <w:right w:val="single" w:color="auto" w:sz="4" w:space="0"/>
              <w:tl2br w:val="nil"/>
              <w:tr2bl w:val="nil"/>
            </w:tcBorders>
            <w:shd w:val="clear" w:color="auto" w:fill="FFFFFF"/>
            <w:noWrap w:val="0"/>
            <w:vAlign w:val="center"/>
          </w:tcPr>
          <w:p w14:paraId="25C065A5">
            <w:pPr>
              <w:snapToGrid w:val="0"/>
              <w:spacing w:line="440" w:lineRule="exact"/>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评审因素</w:t>
            </w:r>
          </w:p>
        </w:tc>
        <w:tc>
          <w:tcPr>
            <w:tcW w:w="1060" w:type="dxa"/>
            <w:tcBorders>
              <w:top w:val="single" w:color="auto" w:sz="4" w:space="0"/>
              <w:left w:val="single" w:color="auto" w:sz="4" w:space="0"/>
              <w:bottom w:val="single" w:color="auto" w:sz="4" w:space="0"/>
              <w:right w:val="single" w:color="auto" w:sz="4" w:space="0"/>
              <w:tl2br w:val="nil"/>
              <w:tr2bl w:val="nil"/>
            </w:tcBorders>
            <w:shd w:val="clear" w:color="auto" w:fill="FFFFFF"/>
            <w:noWrap w:val="0"/>
            <w:vAlign w:val="center"/>
          </w:tcPr>
          <w:p w14:paraId="6F9FAF90">
            <w:pPr>
              <w:snapToGrid w:val="0"/>
              <w:spacing w:line="360" w:lineRule="atLeast"/>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0-</w:t>
            </w:r>
            <w:r>
              <w:rPr>
                <w:rFonts w:hint="eastAsia" w:ascii="宋体" w:hAnsi="宋体" w:eastAsia="宋体" w:cs="宋体"/>
                <w:b/>
                <w:color w:val="auto"/>
                <w:sz w:val="24"/>
                <w:szCs w:val="24"/>
                <w:highlight w:val="none"/>
                <w:lang w:val="en-US" w:eastAsia="zh-CN"/>
              </w:rPr>
              <w:t>4</w:t>
            </w:r>
            <w:r>
              <w:rPr>
                <w:rFonts w:hint="eastAsia" w:ascii="宋体" w:hAnsi="宋体" w:eastAsia="宋体" w:cs="宋体"/>
                <w:b/>
                <w:color w:val="auto"/>
                <w:sz w:val="24"/>
                <w:szCs w:val="24"/>
                <w:highlight w:val="none"/>
              </w:rPr>
              <w:t>分</w:t>
            </w:r>
          </w:p>
        </w:tc>
      </w:tr>
      <w:tr w14:paraId="61A05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3" w:type="dxa"/>
            <w:tcBorders>
              <w:top w:val="single" w:color="auto" w:sz="4" w:space="0"/>
              <w:left w:val="single" w:color="auto" w:sz="4" w:space="0"/>
              <w:bottom w:val="single" w:color="auto" w:sz="4" w:space="0"/>
              <w:right w:val="single" w:color="auto" w:sz="4" w:space="0"/>
              <w:tl2br w:val="nil"/>
              <w:tr2bl w:val="nil"/>
            </w:tcBorders>
            <w:shd w:val="clear" w:color="auto" w:fill="FFFFFF"/>
            <w:noWrap w:val="0"/>
            <w:vAlign w:val="center"/>
          </w:tcPr>
          <w:p w14:paraId="5B7536F5">
            <w:pPr>
              <w:snapToGrid w:val="0"/>
              <w:spacing w:line="36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3.1</w:t>
            </w:r>
          </w:p>
        </w:tc>
        <w:tc>
          <w:tcPr>
            <w:tcW w:w="1275" w:type="dxa"/>
            <w:tcBorders>
              <w:top w:val="single" w:color="auto" w:sz="4" w:space="0"/>
              <w:left w:val="single" w:color="auto" w:sz="4" w:space="0"/>
              <w:bottom w:val="single" w:color="auto" w:sz="4" w:space="0"/>
              <w:right w:val="single" w:color="auto" w:sz="4" w:space="0"/>
              <w:tl2br w:val="nil"/>
              <w:tr2bl w:val="nil"/>
            </w:tcBorders>
            <w:shd w:val="clear" w:color="auto" w:fill="FFFFFF"/>
            <w:noWrap w:val="0"/>
            <w:vAlign w:val="center"/>
          </w:tcPr>
          <w:p w14:paraId="1E3B851D">
            <w:pPr>
              <w:snapToGrid w:val="0"/>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信誉分</w:t>
            </w:r>
          </w:p>
        </w:tc>
        <w:tc>
          <w:tcPr>
            <w:tcW w:w="6780" w:type="dxa"/>
            <w:tcBorders>
              <w:top w:val="single" w:color="auto" w:sz="4" w:space="0"/>
              <w:left w:val="single" w:color="auto" w:sz="4" w:space="0"/>
              <w:bottom w:val="single" w:color="auto" w:sz="4" w:space="0"/>
              <w:right w:val="single" w:color="auto" w:sz="4" w:space="0"/>
              <w:tl2br w:val="nil"/>
              <w:tr2bl w:val="nil"/>
            </w:tcBorders>
            <w:shd w:val="clear" w:color="auto" w:fill="FFFFFF"/>
            <w:noWrap w:val="0"/>
            <w:vAlign w:val="center"/>
          </w:tcPr>
          <w:p w14:paraId="3E30EB80">
            <w:pPr>
              <w:snapToGrid w:val="0"/>
              <w:spacing w:line="440" w:lineRule="exact"/>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lang w:val="en-US" w:eastAsia="zh-CN" w:bidi="ar-SA"/>
              </w:rPr>
              <w:t>竞标人2023年1月至今具有类似建设项目</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含</w:t>
            </w:r>
            <w:r>
              <w:rPr>
                <w:rFonts w:hint="eastAsia" w:ascii="宋体" w:hAnsi="宋体" w:eastAsia="宋体" w:cs="宋体"/>
                <w:color w:val="auto"/>
                <w:sz w:val="24"/>
                <w:szCs w:val="24"/>
                <w:highlight w:val="none"/>
              </w:rPr>
              <w:t>水利水电、农田水利、高标准农田等）业绩的，每一项得</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分，满足分</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分</w:t>
            </w:r>
            <w:r>
              <w:rPr>
                <w:rFonts w:hint="eastAsia" w:ascii="宋体" w:hAnsi="宋体" w:eastAsia="宋体" w:cs="宋体"/>
                <w:color w:val="auto"/>
                <w:kern w:val="0"/>
                <w:sz w:val="24"/>
                <w:szCs w:val="24"/>
                <w:lang w:val="en-US" w:eastAsia="zh-CN" w:bidi="ar-SA"/>
              </w:rPr>
              <w:t>（须提供</w:t>
            </w:r>
            <w:r>
              <w:rPr>
                <w:rFonts w:hint="eastAsia" w:ascii="宋体" w:hAnsi="宋体" w:eastAsia="宋体" w:cs="宋体"/>
                <w:color w:val="auto"/>
                <w:sz w:val="24"/>
                <w:szCs w:val="24"/>
                <w:lang w:val="en-US" w:eastAsia="zh-CN"/>
              </w:rPr>
              <w:t>合同关键页</w:t>
            </w:r>
            <w:r>
              <w:rPr>
                <w:rFonts w:hint="eastAsia" w:ascii="宋体" w:hAnsi="宋体" w:eastAsia="宋体" w:cs="宋体"/>
                <w:color w:val="auto"/>
                <w:kern w:val="0"/>
                <w:sz w:val="24"/>
                <w:szCs w:val="24"/>
                <w:lang w:val="en-US" w:eastAsia="zh-CN" w:bidi="ar-SA"/>
              </w:rPr>
              <w:t>复印件加盖竞标单位公章）。</w:t>
            </w:r>
          </w:p>
        </w:tc>
        <w:tc>
          <w:tcPr>
            <w:tcW w:w="1060" w:type="dxa"/>
            <w:tcBorders>
              <w:top w:val="single" w:color="auto" w:sz="4" w:space="0"/>
              <w:left w:val="single" w:color="auto" w:sz="4" w:space="0"/>
              <w:bottom w:val="single" w:color="auto" w:sz="4" w:space="0"/>
              <w:right w:val="single" w:color="auto" w:sz="4" w:space="0"/>
              <w:tl2br w:val="nil"/>
              <w:tr2bl w:val="nil"/>
            </w:tcBorders>
            <w:shd w:val="clear" w:color="auto" w:fill="FFFFFF"/>
            <w:noWrap w:val="0"/>
            <w:vAlign w:val="center"/>
          </w:tcPr>
          <w:p w14:paraId="55189807">
            <w:pPr>
              <w:snapToGrid w:val="0"/>
              <w:spacing w:line="360" w:lineRule="atLeast"/>
              <w:jc w:val="center"/>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0-</w:t>
            </w:r>
            <w:r>
              <w:rPr>
                <w:rFonts w:hint="eastAsia" w:ascii="宋体" w:hAnsi="宋体" w:eastAsia="宋体" w:cs="宋体"/>
                <w:b/>
                <w:color w:val="auto"/>
                <w:sz w:val="24"/>
                <w:szCs w:val="24"/>
                <w:highlight w:val="none"/>
                <w:lang w:val="en-US" w:eastAsia="zh-CN"/>
              </w:rPr>
              <w:t>4</w:t>
            </w:r>
            <w:r>
              <w:rPr>
                <w:rFonts w:hint="eastAsia" w:ascii="宋体" w:hAnsi="宋体" w:eastAsia="宋体" w:cs="宋体"/>
                <w:b/>
                <w:color w:val="auto"/>
                <w:sz w:val="24"/>
                <w:szCs w:val="24"/>
                <w:highlight w:val="none"/>
              </w:rPr>
              <w:t>分</w:t>
            </w:r>
          </w:p>
        </w:tc>
      </w:tr>
      <w:tr w14:paraId="06212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9818" w:type="dxa"/>
            <w:gridSpan w:val="4"/>
            <w:tcBorders>
              <w:top w:val="single" w:color="auto" w:sz="4" w:space="0"/>
              <w:left w:val="single" w:color="auto" w:sz="4" w:space="0"/>
              <w:bottom w:val="single" w:color="auto" w:sz="4" w:space="0"/>
              <w:right w:val="single" w:color="auto" w:sz="4" w:space="0"/>
              <w:tl2br w:val="nil"/>
              <w:tr2bl w:val="nil"/>
            </w:tcBorders>
            <w:shd w:val="clear" w:color="auto" w:fill="FFFFFF"/>
            <w:noWrap w:val="0"/>
            <w:vAlign w:val="center"/>
          </w:tcPr>
          <w:p w14:paraId="3ED5771A">
            <w:pPr>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总得分=1+2+3</w:t>
            </w:r>
          </w:p>
        </w:tc>
      </w:tr>
    </w:tbl>
    <w:p w14:paraId="0F813BB2">
      <w:pPr>
        <w:keepNext w:val="0"/>
        <w:keepLines w:val="0"/>
        <w:pageBreakBefore/>
        <w:widowControl w:val="0"/>
        <w:kinsoku/>
        <w:wordWrap/>
        <w:overflowPunct/>
        <w:topLinePunct w:val="0"/>
        <w:autoSpaceDE/>
        <w:autoSpaceDN/>
        <w:bidi w:val="0"/>
        <w:adjustRightInd/>
        <w:snapToGrid/>
        <w:spacing w:line="440" w:lineRule="exact"/>
        <w:ind w:firstLine="480" w:firstLineChars="200"/>
        <w:textAlignment w:val="auto"/>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8.2商务技术评审因素为客观评分项的，应在评分项目或评分标准中予以标注为“客观分”。对供应商的客观评分项目，各评审专家评分应当一致。</w:t>
      </w:r>
    </w:p>
    <w:p w14:paraId="08A26AA3">
      <w:pPr>
        <w:keepNext w:val="0"/>
        <w:keepLines w:val="0"/>
        <w:widowControl w:val="0"/>
        <w:kinsoku/>
        <w:wordWrap/>
        <w:overflowPunct/>
        <w:topLinePunct w:val="0"/>
        <w:autoSpaceDE/>
        <w:autoSpaceDN/>
        <w:bidi w:val="0"/>
        <w:adjustRightInd/>
        <w:snapToGrid/>
        <w:spacing w:line="440" w:lineRule="exact"/>
        <w:ind w:firstLine="480" w:firstLineChars="200"/>
        <w:textAlignment w:val="auto"/>
        <w:rPr>
          <w:rFonts w:hint="default" w:ascii="宋体" w:hAnsi="宋体" w:eastAsia="宋体" w:cs="宋体"/>
          <w:color w:val="auto"/>
          <w:sz w:val="24"/>
          <w:szCs w:val="24"/>
          <w:highlight w:val="none"/>
        </w:rPr>
      </w:pPr>
      <w:bookmarkStart w:id="69" w:name="_Toc80205935"/>
      <w:r>
        <w:rPr>
          <w:rFonts w:hint="default" w:ascii="宋体" w:hAnsi="宋体" w:eastAsia="宋体" w:cs="宋体"/>
          <w:color w:val="auto"/>
          <w:sz w:val="24"/>
          <w:szCs w:val="24"/>
          <w:highlight w:val="none"/>
        </w:rPr>
        <w:t>8.3.终止竞争性磋商采购活动</w:t>
      </w:r>
    </w:p>
    <w:p w14:paraId="755EE149">
      <w:pPr>
        <w:keepNext w:val="0"/>
        <w:keepLines w:val="0"/>
        <w:widowControl w:val="0"/>
        <w:kinsoku/>
        <w:wordWrap/>
        <w:overflowPunct/>
        <w:topLinePunct w:val="0"/>
        <w:autoSpaceDE/>
        <w:autoSpaceDN/>
        <w:bidi w:val="0"/>
        <w:adjustRightInd/>
        <w:snapToGrid/>
        <w:spacing w:line="440" w:lineRule="exact"/>
        <w:ind w:firstLine="480" w:firstLineChars="200"/>
        <w:textAlignment w:val="auto"/>
        <w:rPr>
          <w:rFonts w:hint="default" w:ascii="宋体" w:hAnsi="宋体" w:eastAsia="宋体"/>
          <w:color w:val="auto"/>
          <w:sz w:val="24"/>
          <w:szCs w:val="24"/>
          <w:highlight w:val="none"/>
        </w:rPr>
      </w:pPr>
      <w:r>
        <w:rPr>
          <w:rFonts w:hint="default" w:ascii="宋体" w:hAnsi="宋体" w:eastAsia="宋体" w:cs="宋体"/>
          <w:color w:val="auto"/>
          <w:sz w:val="24"/>
          <w:szCs w:val="24"/>
          <w:highlight w:val="none"/>
        </w:rPr>
        <w:t>磋商小组发现竞争性磋商文件存在歧义、重大缺陷导致评审工作无法进行，或者竞争性磋商文件内容违反国家有关规定的，要停止评审工作并向采购人或采购代理机构书面说明情况，采购人或采购代理机构应当修改竞争性磋商文件后重新组织采购活动；发现供应商提供虚假材料、串通等违法违规行为的，要及时向采购人或采购代理机构报告。</w:t>
      </w:r>
    </w:p>
    <w:p w14:paraId="2FCDD0C9">
      <w:pPr>
        <w:keepNext/>
        <w:keepLines/>
        <w:spacing w:line="360" w:lineRule="auto"/>
        <w:ind w:firstLine="643" w:firstLineChars="200"/>
        <w:jc w:val="center"/>
        <w:outlineLvl w:val="1"/>
        <w:rPr>
          <w:rFonts w:hint="default" w:ascii="宋体" w:hAnsi="宋体" w:eastAsia="宋体"/>
          <w:b/>
          <w:color w:val="auto"/>
          <w:sz w:val="32"/>
          <w:szCs w:val="32"/>
          <w:highlight w:val="none"/>
        </w:rPr>
      </w:pPr>
      <w:bookmarkStart w:id="70" w:name="_Toc10329"/>
      <w:r>
        <w:rPr>
          <w:rFonts w:hint="default" w:ascii="宋体" w:hAnsi="宋体" w:eastAsia="宋体"/>
          <w:b/>
          <w:color w:val="auto"/>
          <w:sz w:val="32"/>
          <w:szCs w:val="32"/>
          <w:highlight w:val="none"/>
        </w:rPr>
        <w:t>第二节 评标报告</w:t>
      </w:r>
      <w:bookmarkEnd w:id="69"/>
      <w:bookmarkEnd w:id="70"/>
    </w:p>
    <w:p w14:paraId="7EAD4E84">
      <w:pPr>
        <w:spacing w:line="360" w:lineRule="auto"/>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1.成交标准</w:t>
      </w:r>
    </w:p>
    <w:p w14:paraId="75427E20">
      <w:pPr>
        <w:spacing w:line="360" w:lineRule="auto"/>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由磋商小组根据综合评分情况，按照评审得分由高到低顺序推荐3名以上成交候选供应商,并在线编写电子评审报告。符合本章第一节第5.3条情形的，可以推荐2家成交候选供应商。评审得分相同的，按照最后报价（不计算价格折扣）由低到高的顺序推荐。评审得分且最后报价（不计算价格折扣）相同的，按照技术指标优劣顺序推荐（按技术得分由高到低排序，技术得分相同的按照服务需求偏离分由高到低排序）。评审得分、最后报价（不计算价格折扣）、技术得分、服务需求偏离分均相同的，由磋商小组随机抽取推荐。</w:t>
      </w:r>
    </w:p>
    <w:p w14:paraId="6E5A9742">
      <w:pPr>
        <w:spacing w:line="360" w:lineRule="auto"/>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2.评标争议事项处理</w:t>
      </w:r>
    </w:p>
    <w:p w14:paraId="73EF864A">
      <w:pPr>
        <w:adjustRightInd w:val="0"/>
        <w:spacing w:line="360" w:lineRule="auto"/>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磋商小组成员对需要共同认定的事项存在争议的，应当按照少数服从多数的原则作出结论。持不同意见的磋商小组成员应当在评标报告上签署不同意见及理由，否则视为同意评标报告。</w:t>
      </w:r>
    </w:p>
    <w:p w14:paraId="6B22EB4E">
      <w:pPr>
        <w:keepNext/>
        <w:keepLines/>
        <w:spacing w:line="360" w:lineRule="auto"/>
        <w:ind w:firstLine="643" w:firstLineChars="200"/>
        <w:jc w:val="center"/>
        <w:outlineLvl w:val="1"/>
        <w:rPr>
          <w:rFonts w:hint="default" w:ascii="宋体" w:hAnsi="宋体" w:eastAsia="宋体"/>
          <w:b/>
          <w:color w:val="auto"/>
          <w:sz w:val="32"/>
          <w:szCs w:val="32"/>
          <w:highlight w:val="none"/>
        </w:rPr>
      </w:pPr>
      <w:bookmarkStart w:id="71" w:name="_Toc11370"/>
      <w:bookmarkStart w:id="72" w:name="_Toc80205936"/>
      <w:r>
        <w:rPr>
          <w:rFonts w:hint="default" w:ascii="宋体" w:hAnsi="宋体" w:eastAsia="宋体"/>
          <w:b/>
          <w:color w:val="auto"/>
          <w:sz w:val="32"/>
          <w:szCs w:val="32"/>
          <w:highlight w:val="none"/>
        </w:rPr>
        <w:t>第三节 评审过程的保密与录像</w:t>
      </w:r>
      <w:bookmarkEnd w:id="71"/>
      <w:bookmarkEnd w:id="72"/>
    </w:p>
    <w:p w14:paraId="3BB4F31B">
      <w:pPr>
        <w:spacing w:line="360" w:lineRule="auto"/>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1.保密。</w:t>
      </w:r>
    </w:p>
    <w:p w14:paraId="2EE732EF">
      <w:pPr>
        <w:widowControl/>
        <w:spacing w:line="360" w:lineRule="auto"/>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评审活动在严格保密的情况下进行。评审过程中凡是与采购响应文件评审和比较、中标成交供应商推荐等评审有关的情况，以及涉及国家秘密和商业秘密等信息，评审委员会成员、采购人和采购机构工作人员、相关监督人员等与评审有关的人员应当予以保密。</w:t>
      </w:r>
    </w:p>
    <w:p w14:paraId="22932850">
      <w:pPr>
        <w:widowControl/>
        <w:spacing w:line="360" w:lineRule="auto"/>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2.录音录像。</w:t>
      </w:r>
    </w:p>
    <w:p w14:paraId="271028B9">
      <w:pPr>
        <w:spacing w:line="360" w:lineRule="auto"/>
        <w:ind w:firstLine="480" w:firstLineChars="200"/>
        <w:rPr>
          <w:rFonts w:hint="default" w:ascii="宋体" w:hAnsi="宋体" w:eastAsia="宋体" w:cs="宋体"/>
          <w:color w:val="auto"/>
          <w:sz w:val="21"/>
          <w:szCs w:val="21"/>
          <w:highlight w:val="none"/>
        </w:rPr>
      </w:pPr>
      <w:r>
        <w:rPr>
          <w:rFonts w:hint="default" w:ascii="宋体" w:hAnsi="宋体" w:eastAsia="宋体" w:cs="宋体"/>
          <w:color w:val="auto"/>
          <w:sz w:val="24"/>
          <w:szCs w:val="24"/>
          <w:highlight w:val="none"/>
        </w:rPr>
        <w:t>采购代理机构对评审工作现场及操作屏幕进行全过程录音录像，录音录像资料作为采购项目文件随其他文件一并存档。</w:t>
      </w:r>
    </w:p>
    <w:p w14:paraId="3171C768">
      <w:pPr>
        <w:spacing w:line="400" w:lineRule="exact"/>
        <w:ind w:firstLine="420" w:firstLineChars="200"/>
        <w:rPr>
          <w:rFonts w:hint="default" w:ascii="宋体" w:hAnsi="宋体" w:eastAsia="宋体" w:cs="宋体"/>
          <w:color w:val="auto"/>
          <w:sz w:val="21"/>
          <w:szCs w:val="21"/>
          <w:highlight w:val="none"/>
        </w:rPr>
      </w:pPr>
    </w:p>
    <w:p w14:paraId="211CB853">
      <w:pPr>
        <w:spacing w:line="400" w:lineRule="exact"/>
        <w:ind w:firstLine="480" w:firstLineChars="200"/>
        <w:rPr>
          <w:rFonts w:hint="default" w:ascii="宋体" w:hAnsi="宋体" w:eastAsia="宋体" w:cs="宋体"/>
          <w:color w:val="auto"/>
          <w:sz w:val="24"/>
          <w:szCs w:val="24"/>
          <w:highlight w:val="none"/>
        </w:rPr>
      </w:pPr>
    </w:p>
    <w:p w14:paraId="391AB31B">
      <w:pPr>
        <w:rPr>
          <w:rFonts w:hint="default" w:ascii="宋体" w:hAnsi="宋体" w:eastAsia="宋体" w:cs="宋体"/>
          <w:color w:val="auto"/>
          <w:sz w:val="24"/>
          <w:szCs w:val="24"/>
          <w:highlight w:val="none"/>
        </w:rPr>
      </w:pPr>
    </w:p>
    <w:p w14:paraId="4712055B">
      <w:pPr>
        <w:jc w:val="center"/>
        <w:rPr>
          <w:rFonts w:hint="eastAsia"/>
          <w:color w:val="auto"/>
          <w:sz w:val="21"/>
          <w:szCs w:val="24"/>
          <w:highlight w:val="none"/>
        </w:rPr>
      </w:pPr>
      <w:r>
        <w:rPr>
          <w:rFonts w:hint="eastAsia"/>
          <w:b/>
          <w:color w:val="auto"/>
          <w:sz w:val="21"/>
          <w:szCs w:val="24"/>
          <w:highlight w:val="none"/>
        </w:rPr>
        <w:br w:type="page"/>
      </w:r>
    </w:p>
    <w:p w14:paraId="5314AE1C">
      <w:pPr>
        <w:jc w:val="center"/>
        <w:rPr>
          <w:rFonts w:hint="eastAsia"/>
          <w:color w:val="auto"/>
          <w:sz w:val="21"/>
          <w:szCs w:val="24"/>
          <w:highlight w:val="none"/>
        </w:rPr>
      </w:pPr>
    </w:p>
    <w:p w14:paraId="783DC9F0">
      <w:pPr>
        <w:jc w:val="center"/>
        <w:rPr>
          <w:rFonts w:hint="eastAsia"/>
          <w:color w:val="auto"/>
          <w:sz w:val="21"/>
          <w:szCs w:val="24"/>
          <w:highlight w:val="none"/>
        </w:rPr>
      </w:pPr>
    </w:p>
    <w:p w14:paraId="6462C8E3">
      <w:pPr>
        <w:jc w:val="center"/>
        <w:rPr>
          <w:rFonts w:hint="eastAsia"/>
          <w:color w:val="auto"/>
          <w:sz w:val="21"/>
          <w:szCs w:val="24"/>
          <w:highlight w:val="none"/>
        </w:rPr>
      </w:pPr>
    </w:p>
    <w:p w14:paraId="015B8F29">
      <w:pPr>
        <w:jc w:val="center"/>
        <w:rPr>
          <w:rFonts w:hint="eastAsia"/>
          <w:color w:val="auto"/>
          <w:sz w:val="21"/>
          <w:szCs w:val="24"/>
          <w:highlight w:val="none"/>
        </w:rPr>
      </w:pPr>
    </w:p>
    <w:p w14:paraId="6F76FBB3">
      <w:pPr>
        <w:jc w:val="center"/>
        <w:rPr>
          <w:rFonts w:hint="default" w:ascii="宋体" w:eastAsia="宋体"/>
          <w:color w:val="auto"/>
          <w:sz w:val="21"/>
          <w:szCs w:val="24"/>
          <w:highlight w:val="none"/>
        </w:rPr>
      </w:pPr>
    </w:p>
    <w:p w14:paraId="38648626">
      <w:pPr>
        <w:jc w:val="center"/>
        <w:rPr>
          <w:rFonts w:hint="default" w:ascii="宋体" w:eastAsia="宋体"/>
          <w:color w:val="auto"/>
          <w:sz w:val="21"/>
          <w:szCs w:val="24"/>
          <w:highlight w:val="none"/>
        </w:rPr>
      </w:pPr>
    </w:p>
    <w:p w14:paraId="068E9A9C">
      <w:pPr>
        <w:jc w:val="center"/>
        <w:rPr>
          <w:rFonts w:hint="eastAsia"/>
          <w:color w:val="auto"/>
          <w:sz w:val="21"/>
          <w:szCs w:val="24"/>
          <w:highlight w:val="none"/>
        </w:rPr>
      </w:pPr>
    </w:p>
    <w:p w14:paraId="6B624E6E">
      <w:pPr>
        <w:keepNext/>
        <w:keepLines/>
        <w:spacing w:before="340" w:after="330" w:line="578" w:lineRule="auto"/>
        <w:jc w:val="center"/>
        <w:outlineLvl w:val="0"/>
        <w:rPr>
          <w:rFonts w:hint="eastAsia"/>
          <w:b/>
          <w:color w:val="auto"/>
          <w:kern w:val="44"/>
          <w:sz w:val="44"/>
          <w:szCs w:val="44"/>
          <w:highlight w:val="none"/>
        </w:rPr>
      </w:pPr>
      <w:bookmarkStart w:id="73" w:name="_Toc15612"/>
      <w:r>
        <w:rPr>
          <w:rFonts w:hint="default" w:ascii="宋体" w:eastAsia="宋体"/>
          <w:b/>
          <w:color w:val="auto"/>
          <w:kern w:val="44"/>
          <w:sz w:val="44"/>
          <w:szCs w:val="44"/>
          <w:highlight w:val="none"/>
        </w:rPr>
        <w:t>第五章</w:t>
      </w:r>
      <w:r>
        <w:rPr>
          <w:rFonts w:hint="eastAsia"/>
          <w:b/>
          <w:color w:val="auto"/>
          <w:kern w:val="44"/>
          <w:sz w:val="44"/>
          <w:szCs w:val="44"/>
          <w:highlight w:val="none"/>
        </w:rPr>
        <w:t xml:space="preserve"> </w:t>
      </w:r>
      <w:r>
        <w:rPr>
          <w:rFonts w:hint="default" w:ascii="宋体" w:eastAsia="宋体"/>
          <w:b/>
          <w:color w:val="auto"/>
          <w:kern w:val="44"/>
          <w:sz w:val="44"/>
          <w:szCs w:val="44"/>
          <w:highlight w:val="none"/>
        </w:rPr>
        <w:t>响应文件格式</w:t>
      </w:r>
      <w:bookmarkEnd w:id="73"/>
    </w:p>
    <w:p w14:paraId="632CC367">
      <w:pPr>
        <w:widowControl/>
        <w:spacing w:line="576" w:lineRule="auto"/>
        <w:jc w:val="left"/>
        <w:rPr>
          <w:rFonts w:hint="eastAsia"/>
          <w:b/>
          <w:color w:val="auto"/>
          <w:kern w:val="44"/>
          <w:sz w:val="44"/>
          <w:szCs w:val="44"/>
          <w:highlight w:val="none"/>
        </w:rPr>
        <w:sectPr>
          <w:pgSz w:w="11910" w:h="16840"/>
          <w:pgMar w:top="1395" w:right="1219" w:bottom="1185" w:left="1338" w:header="720" w:footer="720" w:gutter="0"/>
          <w:lnNumType w:countBy="0" w:distance="360"/>
          <w:cols w:space="720" w:num="1"/>
        </w:sectPr>
      </w:pPr>
    </w:p>
    <w:p w14:paraId="03EC03CB">
      <w:pPr>
        <w:keepNext/>
        <w:keepLines/>
        <w:spacing w:before="260" w:after="260" w:line="416" w:lineRule="auto"/>
        <w:jc w:val="center"/>
        <w:outlineLvl w:val="1"/>
        <w:rPr>
          <w:rFonts w:hint="default" w:ascii="宋体" w:hAnsi="宋体" w:eastAsia="宋体" w:cs="宋体"/>
          <w:color w:val="auto"/>
          <w:sz w:val="32"/>
          <w:szCs w:val="32"/>
          <w:highlight w:val="none"/>
        </w:rPr>
      </w:pPr>
      <w:bookmarkStart w:id="74" w:name="_Toc80205938"/>
      <w:bookmarkStart w:id="75" w:name="_Toc4325"/>
      <w:r>
        <w:rPr>
          <w:rFonts w:hint="default" w:ascii="宋体" w:hAnsi="宋体" w:eastAsia="宋体" w:cs="宋体"/>
          <w:color w:val="auto"/>
          <w:sz w:val="32"/>
          <w:szCs w:val="32"/>
          <w:highlight w:val="none"/>
        </w:rPr>
        <w:t>第一节 封面格式</w:t>
      </w:r>
      <w:bookmarkEnd w:id="74"/>
      <w:bookmarkEnd w:id="75"/>
    </w:p>
    <w:p w14:paraId="02901924">
      <w:pPr>
        <w:snapToGrid w:val="0"/>
        <w:spacing w:before="120" w:beforeLines="50" w:after="50"/>
        <w:rPr>
          <w:rFonts w:hint="default" w:ascii="宋体" w:hAnsi="宋体" w:eastAsia="宋体" w:cs="宋体"/>
          <w:color w:val="auto"/>
          <w:sz w:val="24"/>
          <w:szCs w:val="20"/>
          <w:highlight w:val="none"/>
        </w:rPr>
      </w:pPr>
    </w:p>
    <w:p w14:paraId="06D9320F">
      <w:pPr>
        <w:snapToGrid w:val="0"/>
        <w:spacing w:before="120" w:beforeLines="50" w:after="50"/>
        <w:jc w:val="center"/>
        <w:rPr>
          <w:rFonts w:hint="default" w:ascii="宋体" w:hAnsi="宋体" w:eastAsia="宋体" w:cs="宋体"/>
          <w:color w:val="auto"/>
          <w:sz w:val="24"/>
          <w:szCs w:val="20"/>
          <w:highlight w:val="none"/>
        </w:rPr>
      </w:pPr>
    </w:p>
    <w:p w14:paraId="51494091">
      <w:pPr>
        <w:snapToGrid w:val="0"/>
        <w:spacing w:before="120" w:beforeLines="50" w:after="50"/>
        <w:jc w:val="center"/>
        <w:rPr>
          <w:rFonts w:hint="default" w:ascii="宋体" w:hAnsi="宋体" w:eastAsia="宋体" w:cs="宋体"/>
          <w:color w:val="auto"/>
          <w:sz w:val="44"/>
          <w:szCs w:val="44"/>
          <w:highlight w:val="none"/>
        </w:rPr>
      </w:pPr>
      <w:r>
        <w:rPr>
          <w:rFonts w:hint="default" w:ascii="宋体" w:hAnsi="宋体" w:eastAsia="宋体" w:cs="宋体"/>
          <w:color w:val="auto"/>
          <w:sz w:val="44"/>
          <w:szCs w:val="44"/>
          <w:highlight w:val="none"/>
        </w:rPr>
        <w:t>响  应  文  件</w:t>
      </w:r>
    </w:p>
    <w:p w14:paraId="60E10387">
      <w:pPr>
        <w:snapToGrid w:val="0"/>
        <w:spacing w:before="120" w:beforeLines="50" w:after="50"/>
        <w:rPr>
          <w:rFonts w:hint="default" w:ascii="宋体" w:hAnsi="宋体" w:eastAsia="宋体" w:cs="宋体"/>
          <w:color w:val="auto"/>
          <w:sz w:val="24"/>
          <w:szCs w:val="20"/>
          <w:highlight w:val="none"/>
        </w:rPr>
      </w:pPr>
    </w:p>
    <w:p w14:paraId="2FC6EA58">
      <w:pPr>
        <w:snapToGrid w:val="0"/>
        <w:spacing w:before="120" w:beforeLines="50" w:after="50"/>
        <w:rPr>
          <w:rFonts w:hint="default" w:ascii="宋体" w:hAnsi="宋体" w:eastAsia="宋体" w:cs="宋体"/>
          <w:color w:val="auto"/>
          <w:sz w:val="24"/>
          <w:szCs w:val="20"/>
          <w:highlight w:val="none"/>
        </w:rPr>
      </w:pPr>
    </w:p>
    <w:p w14:paraId="6D85C257">
      <w:pPr>
        <w:snapToGrid w:val="0"/>
        <w:spacing w:before="120" w:beforeLines="50" w:after="50"/>
        <w:rPr>
          <w:rFonts w:hint="default" w:ascii="宋体" w:hAnsi="宋体" w:eastAsia="宋体" w:cs="宋体"/>
          <w:color w:val="auto"/>
          <w:sz w:val="32"/>
          <w:szCs w:val="32"/>
          <w:highlight w:val="none"/>
        </w:rPr>
      </w:pPr>
    </w:p>
    <w:p w14:paraId="669260B1">
      <w:pPr>
        <w:snapToGrid w:val="0"/>
        <w:spacing w:before="120" w:beforeLines="50" w:after="50"/>
        <w:ind w:firstLine="640" w:firstLineChars="200"/>
        <w:rPr>
          <w:rFonts w:hint="default" w:ascii="宋体" w:hAnsi="宋体" w:eastAsia="宋体" w:cs="宋体"/>
          <w:color w:val="auto"/>
          <w:sz w:val="32"/>
          <w:szCs w:val="32"/>
          <w:highlight w:val="none"/>
        </w:rPr>
      </w:pPr>
      <w:r>
        <w:rPr>
          <w:rFonts w:hint="default" w:ascii="宋体" w:hAnsi="宋体" w:eastAsia="宋体" w:cs="宋体"/>
          <w:color w:val="auto"/>
          <w:sz w:val="32"/>
          <w:szCs w:val="32"/>
          <w:highlight w:val="none"/>
        </w:rPr>
        <w:t>项目名称：</w:t>
      </w:r>
    </w:p>
    <w:p w14:paraId="3E750133">
      <w:pPr>
        <w:snapToGrid w:val="0"/>
        <w:spacing w:before="120" w:beforeLines="50" w:after="50"/>
        <w:ind w:firstLine="640" w:firstLineChars="200"/>
        <w:rPr>
          <w:rFonts w:hint="default" w:ascii="宋体" w:hAnsi="宋体" w:eastAsia="宋体" w:cs="宋体"/>
          <w:color w:val="auto"/>
          <w:sz w:val="32"/>
          <w:szCs w:val="32"/>
          <w:highlight w:val="none"/>
        </w:rPr>
      </w:pPr>
    </w:p>
    <w:p w14:paraId="46B3BD79">
      <w:pPr>
        <w:snapToGrid w:val="0"/>
        <w:spacing w:before="120" w:beforeLines="50" w:after="50"/>
        <w:ind w:firstLine="640" w:firstLineChars="200"/>
        <w:rPr>
          <w:rFonts w:hint="default" w:ascii="宋体" w:hAnsi="宋体" w:eastAsia="宋体" w:cs="宋体"/>
          <w:color w:val="auto"/>
          <w:sz w:val="32"/>
          <w:szCs w:val="32"/>
          <w:highlight w:val="none"/>
        </w:rPr>
      </w:pPr>
      <w:r>
        <w:rPr>
          <w:rFonts w:hint="default" w:ascii="宋体" w:hAnsi="宋体" w:eastAsia="宋体" w:cs="宋体"/>
          <w:color w:val="auto"/>
          <w:sz w:val="32"/>
          <w:szCs w:val="32"/>
          <w:highlight w:val="none"/>
        </w:rPr>
        <w:t>项目编号：</w:t>
      </w:r>
    </w:p>
    <w:p w14:paraId="23966DD8">
      <w:pPr>
        <w:snapToGrid w:val="0"/>
        <w:spacing w:before="120" w:beforeLines="50" w:after="50"/>
        <w:ind w:firstLine="640" w:firstLineChars="200"/>
        <w:rPr>
          <w:rFonts w:hint="default" w:ascii="宋体" w:hAnsi="宋体" w:eastAsia="宋体" w:cs="宋体"/>
          <w:color w:val="auto"/>
          <w:sz w:val="32"/>
          <w:szCs w:val="32"/>
          <w:highlight w:val="none"/>
        </w:rPr>
      </w:pPr>
    </w:p>
    <w:p w14:paraId="4A8C9BA7">
      <w:pPr>
        <w:snapToGrid w:val="0"/>
        <w:spacing w:before="120" w:beforeLines="50" w:after="50"/>
        <w:ind w:firstLine="640" w:firstLineChars="200"/>
        <w:rPr>
          <w:rFonts w:hint="default" w:ascii="宋体" w:hAnsi="宋体" w:eastAsia="宋体" w:cs="宋体"/>
          <w:color w:val="auto"/>
          <w:sz w:val="32"/>
          <w:szCs w:val="32"/>
          <w:highlight w:val="none"/>
        </w:rPr>
      </w:pPr>
      <w:r>
        <w:rPr>
          <w:rFonts w:hint="default" w:ascii="宋体" w:hAnsi="宋体" w:eastAsia="宋体" w:cs="宋体"/>
          <w:color w:val="auto"/>
          <w:sz w:val="32"/>
          <w:szCs w:val="32"/>
          <w:highlight w:val="none"/>
        </w:rPr>
        <w:t>所竞分标（如有则填写，无分标时填写“无”或者留空）：</w:t>
      </w:r>
    </w:p>
    <w:p w14:paraId="68C161DC">
      <w:pPr>
        <w:snapToGrid w:val="0"/>
        <w:spacing w:before="120" w:beforeLines="50" w:after="50"/>
        <w:rPr>
          <w:rFonts w:hint="default" w:ascii="宋体" w:hAnsi="宋体" w:eastAsia="宋体" w:cs="宋体"/>
          <w:color w:val="auto"/>
          <w:sz w:val="32"/>
          <w:szCs w:val="32"/>
          <w:highlight w:val="none"/>
        </w:rPr>
      </w:pPr>
    </w:p>
    <w:p w14:paraId="68F65830">
      <w:pPr>
        <w:snapToGrid w:val="0"/>
        <w:spacing w:before="120" w:beforeLines="50" w:after="50"/>
        <w:ind w:firstLine="640" w:firstLineChars="200"/>
        <w:rPr>
          <w:rFonts w:hint="default" w:ascii="宋体" w:hAnsi="宋体" w:eastAsia="宋体" w:cs="宋体"/>
          <w:color w:val="auto"/>
          <w:sz w:val="32"/>
          <w:szCs w:val="32"/>
          <w:highlight w:val="none"/>
        </w:rPr>
      </w:pPr>
      <w:r>
        <w:rPr>
          <w:rFonts w:hint="default" w:ascii="宋体" w:hAnsi="宋体" w:eastAsia="宋体" w:cs="宋体"/>
          <w:color w:val="auto"/>
          <w:sz w:val="32"/>
          <w:szCs w:val="32"/>
          <w:highlight w:val="none"/>
        </w:rPr>
        <w:t>供应商名称：</w:t>
      </w:r>
    </w:p>
    <w:p w14:paraId="113E5A1B">
      <w:pPr>
        <w:snapToGrid w:val="0"/>
        <w:spacing w:before="120" w:beforeLines="50" w:after="50"/>
        <w:rPr>
          <w:rFonts w:hint="default" w:ascii="宋体" w:hAnsi="宋体" w:eastAsia="宋体" w:cs="宋体"/>
          <w:color w:val="auto"/>
          <w:sz w:val="32"/>
          <w:szCs w:val="32"/>
          <w:highlight w:val="none"/>
        </w:rPr>
      </w:pPr>
    </w:p>
    <w:p w14:paraId="47AB116C">
      <w:pPr>
        <w:snapToGrid w:val="0"/>
        <w:spacing w:before="120" w:beforeLines="50" w:after="50"/>
        <w:ind w:firstLine="480" w:firstLineChars="150"/>
        <w:jc w:val="center"/>
        <w:rPr>
          <w:rFonts w:hint="default" w:ascii="宋体" w:hAnsi="宋体" w:eastAsia="宋体" w:cs="宋体"/>
          <w:color w:val="auto"/>
          <w:sz w:val="32"/>
          <w:szCs w:val="32"/>
          <w:highlight w:val="none"/>
        </w:rPr>
      </w:pPr>
      <w:r>
        <w:rPr>
          <w:rFonts w:hint="default" w:ascii="宋体" w:hAnsi="宋体" w:eastAsia="宋体" w:cs="宋体"/>
          <w:color w:val="auto"/>
          <w:sz w:val="32"/>
          <w:szCs w:val="32"/>
          <w:highlight w:val="none"/>
        </w:rPr>
        <w:t>首次响应文件提交截止时间前不得解密</w:t>
      </w:r>
    </w:p>
    <w:p w14:paraId="041D2BCA">
      <w:pPr>
        <w:snapToGrid w:val="0"/>
        <w:spacing w:before="120" w:beforeLines="50" w:after="50"/>
        <w:ind w:firstLine="5440" w:firstLineChars="1700"/>
        <w:jc w:val="center"/>
        <w:rPr>
          <w:rFonts w:hint="default" w:ascii="宋体" w:hAnsi="宋体" w:eastAsia="宋体" w:cs="宋体"/>
          <w:color w:val="auto"/>
          <w:sz w:val="32"/>
          <w:szCs w:val="32"/>
          <w:highlight w:val="none"/>
        </w:rPr>
      </w:pPr>
    </w:p>
    <w:p w14:paraId="0B864C14">
      <w:pPr>
        <w:snapToGrid w:val="0"/>
        <w:spacing w:before="120" w:beforeLines="50" w:after="50"/>
        <w:ind w:firstLine="645"/>
        <w:jc w:val="center"/>
        <w:rPr>
          <w:rFonts w:hint="default" w:ascii="宋体" w:hAnsi="宋体" w:eastAsia="宋体" w:cs="宋体"/>
          <w:color w:val="auto"/>
          <w:sz w:val="32"/>
          <w:szCs w:val="32"/>
          <w:highlight w:val="none"/>
        </w:rPr>
      </w:pPr>
      <w:r>
        <w:rPr>
          <w:rFonts w:hint="default" w:ascii="宋体" w:hAnsi="宋体" w:eastAsia="宋体" w:cs="宋体"/>
          <w:color w:val="auto"/>
          <w:sz w:val="32"/>
          <w:szCs w:val="32"/>
          <w:highlight w:val="none"/>
        </w:rPr>
        <w:t>年    月    日</w:t>
      </w:r>
    </w:p>
    <w:p w14:paraId="6CE74B87">
      <w:pPr>
        <w:widowControl/>
        <w:jc w:val="left"/>
        <w:rPr>
          <w:rFonts w:hint="default" w:ascii="宋体" w:hAnsi="宋体" w:eastAsia="宋体" w:cs="宋体"/>
          <w:color w:val="auto"/>
          <w:sz w:val="21"/>
          <w:szCs w:val="24"/>
          <w:highlight w:val="none"/>
        </w:rPr>
        <w:sectPr>
          <w:pgSz w:w="11910" w:h="16840"/>
          <w:pgMar w:top="1340" w:right="1500" w:bottom="280" w:left="1680" w:header="720" w:footer="720" w:gutter="0"/>
          <w:lnNumType w:countBy="0" w:distance="360"/>
          <w:cols w:space="720" w:num="1"/>
        </w:sectPr>
      </w:pPr>
    </w:p>
    <w:p w14:paraId="7B05AA9C">
      <w:pPr>
        <w:keepNext/>
        <w:keepLines/>
        <w:spacing w:before="260" w:after="260" w:line="416" w:lineRule="auto"/>
        <w:jc w:val="center"/>
        <w:outlineLvl w:val="1"/>
        <w:rPr>
          <w:rFonts w:hint="default" w:ascii="宋体" w:hAnsi="宋体" w:eastAsia="宋体" w:cs="宋体"/>
          <w:b/>
          <w:color w:val="auto"/>
          <w:sz w:val="32"/>
          <w:szCs w:val="32"/>
          <w:highlight w:val="none"/>
        </w:rPr>
      </w:pPr>
      <w:bookmarkStart w:id="76" w:name="_Toc80205939"/>
      <w:bookmarkStart w:id="77" w:name="_Toc12417"/>
      <w:r>
        <w:rPr>
          <w:rFonts w:hint="default" w:ascii="宋体" w:hAnsi="宋体" w:eastAsia="宋体" w:cs="宋体"/>
          <w:b/>
          <w:color w:val="auto"/>
          <w:sz w:val="32"/>
          <w:szCs w:val="32"/>
          <w:highlight w:val="none"/>
        </w:rPr>
        <w:t>第二节 资格证明文件格式</w:t>
      </w:r>
      <w:bookmarkEnd w:id="76"/>
      <w:bookmarkEnd w:id="77"/>
    </w:p>
    <w:p w14:paraId="01445660">
      <w:pPr>
        <w:snapToGrid w:val="0"/>
        <w:spacing w:before="120" w:beforeLines="50" w:after="50"/>
        <w:rPr>
          <w:rFonts w:hint="default" w:ascii="宋体" w:hAnsi="宋体" w:eastAsia="宋体" w:cs="宋体"/>
          <w:color w:val="auto"/>
          <w:sz w:val="32"/>
          <w:szCs w:val="20"/>
          <w:highlight w:val="none"/>
        </w:rPr>
      </w:pPr>
      <w:r>
        <w:rPr>
          <w:rFonts w:hint="default" w:ascii="宋体" w:hAnsi="宋体" w:eastAsia="宋体" w:cs="宋体"/>
          <w:color w:val="auto"/>
          <w:sz w:val="24"/>
          <w:szCs w:val="24"/>
          <w:highlight w:val="none"/>
        </w:rPr>
        <w:t xml:space="preserve">                                                    </w:t>
      </w:r>
      <w:r>
        <w:rPr>
          <w:rFonts w:hint="default" w:ascii="宋体" w:hAnsi="宋体" w:eastAsia="宋体" w:cs="宋体"/>
          <w:color w:val="auto"/>
          <w:sz w:val="21"/>
          <w:szCs w:val="24"/>
          <w:highlight w:val="none"/>
        </w:rPr>
        <w:t>全流程电子文件</w:t>
      </w:r>
    </w:p>
    <w:p w14:paraId="0FBBBFBE">
      <w:pPr>
        <w:snapToGrid w:val="0"/>
        <w:spacing w:before="120" w:beforeLines="50" w:after="50"/>
        <w:rPr>
          <w:rFonts w:hint="default" w:ascii="宋体" w:hAnsi="宋体" w:eastAsia="宋体" w:cs="宋体"/>
          <w:color w:val="auto"/>
          <w:sz w:val="24"/>
          <w:szCs w:val="20"/>
          <w:highlight w:val="none"/>
        </w:rPr>
      </w:pPr>
    </w:p>
    <w:p w14:paraId="32E77ACF">
      <w:pPr>
        <w:snapToGrid w:val="0"/>
        <w:spacing w:before="120" w:beforeLines="50" w:after="50"/>
        <w:rPr>
          <w:rFonts w:hint="default" w:ascii="宋体" w:hAnsi="宋体" w:eastAsia="宋体" w:cs="宋体"/>
          <w:color w:val="auto"/>
          <w:sz w:val="24"/>
          <w:szCs w:val="20"/>
          <w:highlight w:val="none"/>
        </w:rPr>
      </w:pPr>
    </w:p>
    <w:p w14:paraId="314DB3F4">
      <w:pPr>
        <w:snapToGrid w:val="0"/>
        <w:spacing w:before="120" w:beforeLines="50" w:after="50"/>
        <w:jc w:val="center"/>
        <w:rPr>
          <w:rFonts w:hint="default" w:ascii="宋体" w:hAnsi="宋体" w:eastAsia="宋体" w:cs="宋体"/>
          <w:color w:val="auto"/>
          <w:sz w:val="44"/>
          <w:szCs w:val="44"/>
          <w:highlight w:val="none"/>
        </w:rPr>
      </w:pPr>
      <w:r>
        <w:rPr>
          <w:rFonts w:hint="default" w:ascii="宋体" w:hAnsi="宋体" w:eastAsia="宋体" w:cs="宋体"/>
          <w:color w:val="auto"/>
          <w:sz w:val="44"/>
          <w:szCs w:val="44"/>
          <w:highlight w:val="none"/>
        </w:rPr>
        <w:t>资  格  证  明  文  件（封面）</w:t>
      </w:r>
    </w:p>
    <w:p w14:paraId="58C11768">
      <w:pPr>
        <w:snapToGrid w:val="0"/>
        <w:spacing w:before="120" w:beforeLines="50" w:after="50"/>
        <w:rPr>
          <w:rFonts w:hint="default" w:ascii="宋体" w:hAnsi="宋体" w:eastAsia="宋体" w:cs="宋体"/>
          <w:color w:val="auto"/>
          <w:sz w:val="24"/>
          <w:szCs w:val="20"/>
          <w:highlight w:val="none"/>
        </w:rPr>
      </w:pPr>
    </w:p>
    <w:p w14:paraId="0FA23D2C">
      <w:pPr>
        <w:snapToGrid w:val="0"/>
        <w:spacing w:before="120" w:beforeLines="50" w:after="50"/>
        <w:rPr>
          <w:rFonts w:hint="default" w:ascii="宋体" w:hAnsi="宋体" w:eastAsia="宋体" w:cs="宋体"/>
          <w:color w:val="auto"/>
          <w:sz w:val="24"/>
          <w:szCs w:val="20"/>
          <w:highlight w:val="none"/>
        </w:rPr>
      </w:pPr>
    </w:p>
    <w:p w14:paraId="4A7380AB">
      <w:pPr>
        <w:snapToGrid w:val="0"/>
        <w:spacing w:before="120" w:beforeLines="50" w:after="50"/>
        <w:rPr>
          <w:rFonts w:hint="default" w:ascii="宋体" w:hAnsi="宋体" w:eastAsia="宋体" w:cs="宋体"/>
          <w:color w:val="auto"/>
          <w:sz w:val="24"/>
          <w:szCs w:val="20"/>
          <w:highlight w:val="none"/>
        </w:rPr>
      </w:pPr>
    </w:p>
    <w:p w14:paraId="22EC4534">
      <w:pPr>
        <w:snapToGrid w:val="0"/>
        <w:spacing w:before="120" w:beforeLines="50" w:after="50"/>
        <w:rPr>
          <w:rFonts w:hint="default" w:ascii="宋体" w:hAnsi="宋体" w:eastAsia="宋体" w:cs="宋体"/>
          <w:color w:val="auto"/>
          <w:sz w:val="24"/>
          <w:szCs w:val="20"/>
          <w:highlight w:val="none"/>
        </w:rPr>
      </w:pPr>
    </w:p>
    <w:p w14:paraId="40DF1C8B">
      <w:pPr>
        <w:snapToGrid w:val="0"/>
        <w:spacing w:before="120" w:beforeLines="50" w:after="50"/>
        <w:rPr>
          <w:rFonts w:hint="default" w:ascii="宋体" w:hAnsi="宋体" w:eastAsia="宋体" w:cs="宋体"/>
          <w:color w:val="auto"/>
          <w:sz w:val="24"/>
          <w:szCs w:val="20"/>
          <w:highlight w:val="none"/>
        </w:rPr>
      </w:pPr>
    </w:p>
    <w:p w14:paraId="41EB314D">
      <w:pPr>
        <w:snapToGrid w:val="0"/>
        <w:spacing w:before="120" w:beforeLines="50" w:after="50"/>
        <w:ind w:firstLine="640" w:firstLineChars="200"/>
        <w:rPr>
          <w:rFonts w:hint="default" w:ascii="宋体" w:hAnsi="宋体" w:eastAsia="宋体" w:cs="宋体"/>
          <w:color w:val="auto"/>
          <w:sz w:val="32"/>
          <w:szCs w:val="32"/>
          <w:highlight w:val="none"/>
        </w:rPr>
      </w:pPr>
      <w:r>
        <w:rPr>
          <w:rFonts w:hint="default" w:ascii="宋体" w:hAnsi="宋体" w:eastAsia="宋体" w:cs="宋体"/>
          <w:color w:val="auto"/>
          <w:sz w:val="32"/>
          <w:szCs w:val="32"/>
          <w:highlight w:val="none"/>
        </w:rPr>
        <w:t>项目名称：</w:t>
      </w:r>
    </w:p>
    <w:p w14:paraId="404378DF">
      <w:pPr>
        <w:snapToGrid w:val="0"/>
        <w:spacing w:before="120" w:beforeLines="50" w:after="50"/>
        <w:ind w:firstLine="640" w:firstLineChars="200"/>
        <w:rPr>
          <w:rFonts w:hint="default" w:ascii="宋体" w:hAnsi="宋体" w:eastAsia="宋体" w:cs="宋体"/>
          <w:color w:val="auto"/>
          <w:sz w:val="32"/>
          <w:szCs w:val="32"/>
          <w:highlight w:val="none"/>
        </w:rPr>
      </w:pPr>
    </w:p>
    <w:p w14:paraId="3CF7B0D6">
      <w:pPr>
        <w:snapToGrid w:val="0"/>
        <w:spacing w:before="120" w:beforeLines="50" w:after="50"/>
        <w:ind w:firstLine="720" w:firstLineChars="225"/>
        <w:rPr>
          <w:rFonts w:hint="default" w:ascii="宋体" w:hAnsi="宋体" w:eastAsia="宋体" w:cs="宋体"/>
          <w:color w:val="auto"/>
          <w:sz w:val="32"/>
          <w:szCs w:val="32"/>
          <w:highlight w:val="none"/>
        </w:rPr>
      </w:pPr>
      <w:r>
        <w:rPr>
          <w:rFonts w:hint="default" w:ascii="宋体" w:hAnsi="宋体" w:eastAsia="宋体" w:cs="宋体"/>
          <w:color w:val="auto"/>
          <w:sz w:val="32"/>
          <w:szCs w:val="32"/>
          <w:highlight w:val="none"/>
        </w:rPr>
        <w:t>项目编号：</w:t>
      </w:r>
    </w:p>
    <w:p w14:paraId="595FD959">
      <w:pPr>
        <w:snapToGrid w:val="0"/>
        <w:spacing w:before="120" w:beforeLines="50" w:after="50"/>
        <w:ind w:firstLine="720" w:firstLineChars="225"/>
        <w:rPr>
          <w:rFonts w:hint="default" w:ascii="宋体" w:hAnsi="宋体" w:eastAsia="宋体" w:cs="宋体"/>
          <w:color w:val="auto"/>
          <w:sz w:val="32"/>
          <w:szCs w:val="32"/>
          <w:highlight w:val="none"/>
        </w:rPr>
      </w:pPr>
      <w:r>
        <w:rPr>
          <w:rFonts w:hint="default" w:ascii="宋体" w:hAnsi="宋体" w:eastAsia="宋体" w:cs="宋体"/>
          <w:color w:val="auto"/>
          <w:sz w:val="32"/>
          <w:szCs w:val="32"/>
          <w:highlight w:val="none"/>
        </w:rPr>
        <w:t xml:space="preserve"> </w:t>
      </w:r>
    </w:p>
    <w:p w14:paraId="4A108D88">
      <w:pPr>
        <w:snapToGrid w:val="0"/>
        <w:spacing w:before="120" w:beforeLines="50" w:after="50"/>
        <w:ind w:firstLine="720" w:firstLineChars="225"/>
        <w:rPr>
          <w:rFonts w:hint="default" w:ascii="宋体" w:hAnsi="宋体" w:eastAsia="宋体" w:cs="宋体"/>
          <w:color w:val="auto"/>
          <w:sz w:val="32"/>
          <w:szCs w:val="32"/>
          <w:highlight w:val="none"/>
        </w:rPr>
      </w:pPr>
      <w:r>
        <w:rPr>
          <w:rFonts w:hint="default" w:ascii="宋体" w:hAnsi="宋体" w:eastAsia="宋体" w:cs="宋体"/>
          <w:color w:val="auto"/>
          <w:sz w:val="32"/>
          <w:szCs w:val="32"/>
          <w:highlight w:val="none"/>
        </w:rPr>
        <w:t>所竞分标（如有则填写，无分标时填写“无”或者留空）：</w:t>
      </w:r>
    </w:p>
    <w:p w14:paraId="22884149">
      <w:pPr>
        <w:snapToGrid w:val="0"/>
        <w:spacing w:before="120" w:beforeLines="50" w:after="50"/>
        <w:ind w:firstLine="720" w:firstLineChars="225"/>
        <w:rPr>
          <w:rFonts w:hint="default" w:ascii="宋体" w:hAnsi="宋体" w:eastAsia="宋体" w:cs="宋体"/>
          <w:color w:val="auto"/>
          <w:sz w:val="32"/>
          <w:szCs w:val="32"/>
          <w:highlight w:val="none"/>
        </w:rPr>
      </w:pPr>
    </w:p>
    <w:p w14:paraId="7801CF3A">
      <w:pPr>
        <w:snapToGrid w:val="0"/>
        <w:spacing w:before="50" w:after="50"/>
        <w:ind w:firstLine="720" w:firstLineChars="225"/>
        <w:rPr>
          <w:rFonts w:hint="default" w:ascii="宋体" w:hAnsi="宋体" w:eastAsia="宋体" w:cs="宋体"/>
          <w:color w:val="auto"/>
          <w:sz w:val="32"/>
          <w:szCs w:val="32"/>
          <w:highlight w:val="none"/>
        </w:rPr>
      </w:pPr>
      <w:r>
        <w:rPr>
          <w:rFonts w:hint="default" w:ascii="宋体" w:hAnsi="宋体" w:eastAsia="宋体" w:cs="宋体"/>
          <w:color w:val="auto"/>
          <w:sz w:val="32"/>
          <w:szCs w:val="32"/>
          <w:highlight w:val="none"/>
        </w:rPr>
        <w:t>供应商名称：</w:t>
      </w:r>
    </w:p>
    <w:p w14:paraId="49139B1A">
      <w:pPr>
        <w:snapToGrid w:val="0"/>
        <w:spacing w:before="50" w:after="50"/>
        <w:ind w:firstLine="720" w:firstLineChars="225"/>
        <w:rPr>
          <w:rFonts w:hint="default" w:ascii="宋体" w:hAnsi="宋体" w:eastAsia="宋体" w:cs="宋体"/>
          <w:color w:val="auto"/>
          <w:sz w:val="32"/>
          <w:szCs w:val="32"/>
          <w:highlight w:val="none"/>
        </w:rPr>
      </w:pPr>
    </w:p>
    <w:p w14:paraId="34AACC4A">
      <w:pPr>
        <w:snapToGrid w:val="0"/>
        <w:spacing w:before="50" w:after="50"/>
        <w:ind w:firstLine="720" w:firstLineChars="225"/>
        <w:rPr>
          <w:rFonts w:hint="default" w:ascii="宋体" w:hAnsi="宋体" w:eastAsia="宋体" w:cs="宋体"/>
          <w:color w:val="auto"/>
          <w:sz w:val="32"/>
          <w:szCs w:val="32"/>
          <w:highlight w:val="none"/>
        </w:rPr>
      </w:pPr>
    </w:p>
    <w:p w14:paraId="45A18B48">
      <w:pPr>
        <w:snapToGrid w:val="0"/>
        <w:spacing w:before="50" w:after="50"/>
        <w:ind w:firstLine="720" w:firstLineChars="225"/>
        <w:rPr>
          <w:rFonts w:hint="default" w:ascii="宋体" w:hAnsi="宋体" w:eastAsia="宋体" w:cs="宋体"/>
          <w:color w:val="auto"/>
          <w:sz w:val="32"/>
          <w:szCs w:val="32"/>
          <w:highlight w:val="none"/>
        </w:rPr>
      </w:pPr>
    </w:p>
    <w:p w14:paraId="27ABC922">
      <w:pPr>
        <w:snapToGrid w:val="0"/>
        <w:spacing w:before="50" w:after="50"/>
        <w:ind w:firstLine="1280" w:firstLineChars="400"/>
        <w:rPr>
          <w:rFonts w:hint="default" w:ascii="宋体" w:hAnsi="宋体" w:eastAsia="宋体" w:cs="宋体"/>
          <w:color w:val="auto"/>
          <w:sz w:val="32"/>
          <w:szCs w:val="32"/>
          <w:highlight w:val="none"/>
        </w:rPr>
      </w:pPr>
    </w:p>
    <w:p w14:paraId="6B14995F">
      <w:pPr>
        <w:snapToGrid w:val="0"/>
        <w:spacing w:before="120" w:beforeLines="50" w:after="50"/>
        <w:jc w:val="center"/>
        <w:rPr>
          <w:rFonts w:hint="default" w:ascii="宋体" w:hAnsi="宋体" w:eastAsia="宋体" w:cs="宋体"/>
          <w:color w:val="auto"/>
          <w:sz w:val="32"/>
          <w:szCs w:val="32"/>
          <w:highlight w:val="none"/>
        </w:rPr>
      </w:pPr>
      <w:r>
        <w:rPr>
          <w:rFonts w:hint="default" w:ascii="宋体" w:hAnsi="宋体" w:eastAsia="宋体" w:cs="宋体"/>
          <w:color w:val="auto"/>
          <w:sz w:val="32"/>
          <w:szCs w:val="32"/>
          <w:highlight w:val="none"/>
        </w:rPr>
        <w:t>年    月    日</w:t>
      </w:r>
    </w:p>
    <w:p w14:paraId="07C0A382">
      <w:pPr>
        <w:snapToGrid w:val="0"/>
        <w:spacing w:before="120" w:beforeLines="50" w:after="50" w:line="360" w:lineRule="auto"/>
        <w:jc w:val="center"/>
        <w:rPr>
          <w:rFonts w:hint="default" w:ascii="宋体" w:hAnsi="宋体" w:eastAsia="宋体" w:cs="宋体"/>
          <w:b/>
          <w:color w:val="auto"/>
          <w:kern w:val="0"/>
          <w:sz w:val="36"/>
          <w:szCs w:val="36"/>
          <w:highlight w:val="none"/>
        </w:rPr>
      </w:pPr>
      <w:r>
        <w:rPr>
          <w:rFonts w:hint="default" w:ascii="宋体" w:hAnsi="宋体" w:eastAsia="宋体" w:cs="宋体"/>
          <w:color w:val="auto"/>
          <w:sz w:val="24"/>
          <w:szCs w:val="24"/>
          <w:highlight w:val="none"/>
        </w:rPr>
        <w:br w:type="page"/>
      </w:r>
      <w:r>
        <w:rPr>
          <w:rFonts w:hint="default" w:ascii="宋体" w:hAnsi="宋体" w:eastAsia="宋体" w:cs="宋体"/>
          <w:b/>
          <w:color w:val="auto"/>
          <w:kern w:val="0"/>
          <w:sz w:val="36"/>
          <w:szCs w:val="36"/>
          <w:highlight w:val="none"/>
        </w:rPr>
        <w:t>资格证明文件目录</w:t>
      </w:r>
    </w:p>
    <w:p w14:paraId="6B8AE839">
      <w:pPr>
        <w:snapToGrid w:val="0"/>
        <w:spacing w:line="360" w:lineRule="auto"/>
        <w:rPr>
          <w:rFonts w:hint="default" w:ascii="宋体" w:hAnsi="宋体" w:eastAsia="宋体" w:cs="宋体"/>
          <w:color w:val="auto"/>
          <w:kern w:val="0"/>
          <w:sz w:val="24"/>
          <w:szCs w:val="24"/>
          <w:highlight w:val="none"/>
        </w:rPr>
      </w:pPr>
    </w:p>
    <w:p w14:paraId="06AB229E">
      <w:pPr>
        <w:snapToGrid w:val="0"/>
        <w:spacing w:line="360" w:lineRule="auto"/>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一、</w:t>
      </w:r>
      <w:r>
        <w:rPr>
          <w:rFonts w:hint="default" w:ascii="宋体" w:hAnsi="宋体" w:eastAsia="宋体" w:cs="宋体"/>
          <w:color w:val="auto"/>
          <w:sz w:val="24"/>
          <w:szCs w:val="24"/>
          <w:highlight w:val="none"/>
        </w:rPr>
        <w:t>营业执照(或事业法人登记证或其他工商等登记证明材料)复印件（供应商为自然人的，须提供</w:t>
      </w:r>
      <w:r>
        <w:rPr>
          <w:rFonts w:hint="default" w:ascii="宋体" w:hAnsi="宋体" w:eastAsia="宋体" w:cs="宋体"/>
          <w:color w:val="auto"/>
          <w:kern w:val="0"/>
          <w:sz w:val="24"/>
          <w:szCs w:val="24"/>
          <w:highlight w:val="none"/>
        </w:rPr>
        <w:t>自然人的身份证明</w:t>
      </w:r>
      <w:r>
        <w:rPr>
          <w:rFonts w:hint="default" w:ascii="宋体" w:hAnsi="宋体" w:eastAsia="宋体" w:cs="宋体"/>
          <w:color w:val="auto"/>
          <w:sz w:val="24"/>
          <w:szCs w:val="24"/>
          <w:highlight w:val="none"/>
        </w:rPr>
        <w:t>）</w:t>
      </w:r>
      <w:r>
        <w:rPr>
          <w:rFonts w:hint="default" w:ascii="宋体" w:hAnsi="宋体" w:eastAsia="宋体" w:cs="宋体"/>
          <w:color w:val="auto"/>
          <w:kern w:val="0"/>
          <w:sz w:val="24"/>
          <w:szCs w:val="24"/>
          <w:highlight w:val="none"/>
        </w:rPr>
        <w:t>…………………………………………（页码）</w:t>
      </w:r>
    </w:p>
    <w:p w14:paraId="16C5D33A">
      <w:pPr>
        <w:snapToGrid w:val="0"/>
        <w:spacing w:line="360" w:lineRule="auto"/>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二、符合参与政府采购活动的资格条件依法缴纳税收、社会保障资金等方面的材料…………………………………………………………………………………（页码）</w:t>
      </w:r>
    </w:p>
    <w:p w14:paraId="726AB57E">
      <w:pPr>
        <w:snapToGrid w:val="0"/>
        <w:spacing w:line="360" w:lineRule="auto"/>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三、财务状况报告方面的材料…………………………………………………（页码）</w:t>
      </w:r>
    </w:p>
    <w:p w14:paraId="084F2D71">
      <w:pPr>
        <w:snapToGrid w:val="0"/>
        <w:spacing w:line="360" w:lineRule="auto"/>
        <w:rPr>
          <w:rFonts w:hint="default" w:ascii="宋体" w:hAnsi="宋体" w:eastAsia="宋体" w:cs="宋体"/>
          <w:color w:val="auto"/>
          <w:kern w:val="0"/>
          <w:sz w:val="24"/>
          <w:szCs w:val="24"/>
          <w:highlight w:val="none"/>
        </w:rPr>
      </w:pPr>
      <w:r>
        <w:rPr>
          <w:rFonts w:hint="default" w:ascii="宋体" w:hAnsi="宋体" w:eastAsia="宋体" w:cs="宋体"/>
          <w:color w:val="auto"/>
          <w:sz w:val="24"/>
          <w:szCs w:val="24"/>
          <w:highlight w:val="none"/>
        </w:rPr>
        <w:t>四、供应商直接控股股东信息</w:t>
      </w:r>
      <w:r>
        <w:rPr>
          <w:rFonts w:hint="default" w:ascii="宋体" w:hAnsi="宋体" w:eastAsia="宋体" w:cs="宋体"/>
          <w:color w:val="auto"/>
          <w:kern w:val="0"/>
          <w:sz w:val="24"/>
          <w:szCs w:val="24"/>
          <w:highlight w:val="none"/>
        </w:rPr>
        <w:t>…………………………………………………（页码）</w:t>
      </w:r>
    </w:p>
    <w:p w14:paraId="1FF34495">
      <w:pPr>
        <w:snapToGrid w:val="0"/>
        <w:spacing w:line="360" w:lineRule="auto"/>
        <w:rPr>
          <w:rFonts w:hint="default" w:ascii="宋体" w:hAnsi="宋体" w:eastAsia="宋体" w:cs="宋体"/>
          <w:color w:val="auto"/>
          <w:kern w:val="0"/>
          <w:sz w:val="24"/>
          <w:szCs w:val="24"/>
          <w:highlight w:val="none"/>
        </w:rPr>
      </w:pPr>
      <w:r>
        <w:rPr>
          <w:rFonts w:hint="default" w:ascii="宋体" w:hAnsi="宋体" w:eastAsia="宋体" w:cs="宋体"/>
          <w:color w:val="auto"/>
          <w:sz w:val="24"/>
          <w:szCs w:val="24"/>
          <w:highlight w:val="none"/>
        </w:rPr>
        <w:t>五、供应商直接管理关系信息表</w:t>
      </w:r>
      <w:r>
        <w:rPr>
          <w:rFonts w:hint="default" w:ascii="宋体" w:hAnsi="宋体" w:eastAsia="宋体" w:cs="宋体"/>
          <w:color w:val="auto"/>
          <w:kern w:val="0"/>
          <w:sz w:val="24"/>
          <w:szCs w:val="24"/>
          <w:highlight w:val="none"/>
        </w:rPr>
        <w:t>………………………………………………（页码）</w:t>
      </w:r>
    </w:p>
    <w:p w14:paraId="506DA0C9">
      <w:pPr>
        <w:snapToGrid w:val="0"/>
        <w:spacing w:line="360" w:lineRule="auto"/>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六、资格声明函…………………………………………………………………（页码）</w:t>
      </w:r>
    </w:p>
    <w:p w14:paraId="25C4F8DD">
      <w:pPr>
        <w:snapToGrid w:val="0"/>
        <w:spacing w:line="360" w:lineRule="auto"/>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七、中小企业声明函……………………………………………………………（页码）</w:t>
      </w:r>
    </w:p>
    <w:p w14:paraId="6CCDE0A1">
      <w:pPr>
        <w:snapToGrid w:val="0"/>
        <w:spacing w:line="360" w:lineRule="auto"/>
        <w:rPr>
          <w:rFonts w:hint="default" w:ascii="宋体" w:hAnsi="宋体" w:eastAsia="宋体" w:cs="宋体"/>
          <w:color w:val="auto"/>
          <w:kern w:val="0"/>
          <w:sz w:val="24"/>
          <w:szCs w:val="24"/>
          <w:highlight w:val="none"/>
        </w:rPr>
      </w:pPr>
      <w:r>
        <w:rPr>
          <w:rFonts w:hint="default" w:ascii="宋体" w:hAnsi="宋体" w:eastAsia="宋体" w:cs="宋体"/>
          <w:color w:val="auto"/>
          <w:sz w:val="24"/>
          <w:szCs w:val="24"/>
          <w:highlight w:val="none"/>
        </w:rPr>
        <w:t>八、符合特定资格条件的有关证明材料（复印件）</w:t>
      </w:r>
      <w:r>
        <w:rPr>
          <w:rFonts w:hint="default" w:ascii="宋体" w:hAnsi="宋体" w:eastAsia="宋体" w:cs="宋体"/>
          <w:color w:val="auto"/>
          <w:kern w:val="0"/>
          <w:sz w:val="24"/>
          <w:szCs w:val="24"/>
          <w:highlight w:val="none"/>
        </w:rPr>
        <w:t>…………………………（页码）</w:t>
      </w:r>
    </w:p>
    <w:p w14:paraId="15CFC4E4">
      <w:pPr>
        <w:spacing w:line="360" w:lineRule="auto"/>
        <w:rPr>
          <w:rFonts w:hint="default" w:ascii="宋体" w:hAnsi="宋体" w:eastAsia="宋体" w:cs="宋体"/>
          <w:b/>
          <w:color w:val="auto"/>
          <w:sz w:val="24"/>
          <w:szCs w:val="24"/>
          <w:highlight w:val="none"/>
        </w:rPr>
      </w:pPr>
      <w:r>
        <w:rPr>
          <w:rFonts w:hint="default" w:ascii="宋体" w:hAnsi="宋体" w:eastAsia="宋体" w:cs="宋体"/>
          <w:color w:val="auto"/>
          <w:sz w:val="24"/>
          <w:szCs w:val="24"/>
          <w:highlight w:val="none"/>
        </w:rPr>
        <w:t>九、供应商认为需要提供的其他证明材料</w:t>
      </w:r>
      <w:r>
        <w:rPr>
          <w:rFonts w:hint="default" w:ascii="宋体" w:hAnsi="宋体" w:eastAsia="宋体" w:cs="宋体"/>
          <w:color w:val="auto"/>
          <w:kern w:val="0"/>
          <w:sz w:val="24"/>
          <w:szCs w:val="24"/>
          <w:highlight w:val="none"/>
        </w:rPr>
        <w:t>……………………………………（页码）</w:t>
      </w:r>
    </w:p>
    <w:p w14:paraId="14801907">
      <w:pPr>
        <w:spacing w:line="360" w:lineRule="auto"/>
        <w:rPr>
          <w:rFonts w:hint="default" w:ascii="宋体" w:hAnsi="宋体" w:eastAsia="宋体" w:cs="宋体"/>
          <w:b/>
          <w:color w:val="auto"/>
          <w:sz w:val="24"/>
          <w:szCs w:val="24"/>
          <w:highlight w:val="none"/>
        </w:rPr>
      </w:pPr>
      <w:r>
        <w:rPr>
          <w:rFonts w:hint="default" w:ascii="宋体" w:hAnsi="宋体" w:eastAsia="宋体" w:cs="宋体"/>
          <w:b/>
          <w:color w:val="auto"/>
          <w:sz w:val="24"/>
          <w:szCs w:val="24"/>
          <w:highlight w:val="none"/>
        </w:rPr>
        <w:t>注：以上目录是编制供应商响应文件的基本格式要求，各供应商可根据自身情况进一步细化。</w:t>
      </w:r>
    </w:p>
    <w:p w14:paraId="38F144AF">
      <w:pPr>
        <w:snapToGrid w:val="0"/>
        <w:spacing w:before="120" w:beforeLines="50" w:after="50" w:line="360" w:lineRule="auto"/>
        <w:ind w:left="142" w:firstLine="420" w:firstLineChars="200"/>
        <w:jc w:val="left"/>
        <w:rPr>
          <w:rFonts w:hint="default" w:ascii="宋体" w:hAnsi="宋体" w:eastAsia="宋体" w:cs="宋体"/>
          <w:color w:val="auto"/>
          <w:sz w:val="21"/>
          <w:szCs w:val="21"/>
          <w:highlight w:val="none"/>
        </w:rPr>
      </w:pPr>
    </w:p>
    <w:p w14:paraId="2486D234">
      <w:pPr>
        <w:spacing w:line="300" w:lineRule="auto"/>
        <w:rPr>
          <w:rFonts w:hint="default" w:ascii="宋体" w:hAnsi="宋体" w:eastAsia="宋体" w:cs="宋体"/>
          <w:color w:val="auto"/>
          <w:sz w:val="21"/>
          <w:szCs w:val="21"/>
          <w:highlight w:val="none"/>
        </w:rPr>
      </w:pPr>
    </w:p>
    <w:p w14:paraId="716D889F">
      <w:pPr>
        <w:spacing w:line="300" w:lineRule="auto"/>
        <w:rPr>
          <w:rFonts w:hint="default" w:ascii="宋体" w:hAnsi="宋体" w:eastAsia="宋体" w:cs="宋体"/>
          <w:color w:val="auto"/>
          <w:sz w:val="21"/>
          <w:szCs w:val="21"/>
          <w:highlight w:val="none"/>
        </w:rPr>
      </w:pPr>
    </w:p>
    <w:p w14:paraId="132B0A8E">
      <w:pPr>
        <w:spacing w:line="300" w:lineRule="auto"/>
        <w:rPr>
          <w:rFonts w:hint="default" w:ascii="宋体" w:hAnsi="宋体" w:eastAsia="宋体" w:cs="宋体"/>
          <w:color w:val="auto"/>
          <w:sz w:val="21"/>
          <w:szCs w:val="21"/>
          <w:highlight w:val="none"/>
        </w:rPr>
      </w:pPr>
    </w:p>
    <w:p w14:paraId="0A3A918D">
      <w:pPr>
        <w:spacing w:line="300" w:lineRule="auto"/>
        <w:rPr>
          <w:rFonts w:hint="default" w:ascii="宋体" w:hAnsi="宋体" w:eastAsia="宋体" w:cs="宋体"/>
          <w:color w:val="auto"/>
          <w:sz w:val="21"/>
          <w:szCs w:val="21"/>
          <w:highlight w:val="none"/>
        </w:rPr>
      </w:pPr>
    </w:p>
    <w:p w14:paraId="276EFF7C">
      <w:pPr>
        <w:spacing w:line="300" w:lineRule="auto"/>
        <w:rPr>
          <w:rFonts w:hint="default" w:ascii="宋体" w:hAnsi="宋体" w:eastAsia="宋体" w:cs="宋体"/>
          <w:color w:val="auto"/>
          <w:sz w:val="21"/>
          <w:szCs w:val="21"/>
          <w:highlight w:val="none"/>
        </w:rPr>
      </w:pPr>
    </w:p>
    <w:p w14:paraId="15A854ED">
      <w:pPr>
        <w:spacing w:line="300" w:lineRule="auto"/>
        <w:rPr>
          <w:rFonts w:hint="default" w:ascii="宋体" w:hAnsi="宋体" w:eastAsia="宋体" w:cs="宋体"/>
          <w:color w:val="auto"/>
          <w:sz w:val="21"/>
          <w:szCs w:val="21"/>
          <w:highlight w:val="none"/>
        </w:rPr>
      </w:pPr>
    </w:p>
    <w:p w14:paraId="27E0FD61">
      <w:pPr>
        <w:spacing w:line="300" w:lineRule="auto"/>
        <w:rPr>
          <w:rFonts w:hint="default" w:ascii="宋体" w:hAnsi="宋体" w:eastAsia="宋体" w:cs="宋体"/>
          <w:color w:val="auto"/>
          <w:sz w:val="21"/>
          <w:szCs w:val="21"/>
          <w:highlight w:val="none"/>
        </w:rPr>
      </w:pPr>
    </w:p>
    <w:p w14:paraId="78958B2D">
      <w:pPr>
        <w:spacing w:line="300" w:lineRule="auto"/>
        <w:rPr>
          <w:rFonts w:hint="default" w:ascii="宋体" w:hAnsi="宋体" w:eastAsia="宋体" w:cs="宋体"/>
          <w:color w:val="auto"/>
          <w:sz w:val="21"/>
          <w:szCs w:val="21"/>
          <w:highlight w:val="none"/>
        </w:rPr>
      </w:pPr>
    </w:p>
    <w:p w14:paraId="4DCAB559">
      <w:pPr>
        <w:spacing w:line="300" w:lineRule="auto"/>
        <w:rPr>
          <w:rFonts w:hint="default" w:ascii="宋体" w:hAnsi="宋体" w:eastAsia="宋体" w:cs="宋体"/>
          <w:color w:val="auto"/>
          <w:sz w:val="21"/>
          <w:szCs w:val="21"/>
          <w:highlight w:val="none"/>
        </w:rPr>
      </w:pPr>
    </w:p>
    <w:p w14:paraId="7B0E6DCD">
      <w:pPr>
        <w:spacing w:line="360" w:lineRule="auto"/>
        <w:ind w:firstLine="400" w:firstLineChars="200"/>
        <w:rPr>
          <w:rFonts w:hint="default" w:ascii="宋体" w:hAnsi="宋体" w:eastAsia="宋体" w:cs="宋体"/>
          <w:b/>
          <w:color w:val="auto"/>
          <w:kern w:val="0"/>
          <w:sz w:val="30"/>
          <w:szCs w:val="30"/>
          <w:highlight w:val="none"/>
        </w:rPr>
      </w:pPr>
      <w:r>
        <w:rPr>
          <w:rFonts w:hint="default" w:ascii="宋体" w:hAnsi="宋体" w:eastAsia="宋体" w:cs="宋体"/>
          <w:color w:val="auto"/>
          <w:kern w:val="0"/>
          <w:sz w:val="20"/>
          <w:szCs w:val="21"/>
          <w:highlight w:val="none"/>
        </w:rPr>
        <w:br w:type="page"/>
      </w:r>
      <w:r>
        <w:rPr>
          <w:rFonts w:hint="default" w:ascii="宋体" w:hAnsi="宋体" w:eastAsia="宋体" w:cs="宋体"/>
          <w:color w:val="auto"/>
          <w:kern w:val="0"/>
          <w:sz w:val="20"/>
          <w:szCs w:val="21"/>
          <w:highlight w:val="none"/>
        </w:rPr>
        <w:t xml:space="preserve">   </w:t>
      </w:r>
      <w:r>
        <w:rPr>
          <w:rFonts w:hint="default" w:ascii="宋体" w:hAnsi="宋体" w:eastAsia="宋体" w:cs="宋体"/>
          <w:b/>
          <w:color w:val="auto"/>
          <w:kern w:val="0"/>
          <w:sz w:val="30"/>
          <w:szCs w:val="30"/>
          <w:highlight w:val="none"/>
        </w:rPr>
        <w:t>一、营业执照(或事业法人登记证或其他工商等登记证明材料)复印件（供应商为自然人的，提供自然人的身份证明）</w:t>
      </w:r>
    </w:p>
    <w:p w14:paraId="52879E97">
      <w:pPr>
        <w:spacing w:line="360" w:lineRule="auto"/>
        <w:ind w:firstLine="602" w:firstLineChars="200"/>
        <w:rPr>
          <w:rFonts w:hint="default" w:ascii="宋体" w:hAnsi="宋体" w:eastAsia="宋体" w:cs="宋体"/>
          <w:b/>
          <w:color w:val="auto"/>
          <w:kern w:val="0"/>
          <w:sz w:val="30"/>
          <w:szCs w:val="30"/>
          <w:highlight w:val="none"/>
        </w:rPr>
      </w:pPr>
    </w:p>
    <w:p w14:paraId="53162397">
      <w:pPr>
        <w:pStyle w:val="11"/>
        <w:rPr>
          <w:rFonts w:hint="default" w:ascii="宋体" w:hAnsi="宋体" w:eastAsia="宋体" w:cs="宋体"/>
          <w:b/>
          <w:color w:val="auto"/>
          <w:sz w:val="30"/>
          <w:szCs w:val="30"/>
          <w:highlight w:val="none"/>
        </w:rPr>
      </w:pPr>
    </w:p>
    <w:p w14:paraId="2A0C8C9E">
      <w:pPr>
        <w:pStyle w:val="11"/>
        <w:rPr>
          <w:rFonts w:hint="default" w:ascii="宋体" w:hAnsi="宋体" w:eastAsia="宋体" w:cs="宋体"/>
          <w:b/>
          <w:color w:val="auto"/>
          <w:sz w:val="30"/>
          <w:szCs w:val="30"/>
          <w:highlight w:val="none"/>
        </w:rPr>
      </w:pPr>
    </w:p>
    <w:p w14:paraId="1E2D1327">
      <w:pPr>
        <w:autoSpaceDE w:val="0"/>
        <w:autoSpaceDN w:val="0"/>
        <w:spacing w:line="360" w:lineRule="auto"/>
        <w:ind w:left="4365" w:leftChars="1850" w:hanging="480" w:hangingChars="200"/>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供应商名称（电子签章）：</w:t>
      </w:r>
    </w:p>
    <w:p w14:paraId="0FAB0FA6">
      <w:pPr>
        <w:autoSpaceDE w:val="0"/>
        <w:autoSpaceDN w:val="0"/>
        <w:spacing w:line="360" w:lineRule="auto"/>
        <w:ind w:firstLine="6120" w:firstLineChars="2550"/>
        <w:rPr>
          <w:rFonts w:hint="default" w:ascii="宋体" w:hAnsi="宋体" w:eastAsia="宋体" w:cs="宋体"/>
          <w:b/>
          <w:color w:val="auto"/>
          <w:sz w:val="24"/>
          <w:szCs w:val="24"/>
          <w:highlight w:val="none"/>
        </w:rPr>
      </w:pPr>
      <w:r>
        <w:rPr>
          <w:rFonts w:hint="default" w:ascii="宋体" w:hAnsi="宋体" w:eastAsia="宋体" w:cs="宋体"/>
          <w:color w:val="auto"/>
          <w:kern w:val="0"/>
          <w:sz w:val="24"/>
          <w:szCs w:val="24"/>
          <w:highlight w:val="none"/>
          <w:lang w:val="zh-CN"/>
        </w:rPr>
        <w:t>日期：  年  月   日</w:t>
      </w:r>
    </w:p>
    <w:p w14:paraId="765DF24A">
      <w:pPr>
        <w:snapToGrid w:val="0"/>
        <w:spacing w:before="120" w:beforeLines="50" w:after="50"/>
        <w:rPr>
          <w:rFonts w:hint="default" w:ascii="宋体" w:hAnsi="宋体" w:eastAsia="宋体" w:cs="宋体"/>
          <w:color w:val="auto"/>
          <w:sz w:val="24"/>
          <w:szCs w:val="20"/>
          <w:highlight w:val="none"/>
        </w:rPr>
      </w:pPr>
    </w:p>
    <w:p w14:paraId="117C1B05">
      <w:pPr>
        <w:spacing w:line="360" w:lineRule="auto"/>
        <w:ind w:firstLine="602" w:firstLineChars="200"/>
        <w:rPr>
          <w:rFonts w:hint="default" w:ascii="宋体" w:hAnsi="宋体" w:eastAsia="宋体" w:cs="宋体"/>
          <w:b/>
          <w:color w:val="auto"/>
          <w:kern w:val="0"/>
          <w:sz w:val="30"/>
          <w:szCs w:val="30"/>
          <w:highlight w:val="none"/>
        </w:rPr>
      </w:pPr>
    </w:p>
    <w:p w14:paraId="226D1946">
      <w:pPr>
        <w:numPr>
          <w:ilvl w:val="0"/>
          <w:numId w:val="2"/>
        </w:numPr>
        <w:spacing w:line="360" w:lineRule="auto"/>
        <w:ind w:firstLine="602" w:firstLineChars="200"/>
        <w:rPr>
          <w:rFonts w:hint="default" w:ascii="宋体" w:hAnsi="宋体" w:eastAsia="宋体" w:cs="宋体"/>
          <w:b/>
          <w:color w:val="auto"/>
          <w:kern w:val="0"/>
          <w:sz w:val="30"/>
          <w:szCs w:val="30"/>
          <w:highlight w:val="none"/>
        </w:rPr>
      </w:pPr>
      <w:r>
        <w:rPr>
          <w:rFonts w:hint="default" w:ascii="宋体" w:hAnsi="宋体" w:eastAsia="宋体" w:cs="宋体"/>
          <w:b/>
          <w:color w:val="auto"/>
          <w:kern w:val="0"/>
          <w:sz w:val="30"/>
          <w:szCs w:val="30"/>
          <w:highlight w:val="none"/>
        </w:rPr>
        <w:t>符合参与政府采购活动的资格条件依法缴纳税收、社会保障资金等方面的材料</w:t>
      </w:r>
    </w:p>
    <w:p w14:paraId="1A98638A">
      <w:pPr>
        <w:pStyle w:val="11"/>
        <w:numPr>
          <w:ilvl w:val="0"/>
          <w:numId w:val="0"/>
        </w:numPr>
        <w:rPr>
          <w:rFonts w:hint="default" w:ascii="宋体" w:eastAsia="宋体"/>
          <w:color w:val="auto"/>
          <w:sz w:val="18"/>
          <w:szCs w:val="18"/>
          <w:highlight w:val="none"/>
        </w:rPr>
      </w:pPr>
    </w:p>
    <w:p w14:paraId="5C139CED">
      <w:pPr>
        <w:spacing w:line="300" w:lineRule="auto"/>
        <w:rPr>
          <w:rFonts w:hint="default" w:ascii="宋体" w:hAnsi="宋体" w:eastAsia="宋体" w:cs="宋体"/>
          <w:color w:val="auto"/>
          <w:sz w:val="21"/>
          <w:szCs w:val="21"/>
          <w:highlight w:val="none"/>
        </w:rPr>
      </w:pPr>
    </w:p>
    <w:p w14:paraId="0C659115">
      <w:pPr>
        <w:pStyle w:val="11"/>
        <w:rPr>
          <w:rFonts w:hint="default" w:ascii="宋体" w:hAnsi="宋体" w:eastAsia="宋体" w:cs="宋体"/>
          <w:color w:val="auto"/>
          <w:sz w:val="18"/>
          <w:szCs w:val="21"/>
          <w:highlight w:val="none"/>
        </w:rPr>
      </w:pPr>
    </w:p>
    <w:p w14:paraId="7020790B">
      <w:pPr>
        <w:pStyle w:val="11"/>
        <w:rPr>
          <w:rFonts w:hint="default" w:ascii="宋体" w:hAnsi="宋体" w:eastAsia="宋体" w:cs="宋体"/>
          <w:color w:val="auto"/>
          <w:sz w:val="18"/>
          <w:szCs w:val="21"/>
          <w:highlight w:val="none"/>
        </w:rPr>
      </w:pPr>
    </w:p>
    <w:p w14:paraId="5A9827B2">
      <w:pPr>
        <w:pStyle w:val="11"/>
        <w:rPr>
          <w:rFonts w:hint="default" w:ascii="宋体" w:hAnsi="宋体" w:eastAsia="宋体" w:cs="宋体"/>
          <w:color w:val="auto"/>
          <w:sz w:val="18"/>
          <w:szCs w:val="21"/>
          <w:highlight w:val="none"/>
        </w:rPr>
      </w:pPr>
    </w:p>
    <w:p w14:paraId="15C3D3B6">
      <w:pPr>
        <w:pStyle w:val="11"/>
        <w:rPr>
          <w:rFonts w:hint="default" w:ascii="宋体" w:hAnsi="宋体" w:eastAsia="宋体" w:cs="宋体"/>
          <w:color w:val="auto"/>
          <w:sz w:val="18"/>
          <w:szCs w:val="21"/>
          <w:highlight w:val="none"/>
        </w:rPr>
      </w:pPr>
    </w:p>
    <w:p w14:paraId="6E6ED974">
      <w:pPr>
        <w:autoSpaceDE w:val="0"/>
        <w:autoSpaceDN w:val="0"/>
        <w:spacing w:line="360" w:lineRule="auto"/>
        <w:ind w:left="4365" w:leftChars="1850" w:hanging="480" w:hangingChars="200"/>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供应商名称（电子签章）：</w:t>
      </w:r>
    </w:p>
    <w:p w14:paraId="06B907C9">
      <w:pPr>
        <w:autoSpaceDE w:val="0"/>
        <w:autoSpaceDN w:val="0"/>
        <w:spacing w:line="360" w:lineRule="auto"/>
        <w:ind w:firstLine="6120" w:firstLineChars="2550"/>
        <w:rPr>
          <w:rFonts w:hint="default" w:ascii="宋体" w:hAnsi="宋体" w:eastAsia="宋体" w:cs="宋体"/>
          <w:b/>
          <w:color w:val="auto"/>
          <w:sz w:val="24"/>
          <w:szCs w:val="24"/>
          <w:highlight w:val="none"/>
        </w:rPr>
      </w:pPr>
      <w:r>
        <w:rPr>
          <w:rFonts w:hint="default" w:ascii="宋体" w:hAnsi="宋体" w:eastAsia="宋体" w:cs="宋体"/>
          <w:color w:val="auto"/>
          <w:kern w:val="0"/>
          <w:sz w:val="24"/>
          <w:szCs w:val="24"/>
          <w:highlight w:val="none"/>
          <w:lang w:val="zh-CN"/>
        </w:rPr>
        <w:t>日期：  年  月   日</w:t>
      </w:r>
    </w:p>
    <w:p w14:paraId="2409EDD0">
      <w:pPr>
        <w:spacing w:line="300" w:lineRule="auto"/>
        <w:rPr>
          <w:rFonts w:hint="default" w:ascii="宋体" w:hAnsi="宋体" w:eastAsia="宋体" w:cs="宋体"/>
          <w:color w:val="auto"/>
          <w:sz w:val="21"/>
          <w:szCs w:val="21"/>
          <w:highlight w:val="none"/>
        </w:rPr>
      </w:pPr>
    </w:p>
    <w:p w14:paraId="2ABD7764">
      <w:pPr>
        <w:spacing w:line="300" w:lineRule="auto"/>
        <w:ind w:firstLine="596" w:firstLineChars="198"/>
        <w:rPr>
          <w:rFonts w:hint="default" w:ascii="宋体" w:hAnsi="宋体" w:eastAsia="宋体" w:cs="宋体"/>
          <w:b/>
          <w:color w:val="auto"/>
          <w:kern w:val="0"/>
          <w:sz w:val="30"/>
          <w:szCs w:val="30"/>
          <w:highlight w:val="none"/>
        </w:rPr>
      </w:pPr>
    </w:p>
    <w:p w14:paraId="5C992564">
      <w:pPr>
        <w:pStyle w:val="11"/>
        <w:rPr>
          <w:rFonts w:hint="default" w:ascii="宋体" w:hAnsi="宋体" w:eastAsia="宋体" w:cs="宋体"/>
          <w:b/>
          <w:color w:val="auto"/>
          <w:sz w:val="30"/>
          <w:szCs w:val="30"/>
          <w:highlight w:val="none"/>
        </w:rPr>
      </w:pPr>
    </w:p>
    <w:p w14:paraId="2FD6F8E8">
      <w:pPr>
        <w:pStyle w:val="11"/>
        <w:rPr>
          <w:rFonts w:hint="default" w:ascii="宋体" w:hAnsi="宋体" w:eastAsia="宋体" w:cs="宋体"/>
          <w:b/>
          <w:color w:val="auto"/>
          <w:sz w:val="30"/>
          <w:szCs w:val="30"/>
          <w:highlight w:val="none"/>
        </w:rPr>
      </w:pPr>
    </w:p>
    <w:p w14:paraId="5857993B">
      <w:pPr>
        <w:spacing w:line="300" w:lineRule="auto"/>
        <w:ind w:firstLine="596" w:firstLineChars="198"/>
        <w:rPr>
          <w:rFonts w:hint="default" w:ascii="宋体" w:hAnsi="宋体" w:eastAsia="宋体" w:cs="宋体"/>
          <w:b/>
          <w:color w:val="auto"/>
          <w:kern w:val="0"/>
          <w:sz w:val="30"/>
          <w:szCs w:val="30"/>
          <w:highlight w:val="none"/>
        </w:rPr>
      </w:pPr>
    </w:p>
    <w:p w14:paraId="0B364B9D">
      <w:pPr>
        <w:spacing w:line="300" w:lineRule="auto"/>
        <w:ind w:firstLine="596" w:firstLineChars="198"/>
        <w:rPr>
          <w:rFonts w:hint="default" w:ascii="宋体" w:hAnsi="宋体" w:eastAsia="宋体" w:cs="宋体"/>
          <w:b/>
          <w:color w:val="auto"/>
          <w:kern w:val="0"/>
          <w:sz w:val="30"/>
          <w:szCs w:val="30"/>
          <w:highlight w:val="none"/>
        </w:rPr>
      </w:pPr>
      <w:r>
        <w:rPr>
          <w:rFonts w:hint="default" w:ascii="宋体" w:hAnsi="宋体" w:eastAsia="宋体" w:cs="宋体"/>
          <w:b/>
          <w:color w:val="auto"/>
          <w:kern w:val="0"/>
          <w:sz w:val="30"/>
          <w:szCs w:val="30"/>
          <w:highlight w:val="none"/>
        </w:rPr>
        <w:t>三、财务状况报告方面的材料</w:t>
      </w:r>
    </w:p>
    <w:p w14:paraId="2A192AAE">
      <w:pPr>
        <w:spacing w:line="300" w:lineRule="auto"/>
        <w:rPr>
          <w:rFonts w:hint="default" w:ascii="宋体" w:hAnsi="宋体" w:eastAsia="宋体" w:cs="宋体"/>
          <w:color w:val="auto"/>
          <w:sz w:val="21"/>
          <w:szCs w:val="21"/>
          <w:highlight w:val="none"/>
        </w:rPr>
      </w:pPr>
    </w:p>
    <w:p w14:paraId="1FC82DB3">
      <w:pPr>
        <w:autoSpaceDE w:val="0"/>
        <w:autoSpaceDN w:val="0"/>
        <w:spacing w:line="360" w:lineRule="auto"/>
        <w:ind w:left="4365" w:leftChars="1850" w:hanging="480" w:hangingChars="200"/>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供应商名称（电子签章）：</w:t>
      </w:r>
    </w:p>
    <w:p w14:paraId="3AAB2BC5">
      <w:pPr>
        <w:autoSpaceDE w:val="0"/>
        <w:autoSpaceDN w:val="0"/>
        <w:spacing w:line="360" w:lineRule="auto"/>
        <w:ind w:firstLine="6120" w:firstLineChars="2550"/>
        <w:rPr>
          <w:rFonts w:hint="default" w:ascii="宋体" w:hAnsi="宋体" w:eastAsia="宋体" w:cs="宋体"/>
          <w:b/>
          <w:color w:val="auto"/>
          <w:sz w:val="24"/>
          <w:szCs w:val="24"/>
          <w:highlight w:val="none"/>
        </w:rPr>
      </w:pPr>
      <w:r>
        <w:rPr>
          <w:rFonts w:hint="default" w:ascii="宋体" w:hAnsi="宋体" w:eastAsia="宋体" w:cs="宋体"/>
          <w:color w:val="auto"/>
          <w:kern w:val="0"/>
          <w:sz w:val="24"/>
          <w:szCs w:val="24"/>
          <w:highlight w:val="none"/>
          <w:lang w:val="zh-CN"/>
        </w:rPr>
        <w:t>日期：  年  月   日</w:t>
      </w:r>
    </w:p>
    <w:p w14:paraId="04909841">
      <w:pPr>
        <w:spacing w:line="320" w:lineRule="exact"/>
        <w:jc w:val="left"/>
        <w:rPr>
          <w:rFonts w:hint="default" w:ascii="宋体" w:hAnsi="宋体" w:eastAsia="宋体" w:cs="宋体"/>
          <w:color w:val="auto"/>
          <w:sz w:val="21"/>
          <w:szCs w:val="21"/>
          <w:highlight w:val="none"/>
        </w:rPr>
      </w:pPr>
      <w:r>
        <w:rPr>
          <w:rFonts w:hint="default" w:ascii="宋体" w:hAnsi="宋体" w:eastAsia="宋体" w:cs="宋体"/>
          <w:color w:val="auto"/>
          <w:sz w:val="21"/>
          <w:szCs w:val="21"/>
          <w:highlight w:val="none"/>
        </w:rPr>
        <w:t xml:space="preserve"> </w:t>
      </w:r>
    </w:p>
    <w:p w14:paraId="6F2332DD">
      <w:pPr>
        <w:snapToGrid w:val="0"/>
        <w:spacing w:before="120" w:beforeLines="50" w:after="50" w:line="360" w:lineRule="auto"/>
        <w:jc w:val="center"/>
        <w:rPr>
          <w:rFonts w:hint="default" w:ascii="宋体" w:hAnsi="宋体" w:eastAsia="宋体" w:cs="宋体"/>
          <w:b/>
          <w:color w:val="auto"/>
          <w:sz w:val="24"/>
          <w:szCs w:val="24"/>
          <w:highlight w:val="none"/>
        </w:rPr>
      </w:pPr>
    </w:p>
    <w:p w14:paraId="305FFAB7">
      <w:pPr>
        <w:pageBreakBefore/>
        <w:spacing w:line="360" w:lineRule="auto"/>
        <w:ind w:firstLine="596" w:firstLineChars="198"/>
        <w:rPr>
          <w:rFonts w:hint="default" w:ascii="宋体" w:hAnsi="宋体" w:eastAsia="宋体" w:cs="宋体"/>
          <w:b/>
          <w:color w:val="auto"/>
          <w:kern w:val="0"/>
          <w:sz w:val="30"/>
          <w:szCs w:val="30"/>
          <w:highlight w:val="none"/>
        </w:rPr>
      </w:pPr>
      <w:r>
        <w:rPr>
          <w:rFonts w:hint="default" w:ascii="宋体" w:hAnsi="宋体" w:eastAsia="宋体" w:cs="宋体"/>
          <w:b/>
          <w:color w:val="auto"/>
          <w:kern w:val="0"/>
          <w:sz w:val="30"/>
          <w:szCs w:val="30"/>
          <w:highlight w:val="none"/>
        </w:rPr>
        <w:t>四、供应商直接控股股东信息</w:t>
      </w:r>
    </w:p>
    <w:p w14:paraId="63F1A71A">
      <w:pPr>
        <w:spacing w:line="360" w:lineRule="auto"/>
        <w:jc w:val="center"/>
        <w:rPr>
          <w:rFonts w:hint="default" w:ascii="宋体" w:hAnsi="宋体" w:eastAsia="宋体" w:cs="宋体"/>
          <w:b/>
          <w:color w:val="auto"/>
          <w:sz w:val="24"/>
          <w:szCs w:val="24"/>
          <w:highlight w:val="none"/>
        </w:rPr>
      </w:pPr>
    </w:p>
    <w:tbl>
      <w:tblPr>
        <w:tblStyle w:val="1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880"/>
        <w:gridCol w:w="2655"/>
        <w:gridCol w:w="1455"/>
        <w:gridCol w:w="4287"/>
        <w:gridCol w:w="870"/>
      </w:tblGrid>
      <w:tr w14:paraId="5210D1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jc w:val="center"/>
        </w:trPr>
        <w:tc>
          <w:tcPr>
            <w:tcW w:w="880" w:type="dxa"/>
            <w:tcBorders>
              <w:top w:val="single" w:color="auto" w:sz="4" w:space="0"/>
              <w:left w:val="single" w:color="auto" w:sz="4" w:space="0"/>
              <w:bottom w:val="single" w:color="auto" w:sz="4" w:space="0"/>
              <w:right w:val="single" w:color="auto" w:sz="4" w:space="0"/>
              <w:tl2br w:val="nil"/>
              <w:tr2bl w:val="nil"/>
            </w:tcBorders>
            <w:noWrap w:val="0"/>
            <w:tcMar>
              <w:top w:w="120" w:type="dxa"/>
              <w:left w:w="120" w:type="dxa"/>
              <w:bottom w:w="120" w:type="dxa"/>
              <w:right w:w="120" w:type="dxa"/>
            </w:tcMar>
            <w:vAlign w:val="center"/>
          </w:tcPr>
          <w:p w14:paraId="5ED104A4">
            <w:pPr>
              <w:widowControl/>
              <w:spacing w:line="360" w:lineRule="auto"/>
              <w:jc w:val="center"/>
              <w:rPr>
                <w:rFonts w:hint="default" w:ascii="宋体" w:hAnsi="宋体" w:eastAsia="宋体" w:cs="宋体"/>
                <w:b/>
                <w:color w:val="auto"/>
                <w:kern w:val="0"/>
                <w:sz w:val="24"/>
                <w:szCs w:val="24"/>
                <w:highlight w:val="none"/>
              </w:rPr>
            </w:pPr>
            <w:r>
              <w:rPr>
                <w:rFonts w:hint="default" w:ascii="宋体" w:hAnsi="宋体" w:eastAsia="宋体" w:cs="宋体"/>
                <w:b/>
                <w:color w:val="auto"/>
                <w:kern w:val="0"/>
                <w:sz w:val="24"/>
                <w:szCs w:val="24"/>
                <w:highlight w:val="none"/>
              </w:rPr>
              <w:t>序号</w:t>
            </w:r>
          </w:p>
        </w:tc>
        <w:tc>
          <w:tcPr>
            <w:tcW w:w="2655" w:type="dxa"/>
            <w:tcBorders>
              <w:top w:val="single" w:color="auto" w:sz="4" w:space="0"/>
              <w:left w:val="single" w:color="auto" w:sz="4" w:space="0"/>
              <w:bottom w:val="single" w:color="auto" w:sz="4" w:space="0"/>
              <w:right w:val="single" w:color="auto" w:sz="4" w:space="0"/>
              <w:tl2br w:val="nil"/>
              <w:tr2bl w:val="nil"/>
            </w:tcBorders>
            <w:noWrap w:val="0"/>
            <w:tcMar>
              <w:top w:w="120" w:type="dxa"/>
              <w:left w:w="120" w:type="dxa"/>
              <w:bottom w:w="120" w:type="dxa"/>
              <w:right w:w="120" w:type="dxa"/>
            </w:tcMar>
            <w:vAlign w:val="center"/>
          </w:tcPr>
          <w:p w14:paraId="0F484738">
            <w:pPr>
              <w:widowControl/>
              <w:spacing w:line="360" w:lineRule="auto"/>
              <w:jc w:val="center"/>
              <w:rPr>
                <w:rFonts w:hint="default" w:ascii="宋体" w:hAnsi="宋体" w:eastAsia="宋体" w:cs="宋体"/>
                <w:b/>
                <w:color w:val="auto"/>
                <w:kern w:val="0"/>
                <w:sz w:val="24"/>
                <w:szCs w:val="24"/>
                <w:highlight w:val="none"/>
              </w:rPr>
            </w:pPr>
            <w:r>
              <w:rPr>
                <w:rFonts w:hint="default" w:ascii="宋体" w:hAnsi="宋体" w:eastAsia="宋体" w:cs="宋体"/>
                <w:b/>
                <w:color w:val="auto"/>
                <w:kern w:val="0"/>
                <w:sz w:val="24"/>
                <w:szCs w:val="24"/>
                <w:highlight w:val="none"/>
              </w:rPr>
              <w:t>直接控股股东名称</w:t>
            </w:r>
          </w:p>
        </w:tc>
        <w:tc>
          <w:tcPr>
            <w:tcW w:w="1455" w:type="dxa"/>
            <w:tcBorders>
              <w:top w:val="single" w:color="auto" w:sz="4" w:space="0"/>
              <w:left w:val="single" w:color="auto" w:sz="4" w:space="0"/>
              <w:bottom w:val="single" w:color="auto" w:sz="4" w:space="0"/>
              <w:right w:val="single" w:color="auto" w:sz="4" w:space="0"/>
              <w:tl2br w:val="nil"/>
              <w:tr2bl w:val="nil"/>
            </w:tcBorders>
            <w:noWrap w:val="0"/>
            <w:tcMar>
              <w:top w:w="120" w:type="dxa"/>
              <w:left w:w="120" w:type="dxa"/>
              <w:bottom w:w="120" w:type="dxa"/>
              <w:right w:w="120" w:type="dxa"/>
            </w:tcMar>
            <w:vAlign w:val="center"/>
          </w:tcPr>
          <w:p w14:paraId="18063C3E">
            <w:pPr>
              <w:widowControl/>
              <w:spacing w:line="360" w:lineRule="auto"/>
              <w:jc w:val="center"/>
              <w:rPr>
                <w:rFonts w:hint="default" w:ascii="宋体" w:hAnsi="宋体" w:eastAsia="宋体" w:cs="宋体"/>
                <w:b/>
                <w:color w:val="auto"/>
                <w:kern w:val="0"/>
                <w:sz w:val="24"/>
                <w:szCs w:val="24"/>
                <w:highlight w:val="none"/>
              </w:rPr>
            </w:pPr>
            <w:r>
              <w:rPr>
                <w:rFonts w:hint="default" w:ascii="宋体" w:hAnsi="宋体" w:eastAsia="宋体" w:cs="宋体"/>
                <w:b/>
                <w:color w:val="auto"/>
                <w:kern w:val="0"/>
                <w:sz w:val="24"/>
                <w:szCs w:val="24"/>
                <w:highlight w:val="none"/>
              </w:rPr>
              <w:t>出资比例</w:t>
            </w:r>
          </w:p>
        </w:tc>
        <w:tc>
          <w:tcPr>
            <w:tcW w:w="4287" w:type="dxa"/>
            <w:tcBorders>
              <w:top w:val="single" w:color="auto" w:sz="4" w:space="0"/>
              <w:left w:val="single" w:color="auto" w:sz="4" w:space="0"/>
              <w:bottom w:val="single" w:color="auto" w:sz="4" w:space="0"/>
              <w:right w:val="single" w:color="auto" w:sz="4" w:space="0"/>
              <w:tl2br w:val="nil"/>
              <w:tr2bl w:val="nil"/>
            </w:tcBorders>
            <w:noWrap w:val="0"/>
            <w:tcMar>
              <w:top w:w="120" w:type="dxa"/>
              <w:left w:w="120" w:type="dxa"/>
              <w:bottom w:w="120" w:type="dxa"/>
              <w:right w:w="120" w:type="dxa"/>
            </w:tcMar>
            <w:vAlign w:val="center"/>
          </w:tcPr>
          <w:p w14:paraId="7250558E">
            <w:pPr>
              <w:widowControl/>
              <w:spacing w:line="360" w:lineRule="auto"/>
              <w:jc w:val="center"/>
              <w:rPr>
                <w:rFonts w:hint="default" w:ascii="宋体" w:hAnsi="宋体" w:eastAsia="宋体" w:cs="宋体"/>
                <w:b/>
                <w:color w:val="auto"/>
                <w:kern w:val="0"/>
                <w:sz w:val="24"/>
                <w:szCs w:val="24"/>
                <w:highlight w:val="none"/>
              </w:rPr>
            </w:pPr>
            <w:r>
              <w:rPr>
                <w:rFonts w:hint="default" w:ascii="宋体" w:hAnsi="宋体" w:eastAsia="宋体" w:cs="宋体"/>
                <w:b/>
                <w:color w:val="auto"/>
                <w:kern w:val="0"/>
                <w:sz w:val="24"/>
                <w:szCs w:val="24"/>
                <w:highlight w:val="none"/>
              </w:rPr>
              <w:t>身份证号码或者统一社会信用代码</w:t>
            </w:r>
          </w:p>
        </w:tc>
        <w:tc>
          <w:tcPr>
            <w:tcW w:w="870" w:type="dxa"/>
            <w:tcBorders>
              <w:top w:val="single" w:color="auto" w:sz="4" w:space="0"/>
              <w:left w:val="single" w:color="auto" w:sz="4" w:space="0"/>
              <w:bottom w:val="single" w:color="auto" w:sz="4" w:space="0"/>
              <w:right w:val="single" w:color="auto" w:sz="4" w:space="0"/>
              <w:tl2br w:val="nil"/>
              <w:tr2bl w:val="nil"/>
            </w:tcBorders>
            <w:noWrap w:val="0"/>
            <w:tcMar>
              <w:top w:w="120" w:type="dxa"/>
              <w:left w:w="120" w:type="dxa"/>
              <w:bottom w:w="120" w:type="dxa"/>
              <w:right w:w="120" w:type="dxa"/>
            </w:tcMar>
            <w:vAlign w:val="center"/>
          </w:tcPr>
          <w:p w14:paraId="6755B987">
            <w:pPr>
              <w:widowControl/>
              <w:spacing w:line="360" w:lineRule="auto"/>
              <w:jc w:val="center"/>
              <w:rPr>
                <w:rFonts w:hint="default" w:ascii="宋体" w:hAnsi="宋体" w:eastAsia="宋体" w:cs="宋体"/>
                <w:b/>
                <w:color w:val="auto"/>
                <w:kern w:val="0"/>
                <w:sz w:val="24"/>
                <w:szCs w:val="24"/>
                <w:highlight w:val="none"/>
              </w:rPr>
            </w:pPr>
            <w:r>
              <w:rPr>
                <w:rFonts w:hint="default" w:ascii="宋体" w:hAnsi="宋体" w:eastAsia="宋体" w:cs="宋体"/>
                <w:b/>
                <w:color w:val="auto"/>
                <w:kern w:val="0"/>
                <w:sz w:val="24"/>
                <w:szCs w:val="24"/>
                <w:highlight w:val="none"/>
              </w:rPr>
              <w:t>备注</w:t>
            </w:r>
          </w:p>
        </w:tc>
      </w:tr>
      <w:tr w14:paraId="5EE671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l2br w:val="nil"/>
              <w:tr2bl w:val="nil"/>
            </w:tcBorders>
            <w:noWrap w:val="0"/>
            <w:tcMar>
              <w:top w:w="120" w:type="dxa"/>
              <w:left w:w="120" w:type="dxa"/>
              <w:bottom w:w="120" w:type="dxa"/>
              <w:right w:w="120" w:type="dxa"/>
            </w:tcMar>
            <w:vAlign w:val="center"/>
          </w:tcPr>
          <w:p w14:paraId="597A87FE">
            <w:pPr>
              <w:widowControl/>
              <w:spacing w:line="360" w:lineRule="auto"/>
              <w:jc w:val="center"/>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1</w:t>
            </w:r>
          </w:p>
        </w:tc>
        <w:tc>
          <w:tcPr>
            <w:tcW w:w="2655" w:type="dxa"/>
            <w:tcBorders>
              <w:top w:val="single" w:color="auto" w:sz="4" w:space="0"/>
              <w:left w:val="single" w:color="auto" w:sz="4" w:space="0"/>
              <w:bottom w:val="single" w:color="auto" w:sz="4" w:space="0"/>
              <w:right w:val="single" w:color="auto" w:sz="4" w:space="0"/>
              <w:tl2br w:val="nil"/>
              <w:tr2bl w:val="nil"/>
            </w:tcBorders>
            <w:noWrap w:val="0"/>
            <w:tcMar>
              <w:top w:w="120" w:type="dxa"/>
              <w:left w:w="120" w:type="dxa"/>
              <w:bottom w:w="120" w:type="dxa"/>
              <w:right w:w="120" w:type="dxa"/>
            </w:tcMar>
            <w:vAlign w:val="center"/>
          </w:tcPr>
          <w:p w14:paraId="0CB4384D">
            <w:pPr>
              <w:widowControl/>
              <w:spacing w:line="360" w:lineRule="auto"/>
              <w:jc w:val="center"/>
              <w:rPr>
                <w:rFonts w:hint="default" w:ascii="宋体" w:hAnsi="宋体" w:eastAsia="宋体" w:cs="宋体"/>
                <w:color w:val="auto"/>
                <w:kern w:val="0"/>
                <w:sz w:val="24"/>
                <w:szCs w:val="24"/>
                <w:highlight w:val="none"/>
              </w:rPr>
            </w:pPr>
          </w:p>
        </w:tc>
        <w:tc>
          <w:tcPr>
            <w:tcW w:w="1455" w:type="dxa"/>
            <w:tcBorders>
              <w:top w:val="single" w:color="auto" w:sz="4" w:space="0"/>
              <w:left w:val="single" w:color="auto" w:sz="4" w:space="0"/>
              <w:bottom w:val="single" w:color="auto" w:sz="4" w:space="0"/>
              <w:right w:val="single" w:color="auto" w:sz="4" w:space="0"/>
              <w:tl2br w:val="nil"/>
              <w:tr2bl w:val="nil"/>
            </w:tcBorders>
            <w:noWrap w:val="0"/>
            <w:tcMar>
              <w:top w:w="120" w:type="dxa"/>
              <w:left w:w="120" w:type="dxa"/>
              <w:bottom w:w="120" w:type="dxa"/>
              <w:right w:w="120" w:type="dxa"/>
            </w:tcMar>
            <w:vAlign w:val="center"/>
          </w:tcPr>
          <w:p w14:paraId="34CC7FB1">
            <w:pPr>
              <w:widowControl/>
              <w:spacing w:line="360" w:lineRule="auto"/>
              <w:jc w:val="center"/>
              <w:rPr>
                <w:rFonts w:hint="default" w:ascii="宋体" w:hAnsi="宋体" w:eastAsia="宋体" w:cs="宋体"/>
                <w:color w:val="auto"/>
                <w:kern w:val="0"/>
                <w:sz w:val="24"/>
                <w:szCs w:val="24"/>
                <w:highlight w:val="none"/>
              </w:rPr>
            </w:pPr>
          </w:p>
        </w:tc>
        <w:tc>
          <w:tcPr>
            <w:tcW w:w="4287" w:type="dxa"/>
            <w:tcBorders>
              <w:top w:val="single" w:color="auto" w:sz="4" w:space="0"/>
              <w:left w:val="single" w:color="auto" w:sz="4" w:space="0"/>
              <w:bottom w:val="single" w:color="auto" w:sz="4" w:space="0"/>
              <w:right w:val="single" w:color="auto" w:sz="4" w:space="0"/>
              <w:tl2br w:val="nil"/>
              <w:tr2bl w:val="nil"/>
            </w:tcBorders>
            <w:noWrap w:val="0"/>
            <w:tcMar>
              <w:top w:w="120" w:type="dxa"/>
              <w:left w:w="120" w:type="dxa"/>
              <w:bottom w:w="120" w:type="dxa"/>
              <w:right w:w="120" w:type="dxa"/>
            </w:tcMar>
            <w:vAlign w:val="center"/>
          </w:tcPr>
          <w:p w14:paraId="37253DF7">
            <w:pPr>
              <w:widowControl/>
              <w:spacing w:line="360" w:lineRule="auto"/>
              <w:jc w:val="center"/>
              <w:rPr>
                <w:rFonts w:hint="default" w:ascii="宋体" w:hAnsi="宋体" w:eastAsia="宋体" w:cs="宋体"/>
                <w:color w:val="auto"/>
                <w:kern w:val="0"/>
                <w:sz w:val="24"/>
                <w:szCs w:val="24"/>
                <w:highlight w:val="none"/>
              </w:rPr>
            </w:pPr>
          </w:p>
        </w:tc>
        <w:tc>
          <w:tcPr>
            <w:tcW w:w="870" w:type="dxa"/>
            <w:tcBorders>
              <w:top w:val="single" w:color="auto" w:sz="4" w:space="0"/>
              <w:left w:val="single" w:color="auto" w:sz="4" w:space="0"/>
              <w:bottom w:val="single" w:color="auto" w:sz="4" w:space="0"/>
              <w:right w:val="single" w:color="auto" w:sz="4" w:space="0"/>
              <w:tl2br w:val="nil"/>
              <w:tr2bl w:val="nil"/>
            </w:tcBorders>
            <w:noWrap w:val="0"/>
            <w:tcMar>
              <w:top w:w="120" w:type="dxa"/>
              <w:left w:w="120" w:type="dxa"/>
              <w:bottom w:w="120" w:type="dxa"/>
              <w:right w:w="120" w:type="dxa"/>
            </w:tcMar>
            <w:vAlign w:val="center"/>
          </w:tcPr>
          <w:p w14:paraId="7F83E2BE">
            <w:pPr>
              <w:widowControl/>
              <w:spacing w:line="360" w:lineRule="auto"/>
              <w:jc w:val="center"/>
              <w:rPr>
                <w:rFonts w:hint="default" w:ascii="宋体" w:hAnsi="宋体" w:eastAsia="宋体" w:cs="宋体"/>
                <w:color w:val="auto"/>
                <w:kern w:val="0"/>
                <w:sz w:val="24"/>
                <w:szCs w:val="24"/>
                <w:highlight w:val="none"/>
              </w:rPr>
            </w:pPr>
          </w:p>
        </w:tc>
      </w:tr>
      <w:tr w14:paraId="7D7AE6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l2br w:val="nil"/>
              <w:tr2bl w:val="nil"/>
            </w:tcBorders>
            <w:noWrap w:val="0"/>
            <w:tcMar>
              <w:top w:w="120" w:type="dxa"/>
              <w:left w:w="120" w:type="dxa"/>
              <w:bottom w:w="120" w:type="dxa"/>
              <w:right w:w="120" w:type="dxa"/>
            </w:tcMar>
            <w:vAlign w:val="center"/>
          </w:tcPr>
          <w:p w14:paraId="1C6551D8">
            <w:pPr>
              <w:widowControl/>
              <w:spacing w:line="360" w:lineRule="auto"/>
              <w:jc w:val="center"/>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2</w:t>
            </w:r>
          </w:p>
        </w:tc>
        <w:tc>
          <w:tcPr>
            <w:tcW w:w="2655" w:type="dxa"/>
            <w:tcBorders>
              <w:top w:val="single" w:color="auto" w:sz="4" w:space="0"/>
              <w:left w:val="single" w:color="auto" w:sz="4" w:space="0"/>
              <w:bottom w:val="single" w:color="auto" w:sz="4" w:space="0"/>
              <w:right w:val="single" w:color="auto" w:sz="4" w:space="0"/>
              <w:tl2br w:val="nil"/>
              <w:tr2bl w:val="nil"/>
            </w:tcBorders>
            <w:noWrap w:val="0"/>
            <w:tcMar>
              <w:top w:w="120" w:type="dxa"/>
              <w:left w:w="120" w:type="dxa"/>
              <w:bottom w:w="120" w:type="dxa"/>
              <w:right w:w="120" w:type="dxa"/>
            </w:tcMar>
            <w:vAlign w:val="center"/>
          </w:tcPr>
          <w:p w14:paraId="468BDE90">
            <w:pPr>
              <w:widowControl/>
              <w:spacing w:line="360" w:lineRule="auto"/>
              <w:jc w:val="center"/>
              <w:rPr>
                <w:rFonts w:hint="default" w:ascii="宋体" w:hAnsi="宋体" w:eastAsia="宋体" w:cs="宋体"/>
                <w:color w:val="auto"/>
                <w:kern w:val="0"/>
                <w:sz w:val="24"/>
                <w:szCs w:val="24"/>
                <w:highlight w:val="none"/>
              </w:rPr>
            </w:pPr>
          </w:p>
        </w:tc>
        <w:tc>
          <w:tcPr>
            <w:tcW w:w="1455" w:type="dxa"/>
            <w:tcBorders>
              <w:top w:val="single" w:color="auto" w:sz="4" w:space="0"/>
              <w:left w:val="single" w:color="auto" w:sz="4" w:space="0"/>
              <w:bottom w:val="single" w:color="auto" w:sz="4" w:space="0"/>
              <w:right w:val="single" w:color="auto" w:sz="4" w:space="0"/>
              <w:tl2br w:val="nil"/>
              <w:tr2bl w:val="nil"/>
            </w:tcBorders>
            <w:noWrap w:val="0"/>
            <w:tcMar>
              <w:top w:w="120" w:type="dxa"/>
              <w:left w:w="120" w:type="dxa"/>
              <w:bottom w:w="120" w:type="dxa"/>
              <w:right w:w="120" w:type="dxa"/>
            </w:tcMar>
            <w:vAlign w:val="center"/>
          </w:tcPr>
          <w:p w14:paraId="6155A05E">
            <w:pPr>
              <w:widowControl/>
              <w:spacing w:line="360" w:lineRule="auto"/>
              <w:jc w:val="center"/>
              <w:rPr>
                <w:rFonts w:hint="default" w:ascii="宋体" w:hAnsi="宋体" w:eastAsia="宋体" w:cs="宋体"/>
                <w:color w:val="auto"/>
                <w:kern w:val="0"/>
                <w:sz w:val="24"/>
                <w:szCs w:val="24"/>
                <w:highlight w:val="none"/>
              </w:rPr>
            </w:pPr>
          </w:p>
        </w:tc>
        <w:tc>
          <w:tcPr>
            <w:tcW w:w="4287" w:type="dxa"/>
            <w:tcBorders>
              <w:top w:val="single" w:color="auto" w:sz="4" w:space="0"/>
              <w:left w:val="single" w:color="auto" w:sz="4" w:space="0"/>
              <w:bottom w:val="single" w:color="auto" w:sz="4" w:space="0"/>
              <w:right w:val="single" w:color="auto" w:sz="4" w:space="0"/>
              <w:tl2br w:val="nil"/>
              <w:tr2bl w:val="nil"/>
            </w:tcBorders>
            <w:noWrap w:val="0"/>
            <w:tcMar>
              <w:top w:w="120" w:type="dxa"/>
              <w:left w:w="120" w:type="dxa"/>
              <w:bottom w:w="120" w:type="dxa"/>
              <w:right w:w="120" w:type="dxa"/>
            </w:tcMar>
            <w:vAlign w:val="center"/>
          </w:tcPr>
          <w:p w14:paraId="576B3BAD">
            <w:pPr>
              <w:widowControl/>
              <w:spacing w:line="360" w:lineRule="auto"/>
              <w:jc w:val="center"/>
              <w:rPr>
                <w:rFonts w:hint="default" w:ascii="宋体" w:hAnsi="宋体" w:eastAsia="宋体" w:cs="宋体"/>
                <w:color w:val="auto"/>
                <w:kern w:val="0"/>
                <w:sz w:val="24"/>
                <w:szCs w:val="24"/>
                <w:highlight w:val="none"/>
              </w:rPr>
            </w:pPr>
          </w:p>
        </w:tc>
        <w:tc>
          <w:tcPr>
            <w:tcW w:w="870" w:type="dxa"/>
            <w:tcBorders>
              <w:top w:val="single" w:color="auto" w:sz="4" w:space="0"/>
              <w:left w:val="single" w:color="auto" w:sz="4" w:space="0"/>
              <w:bottom w:val="single" w:color="auto" w:sz="4" w:space="0"/>
              <w:right w:val="single" w:color="auto" w:sz="4" w:space="0"/>
              <w:tl2br w:val="nil"/>
              <w:tr2bl w:val="nil"/>
            </w:tcBorders>
            <w:noWrap w:val="0"/>
            <w:tcMar>
              <w:top w:w="120" w:type="dxa"/>
              <w:left w:w="120" w:type="dxa"/>
              <w:bottom w:w="120" w:type="dxa"/>
              <w:right w:w="120" w:type="dxa"/>
            </w:tcMar>
            <w:vAlign w:val="center"/>
          </w:tcPr>
          <w:p w14:paraId="7CCB1086">
            <w:pPr>
              <w:widowControl/>
              <w:spacing w:line="360" w:lineRule="auto"/>
              <w:jc w:val="center"/>
              <w:rPr>
                <w:rFonts w:hint="default" w:ascii="宋体" w:hAnsi="宋体" w:eastAsia="宋体" w:cs="宋体"/>
                <w:color w:val="auto"/>
                <w:kern w:val="0"/>
                <w:sz w:val="24"/>
                <w:szCs w:val="24"/>
                <w:highlight w:val="none"/>
              </w:rPr>
            </w:pPr>
          </w:p>
        </w:tc>
      </w:tr>
      <w:tr w14:paraId="74C875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l2br w:val="nil"/>
              <w:tr2bl w:val="nil"/>
            </w:tcBorders>
            <w:noWrap w:val="0"/>
            <w:tcMar>
              <w:top w:w="120" w:type="dxa"/>
              <w:left w:w="120" w:type="dxa"/>
              <w:bottom w:w="120" w:type="dxa"/>
              <w:right w:w="120" w:type="dxa"/>
            </w:tcMar>
            <w:vAlign w:val="center"/>
          </w:tcPr>
          <w:p w14:paraId="44417375">
            <w:pPr>
              <w:widowControl/>
              <w:spacing w:line="360" w:lineRule="auto"/>
              <w:jc w:val="center"/>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3</w:t>
            </w:r>
          </w:p>
        </w:tc>
        <w:tc>
          <w:tcPr>
            <w:tcW w:w="2655" w:type="dxa"/>
            <w:tcBorders>
              <w:top w:val="single" w:color="auto" w:sz="4" w:space="0"/>
              <w:left w:val="single" w:color="auto" w:sz="4" w:space="0"/>
              <w:bottom w:val="single" w:color="auto" w:sz="4" w:space="0"/>
              <w:right w:val="single" w:color="auto" w:sz="4" w:space="0"/>
              <w:tl2br w:val="nil"/>
              <w:tr2bl w:val="nil"/>
            </w:tcBorders>
            <w:noWrap w:val="0"/>
            <w:tcMar>
              <w:top w:w="120" w:type="dxa"/>
              <w:left w:w="120" w:type="dxa"/>
              <w:bottom w:w="120" w:type="dxa"/>
              <w:right w:w="120" w:type="dxa"/>
            </w:tcMar>
            <w:vAlign w:val="center"/>
          </w:tcPr>
          <w:p w14:paraId="4917BE43">
            <w:pPr>
              <w:widowControl/>
              <w:spacing w:line="360" w:lineRule="auto"/>
              <w:jc w:val="center"/>
              <w:rPr>
                <w:rFonts w:hint="default" w:ascii="宋体" w:hAnsi="宋体" w:eastAsia="宋体" w:cs="宋体"/>
                <w:color w:val="auto"/>
                <w:kern w:val="0"/>
                <w:sz w:val="24"/>
                <w:szCs w:val="24"/>
                <w:highlight w:val="none"/>
              </w:rPr>
            </w:pPr>
          </w:p>
        </w:tc>
        <w:tc>
          <w:tcPr>
            <w:tcW w:w="1455" w:type="dxa"/>
            <w:tcBorders>
              <w:top w:val="single" w:color="auto" w:sz="4" w:space="0"/>
              <w:left w:val="single" w:color="auto" w:sz="4" w:space="0"/>
              <w:bottom w:val="single" w:color="auto" w:sz="4" w:space="0"/>
              <w:right w:val="single" w:color="auto" w:sz="4" w:space="0"/>
              <w:tl2br w:val="nil"/>
              <w:tr2bl w:val="nil"/>
            </w:tcBorders>
            <w:noWrap w:val="0"/>
            <w:tcMar>
              <w:top w:w="120" w:type="dxa"/>
              <w:left w:w="120" w:type="dxa"/>
              <w:bottom w:w="120" w:type="dxa"/>
              <w:right w:w="120" w:type="dxa"/>
            </w:tcMar>
            <w:vAlign w:val="center"/>
          </w:tcPr>
          <w:p w14:paraId="72FE12BA">
            <w:pPr>
              <w:widowControl/>
              <w:spacing w:line="360" w:lineRule="auto"/>
              <w:jc w:val="center"/>
              <w:rPr>
                <w:rFonts w:hint="default" w:ascii="宋体" w:hAnsi="宋体" w:eastAsia="宋体" w:cs="宋体"/>
                <w:color w:val="auto"/>
                <w:kern w:val="0"/>
                <w:sz w:val="24"/>
                <w:szCs w:val="24"/>
                <w:highlight w:val="none"/>
              </w:rPr>
            </w:pPr>
          </w:p>
        </w:tc>
        <w:tc>
          <w:tcPr>
            <w:tcW w:w="4287" w:type="dxa"/>
            <w:tcBorders>
              <w:top w:val="single" w:color="auto" w:sz="4" w:space="0"/>
              <w:left w:val="single" w:color="auto" w:sz="4" w:space="0"/>
              <w:bottom w:val="single" w:color="auto" w:sz="4" w:space="0"/>
              <w:right w:val="single" w:color="auto" w:sz="4" w:space="0"/>
              <w:tl2br w:val="nil"/>
              <w:tr2bl w:val="nil"/>
            </w:tcBorders>
            <w:noWrap w:val="0"/>
            <w:tcMar>
              <w:top w:w="120" w:type="dxa"/>
              <w:left w:w="120" w:type="dxa"/>
              <w:bottom w:w="120" w:type="dxa"/>
              <w:right w:w="120" w:type="dxa"/>
            </w:tcMar>
            <w:vAlign w:val="center"/>
          </w:tcPr>
          <w:p w14:paraId="17D541AD">
            <w:pPr>
              <w:widowControl/>
              <w:spacing w:line="360" w:lineRule="auto"/>
              <w:jc w:val="center"/>
              <w:rPr>
                <w:rFonts w:hint="default" w:ascii="宋体" w:hAnsi="宋体" w:eastAsia="宋体" w:cs="宋体"/>
                <w:color w:val="auto"/>
                <w:kern w:val="0"/>
                <w:sz w:val="24"/>
                <w:szCs w:val="24"/>
                <w:highlight w:val="none"/>
              </w:rPr>
            </w:pPr>
          </w:p>
        </w:tc>
        <w:tc>
          <w:tcPr>
            <w:tcW w:w="870" w:type="dxa"/>
            <w:tcBorders>
              <w:top w:val="single" w:color="auto" w:sz="4" w:space="0"/>
              <w:left w:val="single" w:color="auto" w:sz="4" w:space="0"/>
              <w:bottom w:val="single" w:color="auto" w:sz="4" w:space="0"/>
              <w:right w:val="single" w:color="auto" w:sz="4" w:space="0"/>
              <w:tl2br w:val="nil"/>
              <w:tr2bl w:val="nil"/>
            </w:tcBorders>
            <w:noWrap w:val="0"/>
            <w:tcMar>
              <w:top w:w="120" w:type="dxa"/>
              <w:left w:w="120" w:type="dxa"/>
              <w:bottom w:w="120" w:type="dxa"/>
              <w:right w:w="120" w:type="dxa"/>
            </w:tcMar>
            <w:vAlign w:val="center"/>
          </w:tcPr>
          <w:p w14:paraId="529C2DBE">
            <w:pPr>
              <w:widowControl/>
              <w:spacing w:line="360" w:lineRule="auto"/>
              <w:jc w:val="center"/>
              <w:rPr>
                <w:rFonts w:hint="default" w:ascii="宋体" w:hAnsi="宋体" w:eastAsia="宋体" w:cs="宋体"/>
                <w:color w:val="auto"/>
                <w:kern w:val="0"/>
                <w:sz w:val="24"/>
                <w:szCs w:val="24"/>
                <w:highlight w:val="none"/>
              </w:rPr>
            </w:pPr>
          </w:p>
        </w:tc>
      </w:tr>
      <w:tr w14:paraId="624D53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l2br w:val="nil"/>
              <w:tr2bl w:val="nil"/>
            </w:tcBorders>
            <w:noWrap w:val="0"/>
            <w:tcMar>
              <w:top w:w="120" w:type="dxa"/>
              <w:left w:w="120" w:type="dxa"/>
              <w:bottom w:w="120" w:type="dxa"/>
              <w:right w:w="120" w:type="dxa"/>
            </w:tcMar>
            <w:vAlign w:val="center"/>
          </w:tcPr>
          <w:p w14:paraId="29F19700">
            <w:pPr>
              <w:widowControl/>
              <w:spacing w:line="360" w:lineRule="auto"/>
              <w:jc w:val="center"/>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w:t>
            </w:r>
          </w:p>
        </w:tc>
        <w:tc>
          <w:tcPr>
            <w:tcW w:w="2655" w:type="dxa"/>
            <w:tcBorders>
              <w:top w:val="single" w:color="auto" w:sz="4" w:space="0"/>
              <w:left w:val="single" w:color="auto" w:sz="4" w:space="0"/>
              <w:bottom w:val="single" w:color="auto" w:sz="4" w:space="0"/>
              <w:right w:val="single" w:color="auto" w:sz="4" w:space="0"/>
              <w:tl2br w:val="nil"/>
              <w:tr2bl w:val="nil"/>
            </w:tcBorders>
            <w:noWrap w:val="0"/>
            <w:tcMar>
              <w:top w:w="120" w:type="dxa"/>
              <w:left w:w="120" w:type="dxa"/>
              <w:bottom w:w="120" w:type="dxa"/>
              <w:right w:w="120" w:type="dxa"/>
            </w:tcMar>
            <w:vAlign w:val="center"/>
          </w:tcPr>
          <w:p w14:paraId="022276F9">
            <w:pPr>
              <w:widowControl/>
              <w:spacing w:line="360" w:lineRule="auto"/>
              <w:jc w:val="center"/>
              <w:rPr>
                <w:rFonts w:hint="default" w:ascii="宋体" w:hAnsi="宋体" w:eastAsia="宋体" w:cs="宋体"/>
                <w:color w:val="auto"/>
                <w:kern w:val="0"/>
                <w:sz w:val="24"/>
                <w:szCs w:val="24"/>
                <w:highlight w:val="none"/>
              </w:rPr>
            </w:pPr>
          </w:p>
        </w:tc>
        <w:tc>
          <w:tcPr>
            <w:tcW w:w="1455" w:type="dxa"/>
            <w:tcBorders>
              <w:top w:val="single" w:color="auto" w:sz="4" w:space="0"/>
              <w:left w:val="single" w:color="auto" w:sz="4" w:space="0"/>
              <w:bottom w:val="single" w:color="auto" w:sz="4" w:space="0"/>
              <w:right w:val="single" w:color="auto" w:sz="4" w:space="0"/>
              <w:tl2br w:val="nil"/>
              <w:tr2bl w:val="nil"/>
            </w:tcBorders>
            <w:noWrap w:val="0"/>
            <w:tcMar>
              <w:top w:w="120" w:type="dxa"/>
              <w:left w:w="120" w:type="dxa"/>
              <w:bottom w:w="120" w:type="dxa"/>
              <w:right w:w="120" w:type="dxa"/>
            </w:tcMar>
            <w:vAlign w:val="center"/>
          </w:tcPr>
          <w:p w14:paraId="710BF951">
            <w:pPr>
              <w:widowControl/>
              <w:spacing w:line="360" w:lineRule="auto"/>
              <w:jc w:val="center"/>
              <w:rPr>
                <w:rFonts w:hint="default" w:ascii="宋体" w:hAnsi="宋体" w:eastAsia="宋体" w:cs="宋体"/>
                <w:color w:val="auto"/>
                <w:kern w:val="0"/>
                <w:sz w:val="24"/>
                <w:szCs w:val="24"/>
                <w:highlight w:val="none"/>
              </w:rPr>
            </w:pPr>
          </w:p>
        </w:tc>
        <w:tc>
          <w:tcPr>
            <w:tcW w:w="4287" w:type="dxa"/>
            <w:tcBorders>
              <w:top w:val="single" w:color="auto" w:sz="4" w:space="0"/>
              <w:left w:val="single" w:color="auto" w:sz="4" w:space="0"/>
              <w:bottom w:val="single" w:color="auto" w:sz="4" w:space="0"/>
              <w:right w:val="single" w:color="auto" w:sz="4" w:space="0"/>
              <w:tl2br w:val="nil"/>
              <w:tr2bl w:val="nil"/>
            </w:tcBorders>
            <w:noWrap w:val="0"/>
            <w:tcMar>
              <w:top w:w="120" w:type="dxa"/>
              <w:left w:w="120" w:type="dxa"/>
              <w:bottom w:w="120" w:type="dxa"/>
              <w:right w:w="120" w:type="dxa"/>
            </w:tcMar>
            <w:vAlign w:val="center"/>
          </w:tcPr>
          <w:p w14:paraId="72761853">
            <w:pPr>
              <w:widowControl/>
              <w:spacing w:line="360" w:lineRule="auto"/>
              <w:jc w:val="center"/>
              <w:rPr>
                <w:rFonts w:hint="default" w:ascii="宋体" w:hAnsi="宋体" w:eastAsia="宋体" w:cs="宋体"/>
                <w:color w:val="auto"/>
                <w:kern w:val="0"/>
                <w:sz w:val="24"/>
                <w:szCs w:val="24"/>
                <w:highlight w:val="none"/>
              </w:rPr>
            </w:pPr>
          </w:p>
        </w:tc>
        <w:tc>
          <w:tcPr>
            <w:tcW w:w="870" w:type="dxa"/>
            <w:tcBorders>
              <w:top w:val="single" w:color="auto" w:sz="4" w:space="0"/>
              <w:left w:val="single" w:color="auto" w:sz="4" w:space="0"/>
              <w:bottom w:val="single" w:color="auto" w:sz="4" w:space="0"/>
              <w:right w:val="single" w:color="auto" w:sz="4" w:space="0"/>
              <w:tl2br w:val="nil"/>
              <w:tr2bl w:val="nil"/>
            </w:tcBorders>
            <w:noWrap w:val="0"/>
            <w:tcMar>
              <w:top w:w="120" w:type="dxa"/>
              <w:left w:w="120" w:type="dxa"/>
              <w:bottom w:w="120" w:type="dxa"/>
              <w:right w:w="120" w:type="dxa"/>
            </w:tcMar>
            <w:vAlign w:val="center"/>
          </w:tcPr>
          <w:p w14:paraId="6DE481F5">
            <w:pPr>
              <w:widowControl/>
              <w:spacing w:line="360" w:lineRule="auto"/>
              <w:jc w:val="center"/>
              <w:rPr>
                <w:rFonts w:hint="default" w:ascii="宋体" w:hAnsi="宋体" w:eastAsia="宋体" w:cs="宋体"/>
                <w:color w:val="auto"/>
                <w:kern w:val="0"/>
                <w:sz w:val="24"/>
                <w:szCs w:val="24"/>
                <w:highlight w:val="none"/>
              </w:rPr>
            </w:pPr>
          </w:p>
        </w:tc>
      </w:tr>
    </w:tbl>
    <w:p w14:paraId="1D1FDAF5">
      <w:pPr>
        <w:spacing w:line="360" w:lineRule="auto"/>
        <w:jc w:val="left"/>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注：</w:t>
      </w:r>
    </w:p>
    <w:p w14:paraId="43954D5F">
      <w:pPr>
        <w:spacing w:line="360" w:lineRule="auto"/>
        <w:ind w:firstLine="480" w:firstLineChars="200"/>
        <w:jc w:val="left"/>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64CB4B6F">
      <w:pPr>
        <w:spacing w:line="360" w:lineRule="auto"/>
        <w:ind w:firstLine="480" w:firstLineChars="200"/>
        <w:jc w:val="left"/>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2.本表所指的控股关系仅限于直接控股关系，不包括间接的控股关系。公司实际控制人与公司之间的关系不属于本表所指的直接控股关系。</w:t>
      </w:r>
    </w:p>
    <w:p w14:paraId="666DBD9B">
      <w:pPr>
        <w:spacing w:line="360" w:lineRule="auto"/>
        <w:ind w:firstLine="480" w:firstLineChars="200"/>
        <w:jc w:val="left"/>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3.供应商不存在直接控股股东的，则填“无”。</w:t>
      </w:r>
    </w:p>
    <w:p w14:paraId="7AF12D3E">
      <w:pPr>
        <w:snapToGrid w:val="0"/>
        <w:spacing w:line="360" w:lineRule="auto"/>
        <w:jc w:val="left"/>
        <w:rPr>
          <w:rFonts w:hint="default" w:ascii="宋体" w:hAnsi="宋体" w:eastAsia="宋体" w:cs="宋体"/>
          <w:color w:val="auto"/>
          <w:sz w:val="24"/>
          <w:szCs w:val="24"/>
          <w:highlight w:val="none"/>
        </w:rPr>
      </w:pPr>
    </w:p>
    <w:p w14:paraId="1834EC4A">
      <w:pPr>
        <w:snapToGrid w:val="0"/>
        <w:spacing w:line="360" w:lineRule="auto"/>
        <w:jc w:val="left"/>
        <w:rPr>
          <w:rFonts w:hint="default" w:ascii="宋体" w:hAnsi="宋体" w:eastAsia="宋体" w:cs="宋体"/>
          <w:color w:val="auto"/>
          <w:sz w:val="24"/>
          <w:szCs w:val="24"/>
          <w:highlight w:val="none"/>
        </w:rPr>
      </w:pPr>
    </w:p>
    <w:p w14:paraId="2ECC41F0">
      <w:pPr>
        <w:snapToGrid w:val="0"/>
        <w:spacing w:line="360" w:lineRule="auto"/>
        <w:jc w:val="left"/>
        <w:rPr>
          <w:rFonts w:hint="default" w:ascii="宋体" w:hAnsi="宋体" w:eastAsia="宋体" w:cs="宋体"/>
          <w:color w:val="auto"/>
          <w:sz w:val="24"/>
          <w:szCs w:val="24"/>
          <w:highlight w:val="none"/>
        </w:rPr>
      </w:pPr>
    </w:p>
    <w:p w14:paraId="4402C7F3">
      <w:pPr>
        <w:autoSpaceDE w:val="0"/>
        <w:autoSpaceDN w:val="0"/>
        <w:spacing w:line="360" w:lineRule="auto"/>
        <w:ind w:left="4365" w:leftChars="1850" w:hanging="480" w:hangingChars="200"/>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供应商名称（电子签章）：</w:t>
      </w:r>
    </w:p>
    <w:p w14:paraId="33C6FE5A">
      <w:pPr>
        <w:autoSpaceDE w:val="0"/>
        <w:autoSpaceDN w:val="0"/>
        <w:spacing w:line="360" w:lineRule="auto"/>
        <w:ind w:firstLine="6120" w:firstLineChars="2550"/>
        <w:rPr>
          <w:rFonts w:hint="default" w:ascii="宋体" w:hAnsi="宋体" w:eastAsia="宋体" w:cs="宋体"/>
          <w:b/>
          <w:color w:val="auto"/>
          <w:sz w:val="24"/>
          <w:szCs w:val="24"/>
          <w:highlight w:val="none"/>
        </w:rPr>
      </w:pPr>
      <w:r>
        <w:rPr>
          <w:rFonts w:hint="default" w:ascii="宋体" w:hAnsi="宋体" w:eastAsia="宋体" w:cs="宋体"/>
          <w:color w:val="auto"/>
          <w:kern w:val="0"/>
          <w:sz w:val="24"/>
          <w:szCs w:val="24"/>
          <w:highlight w:val="none"/>
          <w:lang w:val="zh-CN"/>
        </w:rPr>
        <w:t>日期：  年  月   日</w:t>
      </w:r>
    </w:p>
    <w:p w14:paraId="0ED4CCD0">
      <w:pPr>
        <w:snapToGrid w:val="0"/>
        <w:rPr>
          <w:rFonts w:hint="default" w:ascii="宋体" w:hAnsi="宋体" w:eastAsia="宋体" w:cs="宋体"/>
          <w:b/>
          <w:color w:val="auto"/>
          <w:kern w:val="0"/>
          <w:sz w:val="30"/>
          <w:szCs w:val="30"/>
          <w:highlight w:val="none"/>
        </w:rPr>
      </w:pPr>
    </w:p>
    <w:p w14:paraId="40EA6E72">
      <w:pPr>
        <w:pageBreakBefore/>
        <w:snapToGrid w:val="0"/>
        <w:ind w:firstLine="596" w:firstLineChars="198"/>
        <w:rPr>
          <w:rFonts w:hint="default" w:ascii="宋体" w:hAnsi="宋体" w:eastAsia="宋体" w:cs="宋体"/>
          <w:b/>
          <w:color w:val="auto"/>
          <w:kern w:val="0"/>
          <w:sz w:val="30"/>
          <w:szCs w:val="30"/>
          <w:highlight w:val="none"/>
        </w:rPr>
      </w:pPr>
      <w:r>
        <w:rPr>
          <w:rFonts w:hint="default" w:ascii="宋体" w:hAnsi="宋体" w:eastAsia="宋体" w:cs="宋体"/>
          <w:b/>
          <w:color w:val="auto"/>
          <w:kern w:val="0"/>
          <w:sz w:val="30"/>
          <w:szCs w:val="30"/>
          <w:highlight w:val="none"/>
        </w:rPr>
        <w:t>五、供应商直接管理关系信息表</w:t>
      </w:r>
    </w:p>
    <w:p w14:paraId="2F1B83B6">
      <w:pPr>
        <w:snapToGrid w:val="0"/>
        <w:spacing w:line="360" w:lineRule="auto"/>
        <w:jc w:val="center"/>
        <w:rPr>
          <w:rFonts w:hint="default" w:ascii="宋体" w:hAnsi="宋体" w:eastAsia="宋体" w:cs="宋体"/>
          <w:b/>
          <w:color w:val="auto"/>
          <w:sz w:val="24"/>
          <w:szCs w:val="24"/>
          <w:highlight w:val="none"/>
        </w:rPr>
      </w:pPr>
    </w:p>
    <w:tbl>
      <w:tblPr>
        <w:tblStyle w:val="1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808"/>
        <w:gridCol w:w="3600"/>
        <w:gridCol w:w="3555"/>
        <w:gridCol w:w="1689"/>
      </w:tblGrid>
      <w:tr w14:paraId="052BF4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Header/>
          <w:jc w:val="center"/>
        </w:trPr>
        <w:tc>
          <w:tcPr>
            <w:tcW w:w="808" w:type="dxa"/>
            <w:tcBorders>
              <w:top w:val="single" w:color="auto" w:sz="4" w:space="0"/>
              <w:left w:val="single" w:color="auto" w:sz="4" w:space="0"/>
              <w:bottom w:val="single" w:color="auto" w:sz="4" w:space="0"/>
              <w:right w:val="single" w:color="auto" w:sz="4" w:space="0"/>
              <w:tl2br w:val="nil"/>
              <w:tr2bl w:val="nil"/>
            </w:tcBorders>
            <w:noWrap w:val="0"/>
            <w:tcMar>
              <w:top w:w="120" w:type="dxa"/>
              <w:left w:w="120" w:type="dxa"/>
              <w:bottom w:w="120" w:type="dxa"/>
              <w:right w:w="120" w:type="dxa"/>
            </w:tcMar>
            <w:vAlign w:val="center"/>
          </w:tcPr>
          <w:p w14:paraId="0FC8197C">
            <w:pPr>
              <w:widowControl/>
              <w:spacing w:line="360" w:lineRule="auto"/>
              <w:jc w:val="center"/>
              <w:rPr>
                <w:rFonts w:hint="default" w:ascii="宋体" w:hAnsi="宋体" w:eastAsia="宋体" w:cs="宋体"/>
                <w:b/>
                <w:color w:val="auto"/>
                <w:kern w:val="0"/>
                <w:sz w:val="24"/>
                <w:szCs w:val="24"/>
                <w:highlight w:val="none"/>
              </w:rPr>
            </w:pPr>
            <w:r>
              <w:rPr>
                <w:rFonts w:hint="default" w:ascii="宋体" w:hAnsi="宋体" w:eastAsia="宋体" w:cs="宋体"/>
                <w:b/>
                <w:color w:val="auto"/>
                <w:kern w:val="0"/>
                <w:sz w:val="24"/>
                <w:szCs w:val="24"/>
                <w:highlight w:val="none"/>
              </w:rPr>
              <w:t>序号</w:t>
            </w:r>
          </w:p>
        </w:tc>
        <w:tc>
          <w:tcPr>
            <w:tcW w:w="3600" w:type="dxa"/>
            <w:tcBorders>
              <w:top w:val="single" w:color="auto" w:sz="4" w:space="0"/>
              <w:left w:val="single" w:color="auto" w:sz="4" w:space="0"/>
              <w:bottom w:val="single" w:color="auto" w:sz="4" w:space="0"/>
              <w:right w:val="single" w:color="auto" w:sz="4" w:space="0"/>
              <w:tl2br w:val="nil"/>
              <w:tr2bl w:val="nil"/>
            </w:tcBorders>
            <w:noWrap w:val="0"/>
            <w:tcMar>
              <w:top w:w="120" w:type="dxa"/>
              <w:left w:w="120" w:type="dxa"/>
              <w:bottom w:w="120" w:type="dxa"/>
              <w:right w:w="120" w:type="dxa"/>
            </w:tcMar>
            <w:vAlign w:val="center"/>
          </w:tcPr>
          <w:p w14:paraId="5FAC9466">
            <w:pPr>
              <w:widowControl/>
              <w:spacing w:line="360" w:lineRule="auto"/>
              <w:jc w:val="center"/>
              <w:rPr>
                <w:rFonts w:hint="default" w:ascii="宋体" w:hAnsi="宋体" w:eastAsia="宋体" w:cs="宋体"/>
                <w:b/>
                <w:color w:val="auto"/>
                <w:kern w:val="0"/>
                <w:sz w:val="24"/>
                <w:szCs w:val="24"/>
                <w:highlight w:val="none"/>
              </w:rPr>
            </w:pPr>
            <w:r>
              <w:rPr>
                <w:rFonts w:hint="default" w:ascii="宋体" w:hAnsi="宋体" w:eastAsia="宋体" w:cs="宋体"/>
                <w:b/>
                <w:color w:val="auto"/>
                <w:kern w:val="0"/>
                <w:sz w:val="24"/>
                <w:szCs w:val="24"/>
                <w:highlight w:val="none"/>
              </w:rPr>
              <w:t>直接管理关系单位名称</w:t>
            </w:r>
          </w:p>
        </w:tc>
        <w:tc>
          <w:tcPr>
            <w:tcW w:w="3555" w:type="dxa"/>
            <w:tcBorders>
              <w:top w:val="single" w:color="auto" w:sz="4" w:space="0"/>
              <w:left w:val="single" w:color="auto" w:sz="4" w:space="0"/>
              <w:bottom w:val="single" w:color="auto" w:sz="4" w:space="0"/>
              <w:right w:val="single" w:color="auto" w:sz="4" w:space="0"/>
              <w:tl2br w:val="nil"/>
              <w:tr2bl w:val="nil"/>
            </w:tcBorders>
            <w:noWrap w:val="0"/>
            <w:tcMar>
              <w:top w:w="120" w:type="dxa"/>
              <w:left w:w="120" w:type="dxa"/>
              <w:bottom w:w="120" w:type="dxa"/>
              <w:right w:w="120" w:type="dxa"/>
            </w:tcMar>
            <w:vAlign w:val="center"/>
          </w:tcPr>
          <w:p w14:paraId="44F8C93C">
            <w:pPr>
              <w:widowControl/>
              <w:spacing w:line="360" w:lineRule="auto"/>
              <w:jc w:val="center"/>
              <w:rPr>
                <w:rFonts w:hint="default" w:ascii="宋体" w:hAnsi="宋体" w:eastAsia="宋体" w:cs="宋体"/>
                <w:b/>
                <w:color w:val="auto"/>
                <w:kern w:val="0"/>
                <w:sz w:val="24"/>
                <w:szCs w:val="24"/>
                <w:highlight w:val="none"/>
              </w:rPr>
            </w:pPr>
            <w:r>
              <w:rPr>
                <w:rFonts w:hint="default" w:ascii="宋体" w:hAnsi="宋体" w:eastAsia="宋体" w:cs="宋体"/>
                <w:b/>
                <w:color w:val="auto"/>
                <w:kern w:val="0"/>
                <w:sz w:val="24"/>
                <w:szCs w:val="24"/>
                <w:highlight w:val="none"/>
              </w:rPr>
              <w:t>统一社会信用代码</w:t>
            </w:r>
          </w:p>
        </w:tc>
        <w:tc>
          <w:tcPr>
            <w:tcW w:w="1689" w:type="dxa"/>
            <w:tcBorders>
              <w:top w:val="single" w:color="auto" w:sz="4" w:space="0"/>
              <w:left w:val="single" w:color="auto" w:sz="4" w:space="0"/>
              <w:bottom w:val="single" w:color="auto" w:sz="4" w:space="0"/>
              <w:right w:val="single" w:color="auto" w:sz="4" w:space="0"/>
              <w:tl2br w:val="nil"/>
              <w:tr2bl w:val="nil"/>
            </w:tcBorders>
            <w:noWrap w:val="0"/>
            <w:tcMar>
              <w:top w:w="120" w:type="dxa"/>
              <w:left w:w="120" w:type="dxa"/>
              <w:bottom w:w="120" w:type="dxa"/>
              <w:right w:w="120" w:type="dxa"/>
            </w:tcMar>
            <w:vAlign w:val="center"/>
          </w:tcPr>
          <w:p w14:paraId="2E4F2E70">
            <w:pPr>
              <w:widowControl/>
              <w:spacing w:line="360" w:lineRule="auto"/>
              <w:jc w:val="center"/>
              <w:rPr>
                <w:rFonts w:hint="default" w:ascii="宋体" w:hAnsi="宋体" w:eastAsia="宋体" w:cs="宋体"/>
                <w:b/>
                <w:color w:val="auto"/>
                <w:kern w:val="0"/>
                <w:sz w:val="24"/>
                <w:szCs w:val="24"/>
                <w:highlight w:val="none"/>
              </w:rPr>
            </w:pPr>
            <w:r>
              <w:rPr>
                <w:rFonts w:hint="default" w:ascii="宋体" w:hAnsi="宋体" w:eastAsia="宋体" w:cs="宋体"/>
                <w:b/>
                <w:color w:val="auto"/>
                <w:kern w:val="0"/>
                <w:sz w:val="24"/>
                <w:szCs w:val="24"/>
                <w:highlight w:val="none"/>
              </w:rPr>
              <w:t>备注</w:t>
            </w:r>
          </w:p>
        </w:tc>
      </w:tr>
      <w:tr w14:paraId="1F814D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l2br w:val="nil"/>
              <w:tr2bl w:val="nil"/>
            </w:tcBorders>
            <w:noWrap w:val="0"/>
            <w:tcMar>
              <w:top w:w="120" w:type="dxa"/>
              <w:left w:w="120" w:type="dxa"/>
              <w:bottom w:w="120" w:type="dxa"/>
              <w:right w:w="120" w:type="dxa"/>
            </w:tcMar>
            <w:vAlign w:val="center"/>
          </w:tcPr>
          <w:p w14:paraId="31A0CB21">
            <w:pPr>
              <w:widowControl/>
              <w:spacing w:line="360" w:lineRule="auto"/>
              <w:jc w:val="center"/>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1</w:t>
            </w:r>
          </w:p>
        </w:tc>
        <w:tc>
          <w:tcPr>
            <w:tcW w:w="3600" w:type="dxa"/>
            <w:tcBorders>
              <w:top w:val="single" w:color="auto" w:sz="4" w:space="0"/>
              <w:left w:val="single" w:color="auto" w:sz="4" w:space="0"/>
              <w:bottom w:val="single" w:color="auto" w:sz="4" w:space="0"/>
              <w:right w:val="single" w:color="auto" w:sz="4" w:space="0"/>
              <w:tl2br w:val="nil"/>
              <w:tr2bl w:val="nil"/>
            </w:tcBorders>
            <w:noWrap w:val="0"/>
            <w:tcMar>
              <w:top w:w="120" w:type="dxa"/>
              <w:left w:w="120" w:type="dxa"/>
              <w:bottom w:w="120" w:type="dxa"/>
              <w:right w:w="120" w:type="dxa"/>
            </w:tcMar>
            <w:vAlign w:val="center"/>
          </w:tcPr>
          <w:p w14:paraId="2E2EE8C9">
            <w:pPr>
              <w:widowControl/>
              <w:spacing w:line="360" w:lineRule="auto"/>
              <w:jc w:val="center"/>
              <w:rPr>
                <w:rFonts w:hint="default" w:ascii="宋体" w:hAnsi="宋体" w:eastAsia="宋体" w:cs="宋体"/>
                <w:color w:val="auto"/>
                <w:kern w:val="0"/>
                <w:sz w:val="24"/>
                <w:szCs w:val="24"/>
                <w:highlight w:val="none"/>
              </w:rPr>
            </w:pPr>
          </w:p>
        </w:tc>
        <w:tc>
          <w:tcPr>
            <w:tcW w:w="3555" w:type="dxa"/>
            <w:tcBorders>
              <w:top w:val="single" w:color="auto" w:sz="4" w:space="0"/>
              <w:left w:val="single" w:color="auto" w:sz="4" w:space="0"/>
              <w:bottom w:val="single" w:color="auto" w:sz="4" w:space="0"/>
              <w:right w:val="single" w:color="auto" w:sz="4" w:space="0"/>
              <w:tl2br w:val="nil"/>
              <w:tr2bl w:val="nil"/>
            </w:tcBorders>
            <w:noWrap w:val="0"/>
            <w:tcMar>
              <w:top w:w="120" w:type="dxa"/>
              <w:left w:w="120" w:type="dxa"/>
              <w:bottom w:w="120" w:type="dxa"/>
              <w:right w:w="120" w:type="dxa"/>
            </w:tcMar>
            <w:vAlign w:val="center"/>
          </w:tcPr>
          <w:p w14:paraId="76BC621C">
            <w:pPr>
              <w:widowControl/>
              <w:spacing w:line="360" w:lineRule="auto"/>
              <w:jc w:val="center"/>
              <w:rPr>
                <w:rFonts w:hint="default" w:ascii="宋体" w:hAnsi="宋体" w:eastAsia="宋体" w:cs="宋体"/>
                <w:color w:val="auto"/>
                <w:kern w:val="0"/>
                <w:sz w:val="24"/>
                <w:szCs w:val="24"/>
                <w:highlight w:val="none"/>
              </w:rPr>
            </w:pPr>
          </w:p>
        </w:tc>
        <w:tc>
          <w:tcPr>
            <w:tcW w:w="1689" w:type="dxa"/>
            <w:tcBorders>
              <w:top w:val="single" w:color="auto" w:sz="4" w:space="0"/>
              <w:left w:val="single" w:color="auto" w:sz="4" w:space="0"/>
              <w:bottom w:val="single" w:color="auto" w:sz="4" w:space="0"/>
              <w:right w:val="single" w:color="auto" w:sz="4" w:space="0"/>
              <w:tl2br w:val="nil"/>
              <w:tr2bl w:val="nil"/>
            </w:tcBorders>
            <w:noWrap w:val="0"/>
            <w:tcMar>
              <w:top w:w="120" w:type="dxa"/>
              <w:left w:w="120" w:type="dxa"/>
              <w:bottom w:w="120" w:type="dxa"/>
              <w:right w:w="120" w:type="dxa"/>
            </w:tcMar>
            <w:vAlign w:val="center"/>
          </w:tcPr>
          <w:p w14:paraId="48E374FD">
            <w:pPr>
              <w:widowControl/>
              <w:spacing w:line="360" w:lineRule="auto"/>
              <w:jc w:val="center"/>
              <w:rPr>
                <w:rFonts w:hint="default" w:ascii="宋体" w:hAnsi="宋体" w:eastAsia="宋体" w:cs="宋体"/>
                <w:color w:val="auto"/>
                <w:kern w:val="0"/>
                <w:sz w:val="24"/>
                <w:szCs w:val="24"/>
                <w:highlight w:val="none"/>
              </w:rPr>
            </w:pPr>
          </w:p>
        </w:tc>
      </w:tr>
      <w:tr w14:paraId="5B429E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l2br w:val="nil"/>
              <w:tr2bl w:val="nil"/>
            </w:tcBorders>
            <w:noWrap w:val="0"/>
            <w:tcMar>
              <w:top w:w="120" w:type="dxa"/>
              <w:left w:w="120" w:type="dxa"/>
              <w:bottom w:w="120" w:type="dxa"/>
              <w:right w:w="120" w:type="dxa"/>
            </w:tcMar>
            <w:vAlign w:val="center"/>
          </w:tcPr>
          <w:p w14:paraId="73EE5512">
            <w:pPr>
              <w:widowControl/>
              <w:spacing w:line="360" w:lineRule="auto"/>
              <w:jc w:val="center"/>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2</w:t>
            </w:r>
          </w:p>
        </w:tc>
        <w:tc>
          <w:tcPr>
            <w:tcW w:w="3600" w:type="dxa"/>
            <w:tcBorders>
              <w:top w:val="single" w:color="auto" w:sz="4" w:space="0"/>
              <w:left w:val="single" w:color="auto" w:sz="4" w:space="0"/>
              <w:bottom w:val="single" w:color="auto" w:sz="4" w:space="0"/>
              <w:right w:val="single" w:color="auto" w:sz="4" w:space="0"/>
              <w:tl2br w:val="nil"/>
              <w:tr2bl w:val="nil"/>
            </w:tcBorders>
            <w:noWrap w:val="0"/>
            <w:tcMar>
              <w:top w:w="120" w:type="dxa"/>
              <w:left w:w="120" w:type="dxa"/>
              <w:bottom w:w="120" w:type="dxa"/>
              <w:right w:w="120" w:type="dxa"/>
            </w:tcMar>
            <w:vAlign w:val="center"/>
          </w:tcPr>
          <w:p w14:paraId="3B3FE023">
            <w:pPr>
              <w:widowControl/>
              <w:spacing w:line="360" w:lineRule="auto"/>
              <w:jc w:val="center"/>
              <w:rPr>
                <w:rFonts w:hint="default" w:ascii="宋体" w:hAnsi="宋体" w:eastAsia="宋体" w:cs="宋体"/>
                <w:color w:val="auto"/>
                <w:kern w:val="0"/>
                <w:sz w:val="24"/>
                <w:szCs w:val="24"/>
                <w:highlight w:val="none"/>
              </w:rPr>
            </w:pPr>
          </w:p>
        </w:tc>
        <w:tc>
          <w:tcPr>
            <w:tcW w:w="3555" w:type="dxa"/>
            <w:tcBorders>
              <w:top w:val="single" w:color="auto" w:sz="4" w:space="0"/>
              <w:left w:val="single" w:color="auto" w:sz="4" w:space="0"/>
              <w:bottom w:val="single" w:color="auto" w:sz="4" w:space="0"/>
              <w:right w:val="single" w:color="auto" w:sz="4" w:space="0"/>
              <w:tl2br w:val="nil"/>
              <w:tr2bl w:val="nil"/>
            </w:tcBorders>
            <w:noWrap w:val="0"/>
            <w:tcMar>
              <w:top w:w="120" w:type="dxa"/>
              <w:left w:w="120" w:type="dxa"/>
              <w:bottom w:w="120" w:type="dxa"/>
              <w:right w:w="120" w:type="dxa"/>
            </w:tcMar>
            <w:vAlign w:val="center"/>
          </w:tcPr>
          <w:p w14:paraId="49906FEA">
            <w:pPr>
              <w:widowControl/>
              <w:spacing w:line="360" w:lineRule="auto"/>
              <w:jc w:val="center"/>
              <w:rPr>
                <w:rFonts w:hint="default" w:ascii="宋体" w:hAnsi="宋体" w:eastAsia="宋体" w:cs="宋体"/>
                <w:color w:val="auto"/>
                <w:kern w:val="0"/>
                <w:sz w:val="24"/>
                <w:szCs w:val="24"/>
                <w:highlight w:val="none"/>
              </w:rPr>
            </w:pPr>
          </w:p>
        </w:tc>
        <w:tc>
          <w:tcPr>
            <w:tcW w:w="1689" w:type="dxa"/>
            <w:tcBorders>
              <w:top w:val="single" w:color="auto" w:sz="4" w:space="0"/>
              <w:left w:val="single" w:color="auto" w:sz="4" w:space="0"/>
              <w:bottom w:val="single" w:color="auto" w:sz="4" w:space="0"/>
              <w:right w:val="single" w:color="auto" w:sz="4" w:space="0"/>
              <w:tl2br w:val="nil"/>
              <w:tr2bl w:val="nil"/>
            </w:tcBorders>
            <w:noWrap w:val="0"/>
            <w:tcMar>
              <w:top w:w="120" w:type="dxa"/>
              <w:left w:w="120" w:type="dxa"/>
              <w:bottom w:w="120" w:type="dxa"/>
              <w:right w:w="120" w:type="dxa"/>
            </w:tcMar>
            <w:vAlign w:val="center"/>
          </w:tcPr>
          <w:p w14:paraId="168D6763">
            <w:pPr>
              <w:widowControl/>
              <w:spacing w:line="360" w:lineRule="auto"/>
              <w:jc w:val="center"/>
              <w:rPr>
                <w:rFonts w:hint="default" w:ascii="宋体" w:hAnsi="宋体" w:eastAsia="宋体" w:cs="宋体"/>
                <w:color w:val="auto"/>
                <w:kern w:val="0"/>
                <w:sz w:val="24"/>
                <w:szCs w:val="24"/>
                <w:highlight w:val="none"/>
              </w:rPr>
            </w:pPr>
          </w:p>
        </w:tc>
      </w:tr>
      <w:tr w14:paraId="60AE75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l2br w:val="nil"/>
              <w:tr2bl w:val="nil"/>
            </w:tcBorders>
            <w:noWrap w:val="0"/>
            <w:tcMar>
              <w:top w:w="120" w:type="dxa"/>
              <w:left w:w="120" w:type="dxa"/>
              <w:bottom w:w="120" w:type="dxa"/>
              <w:right w:w="120" w:type="dxa"/>
            </w:tcMar>
            <w:vAlign w:val="center"/>
          </w:tcPr>
          <w:p w14:paraId="6E251051">
            <w:pPr>
              <w:widowControl/>
              <w:spacing w:line="360" w:lineRule="auto"/>
              <w:jc w:val="center"/>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3</w:t>
            </w:r>
          </w:p>
        </w:tc>
        <w:tc>
          <w:tcPr>
            <w:tcW w:w="3600" w:type="dxa"/>
            <w:tcBorders>
              <w:top w:val="single" w:color="auto" w:sz="4" w:space="0"/>
              <w:left w:val="single" w:color="auto" w:sz="4" w:space="0"/>
              <w:bottom w:val="single" w:color="auto" w:sz="4" w:space="0"/>
              <w:right w:val="single" w:color="auto" w:sz="4" w:space="0"/>
              <w:tl2br w:val="nil"/>
              <w:tr2bl w:val="nil"/>
            </w:tcBorders>
            <w:noWrap w:val="0"/>
            <w:tcMar>
              <w:top w:w="120" w:type="dxa"/>
              <w:left w:w="120" w:type="dxa"/>
              <w:bottom w:w="120" w:type="dxa"/>
              <w:right w:w="120" w:type="dxa"/>
            </w:tcMar>
            <w:vAlign w:val="center"/>
          </w:tcPr>
          <w:p w14:paraId="1A6274D7">
            <w:pPr>
              <w:widowControl/>
              <w:spacing w:line="360" w:lineRule="auto"/>
              <w:jc w:val="center"/>
              <w:rPr>
                <w:rFonts w:hint="default" w:ascii="宋体" w:hAnsi="宋体" w:eastAsia="宋体" w:cs="宋体"/>
                <w:color w:val="auto"/>
                <w:kern w:val="0"/>
                <w:sz w:val="24"/>
                <w:szCs w:val="24"/>
                <w:highlight w:val="none"/>
              </w:rPr>
            </w:pPr>
          </w:p>
        </w:tc>
        <w:tc>
          <w:tcPr>
            <w:tcW w:w="3555" w:type="dxa"/>
            <w:tcBorders>
              <w:top w:val="single" w:color="auto" w:sz="4" w:space="0"/>
              <w:left w:val="single" w:color="auto" w:sz="4" w:space="0"/>
              <w:bottom w:val="single" w:color="auto" w:sz="4" w:space="0"/>
              <w:right w:val="single" w:color="auto" w:sz="4" w:space="0"/>
              <w:tl2br w:val="nil"/>
              <w:tr2bl w:val="nil"/>
            </w:tcBorders>
            <w:noWrap w:val="0"/>
            <w:tcMar>
              <w:top w:w="120" w:type="dxa"/>
              <w:left w:w="120" w:type="dxa"/>
              <w:bottom w:w="120" w:type="dxa"/>
              <w:right w:w="120" w:type="dxa"/>
            </w:tcMar>
            <w:vAlign w:val="center"/>
          </w:tcPr>
          <w:p w14:paraId="00AB834F">
            <w:pPr>
              <w:widowControl/>
              <w:spacing w:line="360" w:lineRule="auto"/>
              <w:jc w:val="center"/>
              <w:rPr>
                <w:rFonts w:hint="default" w:ascii="宋体" w:hAnsi="宋体" w:eastAsia="宋体" w:cs="宋体"/>
                <w:color w:val="auto"/>
                <w:kern w:val="0"/>
                <w:sz w:val="24"/>
                <w:szCs w:val="24"/>
                <w:highlight w:val="none"/>
              </w:rPr>
            </w:pPr>
          </w:p>
        </w:tc>
        <w:tc>
          <w:tcPr>
            <w:tcW w:w="1689" w:type="dxa"/>
            <w:tcBorders>
              <w:top w:val="single" w:color="auto" w:sz="4" w:space="0"/>
              <w:left w:val="single" w:color="auto" w:sz="4" w:space="0"/>
              <w:bottom w:val="single" w:color="auto" w:sz="4" w:space="0"/>
              <w:right w:val="single" w:color="auto" w:sz="4" w:space="0"/>
              <w:tl2br w:val="nil"/>
              <w:tr2bl w:val="nil"/>
            </w:tcBorders>
            <w:noWrap w:val="0"/>
            <w:tcMar>
              <w:top w:w="120" w:type="dxa"/>
              <w:left w:w="120" w:type="dxa"/>
              <w:bottom w:w="120" w:type="dxa"/>
              <w:right w:w="120" w:type="dxa"/>
            </w:tcMar>
            <w:vAlign w:val="center"/>
          </w:tcPr>
          <w:p w14:paraId="674F8AE1">
            <w:pPr>
              <w:widowControl/>
              <w:spacing w:line="360" w:lineRule="auto"/>
              <w:jc w:val="center"/>
              <w:rPr>
                <w:rFonts w:hint="default" w:ascii="宋体" w:hAnsi="宋体" w:eastAsia="宋体" w:cs="宋体"/>
                <w:color w:val="auto"/>
                <w:kern w:val="0"/>
                <w:sz w:val="24"/>
                <w:szCs w:val="24"/>
                <w:highlight w:val="none"/>
              </w:rPr>
            </w:pPr>
          </w:p>
        </w:tc>
      </w:tr>
      <w:tr w14:paraId="5CD0C4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l2br w:val="nil"/>
              <w:tr2bl w:val="nil"/>
            </w:tcBorders>
            <w:noWrap w:val="0"/>
            <w:tcMar>
              <w:top w:w="120" w:type="dxa"/>
              <w:left w:w="120" w:type="dxa"/>
              <w:bottom w:w="120" w:type="dxa"/>
              <w:right w:w="120" w:type="dxa"/>
            </w:tcMar>
            <w:vAlign w:val="center"/>
          </w:tcPr>
          <w:p w14:paraId="26C9DB1F">
            <w:pPr>
              <w:widowControl/>
              <w:spacing w:line="360" w:lineRule="auto"/>
              <w:jc w:val="center"/>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w:t>
            </w:r>
          </w:p>
        </w:tc>
        <w:tc>
          <w:tcPr>
            <w:tcW w:w="3600" w:type="dxa"/>
            <w:tcBorders>
              <w:top w:val="single" w:color="auto" w:sz="4" w:space="0"/>
              <w:left w:val="single" w:color="auto" w:sz="4" w:space="0"/>
              <w:bottom w:val="single" w:color="auto" w:sz="4" w:space="0"/>
              <w:right w:val="single" w:color="auto" w:sz="4" w:space="0"/>
              <w:tl2br w:val="nil"/>
              <w:tr2bl w:val="nil"/>
            </w:tcBorders>
            <w:noWrap w:val="0"/>
            <w:tcMar>
              <w:top w:w="120" w:type="dxa"/>
              <w:left w:w="120" w:type="dxa"/>
              <w:bottom w:w="120" w:type="dxa"/>
              <w:right w:w="120" w:type="dxa"/>
            </w:tcMar>
            <w:vAlign w:val="center"/>
          </w:tcPr>
          <w:p w14:paraId="30BFEBD1">
            <w:pPr>
              <w:widowControl/>
              <w:spacing w:line="360" w:lineRule="auto"/>
              <w:jc w:val="center"/>
              <w:rPr>
                <w:rFonts w:hint="default" w:ascii="宋体" w:hAnsi="宋体" w:eastAsia="宋体" w:cs="宋体"/>
                <w:color w:val="auto"/>
                <w:kern w:val="0"/>
                <w:sz w:val="24"/>
                <w:szCs w:val="24"/>
                <w:highlight w:val="none"/>
              </w:rPr>
            </w:pPr>
          </w:p>
        </w:tc>
        <w:tc>
          <w:tcPr>
            <w:tcW w:w="3555" w:type="dxa"/>
            <w:tcBorders>
              <w:top w:val="single" w:color="auto" w:sz="4" w:space="0"/>
              <w:left w:val="single" w:color="auto" w:sz="4" w:space="0"/>
              <w:bottom w:val="single" w:color="auto" w:sz="4" w:space="0"/>
              <w:right w:val="single" w:color="auto" w:sz="4" w:space="0"/>
              <w:tl2br w:val="nil"/>
              <w:tr2bl w:val="nil"/>
            </w:tcBorders>
            <w:noWrap w:val="0"/>
            <w:tcMar>
              <w:top w:w="120" w:type="dxa"/>
              <w:left w:w="120" w:type="dxa"/>
              <w:bottom w:w="120" w:type="dxa"/>
              <w:right w:w="120" w:type="dxa"/>
            </w:tcMar>
            <w:vAlign w:val="center"/>
          </w:tcPr>
          <w:p w14:paraId="7EEA8318">
            <w:pPr>
              <w:widowControl/>
              <w:spacing w:line="360" w:lineRule="auto"/>
              <w:jc w:val="center"/>
              <w:rPr>
                <w:rFonts w:hint="default" w:ascii="宋体" w:hAnsi="宋体" w:eastAsia="宋体" w:cs="宋体"/>
                <w:color w:val="auto"/>
                <w:kern w:val="0"/>
                <w:sz w:val="24"/>
                <w:szCs w:val="24"/>
                <w:highlight w:val="none"/>
              </w:rPr>
            </w:pPr>
          </w:p>
        </w:tc>
        <w:tc>
          <w:tcPr>
            <w:tcW w:w="1689" w:type="dxa"/>
            <w:tcBorders>
              <w:top w:val="single" w:color="auto" w:sz="4" w:space="0"/>
              <w:left w:val="single" w:color="auto" w:sz="4" w:space="0"/>
              <w:bottom w:val="single" w:color="auto" w:sz="4" w:space="0"/>
              <w:right w:val="single" w:color="auto" w:sz="4" w:space="0"/>
              <w:tl2br w:val="nil"/>
              <w:tr2bl w:val="nil"/>
            </w:tcBorders>
            <w:noWrap w:val="0"/>
            <w:tcMar>
              <w:top w:w="120" w:type="dxa"/>
              <w:left w:w="120" w:type="dxa"/>
              <w:bottom w:w="120" w:type="dxa"/>
              <w:right w:w="120" w:type="dxa"/>
            </w:tcMar>
            <w:vAlign w:val="center"/>
          </w:tcPr>
          <w:p w14:paraId="4D42F2D5">
            <w:pPr>
              <w:widowControl/>
              <w:spacing w:line="360" w:lineRule="auto"/>
              <w:jc w:val="center"/>
              <w:rPr>
                <w:rFonts w:hint="default" w:ascii="宋体" w:hAnsi="宋体" w:eastAsia="宋体" w:cs="宋体"/>
                <w:color w:val="auto"/>
                <w:kern w:val="0"/>
                <w:sz w:val="24"/>
                <w:szCs w:val="24"/>
                <w:highlight w:val="none"/>
              </w:rPr>
            </w:pPr>
          </w:p>
        </w:tc>
      </w:tr>
    </w:tbl>
    <w:p w14:paraId="098F46B4">
      <w:pPr>
        <w:spacing w:line="360" w:lineRule="auto"/>
        <w:ind w:firstLine="480" w:firstLineChars="200"/>
        <w:jc w:val="left"/>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注：</w:t>
      </w:r>
    </w:p>
    <w:p w14:paraId="54BED15F">
      <w:pPr>
        <w:spacing w:line="360" w:lineRule="auto"/>
        <w:ind w:firstLine="480" w:firstLineChars="200"/>
        <w:jc w:val="left"/>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1.管理关系：是指不具有出资持股关系的其他单位之间存在的管理与被管理关系，如一些上下级关系的事业单位和团体组织。</w:t>
      </w:r>
    </w:p>
    <w:p w14:paraId="0DCA79C6">
      <w:pPr>
        <w:spacing w:line="360" w:lineRule="auto"/>
        <w:ind w:firstLine="480" w:firstLineChars="200"/>
        <w:jc w:val="left"/>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2.本表所指的管理关系仅限于直接管理关系，不包括间接的管理关系。</w:t>
      </w:r>
    </w:p>
    <w:p w14:paraId="6A4762D2">
      <w:pPr>
        <w:spacing w:line="360" w:lineRule="auto"/>
        <w:ind w:firstLine="480" w:firstLineChars="200"/>
        <w:jc w:val="left"/>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3.供应商不存在直接管理关系的，则填“无”。</w:t>
      </w:r>
    </w:p>
    <w:p w14:paraId="490A170E">
      <w:pPr>
        <w:spacing w:line="360" w:lineRule="auto"/>
        <w:jc w:val="left"/>
        <w:rPr>
          <w:rFonts w:hint="default" w:ascii="宋体" w:hAnsi="宋体" w:eastAsia="宋体" w:cs="宋体"/>
          <w:color w:val="auto"/>
          <w:sz w:val="24"/>
          <w:szCs w:val="24"/>
          <w:highlight w:val="none"/>
        </w:rPr>
      </w:pPr>
    </w:p>
    <w:p w14:paraId="409395A6">
      <w:pPr>
        <w:autoSpaceDE w:val="0"/>
        <w:autoSpaceDN w:val="0"/>
        <w:spacing w:line="360" w:lineRule="auto"/>
        <w:ind w:left="4365" w:leftChars="1850" w:hanging="480" w:hangingChars="200"/>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供应商名称（电子签章）：</w:t>
      </w:r>
    </w:p>
    <w:p w14:paraId="298CDD1B">
      <w:pPr>
        <w:autoSpaceDE w:val="0"/>
        <w:autoSpaceDN w:val="0"/>
        <w:spacing w:line="360" w:lineRule="auto"/>
        <w:ind w:firstLine="6120" w:firstLineChars="2550"/>
        <w:rPr>
          <w:rFonts w:hint="default" w:ascii="宋体" w:hAnsi="宋体" w:eastAsia="宋体" w:cs="宋体"/>
          <w:b/>
          <w:color w:val="auto"/>
          <w:sz w:val="24"/>
          <w:szCs w:val="24"/>
          <w:highlight w:val="none"/>
        </w:rPr>
      </w:pPr>
      <w:r>
        <w:rPr>
          <w:rFonts w:hint="default" w:ascii="宋体" w:hAnsi="宋体" w:eastAsia="宋体" w:cs="宋体"/>
          <w:color w:val="auto"/>
          <w:kern w:val="0"/>
          <w:sz w:val="24"/>
          <w:szCs w:val="24"/>
          <w:highlight w:val="none"/>
          <w:lang w:val="zh-CN"/>
        </w:rPr>
        <w:t>日期：  年  月   日</w:t>
      </w:r>
    </w:p>
    <w:p w14:paraId="494B4DD2">
      <w:pPr>
        <w:spacing w:line="360" w:lineRule="auto"/>
        <w:ind w:right="480" w:firstLine="240" w:firstLineChars="100"/>
        <w:jc w:val="center"/>
        <w:rPr>
          <w:rFonts w:hint="default" w:ascii="宋体" w:hAnsi="宋体" w:eastAsia="宋体" w:cs="宋体"/>
          <w:color w:val="auto"/>
          <w:sz w:val="28"/>
          <w:szCs w:val="28"/>
          <w:highlight w:val="none"/>
        </w:rPr>
      </w:pPr>
      <w:r>
        <w:rPr>
          <w:rFonts w:hint="default" w:ascii="宋体" w:hAnsi="宋体" w:eastAsia="宋体" w:cs="宋体"/>
          <w:color w:val="auto"/>
          <w:sz w:val="24"/>
          <w:szCs w:val="24"/>
          <w:highlight w:val="none"/>
        </w:rPr>
        <w:t xml:space="preserve">                                  </w:t>
      </w:r>
    </w:p>
    <w:p w14:paraId="3F20C247">
      <w:pPr>
        <w:spacing w:line="320" w:lineRule="exact"/>
        <w:ind w:firstLine="560" w:firstLineChars="200"/>
        <w:jc w:val="left"/>
        <w:rPr>
          <w:rFonts w:hint="default" w:ascii="宋体" w:hAnsi="宋体" w:eastAsia="宋体" w:cs="宋体"/>
          <w:color w:val="auto"/>
          <w:sz w:val="28"/>
          <w:szCs w:val="28"/>
          <w:highlight w:val="none"/>
        </w:rPr>
      </w:pPr>
      <w:r>
        <w:rPr>
          <w:rFonts w:hint="default" w:ascii="宋体" w:hAnsi="宋体" w:eastAsia="宋体" w:cs="宋体"/>
          <w:color w:val="auto"/>
          <w:sz w:val="28"/>
          <w:szCs w:val="28"/>
          <w:highlight w:val="none"/>
        </w:rPr>
        <w:br w:type="page"/>
      </w:r>
      <w:r>
        <w:rPr>
          <w:rFonts w:hint="default" w:ascii="宋体" w:hAnsi="宋体" w:eastAsia="宋体" w:cs="宋体"/>
          <w:b/>
          <w:color w:val="auto"/>
          <w:kern w:val="0"/>
          <w:sz w:val="30"/>
          <w:szCs w:val="30"/>
          <w:highlight w:val="none"/>
        </w:rPr>
        <w:t>六、资格声明函</w:t>
      </w:r>
    </w:p>
    <w:p w14:paraId="0FD4C682">
      <w:pPr>
        <w:spacing w:line="320" w:lineRule="exact"/>
        <w:jc w:val="center"/>
        <w:rPr>
          <w:rFonts w:hint="default" w:ascii="宋体" w:hAnsi="宋体" w:eastAsia="宋体" w:cs="宋体"/>
          <w:b/>
          <w:color w:val="auto"/>
          <w:sz w:val="32"/>
          <w:szCs w:val="32"/>
          <w:highlight w:val="none"/>
        </w:rPr>
      </w:pPr>
    </w:p>
    <w:p w14:paraId="578857F7">
      <w:pPr>
        <w:spacing w:line="320" w:lineRule="exact"/>
        <w:jc w:val="center"/>
        <w:rPr>
          <w:rFonts w:hint="default" w:ascii="宋体" w:hAnsi="宋体" w:eastAsia="宋体" w:cs="宋体"/>
          <w:b/>
          <w:color w:val="auto"/>
          <w:sz w:val="32"/>
          <w:szCs w:val="32"/>
          <w:highlight w:val="none"/>
        </w:rPr>
      </w:pPr>
      <w:r>
        <w:rPr>
          <w:rFonts w:hint="default" w:ascii="宋体" w:hAnsi="宋体" w:eastAsia="宋体" w:cs="宋体"/>
          <w:b/>
          <w:color w:val="auto"/>
          <w:sz w:val="32"/>
          <w:szCs w:val="32"/>
          <w:highlight w:val="none"/>
        </w:rPr>
        <w:t>资格声明函</w:t>
      </w:r>
    </w:p>
    <w:p w14:paraId="58854E91">
      <w:pPr>
        <w:spacing w:line="320" w:lineRule="exact"/>
        <w:jc w:val="center"/>
        <w:rPr>
          <w:rFonts w:hint="default" w:ascii="宋体" w:hAnsi="宋体" w:eastAsia="宋体" w:cs="宋体"/>
          <w:color w:val="auto"/>
          <w:sz w:val="24"/>
          <w:szCs w:val="20"/>
          <w:highlight w:val="none"/>
        </w:rPr>
      </w:pPr>
    </w:p>
    <w:p w14:paraId="690B0B5D">
      <w:pPr>
        <w:spacing w:line="360" w:lineRule="auto"/>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致：</w:t>
      </w:r>
      <w:r>
        <w:rPr>
          <w:rFonts w:hint="default" w:ascii="宋体" w:hAnsi="宋体" w:eastAsia="宋体" w:cs="宋体"/>
          <w:color w:val="auto"/>
          <w:sz w:val="24"/>
          <w:szCs w:val="24"/>
          <w:highlight w:val="none"/>
          <w:u w:val="single"/>
        </w:rPr>
        <w:t>采购人</w:t>
      </w:r>
    </w:p>
    <w:p w14:paraId="5114DAEE">
      <w:pPr>
        <w:spacing w:line="360" w:lineRule="auto"/>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u w:val="single"/>
        </w:rPr>
        <w:t>（供应商名称）</w:t>
      </w:r>
      <w:r>
        <w:rPr>
          <w:rFonts w:hint="default" w:ascii="宋体" w:hAnsi="宋体" w:eastAsia="宋体" w:cs="宋体"/>
          <w:color w:val="auto"/>
          <w:sz w:val="24"/>
          <w:szCs w:val="24"/>
          <w:highlight w:val="none"/>
        </w:rPr>
        <w:t>系中华人民共和国合法供应商，经营地址</w:t>
      </w:r>
      <w:r>
        <w:rPr>
          <w:rFonts w:hint="default" w:ascii="宋体" w:hAnsi="宋体" w:eastAsia="宋体" w:cs="宋体"/>
          <w:color w:val="auto"/>
          <w:sz w:val="24"/>
          <w:szCs w:val="24"/>
          <w:highlight w:val="none"/>
          <w:u w:val="single"/>
        </w:rPr>
        <w:t xml:space="preserve">                  </w:t>
      </w:r>
      <w:r>
        <w:rPr>
          <w:rFonts w:hint="default" w:ascii="宋体" w:hAnsi="宋体" w:eastAsia="宋体" w:cs="宋体"/>
          <w:color w:val="auto"/>
          <w:sz w:val="24"/>
          <w:szCs w:val="24"/>
          <w:highlight w:val="none"/>
        </w:rPr>
        <w:t>。</w:t>
      </w:r>
    </w:p>
    <w:p w14:paraId="63021B78">
      <w:pPr>
        <w:spacing w:line="360" w:lineRule="auto"/>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我方愿意参加贵方组织的</w:t>
      </w:r>
      <w:r>
        <w:rPr>
          <w:rFonts w:hint="default" w:ascii="宋体" w:hAnsi="宋体" w:eastAsia="宋体" w:cs="宋体"/>
          <w:color w:val="auto"/>
          <w:sz w:val="24"/>
          <w:szCs w:val="24"/>
          <w:highlight w:val="none"/>
          <w:u w:val="single"/>
        </w:rPr>
        <w:t>　　　　　　　　　</w:t>
      </w:r>
      <w:r>
        <w:rPr>
          <w:rFonts w:hint="default" w:ascii="宋体" w:hAnsi="宋体" w:eastAsia="宋体" w:cs="宋体"/>
          <w:color w:val="auto"/>
          <w:sz w:val="24"/>
          <w:szCs w:val="24"/>
          <w:highlight w:val="none"/>
        </w:rPr>
        <w:t>项目的竞标，为便于贵方公正、择优地确定成交供应商及其竞标产品和服务，我方就本次竞标有关事项郑重声明如下：</w:t>
      </w:r>
    </w:p>
    <w:p w14:paraId="55565A6F">
      <w:pPr>
        <w:spacing w:line="360" w:lineRule="auto"/>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1.我方向贵方提交的所有响应文件、资料都是准确的和真实的。</w:t>
      </w:r>
    </w:p>
    <w:p w14:paraId="78CA9091">
      <w:pPr>
        <w:spacing w:line="360" w:lineRule="auto"/>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2.我方不是采购人的附属机构；不是为本次采购项目提供整体设计、规范编制或者项目管理、监理、检测等服务的供应商；在获知本项目采购信息后，与采购人聘请的为此项目提供咨询服务的公司及其附属机构没有任何联系。</w:t>
      </w:r>
    </w:p>
    <w:p w14:paraId="270FAAE9">
      <w:pPr>
        <w:spacing w:line="360" w:lineRule="auto"/>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3.在此，我方宣布同意如下：</w:t>
      </w:r>
    </w:p>
    <w:p w14:paraId="66B82434">
      <w:pPr>
        <w:spacing w:line="360" w:lineRule="auto"/>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（1）将按磋商文件的约定履行合同责任和义务；</w:t>
      </w:r>
    </w:p>
    <w:p w14:paraId="31608348">
      <w:pPr>
        <w:spacing w:line="360" w:lineRule="auto"/>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（2）已详细审查全部磋商文件，包括澄清或者更正公告（如有）；</w:t>
      </w:r>
    </w:p>
    <w:p w14:paraId="5D39405D">
      <w:pPr>
        <w:spacing w:line="360" w:lineRule="auto"/>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（3）同意提供按照贵方可能要求的与谈判有关的一切数据或者资料；</w:t>
      </w:r>
    </w:p>
    <w:p w14:paraId="7D3B6CF4">
      <w:pPr>
        <w:spacing w:line="360" w:lineRule="auto"/>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（4）响应磋商文件规定的竞标有效期。</w:t>
      </w:r>
    </w:p>
    <w:p w14:paraId="6952485E">
      <w:pPr>
        <w:spacing w:line="360" w:lineRule="auto"/>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4.我方承诺已经具备《中华人民共和国政府采购法》第二十二条中规定的参加政府采购活动的供应商应当具备的条件并按本项目响应文件“第三章”“第二节供应商须知前附表”中“资格证明文件组成”完整提供证明材料。</w:t>
      </w:r>
    </w:p>
    <w:p w14:paraId="72E606BE">
      <w:pPr>
        <w:spacing w:line="360" w:lineRule="auto"/>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w:t>
      </w:r>
      <w:r>
        <w:rPr>
          <w:rFonts w:hint="eastAsia" w:ascii="宋体" w:hAnsi="宋体" w:eastAsia="宋体" w:cs="宋体"/>
          <w:color w:val="auto"/>
          <w:sz w:val="24"/>
          <w:szCs w:val="24"/>
          <w:highlight w:val="none"/>
          <w:lang w:eastAsia="zh-CN"/>
        </w:rPr>
        <w:t>重大税收违法失信主体</w:t>
      </w:r>
      <w:r>
        <w:rPr>
          <w:rFonts w:hint="default" w:ascii="宋体" w:hAnsi="宋体" w:eastAsia="宋体" w:cs="宋体"/>
          <w:color w:val="auto"/>
          <w:sz w:val="24"/>
          <w:szCs w:val="24"/>
          <w:highlight w:val="none"/>
        </w:rPr>
        <w:t>、政府采购严重违法失信行为记录名单，完全符合《中华人民共和国政府采购法》第二十二条规定的供应商资格条件，我方对此声明负全部法律责任。</w:t>
      </w:r>
    </w:p>
    <w:p w14:paraId="4E135BA3">
      <w:pPr>
        <w:spacing w:line="360" w:lineRule="auto"/>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6.根据《中华人民共和国政府采购法实施条例》第五十条要求对政府采购合同进行公告，但政府采购合同中涉及国家秘密、商业秘密的内容除外。我方就对本次响应文件进行注明如下：（两项内容中必须选择一项）</w:t>
      </w:r>
    </w:p>
    <w:p w14:paraId="399BEF71">
      <w:pPr>
        <w:spacing w:line="360" w:lineRule="auto"/>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□我方本次响应文件</w:t>
      </w:r>
      <w:r>
        <w:rPr>
          <w:rFonts w:hint="default" w:ascii="宋体" w:hAnsi="宋体" w:eastAsia="宋体" w:cs="宋体"/>
          <w:color w:val="auto"/>
          <w:kern w:val="0"/>
          <w:sz w:val="24"/>
          <w:szCs w:val="24"/>
          <w:highlight w:val="none"/>
        </w:rPr>
        <w:t>内容中</w:t>
      </w:r>
      <w:r>
        <w:rPr>
          <w:rFonts w:hint="default" w:ascii="宋体" w:hAnsi="宋体" w:eastAsia="宋体" w:cs="宋体"/>
          <w:color w:val="auto"/>
          <w:sz w:val="24"/>
          <w:szCs w:val="24"/>
          <w:highlight w:val="none"/>
        </w:rPr>
        <w:t>未</w:t>
      </w:r>
      <w:r>
        <w:rPr>
          <w:rFonts w:hint="default" w:ascii="宋体" w:hAnsi="宋体" w:eastAsia="宋体" w:cs="宋体"/>
          <w:color w:val="auto"/>
          <w:kern w:val="0"/>
          <w:sz w:val="24"/>
          <w:szCs w:val="24"/>
          <w:highlight w:val="none"/>
        </w:rPr>
        <w:t>涉及商业秘密；</w:t>
      </w:r>
    </w:p>
    <w:p w14:paraId="7243B146">
      <w:pPr>
        <w:spacing w:line="360" w:lineRule="auto"/>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□我方本次响应文件</w:t>
      </w:r>
      <w:r>
        <w:rPr>
          <w:rFonts w:hint="default" w:ascii="宋体" w:hAnsi="宋体" w:eastAsia="宋体" w:cs="宋体"/>
          <w:color w:val="auto"/>
          <w:kern w:val="0"/>
          <w:sz w:val="24"/>
          <w:szCs w:val="24"/>
          <w:highlight w:val="none"/>
        </w:rPr>
        <w:t>涉及商业秘密的内容有：</w:t>
      </w:r>
      <w:r>
        <w:rPr>
          <w:rFonts w:hint="default" w:ascii="宋体" w:hAnsi="宋体" w:eastAsia="宋体" w:cs="宋体"/>
          <w:color w:val="auto"/>
          <w:kern w:val="0"/>
          <w:sz w:val="24"/>
          <w:szCs w:val="24"/>
          <w:highlight w:val="none"/>
          <w:u w:val="single"/>
        </w:rPr>
        <w:t xml:space="preserve">                         </w:t>
      </w:r>
      <w:r>
        <w:rPr>
          <w:rFonts w:hint="default" w:ascii="宋体" w:hAnsi="宋体" w:eastAsia="宋体" w:cs="宋体"/>
          <w:color w:val="auto"/>
          <w:kern w:val="0"/>
          <w:sz w:val="24"/>
          <w:szCs w:val="24"/>
          <w:highlight w:val="none"/>
        </w:rPr>
        <w:t>；</w:t>
      </w:r>
    </w:p>
    <w:p w14:paraId="7E2BC5C5">
      <w:pPr>
        <w:spacing w:line="360" w:lineRule="auto"/>
        <w:ind w:firstLine="480" w:firstLineChars="200"/>
        <w:rPr>
          <w:rFonts w:hint="default" w:ascii="宋体" w:hAnsi="宋体" w:eastAsia="宋体" w:cs="宋体"/>
          <w:color w:val="auto"/>
          <w:kern w:val="0"/>
          <w:sz w:val="24"/>
          <w:szCs w:val="24"/>
          <w:highlight w:val="none"/>
          <w:u w:val="single"/>
        </w:rPr>
      </w:pPr>
      <w:r>
        <w:rPr>
          <w:rFonts w:hint="default" w:ascii="宋体" w:hAnsi="宋体" w:eastAsia="宋体" w:cs="宋体"/>
          <w:color w:val="auto"/>
          <w:kern w:val="0"/>
          <w:sz w:val="24"/>
          <w:szCs w:val="24"/>
          <w:highlight w:val="none"/>
        </w:rPr>
        <w:t>7.与本磋商有关的一切正式往来信函请寄：</w:t>
      </w:r>
      <w:r>
        <w:rPr>
          <w:rFonts w:hint="default" w:ascii="宋体" w:hAnsi="宋体" w:eastAsia="宋体" w:cs="宋体"/>
          <w:color w:val="auto"/>
          <w:kern w:val="0"/>
          <w:sz w:val="24"/>
          <w:szCs w:val="24"/>
          <w:highlight w:val="none"/>
          <w:u w:val="single"/>
        </w:rPr>
        <w:t xml:space="preserve">                  </w:t>
      </w:r>
      <w:r>
        <w:rPr>
          <w:rFonts w:hint="default" w:ascii="宋体" w:hAnsi="宋体" w:eastAsia="宋体" w:cs="宋体"/>
          <w:color w:val="auto"/>
          <w:kern w:val="0"/>
          <w:sz w:val="24"/>
          <w:szCs w:val="24"/>
          <w:highlight w:val="none"/>
        </w:rPr>
        <w:t>邮政编号：</w:t>
      </w:r>
      <w:r>
        <w:rPr>
          <w:rFonts w:hint="default" w:ascii="宋体" w:hAnsi="宋体" w:eastAsia="宋体" w:cs="宋体"/>
          <w:color w:val="auto"/>
          <w:kern w:val="0"/>
          <w:sz w:val="24"/>
          <w:szCs w:val="24"/>
          <w:highlight w:val="none"/>
          <w:u w:val="single"/>
        </w:rPr>
        <w:t xml:space="preserve">        </w:t>
      </w:r>
    </w:p>
    <w:p w14:paraId="74E21D8C">
      <w:pPr>
        <w:spacing w:line="360" w:lineRule="auto"/>
        <w:ind w:firstLine="480" w:firstLineChars="200"/>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电话/传真：</w:t>
      </w:r>
      <w:r>
        <w:rPr>
          <w:rFonts w:hint="default" w:ascii="宋体" w:hAnsi="宋体" w:eastAsia="宋体" w:cs="宋体"/>
          <w:color w:val="auto"/>
          <w:kern w:val="0"/>
          <w:sz w:val="24"/>
          <w:szCs w:val="24"/>
          <w:highlight w:val="none"/>
          <w:u w:val="single"/>
        </w:rPr>
        <w:t xml:space="preserve">                        </w:t>
      </w:r>
      <w:r>
        <w:rPr>
          <w:rFonts w:hint="default" w:ascii="宋体" w:hAnsi="宋体" w:eastAsia="宋体" w:cs="宋体"/>
          <w:color w:val="auto"/>
          <w:kern w:val="0"/>
          <w:sz w:val="24"/>
          <w:szCs w:val="24"/>
          <w:highlight w:val="none"/>
        </w:rPr>
        <w:t xml:space="preserve"> 电子函件：</w:t>
      </w:r>
      <w:r>
        <w:rPr>
          <w:rFonts w:hint="default" w:ascii="宋体" w:hAnsi="宋体" w:eastAsia="宋体" w:cs="宋体"/>
          <w:color w:val="auto"/>
          <w:kern w:val="0"/>
          <w:sz w:val="24"/>
          <w:szCs w:val="24"/>
          <w:highlight w:val="none"/>
          <w:u w:val="single"/>
        </w:rPr>
        <w:t xml:space="preserve">                            </w:t>
      </w:r>
      <w:r>
        <w:rPr>
          <w:rFonts w:hint="default" w:ascii="宋体" w:hAnsi="宋体" w:eastAsia="宋体" w:cs="宋体"/>
          <w:color w:val="auto"/>
          <w:kern w:val="0"/>
          <w:sz w:val="24"/>
          <w:szCs w:val="24"/>
          <w:highlight w:val="none"/>
        </w:rPr>
        <w:t xml:space="preserve">    </w:t>
      </w:r>
    </w:p>
    <w:p w14:paraId="3AE9BC94">
      <w:pPr>
        <w:tabs>
          <w:tab w:val="left" w:pos="939"/>
        </w:tabs>
        <w:spacing w:line="360" w:lineRule="auto"/>
        <w:ind w:left="141" w:leftChars="67" w:firstLine="360" w:firstLineChars="15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开户银行：</w:t>
      </w:r>
      <w:r>
        <w:rPr>
          <w:rFonts w:hint="default" w:ascii="宋体" w:hAnsi="宋体" w:eastAsia="宋体" w:cs="宋体"/>
          <w:color w:val="auto"/>
          <w:sz w:val="24"/>
          <w:szCs w:val="24"/>
          <w:highlight w:val="none"/>
          <w:u w:val="single"/>
        </w:rPr>
        <w:t xml:space="preserve">                         </w:t>
      </w:r>
      <w:r>
        <w:rPr>
          <w:rFonts w:hint="default" w:ascii="宋体" w:hAnsi="宋体" w:eastAsia="宋体" w:cs="宋体"/>
          <w:color w:val="auto"/>
          <w:sz w:val="24"/>
          <w:szCs w:val="24"/>
          <w:highlight w:val="none"/>
        </w:rPr>
        <w:t xml:space="preserve">  帐号：</w:t>
      </w:r>
      <w:r>
        <w:rPr>
          <w:rFonts w:hint="default" w:ascii="宋体" w:hAnsi="宋体" w:eastAsia="宋体" w:cs="宋体"/>
          <w:color w:val="auto"/>
          <w:sz w:val="24"/>
          <w:szCs w:val="24"/>
          <w:highlight w:val="none"/>
          <w:u w:val="single"/>
        </w:rPr>
        <w:t xml:space="preserve">                               </w:t>
      </w:r>
    </w:p>
    <w:p w14:paraId="1DB58849">
      <w:pPr>
        <w:tabs>
          <w:tab w:val="left" w:pos="939"/>
        </w:tabs>
        <w:spacing w:line="360" w:lineRule="auto"/>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8.以上事项如有虚假或者隐瞒，我方愿意承担一切后果，并不再寻求任何旨在减轻或者免除法律责任的辩解。</w:t>
      </w:r>
    </w:p>
    <w:p w14:paraId="74911919">
      <w:pPr>
        <w:tabs>
          <w:tab w:val="left" w:pos="939"/>
        </w:tabs>
        <w:spacing w:line="360" w:lineRule="auto"/>
        <w:ind w:left="141" w:leftChars="67" w:firstLine="360" w:firstLineChars="15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特此承诺。</w:t>
      </w:r>
    </w:p>
    <w:p w14:paraId="7126751D">
      <w:pPr>
        <w:tabs>
          <w:tab w:val="left" w:pos="939"/>
        </w:tabs>
        <w:spacing w:line="360" w:lineRule="auto"/>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注：如为联合体竞标，盖章处须加盖联合体各方公章并由联合体各方法定代表人签署，否则其响应文件按无效响应处理。</w:t>
      </w:r>
    </w:p>
    <w:p w14:paraId="2BBED03F">
      <w:pPr>
        <w:tabs>
          <w:tab w:val="left" w:pos="939"/>
        </w:tabs>
        <w:spacing w:line="360" w:lineRule="auto"/>
        <w:ind w:firstLine="480" w:firstLineChars="200"/>
        <w:rPr>
          <w:rFonts w:hint="default" w:ascii="宋体" w:hAnsi="宋体" w:eastAsia="宋体" w:cs="宋体"/>
          <w:color w:val="auto"/>
          <w:sz w:val="24"/>
          <w:szCs w:val="24"/>
          <w:highlight w:val="none"/>
        </w:rPr>
      </w:pPr>
    </w:p>
    <w:p w14:paraId="46D0494B">
      <w:pPr>
        <w:autoSpaceDE w:val="0"/>
        <w:autoSpaceDN w:val="0"/>
        <w:spacing w:line="360" w:lineRule="auto"/>
        <w:ind w:left="4365" w:leftChars="1850" w:hanging="480" w:hangingChars="200"/>
        <w:rPr>
          <w:rFonts w:hint="default" w:ascii="宋体" w:hAnsi="宋体" w:eastAsia="宋体" w:cs="宋体"/>
          <w:color w:val="auto"/>
          <w:kern w:val="0"/>
          <w:sz w:val="24"/>
          <w:szCs w:val="24"/>
          <w:highlight w:val="none"/>
        </w:rPr>
      </w:pPr>
    </w:p>
    <w:p w14:paraId="16B3C6AC">
      <w:pPr>
        <w:autoSpaceDE w:val="0"/>
        <w:autoSpaceDN w:val="0"/>
        <w:spacing w:line="360" w:lineRule="auto"/>
        <w:ind w:left="4365" w:leftChars="1850" w:hanging="480" w:hangingChars="200"/>
        <w:rPr>
          <w:rFonts w:hint="default" w:ascii="宋体" w:hAnsi="宋体" w:eastAsia="宋体" w:cs="宋体"/>
          <w:color w:val="auto"/>
          <w:kern w:val="0"/>
          <w:sz w:val="24"/>
          <w:szCs w:val="24"/>
          <w:highlight w:val="none"/>
        </w:rPr>
      </w:pPr>
    </w:p>
    <w:p w14:paraId="7C7C28AB">
      <w:pPr>
        <w:autoSpaceDE w:val="0"/>
        <w:autoSpaceDN w:val="0"/>
        <w:spacing w:line="360" w:lineRule="auto"/>
        <w:ind w:left="4365" w:leftChars="1850" w:hanging="480" w:hangingChars="200"/>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供应商名称（电子签章）：</w:t>
      </w:r>
    </w:p>
    <w:p w14:paraId="2240E900">
      <w:pPr>
        <w:autoSpaceDE w:val="0"/>
        <w:autoSpaceDN w:val="0"/>
        <w:spacing w:line="360" w:lineRule="auto"/>
        <w:ind w:firstLine="6120" w:firstLineChars="2550"/>
        <w:rPr>
          <w:rFonts w:hint="default" w:ascii="宋体" w:hAnsi="宋体" w:eastAsia="宋体" w:cs="宋体"/>
          <w:color w:val="auto"/>
          <w:kern w:val="0"/>
          <w:sz w:val="24"/>
          <w:szCs w:val="24"/>
          <w:highlight w:val="none"/>
          <w:lang w:val="zh-CN"/>
        </w:rPr>
      </w:pPr>
      <w:r>
        <w:rPr>
          <w:rFonts w:hint="default" w:ascii="宋体" w:hAnsi="宋体" w:eastAsia="宋体" w:cs="宋体"/>
          <w:color w:val="auto"/>
          <w:kern w:val="0"/>
          <w:sz w:val="24"/>
          <w:szCs w:val="24"/>
          <w:highlight w:val="none"/>
          <w:lang w:val="zh-CN"/>
        </w:rPr>
        <w:t>日期：  年  月   日</w:t>
      </w:r>
    </w:p>
    <w:p w14:paraId="2F237F77">
      <w:pPr>
        <w:widowControl/>
        <w:spacing w:line="360" w:lineRule="auto"/>
        <w:jc w:val="left"/>
        <w:rPr>
          <w:rFonts w:hint="default" w:ascii="宋体" w:hAnsi="宋体" w:eastAsia="宋体" w:cs="宋体"/>
          <w:color w:val="auto"/>
          <w:kern w:val="0"/>
          <w:sz w:val="24"/>
          <w:szCs w:val="24"/>
          <w:highlight w:val="none"/>
          <w:lang w:val="zh-CN"/>
        </w:rPr>
        <w:sectPr>
          <w:pgSz w:w="11910" w:h="16840"/>
          <w:pgMar w:top="1340" w:right="1500" w:bottom="280" w:left="1680" w:header="720" w:footer="720" w:gutter="0"/>
          <w:lnNumType w:countBy="0" w:distance="360"/>
          <w:cols w:space="720" w:num="1"/>
        </w:sectPr>
      </w:pPr>
    </w:p>
    <w:p w14:paraId="5E061782">
      <w:pPr>
        <w:spacing w:line="320" w:lineRule="exact"/>
        <w:ind w:firstLine="602" w:firstLineChars="200"/>
        <w:jc w:val="left"/>
        <w:rPr>
          <w:rFonts w:hint="default" w:ascii="宋体" w:hAnsi="宋体" w:eastAsia="宋体" w:cs="宋体"/>
          <w:b/>
          <w:color w:val="auto"/>
          <w:kern w:val="0"/>
          <w:sz w:val="30"/>
          <w:szCs w:val="30"/>
          <w:highlight w:val="none"/>
        </w:rPr>
      </w:pPr>
      <w:r>
        <w:rPr>
          <w:rFonts w:hint="default" w:ascii="宋体" w:hAnsi="宋体" w:eastAsia="宋体" w:cs="宋体"/>
          <w:b/>
          <w:color w:val="auto"/>
          <w:kern w:val="0"/>
          <w:sz w:val="30"/>
          <w:szCs w:val="30"/>
          <w:highlight w:val="none"/>
        </w:rPr>
        <w:t>七、中小企业声明函</w:t>
      </w:r>
    </w:p>
    <w:p w14:paraId="39615098">
      <w:pPr>
        <w:spacing w:line="300" w:lineRule="auto"/>
        <w:ind w:firstLine="2200" w:firstLineChars="500"/>
        <w:rPr>
          <w:rFonts w:hint="default" w:ascii="宋体" w:hAnsi="宋体" w:eastAsia="宋体" w:cs="宋体"/>
          <w:color w:val="auto"/>
          <w:sz w:val="44"/>
          <w:szCs w:val="44"/>
          <w:highlight w:val="none"/>
        </w:rPr>
      </w:pPr>
    </w:p>
    <w:p w14:paraId="6E29245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宋体" w:hAnsi="宋体" w:eastAsia="宋体" w:cs="宋体"/>
          <w:bCs/>
          <w:color w:val="auto"/>
          <w:sz w:val="44"/>
          <w:szCs w:val="44"/>
        </w:rPr>
      </w:pPr>
      <w:r>
        <w:rPr>
          <w:rFonts w:hint="default" w:ascii="宋体" w:hAnsi="宋体" w:eastAsia="宋体" w:cs="宋体"/>
          <w:bCs/>
          <w:color w:val="auto"/>
          <w:sz w:val="44"/>
          <w:szCs w:val="44"/>
        </w:rPr>
        <w:t>中小企业声明函（工程）</w:t>
      </w:r>
    </w:p>
    <w:p w14:paraId="579774EF">
      <w:pPr>
        <w:keepNext w:val="0"/>
        <w:keepLines w:val="0"/>
        <w:pageBreakBefore w:val="0"/>
        <w:widowControl w:val="0"/>
        <w:kinsoku/>
        <w:wordWrap/>
        <w:overflowPunct/>
        <w:topLinePunct w:val="0"/>
        <w:autoSpaceDE/>
        <w:autoSpaceDN/>
        <w:bidi w:val="0"/>
        <w:adjustRightInd/>
        <w:snapToGrid/>
        <w:spacing w:line="500" w:lineRule="exact"/>
        <w:ind w:left="-426" w:right="142" w:firstLine="640"/>
        <w:textAlignment w:val="auto"/>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本公司（联合体）郑重声明，根据《政府采购促进中小企业发展管理办法》（财库﹝2020﹞46号）的规定及《广西壮族自治区财政厅关于进一步发挥政府采购政策功能促进企业发展的通知》（桂财采〔2022〕30号）的规定，本公司（联合体）参加</w:t>
      </w:r>
      <w:r>
        <w:rPr>
          <w:rFonts w:hint="default" w:ascii="宋体" w:hAnsi="宋体" w:eastAsia="宋体" w:cs="宋体"/>
          <w:color w:val="auto"/>
          <w:sz w:val="24"/>
          <w:szCs w:val="24"/>
          <w:highlight w:val="none"/>
          <w:u w:val="single"/>
        </w:rPr>
        <w:t>（单位名称）</w:t>
      </w:r>
      <w:r>
        <w:rPr>
          <w:rFonts w:hint="default" w:ascii="宋体" w:hAnsi="宋体" w:eastAsia="宋体" w:cs="宋体"/>
          <w:color w:val="auto"/>
          <w:sz w:val="24"/>
          <w:szCs w:val="24"/>
          <w:highlight w:val="none"/>
        </w:rPr>
        <w:t>的</w:t>
      </w:r>
      <w:r>
        <w:rPr>
          <w:rFonts w:hint="default" w:ascii="宋体" w:hAnsi="宋体" w:eastAsia="宋体" w:cs="宋体"/>
          <w:color w:val="auto"/>
          <w:sz w:val="24"/>
          <w:szCs w:val="24"/>
          <w:highlight w:val="none"/>
          <w:u w:val="single"/>
        </w:rPr>
        <w:t>（项目名称）</w:t>
      </w:r>
      <w:r>
        <w:rPr>
          <w:rFonts w:hint="default" w:ascii="宋体" w:hAnsi="宋体" w:eastAsia="宋体" w:cs="宋体"/>
          <w:color w:val="auto"/>
          <w:sz w:val="24"/>
          <w:szCs w:val="24"/>
          <w:highlight w:val="none"/>
        </w:rPr>
        <w:t>采购活动，工程的施工单位全部为符合政策要求的中小企业。相关企业（含联合体中的中小企业、签订分包意向协议的中小企业）的具体情况如下：</w:t>
      </w:r>
    </w:p>
    <w:p w14:paraId="4AF274D9">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1.</w:t>
      </w:r>
      <w:r>
        <w:rPr>
          <w:rFonts w:hint="default" w:ascii="宋体" w:hAnsi="宋体" w:eastAsia="宋体" w:cs="宋体"/>
          <w:color w:val="auto"/>
          <w:sz w:val="24"/>
          <w:szCs w:val="24"/>
          <w:highlight w:val="none"/>
          <w:u w:val="single"/>
        </w:rPr>
        <w:t xml:space="preserve">                 （标的名称)   </w:t>
      </w:r>
      <w:r>
        <w:rPr>
          <w:rFonts w:hint="default" w:ascii="宋体" w:hAnsi="宋体" w:eastAsia="宋体" w:cs="宋体"/>
          <w:color w:val="auto"/>
          <w:sz w:val="24"/>
          <w:szCs w:val="24"/>
          <w:highlight w:val="none"/>
        </w:rPr>
        <w:t>，属于</w:t>
      </w:r>
      <w:r>
        <w:rPr>
          <w:rFonts w:hint="default" w:ascii="宋体" w:hAnsi="宋体" w:eastAsia="宋体" w:cs="宋体"/>
          <w:color w:val="auto"/>
          <w:sz w:val="24"/>
          <w:szCs w:val="24"/>
          <w:highlight w:val="none"/>
          <w:u w:val="single"/>
        </w:rPr>
        <w:t>（采购文件中明确的所属行业）</w:t>
      </w:r>
      <w:r>
        <w:rPr>
          <w:rFonts w:hint="default" w:ascii="宋体" w:hAnsi="宋体" w:eastAsia="宋体" w:cs="宋体"/>
          <w:color w:val="auto"/>
          <w:sz w:val="24"/>
          <w:szCs w:val="24"/>
          <w:highlight w:val="none"/>
        </w:rPr>
        <w:t>；承建</w:t>
      </w:r>
      <w:r>
        <w:rPr>
          <w:rFonts w:hint="default" w:ascii="宋体" w:hAnsi="宋体" w:eastAsia="宋体" w:cs="宋体"/>
          <w:color w:val="auto"/>
          <w:sz w:val="24"/>
          <w:szCs w:val="24"/>
          <w:highlight w:val="none"/>
          <w:u w:val="single"/>
        </w:rPr>
        <w:t>（承接）</w:t>
      </w:r>
      <w:r>
        <w:rPr>
          <w:rFonts w:hint="default" w:ascii="宋体" w:hAnsi="宋体" w:eastAsia="宋体" w:cs="宋体"/>
          <w:color w:val="auto"/>
          <w:sz w:val="24"/>
          <w:szCs w:val="24"/>
          <w:highlight w:val="none"/>
        </w:rPr>
        <w:t>企业为</w:t>
      </w:r>
      <w:r>
        <w:rPr>
          <w:rFonts w:hint="default" w:ascii="宋体" w:hAnsi="宋体" w:eastAsia="宋体" w:cs="宋体"/>
          <w:color w:val="auto"/>
          <w:sz w:val="24"/>
          <w:szCs w:val="24"/>
          <w:highlight w:val="none"/>
          <w:u w:val="single"/>
        </w:rPr>
        <w:t>（企业名称）</w:t>
      </w:r>
      <w:r>
        <w:rPr>
          <w:rFonts w:hint="default" w:ascii="宋体" w:hAnsi="宋体" w:eastAsia="宋体" w:cs="宋体"/>
          <w:color w:val="auto"/>
          <w:sz w:val="24"/>
          <w:szCs w:val="24"/>
          <w:highlight w:val="none"/>
        </w:rPr>
        <w:t>，从业人员</w:t>
      </w:r>
      <w:r>
        <w:rPr>
          <w:rFonts w:hint="default" w:ascii="宋体" w:hAnsi="宋体" w:eastAsia="宋体" w:cs="宋体"/>
          <w:color w:val="auto"/>
          <w:sz w:val="24"/>
          <w:szCs w:val="24"/>
          <w:highlight w:val="none"/>
          <w:u w:val="single"/>
        </w:rPr>
        <w:t xml:space="preserve">    </w:t>
      </w:r>
      <w:r>
        <w:rPr>
          <w:rFonts w:hint="default" w:ascii="宋体" w:hAnsi="宋体" w:eastAsia="宋体" w:cs="宋体"/>
          <w:color w:val="auto"/>
          <w:sz w:val="24"/>
          <w:szCs w:val="24"/>
          <w:highlight w:val="none"/>
        </w:rPr>
        <w:t>人，营业收入为</w:t>
      </w:r>
      <w:r>
        <w:rPr>
          <w:rFonts w:hint="default" w:ascii="宋体" w:hAnsi="宋体" w:eastAsia="宋体" w:cs="宋体"/>
          <w:color w:val="auto"/>
          <w:sz w:val="24"/>
          <w:szCs w:val="24"/>
          <w:highlight w:val="none"/>
          <w:u w:val="single"/>
        </w:rPr>
        <w:t xml:space="preserve">    </w:t>
      </w:r>
      <w:r>
        <w:rPr>
          <w:rFonts w:hint="default" w:ascii="宋体" w:hAnsi="宋体" w:eastAsia="宋体" w:cs="宋体"/>
          <w:color w:val="auto"/>
          <w:sz w:val="24"/>
          <w:szCs w:val="24"/>
          <w:highlight w:val="none"/>
        </w:rPr>
        <w:t>万元，资产总额为</w:t>
      </w:r>
      <w:r>
        <w:rPr>
          <w:rFonts w:hint="default" w:ascii="宋体" w:hAnsi="宋体" w:eastAsia="宋体" w:cs="宋体"/>
          <w:color w:val="auto"/>
          <w:sz w:val="24"/>
          <w:szCs w:val="24"/>
          <w:highlight w:val="none"/>
          <w:u w:val="single"/>
        </w:rPr>
        <w:t xml:space="preserve">    </w:t>
      </w:r>
      <w:r>
        <w:rPr>
          <w:rFonts w:hint="default" w:ascii="宋体" w:hAnsi="宋体" w:eastAsia="宋体" w:cs="宋体"/>
          <w:color w:val="auto"/>
          <w:sz w:val="24"/>
          <w:szCs w:val="24"/>
          <w:highlight w:val="none"/>
        </w:rPr>
        <w:t>万元，属于</w:t>
      </w:r>
      <w:r>
        <w:rPr>
          <w:rFonts w:hint="default" w:ascii="宋体" w:hAnsi="宋体" w:eastAsia="宋体" w:cs="宋体"/>
          <w:color w:val="auto"/>
          <w:sz w:val="24"/>
          <w:szCs w:val="24"/>
          <w:highlight w:val="none"/>
          <w:u w:val="single"/>
        </w:rPr>
        <w:t>（中型企业、小型企业、微型企业）</w:t>
      </w:r>
      <w:r>
        <w:rPr>
          <w:rFonts w:hint="default" w:ascii="宋体" w:hAnsi="宋体" w:eastAsia="宋体" w:cs="宋体"/>
          <w:color w:val="auto"/>
          <w:sz w:val="24"/>
          <w:szCs w:val="24"/>
          <w:highlight w:val="none"/>
        </w:rPr>
        <w:t>；</w:t>
      </w:r>
    </w:p>
    <w:p w14:paraId="0B802B95">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2.</w:t>
      </w:r>
      <w:r>
        <w:rPr>
          <w:rFonts w:hint="default" w:ascii="宋体" w:hAnsi="宋体" w:eastAsia="宋体" w:cs="宋体"/>
          <w:color w:val="auto"/>
          <w:sz w:val="24"/>
          <w:szCs w:val="24"/>
          <w:highlight w:val="none"/>
          <w:u w:val="single"/>
        </w:rPr>
        <w:t xml:space="preserve">                 （标的名称)</w:t>
      </w:r>
      <w:r>
        <w:rPr>
          <w:rFonts w:hint="default" w:ascii="宋体" w:hAnsi="宋体" w:eastAsia="宋体" w:cs="宋体"/>
          <w:color w:val="auto"/>
          <w:sz w:val="24"/>
          <w:szCs w:val="24"/>
          <w:highlight w:val="none"/>
        </w:rPr>
        <w:t>，属于</w:t>
      </w:r>
      <w:r>
        <w:rPr>
          <w:rFonts w:hint="default" w:ascii="宋体" w:hAnsi="宋体" w:eastAsia="宋体" w:cs="宋体"/>
          <w:color w:val="auto"/>
          <w:sz w:val="24"/>
          <w:szCs w:val="24"/>
          <w:highlight w:val="none"/>
          <w:u w:val="single"/>
        </w:rPr>
        <w:t>（采购文件中明确的所属行业）</w:t>
      </w:r>
      <w:r>
        <w:rPr>
          <w:rFonts w:hint="default" w:ascii="宋体" w:hAnsi="宋体" w:eastAsia="宋体" w:cs="宋体"/>
          <w:color w:val="auto"/>
          <w:sz w:val="24"/>
          <w:szCs w:val="24"/>
          <w:highlight w:val="none"/>
        </w:rPr>
        <w:t>；承建</w:t>
      </w:r>
      <w:r>
        <w:rPr>
          <w:rFonts w:hint="default" w:ascii="宋体" w:hAnsi="宋体" w:eastAsia="宋体" w:cs="宋体"/>
          <w:color w:val="auto"/>
          <w:sz w:val="24"/>
          <w:szCs w:val="24"/>
          <w:highlight w:val="none"/>
          <w:u w:val="single"/>
        </w:rPr>
        <w:t>（承接）</w:t>
      </w:r>
      <w:r>
        <w:rPr>
          <w:rFonts w:hint="default" w:ascii="宋体" w:hAnsi="宋体" w:eastAsia="宋体" w:cs="宋体"/>
          <w:color w:val="auto"/>
          <w:sz w:val="24"/>
          <w:szCs w:val="24"/>
          <w:highlight w:val="none"/>
        </w:rPr>
        <w:t>企业为</w:t>
      </w:r>
      <w:r>
        <w:rPr>
          <w:rFonts w:hint="default" w:ascii="宋体" w:hAnsi="宋体" w:eastAsia="宋体" w:cs="宋体"/>
          <w:color w:val="auto"/>
          <w:sz w:val="24"/>
          <w:szCs w:val="24"/>
          <w:highlight w:val="none"/>
          <w:u w:val="single"/>
        </w:rPr>
        <w:t>（企业名称）</w:t>
      </w:r>
      <w:r>
        <w:rPr>
          <w:rFonts w:hint="default" w:ascii="宋体" w:hAnsi="宋体" w:eastAsia="宋体" w:cs="宋体"/>
          <w:color w:val="auto"/>
          <w:sz w:val="24"/>
          <w:szCs w:val="24"/>
          <w:highlight w:val="none"/>
        </w:rPr>
        <w:t>，从业人员</w:t>
      </w:r>
      <w:r>
        <w:rPr>
          <w:rFonts w:hint="default" w:ascii="宋体" w:hAnsi="宋体" w:eastAsia="宋体" w:cs="宋体"/>
          <w:color w:val="auto"/>
          <w:sz w:val="24"/>
          <w:szCs w:val="24"/>
          <w:highlight w:val="none"/>
          <w:u w:val="single"/>
        </w:rPr>
        <w:t xml:space="preserve">    </w:t>
      </w:r>
      <w:r>
        <w:rPr>
          <w:rFonts w:hint="default" w:ascii="宋体" w:hAnsi="宋体" w:eastAsia="宋体" w:cs="宋体"/>
          <w:color w:val="auto"/>
          <w:sz w:val="24"/>
          <w:szCs w:val="24"/>
          <w:highlight w:val="none"/>
        </w:rPr>
        <w:t>人，营业收入为</w:t>
      </w:r>
      <w:r>
        <w:rPr>
          <w:rFonts w:hint="default" w:ascii="宋体" w:hAnsi="宋体" w:eastAsia="宋体" w:cs="宋体"/>
          <w:color w:val="auto"/>
          <w:sz w:val="24"/>
          <w:szCs w:val="24"/>
          <w:highlight w:val="none"/>
          <w:u w:val="single"/>
        </w:rPr>
        <w:t xml:space="preserve">    </w:t>
      </w:r>
      <w:r>
        <w:rPr>
          <w:rFonts w:hint="default" w:ascii="宋体" w:hAnsi="宋体" w:eastAsia="宋体" w:cs="宋体"/>
          <w:color w:val="auto"/>
          <w:sz w:val="24"/>
          <w:szCs w:val="24"/>
          <w:highlight w:val="none"/>
        </w:rPr>
        <w:t>万元，资产总额为</w:t>
      </w:r>
      <w:r>
        <w:rPr>
          <w:rFonts w:hint="default" w:ascii="宋体" w:hAnsi="宋体" w:eastAsia="宋体" w:cs="宋体"/>
          <w:color w:val="auto"/>
          <w:sz w:val="24"/>
          <w:szCs w:val="24"/>
          <w:highlight w:val="none"/>
          <w:u w:val="single"/>
        </w:rPr>
        <w:t xml:space="preserve">    </w:t>
      </w:r>
      <w:r>
        <w:rPr>
          <w:rFonts w:hint="default" w:ascii="宋体" w:hAnsi="宋体" w:eastAsia="宋体" w:cs="宋体"/>
          <w:color w:val="auto"/>
          <w:sz w:val="24"/>
          <w:szCs w:val="24"/>
          <w:highlight w:val="none"/>
        </w:rPr>
        <w:t>万元，属于（中型企业、小型企业、微型企业）；</w:t>
      </w:r>
    </w:p>
    <w:p w14:paraId="1C4C32D3">
      <w:pPr>
        <w:pStyle w:val="7"/>
        <w:rPr>
          <w:rFonts w:hint="eastAsia"/>
          <w:color w:val="auto"/>
          <w:sz w:val="21"/>
          <w:szCs w:val="24"/>
          <w:highlight w:val="none"/>
        </w:rPr>
      </w:pPr>
    </w:p>
    <w:p w14:paraId="69B59157">
      <w:pPr>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w:t>
      </w:r>
    </w:p>
    <w:p w14:paraId="20EC8486">
      <w:pPr>
        <w:spacing w:line="360" w:lineRule="auto"/>
        <w:ind w:left="-405" w:leftChars="-193" w:right="142" w:firstLine="453" w:firstLineChars="189"/>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以上企业，不属于大企业的分支机构，不存在控股股东为大企业的情形，也不存在与大企业的负责人为同一人的情形。</w:t>
      </w:r>
    </w:p>
    <w:p w14:paraId="70E107BA">
      <w:pPr>
        <w:spacing w:line="360" w:lineRule="auto"/>
        <w:ind w:left="-426" w:right="142" w:firstLine="567"/>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本企业对上述声明内容的真实性负责。如有虚假，将依法承担相应责任。</w:t>
      </w:r>
    </w:p>
    <w:p w14:paraId="63085A28">
      <w:pPr>
        <w:spacing w:line="360" w:lineRule="auto"/>
        <w:ind w:left="3960" w:right="1808"/>
        <w:rPr>
          <w:rFonts w:hint="default" w:ascii="宋体" w:hAnsi="宋体" w:eastAsia="宋体" w:cs="宋体"/>
          <w:color w:val="auto"/>
          <w:sz w:val="24"/>
          <w:szCs w:val="24"/>
          <w:highlight w:val="none"/>
        </w:rPr>
      </w:pPr>
    </w:p>
    <w:p w14:paraId="47D55863">
      <w:pPr>
        <w:autoSpaceDE w:val="0"/>
        <w:autoSpaceDN w:val="0"/>
        <w:spacing w:line="360" w:lineRule="auto"/>
        <w:ind w:left="4335" w:leftChars="1950" w:hanging="240" w:hangingChars="100"/>
        <w:rPr>
          <w:rFonts w:hint="default" w:ascii="宋体" w:hAnsi="宋体" w:eastAsia="宋体" w:cs="宋体"/>
          <w:color w:val="auto"/>
          <w:kern w:val="0"/>
          <w:sz w:val="24"/>
          <w:szCs w:val="24"/>
          <w:highlight w:val="none"/>
        </w:rPr>
      </w:pPr>
    </w:p>
    <w:p w14:paraId="7AB63A1D">
      <w:pPr>
        <w:autoSpaceDE w:val="0"/>
        <w:autoSpaceDN w:val="0"/>
        <w:spacing w:line="360" w:lineRule="auto"/>
        <w:ind w:left="4335" w:leftChars="1950" w:hanging="240" w:hangingChars="100"/>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供应商名称（电子签章）：</w:t>
      </w:r>
    </w:p>
    <w:p w14:paraId="71A02264">
      <w:pPr>
        <w:autoSpaceDE w:val="0"/>
        <w:autoSpaceDN w:val="0"/>
        <w:spacing w:line="360" w:lineRule="auto"/>
        <w:ind w:firstLine="6480" w:firstLineChars="2700"/>
        <w:rPr>
          <w:rFonts w:hint="default" w:ascii="宋体" w:hAnsi="宋体" w:eastAsia="宋体" w:cs="宋体"/>
          <w:color w:val="auto"/>
          <w:kern w:val="0"/>
          <w:sz w:val="24"/>
          <w:szCs w:val="24"/>
          <w:highlight w:val="none"/>
          <w:lang w:val="zh-CN"/>
        </w:rPr>
      </w:pPr>
      <w:r>
        <w:rPr>
          <w:rFonts w:hint="default" w:ascii="宋体" w:hAnsi="宋体" w:eastAsia="宋体" w:cs="宋体"/>
          <w:color w:val="auto"/>
          <w:kern w:val="0"/>
          <w:sz w:val="24"/>
          <w:szCs w:val="24"/>
          <w:highlight w:val="none"/>
          <w:lang w:val="zh-CN"/>
        </w:rPr>
        <w:t>日期：  年  月   日</w:t>
      </w:r>
    </w:p>
    <w:p w14:paraId="5DC66829">
      <w:pPr>
        <w:spacing w:line="360" w:lineRule="auto"/>
        <w:ind w:left="-405" w:leftChars="-193" w:right="142" w:firstLine="453" w:firstLineChars="189"/>
        <w:rPr>
          <w:rFonts w:hint="default" w:ascii="宋体" w:hAnsi="宋体" w:eastAsia="宋体" w:cs="宋体"/>
          <w:color w:val="auto"/>
          <w:sz w:val="24"/>
          <w:szCs w:val="24"/>
          <w:highlight w:val="none"/>
        </w:rPr>
      </w:pPr>
    </w:p>
    <w:p w14:paraId="7DE19092">
      <w:pPr>
        <w:spacing w:line="360" w:lineRule="auto"/>
        <w:ind w:left="-405" w:leftChars="-193" w:right="142" w:firstLine="396" w:firstLineChars="189"/>
        <w:rPr>
          <w:rFonts w:hint="default" w:ascii="宋体" w:hAnsi="宋体" w:eastAsia="宋体" w:cs="宋体"/>
          <w:color w:val="auto"/>
          <w:sz w:val="21"/>
          <w:szCs w:val="21"/>
          <w:highlight w:val="none"/>
        </w:rPr>
      </w:pPr>
      <w:r>
        <w:rPr>
          <w:rFonts w:hint="default" w:ascii="宋体" w:hAnsi="宋体" w:eastAsia="宋体" w:cs="宋体"/>
          <w:color w:val="auto"/>
          <w:sz w:val="21"/>
          <w:szCs w:val="21"/>
          <w:highlight w:val="none"/>
        </w:rPr>
        <w:t>从业人员、营业收入、资产总额填报上一年度数据，无上一年度数据的新成立企业可不填报。</w:t>
      </w:r>
    </w:p>
    <w:p w14:paraId="2EC6478B">
      <w:pPr>
        <w:overflowPunct w:val="0"/>
        <w:spacing w:line="520" w:lineRule="exact"/>
        <w:rPr>
          <w:rFonts w:hint="default" w:ascii="宋体" w:hAnsi="宋体" w:eastAsia="宋体" w:cs="宋体"/>
          <w:b/>
          <w:color w:val="auto"/>
          <w:kern w:val="0"/>
          <w:sz w:val="30"/>
          <w:szCs w:val="30"/>
          <w:highlight w:val="none"/>
        </w:rPr>
      </w:pPr>
    </w:p>
    <w:p w14:paraId="57AF9B5D">
      <w:pPr>
        <w:overflowPunct w:val="0"/>
        <w:spacing w:line="520" w:lineRule="exact"/>
        <w:rPr>
          <w:rFonts w:hint="default" w:ascii="宋体" w:hAnsi="宋体" w:eastAsia="宋体" w:cs="宋体"/>
          <w:b/>
          <w:color w:val="auto"/>
          <w:kern w:val="0"/>
          <w:sz w:val="30"/>
          <w:szCs w:val="30"/>
          <w:highlight w:val="none"/>
        </w:rPr>
      </w:pPr>
    </w:p>
    <w:p w14:paraId="2AF1A816">
      <w:pPr>
        <w:overflowPunct w:val="0"/>
        <w:spacing w:line="520" w:lineRule="exact"/>
        <w:rPr>
          <w:rFonts w:hint="default" w:ascii="宋体" w:hAnsi="宋体" w:eastAsia="宋体" w:cs="宋体"/>
          <w:b/>
          <w:color w:val="auto"/>
          <w:kern w:val="0"/>
          <w:sz w:val="30"/>
          <w:szCs w:val="30"/>
          <w:highlight w:val="none"/>
        </w:rPr>
      </w:pPr>
    </w:p>
    <w:p w14:paraId="03F00014">
      <w:pPr>
        <w:overflowPunct w:val="0"/>
        <w:spacing w:line="520" w:lineRule="exact"/>
        <w:rPr>
          <w:rFonts w:hint="default" w:ascii="宋体" w:hAnsi="宋体" w:eastAsia="宋体" w:cs="宋体"/>
          <w:b/>
          <w:color w:val="auto"/>
          <w:kern w:val="0"/>
          <w:sz w:val="30"/>
          <w:szCs w:val="30"/>
          <w:highlight w:val="none"/>
        </w:rPr>
      </w:pPr>
    </w:p>
    <w:p w14:paraId="21DE0437">
      <w:pPr>
        <w:overflowPunct w:val="0"/>
        <w:spacing w:line="520" w:lineRule="exact"/>
        <w:rPr>
          <w:rFonts w:hint="default" w:ascii="宋体" w:hAnsi="宋体" w:eastAsia="宋体" w:cs="宋体"/>
          <w:b/>
          <w:color w:val="auto"/>
          <w:kern w:val="0"/>
          <w:sz w:val="30"/>
          <w:szCs w:val="30"/>
          <w:highlight w:val="none"/>
        </w:rPr>
      </w:pPr>
    </w:p>
    <w:p w14:paraId="7A017FF7">
      <w:pPr>
        <w:overflowPunct w:val="0"/>
        <w:spacing w:line="520" w:lineRule="exact"/>
        <w:rPr>
          <w:rFonts w:hint="default" w:ascii="宋体" w:hAnsi="宋体" w:eastAsia="宋体" w:cs="宋体"/>
          <w:b/>
          <w:color w:val="auto"/>
          <w:sz w:val="30"/>
          <w:szCs w:val="30"/>
          <w:highlight w:val="none"/>
        </w:rPr>
      </w:pPr>
      <w:r>
        <w:rPr>
          <w:rFonts w:hint="default" w:ascii="宋体" w:hAnsi="宋体" w:eastAsia="宋体" w:cs="宋体"/>
          <w:b/>
          <w:color w:val="auto"/>
          <w:sz w:val="30"/>
          <w:szCs w:val="30"/>
          <w:highlight w:val="none"/>
        </w:rPr>
        <w:t>八、符合特定资格条件（如果项目要求）的有关证明材料（复印件）</w:t>
      </w:r>
    </w:p>
    <w:p w14:paraId="27E7C0FC">
      <w:pPr>
        <w:snapToGrid w:val="0"/>
        <w:spacing w:line="360" w:lineRule="auto"/>
        <w:ind w:firstLine="602" w:firstLineChars="200"/>
        <w:rPr>
          <w:rFonts w:hint="default" w:ascii="宋体" w:hAnsi="宋体" w:eastAsia="宋体" w:cs="宋体"/>
          <w:b/>
          <w:color w:val="auto"/>
          <w:sz w:val="30"/>
          <w:szCs w:val="30"/>
          <w:highlight w:val="none"/>
        </w:rPr>
      </w:pPr>
    </w:p>
    <w:p w14:paraId="2A84FBE8">
      <w:pPr>
        <w:autoSpaceDE w:val="0"/>
        <w:autoSpaceDN w:val="0"/>
        <w:spacing w:line="360" w:lineRule="auto"/>
        <w:ind w:left="4335" w:leftChars="1950" w:hanging="240" w:hangingChars="100"/>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供应商名称（电子签章）：</w:t>
      </w:r>
    </w:p>
    <w:p w14:paraId="3333DC73">
      <w:pPr>
        <w:autoSpaceDE w:val="0"/>
        <w:autoSpaceDN w:val="0"/>
        <w:spacing w:line="360" w:lineRule="auto"/>
        <w:ind w:firstLine="6480" w:firstLineChars="2700"/>
        <w:rPr>
          <w:rFonts w:hint="default" w:ascii="宋体" w:hAnsi="宋体" w:eastAsia="宋体" w:cs="宋体"/>
          <w:color w:val="auto"/>
          <w:kern w:val="0"/>
          <w:sz w:val="24"/>
          <w:szCs w:val="24"/>
          <w:highlight w:val="none"/>
          <w:lang w:val="zh-CN"/>
        </w:rPr>
      </w:pPr>
      <w:r>
        <w:rPr>
          <w:rFonts w:hint="default" w:ascii="宋体" w:hAnsi="宋体" w:eastAsia="宋体" w:cs="宋体"/>
          <w:color w:val="auto"/>
          <w:kern w:val="0"/>
          <w:sz w:val="24"/>
          <w:szCs w:val="24"/>
          <w:highlight w:val="none"/>
          <w:lang w:val="zh-CN"/>
        </w:rPr>
        <w:t>日期：  年  月   日</w:t>
      </w:r>
    </w:p>
    <w:p w14:paraId="31AA5E09">
      <w:pPr>
        <w:pStyle w:val="7"/>
        <w:rPr>
          <w:rFonts w:hint="default" w:ascii="宋体" w:hAnsi="宋体" w:eastAsia="宋体" w:cs="宋体"/>
          <w:color w:val="auto"/>
          <w:kern w:val="0"/>
          <w:sz w:val="24"/>
          <w:szCs w:val="24"/>
          <w:highlight w:val="none"/>
          <w:lang w:val="zh-CN"/>
        </w:rPr>
      </w:pPr>
    </w:p>
    <w:p w14:paraId="34AF79C5">
      <w:pPr>
        <w:pStyle w:val="7"/>
        <w:rPr>
          <w:rFonts w:hint="default" w:ascii="宋体" w:eastAsia="宋体"/>
          <w:color w:val="auto"/>
          <w:sz w:val="21"/>
          <w:szCs w:val="24"/>
          <w:highlight w:val="none"/>
          <w:lang w:val="zh-CN"/>
        </w:rPr>
      </w:pPr>
    </w:p>
    <w:p w14:paraId="109C39D5">
      <w:pPr>
        <w:pStyle w:val="7"/>
        <w:rPr>
          <w:rFonts w:hint="default" w:ascii="宋体" w:hAnsi="宋体" w:eastAsia="宋体" w:cs="宋体"/>
          <w:color w:val="auto"/>
          <w:kern w:val="0"/>
          <w:sz w:val="24"/>
          <w:szCs w:val="24"/>
          <w:highlight w:val="none"/>
          <w:lang w:val="zh-CN"/>
        </w:rPr>
      </w:pPr>
    </w:p>
    <w:p w14:paraId="3BE3A5A6">
      <w:pPr>
        <w:snapToGrid w:val="0"/>
        <w:spacing w:line="360" w:lineRule="auto"/>
        <w:rPr>
          <w:rFonts w:hint="default" w:ascii="宋体" w:hAnsi="宋体" w:eastAsia="宋体" w:cs="宋体"/>
          <w:b/>
          <w:color w:val="auto"/>
          <w:sz w:val="30"/>
          <w:szCs w:val="30"/>
          <w:highlight w:val="none"/>
        </w:rPr>
      </w:pPr>
      <w:bookmarkStart w:id="78" w:name="_Toc80205940"/>
      <w:bookmarkStart w:id="79" w:name="_Toc15125"/>
      <w:r>
        <w:rPr>
          <w:rFonts w:hint="default" w:ascii="宋体" w:hAnsi="宋体" w:eastAsia="宋体" w:cs="宋体"/>
          <w:b/>
          <w:color w:val="auto"/>
          <w:sz w:val="30"/>
          <w:szCs w:val="30"/>
          <w:highlight w:val="none"/>
        </w:rPr>
        <w:t>九、除磋商文件规定必须提供以外，供应商认为需要提供的其他证明材料</w:t>
      </w:r>
    </w:p>
    <w:p w14:paraId="47F572FD">
      <w:pPr>
        <w:snapToGrid w:val="0"/>
        <w:spacing w:line="360" w:lineRule="auto"/>
        <w:ind w:firstLine="602" w:firstLineChars="200"/>
        <w:rPr>
          <w:rFonts w:hint="default" w:ascii="宋体" w:hAnsi="宋体" w:eastAsia="宋体" w:cs="宋体"/>
          <w:b/>
          <w:color w:val="auto"/>
          <w:sz w:val="30"/>
          <w:szCs w:val="30"/>
          <w:highlight w:val="none"/>
        </w:rPr>
      </w:pPr>
    </w:p>
    <w:p w14:paraId="7C958854">
      <w:pPr>
        <w:spacing w:line="360" w:lineRule="auto"/>
        <w:ind w:firstLine="2400" w:firstLineChars="10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供应商名称（电子签章）：</w:t>
      </w:r>
    </w:p>
    <w:p w14:paraId="16FC11C3">
      <w:pPr>
        <w:spacing w:line="360" w:lineRule="auto"/>
        <w:ind w:firstLine="4320" w:firstLineChars="18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日  期：   年   月   日</w:t>
      </w:r>
    </w:p>
    <w:p w14:paraId="034A2C5E">
      <w:pPr>
        <w:pStyle w:val="7"/>
        <w:rPr>
          <w:rFonts w:hint="default" w:ascii="宋体" w:hAnsi="宋体" w:eastAsia="宋体" w:cs="宋体"/>
          <w:color w:val="auto"/>
          <w:sz w:val="24"/>
          <w:szCs w:val="24"/>
          <w:highlight w:val="none"/>
        </w:rPr>
      </w:pPr>
    </w:p>
    <w:p w14:paraId="6FD8F965">
      <w:pPr>
        <w:pStyle w:val="14"/>
        <w:rPr>
          <w:rFonts w:hint="default" w:ascii="宋体" w:hAnsi="宋体" w:eastAsia="宋体" w:cs="宋体"/>
          <w:color w:val="auto"/>
          <w:sz w:val="24"/>
          <w:szCs w:val="24"/>
          <w:highlight w:val="none"/>
        </w:rPr>
      </w:pPr>
    </w:p>
    <w:p w14:paraId="498616FA">
      <w:pPr>
        <w:rPr>
          <w:rFonts w:hint="default" w:ascii="宋体" w:hAnsi="宋体" w:eastAsia="宋体" w:cs="宋体"/>
          <w:color w:val="auto"/>
          <w:sz w:val="24"/>
          <w:szCs w:val="24"/>
          <w:highlight w:val="none"/>
        </w:rPr>
      </w:pPr>
    </w:p>
    <w:p w14:paraId="2D9FBD72">
      <w:pPr>
        <w:pStyle w:val="7"/>
        <w:rPr>
          <w:rFonts w:hint="default" w:ascii="宋体" w:hAnsi="宋体" w:eastAsia="宋体" w:cs="宋体"/>
          <w:color w:val="auto"/>
          <w:sz w:val="24"/>
          <w:szCs w:val="24"/>
          <w:highlight w:val="none"/>
        </w:rPr>
      </w:pPr>
    </w:p>
    <w:p w14:paraId="1A474ACE">
      <w:pPr>
        <w:pStyle w:val="14"/>
        <w:rPr>
          <w:rFonts w:hint="default" w:ascii="宋体" w:hAnsi="宋体" w:eastAsia="宋体" w:cs="宋体"/>
          <w:color w:val="auto"/>
          <w:sz w:val="24"/>
          <w:szCs w:val="24"/>
          <w:highlight w:val="none"/>
        </w:rPr>
      </w:pPr>
    </w:p>
    <w:p w14:paraId="2B4DA66A">
      <w:pPr>
        <w:rPr>
          <w:rFonts w:hint="default" w:ascii="宋体" w:hAnsi="宋体" w:eastAsia="宋体" w:cs="宋体"/>
          <w:color w:val="auto"/>
          <w:sz w:val="24"/>
          <w:szCs w:val="24"/>
          <w:highlight w:val="none"/>
        </w:rPr>
      </w:pPr>
    </w:p>
    <w:p w14:paraId="2D4259B6">
      <w:pPr>
        <w:pStyle w:val="7"/>
        <w:rPr>
          <w:rFonts w:hint="default" w:ascii="宋体" w:hAnsi="宋体" w:eastAsia="宋体" w:cs="宋体"/>
          <w:color w:val="auto"/>
          <w:sz w:val="24"/>
          <w:szCs w:val="24"/>
          <w:highlight w:val="none"/>
        </w:rPr>
      </w:pPr>
    </w:p>
    <w:p w14:paraId="2FC449CC">
      <w:pPr>
        <w:pStyle w:val="14"/>
        <w:rPr>
          <w:rFonts w:hint="default" w:ascii="宋体" w:hAnsi="宋体" w:eastAsia="宋体" w:cs="宋体"/>
          <w:color w:val="auto"/>
          <w:sz w:val="24"/>
          <w:szCs w:val="24"/>
          <w:highlight w:val="none"/>
        </w:rPr>
      </w:pPr>
    </w:p>
    <w:p w14:paraId="53CAD764">
      <w:pPr>
        <w:rPr>
          <w:rFonts w:hint="default" w:ascii="宋体" w:hAnsi="宋体" w:eastAsia="宋体" w:cs="宋体"/>
          <w:color w:val="auto"/>
          <w:sz w:val="24"/>
          <w:szCs w:val="24"/>
          <w:highlight w:val="none"/>
        </w:rPr>
      </w:pPr>
    </w:p>
    <w:p w14:paraId="7B80919E">
      <w:pPr>
        <w:pStyle w:val="7"/>
        <w:rPr>
          <w:rFonts w:hint="default" w:ascii="宋体" w:hAnsi="宋体" w:eastAsia="宋体" w:cs="宋体"/>
          <w:color w:val="auto"/>
          <w:sz w:val="24"/>
          <w:szCs w:val="24"/>
          <w:highlight w:val="none"/>
        </w:rPr>
      </w:pPr>
    </w:p>
    <w:p w14:paraId="362FBBDE">
      <w:pPr>
        <w:pStyle w:val="14"/>
        <w:rPr>
          <w:rFonts w:hint="default" w:ascii="宋体" w:hAnsi="宋体" w:eastAsia="宋体" w:cs="宋体"/>
          <w:color w:val="auto"/>
          <w:sz w:val="24"/>
          <w:szCs w:val="24"/>
          <w:highlight w:val="none"/>
        </w:rPr>
      </w:pPr>
    </w:p>
    <w:p w14:paraId="71122C5D">
      <w:pPr>
        <w:rPr>
          <w:rFonts w:hint="default" w:ascii="宋体" w:hAnsi="宋体" w:eastAsia="宋体" w:cs="宋体"/>
          <w:color w:val="auto"/>
          <w:sz w:val="24"/>
          <w:szCs w:val="24"/>
          <w:highlight w:val="none"/>
        </w:rPr>
      </w:pPr>
    </w:p>
    <w:p w14:paraId="1A523B7F">
      <w:pPr>
        <w:pStyle w:val="7"/>
        <w:rPr>
          <w:rFonts w:hint="default" w:ascii="宋体" w:hAnsi="宋体" w:eastAsia="宋体" w:cs="宋体"/>
          <w:color w:val="auto"/>
          <w:sz w:val="24"/>
          <w:szCs w:val="24"/>
          <w:highlight w:val="none"/>
        </w:rPr>
      </w:pPr>
    </w:p>
    <w:p w14:paraId="19669EA5">
      <w:pPr>
        <w:pStyle w:val="14"/>
        <w:rPr>
          <w:rFonts w:hint="default" w:ascii="宋体" w:hAnsi="宋体" w:eastAsia="宋体" w:cs="宋体"/>
          <w:color w:val="auto"/>
          <w:sz w:val="24"/>
          <w:szCs w:val="24"/>
          <w:highlight w:val="none"/>
        </w:rPr>
      </w:pPr>
    </w:p>
    <w:p w14:paraId="4DA2C558">
      <w:pPr>
        <w:rPr>
          <w:rFonts w:hint="default" w:ascii="宋体" w:hAnsi="宋体" w:eastAsia="宋体" w:cs="宋体"/>
          <w:color w:val="auto"/>
          <w:sz w:val="24"/>
          <w:szCs w:val="24"/>
          <w:highlight w:val="none"/>
        </w:rPr>
      </w:pPr>
    </w:p>
    <w:p w14:paraId="10139D1A">
      <w:pPr>
        <w:pStyle w:val="7"/>
        <w:rPr>
          <w:rFonts w:hint="default" w:ascii="宋体" w:hAnsi="宋体" w:eastAsia="宋体" w:cs="宋体"/>
          <w:color w:val="auto"/>
          <w:sz w:val="24"/>
          <w:szCs w:val="24"/>
          <w:highlight w:val="none"/>
        </w:rPr>
      </w:pPr>
    </w:p>
    <w:p w14:paraId="52650A43">
      <w:pPr>
        <w:pStyle w:val="14"/>
        <w:rPr>
          <w:rFonts w:hint="default" w:ascii="宋体" w:hAnsi="宋体" w:eastAsia="宋体" w:cs="宋体"/>
          <w:color w:val="auto"/>
          <w:sz w:val="24"/>
          <w:szCs w:val="24"/>
          <w:highlight w:val="none"/>
        </w:rPr>
      </w:pPr>
    </w:p>
    <w:p w14:paraId="6923F7E6">
      <w:pPr>
        <w:rPr>
          <w:rFonts w:hint="default" w:ascii="宋体" w:hAnsi="宋体" w:eastAsia="宋体" w:cs="宋体"/>
          <w:color w:val="auto"/>
          <w:sz w:val="24"/>
          <w:szCs w:val="24"/>
          <w:highlight w:val="none"/>
        </w:rPr>
      </w:pPr>
    </w:p>
    <w:p w14:paraId="79EA414D">
      <w:pPr>
        <w:pStyle w:val="7"/>
        <w:rPr>
          <w:rFonts w:hint="default" w:ascii="宋体" w:hAnsi="宋体" w:eastAsia="宋体" w:cs="宋体"/>
          <w:color w:val="auto"/>
          <w:sz w:val="24"/>
          <w:szCs w:val="24"/>
          <w:highlight w:val="none"/>
        </w:rPr>
      </w:pPr>
    </w:p>
    <w:p w14:paraId="2740ECBC">
      <w:pPr>
        <w:pStyle w:val="14"/>
        <w:rPr>
          <w:rFonts w:hint="default" w:ascii="宋体" w:hAnsi="宋体" w:eastAsia="宋体" w:cs="宋体"/>
          <w:color w:val="auto"/>
          <w:sz w:val="24"/>
          <w:szCs w:val="24"/>
          <w:highlight w:val="none"/>
        </w:rPr>
      </w:pPr>
    </w:p>
    <w:p w14:paraId="579FE6F9">
      <w:pPr>
        <w:rPr>
          <w:rFonts w:hint="default" w:ascii="宋体" w:eastAsia="宋体"/>
          <w:color w:val="auto"/>
          <w:sz w:val="21"/>
          <w:szCs w:val="24"/>
          <w:highlight w:val="none"/>
        </w:rPr>
      </w:pPr>
    </w:p>
    <w:p w14:paraId="1B40C58E">
      <w:pPr>
        <w:keepNext/>
        <w:keepLines/>
        <w:spacing w:before="260" w:after="260" w:line="416" w:lineRule="auto"/>
        <w:jc w:val="center"/>
        <w:outlineLvl w:val="1"/>
        <w:rPr>
          <w:rFonts w:hint="default" w:ascii="宋体" w:hAnsi="宋体" w:eastAsia="宋体" w:cs="宋体"/>
          <w:color w:val="auto"/>
          <w:sz w:val="32"/>
          <w:szCs w:val="32"/>
          <w:highlight w:val="none"/>
        </w:rPr>
      </w:pPr>
      <w:r>
        <w:rPr>
          <w:rFonts w:hint="default" w:ascii="宋体" w:hAnsi="宋体" w:eastAsia="宋体" w:cs="宋体"/>
          <w:color w:val="auto"/>
          <w:sz w:val="32"/>
          <w:szCs w:val="32"/>
          <w:highlight w:val="none"/>
        </w:rPr>
        <w:t>第三节 商务技术文件格式</w:t>
      </w:r>
      <w:bookmarkEnd w:id="78"/>
      <w:bookmarkEnd w:id="79"/>
    </w:p>
    <w:p w14:paraId="3487D8FE">
      <w:pPr>
        <w:snapToGrid w:val="0"/>
        <w:spacing w:before="120" w:beforeLines="50" w:after="50"/>
        <w:rPr>
          <w:rFonts w:hint="default" w:ascii="宋体" w:hAnsi="宋体" w:eastAsia="宋体" w:cs="宋体"/>
          <w:color w:val="auto"/>
          <w:sz w:val="32"/>
          <w:szCs w:val="20"/>
          <w:highlight w:val="none"/>
        </w:rPr>
      </w:pPr>
      <w:r>
        <w:rPr>
          <w:rFonts w:hint="default" w:ascii="宋体" w:hAnsi="宋体" w:eastAsia="宋体" w:cs="宋体"/>
          <w:color w:val="auto"/>
          <w:sz w:val="24"/>
          <w:szCs w:val="24"/>
          <w:highlight w:val="none"/>
        </w:rPr>
        <w:t xml:space="preserve">                                                    </w:t>
      </w:r>
      <w:r>
        <w:rPr>
          <w:rFonts w:hint="default" w:ascii="宋体" w:hAnsi="宋体" w:eastAsia="宋体" w:cs="宋体"/>
          <w:color w:val="auto"/>
          <w:sz w:val="21"/>
          <w:szCs w:val="24"/>
          <w:highlight w:val="none"/>
        </w:rPr>
        <w:t>全流程电子文件</w:t>
      </w:r>
    </w:p>
    <w:p w14:paraId="61931408">
      <w:pPr>
        <w:snapToGrid w:val="0"/>
        <w:spacing w:before="120" w:beforeLines="50" w:after="50"/>
        <w:rPr>
          <w:rFonts w:hint="default" w:ascii="宋体" w:hAnsi="宋体" w:eastAsia="宋体" w:cs="宋体"/>
          <w:color w:val="auto"/>
          <w:sz w:val="24"/>
          <w:szCs w:val="20"/>
          <w:highlight w:val="none"/>
        </w:rPr>
      </w:pPr>
    </w:p>
    <w:p w14:paraId="758469F4">
      <w:pPr>
        <w:snapToGrid w:val="0"/>
        <w:spacing w:before="120" w:beforeLines="50" w:after="50"/>
        <w:rPr>
          <w:rFonts w:hint="default" w:ascii="宋体" w:hAnsi="宋体" w:eastAsia="宋体" w:cs="宋体"/>
          <w:color w:val="auto"/>
          <w:sz w:val="24"/>
          <w:szCs w:val="20"/>
          <w:highlight w:val="none"/>
        </w:rPr>
      </w:pPr>
    </w:p>
    <w:p w14:paraId="7A5E7704">
      <w:pPr>
        <w:snapToGrid w:val="0"/>
        <w:spacing w:before="120" w:beforeLines="50" w:after="50"/>
        <w:rPr>
          <w:rFonts w:hint="default" w:ascii="宋体" w:hAnsi="宋体" w:eastAsia="宋体" w:cs="宋体"/>
          <w:color w:val="auto"/>
          <w:sz w:val="24"/>
          <w:szCs w:val="20"/>
          <w:highlight w:val="none"/>
        </w:rPr>
      </w:pPr>
    </w:p>
    <w:p w14:paraId="77369B9E">
      <w:pPr>
        <w:snapToGrid w:val="0"/>
        <w:spacing w:before="120" w:beforeLines="50" w:after="50"/>
        <w:jc w:val="center"/>
        <w:rPr>
          <w:rFonts w:hint="default" w:ascii="宋体" w:hAnsi="宋体" w:eastAsia="宋体" w:cs="宋体"/>
          <w:color w:val="auto"/>
          <w:sz w:val="44"/>
          <w:szCs w:val="44"/>
          <w:highlight w:val="none"/>
        </w:rPr>
      </w:pPr>
      <w:r>
        <w:rPr>
          <w:rFonts w:hint="default" w:ascii="宋体" w:hAnsi="宋体" w:eastAsia="宋体" w:cs="宋体"/>
          <w:color w:val="auto"/>
          <w:sz w:val="44"/>
          <w:szCs w:val="44"/>
          <w:highlight w:val="none"/>
        </w:rPr>
        <w:t>商  务  技  术  文  件（封面）</w:t>
      </w:r>
    </w:p>
    <w:p w14:paraId="7EF0E3EF">
      <w:pPr>
        <w:snapToGrid w:val="0"/>
        <w:spacing w:before="120" w:beforeLines="50" w:after="50"/>
        <w:rPr>
          <w:rFonts w:hint="default" w:ascii="宋体" w:hAnsi="宋体" w:eastAsia="宋体" w:cs="宋体"/>
          <w:color w:val="auto"/>
          <w:sz w:val="24"/>
          <w:szCs w:val="20"/>
          <w:highlight w:val="none"/>
        </w:rPr>
      </w:pPr>
    </w:p>
    <w:p w14:paraId="5DA0EE92">
      <w:pPr>
        <w:snapToGrid w:val="0"/>
        <w:spacing w:before="120" w:beforeLines="50" w:after="50"/>
        <w:rPr>
          <w:rFonts w:hint="default" w:ascii="宋体" w:hAnsi="宋体" w:eastAsia="宋体" w:cs="宋体"/>
          <w:color w:val="auto"/>
          <w:sz w:val="24"/>
          <w:szCs w:val="20"/>
          <w:highlight w:val="none"/>
        </w:rPr>
      </w:pPr>
    </w:p>
    <w:p w14:paraId="6C2C4C36">
      <w:pPr>
        <w:snapToGrid w:val="0"/>
        <w:spacing w:before="120" w:beforeLines="50" w:after="50"/>
        <w:rPr>
          <w:rFonts w:hint="default" w:ascii="宋体" w:hAnsi="宋体" w:eastAsia="宋体" w:cs="宋体"/>
          <w:color w:val="auto"/>
          <w:sz w:val="24"/>
          <w:szCs w:val="20"/>
          <w:highlight w:val="none"/>
        </w:rPr>
      </w:pPr>
    </w:p>
    <w:p w14:paraId="15C919CC">
      <w:pPr>
        <w:snapToGrid w:val="0"/>
        <w:spacing w:before="120" w:beforeLines="50" w:after="50"/>
        <w:rPr>
          <w:rFonts w:hint="default" w:ascii="宋体" w:hAnsi="宋体" w:eastAsia="宋体" w:cs="宋体"/>
          <w:color w:val="auto"/>
          <w:sz w:val="24"/>
          <w:szCs w:val="20"/>
          <w:highlight w:val="none"/>
        </w:rPr>
      </w:pPr>
    </w:p>
    <w:p w14:paraId="11DF0331">
      <w:pPr>
        <w:snapToGrid w:val="0"/>
        <w:spacing w:before="120" w:beforeLines="50" w:after="50"/>
        <w:rPr>
          <w:rFonts w:hint="default" w:ascii="宋体" w:hAnsi="宋体" w:eastAsia="宋体" w:cs="宋体"/>
          <w:color w:val="auto"/>
          <w:sz w:val="24"/>
          <w:szCs w:val="20"/>
          <w:highlight w:val="none"/>
        </w:rPr>
      </w:pPr>
    </w:p>
    <w:p w14:paraId="14DFA1D6">
      <w:pPr>
        <w:snapToGrid w:val="0"/>
        <w:spacing w:before="120" w:beforeLines="50" w:after="50"/>
        <w:ind w:firstLine="640" w:firstLineChars="200"/>
        <w:rPr>
          <w:rFonts w:hint="default" w:ascii="宋体" w:hAnsi="宋体" w:eastAsia="宋体" w:cs="宋体"/>
          <w:color w:val="auto"/>
          <w:sz w:val="32"/>
          <w:szCs w:val="32"/>
          <w:highlight w:val="none"/>
        </w:rPr>
      </w:pPr>
      <w:r>
        <w:rPr>
          <w:rFonts w:hint="default" w:ascii="宋体" w:hAnsi="宋体" w:eastAsia="宋体" w:cs="宋体"/>
          <w:color w:val="auto"/>
          <w:sz w:val="32"/>
          <w:szCs w:val="32"/>
          <w:highlight w:val="none"/>
        </w:rPr>
        <w:t>项目名称：</w:t>
      </w:r>
    </w:p>
    <w:p w14:paraId="3D3F8945">
      <w:pPr>
        <w:snapToGrid w:val="0"/>
        <w:spacing w:before="120" w:beforeLines="50" w:after="50"/>
        <w:ind w:firstLine="640" w:firstLineChars="200"/>
        <w:rPr>
          <w:rFonts w:hint="default" w:ascii="宋体" w:hAnsi="宋体" w:eastAsia="宋体" w:cs="宋体"/>
          <w:color w:val="auto"/>
          <w:sz w:val="32"/>
          <w:szCs w:val="32"/>
          <w:highlight w:val="none"/>
        </w:rPr>
      </w:pPr>
    </w:p>
    <w:p w14:paraId="287325D9">
      <w:pPr>
        <w:snapToGrid w:val="0"/>
        <w:spacing w:before="120" w:beforeLines="50" w:after="50"/>
        <w:ind w:firstLine="640" w:firstLineChars="200"/>
        <w:rPr>
          <w:rFonts w:hint="default" w:ascii="宋体" w:hAnsi="宋体" w:eastAsia="宋体" w:cs="宋体"/>
          <w:color w:val="auto"/>
          <w:sz w:val="32"/>
          <w:szCs w:val="32"/>
          <w:highlight w:val="none"/>
        </w:rPr>
      </w:pPr>
      <w:r>
        <w:rPr>
          <w:rFonts w:hint="default" w:ascii="宋体" w:hAnsi="宋体" w:eastAsia="宋体" w:cs="宋体"/>
          <w:color w:val="auto"/>
          <w:sz w:val="32"/>
          <w:szCs w:val="32"/>
          <w:highlight w:val="none"/>
        </w:rPr>
        <w:t>项目编号：</w:t>
      </w:r>
    </w:p>
    <w:p w14:paraId="7E4396B6">
      <w:pPr>
        <w:snapToGrid w:val="0"/>
        <w:spacing w:before="120" w:beforeLines="50" w:after="50"/>
        <w:ind w:firstLine="640" w:firstLineChars="200"/>
        <w:rPr>
          <w:rFonts w:hint="default" w:ascii="宋体" w:hAnsi="宋体" w:eastAsia="宋体" w:cs="宋体"/>
          <w:color w:val="auto"/>
          <w:sz w:val="32"/>
          <w:szCs w:val="32"/>
          <w:highlight w:val="none"/>
        </w:rPr>
      </w:pPr>
      <w:r>
        <w:rPr>
          <w:rFonts w:hint="default" w:ascii="宋体" w:hAnsi="宋体" w:eastAsia="宋体" w:cs="宋体"/>
          <w:color w:val="auto"/>
          <w:sz w:val="32"/>
          <w:szCs w:val="32"/>
          <w:highlight w:val="none"/>
        </w:rPr>
        <w:t xml:space="preserve"> </w:t>
      </w:r>
    </w:p>
    <w:p w14:paraId="2709B3AA">
      <w:pPr>
        <w:snapToGrid w:val="0"/>
        <w:spacing w:before="120" w:beforeLines="50" w:after="50"/>
        <w:ind w:firstLine="640" w:firstLineChars="200"/>
        <w:rPr>
          <w:rFonts w:hint="default" w:ascii="宋体" w:hAnsi="宋体" w:eastAsia="宋体" w:cs="宋体"/>
          <w:color w:val="auto"/>
          <w:sz w:val="32"/>
          <w:szCs w:val="32"/>
          <w:highlight w:val="none"/>
        </w:rPr>
      </w:pPr>
      <w:r>
        <w:rPr>
          <w:rFonts w:hint="default" w:ascii="宋体" w:hAnsi="宋体" w:eastAsia="宋体" w:cs="宋体"/>
          <w:color w:val="auto"/>
          <w:sz w:val="32"/>
          <w:szCs w:val="32"/>
          <w:highlight w:val="none"/>
        </w:rPr>
        <w:t>所竞分标（如有则填写，无分标时填写“无”或者留空）：</w:t>
      </w:r>
    </w:p>
    <w:p w14:paraId="116269DB">
      <w:pPr>
        <w:snapToGrid w:val="0"/>
        <w:spacing w:before="120" w:beforeLines="50" w:after="50"/>
        <w:ind w:firstLine="720" w:firstLineChars="225"/>
        <w:rPr>
          <w:rFonts w:hint="default" w:ascii="宋体" w:hAnsi="宋体" w:eastAsia="宋体" w:cs="宋体"/>
          <w:color w:val="auto"/>
          <w:sz w:val="32"/>
          <w:szCs w:val="32"/>
          <w:highlight w:val="none"/>
        </w:rPr>
      </w:pPr>
    </w:p>
    <w:p w14:paraId="2FD23B97">
      <w:pPr>
        <w:snapToGrid w:val="0"/>
        <w:spacing w:before="50" w:after="50"/>
        <w:ind w:firstLine="640" w:firstLineChars="200"/>
        <w:rPr>
          <w:rFonts w:hint="default" w:ascii="宋体" w:hAnsi="宋体" w:eastAsia="宋体" w:cs="宋体"/>
          <w:color w:val="auto"/>
          <w:sz w:val="32"/>
          <w:szCs w:val="32"/>
          <w:highlight w:val="none"/>
        </w:rPr>
      </w:pPr>
      <w:r>
        <w:rPr>
          <w:rFonts w:hint="default" w:ascii="宋体" w:hAnsi="宋体" w:eastAsia="宋体" w:cs="宋体"/>
          <w:color w:val="auto"/>
          <w:sz w:val="32"/>
          <w:szCs w:val="32"/>
          <w:highlight w:val="none"/>
        </w:rPr>
        <w:t>供应商名称：</w:t>
      </w:r>
    </w:p>
    <w:p w14:paraId="7C1B5899">
      <w:pPr>
        <w:snapToGrid w:val="0"/>
        <w:spacing w:before="50" w:after="50"/>
        <w:ind w:firstLine="720" w:firstLineChars="225"/>
        <w:rPr>
          <w:rFonts w:hint="default" w:ascii="宋体" w:hAnsi="宋体" w:eastAsia="宋体" w:cs="宋体"/>
          <w:color w:val="auto"/>
          <w:sz w:val="32"/>
          <w:szCs w:val="32"/>
          <w:highlight w:val="none"/>
        </w:rPr>
      </w:pPr>
    </w:p>
    <w:p w14:paraId="55B7EC0E">
      <w:pPr>
        <w:snapToGrid w:val="0"/>
        <w:spacing w:before="50" w:after="50"/>
        <w:ind w:firstLine="720" w:firstLineChars="225"/>
        <w:rPr>
          <w:rFonts w:hint="default" w:ascii="宋体" w:hAnsi="宋体" w:eastAsia="宋体" w:cs="宋体"/>
          <w:color w:val="auto"/>
          <w:sz w:val="32"/>
          <w:szCs w:val="32"/>
          <w:highlight w:val="none"/>
        </w:rPr>
      </w:pPr>
    </w:p>
    <w:p w14:paraId="2B7BA963">
      <w:pPr>
        <w:snapToGrid w:val="0"/>
        <w:spacing w:before="50" w:after="50"/>
        <w:ind w:firstLine="1280" w:firstLineChars="400"/>
        <w:rPr>
          <w:rFonts w:hint="default" w:ascii="宋体" w:hAnsi="宋体" w:eastAsia="宋体" w:cs="宋体"/>
          <w:color w:val="auto"/>
          <w:sz w:val="32"/>
          <w:szCs w:val="32"/>
          <w:highlight w:val="none"/>
        </w:rPr>
      </w:pPr>
    </w:p>
    <w:p w14:paraId="57718D8E">
      <w:pPr>
        <w:snapToGrid w:val="0"/>
        <w:spacing w:before="120" w:beforeLines="50" w:after="50"/>
        <w:jc w:val="center"/>
        <w:rPr>
          <w:rFonts w:hint="default" w:ascii="宋体" w:hAnsi="宋体" w:eastAsia="宋体" w:cs="宋体"/>
          <w:color w:val="auto"/>
          <w:sz w:val="32"/>
          <w:szCs w:val="32"/>
          <w:highlight w:val="none"/>
        </w:rPr>
      </w:pPr>
      <w:r>
        <w:rPr>
          <w:rFonts w:hint="default" w:ascii="宋体" w:hAnsi="宋体" w:eastAsia="宋体" w:cs="宋体"/>
          <w:color w:val="auto"/>
          <w:sz w:val="32"/>
          <w:szCs w:val="32"/>
          <w:highlight w:val="none"/>
        </w:rPr>
        <w:t>年    月    日</w:t>
      </w:r>
    </w:p>
    <w:p w14:paraId="5423297F">
      <w:pPr>
        <w:widowControl/>
        <w:spacing w:line="360" w:lineRule="auto"/>
        <w:jc w:val="left"/>
        <w:rPr>
          <w:rFonts w:hint="default" w:ascii="宋体" w:hAnsi="宋体" w:eastAsia="宋体" w:cs="宋体"/>
          <w:b/>
          <w:color w:val="auto"/>
          <w:sz w:val="32"/>
          <w:szCs w:val="32"/>
          <w:highlight w:val="none"/>
        </w:rPr>
        <w:sectPr>
          <w:pgSz w:w="11910" w:h="16840"/>
          <w:pgMar w:top="1340" w:right="1500" w:bottom="280" w:left="1680" w:header="720" w:footer="720" w:gutter="0"/>
          <w:lnNumType w:countBy="0" w:distance="360"/>
          <w:cols w:space="720" w:num="1"/>
        </w:sectPr>
      </w:pPr>
    </w:p>
    <w:p w14:paraId="5540D762">
      <w:pPr>
        <w:jc w:val="center"/>
        <w:rPr>
          <w:rFonts w:hint="default" w:ascii="宋体" w:hAnsi="宋体" w:eastAsia="宋体" w:cs="宋体"/>
          <w:b/>
          <w:color w:val="auto"/>
          <w:kern w:val="0"/>
          <w:sz w:val="28"/>
          <w:szCs w:val="28"/>
          <w:highlight w:val="none"/>
        </w:rPr>
      </w:pPr>
      <w:r>
        <w:rPr>
          <w:rFonts w:hint="default" w:ascii="宋体" w:hAnsi="宋体" w:eastAsia="宋体" w:cs="宋体"/>
          <w:b/>
          <w:color w:val="auto"/>
          <w:kern w:val="0"/>
          <w:sz w:val="28"/>
          <w:szCs w:val="28"/>
          <w:highlight w:val="none"/>
        </w:rPr>
        <w:t>商务技术文件目录</w:t>
      </w:r>
    </w:p>
    <w:p w14:paraId="222CA5AF">
      <w:pPr>
        <w:jc w:val="center"/>
        <w:rPr>
          <w:rFonts w:hint="default" w:ascii="宋体" w:hAnsi="宋体" w:eastAsia="宋体" w:cs="宋体"/>
          <w:b/>
          <w:color w:val="auto"/>
          <w:kern w:val="0"/>
          <w:sz w:val="28"/>
          <w:szCs w:val="28"/>
          <w:highlight w:val="none"/>
        </w:rPr>
      </w:pPr>
    </w:p>
    <w:p w14:paraId="3F40C272">
      <w:pPr>
        <w:adjustRightInd w:val="0"/>
        <w:spacing w:line="360" w:lineRule="auto"/>
        <w:ind w:left="2"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一、无串标行为承诺函………………………………………………………（页码）</w:t>
      </w:r>
    </w:p>
    <w:p w14:paraId="1DA080F4">
      <w:pPr>
        <w:adjustRightInd w:val="0"/>
        <w:spacing w:line="360" w:lineRule="auto"/>
        <w:ind w:left="2"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二、法定代表人身份证明及法定代表人有效身份证正反面复印件………（页码）</w:t>
      </w:r>
    </w:p>
    <w:p w14:paraId="77744946">
      <w:pPr>
        <w:adjustRightInd w:val="0"/>
        <w:spacing w:line="360" w:lineRule="auto"/>
        <w:ind w:left="2"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三、法定代表人授权委托书（如有委托时）………………………………（页码）</w:t>
      </w:r>
    </w:p>
    <w:p w14:paraId="564CA21A">
      <w:pPr>
        <w:adjustRightInd w:val="0"/>
        <w:spacing w:line="360" w:lineRule="auto"/>
        <w:ind w:left="2"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四、商务条款偏离表…………………………………………………………（页码）</w:t>
      </w:r>
    </w:p>
    <w:p w14:paraId="63D8E0F7">
      <w:pPr>
        <w:spacing w:line="480" w:lineRule="exact"/>
        <w:ind w:firstLine="48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五、供应商认为需要提供的其他有关资料（比如：</w:t>
      </w:r>
      <w:r>
        <w:rPr>
          <w:rFonts w:hint="default" w:ascii="宋体" w:hAnsi="宋体" w:eastAsia="宋体" w:cs="宋体"/>
          <w:color w:val="auto"/>
          <w:sz w:val="24"/>
          <w:szCs w:val="24"/>
          <w:highlight w:val="none"/>
          <w:lang w:val="zh-CN"/>
        </w:rPr>
        <w:t>供应商类似的业绩证明文件</w:t>
      </w:r>
      <w:r>
        <w:rPr>
          <w:rFonts w:hint="default" w:ascii="宋体" w:hAnsi="宋体" w:eastAsia="宋体" w:cs="宋体"/>
          <w:color w:val="auto"/>
          <w:sz w:val="24"/>
          <w:szCs w:val="24"/>
          <w:highlight w:val="none"/>
        </w:rPr>
        <w:t>）</w:t>
      </w:r>
    </w:p>
    <w:p w14:paraId="1C09797E">
      <w:pPr>
        <w:pStyle w:val="7"/>
        <w:ind w:firstLine="48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…………………………（页码）</w:t>
      </w:r>
    </w:p>
    <w:p w14:paraId="62B06375">
      <w:pPr>
        <w:adjustRightInd w:val="0"/>
        <w:spacing w:line="360" w:lineRule="auto"/>
        <w:ind w:left="2"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六、企业概况表………………………………………………………………（页码）</w:t>
      </w:r>
    </w:p>
    <w:p w14:paraId="18F60C7A">
      <w:pPr>
        <w:adjustRightInd w:val="0"/>
        <w:spacing w:line="360" w:lineRule="auto"/>
        <w:ind w:left="2" w:firstLine="480" w:firstLineChars="200"/>
        <w:rPr>
          <w:rFonts w:hint="eastAsia"/>
          <w:color w:val="auto"/>
          <w:sz w:val="21"/>
          <w:szCs w:val="24"/>
          <w:highlight w:val="none"/>
        </w:rPr>
      </w:pPr>
      <w:r>
        <w:rPr>
          <w:rFonts w:hint="default" w:ascii="宋体" w:hAnsi="宋体" w:eastAsia="宋体" w:cs="宋体"/>
          <w:color w:val="auto"/>
          <w:sz w:val="24"/>
          <w:szCs w:val="24"/>
          <w:highlight w:val="none"/>
        </w:rPr>
        <w:t>七、技术需求偏离表…………………………………………………………（页码）</w:t>
      </w:r>
    </w:p>
    <w:p w14:paraId="7B033795">
      <w:pPr>
        <w:adjustRightInd w:val="0"/>
        <w:spacing w:line="360" w:lineRule="auto"/>
        <w:ind w:left="2"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八、项目经理简历表…………………………………………………………（页码）</w:t>
      </w:r>
    </w:p>
    <w:p w14:paraId="2CF4264F">
      <w:pPr>
        <w:adjustRightInd w:val="0"/>
        <w:spacing w:line="360" w:lineRule="auto"/>
        <w:ind w:left="2"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九、主要施工管理人员表……………………………………………………（页码）</w:t>
      </w:r>
    </w:p>
    <w:p w14:paraId="150EB887">
      <w:pPr>
        <w:adjustRightInd w:val="0"/>
        <w:spacing w:line="360" w:lineRule="auto"/>
        <w:ind w:left="2"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十、项目经理未在其他在施建设工程项目中任职的承诺函……………（页码）</w:t>
      </w:r>
    </w:p>
    <w:p w14:paraId="17C379B3">
      <w:pPr>
        <w:adjustRightInd w:val="0"/>
        <w:spacing w:line="360" w:lineRule="auto"/>
        <w:ind w:left="2"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十一、安全员未在其他在施建设工程项目中任专职安全员的承诺函……（页码）</w:t>
      </w:r>
    </w:p>
    <w:p w14:paraId="16056570">
      <w:pPr>
        <w:pStyle w:val="7"/>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十二、农民工工资保证金的交纳与使用的承诺书…………………………（页码）</w:t>
      </w:r>
    </w:p>
    <w:p w14:paraId="222BE86B">
      <w:pPr>
        <w:adjustRightInd w:val="0"/>
        <w:spacing w:line="360" w:lineRule="auto"/>
        <w:ind w:left="2"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十三、施工组织设计…………………………………………………………（页码）</w:t>
      </w:r>
    </w:p>
    <w:p w14:paraId="588AEA79">
      <w:pPr>
        <w:adjustRightInd w:val="0"/>
        <w:spacing w:line="360" w:lineRule="auto"/>
        <w:ind w:left="2"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十四、按本竞争性磋商文件规定提交的其它资料</w:t>
      </w:r>
      <w:r>
        <w:rPr>
          <w:rFonts w:hint="default" w:ascii="宋体" w:hAnsi="宋体" w:eastAsia="宋体" w:cs="宋体"/>
          <w:color w:val="auto"/>
          <w:sz w:val="24"/>
          <w:szCs w:val="24"/>
          <w:highlight w:val="none"/>
          <w:lang w:val="zh-CN"/>
        </w:rPr>
        <w:t>……………………</w:t>
      </w:r>
      <w:r>
        <w:rPr>
          <w:rFonts w:hint="default" w:ascii="宋体" w:hAnsi="宋体" w:eastAsia="宋体" w:cs="宋体"/>
          <w:color w:val="auto"/>
          <w:sz w:val="24"/>
          <w:szCs w:val="24"/>
          <w:highlight w:val="none"/>
        </w:rPr>
        <w:t>……（页码）</w:t>
      </w:r>
    </w:p>
    <w:p w14:paraId="3706B143">
      <w:pPr>
        <w:spacing w:line="360" w:lineRule="auto"/>
        <w:rPr>
          <w:rFonts w:hint="default" w:ascii="宋体" w:hAnsi="宋体" w:eastAsia="宋体" w:cs="宋体"/>
          <w:b/>
          <w:color w:val="auto"/>
          <w:sz w:val="24"/>
          <w:szCs w:val="24"/>
          <w:highlight w:val="none"/>
        </w:rPr>
      </w:pPr>
      <w:r>
        <w:rPr>
          <w:rFonts w:hint="default" w:ascii="宋体" w:hAnsi="宋体" w:eastAsia="宋体" w:cs="宋体"/>
          <w:b/>
          <w:color w:val="auto"/>
          <w:sz w:val="24"/>
          <w:szCs w:val="24"/>
          <w:highlight w:val="none"/>
        </w:rPr>
        <w:t>注：以上目录是基本格式要求，各供应商可根据自身情况进一步向下增加内容或细化。</w:t>
      </w:r>
    </w:p>
    <w:p w14:paraId="1DA7387B">
      <w:pPr>
        <w:spacing w:line="400" w:lineRule="exact"/>
        <w:rPr>
          <w:rFonts w:hint="default" w:ascii="宋体" w:hAnsi="宋体" w:eastAsia="宋体" w:cs="宋体"/>
          <w:color w:val="auto"/>
          <w:sz w:val="32"/>
          <w:szCs w:val="32"/>
          <w:highlight w:val="none"/>
        </w:rPr>
      </w:pPr>
    </w:p>
    <w:p w14:paraId="7EE6ACC4">
      <w:pPr>
        <w:spacing w:line="520" w:lineRule="exact"/>
        <w:rPr>
          <w:rFonts w:hint="default" w:ascii="宋体" w:hAnsi="宋体" w:eastAsia="宋体" w:cs="宋体"/>
          <w:color w:val="auto"/>
          <w:sz w:val="44"/>
          <w:szCs w:val="44"/>
          <w:highlight w:val="none"/>
        </w:rPr>
      </w:pPr>
      <w:r>
        <w:rPr>
          <w:rFonts w:hint="default" w:ascii="宋体" w:hAnsi="宋体" w:eastAsia="宋体" w:cs="宋体"/>
          <w:color w:val="auto"/>
          <w:sz w:val="44"/>
          <w:szCs w:val="44"/>
          <w:highlight w:val="none"/>
        </w:rPr>
        <w:br w:type="page"/>
      </w:r>
      <w:r>
        <w:rPr>
          <w:rFonts w:hint="default" w:ascii="宋体" w:hAnsi="宋体" w:eastAsia="宋体" w:cs="宋体"/>
          <w:b/>
          <w:color w:val="auto"/>
          <w:sz w:val="30"/>
          <w:szCs w:val="30"/>
          <w:highlight w:val="none"/>
        </w:rPr>
        <w:t>一、无串标行为承诺函</w:t>
      </w:r>
    </w:p>
    <w:p w14:paraId="22BD3190">
      <w:pPr>
        <w:spacing w:line="520" w:lineRule="exact"/>
        <w:jc w:val="center"/>
        <w:rPr>
          <w:rFonts w:hint="default" w:ascii="宋体" w:hAnsi="宋体" w:eastAsia="宋体" w:cs="宋体"/>
          <w:color w:val="auto"/>
          <w:sz w:val="44"/>
          <w:szCs w:val="44"/>
          <w:highlight w:val="none"/>
        </w:rPr>
      </w:pPr>
    </w:p>
    <w:p w14:paraId="61785BDA">
      <w:pPr>
        <w:spacing w:line="520" w:lineRule="exact"/>
        <w:jc w:val="center"/>
        <w:rPr>
          <w:rFonts w:hint="default" w:ascii="宋体" w:hAnsi="宋体" w:eastAsia="宋体" w:cs="宋体"/>
          <w:color w:val="auto"/>
          <w:sz w:val="32"/>
          <w:szCs w:val="32"/>
          <w:highlight w:val="none"/>
        </w:rPr>
      </w:pPr>
      <w:r>
        <w:rPr>
          <w:rFonts w:hint="default" w:ascii="宋体" w:hAnsi="宋体" w:eastAsia="宋体" w:cs="宋体"/>
          <w:color w:val="auto"/>
          <w:sz w:val="44"/>
          <w:szCs w:val="44"/>
          <w:highlight w:val="none"/>
        </w:rPr>
        <w:t>无串通竞标行为的承诺函</w:t>
      </w:r>
    </w:p>
    <w:p w14:paraId="27CC2729">
      <w:pPr>
        <w:spacing w:line="520" w:lineRule="exact"/>
        <w:ind w:firstLine="640" w:firstLineChars="200"/>
        <w:rPr>
          <w:rFonts w:hint="default" w:ascii="宋体" w:hAnsi="宋体" w:eastAsia="宋体" w:cs="宋体"/>
          <w:color w:val="auto"/>
          <w:sz w:val="32"/>
          <w:szCs w:val="32"/>
          <w:highlight w:val="none"/>
        </w:rPr>
      </w:pPr>
    </w:p>
    <w:p w14:paraId="226D4AED">
      <w:pPr>
        <w:spacing w:line="360" w:lineRule="auto"/>
        <w:ind w:firstLine="482" w:firstLineChars="200"/>
        <w:rPr>
          <w:rFonts w:hint="default" w:ascii="宋体" w:hAnsi="宋体" w:eastAsia="宋体" w:cs="宋体"/>
          <w:b/>
          <w:color w:val="auto"/>
          <w:sz w:val="24"/>
          <w:szCs w:val="24"/>
          <w:highlight w:val="none"/>
        </w:rPr>
      </w:pPr>
      <w:r>
        <w:rPr>
          <w:rFonts w:hint="default" w:ascii="宋体" w:hAnsi="宋体" w:eastAsia="宋体" w:cs="宋体"/>
          <w:b/>
          <w:color w:val="auto"/>
          <w:sz w:val="24"/>
          <w:szCs w:val="24"/>
          <w:highlight w:val="none"/>
        </w:rPr>
        <w:t>一、我方承诺无下列相互串通竞标的情形：</w:t>
      </w:r>
    </w:p>
    <w:p w14:paraId="7F23C9EF">
      <w:pPr>
        <w:spacing w:line="360" w:lineRule="auto"/>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 xml:space="preserve">1.不同供应商的响应文件由同一单位或者个人编制；或者不同供应商报名的IP地址一致的；或者编制响应文件硬件设备CPU编号、硬盘编号、网卡地址一致的情况。  </w:t>
      </w:r>
    </w:p>
    <w:p w14:paraId="6EEFA690">
      <w:pPr>
        <w:spacing w:line="360" w:lineRule="auto"/>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2.不同供应商委托同一单位或者个人办理竞标事宜；</w:t>
      </w:r>
    </w:p>
    <w:p w14:paraId="3535EBA8">
      <w:pPr>
        <w:spacing w:line="360" w:lineRule="auto"/>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3.不同供应商的响应文件载明的项目管理员为同一个人；</w:t>
      </w:r>
    </w:p>
    <w:p w14:paraId="7F3CFEBA">
      <w:pPr>
        <w:spacing w:line="360" w:lineRule="auto"/>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4.不</w:t>
      </w:r>
      <w:r>
        <w:rPr>
          <w:rFonts w:hint="default" w:ascii="宋体" w:hAnsi="宋体" w:eastAsia="宋体" w:cs="宋体"/>
          <w:color w:val="auto"/>
          <w:spacing w:val="-6"/>
          <w:sz w:val="24"/>
          <w:szCs w:val="24"/>
          <w:highlight w:val="none"/>
        </w:rPr>
        <w:t>同供应商的响应文件异常一致或者响应报价呈规律性差异；</w:t>
      </w:r>
    </w:p>
    <w:p w14:paraId="1EE333B5">
      <w:pPr>
        <w:spacing w:line="360" w:lineRule="auto"/>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5.不同供应商的响应文件相互混装；</w:t>
      </w:r>
    </w:p>
    <w:p w14:paraId="07E3DEB1">
      <w:pPr>
        <w:spacing w:line="360" w:lineRule="auto"/>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6.不同供应商的磋商保证金从同一单位或者个人账户转出。</w:t>
      </w:r>
    </w:p>
    <w:p w14:paraId="6359481E">
      <w:pPr>
        <w:spacing w:line="360" w:lineRule="auto"/>
        <w:ind w:firstLine="482" w:firstLineChars="200"/>
        <w:rPr>
          <w:rFonts w:hint="default" w:ascii="宋体" w:hAnsi="宋体" w:eastAsia="宋体" w:cs="宋体"/>
          <w:b/>
          <w:color w:val="auto"/>
          <w:sz w:val="24"/>
          <w:szCs w:val="24"/>
          <w:highlight w:val="none"/>
        </w:rPr>
      </w:pPr>
      <w:r>
        <w:rPr>
          <w:rFonts w:hint="default" w:ascii="宋体" w:hAnsi="宋体" w:eastAsia="宋体" w:cs="宋体"/>
          <w:b/>
          <w:color w:val="auto"/>
          <w:sz w:val="24"/>
          <w:szCs w:val="24"/>
          <w:highlight w:val="none"/>
        </w:rPr>
        <w:t>二、我方承诺无下列恶意串通的情形：</w:t>
      </w:r>
    </w:p>
    <w:p w14:paraId="011C3B83">
      <w:pPr>
        <w:spacing w:line="360" w:lineRule="auto"/>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1.供应商直接或者间接从采购人或者采购代理机构处获得其他供应商的相关信息并修改其响应文件；</w:t>
      </w:r>
    </w:p>
    <w:p w14:paraId="7944D067">
      <w:pPr>
        <w:spacing w:line="360" w:lineRule="auto"/>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2.供应商按照采购人或者采购代理机构的授意撤换、修改响应文件；</w:t>
      </w:r>
    </w:p>
    <w:p w14:paraId="08B250F1">
      <w:pPr>
        <w:spacing w:line="360" w:lineRule="auto"/>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3.供</w:t>
      </w:r>
      <w:r>
        <w:rPr>
          <w:rFonts w:hint="default" w:ascii="宋体" w:hAnsi="宋体" w:eastAsia="宋体" w:cs="宋体"/>
          <w:color w:val="auto"/>
          <w:spacing w:val="-6"/>
          <w:sz w:val="24"/>
          <w:szCs w:val="24"/>
          <w:highlight w:val="none"/>
        </w:rPr>
        <w:t>应商之间协商报价、技术方案等响应文件的实质性内容；</w:t>
      </w:r>
    </w:p>
    <w:p w14:paraId="2BE41129">
      <w:pPr>
        <w:spacing w:line="360" w:lineRule="auto"/>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4.属于同一集团、协会、商会等组织成员的供应商按照该组织要求协同参加政府采购活动；</w:t>
      </w:r>
    </w:p>
    <w:p w14:paraId="1A7F836E">
      <w:pPr>
        <w:spacing w:line="360" w:lineRule="auto"/>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5.供应商之间事先约定一致抬高或者压低响应报价，或者在竞争性磋商项目中事先约定轮流以高价位或者低价位成交，或者事先约定由某一特定供应商成交，然后再参加竞标；</w:t>
      </w:r>
    </w:p>
    <w:p w14:paraId="2607DA3A">
      <w:pPr>
        <w:spacing w:line="360" w:lineRule="auto"/>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6.供应商之间商定部分供应商放弃参加政府采购活动或者放弃成交；</w:t>
      </w:r>
    </w:p>
    <w:p w14:paraId="1BE55A96">
      <w:pPr>
        <w:spacing w:line="360" w:lineRule="auto"/>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7.供应商与采购人或者采购代理机构之间、供应商相互之间，为</w:t>
      </w:r>
      <w:r>
        <w:rPr>
          <w:rFonts w:hint="default" w:ascii="宋体" w:hAnsi="宋体" w:eastAsia="宋体" w:cs="宋体"/>
          <w:color w:val="auto"/>
          <w:spacing w:val="-6"/>
          <w:sz w:val="24"/>
          <w:szCs w:val="24"/>
          <w:highlight w:val="none"/>
        </w:rPr>
        <w:t>谋求特定供应商成交或者排斥其他供应商的其他串通行为。</w:t>
      </w:r>
    </w:p>
    <w:p w14:paraId="346571C9">
      <w:pPr>
        <w:spacing w:line="360" w:lineRule="auto"/>
        <w:ind w:firstLine="482" w:firstLineChars="200"/>
        <w:rPr>
          <w:rFonts w:hint="default" w:ascii="宋体" w:hAnsi="宋体" w:eastAsia="宋体" w:cs="宋体"/>
          <w:b/>
          <w:color w:val="auto"/>
          <w:sz w:val="24"/>
          <w:szCs w:val="24"/>
          <w:highlight w:val="none"/>
        </w:rPr>
      </w:pPr>
      <w:r>
        <w:rPr>
          <w:rFonts w:hint="default" w:ascii="宋体" w:hAnsi="宋体" w:eastAsia="宋体" w:cs="宋体"/>
          <w:b/>
          <w:color w:val="auto"/>
          <w:sz w:val="24"/>
          <w:szCs w:val="24"/>
          <w:highlight w:val="none"/>
        </w:rPr>
        <w:t>以上情形一经核查属实，接受政府采购监管部门对我方认定存在围标串标行为，我方愿意承担一切后果，并不再寻求任何旨在减轻或者免除法律责任的辩解。</w:t>
      </w:r>
    </w:p>
    <w:p w14:paraId="2C8FE9C9">
      <w:pPr>
        <w:autoSpaceDE w:val="0"/>
        <w:autoSpaceDN w:val="0"/>
        <w:spacing w:line="360" w:lineRule="auto"/>
        <w:ind w:left="4335" w:leftChars="1950" w:hanging="240" w:hangingChars="100"/>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供应商名称（电子签章）：</w:t>
      </w:r>
    </w:p>
    <w:p w14:paraId="792714F4">
      <w:pPr>
        <w:spacing w:line="520" w:lineRule="exact"/>
        <w:ind w:left="239" w:leftChars="114" w:firstLine="6120" w:firstLineChars="2550"/>
        <w:jc w:val="left"/>
        <w:rPr>
          <w:rFonts w:hint="default" w:ascii="宋体" w:hAnsi="宋体" w:eastAsia="宋体" w:cs="宋体"/>
          <w:color w:val="auto"/>
          <w:sz w:val="44"/>
          <w:szCs w:val="44"/>
          <w:highlight w:val="none"/>
        </w:rPr>
      </w:pPr>
      <w:r>
        <w:rPr>
          <w:rFonts w:hint="default" w:ascii="宋体" w:hAnsi="宋体" w:eastAsia="宋体" w:cs="宋体"/>
          <w:color w:val="auto"/>
          <w:kern w:val="0"/>
          <w:sz w:val="24"/>
          <w:szCs w:val="24"/>
          <w:highlight w:val="none"/>
          <w:lang w:val="zh-CN"/>
        </w:rPr>
        <w:t xml:space="preserve">日期：  年  月   日   </w:t>
      </w:r>
      <w:r>
        <w:rPr>
          <w:rFonts w:hint="default" w:ascii="宋体" w:hAnsi="宋体" w:eastAsia="宋体" w:cs="宋体"/>
          <w:b/>
          <w:color w:val="auto"/>
          <w:sz w:val="32"/>
          <w:szCs w:val="32"/>
          <w:highlight w:val="none"/>
        </w:rPr>
        <w:br w:type="page"/>
      </w:r>
      <w:r>
        <w:rPr>
          <w:rFonts w:hint="default" w:ascii="宋体" w:hAnsi="宋体" w:eastAsia="宋体" w:cs="宋体"/>
          <w:b/>
          <w:color w:val="auto"/>
          <w:sz w:val="30"/>
          <w:szCs w:val="30"/>
          <w:highlight w:val="none"/>
        </w:rPr>
        <w:t>二、法定代表人身份证明及法定代表人有效身份证正反面复印件</w:t>
      </w:r>
    </w:p>
    <w:p w14:paraId="730D907C">
      <w:pPr>
        <w:spacing w:line="520" w:lineRule="exact"/>
        <w:jc w:val="center"/>
        <w:rPr>
          <w:rFonts w:hint="default" w:ascii="宋体" w:hAnsi="宋体" w:eastAsia="宋体" w:cs="宋体"/>
          <w:color w:val="auto"/>
          <w:sz w:val="44"/>
          <w:szCs w:val="44"/>
          <w:highlight w:val="none"/>
        </w:rPr>
      </w:pPr>
    </w:p>
    <w:p w14:paraId="5547569B">
      <w:pPr>
        <w:spacing w:line="520" w:lineRule="exact"/>
        <w:jc w:val="center"/>
        <w:rPr>
          <w:rFonts w:hint="default" w:ascii="宋体" w:hAnsi="宋体" w:eastAsia="宋体" w:cs="宋体"/>
          <w:color w:val="auto"/>
          <w:sz w:val="32"/>
          <w:szCs w:val="32"/>
          <w:highlight w:val="none"/>
        </w:rPr>
      </w:pPr>
      <w:r>
        <w:rPr>
          <w:rFonts w:hint="default" w:ascii="宋体" w:hAnsi="宋体" w:eastAsia="宋体" w:cs="宋体"/>
          <w:color w:val="auto"/>
          <w:sz w:val="44"/>
          <w:szCs w:val="44"/>
          <w:highlight w:val="none"/>
        </w:rPr>
        <w:t>法定代表人证明书</w:t>
      </w:r>
    </w:p>
    <w:p w14:paraId="7422347B">
      <w:pPr>
        <w:spacing w:line="360" w:lineRule="auto"/>
        <w:ind w:left="540"/>
        <w:rPr>
          <w:rFonts w:hint="default" w:ascii="宋体" w:hAnsi="宋体" w:eastAsia="宋体" w:cs="宋体"/>
          <w:color w:val="auto"/>
          <w:sz w:val="32"/>
          <w:szCs w:val="32"/>
          <w:highlight w:val="none"/>
        </w:rPr>
      </w:pPr>
    </w:p>
    <w:p w14:paraId="1663A72E">
      <w:pPr>
        <w:spacing w:line="360" w:lineRule="auto"/>
        <w:ind w:left="54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供应商名称：</w:t>
      </w:r>
      <w:r>
        <w:rPr>
          <w:rFonts w:hint="default" w:ascii="宋体" w:hAnsi="宋体" w:eastAsia="宋体" w:cs="宋体"/>
          <w:color w:val="auto"/>
          <w:sz w:val="24"/>
          <w:szCs w:val="24"/>
          <w:highlight w:val="none"/>
          <w:u w:val="single"/>
        </w:rPr>
        <w:t xml:space="preserve">                                                        </w:t>
      </w:r>
    </w:p>
    <w:p w14:paraId="76DD1F82">
      <w:pPr>
        <w:spacing w:line="360" w:lineRule="auto"/>
        <w:ind w:left="54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地    址：</w:t>
      </w:r>
      <w:r>
        <w:rPr>
          <w:rFonts w:hint="default" w:ascii="宋体" w:hAnsi="宋体" w:eastAsia="宋体" w:cs="宋体"/>
          <w:color w:val="auto"/>
          <w:sz w:val="24"/>
          <w:szCs w:val="24"/>
          <w:highlight w:val="none"/>
          <w:u w:val="single"/>
        </w:rPr>
        <w:t xml:space="preserve">                                                        </w:t>
      </w:r>
    </w:p>
    <w:p w14:paraId="2E0597EB">
      <w:pPr>
        <w:spacing w:line="360" w:lineRule="auto"/>
        <w:ind w:left="54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姓    名：</w:t>
      </w:r>
      <w:r>
        <w:rPr>
          <w:rFonts w:hint="default" w:ascii="宋体" w:hAnsi="宋体" w:eastAsia="宋体" w:cs="宋体"/>
          <w:color w:val="auto"/>
          <w:sz w:val="24"/>
          <w:szCs w:val="24"/>
          <w:highlight w:val="none"/>
          <w:u w:val="single"/>
        </w:rPr>
        <w:t xml:space="preserve">                </w:t>
      </w:r>
      <w:r>
        <w:rPr>
          <w:rFonts w:hint="default" w:ascii="宋体" w:hAnsi="宋体" w:eastAsia="宋体" w:cs="宋体"/>
          <w:color w:val="auto"/>
          <w:sz w:val="24"/>
          <w:szCs w:val="24"/>
          <w:highlight w:val="none"/>
        </w:rPr>
        <w:t>性     别：</w:t>
      </w:r>
      <w:r>
        <w:rPr>
          <w:rFonts w:hint="default" w:ascii="宋体" w:hAnsi="宋体" w:eastAsia="宋体" w:cs="宋体"/>
          <w:color w:val="auto"/>
          <w:sz w:val="24"/>
          <w:szCs w:val="24"/>
          <w:highlight w:val="none"/>
          <w:u w:val="single"/>
        </w:rPr>
        <w:t xml:space="preserve">                </w:t>
      </w:r>
    </w:p>
    <w:p w14:paraId="5CEC0806">
      <w:pPr>
        <w:spacing w:line="360" w:lineRule="auto"/>
        <w:ind w:left="540"/>
        <w:rPr>
          <w:rFonts w:hint="default" w:ascii="宋体" w:hAnsi="宋体" w:eastAsia="宋体" w:cs="宋体"/>
          <w:color w:val="auto"/>
          <w:sz w:val="24"/>
          <w:szCs w:val="24"/>
          <w:highlight w:val="none"/>
          <w:u w:val="single"/>
        </w:rPr>
      </w:pPr>
      <w:r>
        <w:rPr>
          <w:rFonts w:hint="default" w:ascii="宋体" w:hAnsi="宋体" w:eastAsia="宋体" w:cs="宋体"/>
          <w:color w:val="auto"/>
          <w:sz w:val="24"/>
          <w:szCs w:val="24"/>
          <w:highlight w:val="none"/>
        </w:rPr>
        <w:t>年    龄：</w:t>
      </w:r>
      <w:r>
        <w:rPr>
          <w:rFonts w:hint="default" w:ascii="宋体" w:hAnsi="宋体" w:eastAsia="宋体" w:cs="宋体"/>
          <w:color w:val="auto"/>
          <w:sz w:val="24"/>
          <w:szCs w:val="24"/>
          <w:highlight w:val="none"/>
          <w:u w:val="single"/>
        </w:rPr>
        <w:t xml:space="preserve">                </w:t>
      </w:r>
      <w:r>
        <w:rPr>
          <w:rFonts w:hint="default" w:ascii="宋体" w:hAnsi="宋体" w:eastAsia="宋体" w:cs="宋体"/>
          <w:color w:val="auto"/>
          <w:sz w:val="24"/>
          <w:szCs w:val="24"/>
          <w:highlight w:val="none"/>
        </w:rPr>
        <w:t>职     务：</w:t>
      </w:r>
      <w:r>
        <w:rPr>
          <w:rFonts w:hint="default" w:ascii="宋体" w:hAnsi="宋体" w:eastAsia="宋体" w:cs="宋体"/>
          <w:color w:val="auto"/>
          <w:sz w:val="24"/>
          <w:szCs w:val="24"/>
          <w:highlight w:val="none"/>
          <w:u w:val="single"/>
        </w:rPr>
        <w:t xml:space="preserve">                </w:t>
      </w:r>
    </w:p>
    <w:p w14:paraId="5D3055C1">
      <w:pPr>
        <w:spacing w:line="360" w:lineRule="auto"/>
        <w:ind w:left="54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身份证号码：</w:t>
      </w:r>
      <w:r>
        <w:rPr>
          <w:rFonts w:hint="default" w:ascii="宋体" w:hAnsi="宋体" w:eastAsia="宋体" w:cs="宋体"/>
          <w:color w:val="auto"/>
          <w:sz w:val="24"/>
          <w:szCs w:val="24"/>
          <w:highlight w:val="none"/>
          <w:u w:val="single"/>
        </w:rPr>
        <w:t xml:space="preserve">                                        </w:t>
      </w:r>
    </w:p>
    <w:p w14:paraId="3B6FD06B">
      <w:pPr>
        <w:spacing w:line="360" w:lineRule="auto"/>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系</w:t>
      </w:r>
      <w:r>
        <w:rPr>
          <w:rFonts w:hint="default" w:ascii="宋体" w:hAnsi="宋体" w:eastAsia="宋体" w:cs="宋体"/>
          <w:color w:val="auto"/>
          <w:sz w:val="24"/>
          <w:szCs w:val="24"/>
          <w:highlight w:val="none"/>
          <w:u w:val="single"/>
        </w:rPr>
        <w:t>（供应商名称）</w:t>
      </w:r>
      <w:r>
        <w:rPr>
          <w:rFonts w:hint="default" w:ascii="宋体" w:hAnsi="宋体" w:eastAsia="宋体" w:cs="宋体"/>
          <w:color w:val="auto"/>
          <w:sz w:val="24"/>
          <w:szCs w:val="24"/>
          <w:highlight w:val="none"/>
        </w:rPr>
        <w:t>的法定代表人。</w:t>
      </w:r>
    </w:p>
    <w:p w14:paraId="554DBC4D">
      <w:pPr>
        <w:spacing w:line="360" w:lineRule="auto"/>
        <w:ind w:left="54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特此证明。</w:t>
      </w:r>
    </w:p>
    <w:p w14:paraId="3AF379BF">
      <w:pPr>
        <w:spacing w:line="360" w:lineRule="auto"/>
        <w:ind w:left="540"/>
        <w:rPr>
          <w:rFonts w:hint="default" w:ascii="宋体" w:hAnsi="宋体" w:eastAsia="宋体" w:cs="宋体"/>
          <w:color w:val="auto"/>
          <w:sz w:val="24"/>
          <w:szCs w:val="24"/>
          <w:highlight w:val="none"/>
        </w:rPr>
      </w:pPr>
    </w:p>
    <w:p w14:paraId="3CF295CF">
      <w:pPr>
        <w:spacing w:line="360" w:lineRule="auto"/>
        <w:ind w:left="540"/>
        <w:rPr>
          <w:rFonts w:hint="default" w:ascii="宋体" w:hAnsi="宋体" w:eastAsia="宋体" w:cs="宋体"/>
          <w:color w:val="auto"/>
          <w:sz w:val="24"/>
          <w:szCs w:val="24"/>
          <w:highlight w:val="none"/>
        </w:rPr>
      </w:pPr>
    </w:p>
    <w:p w14:paraId="6FF0C474">
      <w:pPr>
        <w:spacing w:line="360" w:lineRule="auto"/>
        <w:ind w:left="540"/>
        <w:rPr>
          <w:rFonts w:hint="default" w:ascii="宋体" w:hAnsi="宋体" w:eastAsia="宋体" w:cs="宋体"/>
          <w:color w:val="auto"/>
          <w:sz w:val="24"/>
          <w:szCs w:val="24"/>
          <w:highlight w:val="none"/>
        </w:rPr>
      </w:pPr>
    </w:p>
    <w:p w14:paraId="78A29E67">
      <w:pPr>
        <w:spacing w:line="360" w:lineRule="auto"/>
        <w:ind w:left="54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附件：法定代表人有效身份证正反面复印件</w:t>
      </w:r>
    </w:p>
    <w:p w14:paraId="06C4BF98">
      <w:pPr>
        <w:spacing w:line="360" w:lineRule="auto"/>
        <w:ind w:left="540"/>
        <w:rPr>
          <w:rFonts w:hint="default" w:ascii="宋体" w:hAnsi="宋体" w:eastAsia="宋体" w:cs="宋体"/>
          <w:color w:val="auto"/>
          <w:sz w:val="24"/>
          <w:szCs w:val="24"/>
          <w:highlight w:val="none"/>
        </w:rPr>
      </w:pPr>
    </w:p>
    <w:p w14:paraId="6A3054E2">
      <w:pPr>
        <w:autoSpaceDE w:val="0"/>
        <w:autoSpaceDN w:val="0"/>
        <w:spacing w:line="360" w:lineRule="auto"/>
        <w:ind w:left="4335" w:leftChars="1950" w:hanging="240" w:hangingChars="100"/>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供应商名称（电子签章）：</w:t>
      </w:r>
    </w:p>
    <w:p w14:paraId="1CA06D0A">
      <w:pPr>
        <w:spacing w:line="360" w:lineRule="auto"/>
        <w:jc w:val="center"/>
        <w:rPr>
          <w:rFonts w:hint="default" w:ascii="宋体" w:hAnsi="宋体" w:eastAsia="宋体" w:cs="宋体"/>
          <w:b/>
          <w:color w:val="auto"/>
          <w:sz w:val="24"/>
          <w:szCs w:val="24"/>
          <w:highlight w:val="none"/>
        </w:rPr>
      </w:pPr>
      <w:r>
        <w:rPr>
          <w:rFonts w:hint="default" w:ascii="宋体" w:hAnsi="宋体" w:eastAsia="宋体" w:cs="宋体"/>
          <w:color w:val="auto"/>
          <w:kern w:val="0"/>
          <w:sz w:val="24"/>
          <w:szCs w:val="24"/>
          <w:highlight w:val="none"/>
          <w:lang w:val="zh-CN"/>
        </w:rPr>
        <w:t xml:space="preserve">                                                   日期：  年  月   日</w:t>
      </w:r>
    </w:p>
    <w:p w14:paraId="130E28C6">
      <w:pPr>
        <w:spacing w:line="360" w:lineRule="auto"/>
        <w:jc w:val="left"/>
        <w:rPr>
          <w:rFonts w:hint="default" w:ascii="宋体" w:hAnsi="宋体" w:eastAsia="宋体" w:cs="宋体"/>
          <w:color w:val="auto"/>
          <w:sz w:val="24"/>
          <w:szCs w:val="24"/>
          <w:highlight w:val="none"/>
        </w:rPr>
      </w:pPr>
    </w:p>
    <w:p w14:paraId="51EC6E30">
      <w:pPr>
        <w:spacing w:line="360" w:lineRule="auto"/>
        <w:jc w:val="left"/>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注：1.自然人竞标的无需提供，联合体竞标的只需牵头人出具。</w:t>
      </w:r>
    </w:p>
    <w:p w14:paraId="2CD3E046">
      <w:pPr>
        <w:spacing w:line="360" w:lineRule="auto"/>
        <w:ind w:firstLine="480" w:firstLineChars="200"/>
        <w:jc w:val="left"/>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4F00FE9E">
      <w:pPr>
        <w:widowControl/>
        <w:spacing w:line="360" w:lineRule="auto"/>
        <w:jc w:val="left"/>
        <w:rPr>
          <w:rFonts w:hint="default" w:ascii="宋体" w:hAnsi="宋体" w:eastAsia="宋体" w:cs="宋体"/>
          <w:color w:val="auto"/>
          <w:sz w:val="24"/>
          <w:szCs w:val="24"/>
          <w:highlight w:val="none"/>
        </w:rPr>
        <w:sectPr>
          <w:pgSz w:w="11910" w:h="16840"/>
          <w:pgMar w:top="1340" w:right="1500" w:bottom="280" w:left="1680" w:header="720" w:footer="720" w:gutter="0"/>
          <w:lnNumType w:countBy="0" w:distance="360"/>
          <w:cols w:space="720" w:num="1"/>
        </w:sectPr>
      </w:pPr>
    </w:p>
    <w:tbl>
      <w:tblPr>
        <w:tblStyle w:val="18"/>
        <w:tblpPr w:leftFromText="180" w:rightFromText="180" w:vertAnchor="text" w:horzAnchor="margin" w:tblpY="1169"/>
        <w:tblW w:w="84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0"/>
      </w:tblGrid>
      <w:tr w14:paraId="65015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5" w:hRule="atLeast"/>
        </w:trPr>
        <w:tc>
          <w:tcPr>
            <w:tcW w:w="8461" w:type="dxa"/>
            <w:tcBorders>
              <w:top w:val="single" w:color="auto" w:sz="4" w:space="0"/>
              <w:left w:val="single" w:color="auto" w:sz="4" w:space="0"/>
              <w:bottom w:val="single" w:color="auto" w:sz="4" w:space="0"/>
              <w:right w:val="single" w:color="auto" w:sz="4" w:space="0"/>
              <w:tl2br w:val="nil"/>
              <w:tr2bl w:val="nil"/>
            </w:tcBorders>
            <w:noWrap w:val="0"/>
            <w:vAlign w:val="top"/>
          </w:tcPr>
          <w:p w14:paraId="2BC8F769">
            <w:pPr>
              <w:spacing w:line="360" w:lineRule="auto"/>
              <w:rPr>
                <w:rFonts w:hint="default" w:ascii="宋体" w:hAnsi="宋体" w:eastAsia="宋体" w:cs="宋体"/>
                <w:b/>
                <w:color w:val="auto"/>
                <w:sz w:val="24"/>
                <w:szCs w:val="24"/>
                <w:highlight w:val="none"/>
              </w:rPr>
            </w:pPr>
          </w:p>
          <w:p w14:paraId="155538A9">
            <w:pPr>
              <w:spacing w:line="360" w:lineRule="auto"/>
              <w:rPr>
                <w:rFonts w:hint="default" w:ascii="宋体" w:hAnsi="宋体" w:eastAsia="宋体" w:cs="宋体"/>
                <w:b/>
                <w:color w:val="auto"/>
                <w:sz w:val="24"/>
                <w:szCs w:val="24"/>
                <w:highlight w:val="none"/>
              </w:rPr>
            </w:pPr>
            <w:r>
              <w:rPr>
                <w:rFonts w:hint="default" w:ascii="宋体" w:hAnsi="宋体" w:eastAsia="宋体" w:cs="宋体"/>
                <w:b/>
                <w:color w:val="auto"/>
                <w:sz w:val="24"/>
                <w:szCs w:val="24"/>
                <w:highlight w:val="none"/>
              </w:rPr>
              <w:t>法定代表身份证复印件粘帖处（正、反面）</w:t>
            </w:r>
          </w:p>
        </w:tc>
      </w:tr>
    </w:tbl>
    <w:p w14:paraId="5011B061">
      <w:pPr>
        <w:spacing w:line="360" w:lineRule="auto"/>
        <w:ind w:firstLine="482" w:firstLineChars="200"/>
        <w:jc w:val="left"/>
        <w:rPr>
          <w:rFonts w:hint="default" w:ascii="宋体" w:hAnsi="宋体" w:eastAsia="宋体" w:cs="宋体"/>
          <w:b/>
          <w:color w:val="auto"/>
          <w:sz w:val="32"/>
          <w:szCs w:val="32"/>
          <w:highlight w:val="none"/>
        </w:rPr>
      </w:pPr>
      <w:r>
        <w:rPr>
          <w:rFonts w:hint="default" w:ascii="宋体" w:hAnsi="宋体" w:eastAsia="宋体" w:cs="宋体"/>
          <w:b/>
          <w:color w:val="auto"/>
          <w:sz w:val="24"/>
          <w:szCs w:val="24"/>
          <w:highlight w:val="none"/>
        </w:rPr>
        <w:t>附件：</w:t>
      </w:r>
    </w:p>
    <w:p w14:paraId="4FC501AB">
      <w:pPr>
        <w:adjustRightInd w:val="0"/>
        <w:snapToGrid w:val="0"/>
        <w:spacing w:line="300" w:lineRule="auto"/>
        <w:jc w:val="left"/>
        <w:rPr>
          <w:rFonts w:hint="default" w:ascii="宋体" w:hAnsi="宋体" w:eastAsia="宋体" w:cs="宋体"/>
          <w:b/>
          <w:color w:val="auto"/>
          <w:sz w:val="21"/>
          <w:szCs w:val="21"/>
          <w:highlight w:val="none"/>
        </w:rPr>
      </w:pPr>
    </w:p>
    <w:p w14:paraId="19F8BB10">
      <w:pPr>
        <w:spacing w:line="520" w:lineRule="exact"/>
        <w:jc w:val="left"/>
        <w:rPr>
          <w:rFonts w:hint="default" w:ascii="宋体" w:hAnsi="宋体" w:eastAsia="宋体" w:cs="宋体"/>
          <w:color w:val="auto"/>
          <w:sz w:val="44"/>
          <w:szCs w:val="44"/>
          <w:highlight w:val="none"/>
        </w:rPr>
      </w:pPr>
      <w:r>
        <w:rPr>
          <w:rFonts w:hint="default" w:ascii="宋体" w:hAnsi="宋体" w:eastAsia="宋体" w:cs="宋体"/>
          <w:color w:val="auto"/>
          <w:sz w:val="44"/>
          <w:szCs w:val="44"/>
          <w:highlight w:val="none"/>
        </w:rPr>
        <w:br w:type="page"/>
      </w:r>
      <w:r>
        <w:rPr>
          <w:rFonts w:hint="default" w:ascii="宋体" w:hAnsi="宋体" w:eastAsia="宋体" w:cs="宋体"/>
          <w:b/>
          <w:color w:val="auto"/>
          <w:sz w:val="30"/>
          <w:szCs w:val="30"/>
          <w:highlight w:val="none"/>
        </w:rPr>
        <w:t>三、法定代表人授权委托书</w:t>
      </w:r>
    </w:p>
    <w:p w14:paraId="08AB2AA5">
      <w:pPr>
        <w:spacing w:line="500" w:lineRule="exact"/>
        <w:jc w:val="center"/>
        <w:rPr>
          <w:rFonts w:hint="default" w:ascii="宋体" w:hAnsi="宋体" w:eastAsia="宋体" w:cs="宋体"/>
          <w:color w:val="auto"/>
          <w:sz w:val="44"/>
          <w:szCs w:val="44"/>
          <w:highlight w:val="none"/>
        </w:rPr>
      </w:pPr>
    </w:p>
    <w:p w14:paraId="05A589A9">
      <w:pPr>
        <w:spacing w:line="800" w:lineRule="exact"/>
        <w:jc w:val="center"/>
        <w:rPr>
          <w:rFonts w:hint="default" w:ascii="宋体" w:hAnsi="宋体" w:eastAsia="宋体" w:cs="宋体"/>
          <w:color w:val="auto"/>
          <w:sz w:val="44"/>
          <w:szCs w:val="44"/>
          <w:highlight w:val="none"/>
        </w:rPr>
      </w:pPr>
      <w:r>
        <w:rPr>
          <w:rFonts w:hint="default" w:ascii="宋体" w:hAnsi="宋体" w:eastAsia="宋体" w:cs="宋体"/>
          <w:color w:val="auto"/>
          <w:sz w:val="44"/>
          <w:szCs w:val="44"/>
          <w:highlight w:val="none"/>
        </w:rPr>
        <w:t>授权委托书（非联合体竞标格式）</w:t>
      </w:r>
    </w:p>
    <w:p w14:paraId="4AD68785">
      <w:pPr>
        <w:spacing w:line="800" w:lineRule="exact"/>
        <w:jc w:val="center"/>
        <w:rPr>
          <w:rFonts w:hint="default" w:ascii="宋体" w:hAnsi="宋体" w:eastAsia="宋体" w:cs="宋体"/>
          <w:color w:val="auto"/>
          <w:sz w:val="44"/>
          <w:szCs w:val="44"/>
          <w:highlight w:val="none"/>
        </w:rPr>
      </w:pPr>
      <w:r>
        <w:rPr>
          <w:rFonts w:hint="default" w:ascii="宋体" w:hAnsi="宋体" w:eastAsia="宋体" w:cs="宋体"/>
          <w:color w:val="auto"/>
          <w:sz w:val="44"/>
          <w:szCs w:val="44"/>
          <w:highlight w:val="none"/>
        </w:rPr>
        <w:t>（如有委托时）</w:t>
      </w:r>
    </w:p>
    <w:p w14:paraId="715DFC22">
      <w:pPr>
        <w:spacing w:line="520" w:lineRule="exact"/>
        <w:rPr>
          <w:rFonts w:hint="default" w:ascii="宋体" w:hAnsi="宋体" w:eastAsia="宋体" w:cs="宋体"/>
          <w:color w:val="auto"/>
          <w:sz w:val="32"/>
          <w:szCs w:val="32"/>
          <w:highlight w:val="none"/>
        </w:rPr>
      </w:pPr>
    </w:p>
    <w:p w14:paraId="1A085582">
      <w:pPr>
        <w:spacing w:line="360" w:lineRule="auto"/>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致：</w:t>
      </w:r>
      <w:r>
        <w:rPr>
          <w:rFonts w:hint="default" w:ascii="宋体" w:hAnsi="宋体" w:eastAsia="宋体" w:cs="宋体"/>
          <w:color w:val="auto"/>
          <w:sz w:val="24"/>
          <w:szCs w:val="24"/>
          <w:highlight w:val="none"/>
          <w:u w:val="single"/>
        </w:rPr>
        <w:t>采购人</w:t>
      </w:r>
    </w:p>
    <w:p w14:paraId="65453E26">
      <w:pPr>
        <w:spacing w:line="360" w:lineRule="auto"/>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我</w:t>
      </w:r>
      <w:r>
        <w:rPr>
          <w:rFonts w:hint="default" w:ascii="宋体" w:hAnsi="宋体" w:eastAsia="宋体" w:cs="宋体"/>
          <w:color w:val="auto"/>
          <w:sz w:val="24"/>
          <w:szCs w:val="24"/>
          <w:highlight w:val="none"/>
          <w:u w:val="single"/>
        </w:rPr>
        <w:t xml:space="preserve">  （姓名）  </w:t>
      </w:r>
      <w:r>
        <w:rPr>
          <w:rFonts w:hint="default" w:ascii="宋体" w:hAnsi="宋体" w:eastAsia="宋体" w:cs="宋体"/>
          <w:color w:val="auto"/>
          <w:sz w:val="24"/>
          <w:szCs w:val="24"/>
          <w:highlight w:val="none"/>
        </w:rPr>
        <w:t>系</w:t>
      </w:r>
      <w:r>
        <w:rPr>
          <w:rFonts w:hint="default" w:ascii="宋体" w:hAnsi="宋体" w:eastAsia="宋体" w:cs="宋体"/>
          <w:color w:val="auto"/>
          <w:sz w:val="24"/>
          <w:szCs w:val="24"/>
          <w:highlight w:val="none"/>
          <w:u w:val="single"/>
        </w:rPr>
        <w:t xml:space="preserve">  （供应商名称）  </w:t>
      </w:r>
      <w:r>
        <w:rPr>
          <w:rFonts w:hint="default" w:ascii="宋体" w:hAnsi="宋体" w:eastAsia="宋体" w:cs="宋体"/>
          <w:color w:val="auto"/>
          <w:sz w:val="24"/>
          <w:szCs w:val="24"/>
          <w:highlight w:val="none"/>
        </w:rPr>
        <w:t>的（</w:t>
      </w:r>
      <w:r>
        <w:rPr>
          <w:rFonts w:hint="default" w:ascii="宋体" w:hAnsi="宋体" w:eastAsia="宋体" w:cs="宋体"/>
          <w:color w:val="auto"/>
          <w:sz w:val="24"/>
          <w:szCs w:val="24"/>
          <w:highlight w:val="none"/>
          <w:u w:val="single"/>
        </w:rPr>
        <w:t>□法定代表人/□负责人/□自然人本人</w:t>
      </w:r>
      <w:r>
        <w:rPr>
          <w:rFonts w:hint="default" w:ascii="宋体" w:hAnsi="宋体" w:eastAsia="宋体" w:cs="宋体"/>
          <w:color w:val="auto"/>
          <w:sz w:val="24"/>
          <w:szCs w:val="24"/>
          <w:highlight w:val="none"/>
        </w:rPr>
        <w:t>），现授权</w:t>
      </w:r>
      <w:r>
        <w:rPr>
          <w:rFonts w:hint="default" w:ascii="宋体" w:hAnsi="宋体" w:eastAsia="宋体" w:cs="宋体"/>
          <w:color w:val="auto"/>
          <w:sz w:val="24"/>
          <w:szCs w:val="24"/>
          <w:highlight w:val="none"/>
          <w:u w:val="single"/>
        </w:rPr>
        <w:t xml:space="preserve"> （姓名） </w:t>
      </w:r>
      <w:r>
        <w:rPr>
          <w:rFonts w:hint="default" w:ascii="宋体" w:hAnsi="宋体" w:eastAsia="宋体" w:cs="宋体"/>
          <w:color w:val="auto"/>
          <w:sz w:val="24"/>
          <w:szCs w:val="24"/>
          <w:highlight w:val="none"/>
        </w:rPr>
        <w:t>以我方的名义参加</w:t>
      </w:r>
      <w:r>
        <w:rPr>
          <w:rFonts w:hint="default" w:ascii="宋体" w:hAnsi="宋体" w:eastAsia="宋体" w:cs="宋体"/>
          <w:color w:val="auto"/>
          <w:sz w:val="24"/>
          <w:szCs w:val="24"/>
          <w:highlight w:val="none"/>
          <w:u w:val="single"/>
        </w:rPr>
        <w:t xml:space="preserve">　　　　　　　　　　　　　　 </w:t>
      </w:r>
      <w:r>
        <w:rPr>
          <w:rFonts w:hint="default" w:ascii="宋体" w:hAnsi="宋体" w:eastAsia="宋体" w:cs="宋体"/>
          <w:color w:val="auto"/>
          <w:sz w:val="24"/>
          <w:szCs w:val="24"/>
          <w:highlight w:val="none"/>
        </w:rPr>
        <w:t>项目的竞标活动，并代表我方全权办理针对上述项目的所有采购程序和环节的具体事务和签署相关文件。</w:t>
      </w:r>
    </w:p>
    <w:p w14:paraId="47A6445B">
      <w:pPr>
        <w:spacing w:line="360" w:lineRule="auto"/>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 xml:space="preserve">    我方对委托代理人的签字事项负全部责任。</w:t>
      </w:r>
    </w:p>
    <w:p w14:paraId="2B997BC0">
      <w:pPr>
        <w:spacing w:line="360" w:lineRule="auto"/>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本授权书自签署之日起生效，在撤销授权的书面通知以前，本授权书一直有效。委托代理人在授权书有效期内签署的所有文件不因授权的撤销而失效。</w:t>
      </w:r>
    </w:p>
    <w:p w14:paraId="7D48354D">
      <w:pPr>
        <w:spacing w:line="360" w:lineRule="auto"/>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委托代理人无转委托权，特此委托。</w:t>
      </w:r>
    </w:p>
    <w:p w14:paraId="5D01D144">
      <w:pPr>
        <w:spacing w:line="360" w:lineRule="auto"/>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附：法定代表人身份证明书及委托代理人有效身份证正反面复印件</w:t>
      </w:r>
    </w:p>
    <w:p w14:paraId="5AB6BC54">
      <w:pPr>
        <w:spacing w:line="360" w:lineRule="auto"/>
        <w:rPr>
          <w:rFonts w:hint="default" w:ascii="宋体" w:hAnsi="宋体" w:eastAsia="宋体" w:cs="宋体"/>
          <w:color w:val="auto"/>
          <w:sz w:val="24"/>
          <w:szCs w:val="24"/>
          <w:highlight w:val="none"/>
        </w:rPr>
      </w:pPr>
    </w:p>
    <w:p w14:paraId="197842EF">
      <w:pPr>
        <w:spacing w:line="360" w:lineRule="auto"/>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 xml:space="preserve">委托代理人（签字）：         法定代表人（签字或盖章）：                    </w:t>
      </w:r>
    </w:p>
    <w:p w14:paraId="5857E038">
      <w:pPr>
        <w:spacing w:line="360" w:lineRule="auto"/>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 xml:space="preserve">委托代理人身份证号码：                              </w:t>
      </w:r>
    </w:p>
    <w:p w14:paraId="1D9882BD">
      <w:pPr>
        <w:spacing w:line="360" w:lineRule="auto"/>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 xml:space="preserve">                                </w:t>
      </w:r>
    </w:p>
    <w:p w14:paraId="438B58A8">
      <w:pPr>
        <w:spacing w:line="360" w:lineRule="auto"/>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 xml:space="preserve">                         </w:t>
      </w:r>
      <w:r>
        <w:rPr>
          <w:rFonts w:hint="default" w:ascii="宋体" w:hAnsi="宋体" w:eastAsia="宋体" w:cs="宋体"/>
          <w:color w:val="auto"/>
          <w:kern w:val="0"/>
          <w:sz w:val="24"/>
          <w:szCs w:val="24"/>
          <w:highlight w:val="none"/>
        </w:rPr>
        <w:t>供应商名称（电子签章）：</w:t>
      </w:r>
    </w:p>
    <w:p w14:paraId="1CC9A1D8">
      <w:pPr>
        <w:spacing w:line="360" w:lineRule="auto"/>
        <w:jc w:val="center"/>
        <w:rPr>
          <w:rFonts w:hint="default" w:ascii="宋体" w:hAnsi="宋体" w:eastAsia="宋体" w:cs="宋体"/>
          <w:b/>
          <w:color w:val="auto"/>
          <w:sz w:val="24"/>
          <w:szCs w:val="24"/>
          <w:highlight w:val="none"/>
        </w:rPr>
      </w:pPr>
      <w:r>
        <w:rPr>
          <w:rFonts w:hint="default" w:ascii="宋体" w:hAnsi="宋体" w:eastAsia="宋体" w:cs="宋体"/>
          <w:color w:val="auto"/>
          <w:kern w:val="0"/>
          <w:sz w:val="24"/>
          <w:szCs w:val="24"/>
          <w:highlight w:val="none"/>
          <w:lang w:val="zh-CN"/>
        </w:rPr>
        <w:t xml:space="preserve">                                                   日期：  年  月   日</w:t>
      </w:r>
    </w:p>
    <w:p w14:paraId="1CCA1DA5">
      <w:pPr>
        <w:spacing w:line="360" w:lineRule="auto"/>
        <w:rPr>
          <w:rFonts w:hint="default" w:ascii="宋体" w:hAnsi="宋体" w:eastAsia="宋体" w:cs="宋体"/>
          <w:color w:val="auto"/>
          <w:sz w:val="24"/>
          <w:szCs w:val="24"/>
          <w:highlight w:val="none"/>
        </w:rPr>
      </w:pPr>
    </w:p>
    <w:p w14:paraId="4C8A0BF7">
      <w:pPr>
        <w:spacing w:line="360" w:lineRule="auto"/>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注：1. 法定代表人必须在授权委托书上亲笔签字或盖章，委托代理人必须在授权委托书上亲笔签字，</w:t>
      </w:r>
      <w:r>
        <w:rPr>
          <w:rFonts w:hint="default" w:ascii="宋体" w:hAnsi="宋体" w:eastAsia="宋体" w:cs="宋体"/>
          <w:b/>
          <w:color w:val="auto"/>
          <w:sz w:val="24"/>
          <w:szCs w:val="24"/>
          <w:highlight w:val="none"/>
        </w:rPr>
        <w:t>否则其响应文件按无效响应处理。</w:t>
      </w:r>
    </w:p>
    <w:p w14:paraId="16C87A07">
      <w:pPr>
        <w:spacing w:line="360" w:lineRule="auto"/>
        <w:ind w:firstLine="480" w:firstLineChars="200"/>
        <w:jc w:val="left"/>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16D2B038">
      <w:pPr>
        <w:spacing w:line="360" w:lineRule="auto"/>
        <w:ind w:firstLine="480" w:firstLineChars="200"/>
        <w:jc w:val="left"/>
        <w:rPr>
          <w:rFonts w:hint="default" w:ascii="宋体" w:hAnsi="宋体" w:eastAsia="宋体" w:cs="宋体"/>
          <w:color w:val="auto"/>
          <w:sz w:val="21"/>
          <w:szCs w:val="21"/>
          <w:highlight w:val="none"/>
        </w:rPr>
      </w:pPr>
      <w:r>
        <w:rPr>
          <w:rFonts w:hint="default" w:ascii="宋体" w:hAnsi="宋体" w:eastAsia="宋体" w:cs="宋体"/>
          <w:color w:val="auto"/>
          <w:sz w:val="24"/>
          <w:szCs w:val="24"/>
          <w:highlight w:val="none"/>
        </w:rPr>
        <w:t>3. 法人、其他组织竞标时“我方”是指“我单位”，自然人竞标时“我方”是指“本人”。</w:t>
      </w:r>
    </w:p>
    <w:p w14:paraId="1F4F437F">
      <w:pPr>
        <w:spacing w:line="800" w:lineRule="exact"/>
        <w:jc w:val="center"/>
        <w:rPr>
          <w:rFonts w:hint="default" w:ascii="宋体" w:hAnsi="宋体" w:eastAsia="宋体" w:cs="宋体"/>
          <w:color w:val="auto"/>
          <w:sz w:val="44"/>
          <w:szCs w:val="44"/>
          <w:highlight w:val="none"/>
        </w:rPr>
      </w:pPr>
      <w:r>
        <w:rPr>
          <w:rFonts w:hint="default" w:ascii="宋体" w:hAnsi="宋体" w:eastAsia="宋体" w:cs="宋体"/>
          <w:color w:val="auto"/>
          <w:sz w:val="21"/>
          <w:szCs w:val="21"/>
          <w:highlight w:val="none"/>
        </w:rPr>
        <w:br w:type="page"/>
      </w:r>
      <w:r>
        <w:rPr>
          <w:rFonts w:hint="default" w:ascii="宋体" w:hAnsi="宋体" w:eastAsia="宋体" w:cs="宋体"/>
          <w:color w:val="auto"/>
          <w:sz w:val="44"/>
          <w:szCs w:val="44"/>
          <w:highlight w:val="none"/>
        </w:rPr>
        <w:t>授权委托书（联合体竞标格式）</w:t>
      </w:r>
    </w:p>
    <w:p w14:paraId="2FE2633A">
      <w:pPr>
        <w:spacing w:line="800" w:lineRule="exact"/>
        <w:jc w:val="center"/>
        <w:rPr>
          <w:rFonts w:hint="default" w:ascii="宋体" w:hAnsi="宋体" w:eastAsia="宋体" w:cs="宋体"/>
          <w:color w:val="auto"/>
          <w:sz w:val="44"/>
          <w:szCs w:val="44"/>
          <w:highlight w:val="none"/>
        </w:rPr>
      </w:pPr>
      <w:r>
        <w:rPr>
          <w:rFonts w:hint="default" w:ascii="宋体" w:hAnsi="宋体" w:eastAsia="宋体" w:cs="宋体"/>
          <w:color w:val="auto"/>
          <w:sz w:val="44"/>
          <w:szCs w:val="44"/>
          <w:highlight w:val="none"/>
        </w:rPr>
        <w:t>（如有委托时）</w:t>
      </w:r>
    </w:p>
    <w:p w14:paraId="76ED955C">
      <w:pPr>
        <w:spacing w:line="500" w:lineRule="exact"/>
        <w:jc w:val="center"/>
        <w:rPr>
          <w:rFonts w:hint="default" w:ascii="宋体" w:hAnsi="宋体" w:eastAsia="宋体" w:cs="宋体"/>
          <w:color w:val="auto"/>
          <w:sz w:val="44"/>
          <w:szCs w:val="44"/>
          <w:highlight w:val="none"/>
        </w:rPr>
      </w:pPr>
    </w:p>
    <w:p w14:paraId="37051E40">
      <w:pPr>
        <w:spacing w:line="500" w:lineRule="exact"/>
        <w:jc w:val="center"/>
        <w:rPr>
          <w:rFonts w:hint="default" w:ascii="宋体" w:hAnsi="宋体" w:eastAsia="宋体" w:cs="宋体"/>
          <w:color w:val="auto"/>
          <w:sz w:val="32"/>
          <w:szCs w:val="32"/>
          <w:highlight w:val="none"/>
        </w:rPr>
      </w:pPr>
    </w:p>
    <w:p w14:paraId="3AC36017">
      <w:pPr>
        <w:spacing w:line="360" w:lineRule="auto"/>
        <w:ind w:firstLine="480" w:firstLineChars="200"/>
        <w:jc w:val="left"/>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本授权委托书声明：根据</w:t>
      </w:r>
      <w:r>
        <w:rPr>
          <w:rFonts w:hint="default" w:ascii="宋体" w:hAnsi="宋体" w:eastAsia="宋体" w:cs="宋体"/>
          <w:color w:val="auto"/>
          <w:sz w:val="24"/>
          <w:szCs w:val="24"/>
          <w:highlight w:val="none"/>
          <w:u w:val="single"/>
        </w:rPr>
        <w:t xml:space="preserve">                </w:t>
      </w:r>
      <w:r>
        <w:rPr>
          <w:rFonts w:hint="default" w:ascii="宋体" w:hAnsi="宋体" w:eastAsia="宋体" w:cs="宋体"/>
          <w:color w:val="auto"/>
          <w:sz w:val="24"/>
          <w:szCs w:val="24"/>
          <w:highlight w:val="none"/>
        </w:rPr>
        <w:t>（牵头人名称）与</w:t>
      </w:r>
      <w:r>
        <w:rPr>
          <w:rFonts w:hint="default" w:ascii="宋体" w:hAnsi="宋体" w:eastAsia="宋体" w:cs="宋体"/>
          <w:color w:val="auto"/>
          <w:sz w:val="24"/>
          <w:szCs w:val="24"/>
          <w:highlight w:val="none"/>
          <w:u w:val="single"/>
        </w:rPr>
        <w:t xml:space="preserve">              </w:t>
      </w:r>
      <w:r>
        <w:rPr>
          <w:rFonts w:hint="default" w:ascii="宋体" w:hAnsi="宋体" w:eastAsia="宋体" w:cs="宋体"/>
          <w:color w:val="auto"/>
          <w:sz w:val="24"/>
          <w:szCs w:val="24"/>
          <w:highlight w:val="none"/>
        </w:rPr>
        <w:t>（联合体其他成员名称）签订的《联合体竞标协议书》的内容，</w:t>
      </w:r>
      <w:r>
        <w:rPr>
          <w:rFonts w:hint="default" w:ascii="宋体" w:hAnsi="宋体" w:eastAsia="宋体" w:cs="宋体"/>
          <w:color w:val="auto"/>
          <w:sz w:val="24"/>
          <w:szCs w:val="24"/>
          <w:highlight w:val="none"/>
          <w:u w:val="single"/>
        </w:rPr>
        <w:t xml:space="preserve">                       </w:t>
      </w:r>
      <w:r>
        <w:rPr>
          <w:rFonts w:hint="default" w:ascii="宋体" w:hAnsi="宋体" w:eastAsia="宋体" w:cs="宋体"/>
          <w:color w:val="auto"/>
          <w:sz w:val="24"/>
          <w:szCs w:val="24"/>
          <w:highlight w:val="none"/>
        </w:rPr>
        <w:t>（牵头人名称）的法定代表人</w:t>
      </w:r>
      <w:r>
        <w:rPr>
          <w:rFonts w:hint="default" w:ascii="宋体" w:hAnsi="宋体" w:eastAsia="宋体" w:cs="宋体"/>
          <w:color w:val="auto"/>
          <w:sz w:val="24"/>
          <w:szCs w:val="24"/>
          <w:highlight w:val="none"/>
          <w:u w:val="single"/>
        </w:rPr>
        <w:t xml:space="preserve">      </w:t>
      </w:r>
      <w:r>
        <w:rPr>
          <w:rFonts w:hint="default" w:ascii="宋体" w:hAnsi="宋体" w:eastAsia="宋体" w:cs="宋体"/>
          <w:color w:val="auto"/>
          <w:sz w:val="24"/>
          <w:szCs w:val="24"/>
          <w:highlight w:val="none"/>
        </w:rPr>
        <w:t>（姓名）现授权</w:t>
      </w:r>
      <w:r>
        <w:rPr>
          <w:rFonts w:hint="default" w:ascii="宋体" w:hAnsi="宋体" w:eastAsia="宋体" w:cs="宋体"/>
          <w:color w:val="auto"/>
          <w:sz w:val="24"/>
          <w:szCs w:val="24"/>
          <w:highlight w:val="none"/>
          <w:u w:val="single"/>
        </w:rPr>
        <w:t xml:space="preserve">      </w:t>
      </w:r>
      <w:r>
        <w:rPr>
          <w:rFonts w:hint="default" w:ascii="宋体" w:hAnsi="宋体" w:eastAsia="宋体" w:cs="宋体"/>
          <w:color w:val="auto"/>
          <w:sz w:val="24"/>
          <w:szCs w:val="24"/>
          <w:highlight w:val="none"/>
        </w:rPr>
        <w:t>（姓名）为联合委托代理人，并代表我方全权办理针对上述项目的所有采购程序和环节的具体事务和签署相关文件。</w:t>
      </w:r>
    </w:p>
    <w:p w14:paraId="459D1FC4">
      <w:pPr>
        <w:spacing w:line="360" w:lineRule="auto"/>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我方对委托代理人的签字事项负全部责任。</w:t>
      </w:r>
    </w:p>
    <w:p w14:paraId="3A46E1DA">
      <w:pPr>
        <w:spacing w:line="360" w:lineRule="auto"/>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本授权书自签署之日起生效，在撤销授权的书面通知以前，本授权书一直有效。委托代理人在授权书有效期内签署的所有文件不因授权的撤销而失效。</w:t>
      </w:r>
    </w:p>
    <w:p w14:paraId="17E1FCC3">
      <w:pPr>
        <w:spacing w:line="360" w:lineRule="auto"/>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委托代理人无转委托权，特此委托。</w:t>
      </w:r>
    </w:p>
    <w:p w14:paraId="4AAA2A84">
      <w:pPr>
        <w:spacing w:line="360" w:lineRule="auto"/>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 xml:space="preserve">    </w:t>
      </w:r>
    </w:p>
    <w:p w14:paraId="7809505F">
      <w:pPr>
        <w:spacing w:line="360" w:lineRule="auto"/>
        <w:ind w:firstLine="1560" w:firstLineChars="65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牵头人法定代表人（签字或盖章）：</w:t>
      </w:r>
    </w:p>
    <w:p w14:paraId="04528F2F">
      <w:pPr>
        <w:spacing w:line="360" w:lineRule="auto"/>
        <w:ind w:firstLine="3120" w:firstLineChars="13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牵头人（电子签章）：</w:t>
      </w:r>
    </w:p>
    <w:p w14:paraId="61381660">
      <w:pPr>
        <w:spacing w:line="360" w:lineRule="auto"/>
        <w:ind w:firstLine="3840" w:firstLineChars="16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日期：    年   月   日</w:t>
      </w:r>
    </w:p>
    <w:p w14:paraId="026DD9B8">
      <w:pPr>
        <w:spacing w:line="360" w:lineRule="auto"/>
        <w:rPr>
          <w:rFonts w:hint="default" w:ascii="宋体" w:hAnsi="宋体" w:eastAsia="宋体" w:cs="宋体"/>
          <w:color w:val="auto"/>
          <w:sz w:val="24"/>
          <w:szCs w:val="24"/>
          <w:highlight w:val="none"/>
        </w:rPr>
      </w:pPr>
    </w:p>
    <w:p w14:paraId="0C5B8CCC">
      <w:pPr>
        <w:spacing w:line="360" w:lineRule="auto"/>
        <w:ind w:firstLine="3120" w:firstLineChars="13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被授权人（签字）：</w:t>
      </w:r>
    </w:p>
    <w:p w14:paraId="0AA4A246">
      <w:pPr>
        <w:spacing w:line="360" w:lineRule="auto"/>
        <w:ind w:firstLine="3840" w:firstLineChars="16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日期：    年   月   日</w:t>
      </w:r>
    </w:p>
    <w:p w14:paraId="434C3E69">
      <w:pPr>
        <w:spacing w:line="360" w:lineRule="auto"/>
        <w:rPr>
          <w:rFonts w:hint="default" w:ascii="宋体" w:hAnsi="宋体" w:eastAsia="宋体" w:cs="宋体"/>
          <w:color w:val="auto"/>
          <w:sz w:val="24"/>
          <w:szCs w:val="24"/>
          <w:highlight w:val="none"/>
        </w:rPr>
      </w:pPr>
    </w:p>
    <w:p w14:paraId="0F7D3AAF">
      <w:pPr>
        <w:spacing w:line="360" w:lineRule="auto"/>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注：1. 法定代表人必须在授权委托书上亲笔签字或盖章，委托代理人必须在授权委托书上亲笔签字，</w:t>
      </w:r>
      <w:r>
        <w:rPr>
          <w:rFonts w:hint="default" w:ascii="宋体" w:hAnsi="宋体" w:eastAsia="宋体" w:cs="宋体"/>
          <w:b/>
          <w:color w:val="auto"/>
          <w:sz w:val="24"/>
          <w:szCs w:val="24"/>
          <w:highlight w:val="none"/>
        </w:rPr>
        <w:t>否则其响应文件按无效响应处理。</w:t>
      </w:r>
    </w:p>
    <w:p w14:paraId="4C60F85D">
      <w:pPr>
        <w:spacing w:line="360" w:lineRule="auto"/>
        <w:ind w:firstLine="480" w:firstLineChars="200"/>
        <w:jc w:val="left"/>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2.本授权委托书应由联合体牵头人的法定代表人按上述规定签署。</w:t>
      </w:r>
    </w:p>
    <w:p w14:paraId="422A5AD5">
      <w:pPr>
        <w:spacing w:line="360" w:lineRule="auto"/>
        <w:ind w:firstLine="480" w:firstLineChars="200"/>
        <w:jc w:val="left"/>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3.供应商为其他组织或者自然人时，本磋商文件规定的法定代表人指负责人或者自然人。本磋商文件所称负责人是指参加竞标的其他组织营业执照上的负责人，本磋商文件所称自然人指参与竞标的自然人本人。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4BD7029E">
      <w:pPr>
        <w:spacing w:line="360" w:lineRule="auto"/>
        <w:ind w:firstLine="480" w:firstLineChars="200"/>
        <w:jc w:val="left"/>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4.法人、其他组织竞标时“我方”是指“我单位”，自然人竞标时“我方”是指“本人”。</w:t>
      </w:r>
    </w:p>
    <w:p w14:paraId="3D88CB4D">
      <w:pPr>
        <w:spacing w:line="520" w:lineRule="exact"/>
        <w:jc w:val="left"/>
        <w:rPr>
          <w:rFonts w:hint="default" w:ascii="宋体" w:hAnsi="宋体" w:eastAsia="宋体" w:cs="宋体"/>
          <w:b/>
          <w:color w:val="auto"/>
          <w:sz w:val="30"/>
          <w:szCs w:val="30"/>
          <w:highlight w:val="none"/>
        </w:rPr>
      </w:pPr>
      <w:r>
        <w:rPr>
          <w:rFonts w:hint="default" w:ascii="宋体" w:hAnsi="宋体" w:eastAsia="宋体" w:cs="宋体"/>
          <w:color w:val="auto"/>
          <w:sz w:val="32"/>
          <w:szCs w:val="32"/>
          <w:highlight w:val="none"/>
        </w:rPr>
        <w:br w:type="page"/>
      </w:r>
      <w:r>
        <w:rPr>
          <w:rFonts w:hint="default" w:ascii="宋体" w:hAnsi="宋体" w:eastAsia="宋体" w:cs="宋体"/>
          <w:b/>
          <w:color w:val="auto"/>
          <w:sz w:val="30"/>
          <w:szCs w:val="30"/>
          <w:highlight w:val="none"/>
        </w:rPr>
        <w:t>四、商务条款偏离表</w:t>
      </w:r>
    </w:p>
    <w:p w14:paraId="70FFFD5F">
      <w:pPr>
        <w:spacing w:line="500" w:lineRule="exact"/>
        <w:jc w:val="center"/>
        <w:rPr>
          <w:rFonts w:hint="default" w:ascii="宋体" w:hAnsi="宋体" w:eastAsia="宋体" w:cs="宋体"/>
          <w:color w:val="auto"/>
          <w:sz w:val="44"/>
          <w:szCs w:val="44"/>
          <w:highlight w:val="none"/>
        </w:rPr>
      </w:pPr>
      <w:r>
        <w:rPr>
          <w:rFonts w:hint="default" w:ascii="宋体" w:hAnsi="宋体" w:eastAsia="宋体" w:cs="宋体"/>
          <w:color w:val="auto"/>
          <w:sz w:val="44"/>
          <w:szCs w:val="44"/>
          <w:highlight w:val="none"/>
        </w:rPr>
        <w:t>商务条款偏离表</w:t>
      </w:r>
    </w:p>
    <w:p w14:paraId="18DA9530">
      <w:pPr>
        <w:spacing w:line="520" w:lineRule="exact"/>
        <w:rPr>
          <w:rFonts w:hint="default" w:ascii="宋体" w:hAnsi="宋体" w:eastAsia="宋体" w:cs="宋体"/>
          <w:color w:val="auto"/>
          <w:sz w:val="21"/>
          <w:szCs w:val="21"/>
          <w:highlight w:val="none"/>
        </w:rPr>
      </w:pPr>
    </w:p>
    <w:p w14:paraId="23CCFEC1">
      <w:pPr>
        <w:spacing w:line="360" w:lineRule="auto"/>
        <w:rPr>
          <w:rFonts w:hint="default" w:ascii="宋体" w:hAnsi="宋体" w:eastAsia="宋体" w:cs="宋体"/>
          <w:color w:val="auto"/>
          <w:sz w:val="24"/>
          <w:szCs w:val="24"/>
          <w:highlight w:val="none"/>
          <w:u w:val="single"/>
        </w:rPr>
      </w:pPr>
      <w:r>
        <w:rPr>
          <w:rFonts w:hint="default" w:ascii="宋体" w:hAnsi="宋体" w:eastAsia="宋体" w:cs="宋体"/>
          <w:color w:val="auto"/>
          <w:sz w:val="24"/>
          <w:szCs w:val="24"/>
          <w:highlight w:val="none"/>
        </w:rPr>
        <w:t>采购项目编号：</w:t>
      </w:r>
      <w:r>
        <w:rPr>
          <w:rFonts w:hint="default" w:ascii="宋体" w:hAnsi="宋体" w:eastAsia="宋体" w:cs="宋体"/>
          <w:color w:val="auto"/>
          <w:sz w:val="24"/>
          <w:szCs w:val="24"/>
          <w:highlight w:val="none"/>
          <w:u w:val="single"/>
        </w:rPr>
        <w:t xml:space="preserve"> 　　　　　　　　　　　　　</w:t>
      </w:r>
    </w:p>
    <w:p w14:paraId="3767D6E2">
      <w:pPr>
        <w:spacing w:line="360" w:lineRule="auto"/>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采购项目名称：</w:t>
      </w:r>
      <w:r>
        <w:rPr>
          <w:rFonts w:hint="default" w:ascii="宋体" w:hAnsi="宋体" w:eastAsia="宋体" w:cs="宋体"/>
          <w:color w:val="auto"/>
          <w:sz w:val="24"/>
          <w:szCs w:val="24"/>
          <w:highlight w:val="none"/>
          <w:u w:val="single"/>
        </w:rPr>
        <w:t>　　　　　　　　　　　　　　</w:t>
      </w:r>
    </w:p>
    <w:p w14:paraId="28379579">
      <w:pPr>
        <w:spacing w:line="360" w:lineRule="auto"/>
        <w:rPr>
          <w:rFonts w:hint="default" w:ascii="宋体" w:hAnsi="宋体" w:eastAsia="宋体" w:cs="宋体"/>
          <w:color w:val="auto"/>
          <w:sz w:val="24"/>
          <w:szCs w:val="24"/>
          <w:highlight w:val="none"/>
          <w:u w:val="single"/>
        </w:rPr>
      </w:pPr>
      <w:r>
        <w:rPr>
          <w:rFonts w:hint="default" w:ascii="宋体" w:hAnsi="宋体" w:eastAsia="宋体" w:cs="宋体"/>
          <w:color w:val="auto"/>
          <w:sz w:val="24"/>
          <w:szCs w:val="24"/>
          <w:highlight w:val="none"/>
        </w:rPr>
        <w:t>分标号（此处有分标时填写具体分标号，无分标时填写“无”）：</w:t>
      </w:r>
      <w:r>
        <w:rPr>
          <w:rFonts w:hint="default" w:ascii="宋体" w:hAnsi="宋体" w:eastAsia="宋体" w:cs="宋体"/>
          <w:color w:val="auto"/>
          <w:sz w:val="24"/>
          <w:szCs w:val="24"/>
          <w:highlight w:val="none"/>
          <w:u w:val="single"/>
        </w:rPr>
        <w:t xml:space="preserve">                       </w:t>
      </w:r>
    </w:p>
    <w:tbl>
      <w:tblPr>
        <w:tblStyle w:val="18"/>
        <w:tblpPr w:leftFromText="180" w:rightFromText="180" w:vertAnchor="text" w:horzAnchor="margin" w:tblpXSpec="center" w:tblpY="94"/>
        <w:tblW w:w="94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3757"/>
        <w:gridCol w:w="2606"/>
        <w:gridCol w:w="2426"/>
      </w:tblGrid>
      <w:tr w14:paraId="0BC90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691" w:type="dxa"/>
            <w:tcBorders>
              <w:top w:val="single" w:color="auto" w:sz="4" w:space="0"/>
              <w:left w:val="single" w:color="auto" w:sz="4" w:space="0"/>
              <w:bottom w:val="single" w:color="auto" w:sz="4" w:space="0"/>
              <w:right w:val="single" w:color="auto" w:sz="4" w:space="0"/>
              <w:tl2br w:val="nil"/>
              <w:tr2bl w:val="nil"/>
            </w:tcBorders>
            <w:noWrap/>
            <w:vAlign w:val="center"/>
          </w:tcPr>
          <w:p w14:paraId="7B79A016">
            <w:pPr>
              <w:spacing w:line="340" w:lineRule="exact"/>
              <w:jc w:val="center"/>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项号</w:t>
            </w:r>
          </w:p>
        </w:tc>
        <w:tc>
          <w:tcPr>
            <w:tcW w:w="3757" w:type="dxa"/>
            <w:tcBorders>
              <w:top w:val="single" w:color="auto" w:sz="4" w:space="0"/>
              <w:left w:val="single" w:color="auto" w:sz="4" w:space="0"/>
              <w:bottom w:val="single" w:color="auto" w:sz="4" w:space="0"/>
              <w:right w:val="single" w:color="auto" w:sz="4" w:space="0"/>
              <w:tl2br w:val="nil"/>
              <w:tr2bl w:val="nil"/>
            </w:tcBorders>
            <w:noWrap/>
            <w:vAlign w:val="center"/>
          </w:tcPr>
          <w:p w14:paraId="57B1261A">
            <w:pPr>
              <w:spacing w:line="340" w:lineRule="exact"/>
              <w:jc w:val="center"/>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竞争性磋商采购文件的商务需求</w:t>
            </w:r>
          </w:p>
        </w:tc>
        <w:tc>
          <w:tcPr>
            <w:tcW w:w="260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85E8D93">
            <w:pPr>
              <w:spacing w:line="340" w:lineRule="exact"/>
              <w:jc w:val="center"/>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响应文件承诺的商务条款</w:t>
            </w:r>
          </w:p>
        </w:tc>
        <w:tc>
          <w:tcPr>
            <w:tcW w:w="242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F4241FF">
            <w:pPr>
              <w:spacing w:line="300" w:lineRule="exact"/>
              <w:jc w:val="center"/>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偏离说明</w:t>
            </w:r>
          </w:p>
        </w:tc>
      </w:tr>
      <w:tr w14:paraId="70AF5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691" w:type="dxa"/>
            <w:vMerge w:val="restart"/>
            <w:tcBorders>
              <w:top w:val="single" w:color="auto" w:sz="4" w:space="0"/>
              <w:left w:val="single" w:color="auto" w:sz="4" w:space="0"/>
              <w:bottom w:val="single" w:color="auto" w:sz="4" w:space="0"/>
              <w:right w:val="single" w:color="auto" w:sz="4" w:space="0"/>
              <w:tl2br w:val="nil"/>
              <w:tr2bl w:val="nil"/>
            </w:tcBorders>
            <w:noWrap/>
            <w:vAlign w:val="top"/>
          </w:tcPr>
          <w:p w14:paraId="5E2C8A99">
            <w:pPr>
              <w:spacing w:line="340" w:lineRule="exact"/>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一</w:t>
            </w:r>
          </w:p>
        </w:tc>
        <w:tc>
          <w:tcPr>
            <w:tcW w:w="3757" w:type="dxa"/>
            <w:tcBorders>
              <w:top w:val="single" w:color="auto" w:sz="4" w:space="0"/>
              <w:left w:val="single" w:color="auto" w:sz="4" w:space="0"/>
              <w:bottom w:val="single" w:color="auto" w:sz="4" w:space="0"/>
              <w:right w:val="single" w:color="auto" w:sz="4" w:space="0"/>
              <w:tl2br w:val="nil"/>
              <w:tr2bl w:val="nil"/>
            </w:tcBorders>
            <w:noWrap/>
            <w:vAlign w:val="top"/>
          </w:tcPr>
          <w:p w14:paraId="02BC9025">
            <w:pPr>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1  ……</w:t>
            </w:r>
          </w:p>
        </w:tc>
        <w:tc>
          <w:tcPr>
            <w:tcW w:w="2606" w:type="dxa"/>
            <w:tcBorders>
              <w:top w:val="single" w:color="auto" w:sz="4" w:space="0"/>
              <w:left w:val="single" w:color="auto" w:sz="4" w:space="0"/>
              <w:bottom w:val="single" w:color="auto" w:sz="4" w:space="0"/>
              <w:right w:val="single" w:color="auto" w:sz="4" w:space="0"/>
              <w:tl2br w:val="nil"/>
              <w:tr2bl w:val="nil"/>
            </w:tcBorders>
            <w:noWrap w:val="0"/>
            <w:vAlign w:val="top"/>
          </w:tcPr>
          <w:p w14:paraId="54529A1A">
            <w:pPr>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1  ……</w:t>
            </w:r>
          </w:p>
        </w:tc>
        <w:tc>
          <w:tcPr>
            <w:tcW w:w="2426" w:type="dxa"/>
            <w:tcBorders>
              <w:top w:val="single" w:color="auto" w:sz="4" w:space="0"/>
              <w:left w:val="single" w:color="auto" w:sz="4" w:space="0"/>
              <w:bottom w:val="single" w:color="auto" w:sz="4" w:space="0"/>
              <w:right w:val="single" w:color="auto" w:sz="4" w:space="0"/>
              <w:tl2br w:val="nil"/>
              <w:tr2bl w:val="nil"/>
            </w:tcBorders>
            <w:noWrap w:val="0"/>
            <w:vAlign w:val="top"/>
          </w:tcPr>
          <w:p w14:paraId="51FA25DD">
            <w:pPr>
              <w:spacing w:line="300" w:lineRule="exact"/>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正偏离（负偏离或无偏离）</w:t>
            </w:r>
          </w:p>
          <w:p w14:paraId="31EC8B9F">
            <w:pPr>
              <w:spacing w:line="300" w:lineRule="exact"/>
              <w:rPr>
                <w:rFonts w:hint="default" w:ascii="宋体" w:hAnsi="宋体" w:eastAsia="宋体" w:cs="宋体"/>
                <w:color w:val="auto"/>
                <w:sz w:val="24"/>
                <w:szCs w:val="24"/>
                <w:highlight w:val="none"/>
              </w:rPr>
            </w:pPr>
          </w:p>
        </w:tc>
      </w:tr>
      <w:tr w14:paraId="62137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691" w:type="dxa"/>
            <w:vMerge w:val="continue"/>
            <w:tcBorders>
              <w:top w:val="single" w:color="auto" w:sz="4" w:space="0"/>
              <w:left w:val="single" w:color="auto" w:sz="4" w:space="0"/>
              <w:bottom w:val="single" w:color="auto" w:sz="4" w:space="0"/>
              <w:right w:val="single" w:color="auto" w:sz="4" w:space="0"/>
              <w:tl2br w:val="nil"/>
              <w:tr2bl w:val="nil"/>
            </w:tcBorders>
            <w:noWrap/>
            <w:vAlign w:val="top"/>
          </w:tcPr>
          <w:p w14:paraId="65D4EE77">
            <w:pPr>
              <w:spacing w:line="340" w:lineRule="exact"/>
              <w:rPr>
                <w:rFonts w:hint="default" w:ascii="宋体" w:hAnsi="宋体" w:eastAsia="宋体" w:cs="宋体"/>
                <w:color w:val="auto"/>
                <w:sz w:val="24"/>
                <w:szCs w:val="24"/>
                <w:highlight w:val="none"/>
              </w:rPr>
            </w:pPr>
          </w:p>
        </w:tc>
        <w:tc>
          <w:tcPr>
            <w:tcW w:w="3757" w:type="dxa"/>
            <w:tcBorders>
              <w:top w:val="single" w:color="auto" w:sz="4" w:space="0"/>
              <w:left w:val="single" w:color="auto" w:sz="4" w:space="0"/>
              <w:bottom w:val="single" w:color="auto" w:sz="4" w:space="0"/>
              <w:right w:val="single" w:color="auto" w:sz="4" w:space="0"/>
              <w:tl2br w:val="nil"/>
              <w:tr2bl w:val="nil"/>
            </w:tcBorders>
            <w:noWrap/>
            <w:vAlign w:val="top"/>
          </w:tcPr>
          <w:p w14:paraId="11AC2678">
            <w:pPr>
              <w:spacing w:line="340" w:lineRule="exact"/>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2  ……</w:t>
            </w:r>
          </w:p>
          <w:p w14:paraId="57A0889E">
            <w:pPr>
              <w:spacing w:line="340" w:lineRule="exact"/>
              <w:rPr>
                <w:rFonts w:hint="default" w:ascii="宋体" w:hAnsi="宋体" w:eastAsia="宋体" w:cs="宋体"/>
                <w:color w:val="auto"/>
                <w:sz w:val="24"/>
                <w:szCs w:val="24"/>
                <w:highlight w:val="none"/>
              </w:rPr>
            </w:pPr>
          </w:p>
        </w:tc>
        <w:tc>
          <w:tcPr>
            <w:tcW w:w="2606" w:type="dxa"/>
            <w:tcBorders>
              <w:top w:val="single" w:color="auto" w:sz="4" w:space="0"/>
              <w:left w:val="single" w:color="auto" w:sz="4" w:space="0"/>
              <w:bottom w:val="single" w:color="auto" w:sz="4" w:space="0"/>
              <w:right w:val="single" w:color="auto" w:sz="4" w:space="0"/>
              <w:tl2br w:val="nil"/>
              <w:tr2bl w:val="nil"/>
            </w:tcBorders>
            <w:noWrap w:val="0"/>
            <w:vAlign w:val="top"/>
          </w:tcPr>
          <w:p w14:paraId="27A4DF3C">
            <w:pPr>
              <w:spacing w:line="340" w:lineRule="exact"/>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2  ……</w:t>
            </w:r>
          </w:p>
          <w:p w14:paraId="24389E2A">
            <w:pPr>
              <w:spacing w:line="300" w:lineRule="exact"/>
              <w:rPr>
                <w:rFonts w:hint="default" w:ascii="宋体" w:hAnsi="宋体" w:eastAsia="宋体" w:cs="宋体"/>
                <w:color w:val="auto"/>
                <w:sz w:val="24"/>
                <w:szCs w:val="24"/>
                <w:highlight w:val="none"/>
              </w:rPr>
            </w:pPr>
          </w:p>
        </w:tc>
        <w:tc>
          <w:tcPr>
            <w:tcW w:w="2426" w:type="dxa"/>
            <w:tcBorders>
              <w:top w:val="single" w:color="auto" w:sz="4" w:space="0"/>
              <w:left w:val="single" w:color="auto" w:sz="4" w:space="0"/>
              <w:bottom w:val="single" w:color="auto" w:sz="4" w:space="0"/>
              <w:right w:val="single" w:color="auto" w:sz="4" w:space="0"/>
              <w:tl2br w:val="nil"/>
              <w:tr2bl w:val="nil"/>
            </w:tcBorders>
            <w:noWrap w:val="0"/>
            <w:vAlign w:val="top"/>
          </w:tcPr>
          <w:p w14:paraId="2B902962">
            <w:pPr>
              <w:spacing w:line="300" w:lineRule="exact"/>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正偏离（负偏离或无偏离）</w:t>
            </w:r>
          </w:p>
          <w:p w14:paraId="10C6A9AA">
            <w:pPr>
              <w:spacing w:line="300" w:lineRule="exact"/>
              <w:rPr>
                <w:rFonts w:hint="default" w:ascii="宋体" w:hAnsi="宋体" w:eastAsia="宋体" w:cs="宋体"/>
                <w:color w:val="auto"/>
                <w:sz w:val="24"/>
                <w:szCs w:val="24"/>
                <w:highlight w:val="none"/>
              </w:rPr>
            </w:pPr>
          </w:p>
        </w:tc>
      </w:tr>
      <w:tr w14:paraId="01D21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691" w:type="dxa"/>
            <w:vMerge w:val="continue"/>
            <w:tcBorders>
              <w:top w:val="single" w:color="auto" w:sz="4" w:space="0"/>
              <w:left w:val="single" w:color="auto" w:sz="4" w:space="0"/>
              <w:bottom w:val="single" w:color="auto" w:sz="4" w:space="0"/>
              <w:right w:val="single" w:color="auto" w:sz="4" w:space="0"/>
              <w:tl2br w:val="nil"/>
              <w:tr2bl w:val="nil"/>
            </w:tcBorders>
            <w:noWrap/>
            <w:vAlign w:val="top"/>
          </w:tcPr>
          <w:p w14:paraId="1DF34AFC">
            <w:pPr>
              <w:spacing w:line="340" w:lineRule="exact"/>
              <w:rPr>
                <w:rFonts w:hint="default" w:ascii="宋体" w:hAnsi="宋体" w:eastAsia="宋体" w:cs="宋体"/>
                <w:color w:val="auto"/>
                <w:sz w:val="24"/>
                <w:szCs w:val="24"/>
                <w:highlight w:val="none"/>
              </w:rPr>
            </w:pPr>
          </w:p>
        </w:tc>
        <w:tc>
          <w:tcPr>
            <w:tcW w:w="3757" w:type="dxa"/>
            <w:tcBorders>
              <w:top w:val="single" w:color="auto" w:sz="4" w:space="0"/>
              <w:left w:val="single" w:color="auto" w:sz="4" w:space="0"/>
              <w:bottom w:val="single" w:color="auto" w:sz="4" w:space="0"/>
              <w:right w:val="single" w:color="auto" w:sz="4" w:space="0"/>
              <w:tl2br w:val="nil"/>
              <w:tr2bl w:val="nil"/>
            </w:tcBorders>
            <w:noWrap/>
            <w:vAlign w:val="top"/>
          </w:tcPr>
          <w:p w14:paraId="0D83C3BE">
            <w:pPr>
              <w:spacing w:line="340" w:lineRule="exact"/>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3  ……</w:t>
            </w:r>
          </w:p>
          <w:p w14:paraId="3E795F2A">
            <w:pPr>
              <w:spacing w:line="340" w:lineRule="exact"/>
              <w:rPr>
                <w:rFonts w:hint="default" w:ascii="宋体" w:hAnsi="宋体" w:eastAsia="宋体" w:cs="宋体"/>
                <w:color w:val="auto"/>
                <w:sz w:val="24"/>
                <w:szCs w:val="24"/>
                <w:highlight w:val="none"/>
              </w:rPr>
            </w:pPr>
          </w:p>
        </w:tc>
        <w:tc>
          <w:tcPr>
            <w:tcW w:w="2606" w:type="dxa"/>
            <w:tcBorders>
              <w:top w:val="single" w:color="auto" w:sz="4" w:space="0"/>
              <w:left w:val="single" w:color="auto" w:sz="4" w:space="0"/>
              <w:bottom w:val="single" w:color="auto" w:sz="4" w:space="0"/>
              <w:right w:val="single" w:color="auto" w:sz="4" w:space="0"/>
              <w:tl2br w:val="nil"/>
              <w:tr2bl w:val="nil"/>
            </w:tcBorders>
            <w:noWrap w:val="0"/>
            <w:vAlign w:val="top"/>
          </w:tcPr>
          <w:p w14:paraId="31DF0441">
            <w:pPr>
              <w:spacing w:line="340" w:lineRule="exact"/>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3  ……</w:t>
            </w:r>
          </w:p>
          <w:p w14:paraId="50D4DC08">
            <w:pPr>
              <w:spacing w:line="300" w:lineRule="exact"/>
              <w:rPr>
                <w:rFonts w:hint="default" w:ascii="宋体" w:hAnsi="宋体" w:eastAsia="宋体" w:cs="宋体"/>
                <w:color w:val="auto"/>
                <w:sz w:val="24"/>
                <w:szCs w:val="24"/>
                <w:highlight w:val="none"/>
              </w:rPr>
            </w:pPr>
          </w:p>
        </w:tc>
        <w:tc>
          <w:tcPr>
            <w:tcW w:w="2426" w:type="dxa"/>
            <w:tcBorders>
              <w:top w:val="single" w:color="auto" w:sz="4" w:space="0"/>
              <w:left w:val="single" w:color="auto" w:sz="4" w:space="0"/>
              <w:bottom w:val="single" w:color="auto" w:sz="4" w:space="0"/>
              <w:right w:val="single" w:color="auto" w:sz="4" w:space="0"/>
              <w:tl2br w:val="nil"/>
              <w:tr2bl w:val="nil"/>
            </w:tcBorders>
            <w:noWrap w:val="0"/>
            <w:vAlign w:val="top"/>
          </w:tcPr>
          <w:p w14:paraId="2B3263E6">
            <w:pPr>
              <w:spacing w:line="300" w:lineRule="exact"/>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正偏离（负偏离或无偏离）</w:t>
            </w:r>
          </w:p>
          <w:p w14:paraId="322FB84F">
            <w:pPr>
              <w:spacing w:line="300" w:lineRule="exact"/>
              <w:rPr>
                <w:rFonts w:hint="default" w:ascii="宋体" w:hAnsi="宋体" w:eastAsia="宋体" w:cs="宋体"/>
                <w:color w:val="auto"/>
                <w:sz w:val="24"/>
                <w:szCs w:val="24"/>
                <w:highlight w:val="none"/>
              </w:rPr>
            </w:pPr>
          </w:p>
        </w:tc>
      </w:tr>
      <w:tr w14:paraId="04158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691" w:type="dxa"/>
            <w:vMerge w:val="continue"/>
            <w:tcBorders>
              <w:top w:val="single" w:color="auto" w:sz="4" w:space="0"/>
              <w:left w:val="single" w:color="auto" w:sz="4" w:space="0"/>
              <w:bottom w:val="single" w:color="auto" w:sz="4" w:space="0"/>
              <w:right w:val="single" w:color="auto" w:sz="4" w:space="0"/>
              <w:tl2br w:val="nil"/>
              <w:tr2bl w:val="nil"/>
            </w:tcBorders>
            <w:noWrap/>
            <w:vAlign w:val="top"/>
          </w:tcPr>
          <w:p w14:paraId="096824BD">
            <w:pPr>
              <w:spacing w:line="340" w:lineRule="exact"/>
              <w:rPr>
                <w:rFonts w:hint="default" w:ascii="宋体" w:hAnsi="宋体" w:eastAsia="宋体" w:cs="宋体"/>
                <w:color w:val="auto"/>
                <w:sz w:val="24"/>
                <w:szCs w:val="24"/>
                <w:highlight w:val="none"/>
              </w:rPr>
            </w:pPr>
          </w:p>
        </w:tc>
        <w:tc>
          <w:tcPr>
            <w:tcW w:w="3757" w:type="dxa"/>
            <w:tcBorders>
              <w:top w:val="single" w:color="auto" w:sz="4" w:space="0"/>
              <w:left w:val="single" w:color="auto" w:sz="4" w:space="0"/>
              <w:bottom w:val="single" w:color="auto" w:sz="4" w:space="0"/>
              <w:right w:val="single" w:color="auto" w:sz="4" w:space="0"/>
              <w:tl2br w:val="nil"/>
              <w:tr2bl w:val="nil"/>
            </w:tcBorders>
            <w:noWrap/>
            <w:vAlign w:val="top"/>
          </w:tcPr>
          <w:p w14:paraId="77234FB0">
            <w:pPr>
              <w:spacing w:line="340" w:lineRule="exact"/>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w:t>
            </w:r>
          </w:p>
        </w:tc>
        <w:tc>
          <w:tcPr>
            <w:tcW w:w="2606" w:type="dxa"/>
            <w:tcBorders>
              <w:top w:val="single" w:color="auto" w:sz="4" w:space="0"/>
              <w:left w:val="single" w:color="auto" w:sz="4" w:space="0"/>
              <w:bottom w:val="single" w:color="auto" w:sz="4" w:space="0"/>
              <w:right w:val="single" w:color="auto" w:sz="4" w:space="0"/>
              <w:tl2br w:val="nil"/>
              <w:tr2bl w:val="nil"/>
            </w:tcBorders>
            <w:noWrap w:val="0"/>
            <w:vAlign w:val="top"/>
          </w:tcPr>
          <w:p w14:paraId="2B3F83AD">
            <w:pPr>
              <w:spacing w:line="300" w:lineRule="exact"/>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w:t>
            </w:r>
          </w:p>
        </w:tc>
        <w:tc>
          <w:tcPr>
            <w:tcW w:w="2426" w:type="dxa"/>
            <w:tcBorders>
              <w:top w:val="single" w:color="auto" w:sz="4" w:space="0"/>
              <w:left w:val="single" w:color="auto" w:sz="4" w:space="0"/>
              <w:bottom w:val="single" w:color="auto" w:sz="4" w:space="0"/>
              <w:right w:val="single" w:color="auto" w:sz="4" w:space="0"/>
              <w:tl2br w:val="nil"/>
              <w:tr2bl w:val="nil"/>
            </w:tcBorders>
            <w:noWrap w:val="0"/>
            <w:vAlign w:val="top"/>
          </w:tcPr>
          <w:p w14:paraId="5D712A72">
            <w:pPr>
              <w:spacing w:line="300" w:lineRule="exact"/>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正偏离（负偏离或无偏离）</w:t>
            </w:r>
          </w:p>
          <w:p w14:paraId="3B543614">
            <w:pPr>
              <w:spacing w:line="300" w:lineRule="exact"/>
              <w:rPr>
                <w:rFonts w:hint="default" w:ascii="宋体" w:hAnsi="宋体" w:eastAsia="宋体" w:cs="宋体"/>
                <w:color w:val="auto"/>
                <w:sz w:val="24"/>
                <w:szCs w:val="24"/>
                <w:highlight w:val="none"/>
              </w:rPr>
            </w:pPr>
          </w:p>
        </w:tc>
      </w:tr>
      <w:tr w14:paraId="57CE1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9480" w:type="dxa"/>
            <w:gridSpan w:val="4"/>
            <w:tcBorders>
              <w:top w:val="single" w:color="auto" w:sz="4" w:space="0"/>
              <w:left w:val="single" w:color="auto" w:sz="4" w:space="0"/>
              <w:bottom w:val="single" w:color="auto" w:sz="4" w:space="0"/>
              <w:right w:val="single" w:color="auto" w:sz="4" w:space="0"/>
              <w:tl2br w:val="nil"/>
              <w:tr2bl w:val="nil"/>
            </w:tcBorders>
            <w:noWrap/>
            <w:vAlign w:val="top"/>
          </w:tcPr>
          <w:p w14:paraId="7B8DE0C0">
            <w:pPr>
              <w:spacing w:line="340" w:lineRule="exact"/>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u w:val="single"/>
              </w:rPr>
              <w:t>　　</w:t>
            </w:r>
            <w:r>
              <w:rPr>
                <w:rFonts w:hint="default" w:ascii="宋体" w:hAnsi="宋体" w:eastAsia="宋体" w:cs="宋体"/>
                <w:color w:val="auto"/>
                <w:sz w:val="24"/>
                <w:szCs w:val="24"/>
                <w:highlight w:val="none"/>
              </w:rPr>
              <w:t>分标（此处有分标时填写具体分标号，无分标时填写“无”）</w:t>
            </w:r>
          </w:p>
        </w:tc>
      </w:tr>
    </w:tbl>
    <w:p w14:paraId="7C0C065E">
      <w:pPr>
        <w:spacing w:line="400" w:lineRule="exact"/>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注：</w:t>
      </w:r>
    </w:p>
    <w:p w14:paraId="2D133DF5">
      <w:pPr>
        <w:spacing w:line="400" w:lineRule="exact"/>
        <w:ind w:firstLine="420" w:firstLineChars="200"/>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1.说明：应对照磋商文件“第二章 采购需求”中的商务条款逐条作出明确响应，并作出偏离说明。</w:t>
      </w:r>
    </w:p>
    <w:p w14:paraId="1385F684">
      <w:pPr>
        <w:spacing w:line="400" w:lineRule="exact"/>
        <w:ind w:firstLine="420" w:firstLineChars="200"/>
        <w:rPr>
          <w:rFonts w:hint="eastAsia" w:ascii="宋体" w:hAnsi="宋体" w:eastAsia="宋体" w:cs="宋体"/>
          <w:color w:val="auto"/>
          <w:kern w:val="0"/>
          <w:sz w:val="21"/>
          <w:szCs w:val="21"/>
          <w:highlight w:val="none"/>
          <w:lang w:eastAsia="zh-CN"/>
        </w:rPr>
      </w:pPr>
      <w:r>
        <w:rPr>
          <w:rFonts w:hint="default" w:ascii="宋体" w:hAnsi="宋体" w:eastAsia="宋体" w:cs="宋体"/>
          <w:color w:val="auto"/>
          <w:kern w:val="0"/>
          <w:sz w:val="21"/>
          <w:szCs w:val="21"/>
          <w:highlight w:val="none"/>
        </w:rPr>
        <w:t>2.供应商应根据自身的承诺，对照磋商文件要求，在“偏离说明”中注明“正偏离”、“负偏离”或者“无偏离”。既不属于“正偏离”也不属于“负偏离”即为“无偏离”。 当响应文件的商务内容低于竞争性磋商采购文件要求时，竞标人应当如实写明“负偏离”，否则视为虚假应标</w:t>
      </w:r>
      <w:r>
        <w:rPr>
          <w:rFonts w:hint="eastAsia" w:ascii="宋体" w:hAnsi="宋体" w:eastAsia="宋体" w:cs="宋体"/>
          <w:color w:val="auto"/>
          <w:kern w:val="0"/>
          <w:sz w:val="21"/>
          <w:szCs w:val="21"/>
          <w:highlight w:val="none"/>
          <w:lang w:eastAsia="zh-CN"/>
        </w:rPr>
        <w:t>。</w:t>
      </w:r>
    </w:p>
    <w:p w14:paraId="2AE6C0CA">
      <w:pPr>
        <w:spacing w:line="400" w:lineRule="exact"/>
        <w:ind w:firstLine="420" w:firstLineChars="200"/>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3.表格内容均需按要求填写，不得留空，否则按竞标无效处理。</w:t>
      </w:r>
    </w:p>
    <w:p w14:paraId="46402011">
      <w:pPr>
        <w:pStyle w:val="8"/>
        <w:spacing w:line="360" w:lineRule="exact"/>
        <w:ind w:firstLine="420" w:firstLineChars="200"/>
        <w:rPr>
          <w:rFonts w:hint="default" w:ascii="宋体" w:hAnsi="宋体" w:eastAsia="宋体" w:cs="宋体"/>
          <w:color w:val="auto"/>
          <w:sz w:val="21"/>
          <w:szCs w:val="21"/>
          <w:highlight w:val="none"/>
        </w:rPr>
      </w:pPr>
      <w:r>
        <w:rPr>
          <w:rFonts w:hint="default" w:ascii="宋体" w:hAnsi="宋体" w:eastAsia="宋体" w:cs="宋体"/>
          <w:color w:val="auto"/>
          <w:kern w:val="0"/>
          <w:sz w:val="21"/>
          <w:szCs w:val="21"/>
          <w:highlight w:val="none"/>
        </w:rPr>
        <w:t>4.</w:t>
      </w:r>
      <w:r>
        <w:rPr>
          <w:rFonts w:hint="default" w:ascii="宋体" w:hAnsi="宋体" w:eastAsia="宋体" w:cs="宋体"/>
          <w:color w:val="auto"/>
          <w:sz w:val="21"/>
          <w:szCs w:val="21"/>
          <w:highlight w:val="none"/>
        </w:rPr>
        <w:t>采购需求中带“▲”及“★”的条款，也要分别在本表“竞争性磋商文件采购需求”、“响应文件采购需求承诺”中标记，否则按竞标无效处理。</w:t>
      </w:r>
    </w:p>
    <w:p w14:paraId="1BE70290">
      <w:pPr>
        <w:pStyle w:val="7"/>
        <w:rPr>
          <w:rFonts w:hint="default" w:ascii="宋体" w:eastAsia="宋体"/>
          <w:color w:val="auto"/>
          <w:sz w:val="21"/>
          <w:szCs w:val="21"/>
          <w:highlight w:val="none"/>
        </w:rPr>
      </w:pPr>
    </w:p>
    <w:p w14:paraId="1C771D46">
      <w:pPr>
        <w:spacing w:line="360" w:lineRule="auto"/>
        <w:ind w:firstLine="3840" w:firstLineChars="1600"/>
        <w:rPr>
          <w:rFonts w:hint="default" w:ascii="宋体" w:hAnsi="宋体" w:eastAsia="宋体" w:cs="宋体"/>
          <w:color w:val="auto"/>
          <w:sz w:val="24"/>
          <w:szCs w:val="24"/>
          <w:highlight w:val="none"/>
        </w:rPr>
      </w:pPr>
      <w:r>
        <w:rPr>
          <w:rFonts w:hint="default" w:ascii="宋体" w:hAnsi="宋体" w:eastAsia="宋体" w:cs="宋体"/>
          <w:color w:val="auto"/>
          <w:kern w:val="0"/>
          <w:sz w:val="24"/>
          <w:szCs w:val="24"/>
          <w:highlight w:val="none"/>
        </w:rPr>
        <w:t>供应商名称（电子签章）：</w:t>
      </w:r>
    </w:p>
    <w:p w14:paraId="21C4008C">
      <w:pPr>
        <w:spacing w:line="360" w:lineRule="auto"/>
        <w:jc w:val="center"/>
        <w:rPr>
          <w:rFonts w:hint="default" w:ascii="宋体" w:hAnsi="宋体" w:eastAsia="宋体" w:cs="宋体"/>
          <w:color w:val="auto"/>
          <w:kern w:val="0"/>
          <w:sz w:val="24"/>
          <w:szCs w:val="24"/>
          <w:highlight w:val="none"/>
          <w:lang w:val="zh-CN"/>
        </w:rPr>
      </w:pPr>
      <w:r>
        <w:rPr>
          <w:rFonts w:hint="default" w:ascii="宋体" w:hAnsi="宋体" w:eastAsia="宋体" w:cs="宋体"/>
          <w:color w:val="auto"/>
          <w:kern w:val="0"/>
          <w:sz w:val="24"/>
          <w:szCs w:val="24"/>
          <w:highlight w:val="none"/>
          <w:lang w:val="zh-CN"/>
        </w:rPr>
        <w:t xml:space="preserve">                                                   日期：  年  月   日</w:t>
      </w:r>
    </w:p>
    <w:p w14:paraId="2F714CEA">
      <w:pPr>
        <w:pStyle w:val="7"/>
        <w:rPr>
          <w:rFonts w:hint="default" w:ascii="宋体" w:eastAsia="宋体"/>
          <w:color w:val="auto"/>
          <w:sz w:val="24"/>
          <w:szCs w:val="24"/>
          <w:highlight w:val="none"/>
          <w:lang w:val="zh-CN"/>
        </w:rPr>
      </w:pPr>
    </w:p>
    <w:p w14:paraId="70696F39">
      <w:pPr>
        <w:keepNext w:val="0"/>
        <w:keepLines w:val="0"/>
        <w:pageBreakBefore/>
        <w:widowControl w:val="0"/>
        <w:kinsoku/>
        <w:wordWrap/>
        <w:overflowPunct/>
        <w:topLinePunct w:val="0"/>
        <w:autoSpaceDE/>
        <w:autoSpaceDN/>
        <w:bidi w:val="0"/>
        <w:adjustRightInd/>
        <w:snapToGrid/>
        <w:spacing w:line="480" w:lineRule="exact"/>
        <w:jc w:val="left"/>
        <w:textAlignment w:val="auto"/>
        <w:rPr>
          <w:rFonts w:hint="eastAsia" w:ascii="宋体" w:hAnsi="宋体" w:eastAsia="宋体" w:cs="宋体"/>
          <w:b/>
          <w:color w:val="auto"/>
          <w:sz w:val="30"/>
          <w:szCs w:val="30"/>
        </w:rPr>
      </w:pPr>
      <w:r>
        <w:rPr>
          <w:rFonts w:hint="eastAsia" w:ascii="宋体" w:hAnsi="宋体" w:eastAsia="宋体" w:cs="宋体"/>
          <w:b/>
          <w:color w:val="auto"/>
          <w:sz w:val="30"/>
          <w:szCs w:val="30"/>
          <w:highlight w:val="none"/>
          <w:lang w:val="en-US" w:eastAsia="zh-CN"/>
        </w:rPr>
        <w:t>五</w:t>
      </w:r>
      <w:r>
        <w:rPr>
          <w:rFonts w:hint="default" w:ascii="宋体" w:hAnsi="宋体" w:eastAsia="宋体" w:cs="宋体"/>
          <w:b/>
          <w:color w:val="auto"/>
          <w:sz w:val="30"/>
          <w:szCs w:val="30"/>
          <w:highlight w:val="none"/>
        </w:rPr>
        <w:t>、</w:t>
      </w:r>
      <w:r>
        <w:rPr>
          <w:rFonts w:hint="eastAsia" w:ascii="宋体" w:hAnsi="宋体" w:eastAsia="宋体" w:cs="宋体"/>
          <w:b/>
          <w:color w:val="auto"/>
          <w:sz w:val="30"/>
          <w:szCs w:val="30"/>
        </w:rPr>
        <w:t>20</w:t>
      </w:r>
      <w:r>
        <w:rPr>
          <w:rFonts w:hint="eastAsia" w:ascii="宋体" w:hAnsi="宋体" w:eastAsia="宋体" w:cs="宋体"/>
          <w:b/>
          <w:color w:val="auto"/>
          <w:sz w:val="30"/>
          <w:szCs w:val="30"/>
          <w:lang w:val="en-US" w:eastAsia="zh-CN"/>
        </w:rPr>
        <w:t>23</w:t>
      </w:r>
      <w:r>
        <w:rPr>
          <w:rFonts w:hint="eastAsia" w:ascii="宋体" w:hAnsi="宋体" w:eastAsia="宋体" w:cs="宋体"/>
          <w:b/>
          <w:color w:val="auto"/>
          <w:sz w:val="30"/>
          <w:szCs w:val="30"/>
        </w:rPr>
        <w:t>年来施工企业承建的项目竣工工程情况表</w:t>
      </w:r>
    </w:p>
    <w:p w14:paraId="16DACBAF">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sz w:val="32"/>
        </w:rPr>
      </w:pPr>
      <w:r>
        <w:rPr>
          <w:rFonts w:hint="eastAsia" w:ascii="宋体" w:hAnsi="宋体" w:eastAsia="宋体" w:cs="宋体"/>
          <w:b/>
          <w:bCs/>
          <w:color w:val="auto"/>
          <w:sz w:val="24"/>
          <w:szCs w:val="24"/>
        </w:rPr>
        <w:t>(如有附验收单或证书复印件，字迹模糊不清的复印件无效)</w:t>
      </w:r>
    </w:p>
    <w:p w14:paraId="38150B5C">
      <w:pPr>
        <w:jc w:val="center"/>
        <w:rPr>
          <w:rFonts w:hint="eastAsia" w:ascii="宋体" w:hAnsi="宋体" w:eastAsia="宋体" w:cs="宋体"/>
          <w:color w:val="auto"/>
        </w:rPr>
      </w:pPr>
    </w:p>
    <w:tbl>
      <w:tblPr>
        <w:tblStyle w:val="18"/>
        <w:tblW w:w="9340" w:type="dxa"/>
        <w:jc w:val="center"/>
        <w:tblLayout w:type="fixed"/>
        <w:tblCellMar>
          <w:top w:w="0" w:type="dxa"/>
          <w:left w:w="0" w:type="dxa"/>
          <w:bottom w:w="0" w:type="dxa"/>
          <w:right w:w="0" w:type="dxa"/>
        </w:tblCellMar>
      </w:tblPr>
      <w:tblGrid>
        <w:gridCol w:w="1194"/>
        <w:gridCol w:w="1335"/>
        <w:gridCol w:w="1406"/>
        <w:gridCol w:w="1414"/>
        <w:gridCol w:w="1590"/>
        <w:gridCol w:w="1217"/>
        <w:gridCol w:w="1184"/>
      </w:tblGrid>
      <w:tr w14:paraId="2A20A74E">
        <w:tblPrEx>
          <w:tblCellMar>
            <w:top w:w="0" w:type="dxa"/>
            <w:left w:w="0" w:type="dxa"/>
            <w:bottom w:w="0" w:type="dxa"/>
            <w:right w:w="0" w:type="dxa"/>
          </w:tblCellMar>
        </w:tblPrEx>
        <w:trPr>
          <w:trHeight w:val="623" w:hRule="exact"/>
          <w:jc w:val="center"/>
        </w:trPr>
        <w:tc>
          <w:tcPr>
            <w:tcW w:w="1194"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4B8DDC0">
            <w:pPr>
              <w:jc w:val="center"/>
              <w:rPr>
                <w:rFonts w:hint="eastAsia" w:ascii="宋体" w:hAnsi="宋体" w:eastAsia="宋体" w:cs="宋体"/>
                <w:color w:val="auto"/>
                <w:sz w:val="24"/>
                <w:szCs w:val="24"/>
              </w:rPr>
            </w:pPr>
            <w:r>
              <w:rPr>
                <w:rFonts w:hint="eastAsia" w:ascii="宋体" w:hAnsi="宋体" w:eastAsia="宋体" w:cs="宋体"/>
                <w:color w:val="auto"/>
                <w:sz w:val="24"/>
                <w:szCs w:val="24"/>
              </w:rPr>
              <w:t>建设单位</w:t>
            </w:r>
          </w:p>
        </w:tc>
        <w:tc>
          <w:tcPr>
            <w:tcW w:w="133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36FFC08">
            <w:pPr>
              <w:jc w:val="center"/>
              <w:rPr>
                <w:rFonts w:hint="eastAsia" w:ascii="宋体" w:hAnsi="宋体" w:eastAsia="宋体" w:cs="宋体"/>
                <w:color w:val="auto"/>
                <w:sz w:val="24"/>
                <w:szCs w:val="24"/>
              </w:rPr>
            </w:pPr>
            <w:r>
              <w:rPr>
                <w:rFonts w:hint="eastAsia" w:ascii="宋体" w:hAnsi="宋体" w:eastAsia="宋体" w:cs="宋体"/>
                <w:color w:val="auto"/>
                <w:sz w:val="24"/>
                <w:szCs w:val="24"/>
              </w:rPr>
              <w:t>项目名称</w:t>
            </w:r>
          </w:p>
        </w:tc>
        <w:tc>
          <w:tcPr>
            <w:tcW w:w="1406"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283F036">
            <w:pPr>
              <w:jc w:val="center"/>
              <w:rPr>
                <w:rFonts w:hint="eastAsia" w:ascii="宋体" w:hAnsi="宋体" w:eastAsia="宋体" w:cs="宋体"/>
                <w:color w:val="auto"/>
                <w:sz w:val="24"/>
                <w:szCs w:val="24"/>
              </w:rPr>
            </w:pPr>
            <w:r>
              <w:rPr>
                <w:rFonts w:hint="eastAsia" w:ascii="宋体" w:hAnsi="宋体" w:eastAsia="宋体" w:cs="宋体"/>
                <w:color w:val="auto"/>
                <w:sz w:val="24"/>
                <w:szCs w:val="24"/>
              </w:rPr>
              <w:t>结构类型及跨度</w:t>
            </w:r>
          </w:p>
        </w:tc>
        <w:tc>
          <w:tcPr>
            <w:tcW w:w="1414"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7C0C7A8">
            <w:pPr>
              <w:jc w:val="center"/>
              <w:rPr>
                <w:rFonts w:hint="eastAsia" w:ascii="宋体" w:hAnsi="宋体" w:eastAsia="宋体" w:cs="宋体"/>
                <w:color w:val="auto"/>
                <w:sz w:val="24"/>
                <w:szCs w:val="24"/>
              </w:rPr>
            </w:pPr>
            <w:r>
              <w:rPr>
                <w:rFonts w:hint="eastAsia" w:ascii="宋体" w:hAnsi="宋体" w:eastAsia="宋体" w:cs="宋体"/>
                <w:color w:val="auto"/>
                <w:sz w:val="24"/>
                <w:szCs w:val="24"/>
              </w:rPr>
              <w:t>建筑面积</w:t>
            </w:r>
          </w:p>
        </w:tc>
        <w:tc>
          <w:tcPr>
            <w:tcW w:w="159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6F1720A">
            <w:pPr>
              <w:jc w:val="center"/>
              <w:rPr>
                <w:rFonts w:hint="eastAsia" w:ascii="宋体" w:hAnsi="宋体" w:eastAsia="宋体" w:cs="宋体"/>
                <w:color w:val="auto"/>
                <w:sz w:val="24"/>
                <w:szCs w:val="24"/>
              </w:rPr>
            </w:pPr>
            <w:r>
              <w:rPr>
                <w:rFonts w:hint="eastAsia" w:ascii="宋体" w:hAnsi="宋体" w:eastAsia="宋体" w:cs="宋体"/>
                <w:color w:val="auto"/>
                <w:sz w:val="24"/>
                <w:szCs w:val="24"/>
              </w:rPr>
              <w:t>开、竣工日期</w:t>
            </w:r>
          </w:p>
        </w:tc>
        <w:tc>
          <w:tcPr>
            <w:tcW w:w="121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24A51BD">
            <w:pPr>
              <w:jc w:val="center"/>
              <w:rPr>
                <w:rFonts w:hint="eastAsia" w:ascii="宋体" w:hAnsi="宋体" w:eastAsia="宋体" w:cs="宋体"/>
                <w:color w:val="auto"/>
                <w:sz w:val="24"/>
                <w:szCs w:val="24"/>
              </w:rPr>
            </w:pPr>
            <w:r>
              <w:rPr>
                <w:rFonts w:hint="eastAsia" w:ascii="宋体" w:hAnsi="宋体" w:eastAsia="宋体" w:cs="宋体"/>
                <w:color w:val="auto"/>
                <w:sz w:val="24"/>
                <w:szCs w:val="24"/>
              </w:rPr>
              <w:t>合同价款</w:t>
            </w:r>
          </w:p>
        </w:tc>
        <w:tc>
          <w:tcPr>
            <w:tcW w:w="1184"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B0C8DAF">
            <w:pPr>
              <w:jc w:val="center"/>
              <w:rPr>
                <w:rFonts w:hint="eastAsia" w:ascii="宋体" w:hAnsi="宋体" w:eastAsia="宋体" w:cs="宋体"/>
                <w:color w:val="auto"/>
                <w:sz w:val="24"/>
                <w:szCs w:val="24"/>
              </w:rPr>
            </w:pPr>
            <w:r>
              <w:rPr>
                <w:rFonts w:hint="eastAsia" w:ascii="宋体" w:hAnsi="宋体" w:eastAsia="宋体" w:cs="宋体"/>
                <w:color w:val="auto"/>
                <w:sz w:val="24"/>
                <w:szCs w:val="24"/>
              </w:rPr>
              <w:t>质量等级</w:t>
            </w:r>
          </w:p>
        </w:tc>
      </w:tr>
      <w:tr w14:paraId="31FB0037">
        <w:tblPrEx>
          <w:tblCellMar>
            <w:top w:w="0" w:type="dxa"/>
            <w:left w:w="0" w:type="dxa"/>
            <w:bottom w:w="0" w:type="dxa"/>
            <w:right w:w="0" w:type="dxa"/>
          </w:tblCellMar>
        </w:tblPrEx>
        <w:trPr>
          <w:trHeight w:val="500" w:hRule="exact"/>
          <w:jc w:val="center"/>
        </w:trPr>
        <w:tc>
          <w:tcPr>
            <w:tcW w:w="1194"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65E218E">
            <w:pPr>
              <w:jc w:val="center"/>
              <w:rPr>
                <w:rFonts w:hint="eastAsia" w:ascii="宋体" w:hAnsi="宋体" w:eastAsia="宋体" w:cs="宋体"/>
                <w:color w:val="auto"/>
              </w:rPr>
            </w:pPr>
          </w:p>
        </w:tc>
        <w:tc>
          <w:tcPr>
            <w:tcW w:w="133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0831389">
            <w:pPr>
              <w:jc w:val="center"/>
              <w:rPr>
                <w:rFonts w:hint="eastAsia" w:ascii="宋体" w:hAnsi="宋体" w:eastAsia="宋体" w:cs="宋体"/>
                <w:color w:val="auto"/>
              </w:rPr>
            </w:pPr>
          </w:p>
        </w:tc>
        <w:tc>
          <w:tcPr>
            <w:tcW w:w="1406"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41273A5">
            <w:pPr>
              <w:jc w:val="center"/>
              <w:rPr>
                <w:rFonts w:hint="eastAsia" w:ascii="宋体" w:hAnsi="宋体" w:eastAsia="宋体" w:cs="宋体"/>
                <w:color w:val="auto"/>
              </w:rPr>
            </w:pPr>
          </w:p>
        </w:tc>
        <w:tc>
          <w:tcPr>
            <w:tcW w:w="1414"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26D8183">
            <w:pPr>
              <w:jc w:val="center"/>
              <w:rPr>
                <w:rFonts w:hint="eastAsia" w:ascii="宋体" w:hAnsi="宋体" w:eastAsia="宋体" w:cs="宋体"/>
                <w:color w:val="auto"/>
              </w:rPr>
            </w:pPr>
          </w:p>
        </w:tc>
        <w:tc>
          <w:tcPr>
            <w:tcW w:w="159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487C99BC">
            <w:pPr>
              <w:jc w:val="center"/>
              <w:rPr>
                <w:rFonts w:hint="eastAsia" w:ascii="宋体" w:hAnsi="宋体" w:eastAsia="宋体" w:cs="宋体"/>
                <w:color w:val="auto"/>
              </w:rPr>
            </w:pPr>
          </w:p>
        </w:tc>
        <w:tc>
          <w:tcPr>
            <w:tcW w:w="121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3B6B585F">
            <w:pPr>
              <w:jc w:val="center"/>
              <w:rPr>
                <w:rFonts w:hint="eastAsia" w:ascii="宋体" w:hAnsi="宋体" w:eastAsia="宋体" w:cs="宋体"/>
                <w:color w:val="auto"/>
              </w:rPr>
            </w:pPr>
          </w:p>
        </w:tc>
        <w:tc>
          <w:tcPr>
            <w:tcW w:w="1184"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93AD0C2">
            <w:pPr>
              <w:jc w:val="center"/>
              <w:rPr>
                <w:rFonts w:hint="eastAsia" w:ascii="宋体" w:hAnsi="宋体" w:eastAsia="宋体" w:cs="宋体"/>
                <w:color w:val="auto"/>
              </w:rPr>
            </w:pPr>
          </w:p>
        </w:tc>
      </w:tr>
      <w:tr w14:paraId="703E1A69">
        <w:tblPrEx>
          <w:tblCellMar>
            <w:top w:w="0" w:type="dxa"/>
            <w:left w:w="0" w:type="dxa"/>
            <w:bottom w:w="0" w:type="dxa"/>
            <w:right w:w="0" w:type="dxa"/>
          </w:tblCellMar>
        </w:tblPrEx>
        <w:trPr>
          <w:trHeight w:val="500" w:hRule="exact"/>
          <w:jc w:val="center"/>
        </w:trPr>
        <w:tc>
          <w:tcPr>
            <w:tcW w:w="1194"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44147A3F">
            <w:pPr>
              <w:jc w:val="center"/>
              <w:rPr>
                <w:rFonts w:hint="eastAsia" w:ascii="宋体" w:hAnsi="宋体" w:eastAsia="宋体" w:cs="宋体"/>
                <w:color w:val="auto"/>
              </w:rPr>
            </w:pPr>
          </w:p>
        </w:tc>
        <w:tc>
          <w:tcPr>
            <w:tcW w:w="133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68436E1">
            <w:pPr>
              <w:jc w:val="center"/>
              <w:rPr>
                <w:rFonts w:hint="eastAsia" w:ascii="宋体" w:hAnsi="宋体" w:eastAsia="宋体" w:cs="宋体"/>
                <w:color w:val="auto"/>
              </w:rPr>
            </w:pPr>
          </w:p>
        </w:tc>
        <w:tc>
          <w:tcPr>
            <w:tcW w:w="1406"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43FF1BA4">
            <w:pPr>
              <w:jc w:val="center"/>
              <w:rPr>
                <w:rFonts w:hint="eastAsia" w:ascii="宋体" w:hAnsi="宋体" w:eastAsia="宋体" w:cs="宋体"/>
                <w:color w:val="auto"/>
              </w:rPr>
            </w:pPr>
          </w:p>
        </w:tc>
        <w:tc>
          <w:tcPr>
            <w:tcW w:w="1414"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5AE6C3F">
            <w:pPr>
              <w:jc w:val="center"/>
              <w:rPr>
                <w:rFonts w:hint="eastAsia" w:ascii="宋体" w:hAnsi="宋体" w:eastAsia="宋体" w:cs="宋体"/>
                <w:color w:val="auto"/>
              </w:rPr>
            </w:pPr>
          </w:p>
        </w:tc>
        <w:tc>
          <w:tcPr>
            <w:tcW w:w="159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36B09143">
            <w:pPr>
              <w:jc w:val="center"/>
              <w:rPr>
                <w:rFonts w:hint="eastAsia" w:ascii="宋体" w:hAnsi="宋体" w:eastAsia="宋体" w:cs="宋体"/>
                <w:color w:val="auto"/>
              </w:rPr>
            </w:pPr>
          </w:p>
        </w:tc>
        <w:tc>
          <w:tcPr>
            <w:tcW w:w="121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BE5DE0B">
            <w:pPr>
              <w:jc w:val="center"/>
              <w:rPr>
                <w:rFonts w:hint="eastAsia" w:ascii="宋体" w:hAnsi="宋体" w:eastAsia="宋体" w:cs="宋体"/>
                <w:color w:val="auto"/>
              </w:rPr>
            </w:pPr>
          </w:p>
        </w:tc>
        <w:tc>
          <w:tcPr>
            <w:tcW w:w="1184"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33036D0">
            <w:pPr>
              <w:jc w:val="center"/>
              <w:rPr>
                <w:rFonts w:hint="eastAsia" w:ascii="宋体" w:hAnsi="宋体" w:eastAsia="宋体" w:cs="宋体"/>
                <w:color w:val="auto"/>
              </w:rPr>
            </w:pPr>
          </w:p>
        </w:tc>
      </w:tr>
      <w:tr w14:paraId="78314C64">
        <w:tblPrEx>
          <w:tblCellMar>
            <w:top w:w="0" w:type="dxa"/>
            <w:left w:w="0" w:type="dxa"/>
            <w:bottom w:w="0" w:type="dxa"/>
            <w:right w:w="0" w:type="dxa"/>
          </w:tblCellMar>
        </w:tblPrEx>
        <w:trPr>
          <w:trHeight w:val="500" w:hRule="exact"/>
          <w:jc w:val="center"/>
        </w:trPr>
        <w:tc>
          <w:tcPr>
            <w:tcW w:w="1194"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EAC758C">
            <w:pPr>
              <w:jc w:val="center"/>
              <w:rPr>
                <w:rFonts w:hint="eastAsia" w:ascii="宋体" w:hAnsi="宋体" w:eastAsia="宋体" w:cs="宋体"/>
                <w:color w:val="auto"/>
              </w:rPr>
            </w:pPr>
          </w:p>
        </w:tc>
        <w:tc>
          <w:tcPr>
            <w:tcW w:w="133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623E2C18">
            <w:pPr>
              <w:jc w:val="center"/>
              <w:rPr>
                <w:rFonts w:hint="eastAsia" w:ascii="宋体" w:hAnsi="宋体" w:eastAsia="宋体" w:cs="宋体"/>
                <w:color w:val="auto"/>
              </w:rPr>
            </w:pPr>
          </w:p>
        </w:tc>
        <w:tc>
          <w:tcPr>
            <w:tcW w:w="1406"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EE4F9B5">
            <w:pPr>
              <w:jc w:val="center"/>
              <w:rPr>
                <w:rFonts w:hint="eastAsia" w:ascii="宋体" w:hAnsi="宋体" w:eastAsia="宋体" w:cs="宋体"/>
                <w:color w:val="auto"/>
              </w:rPr>
            </w:pPr>
          </w:p>
        </w:tc>
        <w:tc>
          <w:tcPr>
            <w:tcW w:w="1414"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E136108">
            <w:pPr>
              <w:jc w:val="center"/>
              <w:rPr>
                <w:rFonts w:hint="eastAsia" w:ascii="宋体" w:hAnsi="宋体" w:eastAsia="宋体" w:cs="宋体"/>
                <w:color w:val="auto"/>
              </w:rPr>
            </w:pPr>
          </w:p>
        </w:tc>
        <w:tc>
          <w:tcPr>
            <w:tcW w:w="159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34B0D246">
            <w:pPr>
              <w:jc w:val="center"/>
              <w:rPr>
                <w:rFonts w:hint="eastAsia" w:ascii="宋体" w:hAnsi="宋体" w:eastAsia="宋体" w:cs="宋体"/>
                <w:color w:val="auto"/>
              </w:rPr>
            </w:pPr>
          </w:p>
        </w:tc>
        <w:tc>
          <w:tcPr>
            <w:tcW w:w="121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020DEA6">
            <w:pPr>
              <w:jc w:val="center"/>
              <w:rPr>
                <w:rFonts w:hint="eastAsia" w:ascii="宋体" w:hAnsi="宋体" w:eastAsia="宋体" w:cs="宋体"/>
                <w:color w:val="auto"/>
              </w:rPr>
            </w:pPr>
          </w:p>
        </w:tc>
        <w:tc>
          <w:tcPr>
            <w:tcW w:w="1184"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584BB4B">
            <w:pPr>
              <w:jc w:val="center"/>
              <w:rPr>
                <w:rFonts w:hint="eastAsia" w:ascii="宋体" w:hAnsi="宋体" w:eastAsia="宋体" w:cs="宋体"/>
                <w:color w:val="auto"/>
              </w:rPr>
            </w:pPr>
          </w:p>
        </w:tc>
      </w:tr>
      <w:tr w14:paraId="668A1043">
        <w:tblPrEx>
          <w:tblCellMar>
            <w:top w:w="0" w:type="dxa"/>
            <w:left w:w="0" w:type="dxa"/>
            <w:bottom w:w="0" w:type="dxa"/>
            <w:right w:w="0" w:type="dxa"/>
          </w:tblCellMar>
        </w:tblPrEx>
        <w:trPr>
          <w:trHeight w:val="500" w:hRule="exact"/>
          <w:jc w:val="center"/>
        </w:trPr>
        <w:tc>
          <w:tcPr>
            <w:tcW w:w="1194"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42F930F">
            <w:pPr>
              <w:jc w:val="center"/>
              <w:rPr>
                <w:rFonts w:hint="eastAsia" w:ascii="宋体" w:hAnsi="宋体" w:eastAsia="宋体" w:cs="宋体"/>
                <w:color w:val="auto"/>
              </w:rPr>
            </w:pPr>
          </w:p>
        </w:tc>
        <w:tc>
          <w:tcPr>
            <w:tcW w:w="133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2326D59E">
            <w:pPr>
              <w:jc w:val="center"/>
              <w:rPr>
                <w:rFonts w:hint="eastAsia" w:ascii="宋体" w:hAnsi="宋体" w:eastAsia="宋体" w:cs="宋体"/>
                <w:color w:val="auto"/>
              </w:rPr>
            </w:pPr>
          </w:p>
        </w:tc>
        <w:tc>
          <w:tcPr>
            <w:tcW w:w="1406"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2AD84F3C">
            <w:pPr>
              <w:jc w:val="center"/>
              <w:rPr>
                <w:rFonts w:hint="eastAsia" w:ascii="宋体" w:hAnsi="宋体" w:eastAsia="宋体" w:cs="宋体"/>
                <w:color w:val="auto"/>
              </w:rPr>
            </w:pPr>
          </w:p>
        </w:tc>
        <w:tc>
          <w:tcPr>
            <w:tcW w:w="1414"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0054688">
            <w:pPr>
              <w:jc w:val="center"/>
              <w:rPr>
                <w:rFonts w:hint="eastAsia" w:ascii="宋体" w:hAnsi="宋体" w:eastAsia="宋体" w:cs="宋体"/>
                <w:color w:val="auto"/>
              </w:rPr>
            </w:pPr>
          </w:p>
        </w:tc>
        <w:tc>
          <w:tcPr>
            <w:tcW w:w="159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05D5CDA">
            <w:pPr>
              <w:jc w:val="center"/>
              <w:rPr>
                <w:rFonts w:hint="eastAsia" w:ascii="宋体" w:hAnsi="宋体" w:eastAsia="宋体" w:cs="宋体"/>
                <w:color w:val="auto"/>
              </w:rPr>
            </w:pPr>
          </w:p>
        </w:tc>
        <w:tc>
          <w:tcPr>
            <w:tcW w:w="121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110ECF9">
            <w:pPr>
              <w:jc w:val="center"/>
              <w:rPr>
                <w:rFonts w:hint="eastAsia" w:ascii="宋体" w:hAnsi="宋体" w:eastAsia="宋体" w:cs="宋体"/>
                <w:color w:val="auto"/>
              </w:rPr>
            </w:pPr>
          </w:p>
        </w:tc>
        <w:tc>
          <w:tcPr>
            <w:tcW w:w="1184"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FEBC8E8">
            <w:pPr>
              <w:jc w:val="center"/>
              <w:rPr>
                <w:rFonts w:hint="eastAsia" w:ascii="宋体" w:hAnsi="宋体" w:eastAsia="宋体" w:cs="宋体"/>
                <w:color w:val="auto"/>
              </w:rPr>
            </w:pPr>
          </w:p>
        </w:tc>
      </w:tr>
      <w:tr w14:paraId="3DF17935">
        <w:tblPrEx>
          <w:tblCellMar>
            <w:top w:w="0" w:type="dxa"/>
            <w:left w:w="0" w:type="dxa"/>
            <w:bottom w:w="0" w:type="dxa"/>
            <w:right w:w="0" w:type="dxa"/>
          </w:tblCellMar>
        </w:tblPrEx>
        <w:trPr>
          <w:trHeight w:val="500" w:hRule="exact"/>
          <w:jc w:val="center"/>
        </w:trPr>
        <w:tc>
          <w:tcPr>
            <w:tcW w:w="1194"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327AF45C">
            <w:pPr>
              <w:jc w:val="center"/>
              <w:rPr>
                <w:rFonts w:hint="eastAsia" w:ascii="宋体" w:hAnsi="宋体" w:eastAsia="宋体" w:cs="宋体"/>
                <w:color w:val="auto"/>
              </w:rPr>
            </w:pPr>
          </w:p>
        </w:tc>
        <w:tc>
          <w:tcPr>
            <w:tcW w:w="133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8201EC5">
            <w:pPr>
              <w:jc w:val="center"/>
              <w:rPr>
                <w:rFonts w:hint="eastAsia" w:ascii="宋体" w:hAnsi="宋体" w:eastAsia="宋体" w:cs="宋体"/>
                <w:color w:val="auto"/>
              </w:rPr>
            </w:pPr>
          </w:p>
        </w:tc>
        <w:tc>
          <w:tcPr>
            <w:tcW w:w="1406"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1C259E5">
            <w:pPr>
              <w:jc w:val="center"/>
              <w:rPr>
                <w:rFonts w:hint="eastAsia" w:ascii="宋体" w:hAnsi="宋体" w:eastAsia="宋体" w:cs="宋体"/>
                <w:color w:val="auto"/>
              </w:rPr>
            </w:pPr>
          </w:p>
        </w:tc>
        <w:tc>
          <w:tcPr>
            <w:tcW w:w="1414"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BD60A84">
            <w:pPr>
              <w:jc w:val="center"/>
              <w:rPr>
                <w:rFonts w:hint="eastAsia" w:ascii="宋体" w:hAnsi="宋体" w:eastAsia="宋体" w:cs="宋体"/>
                <w:color w:val="auto"/>
              </w:rPr>
            </w:pPr>
          </w:p>
        </w:tc>
        <w:tc>
          <w:tcPr>
            <w:tcW w:w="159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15AF8EB">
            <w:pPr>
              <w:jc w:val="center"/>
              <w:rPr>
                <w:rFonts w:hint="eastAsia" w:ascii="宋体" w:hAnsi="宋体" w:eastAsia="宋体" w:cs="宋体"/>
                <w:color w:val="auto"/>
              </w:rPr>
            </w:pPr>
          </w:p>
        </w:tc>
        <w:tc>
          <w:tcPr>
            <w:tcW w:w="121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39242F0B">
            <w:pPr>
              <w:jc w:val="center"/>
              <w:rPr>
                <w:rFonts w:hint="eastAsia" w:ascii="宋体" w:hAnsi="宋体" w:eastAsia="宋体" w:cs="宋体"/>
                <w:color w:val="auto"/>
              </w:rPr>
            </w:pPr>
          </w:p>
        </w:tc>
        <w:tc>
          <w:tcPr>
            <w:tcW w:w="1184"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CD5DE47">
            <w:pPr>
              <w:jc w:val="center"/>
              <w:rPr>
                <w:rFonts w:hint="eastAsia" w:ascii="宋体" w:hAnsi="宋体" w:eastAsia="宋体" w:cs="宋体"/>
                <w:color w:val="auto"/>
              </w:rPr>
            </w:pPr>
          </w:p>
        </w:tc>
      </w:tr>
      <w:tr w14:paraId="707FE173">
        <w:tblPrEx>
          <w:tblCellMar>
            <w:top w:w="0" w:type="dxa"/>
            <w:left w:w="0" w:type="dxa"/>
            <w:bottom w:w="0" w:type="dxa"/>
            <w:right w:w="0" w:type="dxa"/>
          </w:tblCellMar>
        </w:tblPrEx>
        <w:trPr>
          <w:trHeight w:val="500" w:hRule="exact"/>
          <w:jc w:val="center"/>
        </w:trPr>
        <w:tc>
          <w:tcPr>
            <w:tcW w:w="1194"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44B5278A">
            <w:pPr>
              <w:jc w:val="center"/>
              <w:rPr>
                <w:rFonts w:hint="eastAsia" w:ascii="宋体" w:hAnsi="宋体" w:eastAsia="宋体" w:cs="宋体"/>
                <w:color w:val="auto"/>
              </w:rPr>
            </w:pPr>
          </w:p>
        </w:tc>
        <w:tc>
          <w:tcPr>
            <w:tcW w:w="133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7764BBC">
            <w:pPr>
              <w:jc w:val="center"/>
              <w:rPr>
                <w:rFonts w:hint="eastAsia" w:ascii="宋体" w:hAnsi="宋体" w:eastAsia="宋体" w:cs="宋体"/>
                <w:color w:val="auto"/>
              </w:rPr>
            </w:pPr>
          </w:p>
        </w:tc>
        <w:tc>
          <w:tcPr>
            <w:tcW w:w="1406"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3E8BB2A5">
            <w:pPr>
              <w:jc w:val="center"/>
              <w:rPr>
                <w:rFonts w:hint="eastAsia" w:ascii="宋体" w:hAnsi="宋体" w:eastAsia="宋体" w:cs="宋体"/>
                <w:color w:val="auto"/>
              </w:rPr>
            </w:pPr>
          </w:p>
        </w:tc>
        <w:tc>
          <w:tcPr>
            <w:tcW w:w="1414"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4353A545">
            <w:pPr>
              <w:jc w:val="center"/>
              <w:rPr>
                <w:rFonts w:hint="eastAsia" w:ascii="宋体" w:hAnsi="宋体" w:eastAsia="宋体" w:cs="宋体"/>
                <w:color w:val="auto"/>
              </w:rPr>
            </w:pPr>
          </w:p>
        </w:tc>
        <w:tc>
          <w:tcPr>
            <w:tcW w:w="159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29694633">
            <w:pPr>
              <w:jc w:val="center"/>
              <w:rPr>
                <w:rFonts w:hint="eastAsia" w:ascii="宋体" w:hAnsi="宋体" w:eastAsia="宋体" w:cs="宋体"/>
                <w:color w:val="auto"/>
              </w:rPr>
            </w:pPr>
          </w:p>
        </w:tc>
        <w:tc>
          <w:tcPr>
            <w:tcW w:w="121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0F5ACC7">
            <w:pPr>
              <w:jc w:val="center"/>
              <w:rPr>
                <w:rFonts w:hint="eastAsia" w:ascii="宋体" w:hAnsi="宋体" w:eastAsia="宋体" w:cs="宋体"/>
                <w:color w:val="auto"/>
              </w:rPr>
            </w:pPr>
          </w:p>
        </w:tc>
        <w:tc>
          <w:tcPr>
            <w:tcW w:w="1184"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3635BCA">
            <w:pPr>
              <w:jc w:val="center"/>
              <w:rPr>
                <w:rFonts w:hint="eastAsia" w:ascii="宋体" w:hAnsi="宋体" w:eastAsia="宋体" w:cs="宋体"/>
                <w:color w:val="auto"/>
              </w:rPr>
            </w:pPr>
          </w:p>
        </w:tc>
      </w:tr>
      <w:tr w14:paraId="03C9DF8F">
        <w:tblPrEx>
          <w:tblCellMar>
            <w:top w:w="0" w:type="dxa"/>
            <w:left w:w="0" w:type="dxa"/>
            <w:bottom w:w="0" w:type="dxa"/>
            <w:right w:w="0" w:type="dxa"/>
          </w:tblCellMar>
        </w:tblPrEx>
        <w:trPr>
          <w:trHeight w:val="500" w:hRule="exact"/>
          <w:jc w:val="center"/>
        </w:trPr>
        <w:tc>
          <w:tcPr>
            <w:tcW w:w="1194"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62A621AB">
            <w:pPr>
              <w:jc w:val="center"/>
              <w:rPr>
                <w:rFonts w:hint="eastAsia" w:ascii="宋体" w:hAnsi="宋体" w:eastAsia="宋体" w:cs="宋体"/>
                <w:color w:val="auto"/>
              </w:rPr>
            </w:pPr>
          </w:p>
        </w:tc>
        <w:tc>
          <w:tcPr>
            <w:tcW w:w="133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3A65B7A2">
            <w:pPr>
              <w:jc w:val="center"/>
              <w:rPr>
                <w:rFonts w:hint="eastAsia" w:ascii="宋体" w:hAnsi="宋体" w:eastAsia="宋体" w:cs="宋体"/>
                <w:color w:val="auto"/>
              </w:rPr>
            </w:pPr>
          </w:p>
        </w:tc>
        <w:tc>
          <w:tcPr>
            <w:tcW w:w="1406"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9D6D225">
            <w:pPr>
              <w:jc w:val="center"/>
              <w:rPr>
                <w:rFonts w:hint="eastAsia" w:ascii="宋体" w:hAnsi="宋体" w:eastAsia="宋体" w:cs="宋体"/>
                <w:color w:val="auto"/>
              </w:rPr>
            </w:pPr>
          </w:p>
        </w:tc>
        <w:tc>
          <w:tcPr>
            <w:tcW w:w="1414"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8E50596">
            <w:pPr>
              <w:jc w:val="center"/>
              <w:rPr>
                <w:rFonts w:hint="eastAsia" w:ascii="宋体" w:hAnsi="宋体" w:eastAsia="宋体" w:cs="宋体"/>
                <w:color w:val="auto"/>
              </w:rPr>
            </w:pPr>
          </w:p>
        </w:tc>
        <w:tc>
          <w:tcPr>
            <w:tcW w:w="159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18ADE57">
            <w:pPr>
              <w:jc w:val="center"/>
              <w:rPr>
                <w:rFonts w:hint="eastAsia" w:ascii="宋体" w:hAnsi="宋体" w:eastAsia="宋体" w:cs="宋体"/>
                <w:color w:val="auto"/>
              </w:rPr>
            </w:pPr>
          </w:p>
        </w:tc>
        <w:tc>
          <w:tcPr>
            <w:tcW w:w="121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BE70C5B">
            <w:pPr>
              <w:jc w:val="center"/>
              <w:rPr>
                <w:rFonts w:hint="eastAsia" w:ascii="宋体" w:hAnsi="宋体" w:eastAsia="宋体" w:cs="宋体"/>
                <w:color w:val="auto"/>
              </w:rPr>
            </w:pPr>
          </w:p>
        </w:tc>
        <w:tc>
          <w:tcPr>
            <w:tcW w:w="1184"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3553F7C9">
            <w:pPr>
              <w:jc w:val="center"/>
              <w:rPr>
                <w:rFonts w:hint="eastAsia" w:ascii="宋体" w:hAnsi="宋体" w:eastAsia="宋体" w:cs="宋体"/>
                <w:color w:val="auto"/>
              </w:rPr>
            </w:pPr>
          </w:p>
        </w:tc>
      </w:tr>
      <w:tr w14:paraId="5D286336">
        <w:tblPrEx>
          <w:tblCellMar>
            <w:top w:w="0" w:type="dxa"/>
            <w:left w:w="0" w:type="dxa"/>
            <w:bottom w:w="0" w:type="dxa"/>
            <w:right w:w="0" w:type="dxa"/>
          </w:tblCellMar>
        </w:tblPrEx>
        <w:trPr>
          <w:trHeight w:val="500" w:hRule="exact"/>
          <w:jc w:val="center"/>
        </w:trPr>
        <w:tc>
          <w:tcPr>
            <w:tcW w:w="1194"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961D055">
            <w:pPr>
              <w:jc w:val="center"/>
              <w:rPr>
                <w:rFonts w:hint="eastAsia" w:ascii="宋体" w:hAnsi="宋体" w:eastAsia="宋体" w:cs="宋体"/>
                <w:color w:val="auto"/>
              </w:rPr>
            </w:pPr>
          </w:p>
        </w:tc>
        <w:tc>
          <w:tcPr>
            <w:tcW w:w="133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317B8ECF">
            <w:pPr>
              <w:jc w:val="center"/>
              <w:rPr>
                <w:rFonts w:hint="eastAsia" w:ascii="宋体" w:hAnsi="宋体" w:eastAsia="宋体" w:cs="宋体"/>
                <w:color w:val="auto"/>
              </w:rPr>
            </w:pPr>
          </w:p>
        </w:tc>
        <w:tc>
          <w:tcPr>
            <w:tcW w:w="1406"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27FD0B5D">
            <w:pPr>
              <w:jc w:val="center"/>
              <w:rPr>
                <w:rFonts w:hint="eastAsia" w:ascii="宋体" w:hAnsi="宋体" w:eastAsia="宋体" w:cs="宋体"/>
                <w:color w:val="auto"/>
              </w:rPr>
            </w:pPr>
          </w:p>
        </w:tc>
        <w:tc>
          <w:tcPr>
            <w:tcW w:w="1414"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4B42C668">
            <w:pPr>
              <w:jc w:val="center"/>
              <w:rPr>
                <w:rFonts w:hint="eastAsia" w:ascii="宋体" w:hAnsi="宋体" w:eastAsia="宋体" w:cs="宋体"/>
                <w:color w:val="auto"/>
              </w:rPr>
            </w:pPr>
          </w:p>
        </w:tc>
        <w:tc>
          <w:tcPr>
            <w:tcW w:w="159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2A114773">
            <w:pPr>
              <w:jc w:val="center"/>
              <w:rPr>
                <w:rFonts w:hint="eastAsia" w:ascii="宋体" w:hAnsi="宋体" w:eastAsia="宋体" w:cs="宋体"/>
                <w:color w:val="auto"/>
              </w:rPr>
            </w:pPr>
          </w:p>
        </w:tc>
        <w:tc>
          <w:tcPr>
            <w:tcW w:w="121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6F2CE1B5">
            <w:pPr>
              <w:jc w:val="center"/>
              <w:rPr>
                <w:rFonts w:hint="eastAsia" w:ascii="宋体" w:hAnsi="宋体" w:eastAsia="宋体" w:cs="宋体"/>
                <w:color w:val="auto"/>
              </w:rPr>
            </w:pPr>
          </w:p>
        </w:tc>
        <w:tc>
          <w:tcPr>
            <w:tcW w:w="1184"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6DA224B">
            <w:pPr>
              <w:jc w:val="center"/>
              <w:rPr>
                <w:rFonts w:hint="eastAsia" w:ascii="宋体" w:hAnsi="宋体" w:eastAsia="宋体" w:cs="宋体"/>
                <w:color w:val="auto"/>
              </w:rPr>
            </w:pPr>
          </w:p>
        </w:tc>
      </w:tr>
      <w:tr w14:paraId="390083A9">
        <w:tblPrEx>
          <w:tblCellMar>
            <w:top w:w="0" w:type="dxa"/>
            <w:left w:w="0" w:type="dxa"/>
            <w:bottom w:w="0" w:type="dxa"/>
            <w:right w:w="0" w:type="dxa"/>
          </w:tblCellMar>
        </w:tblPrEx>
        <w:trPr>
          <w:trHeight w:val="500" w:hRule="exact"/>
          <w:jc w:val="center"/>
        </w:trPr>
        <w:tc>
          <w:tcPr>
            <w:tcW w:w="1194"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463C9ABE">
            <w:pPr>
              <w:jc w:val="center"/>
              <w:rPr>
                <w:rFonts w:hint="eastAsia" w:ascii="宋体" w:hAnsi="宋体" w:eastAsia="宋体" w:cs="宋体"/>
                <w:color w:val="auto"/>
              </w:rPr>
            </w:pPr>
          </w:p>
        </w:tc>
        <w:tc>
          <w:tcPr>
            <w:tcW w:w="133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33DD08F">
            <w:pPr>
              <w:jc w:val="center"/>
              <w:rPr>
                <w:rFonts w:hint="eastAsia" w:ascii="宋体" w:hAnsi="宋体" w:eastAsia="宋体" w:cs="宋体"/>
                <w:color w:val="auto"/>
              </w:rPr>
            </w:pPr>
          </w:p>
        </w:tc>
        <w:tc>
          <w:tcPr>
            <w:tcW w:w="1406"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374A17ED">
            <w:pPr>
              <w:jc w:val="center"/>
              <w:rPr>
                <w:rFonts w:hint="eastAsia" w:ascii="宋体" w:hAnsi="宋体" w:eastAsia="宋体" w:cs="宋体"/>
                <w:color w:val="auto"/>
              </w:rPr>
            </w:pPr>
          </w:p>
        </w:tc>
        <w:tc>
          <w:tcPr>
            <w:tcW w:w="1414"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3850615">
            <w:pPr>
              <w:jc w:val="center"/>
              <w:rPr>
                <w:rFonts w:hint="eastAsia" w:ascii="宋体" w:hAnsi="宋体" w:eastAsia="宋体" w:cs="宋体"/>
                <w:color w:val="auto"/>
              </w:rPr>
            </w:pPr>
          </w:p>
        </w:tc>
        <w:tc>
          <w:tcPr>
            <w:tcW w:w="159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204C8C40">
            <w:pPr>
              <w:jc w:val="center"/>
              <w:rPr>
                <w:rFonts w:hint="eastAsia" w:ascii="宋体" w:hAnsi="宋体" w:eastAsia="宋体" w:cs="宋体"/>
                <w:color w:val="auto"/>
              </w:rPr>
            </w:pPr>
          </w:p>
        </w:tc>
        <w:tc>
          <w:tcPr>
            <w:tcW w:w="121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333B5CF">
            <w:pPr>
              <w:jc w:val="center"/>
              <w:rPr>
                <w:rFonts w:hint="eastAsia" w:ascii="宋体" w:hAnsi="宋体" w:eastAsia="宋体" w:cs="宋体"/>
                <w:color w:val="auto"/>
              </w:rPr>
            </w:pPr>
          </w:p>
        </w:tc>
        <w:tc>
          <w:tcPr>
            <w:tcW w:w="1184"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56D7387">
            <w:pPr>
              <w:jc w:val="center"/>
              <w:rPr>
                <w:rFonts w:hint="eastAsia" w:ascii="宋体" w:hAnsi="宋体" w:eastAsia="宋体" w:cs="宋体"/>
                <w:color w:val="auto"/>
              </w:rPr>
            </w:pPr>
          </w:p>
        </w:tc>
      </w:tr>
      <w:tr w14:paraId="12D02869">
        <w:tblPrEx>
          <w:tblCellMar>
            <w:top w:w="0" w:type="dxa"/>
            <w:left w:w="0" w:type="dxa"/>
            <w:bottom w:w="0" w:type="dxa"/>
            <w:right w:w="0" w:type="dxa"/>
          </w:tblCellMar>
        </w:tblPrEx>
        <w:trPr>
          <w:trHeight w:val="500" w:hRule="exact"/>
          <w:jc w:val="center"/>
        </w:trPr>
        <w:tc>
          <w:tcPr>
            <w:tcW w:w="1194"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A47E7FF">
            <w:pPr>
              <w:jc w:val="center"/>
              <w:rPr>
                <w:rFonts w:hint="eastAsia" w:ascii="宋体" w:hAnsi="宋体" w:eastAsia="宋体" w:cs="宋体"/>
                <w:color w:val="auto"/>
              </w:rPr>
            </w:pPr>
          </w:p>
        </w:tc>
        <w:tc>
          <w:tcPr>
            <w:tcW w:w="133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4479E19">
            <w:pPr>
              <w:jc w:val="center"/>
              <w:rPr>
                <w:rFonts w:hint="eastAsia" w:ascii="宋体" w:hAnsi="宋体" w:eastAsia="宋体" w:cs="宋体"/>
                <w:color w:val="auto"/>
              </w:rPr>
            </w:pPr>
          </w:p>
        </w:tc>
        <w:tc>
          <w:tcPr>
            <w:tcW w:w="1406"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6D72891B">
            <w:pPr>
              <w:jc w:val="center"/>
              <w:rPr>
                <w:rFonts w:hint="eastAsia" w:ascii="宋体" w:hAnsi="宋体" w:eastAsia="宋体" w:cs="宋体"/>
                <w:color w:val="auto"/>
              </w:rPr>
            </w:pPr>
          </w:p>
        </w:tc>
        <w:tc>
          <w:tcPr>
            <w:tcW w:w="1414"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7DC9EEE">
            <w:pPr>
              <w:jc w:val="center"/>
              <w:rPr>
                <w:rFonts w:hint="eastAsia" w:ascii="宋体" w:hAnsi="宋体" w:eastAsia="宋体" w:cs="宋体"/>
                <w:color w:val="auto"/>
              </w:rPr>
            </w:pPr>
          </w:p>
        </w:tc>
        <w:tc>
          <w:tcPr>
            <w:tcW w:w="159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CCE53F6">
            <w:pPr>
              <w:jc w:val="center"/>
              <w:rPr>
                <w:rFonts w:hint="eastAsia" w:ascii="宋体" w:hAnsi="宋体" w:eastAsia="宋体" w:cs="宋体"/>
                <w:color w:val="auto"/>
              </w:rPr>
            </w:pPr>
          </w:p>
        </w:tc>
        <w:tc>
          <w:tcPr>
            <w:tcW w:w="121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C57A5FF">
            <w:pPr>
              <w:jc w:val="center"/>
              <w:rPr>
                <w:rFonts w:hint="eastAsia" w:ascii="宋体" w:hAnsi="宋体" w:eastAsia="宋体" w:cs="宋体"/>
                <w:color w:val="auto"/>
              </w:rPr>
            </w:pPr>
          </w:p>
        </w:tc>
        <w:tc>
          <w:tcPr>
            <w:tcW w:w="1184"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2F32F3B">
            <w:pPr>
              <w:jc w:val="center"/>
              <w:rPr>
                <w:rFonts w:hint="eastAsia" w:ascii="宋体" w:hAnsi="宋体" w:eastAsia="宋体" w:cs="宋体"/>
                <w:color w:val="auto"/>
              </w:rPr>
            </w:pPr>
          </w:p>
        </w:tc>
      </w:tr>
      <w:tr w14:paraId="752DB4AC">
        <w:tblPrEx>
          <w:tblCellMar>
            <w:top w:w="0" w:type="dxa"/>
            <w:left w:w="0" w:type="dxa"/>
            <w:bottom w:w="0" w:type="dxa"/>
            <w:right w:w="0" w:type="dxa"/>
          </w:tblCellMar>
        </w:tblPrEx>
        <w:trPr>
          <w:trHeight w:val="500" w:hRule="exact"/>
          <w:jc w:val="center"/>
        </w:trPr>
        <w:tc>
          <w:tcPr>
            <w:tcW w:w="1194"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1F88D5A">
            <w:pPr>
              <w:jc w:val="center"/>
              <w:rPr>
                <w:rFonts w:hint="eastAsia" w:ascii="宋体" w:hAnsi="宋体" w:eastAsia="宋体" w:cs="宋体"/>
                <w:color w:val="auto"/>
              </w:rPr>
            </w:pPr>
          </w:p>
        </w:tc>
        <w:tc>
          <w:tcPr>
            <w:tcW w:w="133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3DDCA2E1">
            <w:pPr>
              <w:jc w:val="center"/>
              <w:rPr>
                <w:rFonts w:hint="eastAsia" w:ascii="宋体" w:hAnsi="宋体" w:eastAsia="宋体" w:cs="宋体"/>
                <w:color w:val="auto"/>
              </w:rPr>
            </w:pPr>
          </w:p>
        </w:tc>
        <w:tc>
          <w:tcPr>
            <w:tcW w:w="1406"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8BF7E70">
            <w:pPr>
              <w:jc w:val="center"/>
              <w:rPr>
                <w:rFonts w:hint="eastAsia" w:ascii="宋体" w:hAnsi="宋体" w:eastAsia="宋体" w:cs="宋体"/>
                <w:color w:val="auto"/>
              </w:rPr>
            </w:pPr>
          </w:p>
        </w:tc>
        <w:tc>
          <w:tcPr>
            <w:tcW w:w="1414"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3584499A">
            <w:pPr>
              <w:jc w:val="center"/>
              <w:rPr>
                <w:rFonts w:hint="eastAsia" w:ascii="宋体" w:hAnsi="宋体" w:eastAsia="宋体" w:cs="宋体"/>
                <w:color w:val="auto"/>
              </w:rPr>
            </w:pPr>
          </w:p>
        </w:tc>
        <w:tc>
          <w:tcPr>
            <w:tcW w:w="159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57FC683">
            <w:pPr>
              <w:jc w:val="center"/>
              <w:rPr>
                <w:rFonts w:hint="eastAsia" w:ascii="宋体" w:hAnsi="宋体" w:eastAsia="宋体" w:cs="宋体"/>
                <w:color w:val="auto"/>
              </w:rPr>
            </w:pPr>
          </w:p>
        </w:tc>
        <w:tc>
          <w:tcPr>
            <w:tcW w:w="121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792D922">
            <w:pPr>
              <w:jc w:val="center"/>
              <w:rPr>
                <w:rFonts w:hint="eastAsia" w:ascii="宋体" w:hAnsi="宋体" w:eastAsia="宋体" w:cs="宋体"/>
                <w:color w:val="auto"/>
              </w:rPr>
            </w:pPr>
          </w:p>
        </w:tc>
        <w:tc>
          <w:tcPr>
            <w:tcW w:w="1184"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BD2D03A">
            <w:pPr>
              <w:jc w:val="center"/>
              <w:rPr>
                <w:rFonts w:hint="eastAsia" w:ascii="宋体" w:hAnsi="宋体" w:eastAsia="宋体" w:cs="宋体"/>
                <w:color w:val="auto"/>
              </w:rPr>
            </w:pPr>
          </w:p>
        </w:tc>
      </w:tr>
      <w:tr w14:paraId="5AA0EB93">
        <w:tblPrEx>
          <w:tblCellMar>
            <w:top w:w="0" w:type="dxa"/>
            <w:left w:w="0" w:type="dxa"/>
            <w:bottom w:w="0" w:type="dxa"/>
            <w:right w:w="0" w:type="dxa"/>
          </w:tblCellMar>
        </w:tblPrEx>
        <w:trPr>
          <w:trHeight w:val="500" w:hRule="exact"/>
          <w:jc w:val="center"/>
        </w:trPr>
        <w:tc>
          <w:tcPr>
            <w:tcW w:w="1194"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6D68B6D0">
            <w:pPr>
              <w:jc w:val="center"/>
              <w:rPr>
                <w:rFonts w:hint="eastAsia" w:ascii="宋体" w:hAnsi="宋体" w:eastAsia="宋体" w:cs="宋体"/>
                <w:color w:val="auto"/>
              </w:rPr>
            </w:pPr>
          </w:p>
        </w:tc>
        <w:tc>
          <w:tcPr>
            <w:tcW w:w="133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4A2C8555">
            <w:pPr>
              <w:jc w:val="center"/>
              <w:rPr>
                <w:rFonts w:hint="eastAsia" w:ascii="宋体" w:hAnsi="宋体" w:eastAsia="宋体" w:cs="宋体"/>
                <w:color w:val="auto"/>
              </w:rPr>
            </w:pPr>
          </w:p>
        </w:tc>
        <w:tc>
          <w:tcPr>
            <w:tcW w:w="1406"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3F76B0C">
            <w:pPr>
              <w:jc w:val="center"/>
              <w:rPr>
                <w:rFonts w:hint="eastAsia" w:ascii="宋体" w:hAnsi="宋体" w:eastAsia="宋体" w:cs="宋体"/>
                <w:color w:val="auto"/>
              </w:rPr>
            </w:pPr>
          </w:p>
        </w:tc>
        <w:tc>
          <w:tcPr>
            <w:tcW w:w="1414"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6A54415">
            <w:pPr>
              <w:jc w:val="center"/>
              <w:rPr>
                <w:rFonts w:hint="eastAsia" w:ascii="宋体" w:hAnsi="宋体" w:eastAsia="宋体" w:cs="宋体"/>
                <w:color w:val="auto"/>
              </w:rPr>
            </w:pPr>
          </w:p>
        </w:tc>
        <w:tc>
          <w:tcPr>
            <w:tcW w:w="159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7B285FD">
            <w:pPr>
              <w:jc w:val="center"/>
              <w:rPr>
                <w:rFonts w:hint="eastAsia" w:ascii="宋体" w:hAnsi="宋体" w:eastAsia="宋体" w:cs="宋体"/>
                <w:color w:val="auto"/>
              </w:rPr>
            </w:pPr>
          </w:p>
        </w:tc>
        <w:tc>
          <w:tcPr>
            <w:tcW w:w="121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1494BEB">
            <w:pPr>
              <w:jc w:val="center"/>
              <w:rPr>
                <w:rFonts w:hint="eastAsia" w:ascii="宋体" w:hAnsi="宋体" w:eastAsia="宋体" w:cs="宋体"/>
                <w:color w:val="auto"/>
              </w:rPr>
            </w:pPr>
          </w:p>
        </w:tc>
        <w:tc>
          <w:tcPr>
            <w:tcW w:w="1184"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EC7EB64">
            <w:pPr>
              <w:jc w:val="center"/>
              <w:rPr>
                <w:rFonts w:hint="eastAsia" w:ascii="宋体" w:hAnsi="宋体" w:eastAsia="宋体" w:cs="宋体"/>
                <w:color w:val="auto"/>
              </w:rPr>
            </w:pPr>
          </w:p>
        </w:tc>
      </w:tr>
      <w:tr w14:paraId="5502D7F2">
        <w:tblPrEx>
          <w:tblCellMar>
            <w:top w:w="0" w:type="dxa"/>
            <w:left w:w="0" w:type="dxa"/>
            <w:bottom w:w="0" w:type="dxa"/>
            <w:right w:w="0" w:type="dxa"/>
          </w:tblCellMar>
        </w:tblPrEx>
        <w:trPr>
          <w:trHeight w:val="500" w:hRule="exact"/>
          <w:jc w:val="center"/>
        </w:trPr>
        <w:tc>
          <w:tcPr>
            <w:tcW w:w="1194"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D27E415">
            <w:pPr>
              <w:jc w:val="center"/>
              <w:rPr>
                <w:rFonts w:hint="eastAsia" w:ascii="宋体" w:hAnsi="宋体" w:eastAsia="宋体" w:cs="宋体"/>
                <w:color w:val="auto"/>
              </w:rPr>
            </w:pPr>
          </w:p>
        </w:tc>
        <w:tc>
          <w:tcPr>
            <w:tcW w:w="133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BB9DE9D">
            <w:pPr>
              <w:jc w:val="center"/>
              <w:rPr>
                <w:rFonts w:hint="eastAsia" w:ascii="宋体" w:hAnsi="宋体" w:eastAsia="宋体" w:cs="宋体"/>
                <w:color w:val="auto"/>
              </w:rPr>
            </w:pPr>
          </w:p>
        </w:tc>
        <w:tc>
          <w:tcPr>
            <w:tcW w:w="1406"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2E6AEC74">
            <w:pPr>
              <w:jc w:val="center"/>
              <w:rPr>
                <w:rFonts w:hint="eastAsia" w:ascii="宋体" w:hAnsi="宋体" w:eastAsia="宋体" w:cs="宋体"/>
                <w:color w:val="auto"/>
              </w:rPr>
            </w:pPr>
          </w:p>
        </w:tc>
        <w:tc>
          <w:tcPr>
            <w:tcW w:w="1414"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4DE081C">
            <w:pPr>
              <w:jc w:val="center"/>
              <w:rPr>
                <w:rFonts w:hint="eastAsia" w:ascii="宋体" w:hAnsi="宋体" w:eastAsia="宋体" w:cs="宋体"/>
                <w:color w:val="auto"/>
              </w:rPr>
            </w:pPr>
          </w:p>
        </w:tc>
        <w:tc>
          <w:tcPr>
            <w:tcW w:w="159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22318BFF">
            <w:pPr>
              <w:jc w:val="center"/>
              <w:rPr>
                <w:rFonts w:hint="eastAsia" w:ascii="宋体" w:hAnsi="宋体" w:eastAsia="宋体" w:cs="宋体"/>
                <w:color w:val="auto"/>
              </w:rPr>
            </w:pPr>
          </w:p>
        </w:tc>
        <w:tc>
          <w:tcPr>
            <w:tcW w:w="121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591E5CA">
            <w:pPr>
              <w:jc w:val="center"/>
              <w:rPr>
                <w:rFonts w:hint="eastAsia" w:ascii="宋体" w:hAnsi="宋体" w:eastAsia="宋体" w:cs="宋体"/>
                <w:color w:val="auto"/>
              </w:rPr>
            </w:pPr>
          </w:p>
        </w:tc>
        <w:tc>
          <w:tcPr>
            <w:tcW w:w="1184"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561EDC8">
            <w:pPr>
              <w:jc w:val="center"/>
              <w:rPr>
                <w:rFonts w:hint="eastAsia" w:ascii="宋体" w:hAnsi="宋体" w:eastAsia="宋体" w:cs="宋体"/>
                <w:color w:val="auto"/>
              </w:rPr>
            </w:pPr>
          </w:p>
        </w:tc>
      </w:tr>
      <w:tr w14:paraId="6CAC2B78">
        <w:tblPrEx>
          <w:tblCellMar>
            <w:top w:w="0" w:type="dxa"/>
            <w:left w:w="0" w:type="dxa"/>
            <w:bottom w:w="0" w:type="dxa"/>
            <w:right w:w="0" w:type="dxa"/>
          </w:tblCellMar>
        </w:tblPrEx>
        <w:trPr>
          <w:trHeight w:val="500" w:hRule="exact"/>
          <w:jc w:val="center"/>
        </w:trPr>
        <w:tc>
          <w:tcPr>
            <w:tcW w:w="1194"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2CA3D56">
            <w:pPr>
              <w:jc w:val="center"/>
              <w:rPr>
                <w:rFonts w:hint="eastAsia" w:ascii="宋体" w:hAnsi="宋体" w:eastAsia="宋体" w:cs="宋体"/>
                <w:color w:val="auto"/>
                <w:sz w:val="32"/>
              </w:rPr>
            </w:pPr>
          </w:p>
        </w:tc>
        <w:tc>
          <w:tcPr>
            <w:tcW w:w="133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34076EB">
            <w:pPr>
              <w:jc w:val="center"/>
              <w:rPr>
                <w:rFonts w:hint="eastAsia" w:ascii="宋体" w:hAnsi="宋体" w:eastAsia="宋体" w:cs="宋体"/>
                <w:color w:val="auto"/>
                <w:sz w:val="32"/>
              </w:rPr>
            </w:pPr>
          </w:p>
        </w:tc>
        <w:tc>
          <w:tcPr>
            <w:tcW w:w="1406"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45FF1733">
            <w:pPr>
              <w:jc w:val="center"/>
              <w:rPr>
                <w:rFonts w:hint="eastAsia" w:ascii="宋体" w:hAnsi="宋体" w:eastAsia="宋体" w:cs="宋体"/>
                <w:color w:val="auto"/>
                <w:sz w:val="32"/>
              </w:rPr>
            </w:pPr>
          </w:p>
        </w:tc>
        <w:tc>
          <w:tcPr>
            <w:tcW w:w="1414"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C5390CA">
            <w:pPr>
              <w:jc w:val="center"/>
              <w:rPr>
                <w:rFonts w:hint="eastAsia" w:ascii="宋体" w:hAnsi="宋体" w:eastAsia="宋体" w:cs="宋体"/>
                <w:color w:val="auto"/>
                <w:sz w:val="32"/>
              </w:rPr>
            </w:pPr>
          </w:p>
        </w:tc>
        <w:tc>
          <w:tcPr>
            <w:tcW w:w="159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4C05AE21">
            <w:pPr>
              <w:jc w:val="center"/>
              <w:rPr>
                <w:rFonts w:hint="eastAsia" w:ascii="宋体" w:hAnsi="宋体" w:eastAsia="宋体" w:cs="宋体"/>
                <w:color w:val="auto"/>
                <w:sz w:val="32"/>
              </w:rPr>
            </w:pPr>
          </w:p>
        </w:tc>
        <w:tc>
          <w:tcPr>
            <w:tcW w:w="121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97054F5">
            <w:pPr>
              <w:jc w:val="center"/>
              <w:rPr>
                <w:rFonts w:hint="eastAsia" w:ascii="宋体" w:hAnsi="宋体" w:eastAsia="宋体" w:cs="宋体"/>
                <w:color w:val="auto"/>
                <w:sz w:val="32"/>
              </w:rPr>
            </w:pPr>
          </w:p>
        </w:tc>
        <w:tc>
          <w:tcPr>
            <w:tcW w:w="1184"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6BE8035E">
            <w:pPr>
              <w:jc w:val="center"/>
              <w:rPr>
                <w:rFonts w:hint="eastAsia" w:ascii="宋体" w:hAnsi="宋体" w:eastAsia="宋体" w:cs="宋体"/>
                <w:color w:val="auto"/>
                <w:sz w:val="32"/>
              </w:rPr>
            </w:pPr>
          </w:p>
        </w:tc>
      </w:tr>
    </w:tbl>
    <w:p w14:paraId="3F10BC76">
      <w:pPr>
        <w:jc w:val="center"/>
        <w:rPr>
          <w:rFonts w:hint="eastAsia" w:ascii="宋体" w:hAnsi="宋体" w:eastAsia="宋体" w:cs="宋体"/>
          <w:color w:val="auto"/>
          <w:sz w:val="32"/>
          <w:szCs w:val="20"/>
        </w:rPr>
      </w:pPr>
    </w:p>
    <w:p w14:paraId="2DAFE292">
      <w:pPr>
        <w:rPr>
          <w:rFonts w:hint="eastAsia" w:ascii="宋体" w:hAnsi="宋体" w:eastAsia="宋体" w:cs="宋体"/>
          <w:color w:val="auto"/>
        </w:rPr>
      </w:pPr>
    </w:p>
    <w:p w14:paraId="282FB436">
      <w:pPr>
        <w:autoSpaceDE w:val="0"/>
        <w:autoSpaceDN w:val="0"/>
        <w:spacing w:line="360" w:lineRule="auto"/>
        <w:ind w:left="4305" w:leftChars="1950" w:hanging="210" w:hangingChars="100"/>
        <w:rPr>
          <w:rFonts w:hint="eastAsia" w:ascii="宋体" w:hAnsi="宋体" w:eastAsia="宋体" w:cs="宋体"/>
          <w:color w:val="auto"/>
          <w:kern w:val="0"/>
          <w:sz w:val="24"/>
        </w:rPr>
      </w:pPr>
      <w:r>
        <w:rPr>
          <w:rFonts w:hint="eastAsia" w:ascii="宋体" w:hAnsi="宋体" w:eastAsia="宋体" w:cs="宋体"/>
          <w:color w:val="auto"/>
        </w:rPr>
        <w:t xml:space="preserve">    </w:t>
      </w:r>
      <w:r>
        <w:rPr>
          <w:rFonts w:hint="eastAsia" w:ascii="宋体" w:hAnsi="宋体" w:eastAsia="宋体" w:cs="宋体"/>
          <w:color w:val="auto"/>
          <w:kern w:val="0"/>
          <w:sz w:val="24"/>
        </w:rPr>
        <w:t>供应商名称（电子签章）：</w:t>
      </w:r>
    </w:p>
    <w:p w14:paraId="72C0D1EE">
      <w:pPr>
        <w:autoSpaceDE w:val="0"/>
        <w:autoSpaceDN w:val="0"/>
        <w:spacing w:line="360" w:lineRule="auto"/>
        <w:ind w:firstLine="6480" w:firstLineChars="2700"/>
        <w:rPr>
          <w:rFonts w:hint="eastAsia" w:ascii="宋体" w:hAnsi="宋体" w:eastAsia="宋体" w:cs="宋体"/>
          <w:color w:val="auto"/>
          <w:kern w:val="0"/>
          <w:sz w:val="24"/>
          <w:lang w:val="zh-CN"/>
        </w:rPr>
      </w:pPr>
      <w:r>
        <w:rPr>
          <w:rFonts w:hint="eastAsia" w:ascii="宋体" w:hAnsi="宋体" w:eastAsia="宋体" w:cs="宋体"/>
          <w:color w:val="auto"/>
          <w:kern w:val="0"/>
          <w:sz w:val="24"/>
          <w:lang w:val="zh-CN"/>
        </w:rPr>
        <w:t>日期：  年  月   日</w:t>
      </w:r>
    </w:p>
    <w:p w14:paraId="36B5974A">
      <w:pPr>
        <w:snapToGrid w:val="0"/>
        <w:spacing w:before="120" w:beforeLines="50" w:after="50"/>
        <w:ind w:firstLine="602" w:firstLineChars="200"/>
        <w:rPr>
          <w:rFonts w:hint="default" w:ascii="宋体" w:hAnsi="宋体" w:eastAsia="宋体" w:cs="宋体"/>
          <w:b/>
          <w:color w:val="auto"/>
          <w:sz w:val="30"/>
          <w:szCs w:val="30"/>
          <w:highlight w:val="none"/>
        </w:rPr>
      </w:pPr>
    </w:p>
    <w:p w14:paraId="39675075">
      <w:pPr>
        <w:keepNext w:val="0"/>
        <w:keepLines w:val="0"/>
        <w:pageBreakBefore/>
        <w:widowControl w:val="0"/>
        <w:numPr>
          <w:ilvl w:val="0"/>
          <w:numId w:val="0"/>
        </w:numPr>
        <w:kinsoku/>
        <w:wordWrap/>
        <w:overflowPunct/>
        <w:topLinePunct w:val="0"/>
        <w:autoSpaceDE/>
        <w:autoSpaceDN/>
        <w:bidi w:val="0"/>
        <w:adjustRightInd/>
        <w:snapToGrid/>
        <w:jc w:val="left"/>
        <w:textAlignment w:val="auto"/>
        <w:rPr>
          <w:rFonts w:hint="eastAsia" w:ascii="宋体" w:hAnsi="宋体" w:eastAsia="宋体" w:cs="宋体"/>
          <w:b/>
          <w:color w:val="auto"/>
          <w:sz w:val="30"/>
          <w:szCs w:val="30"/>
        </w:rPr>
      </w:pPr>
      <w:r>
        <w:rPr>
          <w:rFonts w:hint="eastAsia" w:ascii="宋体" w:hAnsi="宋体" w:eastAsia="宋体" w:cs="宋体"/>
          <w:b/>
          <w:color w:val="auto"/>
          <w:sz w:val="30"/>
          <w:szCs w:val="30"/>
          <w:lang w:val="en-US" w:eastAsia="zh-CN"/>
        </w:rPr>
        <w:t>六、</w:t>
      </w:r>
      <w:r>
        <w:rPr>
          <w:rFonts w:hint="eastAsia" w:ascii="宋体" w:hAnsi="宋体" w:eastAsia="宋体" w:cs="宋体"/>
          <w:b/>
          <w:color w:val="auto"/>
          <w:sz w:val="30"/>
          <w:szCs w:val="30"/>
        </w:rPr>
        <w:t>企 业 概 况 表</w:t>
      </w:r>
    </w:p>
    <w:p w14:paraId="61957EAB">
      <w:pPr>
        <w:widowControl w:val="0"/>
        <w:numPr>
          <w:ilvl w:val="0"/>
          <w:numId w:val="0"/>
        </w:numPr>
        <w:snapToGrid w:val="0"/>
        <w:jc w:val="left"/>
        <w:rPr>
          <w:rFonts w:hint="eastAsia" w:ascii="Times New Roman" w:hAnsi="Times New Roman" w:eastAsia="宋体" w:cs="Times New Roman"/>
          <w:color w:val="auto"/>
          <w:kern w:val="0"/>
          <w:sz w:val="18"/>
          <w:szCs w:val="18"/>
          <w:lang w:val="en-US" w:eastAsia="zh-CN" w:bidi="ar-SA"/>
        </w:rPr>
      </w:pPr>
    </w:p>
    <w:tbl>
      <w:tblPr>
        <w:tblStyle w:val="18"/>
        <w:tblW w:w="0" w:type="auto"/>
        <w:jc w:val="center"/>
        <w:tblLayout w:type="fixed"/>
        <w:tblCellMar>
          <w:top w:w="0" w:type="dxa"/>
          <w:left w:w="0" w:type="dxa"/>
          <w:bottom w:w="0" w:type="dxa"/>
          <w:right w:w="0" w:type="dxa"/>
        </w:tblCellMar>
      </w:tblPr>
      <w:tblGrid>
        <w:gridCol w:w="2008"/>
        <w:gridCol w:w="1318"/>
        <w:gridCol w:w="1382"/>
        <w:gridCol w:w="1400"/>
        <w:gridCol w:w="1513"/>
        <w:gridCol w:w="1187"/>
      </w:tblGrid>
      <w:tr w14:paraId="07303E0E">
        <w:tblPrEx>
          <w:tblCellMar>
            <w:top w:w="0" w:type="dxa"/>
            <w:left w:w="0" w:type="dxa"/>
            <w:bottom w:w="0" w:type="dxa"/>
            <w:right w:w="0" w:type="dxa"/>
          </w:tblCellMar>
        </w:tblPrEx>
        <w:trPr>
          <w:jc w:val="center"/>
        </w:trPr>
        <w:tc>
          <w:tcPr>
            <w:tcW w:w="200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8EAE579">
            <w:pPr>
              <w:spacing w:line="5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企业注册名称</w:t>
            </w:r>
          </w:p>
        </w:tc>
        <w:tc>
          <w:tcPr>
            <w:tcW w:w="4100" w:type="dxa"/>
            <w:gridSpan w:val="3"/>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6123977">
            <w:pPr>
              <w:spacing w:line="500" w:lineRule="exact"/>
              <w:jc w:val="center"/>
              <w:rPr>
                <w:rFonts w:hint="eastAsia" w:ascii="宋体" w:hAnsi="宋体" w:eastAsia="宋体" w:cs="宋体"/>
                <w:color w:val="auto"/>
                <w:sz w:val="24"/>
                <w:szCs w:val="24"/>
              </w:rPr>
            </w:pPr>
          </w:p>
        </w:tc>
        <w:tc>
          <w:tcPr>
            <w:tcW w:w="151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8804DAB">
            <w:pPr>
              <w:spacing w:line="500" w:lineRule="exact"/>
              <w:ind w:left="72"/>
              <w:jc w:val="center"/>
              <w:rPr>
                <w:rFonts w:hint="eastAsia" w:ascii="宋体" w:hAnsi="宋体" w:eastAsia="宋体" w:cs="宋体"/>
                <w:color w:val="auto"/>
                <w:sz w:val="24"/>
                <w:szCs w:val="24"/>
              </w:rPr>
            </w:pPr>
            <w:r>
              <w:rPr>
                <w:rFonts w:hint="eastAsia" w:ascii="宋体" w:hAnsi="宋体" w:eastAsia="宋体" w:cs="宋体"/>
                <w:color w:val="auto"/>
                <w:sz w:val="24"/>
                <w:szCs w:val="24"/>
              </w:rPr>
              <w:t>建立日期</w:t>
            </w:r>
          </w:p>
        </w:tc>
        <w:tc>
          <w:tcPr>
            <w:tcW w:w="118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42AF35D">
            <w:pPr>
              <w:spacing w:line="500" w:lineRule="exact"/>
              <w:jc w:val="center"/>
              <w:rPr>
                <w:rFonts w:hint="eastAsia" w:ascii="宋体" w:hAnsi="宋体" w:eastAsia="宋体" w:cs="宋体"/>
                <w:color w:val="auto"/>
                <w:sz w:val="24"/>
                <w:szCs w:val="24"/>
              </w:rPr>
            </w:pPr>
          </w:p>
        </w:tc>
      </w:tr>
      <w:tr w14:paraId="44ADB17F">
        <w:tblPrEx>
          <w:tblCellMar>
            <w:top w:w="0" w:type="dxa"/>
            <w:left w:w="0" w:type="dxa"/>
            <w:bottom w:w="0" w:type="dxa"/>
            <w:right w:w="0" w:type="dxa"/>
          </w:tblCellMar>
        </w:tblPrEx>
        <w:trPr>
          <w:jc w:val="center"/>
        </w:trPr>
        <w:tc>
          <w:tcPr>
            <w:tcW w:w="200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DD97C99">
            <w:pPr>
              <w:spacing w:line="5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企业法人代表</w:t>
            </w:r>
          </w:p>
        </w:tc>
        <w:tc>
          <w:tcPr>
            <w:tcW w:w="131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6E52D331">
            <w:pPr>
              <w:spacing w:line="500" w:lineRule="exact"/>
              <w:rPr>
                <w:rFonts w:hint="eastAsia" w:ascii="宋体" w:hAnsi="宋体" w:eastAsia="宋体" w:cs="宋体"/>
                <w:color w:val="auto"/>
                <w:sz w:val="24"/>
                <w:szCs w:val="24"/>
              </w:rPr>
            </w:pPr>
          </w:p>
        </w:tc>
        <w:tc>
          <w:tcPr>
            <w:tcW w:w="1382"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760B446">
            <w:pPr>
              <w:spacing w:line="5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职    称</w:t>
            </w:r>
          </w:p>
        </w:tc>
        <w:tc>
          <w:tcPr>
            <w:tcW w:w="140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5C81FAA">
            <w:pPr>
              <w:spacing w:line="500" w:lineRule="exact"/>
              <w:jc w:val="center"/>
              <w:rPr>
                <w:rFonts w:hint="eastAsia" w:ascii="宋体" w:hAnsi="宋体" w:eastAsia="宋体" w:cs="宋体"/>
                <w:color w:val="auto"/>
                <w:sz w:val="24"/>
                <w:szCs w:val="24"/>
              </w:rPr>
            </w:pPr>
          </w:p>
        </w:tc>
        <w:tc>
          <w:tcPr>
            <w:tcW w:w="151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B1E3DFC">
            <w:pPr>
              <w:spacing w:line="500" w:lineRule="exact"/>
              <w:ind w:left="72"/>
              <w:jc w:val="center"/>
              <w:rPr>
                <w:rFonts w:hint="eastAsia" w:ascii="宋体" w:hAnsi="宋体" w:eastAsia="宋体" w:cs="宋体"/>
                <w:color w:val="auto"/>
                <w:sz w:val="24"/>
                <w:szCs w:val="24"/>
              </w:rPr>
            </w:pPr>
            <w:r>
              <w:rPr>
                <w:rFonts w:hint="eastAsia" w:ascii="宋体" w:hAnsi="宋体" w:eastAsia="宋体" w:cs="宋体"/>
                <w:color w:val="auto"/>
                <w:sz w:val="24"/>
                <w:szCs w:val="24"/>
              </w:rPr>
              <w:t>企业性质</w:t>
            </w:r>
          </w:p>
        </w:tc>
        <w:tc>
          <w:tcPr>
            <w:tcW w:w="118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63C67F1">
            <w:pPr>
              <w:spacing w:line="500" w:lineRule="exact"/>
              <w:jc w:val="center"/>
              <w:rPr>
                <w:rFonts w:hint="eastAsia" w:ascii="宋体" w:hAnsi="宋体" w:eastAsia="宋体" w:cs="宋体"/>
                <w:color w:val="auto"/>
                <w:sz w:val="24"/>
                <w:szCs w:val="24"/>
              </w:rPr>
            </w:pPr>
          </w:p>
        </w:tc>
      </w:tr>
      <w:tr w14:paraId="573A8B2D">
        <w:tblPrEx>
          <w:tblCellMar>
            <w:top w:w="0" w:type="dxa"/>
            <w:left w:w="0" w:type="dxa"/>
            <w:bottom w:w="0" w:type="dxa"/>
            <w:right w:w="0" w:type="dxa"/>
          </w:tblCellMar>
        </w:tblPrEx>
        <w:trPr>
          <w:jc w:val="center"/>
        </w:trPr>
        <w:tc>
          <w:tcPr>
            <w:tcW w:w="200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B542625">
            <w:pPr>
              <w:spacing w:line="5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企业资质等级</w:t>
            </w:r>
          </w:p>
        </w:tc>
        <w:tc>
          <w:tcPr>
            <w:tcW w:w="131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39AC340D">
            <w:pPr>
              <w:spacing w:line="500" w:lineRule="exact"/>
              <w:rPr>
                <w:rFonts w:hint="eastAsia" w:ascii="宋体" w:hAnsi="宋体" w:eastAsia="宋体" w:cs="宋体"/>
                <w:color w:val="auto"/>
                <w:sz w:val="24"/>
                <w:szCs w:val="24"/>
              </w:rPr>
            </w:pPr>
          </w:p>
        </w:tc>
        <w:tc>
          <w:tcPr>
            <w:tcW w:w="1382"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27923FB">
            <w:pPr>
              <w:spacing w:line="5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经营方式</w:t>
            </w:r>
          </w:p>
        </w:tc>
        <w:tc>
          <w:tcPr>
            <w:tcW w:w="4100" w:type="dxa"/>
            <w:gridSpan w:val="3"/>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9F864FD">
            <w:pPr>
              <w:spacing w:line="500" w:lineRule="exact"/>
              <w:jc w:val="center"/>
              <w:rPr>
                <w:rFonts w:hint="eastAsia" w:ascii="宋体" w:hAnsi="宋体" w:eastAsia="宋体" w:cs="宋体"/>
                <w:color w:val="auto"/>
                <w:sz w:val="24"/>
                <w:szCs w:val="24"/>
              </w:rPr>
            </w:pPr>
          </w:p>
        </w:tc>
      </w:tr>
      <w:tr w14:paraId="4FAF8924">
        <w:tblPrEx>
          <w:tblCellMar>
            <w:top w:w="0" w:type="dxa"/>
            <w:left w:w="0" w:type="dxa"/>
            <w:bottom w:w="0" w:type="dxa"/>
            <w:right w:w="0" w:type="dxa"/>
          </w:tblCellMar>
        </w:tblPrEx>
        <w:trPr>
          <w:jc w:val="center"/>
        </w:trPr>
        <w:tc>
          <w:tcPr>
            <w:tcW w:w="200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9997980">
            <w:pPr>
              <w:spacing w:line="5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上级主管部门</w:t>
            </w:r>
          </w:p>
        </w:tc>
        <w:tc>
          <w:tcPr>
            <w:tcW w:w="6800" w:type="dxa"/>
            <w:gridSpan w:val="5"/>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2BD0EC0">
            <w:pPr>
              <w:spacing w:line="500" w:lineRule="exact"/>
              <w:jc w:val="center"/>
              <w:rPr>
                <w:rFonts w:hint="eastAsia" w:ascii="宋体" w:hAnsi="宋体" w:eastAsia="宋体" w:cs="宋体"/>
                <w:color w:val="auto"/>
                <w:sz w:val="24"/>
                <w:szCs w:val="24"/>
              </w:rPr>
            </w:pPr>
          </w:p>
        </w:tc>
      </w:tr>
      <w:tr w14:paraId="093D1F01">
        <w:tblPrEx>
          <w:tblCellMar>
            <w:top w:w="0" w:type="dxa"/>
            <w:left w:w="0" w:type="dxa"/>
            <w:bottom w:w="0" w:type="dxa"/>
            <w:right w:w="0" w:type="dxa"/>
          </w:tblCellMar>
        </w:tblPrEx>
        <w:trPr>
          <w:jc w:val="center"/>
        </w:trPr>
        <w:tc>
          <w:tcPr>
            <w:tcW w:w="200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868202B">
            <w:pPr>
              <w:spacing w:line="5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批准成立机构</w:t>
            </w:r>
          </w:p>
        </w:tc>
        <w:tc>
          <w:tcPr>
            <w:tcW w:w="6800" w:type="dxa"/>
            <w:gridSpan w:val="5"/>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6E461132">
            <w:pPr>
              <w:spacing w:line="500" w:lineRule="exact"/>
              <w:rPr>
                <w:rFonts w:hint="eastAsia" w:ascii="宋体" w:hAnsi="宋体" w:eastAsia="宋体" w:cs="宋体"/>
                <w:color w:val="auto"/>
                <w:sz w:val="24"/>
                <w:szCs w:val="24"/>
              </w:rPr>
            </w:pPr>
          </w:p>
        </w:tc>
      </w:tr>
      <w:tr w14:paraId="0A146B0F">
        <w:tblPrEx>
          <w:tblCellMar>
            <w:top w:w="0" w:type="dxa"/>
            <w:left w:w="0" w:type="dxa"/>
            <w:bottom w:w="0" w:type="dxa"/>
            <w:right w:w="0" w:type="dxa"/>
          </w:tblCellMar>
        </w:tblPrEx>
        <w:trPr>
          <w:trHeight w:val="1334" w:hRule="atLeast"/>
          <w:jc w:val="center"/>
        </w:trPr>
        <w:tc>
          <w:tcPr>
            <w:tcW w:w="200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A05BF91">
            <w:pPr>
              <w:spacing w:line="5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经营范围</w:t>
            </w:r>
          </w:p>
        </w:tc>
        <w:tc>
          <w:tcPr>
            <w:tcW w:w="6800" w:type="dxa"/>
            <w:gridSpan w:val="5"/>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2F9EC9EE">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 xml:space="preserve">                                                                  </w:t>
            </w:r>
          </w:p>
        </w:tc>
      </w:tr>
      <w:tr w14:paraId="49B667C4">
        <w:tblPrEx>
          <w:tblCellMar>
            <w:top w:w="0" w:type="dxa"/>
            <w:left w:w="0" w:type="dxa"/>
            <w:bottom w:w="0" w:type="dxa"/>
            <w:right w:w="0" w:type="dxa"/>
          </w:tblCellMar>
        </w:tblPrEx>
        <w:trPr>
          <w:trHeight w:val="5620" w:hRule="atLeast"/>
          <w:jc w:val="center"/>
        </w:trPr>
        <w:tc>
          <w:tcPr>
            <w:tcW w:w="200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625A01C">
            <w:pPr>
              <w:spacing w:line="5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企业简介</w:t>
            </w:r>
          </w:p>
        </w:tc>
        <w:tc>
          <w:tcPr>
            <w:tcW w:w="6800" w:type="dxa"/>
            <w:gridSpan w:val="5"/>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4878E525">
            <w:pPr>
              <w:spacing w:line="500" w:lineRule="exact"/>
              <w:rPr>
                <w:rFonts w:hint="eastAsia" w:ascii="宋体" w:hAnsi="宋体" w:eastAsia="宋体" w:cs="宋体"/>
                <w:color w:val="auto"/>
                <w:sz w:val="24"/>
                <w:szCs w:val="24"/>
              </w:rPr>
            </w:pPr>
          </w:p>
        </w:tc>
      </w:tr>
    </w:tbl>
    <w:p w14:paraId="015E9917">
      <w:pPr>
        <w:snapToGrid w:val="0"/>
        <w:spacing w:line="360" w:lineRule="auto"/>
        <w:ind w:firstLine="602" w:firstLineChars="200"/>
        <w:rPr>
          <w:rFonts w:hint="eastAsia" w:ascii="宋体" w:hAnsi="宋体" w:eastAsia="宋体" w:cs="宋体"/>
          <w:b/>
          <w:color w:val="auto"/>
          <w:sz w:val="30"/>
          <w:szCs w:val="30"/>
        </w:rPr>
      </w:pPr>
    </w:p>
    <w:p w14:paraId="49994E9B">
      <w:pPr>
        <w:autoSpaceDE w:val="0"/>
        <w:autoSpaceDN w:val="0"/>
        <w:spacing w:line="360" w:lineRule="auto"/>
        <w:ind w:left="4335" w:leftChars="1950" w:hanging="240" w:hangingChars="100"/>
        <w:rPr>
          <w:rFonts w:hint="eastAsia" w:ascii="宋体" w:hAnsi="宋体" w:eastAsia="宋体" w:cs="宋体"/>
          <w:color w:val="auto"/>
          <w:kern w:val="0"/>
          <w:sz w:val="24"/>
        </w:rPr>
      </w:pPr>
      <w:r>
        <w:rPr>
          <w:rFonts w:hint="eastAsia" w:ascii="宋体" w:hAnsi="宋体" w:eastAsia="宋体" w:cs="宋体"/>
          <w:color w:val="auto"/>
          <w:kern w:val="0"/>
          <w:sz w:val="24"/>
        </w:rPr>
        <w:t>供应商名称（电子签章）：</w:t>
      </w:r>
    </w:p>
    <w:p w14:paraId="6EF8F8A2">
      <w:pPr>
        <w:autoSpaceDE w:val="0"/>
        <w:autoSpaceDN w:val="0"/>
        <w:spacing w:line="360" w:lineRule="auto"/>
        <w:ind w:firstLine="6480" w:firstLineChars="2700"/>
        <w:rPr>
          <w:rFonts w:hint="eastAsia" w:ascii="宋体" w:hAnsi="宋体" w:eastAsia="宋体" w:cs="宋体"/>
          <w:b/>
          <w:bCs/>
          <w:color w:val="auto"/>
          <w:sz w:val="24"/>
        </w:rPr>
      </w:pPr>
      <w:r>
        <w:rPr>
          <w:rFonts w:hint="eastAsia" w:ascii="宋体" w:hAnsi="宋体" w:eastAsia="宋体" w:cs="宋体"/>
          <w:color w:val="auto"/>
          <w:kern w:val="0"/>
          <w:sz w:val="24"/>
          <w:lang w:val="zh-CN"/>
        </w:rPr>
        <w:t>日期：  年  月   日</w:t>
      </w:r>
    </w:p>
    <w:p w14:paraId="2A46E94D">
      <w:pPr>
        <w:keepNext w:val="0"/>
        <w:keepLines w:val="0"/>
        <w:pageBreakBefore/>
        <w:widowControl w:val="0"/>
        <w:kinsoku/>
        <w:wordWrap/>
        <w:overflowPunct/>
        <w:topLinePunct w:val="0"/>
        <w:autoSpaceDE/>
        <w:autoSpaceDN/>
        <w:bidi w:val="0"/>
        <w:adjustRightInd/>
        <w:snapToGrid w:val="0"/>
        <w:spacing w:before="165" w:beforeLines="50" w:after="50"/>
        <w:textAlignment w:val="auto"/>
        <w:rPr>
          <w:rFonts w:hint="default" w:ascii="宋体" w:hAnsi="宋体" w:eastAsia="宋体" w:cs="宋体"/>
          <w:b/>
          <w:color w:val="auto"/>
          <w:sz w:val="30"/>
          <w:szCs w:val="30"/>
          <w:highlight w:val="none"/>
        </w:rPr>
      </w:pPr>
      <w:r>
        <w:rPr>
          <w:rFonts w:hint="default" w:ascii="宋体" w:hAnsi="宋体" w:eastAsia="宋体" w:cs="宋体"/>
          <w:b/>
          <w:color w:val="auto"/>
          <w:sz w:val="30"/>
          <w:szCs w:val="30"/>
          <w:highlight w:val="none"/>
        </w:rPr>
        <w:t>七、技术需求偏离表</w:t>
      </w:r>
    </w:p>
    <w:p w14:paraId="59AD3043">
      <w:pPr>
        <w:spacing w:line="500" w:lineRule="exact"/>
        <w:jc w:val="center"/>
        <w:rPr>
          <w:rFonts w:hint="default" w:ascii="宋体" w:hAnsi="宋体" w:eastAsia="宋体" w:cs="宋体"/>
          <w:b/>
          <w:color w:val="auto"/>
          <w:sz w:val="30"/>
          <w:szCs w:val="30"/>
          <w:highlight w:val="none"/>
        </w:rPr>
      </w:pPr>
      <w:r>
        <w:rPr>
          <w:rFonts w:hint="default" w:ascii="宋体" w:hAnsi="宋体" w:eastAsia="宋体" w:cs="宋体"/>
          <w:b/>
          <w:color w:val="auto"/>
          <w:sz w:val="30"/>
          <w:szCs w:val="30"/>
          <w:highlight w:val="none"/>
        </w:rPr>
        <w:t>技术需求偏离表</w:t>
      </w:r>
    </w:p>
    <w:p w14:paraId="2B3C38E1">
      <w:pPr>
        <w:spacing w:line="360" w:lineRule="auto"/>
        <w:rPr>
          <w:rFonts w:hint="default" w:ascii="宋体" w:hAnsi="宋体" w:eastAsia="宋体" w:cs="宋体"/>
          <w:color w:val="auto"/>
          <w:sz w:val="24"/>
          <w:szCs w:val="24"/>
          <w:highlight w:val="none"/>
          <w:u w:val="single"/>
        </w:rPr>
      </w:pPr>
      <w:r>
        <w:rPr>
          <w:rFonts w:hint="default" w:ascii="宋体" w:hAnsi="宋体" w:eastAsia="宋体" w:cs="宋体"/>
          <w:color w:val="auto"/>
          <w:sz w:val="24"/>
          <w:szCs w:val="24"/>
          <w:highlight w:val="none"/>
        </w:rPr>
        <w:t>采购项目编号：</w:t>
      </w:r>
      <w:r>
        <w:rPr>
          <w:rFonts w:hint="default" w:ascii="宋体" w:hAnsi="宋体" w:eastAsia="宋体" w:cs="宋体"/>
          <w:color w:val="auto"/>
          <w:sz w:val="24"/>
          <w:szCs w:val="24"/>
          <w:highlight w:val="none"/>
          <w:u w:val="single"/>
        </w:rPr>
        <w:t xml:space="preserve">                </w:t>
      </w:r>
    </w:p>
    <w:p w14:paraId="36B7EF11">
      <w:pPr>
        <w:spacing w:line="360" w:lineRule="auto"/>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采购项目名称：</w:t>
      </w:r>
      <w:r>
        <w:rPr>
          <w:rFonts w:hint="default" w:ascii="宋体" w:hAnsi="宋体" w:eastAsia="宋体" w:cs="宋体"/>
          <w:color w:val="auto"/>
          <w:sz w:val="24"/>
          <w:szCs w:val="24"/>
          <w:highlight w:val="none"/>
          <w:u w:val="single"/>
        </w:rPr>
        <w:t xml:space="preserve">                 </w:t>
      </w:r>
    </w:p>
    <w:p w14:paraId="5679A9BD">
      <w:pPr>
        <w:spacing w:line="360" w:lineRule="auto"/>
        <w:rPr>
          <w:rFonts w:hint="default" w:ascii="宋体" w:hAnsi="宋体" w:eastAsia="宋体" w:cs="宋体"/>
          <w:color w:val="auto"/>
          <w:sz w:val="24"/>
          <w:szCs w:val="24"/>
          <w:highlight w:val="none"/>
          <w:u w:val="single"/>
        </w:rPr>
      </w:pPr>
      <w:r>
        <w:rPr>
          <w:rFonts w:hint="default" w:ascii="宋体" w:hAnsi="宋体" w:eastAsia="宋体" w:cs="宋体"/>
          <w:color w:val="auto"/>
          <w:sz w:val="24"/>
          <w:szCs w:val="24"/>
          <w:highlight w:val="none"/>
        </w:rPr>
        <w:t>分标号</w:t>
      </w:r>
      <w:r>
        <w:rPr>
          <w:rFonts w:hint="default" w:ascii="宋体" w:hAnsi="宋体" w:eastAsia="宋体" w:cs="宋体"/>
          <w:color w:val="auto"/>
          <w:sz w:val="21"/>
          <w:szCs w:val="21"/>
          <w:highlight w:val="none"/>
        </w:rPr>
        <w:t>（此处有分标时填写具体分标号，无分标时填写“无”）</w:t>
      </w:r>
      <w:r>
        <w:rPr>
          <w:rFonts w:hint="default" w:ascii="宋体" w:hAnsi="宋体" w:eastAsia="宋体" w:cs="宋体"/>
          <w:color w:val="auto"/>
          <w:sz w:val="24"/>
          <w:szCs w:val="24"/>
          <w:highlight w:val="none"/>
        </w:rPr>
        <w:t>：</w:t>
      </w:r>
      <w:r>
        <w:rPr>
          <w:rFonts w:hint="default" w:ascii="宋体" w:hAnsi="宋体" w:eastAsia="宋体" w:cs="宋体"/>
          <w:color w:val="auto"/>
          <w:sz w:val="24"/>
          <w:szCs w:val="24"/>
          <w:highlight w:val="none"/>
          <w:u w:val="single"/>
        </w:rPr>
        <w:t xml:space="preserve">        </w:t>
      </w:r>
    </w:p>
    <w:tbl>
      <w:tblPr>
        <w:tblStyle w:val="18"/>
        <w:tblpPr w:leftFromText="180" w:rightFromText="180" w:vertAnchor="text" w:horzAnchor="margin" w:tblpXSpec="center" w:tblpY="9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3631"/>
        <w:gridCol w:w="3210"/>
        <w:gridCol w:w="1274"/>
      </w:tblGrid>
      <w:tr w14:paraId="1A4CB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69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1270621">
            <w:pPr>
              <w:spacing w:line="340" w:lineRule="exact"/>
              <w:jc w:val="center"/>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项号</w:t>
            </w:r>
          </w:p>
        </w:tc>
        <w:tc>
          <w:tcPr>
            <w:tcW w:w="363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DDF936C">
            <w:pPr>
              <w:spacing w:line="340" w:lineRule="exact"/>
              <w:jc w:val="center"/>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竞争性磋商文件采购需求</w:t>
            </w:r>
          </w:p>
        </w:tc>
        <w:tc>
          <w:tcPr>
            <w:tcW w:w="321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0F46E3F">
            <w:pPr>
              <w:spacing w:line="340" w:lineRule="exact"/>
              <w:jc w:val="center"/>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响应文件采购需求承诺</w:t>
            </w:r>
          </w:p>
        </w:tc>
        <w:tc>
          <w:tcPr>
            <w:tcW w:w="127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0F62693">
            <w:pPr>
              <w:spacing w:line="340" w:lineRule="exact"/>
              <w:jc w:val="center"/>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偏离说明</w:t>
            </w:r>
          </w:p>
        </w:tc>
      </w:tr>
      <w:tr w14:paraId="44D0C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691" w:type="dxa"/>
            <w:tcBorders>
              <w:top w:val="single" w:color="auto" w:sz="4" w:space="0"/>
              <w:left w:val="single" w:color="auto" w:sz="4" w:space="0"/>
              <w:bottom w:val="single" w:color="auto" w:sz="4" w:space="0"/>
              <w:right w:val="single" w:color="auto" w:sz="4" w:space="0"/>
              <w:tl2br w:val="nil"/>
              <w:tr2bl w:val="nil"/>
            </w:tcBorders>
            <w:noWrap w:val="0"/>
            <w:vAlign w:val="top"/>
          </w:tcPr>
          <w:p w14:paraId="0F51B4A6">
            <w:pPr>
              <w:spacing w:line="340" w:lineRule="exact"/>
              <w:jc w:val="center"/>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一</w:t>
            </w:r>
          </w:p>
        </w:tc>
        <w:tc>
          <w:tcPr>
            <w:tcW w:w="3631" w:type="dxa"/>
            <w:tcBorders>
              <w:top w:val="single" w:color="auto" w:sz="4" w:space="0"/>
              <w:left w:val="single" w:color="auto" w:sz="4" w:space="0"/>
              <w:bottom w:val="single" w:color="auto" w:sz="4" w:space="0"/>
              <w:right w:val="single" w:color="auto" w:sz="4" w:space="0"/>
              <w:tl2br w:val="nil"/>
              <w:tr2bl w:val="nil"/>
            </w:tcBorders>
            <w:noWrap w:val="0"/>
            <w:vAlign w:val="top"/>
          </w:tcPr>
          <w:p w14:paraId="7C305C88">
            <w:pPr>
              <w:spacing w:line="340" w:lineRule="exact"/>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1  ……</w:t>
            </w:r>
          </w:p>
          <w:p w14:paraId="156E29BD">
            <w:pPr>
              <w:spacing w:line="340" w:lineRule="exact"/>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2  ……</w:t>
            </w:r>
          </w:p>
          <w:p w14:paraId="32BB1BF9">
            <w:pPr>
              <w:spacing w:line="340" w:lineRule="exact"/>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3  ……</w:t>
            </w:r>
          </w:p>
          <w:p w14:paraId="62561594">
            <w:pPr>
              <w:spacing w:line="340" w:lineRule="exact"/>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w:t>
            </w:r>
          </w:p>
        </w:tc>
        <w:tc>
          <w:tcPr>
            <w:tcW w:w="3210" w:type="dxa"/>
            <w:tcBorders>
              <w:top w:val="single" w:color="auto" w:sz="4" w:space="0"/>
              <w:left w:val="single" w:color="auto" w:sz="4" w:space="0"/>
              <w:bottom w:val="single" w:color="auto" w:sz="4" w:space="0"/>
              <w:right w:val="single" w:color="auto" w:sz="4" w:space="0"/>
              <w:tl2br w:val="nil"/>
              <w:tr2bl w:val="nil"/>
            </w:tcBorders>
            <w:noWrap w:val="0"/>
            <w:vAlign w:val="top"/>
          </w:tcPr>
          <w:p w14:paraId="64789E9D">
            <w:pPr>
              <w:spacing w:line="340" w:lineRule="exact"/>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1  ……</w:t>
            </w:r>
          </w:p>
          <w:p w14:paraId="58B263D2">
            <w:pPr>
              <w:spacing w:line="340" w:lineRule="exact"/>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2  ……</w:t>
            </w:r>
          </w:p>
          <w:p w14:paraId="294A8181">
            <w:pPr>
              <w:spacing w:line="340" w:lineRule="exact"/>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3  ……</w:t>
            </w:r>
          </w:p>
          <w:p w14:paraId="47F5AA7D">
            <w:pPr>
              <w:spacing w:line="340" w:lineRule="exact"/>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w:t>
            </w:r>
          </w:p>
        </w:tc>
        <w:tc>
          <w:tcPr>
            <w:tcW w:w="1274" w:type="dxa"/>
            <w:tcBorders>
              <w:top w:val="single" w:color="auto" w:sz="4" w:space="0"/>
              <w:left w:val="single" w:color="auto" w:sz="4" w:space="0"/>
              <w:bottom w:val="single" w:color="auto" w:sz="4" w:space="0"/>
              <w:right w:val="single" w:color="auto" w:sz="4" w:space="0"/>
              <w:tl2br w:val="nil"/>
              <w:tr2bl w:val="nil"/>
            </w:tcBorders>
            <w:noWrap w:val="0"/>
            <w:vAlign w:val="top"/>
          </w:tcPr>
          <w:p w14:paraId="4115778B">
            <w:pPr>
              <w:spacing w:line="300" w:lineRule="exact"/>
              <w:rPr>
                <w:rFonts w:hint="default" w:ascii="宋体" w:hAnsi="宋体" w:eastAsia="宋体" w:cs="宋体"/>
                <w:color w:val="auto"/>
                <w:sz w:val="24"/>
                <w:szCs w:val="24"/>
                <w:highlight w:val="none"/>
              </w:rPr>
            </w:pPr>
          </w:p>
        </w:tc>
      </w:tr>
      <w:tr w14:paraId="39E83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691" w:type="dxa"/>
            <w:tcBorders>
              <w:top w:val="single" w:color="auto" w:sz="4" w:space="0"/>
              <w:left w:val="single" w:color="auto" w:sz="4" w:space="0"/>
              <w:bottom w:val="single" w:color="auto" w:sz="4" w:space="0"/>
              <w:right w:val="single" w:color="auto" w:sz="4" w:space="0"/>
              <w:tl2br w:val="nil"/>
              <w:tr2bl w:val="nil"/>
            </w:tcBorders>
            <w:noWrap w:val="0"/>
            <w:vAlign w:val="top"/>
          </w:tcPr>
          <w:p w14:paraId="574D28CB">
            <w:pPr>
              <w:spacing w:line="340" w:lineRule="exact"/>
              <w:jc w:val="center"/>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二</w:t>
            </w:r>
          </w:p>
        </w:tc>
        <w:tc>
          <w:tcPr>
            <w:tcW w:w="3631" w:type="dxa"/>
            <w:tcBorders>
              <w:top w:val="single" w:color="auto" w:sz="4" w:space="0"/>
              <w:left w:val="single" w:color="auto" w:sz="4" w:space="0"/>
              <w:bottom w:val="single" w:color="auto" w:sz="4" w:space="0"/>
              <w:right w:val="single" w:color="auto" w:sz="4" w:space="0"/>
              <w:tl2br w:val="nil"/>
              <w:tr2bl w:val="nil"/>
            </w:tcBorders>
            <w:noWrap w:val="0"/>
            <w:vAlign w:val="top"/>
          </w:tcPr>
          <w:p w14:paraId="3806265C">
            <w:pPr>
              <w:spacing w:line="340" w:lineRule="exact"/>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1  ……</w:t>
            </w:r>
          </w:p>
          <w:p w14:paraId="09D53BD2">
            <w:pPr>
              <w:spacing w:line="340" w:lineRule="exact"/>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2  ……</w:t>
            </w:r>
          </w:p>
          <w:p w14:paraId="4EF2D1F4">
            <w:pPr>
              <w:spacing w:line="340" w:lineRule="exact"/>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3  ……</w:t>
            </w:r>
          </w:p>
          <w:p w14:paraId="54D2C15B">
            <w:pPr>
              <w:spacing w:line="340" w:lineRule="exact"/>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w:t>
            </w:r>
          </w:p>
        </w:tc>
        <w:tc>
          <w:tcPr>
            <w:tcW w:w="3210" w:type="dxa"/>
            <w:tcBorders>
              <w:top w:val="single" w:color="auto" w:sz="4" w:space="0"/>
              <w:left w:val="single" w:color="auto" w:sz="4" w:space="0"/>
              <w:bottom w:val="single" w:color="auto" w:sz="4" w:space="0"/>
              <w:right w:val="single" w:color="auto" w:sz="4" w:space="0"/>
              <w:tl2br w:val="nil"/>
              <w:tr2bl w:val="nil"/>
            </w:tcBorders>
            <w:noWrap w:val="0"/>
            <w:vAlign w:val="top"/>
          </w:tcPr>
          <w:p w14:paraId="4D612515">
            <w:pPr>
              <w:spacing w:line="340" w:lineRule="exact"/>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1  ……</w:t>
            </w:r>
          </w:p>
          <w:p w14:paraId="0CDA5036">
            <w:pPr>
              <w:spacing w:line="340" w:lineRule="exact"/>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2  ……</w:t>
            </w:r>
          </w:p>
          <w:p w14:paraId="11740FC7">
            <w:pPr>
              <w:spacing w:line="340" w:lineRule="exact"/>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3  ……</w:t>
            </w:r>
          </w:p>
          <w:p w14:paraId="3EAE2224">
            <w:pPr>
              <w:spacing w:line="340" w:lineRule="exact"/>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w:t>
            </w:r>
          </w:p>
        </w:tc>
        <w:tc>
          <w:tcPr>
            <w:tcW w:w="1274" w:type="dxa"/>
            <w:tcBorders>
              <w:top w:val="single" w:color="auto" w:sz="4" w:space="0"/>
              <w:left w:val="single" w:color="auto" w:sz="4" w:space="0"/>
              <w:bottom w:val="single" w:color="auto" w:sz="4" w:space="0"/>
              <w:right w:val="single" w:color="auto" w:sz="4" w:space="0"/>
              <w:tl2br w:val="nil"/>
              <w:tr2bl w:val="nil"/>
            </w:tcBorders>
            <w:noWrap w:val="0"/>
            <w:vAlign w:val="top"/>
          </w:tcPr>
          <w:p w14:paraId="11FDB10A">
            <w:pPr>
              <w:spacing w:line="300" w:lineRule="exact"/>
              <w:rPr>
                <w:rFonts w:hint="default" w:ascii="宋体" w:hAnsi="宋体" w:eastAsia="宋体" w:cs="宋体"/>
                <w:color w:val="auto"/>
                <w:sz w:val="24"/>
                <w:szCs w:val="24"/>
                <w:highlight w:val="none"/>
              </w:rPr>
            </w:pPr>
          </w:p>
        </w:tc>
      </w:tr>
      <w:tr w14:paraId="3E9E6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9" w:hRule="atLeast"/>
        </w:trPr>
        <w:tc>
          <w:tcPr>
            <w:tcW w:w="691" w:type="dxa"/>
            <w:tcBorders>
              <w:top w:val="single" w:color="auto" w:sz="4" w:space="0"/>
              <w:left w:val="single" w:color="auto" w:sz="4" w:space="0"/>
              <w:bottom w:val="single" w:color="auto" w:sz="4" w:space="0"/>
              <w:right w:val="single" w:color="auto" w:sz="4" w:space="0"/>
              <w:tl2br w:val="nil"/>
              <w:tr2bl w:val="nil"/>
            </w:tcBorders>
            <w:noWrap w:val="0"/>
            <w:vAlign w:val="top"/>
          </w:tcPr>
          <w:p w14:paraId="3991C5A9">
            <w:pPr>
              <w:spacing w:line="340" w:lineRule="exact"/>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w:t>
            </w:r>
          </w:p>
        </w:tc>
        <w:tc>
          <w:tcPr>
            <w:tcW w:w="3631" w:type="dxa"/>
            <w:tcBorders>
              <w:top w:val="single" w:color="auto" w:sz="4" w:space="0"/>
              <w:left w:val="single" w:color="auto" w:sz="4" w:space="0"/>
              <w:bottom w:val="single" w:color="auto" w:sz="4" w:space="0"/>
              <w:right w:val="single" w:color="auto" w:sz="4" w:space="0"/>
              <w:tl2br w:val="nil"/>
              <w:tr2bl w:val="nil"/>
            </w:tcBorders>
            <w:noWrap w:val="0"/>
            <w:vAlign w:val="top"/>
          </w:tcPr>
          <w:p w14:paraId="1B6F972B">
            <w:pPr>
              <w:spacing w:line="340" w:lineRule="exact"/>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1  ……</w:t>
            </w:r>
          </w:p>
          <w:p w14:paraId="3D9AD185">
            <w:pPr>
              <w:spacing w:line="340" w:lineRule="exact"/>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2  ……</w:t>
            </w:r>
          </w:p>
          <w:p w14:paraId="0C6C9165">
            <w:pPr>
              <w:spacing w:line="340" w:lineRule="exact"/>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3  ……</w:t>
            </w:r>
          </w:p>
          <w:p w14:paraId="2A97765F">
            <w:pPr>
              <w:spacing w:line="340" w:lineRule="exact"/>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w:t>
            </w:r>
          </w:p>
        </w:tc>
        <w:tc>
          <w:tcPr>
            <w:tcW w:w="3210" w:type="dxa"/>
            <w:tcBorders>
              <w:top w:val="single" w:color="auto" w:sz="4" w:space="0"/>
              <w:left w:val="single" w:color="auto" w:sz="4" w:space="0"/>
              <w:bottom w:val="single" w:color="auto" w:sz="4" w:space="0"/>
              <w:right w:val="single" w:color="auto" w:sz="4" w:space="0"/>
              <w:tl2br w:val="nil"/>
              <w:tr2bl w:val="nil"/>
            </w:tcBorders>
            <w:noWrap w:val="0"/>
            <w:vAlign w:val="top"/>
          </w:tcPr>
          <w:p w14:paraId="0891900C">
            <w:pPr>
              <w:spacing w:line="340" w:lineRule="exact"/>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1  ……</w:t>
            </w:r>
          </w:p>
          <w:p w14:paraId="1ECAEFFF">
            <w:pPr>
              <w:spacing w:line="340" w:lineRule="exact"/>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2  ……</w:t>
            </w:r>
          </w:p>
          <w:p w14:paraId="7EDCF951">
            <w:pPr>
              <w:spacing w:line="340" w:lineRule="exact"/>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3  ……</w:t>
            </w:r>
          </w:p>
          <w:p w14:paraId="7C63B19B">
            <w:pPr>
              <w:spacing w:line="340" w:lineRule="exact"/>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w:t>
            </w:r>
          </w:p>
        </w:tc>
        <w:tc>
          <w:tcPr>
            <w:tcW w:w="1274" w:type="dxa"/>
            <w:tcBorders>
              <w:top w:val="single" w:color="auto" w:sz="4" w:space="0"/>
              <w:left w:val="single" w:color="auto" w:sz="4" w:space="0"/>
              <w:bottom w:val="single" w:color="auto" w:sz="4" w:space="0"/>
              <w:right w:val="single" w:color="auto" w:sz="4" w:space="0"/>
              <w:tl2br w:val="nil"/>
              <w:tr2bl w:val="nil"/>
            </w:tcBorders>
            <w:noWrap w:val="0"/>
            <w:vAlign w:val="top"/>
          </w:tcPr>
          <w:p w14:paraId="451DAE73">
            <w:pPr>
              <w:spacing w:line="300" w:lineRule="exact"/>
              <w:rPr>
                <w:rFonts w:hint="default" w:ascii="宋体" w:hAnsi="宋体" w:eastAsia="宋体" w:cs="宋体"/>
                <w:color w:val="auto"/>
                <w:sz w:val="24"/>
                <w:szCs w:val="24"/>
                <w:highlight w:val="none"/>
              </w:rPr>
            </w:pPr>
          </w:p>
        </w:tc>
      </w:tr>
    </w:tbl>
    <w:p w14:paraId="13AAC63C">
      <w:pPr>
        <w:pStyle w:val="6"/>
        <w:spacing w:after="0" w:line="360" w:lineRule="exact"/>
        <w:ind w:left="840" w:hanging="420"/>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注：</w:t>
      </w:r>
    </w:p>
    <w:p w14:paraId="4E2B61C7">
      <w:pPr>
        <w:pStyle w:val="8"/>
        <w:spacing w:line="360" w:lineRule="exact"/>
        <w:ind w:firstLine="420" w:firstLineChars="200"/>
        <w:rPr>
          <w:rFonts w:hint="default" w:ascii="宋体" w:hAnsi="宋体" w:eastAsia="宋体" w:cs="宋体"/>
          <w:color w:val="auto"/>
          <w:sz w:val="21"/>
          <w:szCs w:val="21"/>
          <w:highlight w:val="none"/>
        </w:rPr>
      </w:pPr>
      <w:r>
        <w:rPr>
          <w:rFonts w:hint="default" w:ascii="宋体" w:hAnsi="宋体" w:eastAsia="宋体" w:cs="宋体"/>
          <w:color w:val="auto"/>
          <w:sz w:val="21"/>
          <w:szCs w:val="21"/>
          <w:highlight w:val="none"/>
        </w:rPr>
        <w:t>1.说明：应对照磋商文件“第二章”中“采购需求”中的技术需求及工程内容条款逐条作出明确响应，并作出偏离说明。</w:t>
      </w:r>
    </w:p>
    <w:p w14:paraId="6D0BCF3B">
      <w:pPr>
        <w:pStyle w:val="8"/>
        <w:spacing w:line="360" w:lineRule="exact"/>
        <w:ind w:firstLine="420" w:firstLineChars="200"/>
        <w:rPr>
          <w:rFonts w:hint="default" w:ascii="宋体" w:hAnsi="宋体" w:eastAsia="宋体" w:cs="宋体"/>
          <w:color w:val="auto"/>
          <w:sz w:val="21"/>
          <w:szCs w:val="21"/>
          <w:highlight w:val="none"/>
        </w:rPr>
      </w:pPr>
      <w:r>
        <w:rPr>
          <w:rFonts w:hint="default" w:ascii="宋体" w:hAnsi="宋体" w:eastAsia="宋体" w:cs="宋体"/>
          <w:color w:val="auto"/>
          <w:sz w:val="21"/>
          <w:szCs w:val="21"/>
          <w:highlight w:val="none"/>
        </w:rPr>
        <w:t>2.供应商应根据自身的承诺，对照磋商文件要求，在“偏离说明”中注明“正偏离”、“负偏离”或者“无偏离”。既不属于“正偏离”也不属于“负偏离”即为“无偏离”。 当响应文件的</w:t>
      </w:r>
      <w:r>
        <w:rPr>
          <w:rFonts w:hint="eastAsia" w:ascii="宋体" w:hAnsi="宋体" w:eastAsia="宋体" w:cs="宋体"/>
          <w:color w:val="auto"/>
          <w:sz w:val="21"/>
          <w:szCs w:val="21"/>
          <w:highlight w:val="none"/>
          <w:lang w:val="en-US" w:eastAsia="zh-CN"/>
        </w:rPr>
        <w:t>技术需求</w:t>
      </w:r>
      <w:r>
        <w:rPr>
          <w:rFonts w:hint="default" w:ascii="宋体" w:hAnsi="宋体" w:eastAsia="宋体" w:cs="宋体"/>
          <w:color w:val="auto"/>
          <w:sz w:val="21"/>
          <w:szCs w:val="21"/>
          <w:highlight w:val="none"/>
        </w:rPr>
        <w:t>低于竞争性磋商文件要求时，竞标人应当如实写明“负偏离”，否则视为虚假应标</w:t>
      </w:r>
    </w:p>
    <w:p w14:paraId="59C14771">
      <w:pPr>
        <w:spacing w:line="360" w:lineRule="exact"/>
        <w:ind w:firstLine="420" w:firstLineChars="200"/>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3.表格内容均需按要求填写并盖章，不得留空，否则按竞标无效处理。</w:t>
      </w:r>
    </w:p>
    <w:p w14:paraId="416EBF6C">
      <w:pPr>
        <w:pStyle w:val="8"/>
        <w:spacing w:line="360" w:lineRule="exact"/>
        <w:ind w:firstLine="420" w:firstLineChars="200"/>
        <w:rPr>
          <w:rFonts w:hint="default"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r>
        <w:rPr>
          <w:rFonts w:hint="default" w:ascii="宋体" w:hAnsi="宋体" w:eastAsia="宋体" w:cs="宋体"/>
          <w:color w:val="auto"/>
          <w:sz w:val="21"/>
          <w:szCs w:val="21"/>
          <w:highlight w:val="none"/>
        </w:rPr>
        <w:t>.采购需求中带“▲”的条款，也要分别在本表“竞争性磋商文件采购需求”、“响应文件采购需求承诺”中标记，否则按竞标无效处理。</w:t>
      </w:r>
    </w:p>
    <w:p w14:paraId="1CACBD05">
      <w:pPr>
        <w:autoSpaceDE w:val="0"/>
        <w:autoSpaceDN w:val="0"/>
        <w:spacing w:line="360" w:lineRule="auto"/>
        <w:ind w:left="4335" w:leftChars="1950" w:hanging="240" w:hangingChars="100"/>
        <w:rPr>
          <w:rFonts w:hint="default" w:ascii="宋体" w:hAnsi="宋体" w:eastAsia="宋体" w:cs="宋体"/>
          <w:color w:val="auto"/>
          <w:kern w:val="0"/>
          <w:sz w:val="24"/>
          <w:szCs w:val="24"/>
          <w:highlight w:val="none"/>
        </w:rPr>
      </w:pPr>
    </w:p>
    <w:p w14:paraId="10F35B28">
      <w:pPr>
        <w:autoSpaceDE w:val="0"/>
        <w:autoSpaceDN w:val="0"/>
        <w:spacing w:line="360" w:lineRule="auto"/>
        <w:ind w:left="4335" w:leftChars="1950" w:hanging="240" w:hangingChars="100"/>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供应商名称（电子签章）：</w:t>
      </w:r>
    </w:p>
    <w:p w14:paraId="0AC82F5A">
      <w:pPr>
        <w:spacing w:line="500" w:lineRule="exact"/>
        <w:jc w:val="right"/>
        <w:rPr>
          <w:rFonts w:hint="default" w:ascii="宋体" w:hAnsi="宋体" w:eastAsia="宋体" w:cs="宋体"/>
          <w:b/>
          <w:color w:val="auto"/>
          <w:sz w:val="30"/>
          <w:szCs w:val="30"/>
          <w:highlight w:val="none"/>
        </w:rPr>
      </w:pPr>
      <w:r>
        <w:rPr>
          <w:rFonts w:hint="default" w:ascii="宋体" w:hAnsi="宋体" w:eastAsia="宋体" w:cs="宋体"/>
          <w:color w:val="auto"/>
          <w:kern w:val="0"/>
          <w:sz w:val="24"/>
          <w:szCs w:val="24"/>
          <w:highlight w:val="none"/>
          <w:lang w:val="zh-CN"/>
        </w:rPr>
        <w:t>日期：  年  月  日</w:t>
      </w:r>
    </w:p>
    <w:p w14:paraId="13126F90">
      <w:pPr>
        <w:keepNext w:val="0"/>
        <w:keepLines w:val="0"/>
        <w:pageBreakBefore/>
        <w:widowControl w:val="0"/>
        <w:kinsoku/>
        <w:wordWrap/>
        <w:overflowPunct/>
        <w:topLinePunct w:val="0"/>
        <w:autoSpaceDE/>
        <w:autoSpaceDN/>
        <w:bidi w:val="0"/>
        <w:adjustRightInd/>
        <w:snapToGrid/>
        <w:jc w:val="left"/>
        <w:textAlignment w:val="auto"/>
        <w:rPr>
          <w:rFonts w:hint="default" w:ascii="宋体" w:hAnsi="宋体" w:eastAsia="宋体" w:cs="宋体"/>
          <w:b/>
          <w:color w:val="auto"/>
          <w:sz w:val="32"/>
          <w:szCs w:val="24"/>
          <w:highlight w:val="none"/>
        </w:rPr>
      </w:pPr>
      <w:r>
        <w:rPr>
          <w:rFonts w:hint="default" w:ascii="宋体" w:hAnsi="宋体" w:eastAsia="宋体" w:cs="宋体"/>
          <w:b/>
          <w:color w:val="auto"/>
          <w:sz w:val="30"/>
          <w:szCs w:val="30"/>
          <w:highlight w:val="none"/>
        </w:rPr>
        <w:t>八、</w:t>
      </w:r>
      <w:r>
        <w:rPr>
          <w:rFonts w:hint="default" w:ascii="宋体" w:hAnsi="宋体" w:eastAsia="宋体" w:cs="宋体"/>
          <w:b/>
          <w:color w:val="auto"/>
          <w:sz w:val="32"/>
          <w:szCs w:val="24"/>
          <w:highlight w:val="none"/>
        </w:rPr>
        <w:t>项目经理简历表</w:t>
      </w:r>
    </w:p>
    <w:p w14:paraId="5827092A">
      <w:pPr>
        <w:jc w:val="center"/>
        <w:rPr>
          <w:rFonts w:hint="default" w:ascii="宋体" w:hAnsi="宋体" w:eastAsia="宋体" w:cs="宋体"/>
          <w:color w:val="auto"/>
          <w:sz w:val="21"/>
          <w:szCs w:val="24"/>
          <w:highlight w:val="none"/>
        </w:rPr>
      </w:pPr>
    </w:p>
    <w:tbl>
      <w:tblPr>
        <w:tblStyle w:val="1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1285"/>
        <w:gridCol w:w="1878"/>
        <w:gridCol w:w="1317"/>
        <w:gridCol w:w="1403"/>
        <w:gridCol w:w="1060"/>
        <w:gridCol w:w="1670"/>
      </w:tblGrid>
      <w:tr w14:paraId="34AFEB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0" w:hRule="exact"/>
          <w:jc w:val="center"/>
        </w:trPr>
        <w:tc>
          <w:tcPr>
            <w:tcW w:w="1285"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7A79C68F">
            <w:pPr>
              <w:jc w:val="center"/>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姓名</w:t>
            </w:r>
          </w:p>
        </w:tc>
        <w:tc>
          <w:tcPr>
            <w:tcW w:w="1878"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79D0D06C">
            <w:pPr>
              <w:jc w:val="center"/>
              <w:rPr>
                <w:rFonts w:hint="default" w:ascii="宋体" w:hAnsi="宋体" w:eastAsia="宋体" w:cs="宋体"/>
                <w:color w:val="auto"/>
                <w:sz w:val="24"/>
                <w:szCs w:val="24"/>
                <w:highlight w:val="none"/>
              </w:rPr>
            </w:pPr>
          </w:p>
        </w:tc>
        <w:tc>
          <w:tcPr>
            <w:tcW w:w="1317"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65F4835F">
            <w:pPr>
              <w:jc w:val="center"/>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性别</w:t>
            </w:r>
          </w:p>
        </w:tc>
        <w:tc>
          <w:tcPr>
            <w:tcW w:w="1403"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42B24470">
            <w:pPr>
              <w:jc w:val="center"/>
              <w:rPr>
                <w:rFonts w:hint="default" w:ascii="宋体" w:hAnsi="宋体" w:eastAsia="宋体" w:cs="宋体"/>
                <w:color w:val="auto"/>
                <w:sz w:val="24"/>
                <w:szCs w:val="24"/>
                <w:highlight w:val="none"/>
              </w:rPr>
            </w:pPr>
          </w:p>
        </w:tc>
        <w:tc>
          <w:tcPr>
            <w:tcW w:w="1060"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77978C7D">
            <w:pPr>
              <w:jc w:val="center"/>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年龄</w:t>
            </w:r>
          </w:p>
        </w:tc>
        <w:tc>
          <w:tcPr>
            <w:tcW w:w="1670"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34FE728C">
            <w:pPr>
              <w:jc w:val="center"/>
              <w:rPr>
                <w:rFonts w:hint="default" w:ascii="宋体" w:hAnsi="宋体" w:eastAsia="宋体" w:cs="宋体"/>
                <w:color w:val="auto"/>
                <w:sz w:val="24"/>
                <w:szCs w:val="24"/>
                <w:highlight w:val="none"/>
              </w:rPr>
            </w:pPr>
          </w:p>
        </w:tc>
      </w:tr>
      <w:tr w14:paraId="211A9A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0" w:hRule="exact"/>
          <w:jc w:val="center"/>
        </w:trPr>
        <w:tc>
          <w:tcPr>
            <w:tcW w:w="1285"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49DEC3F2">
            <w:pPr>
              <w:jc w:val="center"/>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职务</w:t>
            </w:r>
          </w:p>
        </w:tc>
        <w:tc>
          <w:tcPr>
            <w:tcW w:w="1878"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2F90B2DA">
            <w:pPr>
              <w:jc w:val="center"/>
              <w:rPr>
                <w:rFonts w:hint="default" w:ascii="宋体" w:hAnsi="宋体" w:eastAsia="宋体" w:cs="宋体"/>
                <w:color w:val="auto"/>
                <w:sz w:val="24"/>
                <w:szCs w:val="24"/>
                <w:highlight w:val="none"/>
              </w:rPr>
            </w:pPr>
          </w:p>
        </w:tc>
        <w:tc>
          <w:tcPr>
            <w:tcW w:w="1317"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12D2D83D">
            <w:pPr>
              <w:jc w:val="center"/>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职称</w:t>
            </w:r>
          </w:p>
        </w:tc>
        <w:tc>
          <w:tcPr>
            <w:tcW w:w="1403"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525B99A4">
            <w:pPr>
              <w:jc w:val="center"/>
              <w:rPr>
                <w:rFonts w:hint="default" w:ascii="宋体" w:hAnsi="宋体" w:eastAsia="宋体" w:cs="宋体"/>
                <w:color w:val="auto"/>
                <w:sz w:val="24"/>
                <w:szCs w:val="24"/>
                <w:highlight w:val="none"/>
              </w:rPr>
            </w:pPr>
          </w:p>
        </w:tc>
        <w:tc>
          <w:tcPr>
            <w:tcW w:w="1060"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1FB2ED5C">
            <w:pPr>
              <w:jc w:val="center"/>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学历</w:t>
            </w:r>
          </w:p>
        </w:tc>
        <w:tc>
          <w:tcPr>
            <w:tcW w:w="1670"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3BF4941C">
            <w:pPr>
              <w:jc w:val="center"/>
              <w:rPr>
                <w:rFonts w:hint="default" w:ascii="宋体" w:hAnsi="宋体" w:eastAsia="宋体" w:cs="宋体"/>
                <w:color w:val="auto"/>
                <w:sz w:val="24"/>
                <w:szCs w:val="24"/>
                <w:highlight w:val="none"/>
              </w:rPr>
            </w:pPr>
          </w:p>
        </w:tc>
      </w:tr>
      <w:tr w14:paraId="4DCF6D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1285"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505DE612">
            <w:pPr>
              <w:jc w:val="center"/>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参加工作时间</w:t>
            </w:r>
          </w:p>
        </w:tc>
        <w:tc>
          <w:tcPr>
            <w:tcW w:w="1878"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165C7A19">
            <w:pPr>
              <w:jc w:val="center"/>
              <w:rPr>
                <w:rFonts w:hint="default" w:ascii="宋体" w:hAnsi="宋体" w:eastAsia="宋体" w:cs="宋体"/>
                <w:color w:val="auto"/>
                <w:sz w:val="24"/>
                <w:szCs w:val="24"/>
                <w:highlight w:val="none"/>
              </w:rPr>
            </w:pPr>
          </w:p>
        </w:tc>
        <w:tc>
          <w:tcPr>
            <w:tcW w:w="1317"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3BE4D3A3">
            <w:pPr>
              <w:jc w:val="center"/>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从事项目经理（或建造师）年限</w:t>
            </w:r>
          </w:p>
        </w:tc>
        <w:tc>
          <w:tcPr>
            <w:tcW w:w="1403"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033FFBA4">
            <w:pPr>
              <w:jc w:val="center"/>
              <w:rPr>
                <w:rFonts w:hint="default" w:ascii="宋体" w:hAnsi="宋体" w:eastAsia="宋体" w:cs="宋体"/>
                <w:color w:val="auto"/>
                <w:sz w:val="24"/>
                <w:szCs w:val="24"/>
                <w:highlight w:val="none"/>
              </w:rPr>
            </w:pPr>
          </w:p>
        </w:tc>
        <w:tc>
          <w:tcPr>
            <w:tcW w:w="1060"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4BD75EE3">
            <w:pPr>
              <w:jc w:val="center"/>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资质等级</w:t>
            </w:r>
          </w:p>
        </w:tc>
        <w:tc>
          <w:tcPr>
            <w:tcW w:w="1670"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056439E3">
            <w:pPr>
              <w:jc w:val="center"/>
              <w:rPr>
                <w:rFonts w:hint="default" w:ascii="宋体" w:hAnsi="宋体" w:eastAsia="宋体" w:cs="宋体"/>
                <w:color w:val="auto"/>
                <w:sz w:val="24"/>
                <w:szCs w:val="24"/>
                <w:highlight w:val="none"/>
              </w:rPr>
            </w:pPr>
          </w:p>
        </w:tc>
      </w:tr>
      <w:tr w14:paraId="226D64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0" w:hRule="exact"/>
          <w:jc w:val="center"/>
        </w:trPr>
        <w:tc>
          <w:tcPr>
            <w:tcW w:w="4480" w:type="dxa"/>
            <w:gridSpan w:val="3"/>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0A2D0D15">
            <w:pPr>
              <w:jc w:val="center"/>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拟在本工程中担任的工作和职务</w:t>
            </w:r>
          </w:p>
        </w:tc>
        <w:tc>
          <w:tcPr>
            <w:tcW w:w="4133" w:type="dxa"/>
            <w:gridSpan w:val="3"/>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41CD20FF">
            <w:pPr>
              <w:jc w:val="center"/>
              <w:rPr>
                <w:rFonts w:hint="default" w:ascii="宋体" w:hAnsi="宋体" w:eastAsia="宋体" w:cs="宋体"/>
                <w:color w:val="auto"/>
                <w:sz w:val="24"/>
                <w:szCs w:val="24"/>
                <w:highlight w:val="none"/>
              </w:rPr>
            </w:pPr>
          </w:p>
        </w:tc>
      </w:tr>
      <w:tr w14:paraId="38EE68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0" w:hRule="atLeast"/>
          <w:jc w:val="center"/>
        </w:trPr>
        <w:tc>
          <w:tcPr>
            <w:tcW w:w="8613" w:type="dxa"/>
            <w:gridSpan w:val="6"/>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2FCB7256">
            <w:pPr>
              <w:jc w:val="center"/>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已 完 工 程 项 目 情 况</w:t>
            </w:r>
          </w:p>
        </w:tc>
      </w:tr>
      <w:tr w14:paraId="653184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55" w:hRule="exact"/>
          <w:jc w:val="center"/>
        </w:trPr>
        <w:tc>
          <w:tcPr>
            <w:tcW w:w="1285"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7BEFBA6B">
            <w:pPr>
              <w:jc w:val="center"/>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建设单位</w:t>
            </w:r>
          </w:p>
        </w:tc>
        <w:tc>
          <w:tcPr>
            <w:tcW w:w="1878"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1C14F2DB">
            <w:pPr>
              <w:jc w:val="center"/>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项目名称</w:t>
            </w:r>
          </w:p>
        </w:tc>
        <w:tc>
          <w:tcPr>
            <w:tcW w:w="1317"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5C6F79AA">
            <w:pPr>
              <w:jc w:val="center"/>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建筑规模</w:t>
            </w:r>
          </w:p>
        </w:tc>
        <w:tc>
          <w:tcPr>
            <w:tcW w:w="2463" w:type="dxa"/>
            <w:gridSpan w:val="2"/>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4939E2A9">
            <w:pPr>
              <w:jc w:val="center"/>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开竣工日期</w:t>
            </w:r>
          </w:p>
        </w:tc>
        <w:tc>
          <w:tcPr>
            <w:tcW w:w="1670"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1FDCDA40">
            <w:pPr>
              <w:jc w:val="center"/>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质量等级</w:t>
            </w:r>
          </w:p>
        </w:tc>
      </w:tr>
      <w:tr w14:paraId="3EEA2E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0" w:hRule="exact"/>
          <w:jc w:val="center"/>
        </w:trPr>
        <w:tc>
          <w:tcPr>
            <w:tcW w:w="1285"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7AF3C5FB">
            <w:pPr>
              <w:jc w:val="center"/>
              <w:rPr>
                <w:rFonts w:hint="default" w:ascii="宋体" w:hAnsi="宋体" w:eastAsia="宋体" w:cs="宋体"/>
                <w:color w:val="auto"/>
                <w:sz w:val="24"/>
                <w:szCs w:val="24"/>
                <w:highlight w:val="none"/>
              </w:rPr>
            </w:pPr>
          </w:p>
        </w:tc>
        <w:tc>
          <w:tcPr>
            <w:tcW w:w="1878"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7B1A4C79">
            <w:pPr>
              <w:jc w:val="center"/>
              <w:rPr>
                <w:rFonts w:hint="default" w:ascii="宋体" w:hAnsi="宋体" w:eastAsia="宋体" w:cs="宋体"/>
                <w:color w:val="auto"/>
                <w:sz w:val="24"/>
                <w:szCs w:val="24"/>
                <w:highlight w:val="none"/>
              </w:rPr>
            </w:pPr>
          </w:p>
        </w:tc>
        <w:tc>
          <w:tcPr>
            <w:tcW w:w="1317"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2C04E288">
            <w:pPr>
              <w:jc w:val="center"/>
              <w:rPr>
                <w:rFonts w:hint="default" w:ascii="宋体" w:hAnsi="宋体" w:eastAsia="宋体" w:cs="宋体"/>
                <w:color w:val="auto"/>
                <w:sz w:val="24"/>
                <w:szCs w:val="24"/>
                <w:highlight w:val="none"/>
              </w:rPr>
            </w:pPr>
          </w:p>
        </w:tc>
        <w:tc>
          <w:tcPr>
            <w:tcW w:w="2463" w:type="dxa"/>
            <w:gridSpan w:val="2"/>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41CB3FDD">
            <w:pPr>
              <w:jc w:val="center"/>
              <w:rPr>
                <w:rFonts w:hint="default" w:ascii="宋体" w:hAnsi="宋体" w:eastAsia="宋体" w:cs="宋体"/>
                <w:color w:val="auto"/>
                <w:sz w:val="24"/>
                <w:szCs w:val="24"/>
                <w:highlight w:val="none"/>
              </w:rPr>
            </w:pPr>
          </w:p>
        </w:tc>
        <w:tc>
          <w:tcPr>
            <w:tcW w:w="1670"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636B8C20">
            <w:pPr>
              <w:jc w:val="center"/>
              <w:rPr>
                <w:rFonts w:hint="default" w:ascii="宋体" w:hAnsi="宋体" w:eastAsia="宋体" w:cs="宋体"/>
                <w:color w:val="auto"/>
                <w:sz w:val="24"/>
                <w:szCs w:val="24"/>
                <w:highlight w:val="none"/>
              </w:rPr>
            </w:pPr>
          </w:p>
        </w:tc>
      </w:tr>
      <w:tr w14:paraId="77819A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0" w:hRule="exact"/>
          <w:jc w:val="center"/>
        </w:trPr>
        <w:tc>
          <w:tcPr>
            <w:tcW w:w="1285"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40E5B568">
            <w:pPr>
              <w:jc w:val="center"/>
              <w:rPr>
                <w:rFonts w:hint="default" w:ascii="宋体" w:hAnsi="宋体" w:eastAsia="宋体" w:cs="宋体"/>
                <w:color w:val="auto"/>
                <w:sz w:val="24"/>
                <w:szCs w:val="24"/>
                <w:highlight w:val="none"/>
              </w:rPr>
            </w:pPr>
          </w:p>
        </w:tc>
        <w:tc>
          <w:tcPr>
            <w:tcW w:w="1878"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6A3BF9DA">
            <w:pPr>
              <w:jc w:val="center"/>
              <w:rPr>
                <w:rFonts w:hint="default" w:ascii="宋体" w:hAnsi="宋体" w:eastAsia="宋体" w:cs="宋体"/>
                <w:color w:val="auto"/>
                <w:sz w:val="24"/>
                <w:szCs w:val="24"/>
                <w:highlight w:val="none"/>
              </w:rPr>
            </w:pPr>
          </w:p>
        </w:tc>
        <w:tc>
          <w:tcPr>
            <w:tcW w:w="1317"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6E936A0D">
            <w:pPr>
              <w:jc w:val="center"/>
              <w:rPr>
                <w:rFonts w:hint="default" w:ascii="宋体" w:hAnsi="宋体" w:eastAsia="宋体" w:cs="宋体"/>
                <w:color w:val="auto"/>
                <w:sz w:val="24"/>
                <w:szCs w:val="24"/>
                <w:highlight w:val="none"/>
              </w:rPr>
            </w:pPr>
          </w:p>
        </w:tc>
        <w:tc>
          <w:tcPr>
            <w:tcW w:w="2463" w:type="dxa"/>
            <w:gridSpan w:val="2"/>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2C904541">
            <w:pPr>
              <w:jc w:val="center"/>
              <w:rPr>
                <w:rFonts w:hint="default" w:ascii="宋体" w:hAnsi="宋体" w:eastAsia="宋体" w:cs="宋体"/>
                <w:color w:val="auto"/>
                <w:sz w:val="24"/>
                <w:szCs w:val="24"/>
                <w:highlight w:val="none"/>
              </w:rPr>
            </w:pPr>
          </w:p>
        </w:tc>
        <w:tc>
          <w:tcPr>
            <w:tcW w:w="1670"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316A8123">
            <w:pPr>
              <w:jc w:val="center"/>
              <w:rPr>
                <w:rFonts w:hint="default" w:ascii="宋体" w:hAnsi="宋体" w:eastAsia="宋体" w:cs="宋体"/>
                <w:color w:val="auto"/>
                <w:sz w:val="24"/>
                <w:szCs w:val="24"/>
                <w:highlight w:val="none"/>
              </w:rPr>
            </w:pPr>
          </w:p>
        </w:tc>
      </w:tr>
      <w:tr w14:paraId="2C7400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0" w:hRule="exact"/>
          <w:jc w:val="center"/>
        </w:trPr>
        <w:tc>
          <w:tcPr>
            <w:tcW w:w="1285"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6DC62649">
            <w:pPr>
              <w:jc w:val="center"/>
              <w:rPr>
                <w:rFonts w:hint="default" w:ascii="宋体" w:hAnsi="宋体" w:eastAsia="宋体" w:cs="宋体"/>
                <w:color w:val="auto"/>
                <w:sz w:val="24"/>
                <w:szCs w:val="24"/>
                <w:highlight w:val="none"/>
              </w:rPr>
            </w:pPr>
          </w:p>
        </w:tc>
        <w:tc>
          <w:tcPr>
            <w:tcW w:w="1878"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63E21523">
            <w:pPr>
              <w:jc w:val="center"/>
              <w:rPr>
                <w:rFonts w:hint="default" w:ascii="宋体" w:hAnsi="宋体" w:eastAsia="宋体" w:cs="宋体"/>
                <w:color w:val="auto"/>
                <w:sz w:val="24"/>
                <w:szCs w:val="24"/>
                <w:highlight w:val="none"/>
              </w:rPr>
            </w:pPr>
          </w:p>
        </w:tc>
        <w:tc>
          <w:tcPr>
            <w:tcW w:w="1317"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685A8687">
            <w:pPr>
              <w:jc w:val="center"/>
              <w:rPr>
                <w:rFonts w:hint="default" w:ascii="宋体" w:hAnsi="宋体" w:eastAsia="宋体" w:cs="宋体"/>
                <w:color w:val="auto"/>
                <w:sz w:val="24"/>
                <w:szCs w:val="24"/>
                <w:highlight w:val="none"/>
              </w:rPr>
            </w:pPr>
          </w:p>
        </w:tc>
        <w:tc>
          <w:tcPr>
            <w:tcW w:w="2463" w:type="dxa"/>
            <w:gridSpan w:val="2"/>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2A9D02A6">
            <w:pPr>
              <w:jc w:val="center"/>
              <w:rPr>
                <w:rFonts w:hint="default" w:ascii="宋体" w:hAnsi="宋体" w:eastAsia="宋体" w:cs="宋体"/>
                <w:color w:val="auto"/>
                <w:sz w:val="24"/>
                <w:szCs w:val="24"/>
                <w:highlight w:val="none"/>
              </w:rPr>
            </w:pPr>
          </w:p>
        </w:tc>
        <w:tc>
          <w:tcPr>
            <w:tcW w:w="1670"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6560D0F4">
            <w:pPr>
              <w:jc w:val="center"/>
              <w:rPr>
                <w:rFonts w:hint="default" w:ascii="宋体" w:hAnsi="宋体" w:eastAsia="宋体" w:cs="宋体"/>
                <w:color w:val="auto"/>
                <w:sz w:val="24"/>
                <w:szCs w:val="24"/>
                <w:highlight w:val="none"/>
              </w:rPr>
            </w:pPr>
          </w:p>
        </w:tc>
      </w:tr>
      <w:tr w14:paraId="7B9A1C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0" w:hRule="exact"/>
          <w:jc w:val="center"/>
        </w:trPr>
        <w:tc>
          <w:tcPr>
            <w:tcW w:w="1285"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4A8E2868">
            <w:pPr>
              <w:jc w:val="center"/>
              <w:rPr>
                <w:rFonts w:hint="default" w:ascii="宋体" w:hAnsi="宋体" w:eastAsia="宋体" w:cs="宋体"/>
                <w:color w:val="auto"/>
                <w:sz w:val="24"/>
                <w:szCs w:val="24"/>
                <w:highlight w:val="none"/>
              </w:rPr>
            </w:pPr>
          </w:p>
        </w:tc>
        <w:tc>
          <w:tcPr>
            <w:tcW w:w="1878"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5C771711">
            <w:pPr>
              <w:jc w:val="center"/>
              <w:rPr>
                <w:rFonts w:hint="default" w:ascii="宋体" w:hAnsi="宋体" w:eastAsia="宋体" w:cs="宋体"/>
                <w:color w:val="auto"/>
                <w:sz w:val="24"/>
                <w:szCs w:val="24"/>
                <w:highlight w:val="none"/>
              </w:rPr>
            </w:pPr>
          </w:p>
        </w:tc>
        <w:tc>
          <w:tcPr>
            <w:tcW w:w="1317"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2FC941A9">
            <w:pPr>
              <w:jc w:val="center"/>
              <w:rPr>
                <w:rFonts w:hint="default" w:ascii="宋体" w:hAnsi="宋体" w:eastAsia="宋体" w:cs="宋体"/>
                <w:color w:val="auto"/>
                <w:sz w:val="24"/>
                <w:szCs w:val="24"/>
                <w:highlight w:val="none"/>
              </w:rPr>
            </w:pPr>
          </w:p>
        </w:tc>
        <w:tc>
          <w:tcPr>
            <w:tcW w:w="2463" w:type="dxa"/>
            <w:gridSpan w:val="2"/>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1C8DAAFB">
            <w:pPr>
              <w:jc w:val="center"/>
              <w:rPr>
                <w:rFonts w:hint="default" w:ascii="宋体" w:hAnsi="宋体" w:eastAsia="宋体" w:cs="宋体"/>
                <w:color w:val="auto"/>
                <w:sz w:val="24"/>
                <w:szCs w:val="24"/>
                <w:highlight w:val="none"/>
              </w:rPr>
            </w:pPr>
          </w:p>
        </w:tc>
        <w:tc>
          <w:tcPr>
            <w:tcW w:w="1670"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16056BE7">
            <w:pPr>
              <w:jc w:val="center"/>
              <w:rPr>
                <w:rFonts w:hint="default" w:ascii="宋体" w:hAnsi="宋体" w:eastAsia="宋体" w:cs="宋体"/>
                <w:color w:val="auto"/>
                <w:sz w:val="24"/>
                <w:szCs w:val="24"/>
                <w:highlight w:val="none"/>
              </w:rPr>
            </w:pPr>
          </w:p>
        </w:tc>
      </w:tr>
      <w:tr w14:paraId="331ADD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0" w:hRule="exact"/>
          <w:jc w:val="center"/>
        </w:trPr>
        <w:tc>
          <w:tcPr>
            <w:tcW w:w="1285"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651B8B23">
            <w:pPr>
              <w:jc w:val="center"/>
              <w:rPr>
                <w:rFonts w:hint="default" w:ascii="宋体" w:hAnsi="宋体" w:eastAsia="宋体" w:cs="宋体"/>
                <w:color w:val="auto"/>
                <w:sz w:val="24"/>
                <w:szCs w:val="24"/>
                <w:highlight w:val="none"/>
              </w:rPr>
            </w:pPr>
          </w:p>
        </w:tc>
        <w:tc>
          <w:tcPr>
            <w:tcW w:w="1878"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4212367F">
            <w:pPr>
              <w:jc w:val="center"/>
              <w:rPr>
                <w:rFonts w:hint="default" w:ascii="宋体" w:hAnsi="宋体" w:eastAsia="宋体" w:cs="宋体"/>
                <w:color w:val="auto"/>
                <w:sz w:val="24"/>
                <w:szCs w:val="24"/>
                <w:highlight w:val="none"/>
              </w:rPr>
            </w:pPr>
          </w:p>
        </w:tc>
        <w:tc>
          <w:tcPr>
            <w:tcW w:w="1317"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0930C5D0">
            <w:pPr>
              <w:jc w:val="center"/>
              <w:rPr>
                <w:rFonts w:hint="default" w:ascii="宋体" w:hAnsi="宋体" w:eastAsia="宋体" w:cs="宋体"/>
                <w:color w:val="auto"/>
                <w:sz w:val="24"/>
                <w:szCs w:val="24"/>
                <w:highlight w:val="none"/>
              </w:rPr>
            </w:pPr>
          </w:p>
        </w:tc>
        <w:tc>
          <w:tcPr>
            <w:tcW w:w="2463" w:type="dxa"/>
            <w:gridSpan w:val="2"/>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0066FDCE">
            <w:pPr>
              <w:jc w:val="center"/>
              <w:rPr>
                <w:rFonts w:hint="default" w:ascii="宋体" w:hAnsi="宋体" w:eastAsia="宋体" w:cs="宋体"/>
                <w:color w:val="auto"/>
                <w:sz w:val="24"/>
                <w:szCs w:val="24"/>
                <w:highlight w:val="none"/>
              </w:rPr>
            </w:pPr>
          </w:p>
        </w:tc>
        <w:tc>
          <w:tcPr>
            <w:tcW w:w="1670"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4CEA5E00">
            <w:pPr>
              <w:jc w:val="center"/>
              <w:rPr>
                <w:rFonts w:hint="default" w:ascii="宋体" w:hAnsi="宋体" w:eastAsia="宋体" w:cs="宋体"/>
                <w:color w:val="auto"/>
                <w:sz w:val="24"/>
                <w:szCs w:val="24"/>
                <w:highlight w:val="none"/>
              </w:rPr>
            </w:pPr>
          </w:p>
        </w:tc>
      </w:tr>
      <w:tr w14:paraId="07A532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0" w:hRule="exact"/>
          <w:jc w:val="center"/>
        </w:trPr>
        <w:tc>
          <w:tcPr>
            <w:tcW w:w="1285"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124302DB">
            <w:pPr>
              <w:jc w:val="center"/>
              <w:rPr>
                <w:rFonts w:hint="default" w:ascii="宋体" w:hAnsi="宋体" w:eastAsia="宋体" w:cs="宋体"/>
                <w:color w:val="auto"/>
                <w:sz w:val="24"/>
                <w:szCs w:val="24"/>
                <w:highlight w:val="none"/>
              </w:rPr>
            </w:pPr>
          </w:p>
        </w:tc>
        <w:tc>
          <w:tcPr>
            <w:tcW w:w="1878"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7D70BBAA">
            <w:pPr>
              <w:jc w:val="center"/>
              <w:rPr>
                <w:rFonts w:hint="default" w:ascii="宋体" w:hAnsi="宋体" w:eastAsia="宋体" w:cs="宋体"/>
                <w:color w:val="auto"/>
                <w:sz w:val="24"/>
                <w:szCs w:val="24"/>
                <w:highlight w:val="none"/>
              </w:rPr>
            </w:pPr>
          </w:p>
        </w:tc>
        <w:tc>
          <w:tcPr>
            <w:tcW w:w="1317"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6C0CCF9C">
            <w:pPr>
              <w:jc w:val="center"/>
              <w:rPr>
                <w:rFonts w:hint="default" w:ascii="宋体" w:hAnsi="宋体" w:eastAsia="宋体" w:cs="宋体"/>
                <w:color w:val="auto"/>
                <w:sz w:val="24"/>
                <w:szCs w:val="24"/>
                <w:highlight w:val="none"/>
              </w:rPr>
            </w:pPr>
          </w:p>
        </w:tc>
        <w:tc>
          <w:tcPr>
            <w:tcW w:w="2463" w:type="dxa"/>
            <w:gridSpan w:val="2"/>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765E05F3">
            <w:pPr>
              <w:jc w:val="center"/>
              <w:rPr>
                <w:rFonts w:hint="default" w:ascii="宋体" w:hAnsi="宋体" w:eastAsia="宋体" w:cs="宋体"/>
                <w:color w:val="auto"/>
                <w:sz w:val="24"/>
                <w:szCs w:val="24"/>
                <w:highlight w:val="none"/>
              </w:rPr>
            </w:pPr>
          </w:p>
        </w:tc>
        <w:tc>
          <w:tcPr>
            <w:tcW w:w="1670"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3C58CACA">
            <w:pPr>
              <w:jc w:val="center"/>
              <w:rPr>
                <w:rFonts w:hint="default" w:ascii="宋体" w:hAnsi="宋体" w:eastAsia="宋体" w:cs="宋体"/>
                <w:color w:val="auto"/>
                <w:sz w:val="24"/>
                <w:szCs w:val="24"/>
                <w:highlight w:val="none"/>
              </w:rPr>
            </w:pPr>
          </w:p>
        </w:tc>
      </w:tr>
      <w:tr w14:paraId="368263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0" w:hRule="exact"/>
          <w:jc w:val="center"/>
        </w:trPr>
        <w:tc>
          <w:tcPr>
            <w:tcW w:w="1285"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383AE39E">
            <w:pPr>
              <w:jc w:val="center"/>
              <w:rPr>
                <w:rFonts w:hint="default" w:ascii="宋体" w:hAnsi="宋体" w:eastAsia="宋体" w:cs="宋体"/>
                <w:color w:val="auto"/>
                <w:sz w:val="24"/>
                <w:szCs w:val="24"/>
                <w:highlight w:val="none"/>
              </w:rPr>
            </w:pPr>
          </w:p>
        </w:tc>
        <w:tc>
          <w:tcPr>
            <w:tcW w:w="1878"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268875E7">
            <w:pPr>
              <w:jc w:val="center"/>
              <w:rPr>
                <w:rFonts w:hint="default" w:ascii="宋体" w:hAnsi="宋体" w:eastAsia="宋体" w:cs="宋体"/>
                <w:color w:val="auto"/>
                <w:sz w:val="24"/>
                <w:szCs w:val="24"/>
                <w:highlight w:val="none"/>
              </w:rPr>
            </w:pPr>
          </w:p>
        </w:tc>
        <w:tc>
          <w:tcPr>
            <w:tcW w:w="1317"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14EA5F33">
            <w:pPr>
              <w:jc w:val="center"/>
              <w:rPr>
                <w:rFonts w:hint="default" w:ascii="宋体" w:hAnsi="宋体" w:eastAsia="宋体" w:cs="宋体"/>
                <w:color w:val="auto"/>
                <w:sz w:val="24"/>
                <w:szCs w:val="24"/>
                <w:highlight w:val="none"/>
              </w:rPr>
            </w:pPr>
          </w:p>
        </w:tc>
        <w:tc>
          <w:tcPr>
            <w:tcW w:w="2463" w:type="dxa"/>
            <w:gridSpan w:val="2"/>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685E6E61">
            <w:pPr>
              <w:jc w:val="center"/>
              <w:rPr>
                <w:rFonts w:hint="default" w:ascii="宋体" w:hAnsi="宋体" w:eastAsia="宋体" w:cs="宋体"/>
                <w:color w:val="auto"/>
                <w:sz w:val="24"/>
                <w:szCs w:val="24"/>
                <w:highlight w:val="none"/>
              </w:rPr>
            </w:pPr>
          </w:p>
        </w:tc>
        <w:tc>
          <w:tcPr>
            <w:tcW w:w="1670"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37342171">
            <w:pPr>
              <w:jc w:val="center"/>
              <w:rPr>
                <w:rFonts w:hint="default" w:ascii="宋体" w:hAnsi="宋体" w:eastAsia="宋体" w:cs="宋体"/>
                <w:color w:val="auto"/>
                <w:sz w:val="24"/>
                <w:szCs w:val="24"/>
                <w:highlight w:val="none"/>
              </w:rPr>
            </w:pPr>
          </w:p>
        </w:tc>
      </w:tr>
      <w:tr w14:paraId="61683F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0" w:hRule="exact"/>
          <w:jc w:val="center"/>
        </w:trPr>
        <w:tc>
          <w:tcPr>
            <w:tcW w:w="1285"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44370FA6">
            <w:pPr>
              <w:jc w:val="center"/>
              <w:rPr>
                <w:rFonts w:hint="default" w:ascii="宋体" w:hAnsi="宋体" w:eastAsia="宋体" w:cs="宋体"/>
                <w:color w:val="auto"/>
                <w:sz w:val="24"/>
                <w:szCs w:val="24"/>
                <w:highlight w:val="none"/>
              </w:rPr>
            </w:pPr>
          </w:p>
        </w:tc>
        <w:tc>
          <w:tcPr>
            <w:tcW w:w="1878"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68DF0C8E">
            <w:pPr>
              <w:jc w:val="center"/>
              <w:rPr>
                <w:rFonts w:hint="default" w:ascii="宋体" w:hAnsi="宋体" w:eastAsia="宋体" w:cs="宋体"/>
                <w:color w:val="auto"/>
                <w:sz w:val="24"/>
                <w:szCs w:val="24"/>
                <w:highlight w:val="none"/>
              </w:rPr>
            </w:pPr>
          </w:p>
        </w:tc>
        <w:tc>
          <w:tcPr>
            <w:tcW w:w="1317"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7C50EEA0">
            <w:pPr>
              <w:jc w:val="center"/>
              <w:rPr>
                <w:rFonts w:hint="default" w:ascii="宋体" w:hAnsi="宋体" w:eastAsia="宋体" w:cs="宋体"/>
                <w:color w:val="auto"/>
                <w:sz w:val="24"/>
                <w:szCs w:val="24"/>
                <w:highlight w:val="none"/>
              </w:rPr>
            </w:pPr>
          </w:p>
        </w:tc>
        <w:tc>
          <w:tcPr>
            <w:tcW w:w="2463" w:type="dxa"/>
            <w:gridSpan w:val="2"/>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7EDDC808">
            <w:pPr>
              <w:jc w:val="center"/>
              <w:rPr>
                <w:rFonts w:hint="default" w:ascii="宋体" w:hAnsi="宋体" w:eastAsia="宋体" w:cs="宋体"/>
                <w:color w:val="auto"/>
                <w:sz w:val="24"/>
                <w:szCs w:val="24"/>
                <w:highlight w:val="none"/>
              </w:rPr>
            </w:pPr>
          </w:p>
        </w:tc>
        <w:tc>
          <w:tcPr>
            <w:tcW w:w="1670"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4C46DCD9">
            <w:pPr>
              <w:jc w:val="center"/>
              <w:rPr>
                <w:rFonts w:hint="default" w:ascii="宋体" w:hAnsi="宋体" w:eastAsia="宋体" w:cs="宋体"/>
                <w:color w:val="auto"/>
                <w:sz w:val="24"/>
                <w:szCs w:val="24"/>
                <w:highlight w:val="none"/>
              </w:rPr>
            </w:pPr>
          </w:p>
        </w:tc>
      </w:tr>
      <w:tr w14:paraId="1307E8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0" w:hRule="exact"/>
          <w:jc w:val="center"/>
        </w:trPr>
        <w:tc>
          <w:tcPr>
            <w:tcW w:w="1285"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1582A051">
            <w:pPr>
              <w:jc w:val="center"/>
              <w:rPr>
                <w:rFonts w:hint="default" w:ascii="宋体" w:hAnsi="宋体" w:eastAsia="宋体" w:cs="宋体"/>
                <w:color w:val="auto"/>
                <w:sz w:val="24"/>
                <w:szCs w:val="24"/>
                <w:highlight w:val="none"/>
              </w:rPr>
            </w:pPr>
          </w:p>
        </w:tc>
        <w:tc>
          <w:tcPr>
            <w:tcW w:w="1878"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1B02A0D5">
            <w:pPr>
              <w:jc w:val="center"/>
              <w:rPr>
                <w:rFonts w:hint="default" w:ascii="宋体" w:hAnsi="宋体" w:eastAsia="宋体" w:cs="宋体"/>
                <w:color w:val="auto"/>
                <w:sz w:val="24"/>
                <w:szCs w:val="24"/>
                <w:highlight w:val="none"/>
              </w:rPr>
            </w:pPr>
          </w:p>
        </w:tc>
        <w:tc>
          <w:tcPr>
            <w:tcW w:w="1317"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1A4A8330">
            <w:pPr>
              <w:jc w:val="center"/>
              <w:rPr>
                <w:rFonts w:hint="default" w:ascii="宋体" w:hAnsi="宋体" w:eastAsia="宋体" w:cs="宋体"/>
                <w:color w:val="auto"/>
                <w:sz w:val="24"/>
                <w:szCs w:val="24"/>
                <w:highlight w:val="none"/>
              </w:rPr>
            </w:pPr>
          </w:p>
        </w:tc>
        <w:tc>
          <w:tcPr>
            <w:tcW w:w="2463" w:type="dxa"/>
            <w:gridSpan w:val="2"/>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1C4E6F4B">
            <w:pPr>
              <w:jc w:val="center"/>
              <w:rPr>
                <w:rFonts w:hint="default" w:ascii="宋体" w:hAnsi="宋体" w:eastAsia="宋体" w:cs="宋体"/>
                <w:color w:val="auto"/>
                <w:sz w:val="24"/>
                <w:szCs w:val="24"/>
                <w:highlight w:val="none"/>
              </w:rPr>
            </w:pPr>
          </w:p>
        </w:tc>
        <w:tc>
          <w:tcPr>
            <w:tcW w:w="1670"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18923EC1">
            <w:pPr>
              <w:jc w:val="center"/>
              <w:rPr>
                <w:rFonts w:hint="default" w:ascii="宋体" w:hAnsi="宋体" w:eastAsia="宋体" w:cs="宋体"/>
                <w:color w:val="auto"/>
                <w:sz w:val="24"/>
                <w:szCs w:val="24"/>
                <w:highlight w:val="none"/>
              </w:rPr>
            </w:pPr>
          </w:p>
        </w:tc>
      </w:tr>
      <w:tr w14:paraId="249349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0" w:hRule="exact"/>
          <w:jc w:val="center"/>
        </w:trPr>
        <w:tc>
          <w:tcPr>
            <w:tcW w:w="1285"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430A5466">
            <w:pPr>
              <w:jc w:val="center"/>
              <w:rPr>
                <w:rFonts w:hint="default" w:ascii="宋体" w:hAnsi="宋体" w:eastAsia="宋体" w:cs="宋体"/>
                <w:color w:val="auto"/>
                <w:sz w:val="24"/>
                <w:szCs w:val="24"/>
                <w:highlight w:val="none"/>
              </w:rPr>
            </w:pPr>
          </w:p>
        </w:tc>
        <w:tc>
          <w:tcPr>
            <w:tcW w:w="1878"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12BC0A21">
            <w:pPr>
              <w:jc w:val="center"/>
              <w:rPr>
                <w:rFonts w:hint="default" w:ascii="宋体" w:hAnsi="宋体" w:eastAsia="宋体" w:cs="宋体"/>
                <w:color w:val="auto"/>
                <w:sz w:val="24"/>
                <w:szCs w:val="24"/>
                <w:highlight w:val="none"/>
              </w:rPr>
            </w:pPr>
          </w:p>
        </w:tc>
        <w:tc>
          <w:tcPr>
            <w:tcW w:w="1317"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65C544D9">
            <w:pPr>
              <w:jc w:val="center"/>
              <w:rPr>
                <w:rFonts w:hint="default" w:ascii="宋体" w:hAnsi="宋体" w:eastAsia="宋体" w:cs="宋体"/>
                <w:color w:val="auto"/>
                <w:sz w:val="24"/>
                <w:szCs w:val="24"/>
                <w:highlight w:val="none"/>
              </w:rPr>
            </w:pPr>
          </w:p>
        </w:tc>
        <w:tc>
          <w:tcPr>
            <w:tcW w:w="2463" w:type="dxa"/>
            <w:gridSpan w:val="2"/>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607FE254">
            <w:pPr>
              <w:jc w:val="center"/>
              <w:rPr>
                <w:rFonts w:hint="default" w:ascii="宋体" w:hAnsi="宋体" w:eastAsia="宋体" w:cs="宋体"/>
                <w:color w:val="auto"/>
                <w:sz w:val="24"/>
                <w:szCs w:val="24"/>
                <w:highlight w:val="none"/>
              </w:rPr>
            </w:pPr>
          </w:p>
        </w:tc>
        <w:tc>
          <w:tcPr>
            <w:tcW w:w="1670"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24883140">
            <w:pPr>
              <w:jc w:val="center"/>
              <w:rPr>
                <w:rFonts w:hint="default" w:ascii="宋体" w:hAnsi="宋体" w:eastAsia="宋体" w:cs="宋体"/>
                <w:color w:val="auto"/>
                <w:sz w:val="24"/>
                <w:szCs w:val="24"/>
                <w:highlight w:val="none"/>
              </w:rPr>
            </w:pPr>
          </w:p>
        </w:tc>
      </w:tr>
      <w:tr w14:paraId="477C2D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0" w:hRule="exact"/>
          <w:jc w:val="center"/>
        </w:trPr>
        <w:tc>
          <w:tcPr>
            <w:tcW w:w="1285"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3A3D575E">
            <w:pPr>
              <w:jc w:val="center"/>
              <w:rPr>
                <w:rFonts w:hint="default" w:ascii="宋体" w:hAnsi="宋体" w:eastAsia="宋体" w:cs="宋体"/>
                <w:color w:val="auto"/>
                <w:sz w:val="24"/>
                <w:szCs w:val="24"/>
                <w:highlight w:val="none"/>
              </w:rPr>
            </w:pPr>
          </w:p>
        </w:tc>
        <w:tc>
          <w:tcPr>
            <w:tcW w:w="1878"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73173500">
            <w:pPr>
              <w:jc w:val="center"/>
              <w:rPr>
                <w:rFonts w:hint="default" w:ascii="宋体" w:hAnsi="宋体" w:eastAsia="宋体" w:cs="宋体"/>
                <w:color w:val="auto"/>
                <w:sz w:val="24"/>
                <w:szCs w:val="24"/>
                <w:highlight w:val="none"/>
              </w:rPr>
            </w:pPr>
          </w:p>
        </w:tc>
        <w:tc>
          <w:tcPr>
            <w:tcW w:w="1317"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72BF03DE">
            <w:pPr>
              <w:jc w:val="center"/>
              <w:rPr>
                <w:rFonts w:hint="default" w:ascii="宋体" w:hAnsi="宋体" w:eastAsia="宋体" w:cs="宋体"/>
                <w:color w:val="auto"/>
                <w:sz w:val="24"/>
                <w:szCs w:val="24"/>
                <w:highlight w:val="none"/>
              </w:rPr>
            </w:pPr>
          </w:p>
        </w:tc>
        <w:tc>
          <w:tcPr>
            <w:tcW w:w="2463" w:type="dxa"/>
            <w:gridSpan w:val="2"/>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7B269E5C">
            <w:pPr>
              <w:jc w:val="center"/>
              <w:rPr>
                <w:rFonts w:hint="default" w:ascii="宋体" w:hAnsi="宋体" w:eastAsia="宋体" w:cs="宋体"/>
                <w:color w:val="auto"/>
                <w:sz w:val="24"/>
                <w:szCs w:val="24"/>
                <w:highlight w:val="none"/>
              </w:rPr>
            </w:pPr>
          </w:p>
        </w:tc>
        <w:tc>
          <w:tcPr>
            <w:tcW w:w="1670"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726B9DF9">
            <w:pPr>
              <w:jc w:val="center"/>
              <w:rPr>
                <w:rFonts w:hint="default" w:ascii="宋体" w:hAnsi="宋体" w:eastAsia="宋体" w:cs="宋体"/>
                <w:color w:val="auto"/>
                <w:sz w:val="24"/>
                <w:szCs w:val="24"/>
                <w:highlight w:val="none"/>
              </w:rPr>
            </w:pPr>
          </w:p>
        </w:tc>
      </w:tr>
      <w:tr w14:paraId="6C7490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0" w:hRule="exact"/>
          <w:jc w:val="center"/>
        </w:trPr>
        <w:tc>
          <w:tcPr>
            <w:tcW w:w="1285"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173DF2F9">
            <w:pPr>
              <w:jc w:val="center"/>
              <w:rPr>
                <w:rFonts w:hint="default" w:ascii="宋体" w:hAnsi="宋体" w:eastAsia="宋体" w:cs="宋体"/>
                <w:color w:val="auto"/>
                <w:sz w:val="24"/>
                <w:szCs w:val="24"/>
                <w:highlight w:val="none"/>
              </w:rPr>
            </w:pPr>
          </w:p>
        </w:tc>
        <w:tc>
          <w:tcPr>
            <w:tcW w:w="1878"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4FFC09C3">
            <w:pPr>
              <w:jc w:val="center"/>
              <w:rPr>
                <w:rFonts w:hint="default" w:ascii="宋体" w:hAnsi="宋体" w:eastAsia="宋体" w:cs="宋体"/>
                <w:color w:val="auto"/>
                <w:sz w:val="24"/>
                <w:szCs w:val="24"/>
                <w:highlight w:val="none"/>
              </w:rPr>
            </w:pPr>
          </w:p>
        </w:tc>
        <w:tc>
          <w:tcPr>
            <w:tcW w:w="1317"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75BC0902">
            <w:pPr>
              <w:jc w:val="center"/>
              <w:rPr>
                <w:rFonts w:hint="default" w:ascii="宋体" w:hAnsi="宋体" w:eastAsia="宋体" w:cs="宋体"/>
                <w:color w:val="auto"/>
                <w:sz w:val="24"/>
                <w:szCs w:val="24"/>
                <w:highlight w:val="none"/>
              </w:rPr>
            </w:pPr>
          </w:p>
        </w:tc>
        <w:tc>
          <w:tcPr>
            <w:tcW w:w="2463" w:type="dxa"/>
            <w:gridSpan w:val="2"/>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0DDED5D0">
            <w:pPr>
              <w:jc w:val="center"/>
              <w:rPr>
                <w:rFonts w:hint="default" w:ascii="宋体" w:hAnsi="宋体" w:eastAsia="宋体" w:cs="宋体"/>
                <w:color w:val="auto"/>
                <w:sz w:val="24"/>
                <w:szCs w:val="24"/>
                <w:highlight w:val="none"/>
              </w:rPr>
            </w:pPr>
          </w:p>
        </w:tc>
        <w:tc>
          <w:tcPr>
            <w:tcW w:w="1670"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5BB2D8ED">
            <w:pPr>
              <w:jc w:val="center"/>
              <w:rPr>
                <w:rFonts w:hint="default" w:ascii="宋体" w:hAnsi="宋体" w:eastAsia="宋体" w:cs="宋体"/>
                <w:color w:val="auto"/>
                <w:sz w:val="24"/>
                <w:szCs w:val="24"/>
                <w:highlight w:val="none"/>
              </w:rPr>
            </w:pPr>
          </w:p>
        </w:tc>
      </w:tr>
    </w:tbl>
    <w:p w14:paraId="7EA04919">
      <w:pPr>
        <w:rPr>
          <w:rFonts w:hint="default" w:ascii="宋体" w:hAnsi="宋体" w:eastAsia="宋体" w:cs="宋体"/>
          <w:color w:val="auto"/>
          <w:sz w:val="21"/>
          <w:szCs w:val="20"/>
          <w:highlight w:val="none"/>
        </w:rPr>
      </w:pPr>
    </w:p>
    <w:p w14:paraId="045C69E2">
      <w:pPr>
        <w:rPr>
          <w:rFonts w:hint="default" w:ascii="宋体" w:hAnsi="宋体" w:eastAsia="宋体" w:cs="宋体"/>
          <w:b/>
          <w:color w:val="auto"/>
          <w:sz w:val="21"/>
          <w:szCs w:val="24"/>
          <w:highlight w:val="none"/>
        </w:rPr>
      </w:pPr>
      <w:r>
        <w:rPr>
          <w:rFonts w:hint="default" w:ascii="宋体" w:hAnsi="宋体" w:eastAsia="宋体" w:cs="宋体"/>
          <w:color w:val="auto"/>
          <w:sz w:val="21"/>
          <w:szCs w:val="24"/>
          <w:highlight w:val="none"/>
        </w:rPr>
        <w:t xml:space="preserve"> </w:t>
      </w:r>
      <w:r>
        <w:rPr>
          <w:rFonts w:hint="default" w:ascii="宋体" w:hAnsi="宋体" w:eastAsia="宋体" w:cs="宋体"/>
          <w:b/>
          <w:color w:val="auto"/>
          <w:sz w:val="21"/>
          <w:szCs w:val="24"/>
          <w:highlight w:val="none"/>
        </w:rPr>
        <w:t>备注：1. 附以上人员的资格证件等相关证明材料扫描件，以及供应商认为需要增加的其他证明材料扫描件，以上扫描件均须加盖供应商电子签章。</w:t>
      </w:r>
    </w:p>
    <w:p w14:paraId="7C641177">
      <w:pPr>
        <w:rPr>
          <w:rFonts w:hint="default" w:ascii="宋体" w:hAnsi="宋体" w:eastAsia="宋体" w:cs="宋体"/>
          <w:b/>
          <w:color w:val="auto"/>
          <w:sz w:val="21"/>
          <w:szCs w:val="24"/>
          <w:highlight w:val="none"/>
        </w:rPr>
      </w:pPr>
    </w:p>
    <w:p w14:paraId="209FEB25">
      <w:pPr>
        <w:rPr>
          <w:rFonts w:hint="default" w:ascii="宋体" w:hAnsi="宋体" w:eastAsia="宋体" w:cs="宋体"/>
          <w:b/>
          <w:color w:val="auto"/>
          <w:sz w:val="21"/>
          <w:szCs w:val="24"/>
          <w:highlight w:val="none"/>
        </w:rPr>
      </w:pPr>
    </w:p>
    <w:p w14:paraId="4333303F">
      <w:pPr>
        <w:rPr>
          <w:rFonts w:hint="default" w:ascii="宋体" w:hAnsi="宋体" w:eastAsia="宋体" w:cs="宋体"/>
          <w:b/>
          <w:color w:val="auto"/>
          <w:sz w:val="21"/>
          <w:szCs w:val="24"/>
          <w:highlight w:val="none"/>
        </w:rPr>
      </w:pPr>
    </w:p>
    <w:p w14:paraId="4C912C5A">
      <w:pPr>
        <w:rPr>
          <w:rFonts w:hint="default" w:ascii="宋体" w:hAnsi="宋体" w:eastAsia="宋体" w:cs="宋体"/>
          <w:b/>
          <w:color w:val="auto"/>
          <w:sz w:val="21"/>
          <w:szCs w:val="24"/>
          <w:highlight w:val="none"/>
        </w:rPr>
      </w:pPr>
    </w:p>
    <w:p w14:paraId="0270291D">
      <w:pPr>
        <w:autoSpaceDE w:val="0"/>
        <w:autoSpaceDN w:val="0"/>
        <w:spacing w:line="360" w:lineRule="auto"/>
        <w:ind w:left="4335" w:leftChars="1950" w:hanging="240" w:hangingChars="100"/>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供应商名称（电子签章）：</w:t>
      </w:r>
    </w:p>
    <w:p w14:paraId="6BB7F536">
      <w:pPr>
        <w:autoSpaceDE w:val="0"/>
        <w:autoSpaceDN w:val="0"/>
        <w:spacing w:line="360" w:lineRule="auto"/>
        <w:ind w:firstLine="6480" w:firstLineChars="2700"/>
        <w:rPr>
          <w:rFonts w:hint="default" w:ascii="宋体" w:hAnsi="宋体" w:eastAsia="宋体" w:cs="宋体"/>
          <w:color w:val="auto"/>
          <w:kern w:val="0"/>
          <w:sz w:val="24"/>
          <w:szCs w:val="24"/>
          <w:highlight w:val="none"/>
          <w:lang w:val="zh-CN"/>
        </w:rPr>
      </w:pPr>
      <w:r>
        <w:rPr>
          <w:rFonts w:hint="default" w:ascii="宋体" w:hAnsi="宋体" w:eastAsia="宋体" w:cs="宋体"/>
          <w:color w:val="auto"/>
          <w:kern w:val="0"/>
          <w:sz w:val="24"/>
          <w:szCs w:val="24"/>
          <w:highlight w:val="none"/>
          <w:lang w:val="zh-CN"/>
        </w:rPr>
        <w:t>日期：  年  月   日</w:t>
      </w:r>
    </w:p>
    <w:p w14:paraId="45DB276C">
      <w:pPr>
        <w:rPr>
          <w:rFonts w:hint="default" w:ascii="宋体" w:hAnsi="宋体" w:eastAsia="宋体" w:cs="宋体"/>
          <w:b/>
          <w:color w:val="auto"/>
          <w:sz w:val="21"/>
          <w:szCs w:val="24"/>
          <w:highlight w:val="none"/>
        </w:rPr>
      </w:pPr>
    </w:p>
    <w:p w14:paraId="3E34155C">
      <w:pPr>
        <w:rPr>
          <w:rFonts w:hint="default" w:ascii="宋体" w:hAnsi="宋体" w:eastAsia="宋体" w:cs="宋体"/>
          <w:b/>
          <w:color w:val="auto"/>
          <w:sz w:val="21"/>
          <w:szCs w:val="24"/>
          <w:highlight w:val="none"/>
        </w:rPr>
      </w:pPr>
    </w:p>
    <w:p w14:paraId="0F3B0A4B">
      <w:pPr>
        <w:rPr>
          <w:rFonts w:hint="default" w:ascii="宋体" w:hAnsi="宋体" w:eastAsia="宋体" w:cs="宋体"/>
          <w:b/>
          <w:color w:val="auto"/>
          <w:sz w:val="21"/>
          <w:szCs w:val="24"/>
          <w:highlight w:val="none"/>
        </w:rPr>
      </w:pPr>
    </w:p>
    <w:p w14:paraId="01D7BDDC">
      <w:pPr>
        <w:rPr>
          <w:rFonts w:hint="default" w:ascii="宋体" w:hAnsi="宋体" w:eastAsia="宋体" w:cs="宋体"/>
          <w:b/>
          <w:color w:val="auto"/>
          <w:sz w:val="21"/>
          <w:szCs w:val="24"/>
          <w:highlight w:val="none"/>
        </w:rPr>
      </w:pPr>
    </w:p>
    <w:p w14:paraId="0B1C06ED">
      <w:pPr>
        <w:rPr>
          <w:rFonts w:hint="default" w:ascii="宋体" w:hAnsi="宋体" w:eastAsia="宋体" w:cs="宋体"/>
          <w:b/>
          <w:color w:val="auto"/>
          <w:sz w:val="21"/>
          <w:szCs w:val="24"/>
          <w:highlight w:val="none"/>
        </w:rPr>
      </w:pPr>
    </w:p>
    <w:p w14:paraId="77DA0185">
      <w:pPr>
        <w:rPr>
          <w:rFonts w:hint="default" w:ascii="宋体" w:hAnsi="宋体" w:eastAsia="宋体" w:cs="宋体"/>
          <w:b/>
          <w:color w:val="auto"/>
          <w:sz w:val="32"/>
          <w:szCs w:val="24"/>
          <w:highlight w:val="none"/>
        </w:rPr>
      </w:pPr>
      <w:r>
        <w:rPr>
          <w:rFonts w:hint="default" w:ascii="宋体" w:hAnsi="宋体" w:eastAsia="宋体" w:cs="宋体"/>
          <w:b/>
          <w:color w:val="auto"/>
          <w:sz w:val="32"/>
          <w:szCs w:val="24"/>
          <w:highlight w:val="none"/>
        </w:rPr>
        <w:t>九、主要施工管理人员表</w:t>
      </w:r>
    </w:p>
    <w:p w14:paraId="591B43CF">
      <w:pPr>
        <w:jc w:val="center"/>
        <w:rPr>
          <w:rFonts w:hint="default" w:ascii="宋体" w:hAnsi="宋体" w:eastAsia="宋体" w:cs="宋体"/>
          <w:color w:val="auto"/>
          <w:sz w:val="21"/>
          <w:szCs w:val="24"/>
          <w:highlight w:val="none"/>
        </w:rPr>
      </w:pPr>
    </w:p>
    <w:tbl>
      <w:tblPr>
        <w:tblStyle w:val="18"/>
        <w:tblW w:w="922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1745"/>
        <w:gridCol w:w="1155"/>
        <w:gridCol w:w="1155"/>
        <w:gridCol w:w="1155"/>
        <w:gridCol w:w="4010"/>
      </w:tblGrid>
      <w:tr w14:paraId="6E59C6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0" w:hRule="exact"/>
          <w:jc w:val="center"/>
        </w:trPr>
        <w:tc>
          <w:tcPr>
            <w:tcW w:w="1745"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78058406">
            <w:pPr>
              <w:jc w:val="center"/>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职务</w:t>
            </w:r>
          </w:p>
        </w:tc>
        <w:tc>
          <w:tcPr>
            <w:tcW w:w="1155"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1C992084">
            <w:pPr>
              <w:jc w:val="center"/>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姓名</w:t>
            </w:r>
          </w:p>
        </w:tc>
        <w:tc>
          <w:tcPr>
            <w:tcW w:w="1155"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2F382986">
            <w:pPr>
              <w:jc w:val="center"/>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职务</w:t>
            </w:r>
          </w:p>
        </w:tc>
        <w:tc>
          <w:tcPr>
            <w:tcW w:w="1155"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14C5BC6C">
            <w:pPr>
              <w:jc w:val="center"/>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职称</w:t>
            </w:r>
          </w:p>
        </w:tc>
        <w:tc>
          <w:tcPr>
            <w:tcW w:w="4010"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37B325FC">
            <w:pPr>
              <w:jc w:val="center"/>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现任职务及资格经历</w:t>
            </w:r>
          </w:p>
        </w:tc>
      </w:tr>
      <w:tr w14:paraId="1E8256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0" w:hRule="exact"/>
          <w:jc w:val="center"/>
        </w:trPr>
        <w:tc>
          <w:tcPr>
            <w:tcW w:w="1745"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1CE3D3EC">
            <w:pPr>
              <w:rPr>
                <w:rFonts w:hint="default" w:ascii="宋体" w:hAnsi="宋体" w:eastAsia="宋体" w:cs="宋体"/>
                <w:color w:val="auto"/>
                <w:sz w:val="24"/>
                <w:szCs w:val="24"/>
                <w:highlight w:val="none"/>
              </w:rPr>
            </w:pPr>
          </w:p>
        </w:tc>
        <w:tc>
          <w:tcPr>
            <w:tcW w:w="1155"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18C09460">
            <w:pPr>
              <w:jc w:val="center"/>
              <w:rPr>
                <w:rFonts w:hint="default" w:ascii="宋体" w:hAnsi="宋体" w:eastAsia="宋体" w:cs="宋体"/>
                <w:color w:val="auto"/>
                <w:sz w:val="24"/>
                <w:szCs w:val="24"/>
                <w:highlight w:val="none"/>
              </w:rPr>
            </w:pPr>
          </w:p>
        </w:tc>
        <w:tc>
          <w:tcPr>
            <w:tcW w:w="1155"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top"/>
          </w:tcPr>
          <w:p w14:paraId="4B51277E">
            <w:pPr>
              <w:jc w:val="center"/>
              <w:rPr>
                <w:rFonts w:hint="default" w:ascii="宋体" w:hAnsi="宋体" w:eastAsia="宋体" w:cs="宋体"/>
                <w:color w:val="auto"/>
                <w:sz w:val="24"/>
                <w:szCs w:val="24"/>
                <w:highlight w:val="none"/>
              </w:rPr>
            </w:pPr>
          </w:p>
        </w:tc>
        <w:tc>
          <w:tcPr>
            <w:tcW w:w="1155"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0748F2FC">
            <w:pPr>
              <w:jc w:val="center"/>
              <w:rPr>
                <w:rFonts w:hint="default" w:ascii="宋体" w:hAnsi="宋体" w:eastAsia="宋体" w:cs="宋体"/>
                <w:color w:val="auto"/>
                <w:sz w:val="24"/>
                <w:szCs w:val="24"/>
                <w:highlight w:val="none"/>
              </w:rPr>
            </w:pPr>
          </w:p>
        </w:tc>
        <w:tc>
          <w:tcPr>
            <w:tcW w:w="4010"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7617C474">
            <w:pPr>
              <w:jc w:val="center"/>
              <w:rPr>
                <w:rFonts w:hint="default" w:ascii="宋体" w:hAnsi="宋体" w:eastAsia="宋体" w:cs="宋体"/>
                <w:color w:val="auto"/>
                <w:sz w:val="24"/>
                <w:szCs w:val="24"/>
                <w:highlight w:val="none"/>
              </w:rPr>
            </w:pPr>
          </w:p>
        </w:tc>
      </w:tr>
      <w:tr w14:paraId="280D9B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0" w:hRule="exact"/>
          <w:jc w:val="center"/>
        </w:trPr>
        <w:tc>
          <w:tcPr>
            <w:tcW w:w="1745"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4E307C1E">
            <w:pPr>
              <w:rPr>
                <w:rFonts w:hint="default" w:ascii="宋体" w:hAnsi="宋体" w:eastAsia="宋体" w:cs="宋体"/>
                <w:color w:val="auto"/>
                <w:sz w:val="24"/>
                <w:szCs w:val="24"/>
                <w:highlight w:val="none"/>
              </w:rPr>
            </w:pPr>
          </w:p>
        </w:tc>
        <w:tc>
          <w:tcPr>
            <w:tcW w:w="1155"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top"/>
          </w:tcPr>
          <w:p w14:paraId="7F388ADB">
            <w:pPr>
              <w:rPr>
                <w:rFonts w:hint="default" w:ascii="宋体" w:hAnsi="宋体" w:eastAsia="宋体" w:cs="宋体"/>
                <w:color w:val="auto"/>
                <w:sz w:val="24"/>
                <w:szCs w:val="24"/>
                <w:highlight w:val="none"/>
              </w:rPr>
            </w:pPr>
          </w:p>
        </w:tc>
        <w:tc>
          <w:tcPr>
            <w:tcW w:w="1155"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top"/>
          </w:tcPr>
          <w:p w14:paraId="2E2A8ECC">
            <w:pPr>
              <w:rPr>
                <w:rFonts w:hint="default" w:ascii="宋体" w:hAnsi="宋体" w:eastAsia="宋体" w:cs="宋体"/>
                <w:color w:val="auto"/>
                <w:sz w:val="24"/>
                <w:szCs w:val="24"/>
                <w:highlight w:val="none"/>
              </w:rPr>
            </w:pPr>
          </w:p>
        </w:tc>
        <w:tc>
          <w:tcPr>
            <w:tcW w:w="1155"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top"/>
          </w:tcPr>
          <w:p w14:paraId="6C3ED159">
            <w:pPr>
              <w:rPr>
                <w:rFonts w:hint="default" w:ascii="宋体" w:hAnsi="宋体" w:eastAsia="宋体" w:cs="宋体"/>
                <w:color w:val="auto"/>
                <w:sz w:val="24"/>
                <w:szCs w:val="24"/>
                <w:highlight w:val="none"/>
              </w:rPr>
            </w:pPr>
          </w:p>
        </w:tc>
        <w:tc>
          <w:tcPr>
            <w:tcW w:w="4010"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top"/>
          </w:tcPr>
          <w:p w14:paraId="6D2A1025">
            <w:pPr>
              <w:rPr>
                <w:rFonts w:hint="default" w:ascii="宋体" w:hAnsi="宋体" w:eastAsia="宋体" w:cs="宋体"/>
                <w:color w:val="auto"/>
                <w:sz w:val="24"/>
                <w:szCs w:val="24"/>
                <w:highlight w:val="none"/>
              </w:rPr>
            </w:pPr>
          </w:p>
        </w:tc>
      </w:tr>
      <w:tr w14:paraId="572DD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0" w:hRule="exact"/>
          <w:jc w:val="center"/>
        </w:trPr>
        <w:tc>
          <w:tcPr>
            <w:tcW w:w="1745"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5C62A2DF">
            <w:pPr>
              <w:rPr>
                <w:rFonts w:hint="default" w:ascii="宋体" w:hAnsi="宋体" w:eastAsia="宋体" w:cs="宋体"/>
                <w:color w:val="auto"/>
                <w:sz w:val="24"/>
                <w:szCs w:val="24"/>
                <w:highlight w:val="none"/>
              </w:rPr>
            </w:pPr>
          </w:p>
        </w:tc>
        <w:tc>
          <w:tcPr>
            <w:tcW w:w="1155"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top"/>
          </w:tcPr>
          <w:p w14:paraId="3F3A0A6F">
            <w:pPr>
              <w:rPr>
                <w:rFonts w:hint="default" w:ascii="宋体" w:hAnsi="宋体" w:eastAsia="宋体" w:cs="宋体"/>
                <w:color w:val="auto"/>
                <w:sz w:val="24"/>
                <w:szCs w:val="24"/>
                <w:highlight w:val="none"/>
              </w:rPr>
            </w:pPr>
          </w:p>
        </w:tc>
        <w:tc>
          <w:tcPr>
            <w:tcW w:w="1155"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top"/>
          </w:tcPr>
          <w:p w14:paraId="674CAE97">
            <w:pPr>
              <w:rPr>
                <w:rFonts w:hint="default" w:ascii="宋体" w:hAnsi="宋体" w:eastAsia="宋体" w:cs="宋体"/>
                <w:color w:val="auto"/>
                <w:sz w:val="24"/>
                <w:szCs w:val="24"/>
                <w:highlight w:val="none"/>
              </w:rPr>
            </w:pPr>
          </w:p>
        </w:tc>
        <w:tc>
          <w:tcPr>
            <w:tcW w:w="1155"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top"/>
          </w:tcPr>
          <w:p w14:paraId="24E0D8F2">
            <w:pPr>
              <w:rPr>
                <w:rFonts w:hint="default" w:ascii="宋体" w:hAnsi="宋体" w:eastAsia="宋体" w:cs="宋体"/>
                <w:color w:val="auto"/>
                <w:sz w:val="24"/>
                <w:szCs w:val="24"/>
                <w:highlight w:val="none"/>
              </w:rPr>
            </w:pPr>
          </w:p>
        </w:tc>
        <w:tc>
          <w:tcPr>
            <w:tcW w:w="4010"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top"/>
          </w:tcPr>
          <w:p w14:paraId="590B8D26">
            <w:pPr>
              <w:rPr>
                <w:rFonts w:hint="default" w:ascii="宋体" w:hAnsi="宋体" w:eastAsia="宋体" w:cs="宋体"/>
                <w:color w:val="auto"/>
                <w:sz w:val="24"/>
                <w:szCs w:val="24"/>
                <w:highlight w:val="none"/>
              </w:rPr>
            </w:pPr>
          </w:p>
        </w:tc>
      </w:tr>
      <w:tr w14:paraId="581893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0" w:hRule="exact"/>
          <w:jc w:val="center"/>
        </w:trPr>
        <w:tc>
          <w:tcPr>
            <w:tcW w:w="1745"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3847CE81">
            <w:pPr>
              <w:rPr>
                <w:rFonts w:hint="default" w:ascii="宋体" w:hAnsi="宋体" w:eastAsia="宋体" w:cs="宋体"/>
                <w:color w:val="auto"/>
                <w:sz w:val="24"/>
                <w:szCs w:val="24"/>
                <w:highlight w:val="none"/>
              </w:rPr>
            </w:pPr>
          </w:p>
        </w:tc>
        <w:tc>
          <w:tcPr>
            <w:tcW w:w="1155"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top"/>
          </w:tcPr>
          <w:p w14:paraId="64ACBEF8">
            <w:pPr>
              <w:rPr>
                <w:rFonts w:hint="default" w:ascii="宋体" w:hAnsi="宋体" w:eastAsia="宋体" w:cs="宋体"/>
                <w:color w:val="auto"/>
                <w:sz w:val="24"/>
                <w:szCs w:val="24"/>
                <w:highlight w:val="none"/>
              </w:rPr>
            </w:pPr>
          </w:p>
        </w:tc>
        <w:tc>
          <w:tcPr>
            <w:tcW w:w="1155"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top"/>
          </w:tcPr>
          <w:p w14:paraId="1A09F7C6">
            <w:pPr>
              <w:rPr>
                <w:rFonts w:hint="default" w:ascii="宋体" w:hAnsi="宋体" w:eastAsia="宋体" w:cs="宋体"/>
                <w:color w:val="auto"/>
                <w:sz w:val="24"/>
                <w:szCs w:val="24"/>
                <w:highlight w:val="none"/>
              </w:rPr>
            </w:pPr>
          </w:p>
        </w:tc>
        <w:tc>
          <w:tcPr>
            <w:tcW w:w="1155"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top"/>
          </w:tcPr>
          <w:p w14:paraId="2A91EFF0">
            <w:pPr>
              <w:rPr>
                <w:rFonts w:hint="default" w:ascii="宋体" w:hAnsi="宋体" w:eastAsia="宋体" w:cs="宋体"/>
                <w:color w:val="auto"/>
                <w:sz w:val="24"/>
                <w:szCs w:val="24"/>
                <w:highlight w:val="none"/>
              </w:rPr>
            </w:pPr>
          </w:p>
        </w:tc>
        <w:tc>
          <w:tcPr>
            <w:tcW w:w="4010"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top"/>
          </w:tcPr>
          <w:p w14:paraId="15E2BD38">
            <w:pPr>
              <w:rPr>
                <w:rFonts w:hint="default" w:ascii="宋体" w:hAnsi="宋体" w:eastAsia="宋体" w:cs="宋体"/>
                <w:color w:val="auto"/>
                <w:sz w:val="24"/>
                <w:szCs w:val="24"/>
                <w:highlight w:val="none"/>
              </w:rPr>
            </w:pPr>
          </w:p>
        </w:tc>
      </w:tr>
      <w:tr w14:paraId="1E845F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0" w:hRule="exact"/>
          <w:jc w:val="center"/>
        </w:trPr>
        <w:tc>
          <w:tcPr>
            <w:tcW w:w="1745"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4422AB3D">
            <w:pPr>
              <w:ind w:firstLine="377"/>
              <w:rPr>
                <w:rFonts w:hint="default" w:ascii="宋体" w:hAnsi="宋体" w:eastAsia="宋体" w:cs="宋体"/>
                <w:color w:val="auto"/>
                <w:sz w:val="24"/>
                <w:szCs w:val="24"/>
                <w:highlight w:val="none"/>
              </w:rPr>
            </w:pPr>
          </w:p>
        </w:tc>
        <w:tc>
          <w:tcPr>
            <w:tcW w:w="1155"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top"/>
          </w:tcPr>
          <w:p w14:paraId="50A91424">
            <w:pPr>
              <w:rPr>
                <w:rFonts w:hint="default" w:ascii="宋体" w:hAnsi="宋体" w:eastAsia="宋体" w:cs="宋体"/>
                <w:color w:val="auto"/>
                <w:sz w:val="24"/>
                <w:szCs w:val="24"/>
                <w:highlight w:val="none"/>
              </w:rPr>
            </w:pPr>
          </w:p>
        </w:tc>
        <w:tc>
          <w:tcPr>
            <w:tcW w:w="1155"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top"/>
          </w:tcPr>
          <w:p w14:paraId="011D5F6C">
            <w:pPr>
              <w:rPr>
                <w:rFonts w:hint="default" w:ascii="宋体" w:hAnsi="宋体" w:eastAsia="宋体" w:cs="宋体"/>
                <w:color w:val="auto"/>
                <w:sz w:val="24"/>
                <w:szCs w:val="24"/>
                <w:highlight w:val="none"/>
              </w:rPr>
            </w:pPr>
          </w:p>
        </w:tc>
        <w:tc>
          <w:tcPr>
            <w:tcW w:w="1155"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top"/>
          </w:tcPr>
          <w:p w14:paraId="1982E42E">
            <w:pPr>
              <w:rPr>
                <w:rFonts w:hint="default" w:ascii="宋体" w:hAnsi="宋体" w:eastAsia="宋体" w:cs="宋体"/>
                <w:color w:val="auto"/>
                <w:sz w:val="24"/>
                <w:szCs w:val="24"/>
                <w:highlight w:val="none"/>
              </w:rPr>
            </w:pPr>
          </w:p>
        </w:tc>
        <w:tc>
          <w:tcPr>
            <w:tcW w:w="4010"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top"/>
          </w:tcPr>
          <w:p w14:paraId="6537036B">
            <w:pPr>
              <w:rPr>
                <w:rFonts w:hint="default" w:ascii="宋体" w:hAnsi="宋体" w:eastAsia="宋体" w:cs="宋体"/>
                <w:color w:val="auto"/>
                <w:sz w:val="24"/>
                <w:szCs w:val="24"/>
                <w:highlight w:val="none"/>
              </w:rPr>
            </w:pPr>
          </w:p>
        </w:tc>
      </w:tr>
      <w:tr w14:paraId="13EA3D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0" w:hRule="exact"/>
          <w:jc w:val="center"/>
        </w:trPr>
        <w:tc>
          <w:tcPr>
            <w:tcW w:w="1745"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1BDA7B18">
            <w:pPr>
              <w:rPr>
                <w:rFonts w:hint="default" w:ascii="宋体" w:hAnsi="宋体" w:eastAsia="宋体" w:cs="宋体"/>
                <w:color w:val="auto"/>
                <w:sz w:val="24"/>
                <w:szCs w:val="24"/>
                <w:highlight w:val="none"/>
              </w:rPr>
            </w:pPr>
          </w:p>
        </w:tc>
        <w:tc>
          <w:tcPr>
            <w:tcW w:w="1155"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top"/>
          </w:tcPr>
          <w:p w14:paraId="5F094916">
            <w:pPr>
              <w:rPr>
                <w:rFonts w:hint="default" w:ascii="宋体" w:hAnsi="宋体" w:eastAsia="宋体" w:cs="宋体"/>
                <w:color w:val="auto"/>
                <w:sz w:val="24"/>
                <w:szCs w:val="24"/>
                <w:highlight w:val="none"/>
              </w:rPr>
            </w:pPr>
          </w:p>
        </w:tc>
        <w:tc>
          <w:tcPr>
            <w:tcW w:w="1155"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top"/>
          </w:tcPr>
          <w:p w14:paraId="0521BD3A">
            <w:pPr>
              <w:rPr>
                <w:rFonts w:hint="default" w:ascii="宋体" w:hAnsi="宋体" w:eastAsia="宋体" w:cs="宋体"/>
                <w:color w:val="auto"/>
                <w:sz w:val="24"/>
                <w:szCs w:val="24"/>
                <w:highlight w:val="none"/>
              </w:rPr>
            </w:pPr>
          </w:p>
        </w:tc>
        <w:tc>
          <w:tcPr>
            <w:tcW w:w="1155"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top"/>
          </w:tcPr>
          <w:p w14:paraId="0F54CCDF">
            <w:pPr>
              <w:rPr>
                <w:rFonts w:hint="default" w:ascii="宋体" w:hAnsi="宋体" w:eastAsia="宋体" w:cs="宋体"/>
                <w:color w:val="auto"/>
                <w:sz w:val="24"/>
                <w:szCs w:val="24"/>
                <w:highlight w:val="none"/>
              </w:rPr>
            </w:pPr>
          </w:p>
        </w:tc>
        <w:tc>
          <w:tcPr>
            <w:tcW w:w="4010"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top"/>
          </w:tcPr>
          <w:p w14:paraId="1F7F4B9F">
            <w:pPr>
              <w:rPr>
                <w:rFonts w:hint="default" w:ascii="宋体" w:hAnsi="宋体" w:eastAsia="宋体" w:cs="宋体"/>
                <w:color w:val="auto"/>
                <w:sz w:val="24"/>
                <w:szCs w:val="24"/>
                <w:highlight w:val="none"/>
              </w:rPr>
            </w:pPr>
          </w:p>
        </w:tc>
      </w:tr>
      <w:tr w14:paraId="0F56B5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01" w:hRule="exact"/>
          <w:jc w:val="center"/>
        </w:trPr>
        <w:tc>
          <w:tcPr>
            <w:tcW w:w="1745"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42E1332E">
            <w:pPr>
              <w:rPr>
                <w:rFonts w:hint="default" w:ascii="宋体" w:hAnsi="宋体" w:eastAsia="宋体" w:cs="宋体"/>
                <w:color w:val="auto"/>
                <w:sz w:val="24"/>
                <w:szCs w:val="24"/>
                <w:highlight w:val="none"/>
              </w:rPr>
            </w:pPr>
          </w:p>
        </w:tc>
        <w:tc>
          <w:tcPr>
            <w:tcW w:w="1155"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top"/>
          </w:tcPr>
          <w:p w14:paraId="2EAD8425">
            <w:pPr>
              <w:rPr>
                <w:rFonts w:hint="default" w:ascii="宋体" w:hAnsi="宋体" w:eastAsia="宋体" w:cs="宋体"/>
                <w:color w:val="auto"/>
                <w:sz w:val="24"/>
                <w:szCs w:val="24"/>
                <w:highlight w:val="none"/>
              </w:rPr>
            </w:pPr>
          </w:p>
        </w:tc>
        <w:tc>
          <w:tcPr>
            <w:tcW w:w="1155"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top"/>
          </w:tcPr>
          <w:p w14:paraId="50B77D90">
            <w:pPr>
              <w:rPr>
                <w:rFonts w:hint="default" w:ascii="宋体" w:hAnsi="宋体" w:eastAsia="宋体" w:cs="宋体"/>
                <w:color w:val="auto"/>
                <w:sz w:val="24"/>
                <w:szCs w:val="24"/>
                <w:highlight w:val="none"/>
              </w:rPr>
            </w:pPr>
          </w:p>
        </w:tc>
        <w:tc>
          <w:tcPr>
            <w:tcW w:w="1155"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top"/>
          </w:tcPr>
          <w:p w14:paraId="54791710">
            <w:pPr>
              <w:rPr>
                <w:rFonts w:hint="default" w:ascii="宋体" w:hAnsi="宋体" w:eastAsia="宋体" w:cs="宋体"/>
                <w:color w:val="auto"/>
                <w:sz w:val="24"/>
                <w:szCs w:val="24"/>
                <w:highlight w:val="none"/>
              </w:rPr>
            </w:pPr>
          </w:p>
        </w:tc>
        <w:tc>
          <w:tcPr>
            <w:tcW w:w="4010"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top"/>
          </w:tcPr>
          <w:p w14:paraId="01EE0401">
            <w:pPr>
              <w:rPr>
                <w:rFonts w:hint="default" w:ascii="宋体" w:hAnsi="宋体" w:eastAsia="宋体" w:cs="宋体"/>
                <w:color w:val="auto"/>
                <w:sz w:val="24"/>
                <w:szCs w:val="24"/>
                <w:highlight w:val="none"/>
              </w:rPr>
            </w:pPr>
          </w:p>
        </w:tc>
      </w:tr>
      <w:tr w14:paraId="2EEA41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0" w:hRule="exact"/>
          <w:jc w:val="center"/>
        </w:trPr>
        <w:tc>
          <w:tcPr>
            <w:tcW w:w="1745"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6B4B0595">
            <w:pPr>
              <w:rPr>
                <w:rFonts w:hint="default" w:ascii="宋体" w:hAnsi="宋体" w:eastAsia="宋体" w:cs="宋体"/>
                <w:color w:val="auto"/>
                <w:sz w:val="24"/>
                <w:szCs w:val="24"/>
                <w:highlight w:val="none"/>
              </w:rPr>
            </w:pPr>
          </w:p>
        </w:tc>
        <w:tc>
          <w:tcPr>
            <w:tcW w:w="1155"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top"/>
          </w:tcPr>
          <w:p w14:paraId="348D2B31">
            <w:pPr>
              <w:rPr>
                <w:rFonts w:hint="default" w:ascii="宋体" w:hAnsi="宋体" w:eastAsia="宋体" w:cs="宋体"/>
                <w:color w:val="auto"/>
                <w:sz w:val="24"/>
                <w:szCs w:val="24"/>
                <w:highlight w:val="none"/>
              </w:rPr>
            </w:pPr>
          </w:p>
        </w:tc>
        <w:tc>
          <w:tcPr>
            <w:tcW w:w="1155"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top"/>
          </w:tcPr>
          <w:p w14:paraId="5B703367">
            <w:pPr>
              <w:rPr>
                <w:rFonts w:hint="default" w:ascii="宋体" w:hAnsi="宋体" w:eastAsia="宋体" w:cs="宋体"/>
                <w:color w:val="auto"/>
                <w:sz w:val="24"/>
                <w:szCs w:val="24"/>
                <w:highlight w:val="none"/>
              </w:rPr>
            </w:pPr>
          </w:p>
        </w:tc>
        <w:tc>
          <w:tcPr>
            <w:tcW w:w="1155"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top"/>
          </w:tcPr>
          <w:p w14:paraId="2D955839">
            <w:pPr>
              <w:rPr>
                <w:rFonts w:hint="default" w:ascii="宋体" w:hAnsi="宋体" w:eastAsia="宋体" w:cs="宋体"/>
                <w:color w:val="auto"/>
                <w:sz w:val="24"/>
                <w:szCs w:val="24"/>
                <w:highlight w:val="none"/>
              </w:rPr>
            </w:pPr>
          </w:p>
        </w:tc>
        <w:tc>
          <w:tcPr>
            <w:tcW w:w="4010"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top"/>
          </w:tcPr>
          <w:p w14:paraId="627A5045">
            <w:pPr>
              <w:rPr>
                <w:rFonts w:hint="default" w:ascii="宋体" w:hAnsi="宋体" w:eastAsia="宋体" w:cs="宋体"/>
                <w:color w:val="auto"/>
                <w:sz w:val="24"/>
                <w:szCs w:val="24"/>
                <w:highlight w:val="none"/>
              </w:rPr>
            </w:pPr>
          </w:p>
        </w:tc>
      </w:tr>
      <w:tr w14:paraId="30F419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0" w:hRule="exact"/>
          <w:jc w:val="center"/>
        </w:trPr>
        <w:tc>
          <w:tcPr>
            <w:tcW w:w="1745"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3A070F33">
            <w:pPr>
              <w:rPr>
                <w:rFonts w:hint="default" w:ascii="宋体" w:hAnsi="宋体" w:eastAsia="宋体" w:cs="宋体"/>
                <w:color w:val="auto"/>
                <w:sz w:val="24"/>
                <w:szCs w:val="24"/>
                <w:highlight w:val="none"/>
              </w:rPr>
            </w:pPr>
          </w:p>
        </w:tc>
        <w:tc>
          <w:tcPr>
            <w:tcW w:w="1155"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top"/>
          </w:tcPr>
          <w:p w14:paraId="167A4872">
            <w:pPr>
              <w:rPr>
                <w:rFonts w:hint="default" w:ascii="宋体" w:hAnsi="宋体" w:eastAsia="宋体" w:cs="宋体"/>
                <w:color w:val="auto"/>
                <w:sz w:val="24"/>
                <w:szCs w:val="24"/>
                <w:highlight w:val="none"/>
              </w:rPr>
            </w:pPr>
          </w:p>
        </w:tc>
        <w:tc>
          <w:tcPr>
            <w:tcW w:w="1155"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top"/>
          </w:tcPr>
          <w:p w14:paraId="5B9B2CF3">
            <w:pPr>
              <w:rPr>
                <w:rFonts w:hint="default" w:ascii="宋体" w:hAnsi="宋体" w:eastAsia="宋体" w:cs="宋体"/>
                <w:color w:val="auto"/>
                <w:sz w:val="24"/>
                <w:szCs w:val="24"/>
                <w:highlight w:val="none"/>
              </w:rPr>
            </w:pPr>
          </w:p>
        </w:tc>
        <w:tc>
          <w:tcPr>
            <w:tcW w:w="1155"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top"/>
          </w:tcPr>
          <w:p w14:paraId="1E3715C6">
            <w:pPr>
              <w:rPr>
                <w:rFonts w:hint="default" w:ascii="宋体" w:hAnsi="宋体" w:eastAsia="宋体" w:cs="宋体"/>
                <w:color w:val="auto"/>
                <w:sz w:val="24"/>
                <w:szCs w:val="24"/>
                <w:highlight w:val="none"/>
              </w:rPr>
            </w:pPr>
          </w:p>
        </w:tc>
        <w:tc>
          <w:tcPr>
            <w:tcW w:w="4010"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top"/>
          </w:tcPr>
          <w:p w14:paraId="0510EB08">
            <w:pPr>
              <w:rPr>
                <w:rFonts w:hint="default" w:ascii="宋体" w:hAnsi="宋体" w:eastAsia="宋体" w:cs="宋体"/>
                <w:color w:val="auto"/>
                <w:sz w:val="24"/>
                <w:szCs w:val="24"/>
                <w:highlight w:val="none"/>
              </w:rPr>
            </w:pPr>
          </w:p>
        </w:tc>
      </w:tr>
      <w:tr w14:paraId="53F7B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0" w:hRule="exact"/>
          <w:jc w:val="center"/>
        </w:trPr>
        <w:tc>
          <w:tcPr>
            <w:tcW w:w="1745"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5B80E068">
            <w:pPr>
              <w:rPr>
                <w:rFonts w:hint="default" w:ascii="宋体" w:hAnsi="宋体" w:eastAsia="宋体" w:cs="宋体"/>
                <w:color w:val="auto"/>
                <w:sz w:val="24"/>
                <w:szCs w:val="24"/>
                <w:highlight w:val="none"/>
              </w:rPr>
            </w:pPr>
          </w:p>
        </w:tc>
        <w:tc>
          <w:tcPr>
            <w:tcW w:w="1155"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top"/>
          </w:tcPr>
          <w:p w14:paraId="3134463A">
            <w:pPr>
              <w:rPr>
                <w:rFonts w:hint="default" w:ascii="宋体" w:hAnsi="宋体" w:eastAsia="宋体" w:cs="宋体"/>
                <w:color w:val="auto"/>
                <w:sz w:val="24"/>
                <w:szCs w:val="24"/>
                <w:highlight w:val="none"/>
              </w:rPr>
            </w:pPr>
          </w:p>
        </w:tc>
        <w:tc>
          <w:tcPr>
            <w:tcW w:w="1155"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top"/>
          </w:tcPr>
          <w:p w14:paraId="6406EA9E">
            <w:pPr>
              <w:rPr>
                <w:rFonts w:hint="default" w:ascii="宋体" w:hAnsi="宋体" w:eastAsia="宋体" w:cs="宋体"/>
                <w:color w:val="auto"/>
                <w:sz w:val="24"/>
                <w:szCs w:val="24"/>
                <w:highlight w:val="none"/>
              </w:rPr>
            </w:pPr>
          </w:p>
        </w:tc>
        <w:tc>
          <w:tcPr>
            <w:tcW w:w="1155"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top"/>
          </w:tcPr>
          <w:p w14:paraId="0C7AAFCB">
            <w:pPr>
              <w:rPr>
                <w:rFonts w:hint="default" w:ascii="宋体" w:hAnsi="宋体" w:eastAsia="宋体" w:cs="宋体"/>
                <w:color w:val="auto"/>
                <w:sz w:val="24"/>
                <w:szCs w:val="24"/>
                <w:highlight w:val="none"/>
              </w:rPr>
            </w:pPr>
          </w:p>
        </w:tc>
        <w:tc>
          <w:tcPr>
            <w:tcW w:w="4010"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top"/>
          </w:tcPr>
          <w:p w14:paraId="7B06DDFD">
            <w:pPr>
              <w:rPr>
                <w:rFonts w:hint="default" w:ascii="宋体" w:hAnsi="宋体" w:eastAsia="宋体" w:cs="宋体"/>
                <w:color w:val="auto"/>
                <w:sz w:val="24"/>
                <w:szCs w:val="24"/>
                <w:highlight w:val="none"/>
              </w:rPr>
            </w:pPr>
          </w:p>
        </w:tc>
      </w:tr>
      <w:tr w14:paraId="0F4D80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0" w:hRule="exact"/>
          <w:jc w:val="center"/>
        </w:trPr>
        <w:tc>
          <w:tcPr>
            <w:tcW w:w="1745"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6170F9FE">
            <w:pPr>
              <w:rPr>
                <w:rFonts w:hint="default" w:ascii="宋体" w:hAnsi="宋体" w:eastAsia="宋体" w:cs="宋体"/>
                <w:color w:val="auto"/>
                <w:sz w:val="24"/>
                <w:szCs w:val="24"/>
                <w:highlight w:val="none"/>
              </w:rPr>
            </w:pPr>
          </w:p>
        </w:tc>
        <w:tc>
          <w:tcPr>
            <w:tcW w:w="1155"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top"/>
          </w:tcPr>
          <w:p w14:paraId="5AB42DB7">
            <w:pPr>
              <w:rPr>
                <w:rFonts w:hint="default" w:ascii="宋体" w:hAnsi="宋体" w:eastAsia="宋体" w:cs="宋体"/>
                <w:color w:val="auto"/>
                <w:sz w:val="24"/>
                <w:szCs w:val="24"/>
                <w:highlight w:val="none"/>
              </w:rPr>
            </w:pPr>
          </w:p>
        </w:tc>
        <w:tc>
          <w:tcPr>
            <w:tcW w:w="1155"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top"/>
          </w:tcPr>
          <w:p w14:paraId="45674FDE">
            <w:pPr>
              <w:rPr>
                <w:rFonts w:hint="default" w:ascii="宋体" w:hAnsi="宋体" w:eastAsia="宋体" w:cs="宋体"/>
                <w:color w:val="auto"/>
                <w:sz w:val="24"/>
                <w:szCs w:val="24"/>
                <w:highlight w:val="none"/>
              </w:rPr>
            </w:pPr>
          </w:p>
        </w:tc>
        <w:tc>
          <w:tcPr>
            <w:tcW w:w="1155"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top"/>
          </w:tcPr>
          <w:p w14:paraId="05CBCBBD">
            <w:pPr>
              <w:rPr>
                <w:rFonts w:hint="default" w:ascii="宋体" w:hAnsi="宋体" w:eastAsia="宋体" w:cs="宋体"/>
                <w:color w:val="auto"/>
                <w:sz w:val="24"/>
                <w:szCs w:val="24"/>
                <w:highlight w:val="none"/>
              </w:rPr>
            </w:pPr>
          </w:p>
        </w:tc>
        <w:tc>
          <w:tcPr>
            <w:tcW w:w="4010"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top"/>
          </w:tcPr>
          <w:p w14:paraId="6240E744">
            <w:pPr>
              <w:rPr>
                <w:rFonts w:hint="default" w:ascii="宋体" w:hAnsi="宋体" w:eastAsia="宋体" w:cs="宋体"/>
                <w:color w:val="auto"/>
                <w:sz w:val="24"/>
                <w:szCs w:val="24"/>
                <w:highlight w:val="none"/>
              </w:rPr>
            </w:pPr>
          </w:p>
        </w:tc>
      </w:tr>
      <w:tr w14:paraId="10905D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0" w:hRule="exact"/>
          <w:jc w:val="center"/>
        </w:trPr>
        <w:tc>
          <w:tcPr>
            <w:tcW w:w="1745"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71620182">
            <w:pPr>
              <w:rPr>
                <w:rFonts w:hint="default" w:ascii="宋体" w:hAnsi="宋体" w:eastAsia="宋体" w:cs="宋体"/>
                <w:color w:val="auto"/>
                <w:sz w:val="24"/>
                <w:szCs w:val="24"/>
                <w:highlight w:val="none"/>
              </w:rPr>
            </w:pPr>
          </w:p>
        </w:tc>
        <w:tc>
          <w:tcPr>
            <w:tcW w:w="1155"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top"/>
          </w:tcPr>
          <w:p w14:paraId="77CC10A0">
            <w:pPr>
              <w:rPr>
                <w:rFonts w:hint="default" w:ascii="宋体" w:hAnsi="宋体" w:eastAsia="宋体" w:cs="宋体"/>
                <w:color w:val="auto"/>
                <w:sz w:val="24"/>
                <w:szCs w:val="24"/>
                <w:highlight w:val="none"/>
              </w:rPr>
            </w:pPr>
          </w:p>
        </w:tc>
        <w:tc>
          <w:tcPr>
            <w:tcW w:w="1155"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top"/>
          </w:tcPr>
          <w:p w14:paraId="481CAF3D">
            <w:pPr>
              <w:rPr>
                <w:rFonts w:hint="default" w:ascii="宋体" w:hAnsi="宋体" w:eastAsia="宋体" w:cs="宋体"/>
                <w:color w:val="auto"/>
                <w:sz w:val="24"/>
                <w:szCs w:val="24"/>
                <w:highlight w:val="none"/>
              </w:rPr>
            </w:pPr>
          </w:p>
        </w:tc>
        <w:tc>
          <w:tcPr>
            <w:tcW w:w="1155"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top"/>
          </w:tcPr>
          <w:p w14:paraId="4F7DDF59">
            <w:pPr>
              <w:rPr>
                <w:rFonts w:hint="default" w:ascii="宋体" w:hAnsi="宋体" w:eastAsia="宋体" w:cs="宋体"/>
                <w:color w:val="auto"/>
                <w:sz w:val="24"/>
                <w:szCs w:val="24"/>
                <w:highlight w:val="none"/>
              </w:rPr>
            </w:pPr>
          </w:p>
        </w:tc>
        <w:tc>
          <w:tcPr>
            <w:tcW w:w="4010"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top"/>
          </w:tcPr>
          <w:p w14:paraId="627944BC">
            <w:pPr>
              <w:rPr>
                <w:rFonts w:hint="default" w:ascii="宋体" w:hAnsi="宋体" w:eastAsia="宋体" w:cs="宋体"/>
                <w:color w:val="auto"/>
                <w:sz w:val="24"/>
                <w:szCs w:val="24"/>
                <w:highlight w:val="none"/>
              </w:rPr>
            </w:pPr>
          </w:p>
        </w:tc>
      </w:tr>
      <w:tr w14:paraId="526B38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0" w:hRule="exact"/>
          <w:jc w:val="center"/>
        </w:trPr>
        <w:tc>
          <w:tcPr>
            <w:tcW w:w="1745"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2CA4A2EB">
            <w:pPr>
              <w:rPr>
                <w:rFonts w:hint="default" w:ascii="宋体" w:hAnsi="宋体" w:eastAsia="宋体" w:cs="宋体"/>
                <w:color w:val="auto"/>
                <w:sz w:val="24"/>
                <w:szCs w:val="24"/>
                <w:highlight w:val="none"/>
              </w:rPr>
            </w:pPr>
          </w:p>
        </w:tc>
        <w:tc>
          <w:tcPr>
            <w:tcW w:w="1155"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top"/>
          </w:tcPr>
          <w:p w14:paraId="04CC75F4">
            <w:pPr>
              <w:rPr>
                <w:rFonts w:hint="default" w:ascii="宋体" w:hAnsi="宋体" w:eastAsia="宋体" w:cs="宋体"/>
                <w:color w:val="auto"/>
                <w:sz w:val="24"/>
                <w:szCs w:val="24"/>
                <w:highlight w:val="none"/>
              </w:rPr>
            </w:pPr>
          </w:p>
        </w:tc>
        <w:tc>
          <w:tcPr>
            <w:tcW w:w="1155"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top"/>
          </w:tcPr>
          <w:p w14:paraId="17CC701F">
            <w:pPr>
              <w:rPr>
                <w:rFonts w:hint="default" w:ascii="宋体" w:hAnsi="宋体" w:eastAsia="宋体" w:cs="宋体"/>
                <w:color w:val="auto"/>
                <w:sz w:val="24"/>
                <w:szCs w:val="24"/>
                <w:highlight w:val="none"/>
              </w:rPr>
            </w:pPr>
          </w:p>
        </w:tc>
        <w:tc>
          <w:tcPr>
            <w:tcW w:w="1155"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top"/>
          </w:tcPr>
          <w:p w14:paraId="3BD7CAF6">
            <w:pPr>
              <w:rPr>
                <w:rFonts w:hint="default" w:ascii="宋体" w:hAnsi="宋体" w:eastAsia="宋体" w:cs="宋体"/>
                <w:color w:val="auto"/>
                <w:sz w:val="24"/>
                <w:szCs w:val="24"/>
                <w:highlight w:val="none"/>
              </w:rPr>
            </w:pPr>
          </w:p>
        </w:tc>
        <w:tc>
          <w:tcPr>
            <w:tcW w:w="4010"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top"/>
          </w:tcPr>
          <w:p w14:paraId="17E800F6">
            <w:pPr>
              <w:rPr>
                <w:rFonts w:hint="default" w:ascii="宋体" w:hAnsi="宋体" w:eastAsia="宋体" w:cs="宋体"/>
                <w:color w:val="auto"/>
                <w:sz w:val="24"/>
                <w:szCs w:val="24"/>
                <w:highlight w:val="none"/>
              </w:rPr>
            </w:pPr>
          </w:p>
        </w:tc>
      </w:tr>
      <w:tr w14:paraId="398515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0" w:hRule="exact"/>
          <w:jc w:val="center"/>
        </w:trPr>
        <w:tc>
          <w:tcPr>
            <w:tcW w:w="1745"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center"/>
          </w:tcPr>
          <w:p w14:paraId="46DB38A2">
            <w:pPr>
              <w:rPr>
                <w:rFonts w:hint="default" w:ascii="宋体" w:hAnsi="宋体" w:eastAsia="宋体" w:cs="宋体"/>
                <w:color w:val="auto"/>
                <w:sz w:val="24"/>
                <w:szCs w:val="24"/>
                <w:highlight w:val="none"/>
              </w:rPr>
            </w:pPr>
          </w:p>
        </w:tc>
        <w:tc>
          <w:tcPr>
            <w:tcW w:w="1155"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top"/>
          </w:tcPr>
          <w:p w14:paraId="1A0BBFF7">
            <w:pPr>
              <w:rPr>
                <w:rFonts w:hint="default" w:ascii="宋体" w:hAnsi="宋体" w:eastAsia="宋体" w:cs="宋体"/>
                <w:color w:val="auto"/>
                <w:sz w:val="24"/>
                <w:szCs w:val="24"/>
                <w:highlight w:val="none"/>
              </w:rPr>
            </w:pPr>
          </w:p>
        </w:tc>
        <w:tc>
          <w:tcPr>
            <w:tcW w:w="1155"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top"/>
          </w:tcPr>
          <w:p w14:paraId="0392ED18">
            <w:pPr>
              <w:rPr>
                <w:rFonts w:hint="default" w:ascii="宋体" w:hAnsi="宋体" w:eastAsia="宋体" w:cs="宋体"/>
                <w:color w:val="auto"/>
                <w:sz w:val="24"/>
                <w:szCs w:val="24"/>
                <w:highlight w:val="none"/>
              </w:rPr>
            </w:pPr>
          </w:p>
        </w:tc>
        <w:tc>
          <w:tcPr>
            <w:tcW w:w="1155"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top"/>
          </w:tcPr>
          <w:p w14:paraId="3648E374">
            <w:pPr>
              <w:rPr>
                <w:rFonts w:hint="default" w:ascii="宋体" w:hAnsi="宋体" w:eastAsia="宋体" w:cs="宋体"/>
                <w:color w:val="auto"/>
                <w:sz w:val="24"/>
                <w:szCs w:val="24"/>
                <w:highlight w:val="none"/>
              </w:rPr>
            </w:pPr>
          </w:p>
        </w:tc>
        <w:tc>
          <w:tcPr>
            <w:tcW w:w="4010"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top"/>
          </w:tcPr>
          <w:p w14:paraId="253F1F2E">
            <w:pPr>
              <w:rPr>
                <w:rFonts w:hint="default" w:ascii="宋体" w:hAnsi="宋体" w:eastAsia="宋体" w:cs="宋体"/>
                <w:color w:val="auto"/>
                <w:sz w:val="24"/>
                <w:szCs w:val="24"/>
                <w:highlight w:val="none"/>
              </w:rPr>
            </w:pPr>
          </w:p>
        </w:tc>
      </w:tr>
      <w:tr w14:paraId="06BB6F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0" w:hRule="exact"/>
          <w:jc w:val="center"/>
        </w:trPr>
        <w:tc>
          <w:tcPr>
            <w:tcW w:w="1745"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top"/>
          </w:tcPr>
          <w:p w14:paraId="687994A9">
            <w:pPr>
              <w:rPr>
                <w:rFonts w:hint="default" w:ascii="宋体" w:hAnsi="宋体" w:eastAsia="宋体" w:cs="宋体"/>
                <w:color w:val="auto"/>
                <w:sz w:val="24"/>
                <w:szCs w:val="24"/>
                <w:highlight w:val="none"/>
              </w:rPr>
            </w:pPr>
          </w:p>
        </w:tc>
        <w:tc>
          <w:tcPr>
            <w:tcW w:w="1155"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top"/>
          </w:tcPr>
          <w:p w14:paraId="7FA1B35C">
            <w:pPr>
              <w:rPr>
                <w:rFonts w:hint="default" w:ascii="宋体" w:hAnsi="宋体" w:eastAsia="宋体" w:cs="宋体"/>
                <w:color w:val="auto"/>
                <w:sz w:val="24"/>
                <w:szCs w:val="24"/>
                <w:highlight w:val="none"/>
              </w:rPr>
            </w:pPr>
          </w:p>
        </w:tc>
        <w:tc>
          <w:tcPr>
            <w:tcW w:w="1155"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top"/>
          </w:tcPr>
          <w:p w14:paraId="624D0AFC">
            <w:pPr>
              <w:rPr>
                <w:rFonts w:hint="default" w:ascii="宋体" w:hAnsi="宋体" w:eastAsia="宋体" w:cs="宋体"/>
                <w:color w:val="auto"/>
                <w:sz w:val="24"/>
                <w:szCs w:val="24"/>
                <w:highlight w:val="none"/>
              </w:rPr>
            </w:pPr>
          </w:p>
        </w:tc>
        <w:tc>
          <w:tcPr>
            <w:tcW w:w="1155"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top"/>
          </w:tcPr>
          <w:p w14:paraId="416E3118">
            <w:pPr>
              <w:rPr>
                <w:rFonts w:hint="default" w:ascii="宋体" w:hAnsi="宋体" w:eastAsia="宋体" w:cs="宋体"/>
                <w:color w:val="auto"/>
                <w:sz w:val="24"/>
                <w:szCs w:val="24"/>
                <w:highlight w:val="none"/>
              </w:rPr>
            </w:pPr>
          </w:p>
        </w:tc>
        <w:tc>
          <w:tcPr>
            <w:tcW w:w="4010"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top"/>
          </w:tcPr>
          <w:p w14:paraId="3A4AD2BB">
            <w:pPr>
              <w:rPr>
                <w:rFonts w:hint="default" w:ascii="宋体" w:hAnsi="宋体" w:eastAsia="宋体" w:cs="宋体"/>
                <w:color w:val="auto"/>
                <w:sz w:val="24"/>
                <w:szCs w:val="24"/>
                <w:highlight w:val="none"/>
              </w:rPr>
            </w:pPr>
          </w:p>
        </w:tc>
      </w:tr>
      <w:tr w14:paraId="6A2A7F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0" w:hRule="exact"/>
          <w:jc w:val="center"/>
        </w:trPr>
        <w:tc>
          <w:tcPr>
            <w:tcW w:w="1745"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top"/>
          </w:tcPr>
          <w:p w14:paraId="686CC0E3">
            <w:pPr>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w:t>
            </w:r>
          </w:p>
        </w:tc>
        <w:tc>
          <w:tcPr>
            <w:tcW w:w="1155"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top"/>
          </w:tcPr>
          <w:p w14:paraId="00F488BD">
            <w:pPr>
              <w:rPr>
                <w:rFonts w:hint="default" w:ascii="宋体" w:hAnsi="宋体" w:eastAsia="宋体" w:cs="宋体"/>
                <w:color w:val="auto"/>
                <w:sz w:val="24"/>
                <w:szCs w:val="24"/>
                <w:highlight w:val="none"/>
              </w:rPr>
            </w:pPr>
          </w:p>
        </w:tc>
        <w:tc>
          <w:tcPr>
            <w:tcW w:w="1155"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top"/>
          </w:tcPr>
          <w:p w14:paraId="211E9190">
            <w:pPr>
              <w:rPr>
                <w:rFonts w:hint="default" w:ascii="宋体" w:hAnsi="宋体" w:eastAsia="宋体" w:cs="宋体"/>
                <w:color w:val="auto"/>
                <w:sz w:val="24"/>
                <w:szCs w:val="24"/>
                <w:highlight w:val="none"/>
              </w:rPr>
            </w:pPr>
          </w:p>
        </w:tc>
        <w:tc>
          <w:tcPr>
            <w:tcW w:w="1155"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top"/>
          </w:tcPr>
          <w:p w14:paraId="331457CC">
            <w:pPr>
              <w:rPr>
                <w:rFonts w:hint="default" w:ascii="宋体" w:hAnsi="宋体" w:eastAsia="宋体" w:cs="宋体"/>
                <w:color w:val="auto"/>
                <w:sz w:val="24"/>
                <w:szCs w:val="24"/>
                <w:highlight w:val="none"/>
              </w:rPr>
            </w:pPr>
          </w:p>
        </w:tc>
        <w:tc>
          <w:tcPr>
            <w:tcW w:w="4010"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top"/>
          </w:tcPr>
          <w:p w14:paraId="17FFFFAD">
            <w:pPr>
              <w:rPr>
                <w:rFonts w:hint="default" w:ascii="宋体" w:hAnsi="宋体" w:eastAsia="宋体" w:cs="宋体"/>
                <w:color w:val="auto"/>
                <w:sz w:val="24"/>
                <w:szCs w:val="24"/>
                <w:highlight w:val="none"/>
              </w:rPr>
            </w:pPr>
          </w:p>
        </w:tc>
      </w:tr>
      <w:tr w14:paraId="716FAF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0" w:hRule="exact"/>
          <w:jc w:val="center"/>
        </w:trPr>
        <w:tc>
          <w:tcPr>
            <w:tcW w:w="1745"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top"/>
          </w:tcPr>
          <w:p w14:paraId="09E5301B">
            <w:pPr>
              <w:rPr>
                <w:rFonts w:hint="default" w:ascii="宋体" w:hAnsi="宋体" w:eastAsia="宋体" w:cs="宋体"/>
                <w:color w:val="auto"/>
                <w:sz w:val="24"/>
                <w:szCs w:val="24"/>
                <w:highlight w:val="none"/>
              </w:rPr>
            </w:pPr>
          </w:p>
        </w:tc>
        <w:tc>
          <w:tcPr>
            <w:tcW w:w="1155"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top"/>
          </w:tcPr>
          <w:p w14:paraId="105715D3">
            <w:pPr>
              <w:rPr>
                <w:rFonts w:hint="default" w:ascii="宋体" w:hAnsi="宋体" w:eastAsia="宋体" w:cs="宋体"/>
                <w:color w:val="auto"/>
                <w:sz w:val="24"/>
                <w:szCs w:val="24"/>
                <w:highlight w:val="none"/>
              </w:rPr>
            </w:pPr>
          </w:p>
        </w:tc>
        <w:tc>
          <w:tcPr>
            <w:tcW w:w="1155"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top"/>
          </w:tcPr>
          <w:p w14:paraId="7BFA8BE7">
            <w:pPr>
              <w:rPr>
                <w:rFonts w:hint="default" w:ascii="宋体" w:hAnsi="宋体" w:eastAsia="宋体" w:cs="宋体"/>
                <w:color w:val="auto"/>
                <w:sz w:val="24"/>
                <w:szCs w:val="24"/>
                <w:highlight w:val="none"/>
              </w:rPr>
            </w:pPr>
          </w:p>
        </w:tc>
        <w:tc>
          <w:tcPr>
            <w:tcW w:w="1155"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top"/>
          </w:tcPr>
          <w:p w14:paraId="0F3108DA">
            <w:pPr>
              <w:rPr>
                <w:rFonts w:hint="default" w:ascii="宋体" w:hAnsi="宋体" w:eastAsia="宋体" w:cs="宋体"/>
                <w:color w:val="auto"/>
                <w:sz w:val="24"/>
                <w:szCs w:val="24"/>
                <w:highlight w:val="none"/>
              </w:rPr>
            </w:pPr>
          </w:p>
        </w:tc>
        <w:tc>
          <w:tcPr>
            <w:tcW w:w="4010"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top"/>
          </w:tcPr>
          <w:p w14:paraId="468CE3EB">
            <w:pPr>
              <w:rPr>
                <w:rFonts w:hint="default" w:ascii="宋体" w:hAnsi="宋体" w:eastAsia="宋体" w:cs="宋体"/>
                <w:color w:val="auto"/>
                <w:sz w:val="24"/>
                <w:szCs w:val="24"/>
                <w:highlight w:val="none"/>
              </w:rPr>
            </w:pPr>
          </w:p>
        </w:tc>
      </w:tr>
      <w:tr w14:paraId="19F6E5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0" w:hRule="exact"/>
          <w:jc w:val="center"/>
        </w:trPr>
        <w:tc>
          <w:tcPr>
            <w:tcW w:w="1745"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top"/>
          </w:tcPr>
          <w:p w14:paraId="0654C553">
            <w:pPr>
              <w:rPr>
                <w:rFonts w:hint="default" w:ascii="宋体" w:hAnsi="宋体" w:eastAsia="宋体" w:cs="宋体"/>
                <w:color w:val="auto"/>
                <w:sz w:val="24"/>
                <w:szCs w:val="24"/>
                <w:highlight w:val="none"/>
              </w:rPr>
            </w:pPr>
          </w:p>
        </w:tc>
        <w:tc>
          <w:tcPr>
            <w:tcW w:w="1155"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top"/>
          </w:tcPr>
          <w:p w14:paraId="281E7E6F">
            <w:pPr>
              <w:rPr>
                <w:rFonts w:hint="default" w:ascii="宋体" w:hAnsi="宋体" w:eastAsia="宋体" w:cs="宋体"/>
                <w:color w:val="auto"/>
                <w:sz w:val="24"/>
                <w:szCs w:val="24"/>
                <w:highlight w:val="none"/>
              </w:rPr>
            </w:pPr>
          </w:p>
        </w:tc>
        <w:tc>
          <w:tcPr>
            <w:tcW w:w="1155"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top"/>
          </w:tcPr>
          <w:p w14:paraId="73C88208">
            <w:pPr>
              <w:rPr>
                <w:rFonts w:hint="default" w:ascii="宋体" w:hAnsi="宋体" w:eastAsia="宋体" w:cs="宋体"/>
                <w:color w:val="auto"/>
                <w:sz w:val="24"/>
                <w:szCs w:val="24"/>
                <w:highlight w:val="none"/>
              </w:rPr>
            </w:pPr>
          </w:p>
        </w:tc>
        <w:tc>
          <w:tcPr>
            <w:tcW w:w="1155"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top"/>
          </w:tcPr>
          <w:p w14:paraId="2462F92E">
            <w:pPr>
              <w:rPr>
                <w:rFonts w:hint="default" w:ascii="宋体" w:hAnsi="宋体" w:eastAsia="宋体" w:cs="宋体"/>
                <w:color w:val="auto"/>
                <w:sz w:val="24"/>
                <w:szCs w:val="24"/>
                <w:highlight w:val="none"/>
              </w:rPr>
            </w:pPr>
          </w:p>
        </w:tc>
        <w:tc>
          <w:tcPr>
            <w:tcW w:w="4010" w:type="dxa"/>
            <w:tcBorders>
              <w:top w:val="single" w:color="000000" w:sz="4" w:space="0"/>
              <w:left w:val="single" w:color="000000" w:sz="4" w:space="0"/>
              <w:bottom w:val="single" w:color="000000" w:sz="4" w:space="0"/>
              <w:right w:val="single" w:color="000000" w:sz="4" w:space="0"/>
              <w:tl2br w:val="nil"/>
              <w:tr2bl w:val="nil"/>
            </w:tcBorders>
            <w:noWrap w:val="0"/>
            <w:tcMar>
              <w:top w:w="0" w:type="dxa"/>
              <w:left w:w="108" w:type="dxa"/>
              <w:bottom w:w="0" w:type="dxa"/>
              <w:right w:w="108" w:type="dxa"/>
            </w:tcMar>
            <w:vAlign w:val="top"/>
          </w:tcPr>
          <w:p w14:paraId="4A0CB3D1">
            <w:pPr>
              <w:rPr>
                <w:rFonts w:hint="default" w:ascii="宋体" w:hAnsi="宋体" w:eastAsia="宋体" w:cs="宋体"/>
                <w:color w:val="auto"/>
                <w:sz w:val="24"/>
                <w:szCs w:val="24"/>
                <w:highlight w:val="none"/>
              </w:rPr>
            </w:pPr>
          </w:p>
        </w:tc>
      </w:tr>
    </w:tbl>
    <w:p w14:paraId="54169E9E">
      <w:pPr>
        <w:spacing w:line="440" w:lineRule="exact"/>
        <w:jc w:val="left"/>
        <w:rPr>
          <w:rFonts w:hint="default" w:ascii="宋体" w:hAnsi="宋体" w:eastAsia="宋体" w:cs="宋体"/>
          <w:color w:val="auto"/>
          <w:sz w:val="24"/>
          <w:szCs w:val="24"/>
          <w:highlight w:val="none"/>
        </w:rPr>
      </w:pPr>
    </w:p>
    <w:p w14:paraId="06068D10">
      <w:pPr>
        <w:spacing w:line="440" w:lineRule="exact"/>
        <w:jc w:val="left"/>
        <w:rPr>
          <w:rFonts w:hint="default" w:ascii="宋体" w:hAnsi="宋体" w:eastAsia="宋体" w:cs="宋体"/>
          <w:b/>
          <w:color w:val="auto"/>
          <w:sz w:val="48"/>
          <w:szCs w:val="24"/>
          <w:highlight w:val="none"/>
        </w:rPr>
      </w:pPr>
      <w:r>
        <w:rPr>
          <w:rFonts w:hint="default" w:ascii="宋体" w:hAnsi="宋体" w:eastAsia="宋体" w:cs="宋体"/>
          <w:color w:val="auto"/>
          <w:sz w:val="24"/>
          <w:szCs w:val="24"/>
          <w:highlight w:val="none"/>
        </w:rPr>
        <w:t>备注：按采购文件要求附以上各岗位人员资格证件等证明材料扫描件，以及供应商认为需要增加的其他证明材料扫描件，以上扫描件须加盖供应商电子签章。</w:t>
      </w:r>
    </w:p>
    <w:p w14:paraId="2AFBFD50">
      <w:pPr>
        <w:autoSpaceDE w:val="0"/>
        <w:autoSpaceDN w:val="0"/>
        <w:spacing w:line="360" w:lineRule="auto"/>
        <w:ind w:left="4335" w:leftChars="1950" w:hanging="240" w:hangingChars="100"/>
        <w:rPr>
          <w:rFonts w:hint="default" w:ascii="宋体" w:hAnsi="宋体" w:eastAsia="宋体" w:cs="宋体"/>
          <w:color w:val="auto"/>
          <w:kern w:val="0"/>
          <w:sz w:val="24"/>
          <w:szCs w:val="24"/>
          <w:highlight w:val="none"/>
        </w:rPr>
      </w:pPr>
    </w:p>
    <w:p w14:paraId="63C44A12">
      <w:pPr>
        <w:autoSpaceDE w:val="0"/>
        <w:autoSpaceDN w:val="0"/>
        <w:spacing w:line="360" w:lineRule="auto"/>
        <w:ind w:left="4335" w:leftChars="1950" w:hanging="240" w:hangingChars="100"/>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供应商名称（电子签章）：</w:t>
      </w:r>
    </w:p>
    <w:p w14:paraId="492CCC10">
      <w:pPr>
        <w:autoSpaceDE w:val="0"/>
        <w:autoSpaceDN w:val="0"/>
        <w:spacing w:line="360" w:lineRule="auto"/>
        <w:ind w:firstLine="6480" w:firstLineChars="2700"/>
        <w:rPr>
          <w:rFonts w:hint="default" w:ascii="宋体" w:hAnsi="宋体" w:eastAsia="宋体" w:cs="宋体"/>
          <w:color w:val="auto"/>
          <w:kern w:val="0"/>
          <w:sz w:val="24"/>
          <w:szCs w:val="24"/>
          <w:highlight w:val="none"/>
          <w:lang w:val="zh-CN"/>
        </w:rPr>
      </w:pPr>
      <w:r>
        <w:rPr>
          <w:rFonts w:hint="default" w:ascii="宋体" w:hAnsi="宋体" w:eastAsia="宋体" w:cs="宋体"/>
          <w:color w:val="auto"/>
          <w:kern w:val="0"/>
          <w:sz w:val="24"/>
          <w:szCs w:val="24"/>
          <w:highlight w:val="none"/>
          <w:lang w:val="zh-CN"/>
        </w:rPr>
        <w:t>日期：  年  月   日</w:t>
      </w:r>
    </w:p>
    <w:p w14:paraId="3BA6D87F">
      <w:pPr>
        <w:jc w:val="center"/>
        <w:rPr>
          <w:rFonts w:hint="default" w:ascii="宋体" w:hAnsi="宋体" w:eastAsia="宋体" w:cs="宋体"/>
          <w:b/>
          <w:color w:val="auto"/>
          <w:sz w:val="32"/>
          <w:szCs w:val="24"/>
          <w:highlight w:val="none"/>
        </w:rPr>
      </w:pPr>
    </w:p>
    <w:p w14:paraId="7F4024DD">
      <w:pPr>
        <w:jc w:val="center"/>
        <w:rPr>
          <w:rFonts w:hint="default" w:ascii="宋体" w:hAnsi="宋体" w:eastAsia="宋体" w:cs="宋体"/>
          <w:b/>
          <w:color w:val="auto"/>
          <w:sz w:val="32"/>
          <w:szCs w:val="24"/>
          <w:highlight w:val="none"/>
        </w:rPr>
      </w:pPr>
    </w:p>
    <w:p w14:paraId="57159CC5">
      <w:pPr>
        <w:numPr>
          <w:ilvl w:val="0"/>
          <w:numId w:val="0"/>
        </w:numPr>
        <w:spacing w:line="600" w:lineRule="exact"/>
        <w:ind w:left="210"/>
        <w:jc w:val="left"/>
        <w:rPr>
          <w:rFonts w:hint="default" w:ascii="宋体" w:hAnsi="宋体" w:eastAsia="宋体" w:cs="宋体"/>
          <w:b/>
          <w:color w:val="auto"/>
          <w:sz w:val="32"/>
          <w:szCs w:val="24"/>
          <w:highlight w:val="none"/>
        </w:rPr>
      </w:pPr>
      <w:r>
        <w:rPr>
          <w:rFonts w:hint="default" w:ascii="宋体" w:hAnsi="宋体" w:eastAsia="宋体" w:cs="宋体"/>
          <w:b/>
          <w:color w:val="auto"/>
          <w:sz w:val="32"/>
          <w:szCs w:val="24"/>
          <w:highlight w:val="none"/>
        </w:rPr>
        <w:t>十、项目经理未在其他在施建设工程项目中任职的承诺函</w:t>
      </w:r>
    </w:p>
    <w:p w14:paraId="168D305C">
      <w:pPr>
        <w:numPr>
          <w:ilvl w:val="0"/>
          <w:numId w:val="0"/>
        </w:numPr>
        <w:spacing w:line="600" w:lineRule="exact"/>
        <w:jc w:val="center"/>
        <w:rPr>
          <w:rFonts w:hint="default" w:ascii="宋体" w:hAnsi="宋体" w:eastAsia="宋体" w:cs="宋体"/>
          <w:b/>
          <w:color w:val="auto"/>
          <w:sz w:val="32"/>
          <w:szCs w:val="24"/>
          <w:highlight w:val="none"/>
        </w:rPr>
      </w:pPr>
      <w:r>
        <w:rPr>
          <w:rFonts w:hint="default" w:ascii="宋体" w:hAnsi="宋体" w:eastAsia="宋体" w:cs="宋体"/>
          <w:b/>
          <w:color w:val="auto"/>
          <w:sz w:val="32"/>
          <w:szCs w:val="24"/>
          <w:highlight w:val="none"/>
        </w:rPr>
        <w:t>（格式自拟）</w:t>
      </w:r>
    </w:p>
    <w:p w14:paraId="090FE6B4">
      <w:pPr>
        <w:pStyle w:val="7"/>
        <w:rPr>
          <w:rFonts w:hint="default" w:ascii="宋体" w:hAnsi="宋体" w:eastAsia="宋体" w:cs="宋体"/>
          <w:b/>
          <w:color w:val="auto"/>
          <w:sz w:val="32"/>
          <w:szCs w:val="24"/>
          <w:highlight w:val="none"/>
        </w:rPr>
      </w:pPr>
    </w:p>
    <w:p w14:paraId="44D9785F">
      <w:pPr>
        <w:pStyle w:val="14"/>
        <w:rPr>
          <w:rFonts w:hint="default" w:ascii="宋体" w:hAnsi="宋体" w:eastAsia="宋体" w:cs="宋体"/>
          <w:b/>
          <w:color w:val="auto"/>
          <w:sz w:val="32"/>
          <w:szCs w:val="24"/>
          <w:highlight w:val="none"/>
        </w:rPr>
      </w:pPr>
    </w:p>
    <w:p w14:paraId="581D10A8">
      <w:pPr>
        <w:rPr>
          <w:rFonts w:hint="default" w:ascii="宋体" w:hAnsi="宋体" w:eastAsia="宋体" w:cs="宋体"/>
          <w:b/>
          <w:color w:val="auto"/>
          <w:sz w:val="32"/>
          <w:szCs w:val="24"/>
          <w:highlight w:val="none"/>
        </w:rPr>
      </w:pPr>
    </w:p>
    <w:p w14:paraId="2D474FD9">
      <w:pPr>
        <w:pStyle w:val="7"/>
        <w:rPr>
          <w:rFonts w:hint="default" w:ascii="宋体" w:hAnsi="宋体" w:eastAsia="宋体" w:cs="宋体"/>
          <w:b/>
          <w:color w:val="auto"/>
          <w:sz w:val="32"/>
          <w:szCs w:val="24"/>
          <w:highlight w:val="none"/>
        </w:rPr>
      </w:pPr>
    </w:p>
    <w:p w14:paraId="516D43A9">
      <w:pPr>
        <w:pStyle w:val="14"/>
        <w:rPr>
          <w:rFonts w:hint="default" w:ascii="宋体" w:hAnsi="宋体" w:eastAsia="宋体" w:cs="宋体"/>
          <w:b/>
          <w:color w:val="auto"/>
          <w:sz w:val="32"/>
          <w:szCs w:val="24"/>
          <w:highlight w:val="none"/>
        </w:rPr>
      </w:pPr>
    </w:p>
    <w:p w14:paraId="656521C4">
      <w:pPr>
        <w:rPr>
          <w:rFonts w:hint="default" w:ascii="宋体" w:hAnsi="宋体" w:eastAsia="宋体" w:cs="宋体"/>
          <w:b/>
          <w:color w:val="auto"/>
          <w:sz w:val="32"/>
          <w:szCs w:val="24"/>
          <w:highlight w:val="none"/>
        </w:rPr>
      </w:pPr>
    </w:p>
    <w:p w14:paraId="3D44BC9D">
      <w:pPr>
        <w:pStyle w:val="7"/>
        <w:spacing w:line="480" w:lineRule="exact"/>
        <w:rPr>
          <w:rFonts w:hint="default" w:ascii="宋体" w:hAnsi="宋体" w:eastAsia="宋体" w:cs="宋体"/>
          <w:b/>
          <w:color w:val="auto"/>
          <w:sz w:val="32"/>
          <w:szCs w:val="24"/>
          <w:highlight w:val="none"/>
        </w:rPr>
      </w:pPr>
    </w:p>
    <w:p w14:paraId="6D7AA145">
      <w:pPr>
        <w:pStyle w:val="14"/>
        <w:spacing w:line="480" w:lineRule="exact"/>
        <w:ind w:firstLine="4620" w:firstLineChars="2200"/>
        <w:rPr>
          <w:rFonts w:hint="default" w:ascii="宋体" w:eastAsia="宋体"/>
          <w:color w:val="auto"/>
          <w:sz w:val="21"/>
          <w:szCs w:val="24"/>
          <w:highlight w:val="none"/>
        </w:rPr>
      </w:pPr>
      <w:r>
        <w:rPr>
          <w:rFonts w:hint="default" w:ascii="宋体" w:eastAsia="宋体"/>
          <w:color w:val="auto"/>
          <w:sz w:val="21"/>
          <w:szCs w:val="24"/>
          <w:highlight w:val="none"/>
        </w:rPr>
        <w:t>供应商名称（电子签章）：</w:t>
      </w:r>
    </w:p>
    <w:p w14:paraId="5FACC19B">
      <w:pPr>
        <w:pStyle w:val="14"/>
        <w:spacing w:line="480" w:lineRule="exact"/>
        <w:ind w:firstLine="4830" w:firstLineChars="2300"/>
        <w:rPr>
          <w:rFonts w:hint="default" w:ascii="宋体" w:eastAsia="宋体"/>
          <w:color w:val="auto"/>
          <w:sz w:val="21"/>
          <w:szCs w:val="24"/>
          <w:highlight w:val="none"/>
        </w:rPr>
      </w:pPr>
      <w:r>
        <w:rPr>
          <w:rFonts w:hint="default" w:ascii="宋体" w:eastAsia="宋体"/>
          <w:color w:val="auto"/>
          <w:sz w:val="21"/>
          <w:szCs w:val="24"/>
          <w:highlight w:val="none"/>
        </w:rPr>
        <w:t>日期：  年  月   日</w:t>
      </w:r>
    </w:p>
    <w:p w14:paraId="041A1DFA">
      <w:pPr>
        <w:pageBreakBefore/>
        <w:numPr>
          <w:ilvl w:val="0"/>
          <w:numId w:val="0"/>
        </w:numPr>
        <w:spacing w:line="560" w:lineRule="exact"/>
        <w:jc w:val="left"/>
        <w:rPr>
          <w:rFonts w:hint="default" w:ascii="宋体" w:hAnsi="宋体" w:eastAsia="宋体" w:cs="宋体"/>
          <w:b/>
          <w:color w:val="auto"/>
          <w:sz w:val="36"/>
          <w:szCs w:val="24"/>
          <w:highlight w:val="none"/>
        </w:rPr>
      </w:pPr>
      <w:r>
        <w:rPr>
          <w:rFonts w:hint="default" w:ascii="宋体" w:hAnsi="宋体" w:eastAsia="宋体" w:cs="宋体"/>
          <w:b/>
          <w:color w:val="auto"/>
          <w:sz w:val="36"/>
          <w:szCs w:val="24"/>
          <w:highlight w:val="none"/>
        </w:rPr>
        <w:t>十一、安全员未在其他在施建设工程项目中任专职安全员的承诺函（格式自拟）</w:t>
      </w:r>
    </w:p>
    <w:p w14:paraId="4148C57B">
      <w:pPr>
        <w:pStyle w:val="7"/>
        <w:numPr>
          <w:ilvl w:val="0"/>
          <w:numId w:val="0"/>
        </w:numPr>
        <w:rPr>
          <w:rFonts w:hint="eastAsia"/>
          <w:color w:val="auto"/>
          <w:sz w:val="21"/>
          <w:szCs w:val="24"/>
          <w:highlight w:val="none"/>
        </w:rPr>
      </w:pPr>
    </w:p>
    <w:p w14:paraId="74D76B8D">
      <w:pPr>
        <w:pStyle w:val="14"/>
        <w:rPr>
          <w:rFonts w:hint="eastAsia"/>
          <w:color w:val="auto"/>
          <w:sz w:val="21"/>
          <w:szCs w:val="24"/>
          <w:highlight w:val="none"/>
        </w:rPr>
      </w:pPr>
    </w:p>
    <w:p w14:paraId="77AA04AA">
      <w:pPr>
        <w:rPr>
          <w:rFonts w:hint="eastAsia"/>
          <w:color w:val="auto"/>
          <w:sz w:val="21"/>
          <w:szCs w:val="24"/>
          <w:highlight w:val="none"/>
        </w:rPr>
      </w:pPr>
    </w:p>
    <w:p w14:paraId="6E3D67FF">
      <w:pPr>
        <w:pStyle w:val="7"/>
        <w:rPr>
          <w:rFonts w:hint="eastAsia"/>
          <w:color w:val="auto"/>
          <w:sz w:val="21"/>
          <w:szCs w:val="24"/>
          <w:highlight w:val="none"/>
        </w:rPr>
      </w:pPr>
    </w:p>
    <w:p w14:paraId="64E32810">
      <w:pPr>
        <w:pStyle w:val="14"/>
        <w:rPr>
          <w:rFonts w:hint="eastAsia"/>
          <w:color w:val="auto"/>
          <w:sz w:val="21"/>
          <w:szCs w:val="24"/>
          <w:highlight w:val="none"/>
        </w:rPr>
      </w:pPr>
    </w:p>
    <w:p w14:paraId="76AF920D">
      <w:pPr>
        <w:rPr>
          <w:rFonts w:hint="eastAsia"/>
          <w:color w:val="auto"/>
          <w:sz w:val="21"/>
          <w:szCs w:val="24"/>
          <w:highlight w:val="none"/>
        </w:rPr>
      </w:pPr>
    </w:p>
    <w:p w14:paraId="73E69AB1">
      <w:pPr>
        <w:pStyle w:val="7"/>
        <w:rPr>
          <w:rFonts w:hint="eastAsia"/>
          <w:color w:val="auto"/>
          <w:sz w:val="21"/>
          <w:szCs w:val="24"/>
          <w:highlight w:val="none"/>
        </w:rPr>
      </w:pPr>
    </w:p>
    <w:p w14:paraId="437AE59B">
      <w:pPr>
        <w:pStyle w:val="14"/>
        <w:rPr>
          <w:rFonts w:hint="eastAsia"/>
          <w:color w:val="auto"/>
          <w:sz w:val="21"/>
          <w:szCs w:val="24"/>
          <w:highlight w:val="none"/>
        </w:rPr>
      </w:pPr>
    </w:p>
    <w:p w14:paraId="3F457C87">
      <w:pPr>
        <w:rPr>
          <w:rFonts w:hint="eastAsia"/>
          <w:color w:val="auto"/>
          <w:sz w:val="21"/>
          <w:szCs w:val="24"/>
          <w:highlight w:val="none"/>
        </w:rPr>
      </w:pPr>
    </w:p>
    <w:p w14:paraId="3A62C735">
      <w:pPr>
        <w:pStyle w:val="7"/>
        <w:rPr>
          <w:rFonts w:hint="eastAsia"/>
          <w:color w:val="auto"/>
          <w:sz w:val="21"/>
          <w:szCs w:val="24"/>
          <w:highlight w:val="none"/>
        </w:rPr>
      </w:pPr>
    </w:p>
    <w:p w14:paraId="09E5B298">
      <w:pPr>
        <w:pStyle w:val="14"/>
        <w:rPr>
          <w:rFonts w:hint="eastAsia"/>
          <w:color w:val="auto"/>
          <w:sz w:val="21"/>
          <w:szCs w:val="24"/>
          <w:highlight w:val="none"/>
        </w:rPr>
      </w:pPr>
    </w:p>
    <w:p w14:paraId="1D5205AC">
      <w:pPr>
        <w:pStyle w:val="14"/>
        <w:spacing w:line="480" w:lineRule="exact"/>
        <w:ind w:firstLine="4620" w:firstLineChars="2200"/>
        <w:rPr>
          <w:rFonts w:hint="default" w:ascii="宋体" w:eastAsia="宋体"/>
          <w:color w:val="auto"/>
          <w:sz w:val="21"/>
          <w:szCs w:val="24"/>
          <w:highlight w:val="none"/>
        </w:rPr>
      </w:pPr>
      <w:r>
        <w:rPr>
          <w:rFonts w:hint="default" w:ascii="宋体" w:eastAsia="宋体"/>
          <w:color w:val="auto"/>
          <w:sz w:val="21"/>
          <w:szCs w:val="24"/>
          <w:highlight w:val="none"/>
        </w:rPr>
        <w:t>供应商名称（电子签章）：</w:t>
      </w:r>
    </w:p>
    <w:p w14:paraId="408F6FFE">
      <w:pPr>
        <w:pStyle w:val="14"/>
        <w:spacing w:line="480" w:lineRule="exact"/>
        <w:ind w:firstLine="4830" w:firstLineChars="2300"/>
        <w:rPr>
          <w:rFonts w:hint="default" w:ascii="宋体" w:eastAsia="宋体"/>
          <w:color w:val="auto"/>
          <w:sz w:val="21"/>
          <w:szCs w:val="24"/>
          <w:highlight w:val="none"/>
        </w:rPr>
      </w:pPr>
      <w:r>
        <w:rPr>
          <w:rFonts w:hint="default" w:ascii="宋体" w:eastAsia="宋体"/>
          <w:color w:val="auto"/>
          <w:sz w:val="21"/>
          <w:szCs w:val="24"/>
          <w:highlight w:val="none"/>
        </w:rPr>
        <w:t>日期：  年  月   日</w:t>
      </w:r>
    </w:p>
    <w:p w14:paraId="024135D3">
      <w:pPr>
        <w:rPr>
          <w:rFonts w:hint="eastAsia"/>
          <w:color w:val="auto"/>
          <w:sz w:val="21"/>
          <w:szCs w:val="24"/>
          <w:highlight w:val="none"/>
        </w:rPr>
      </w:pPr>
    </w:p>
    <w:p w14:paraId="5CD9DB46">
      <w:pPr>
        <w:pageBreakBefore/>
        <w:numPr>
          <w:ilvl w:val="0"/>
          <w:numId w:val="0"/>
        </w:numPr>
        <w:spacing w:line="560" w:lineRule="exact"/>
        <w:jc w:val="left"/>
        <w:rPr>
          <w:rFonts w:hint="default" w:ascii="宋体" w:hAnsi="宋体" w:eastAsia="宋体" w:cs="宋体"/>
          <w:b/>
          <w:color w:val="auto"/>
          <w:sz w:val="36"/>
          <w:szCs w:val="24"/>
          <w:highlight w:val="none"/>
        </w:rPr>
      </w:pPr>
      <w:r>
        <w:rPr>
          <w:rFonts w:hint="default" w:ascii="宋体" w:hAnsi="宋体" w:eastAsia="宋体" w:cs="宋体"/>
          <w:b/>
          <w:color w:val="auto"/>
          <w:sz w:val="36"/>
          <w:szCs w:val="24"/>
          <w:highlight w:val="none"/>
        </w:rPr>
        <w:t>十二 、农民工工资保证金的交纳与使用的承诺书</w:t>
      </w:r>
    </w:p>
    <w:p w14:paraId="76BE8D00">
      <w:pPr>
        <w:spacing w:line="357" w:lineRule="atLeast"/>
        <w:jc w:val="center"/>
        <w:textAlignment w:val="baseline"/>
        <w:rPr>
          <w:rFonts w:hint="default" w:ascii="宋体" w:eastAsia="宋体"/>
          <w:color w:val="auto"/>
          <w:sz w:val="21"/>
          <w:szCs w:val="24"/>
          <w:highlight w:val="none"/>
          <w:u w:val="none" w:color="000000"/>
        </w:rPr>
      </w:pPr>
    </w:p>
    <w:p w14:paraId="7174F09A">
      <w:pPr>
        <w:widowControl/>
        <w:spacing w:line="440" w:lineRule="exact"/>
        <w:textAlignment w:val="baseline"/>
        <w:rPr>
          <w:rFonts w:hint="default" w:ascii="宋体" w:hAnsi="宋体" w:eastAsia="宋体" w:cs="宋体"/>
          <w:color w:val="auto"/>
          <w:kern w:val="0"/>
          <w:sz w:val="24"/>
          <w:szCs w:val="24"/>
          <w:highlight w:val="none"/>
          <w:u w:val="none" w:color="000000"/>
        </w:rPr>
      </w:pPr>
      <w:r>
        <w:rPr>
          <w:rFonts w:hint="default" w:ascii="宋体" w:hAnsi="宋体" w:eastAsia="宋体" w:cs="宋体"/>
          <w:color w:val="auto"/>
          <w:kern w:val="0"/>
          <w:sz w:val="24"/>
          <w:szCs w:val="24"/>
          <w:highlight w:val="none"/>
          <w:u w:val="none" w:color="000000"/>
        </w:rPr>
        <w:t>致：</w:t>
      </w:r>
      <w:r>
        <w:rPr>
          <w:rFonts w:hint="default" w:ascii="宋体" w:hAnsi="宋体" w:eastAsia="宋体" w:cs="宋体"/>
          <w:color w:val="auto"/>
          <w:kern w:val="0"/>
          <w:sz w:val="24"/>
          <w:szCs w:val="24"/>
          <w:highlight w:val="none"/>
          <w:u w:val="single" w:color="auto"/>
        </w:rPr>
        <w:t xml:space="preserve">        </w:t>
      </w:r>
      <w:r>
        <w:rPr>
          <w:rFonts w:hint="default" w:ascii="宋体" w:hAnsi="宋体" w:eastAsia="宋体" w:cs="宋体"/>
          <w:color w:val="auto"/>
          <w:kern w:val="0"/>
          <w:sz w:val="24"/>
          <w:szCs w:val="24"/>
          <w:highlight w:val="none"/>
          <w:u w:val="none" w:color="000000"/>
        </w:rPr>
        <w:t xml:space="preserve">（采购人名称）  </w:t>
      </w:r>
    </w:p>
    <w:p w14:paraId="4830E485">
      <w:pPr>
        <w:widowControl/>
        <w:spacing w:line="440" w:lineRule="exact"/>
        <w:ind w:firstLine="480" w:firstLineChars="200"/>
        <w:textAlignment w:val="baseline"/>
        <w:rPr>
          <w:rFonts w:hint="default" w:ascii="宋体" w:hAnsi="宋体" w:eastAsia="宋体" w:cs="宋体"/>
          <w:color w:val="auto"/>
          <w:kern w:val="0"/>
          <w:sz w:val="24"/>
          <w:szCs w:val="24"/>
          <w:highlight w:val="none"/>
          <w:u w:val="none" w:color="000000"/>
        </w:rPr>
      </w:pPr>
      <w:r>
        <w:rPr>
          <w:rFonts w:hint="default" w:ascii="宋体" w:hAnsi="宋体" w:eastAsia="宋体" w:cs="宋体"/>
          <w:color w:val="auto"/>
          <w:kern w:val="0"/>
          <w:sz w:val="24"/>
          <w:szCs w:val="24"/>
          <w:highlight w:val="none"/>
          <w:u w:val="none" w:color="000000"/>
        </w:rPr>
        <w:t>根据《关于建立交通行业农民工工资保证金制度的通知》（桂劳社发﹝2007﹞147号）、《关于明确农民工工资保证金制度有关问题的通知》（桂薪联发﹝2016﹞2号），在</w:t>
      </w:r>
      <w:r>
        <w:rPr>
          <w:rFonts w:hint="default" w:ascii="宋体" w:hAnsi="宋体" w:eastAsia="宋体" w:cs="宋体"/>
          <w:color w:val="auto"/>
          <w:kern w:val="0"/>
          <w:sz w:val="24"/>
          <w:szCs w:val="24"/>
          <w:highlight w:val="none"/>
          <w:u w:val="single" w:color="auto"/>
        </w:rPr>
        <w:t xml:space="preserve">        （项目名称）</w:t>
      </w:r>
      <w:r>
        <w:rPr>
          <w:rFonts w:hint="default" w:ascii="宋体" w:hAnsi="宋体" w:eastAsia="宋体" w:cs="宋体"/>
          <w:color w:val="auto"/>
          <w:kern w:val="0"/>
          <w:sz w:val="24"/>
          <w:szCs w:val="24"/>
          <w:highlight w:val="none"/>
          <w:u w:val="none" w:color="000000"/>
        </w:rPr>
        <w:t>施工的竞标中，我单位对农民工工资的支付作出以下郑重承诺：</w:t>
      </w:r>
    </w:p>
    <w:p w14:paraId="1456BFE5">
      <w:pPr>
        <w:widowControl/>
        <w:spacing w:line="440" w:lineRule="exact"/>
        <w:ind w:firstLine="480" w:firstLineChars="200"/>
        <w:textAlignment w:val="baseline"/>
        <w:rPr>
          <w:rFonts w:hint="default" w:ascii="宋体" w:hAnsi="宋体" w:eastAsia="宋体" w:cs="宋体"/>
          <w:color w:val="auto"/>
          <w:kern w:val="0"/>
          <w:sz w:val="24"/>
          <w:szCs w:val="24"/>
          <w:highlight w:val="none"/>
          <w:u w:val="none" w:color="000000"/>
        </w:rPr>
      </w:pPr>
      <w:r>
        <w:rPr>
          <w:rFonts w:hint="default" w:ascii="宋体" w:hAnsi="宋体" w:eastAsia="宋体" w:cs="宋体"/>
          <w:color w:val="auto"/>
          <w:kern w:val="0"/>
          <w:sz w:val="24"/>
          <w:szCs w:val="24"/>
          <w:highlight w:val="none"/>
          <w:u w:val="none" w:color="000000"/>
        </w:rPr>
        <w:t>（一）我单位在本项目响应文件递交截止时间</w:t>
      </w:r>
      <w:r>
        <w:rPr>
          <w:rFonts w:hint="default" w:ascii="宋体" w:hAnsi="宋体" w:eastAsia="宋体" w:cs="宋体"/>
          <w:color w:val="auto"/>
          <w:kern w:val="0"/>
          <w:sz w:val="24"/>
          <w:szCs w:val="24"/>
          <w:highlight w:val="none"/>
          <w:u w:val="single" w:color="000000"/>
        </w:rPr>
        <w:t xml:space="preserve">      年    月   日</w:t>
      </w:r>
      <w:r>
        <w:rPr>
          <w:rFonts w:hint="default" w:ascii="宋体" w:hAnsi="宋体" w:eastAsia="宋体" w:cs="宋体"/>
          <w:color w:val="auto"/>
          <w:kern w:val="0"/>
          <w:sz w:val="24"/>
          <w:szCs w:val="24"/>
          <w:highlight w:val="none"/>
          <w:u w:val="none" w:color="000000"/>
        </w:rPr>
        <w:t>（开标日）前所承建的工程项目，不存在拖欠或克扣农民工工资的行为。</w:t>
      </w:r>
    </w:p>
    <w:p w14:paraId="7AD30F3A">
      <w:pPr>
        <w:widowControl/>
        <w:spacing w:line="440" w:lineRule="exact"/>
        <w:ind w:firstLine="480" w:firstLineChars="200"/>
        <w:textAlignment w:val="baseline"/>
        <w:rPr>
          <w:rFonts w:hint="default" w:ascii="宋体" w:hAnsi="宋体" w:eastAsia="宋体" w:cs="宋体"/>
          <w:color w:val="auto"/>
          <w:kern w:val="0"/>
          <w:sz w:val="24"/>
          <w:szCs w:val="24"/>
          <w:highlight w:val="none"/>
          <w:u w:val="none" w:color="000000"/>
        </w:rPr>
      </w:pPr>
      <w:r>
        <w:rPr>
          <w:rFonts w:hint="default" w:ascii="宋体" w:hAnsi="宋体" w:eastAsia="宋体" w:cs="宋体"/>
          <w:color w:val="auto"/>
          <w:kern w:val="0"/>
          <w:sz w:val="24"/>
          <w:szCs w:val="24"/>
          <w:highlight w:val="none"/>
          <w:u w:val="none" w:color="000000"/>
        </w:rPr>
        <w:t>（二）竞标成交后，我单位同意在签订合同后在工程项目所在地商业银行开设农民工工资保证金专用账户，并按采购文件规定的农民工工资保证金额度预存一定数额的资金作为农民工工资保证金或向发包人提供由工程项目所在地（工程项目所在省区范围内）商业银行出具同等金额农民工工资保证金银行保函，并到工程项目所在地具有管辖权的人力资源社会保障部门备案。</w:t>
      </w:r>
    </w:p>
    <w:p w14:paraId="0EEA4EB4">
      <w:pPr>
        <w:widowControl/>
        <w:spacing w:line="440" w:lineRule="exact"/>
        <w:ind w:firstLine="480" w:firstLineChars="200"/>
        <w:textAlignment w:val="baseline"/>
        <w:rPr>
          <w:rFonts w:hint="default" w:ascii="宋体" w:hAnsi="宋体" w:eastAsia="宋体" w:cs="宋体"/>
          <w:color w:val="auto"/>
          <w:kern w:val="0"/>
          <w:sz w:val="24"/>
          <w:szCs w:val="24"/>
          <w:highlight w:val="none"/>
          <w:u w:val="none" w:color="000000"/>
        </w:rPr>
      </w:pPr>
      <w:r>
        <w:rPr>
          <w:rFonts w:hint="default" w:ascii="宋体" w:hAnsi="宋体" w:eastAsia="宋体" w:cs="宋体"/>
          <w:color w:val="auto"/>
          <w:kern w:val="0"/>
          <w:sz w:val="24"/>
          <w:szCs w:val="24"/>
          <w:highlight w:val="none"/>
          <w:u w:val="none" w:color="000000"/>
        </w:rPr>
        <w:t>（三）在项目实施过程中，若出现成交价与结算价不一致时，以实际结算金额按采购文件规定的计算额度存入农民工工资保证金。</w:t>
      </w:r>
    </w:p>
    <w:p w14:paraId="163D3359">
      <w:pPr>
        <w:widowControl/>
        <w:spacing w:line="440" w:lineRule="exact"/>
        <w:ind w:firstLine="480" w:firstLineChars="200"/>
        <w:textAlignment w:val="baseline"/>
        <w:rPr>
          <w:rFonts w:hint="default" w:ascii="宋体" w:hAnsi="宋体" w:eastAsia="宋体" w:cs="宋体"/>
          <w:color w:val="auto"/>
          <w:kern w:val="0"/>
          <w:sz w:val="24"/>
          <w:szCs w:val="24"/>
          <w:highlight w:val="none"/>
          <w:u w:val="none" w:color="000000"/>
        </w:rPr>
      </w:pPr>
      <w:r>
        <w:rPr>
          <w:rFonts w:hint="default" w:ascii="宋体" w:hAnsi="宋体" w:eastAsia="宋体" w:cs="宋体"/>
          <w:color w:val="auto"/>
          <w:kern w:val="0"/>
          <w:sz w:val="24"/>
          <w:szCs w:val="24"/>
          <w:highlight w:val="none"/>
          <w:u w:val="none" w:color="000000"/>
        </w:rPr>
        <w:t>（四）我单位向建设单位承诺依法足额支付农民工工资，一旦我单位（包含我单位的分包商）承建的</w:t>
      </w:r>
      <w:r>
        <w:rPr>
          <w:rFonts w:hint="default" w:ascii="宋体" w:hAnsi="宋体" w:eastAsia="宋体" w:cs="宋体"/>
          <w:color w:val="auto"/>
          <w:kern w:val="0"/>
          <w:sz w:val="24"/>
          <w:szCs w:val="24"/>
          <w:highlight w:val="none"/>
          <w:u w:val="single" w:color="auto"/>
        </w:rPr>
        <w:t xml:space="preserve">      （</w:t>
      </w:r>
      <w:r>
        <w:rPr>
          <w:rFonts w:hint="default" w:ascii="宋体" w:hAnsi="宋体" w:eastAsia="宋体" w:cs="宋体"/>
          <w:color w:val="auto"/>
          <w:kern w:val="0"/>
          <w:sz w:val="24"/>
          <w:szCs w:val="24"/>
          <w:highlight w:val="none"/>
          <w:u w:val="single" w:color="000000"/>
        </w:rPr>
        <w:t xml:space="preserve">项目名称）     </w:t>
      </w:r>
      <w:r>
        <w:rPr>
          <w:rFonts w:hint="default" w:ascii="宋体" w:hAnsi="宋体" w:eastAsia="宋体" w:cs="宋体"/>
          <w:color w:val="auto"/>
          <w:kern w:val="0"/>
          <w:sz w:val="24"/>
          <w:szCs w:val="24"/>
          <w:highlight w:val="none"/>
          <w:u w:val="none" w:color="000000"/>
        </w:rPr>
        <w:t>施工出现拖欠农民工工资情况的，可由劳动保障、交通主管部门（或授权机构）及建设单位根据相关规定从其农民工工资保证金中先予支取。</w:t>
      </w:r>
    </w:p>
    <w:p w14:paraId="31B58BD7">
      <w:pPr>
        <w:widowControl/>
        <w:spacing w:line="440" w:lineRule="exact"/>
        <w:ind w:left="-10" w:firstLine="520" w:firstLineChars="217"/>
        <w:jc w:val="left"/>
        <w:textAlignment w:val="baseline"/>
        <w:rPr>
          <w:rFonts w:hint="default" w:ascii="宋体" w:hAnsi="宋体" w:eastAsia="宋体"/>
          <w:color w:val="auto"/>
          <w:kern w:val="0"/>
          <w:sz w:val="24"/>
          <w:szCs w:val="24"/>
          <w:highlight w:val="none"/>
          <w:u w:val="none" w:color="000000"/>
        </w:rPr>
      </w:pPr>
      <w:r>
        <w:rPr>
          <w:rFonts w:hint="default" w:ascii="宋体" w:hAnsi="宋体" w:eastAsia="宋体" w:cs="宋体"/>
          <w:color w:val="auto"/>
          <w:kern w:val="0"/>
          <w:sz w:val="24"/>
          <w:szCs w:val="24"/>
          <w:highlight w:val="none"/>
          <w:u w:val="none" w:color="000000"/>
        </w:rPr>
        <w:t>（五）其它未尽事宜按《关于建立交通行业农民工工资保证金制度的通知》（桂劳社发﹝2007﹞147号）、《关于明确农民工工资保证金制度有关问题的通知》（桂薪联发﹝2016﹞2号）的有关规定执行、《关于印发广西壮族自治区公路管理局公路工程建设农民工管理实施细则（修订）的通知》(桂路工程发[2014]300号)等有关规定执行。</w:t>
      </w:r>
    </w:p>
    <w:p w14:paraId="3FD1B142">
      <w:pPr>
        <w:widowControl/>
        <w:spacing w:line="440" w:lineRule="exact"/>
        <w:ind w:left="-10" w:firstLine="520" w:firstLineChars="217"/>
        <w:jc w:val="left"/>
        <w:textAlignment w:val="baseline"/>
        <w:rPr>
          <w:rFonts w:hint="default" w:ascii="宋体" w:hAnsi="宋体" w:eastAsia="宋体" w:cs="宋体"/>
          <w:color w:val="auto"/>
          <w:kern w:val="0"/>
          <w:sz w:val="24"/>
          <w:szCs w:val="24"/>
          <w:highlight w:val="none"/>
          <w:u w:val="none" w:color="000000"/>
        </w:rPr>
      </w:pPr>
    </w:p>
    <w:p w14:paraId="1D6F54BC">
      <w:pPr>
        <w:pStyle w:val="7"/>
        <w:rPr>
          <w:rFonts w:hint="default" w:ascii="宋体" w:eastAsia="宋体"/>
          <w:color w:val="auto"/>
          <w:sz w:val="24"/>
          <w:szCs w:val="24"/>
          <w:highlight w:val="none"/>
        </w:rPr>
      </w:pPr>
    </w:p>
    <w:p w14:paraId="428BF0A0">
      <w:pPr>
        <w:widowControl/>
        <w:spacing w:line="440" w:lineRule="exact"/>
        <w:ind w:firstLine="3960" w:firstLineChars="1650"/>
        <w:textAlignment w:val="baseline"/>
        <w:rPr>
          <w:rFonts w:hint="default" w:ascii="宋体" w:eastAsia="宋体"/>
          <w:color w:val="auto"/>
          <w:kern w:val="0"/>
          <w:sz w:val="24"/>
          <w:szCs w:val="24"/>
          <w:highlight w:val="none"/>
          <w:u w:val="none" w:color="000000"/>
        </w:rPr>
      </w:pPr>
      <w:r>
        <w:rPr>
          <w:rFonts w:hint="default" w:ascii="宋体" w:eastAsia="宋体"/>
          <w:color w:val="auto"/>
          <w:kern w:val="0"/>
          <w:sz w:val="24"/>
          <w:szCs w:val="24"/>
          <w:highlight w:val="none"/>
          <w:u w:val="none" w:color="000000"/>
        </w:rPr>
        <w:t>供应商名称（电子签章）：</w:t>
      </w:r>
    </w:p>
    <w:p w14:paraId="62A7EE99">
      <w:pPr>
        <w:widowControl/>
        <w:spacing w:line="440" w:lineRule="exact"/>
        <w:ind w:firstLine="3960" w:firstLineChars="1650"/>
        <w:textAlignment w:val="baseline"/>
        <w:rPr>
          <w:rFonts w:hint="default" w:ascii="宋体" w:eastAsia="宋体"/>
          <w:color w:val="auto"/>
          <w:kern w:val="0"/>
          <w:sz w:val="24"/>
          <w:szCs w:val="24"/>
          <w:highlight w:val="none"/>
          <w:u w:val="none" w:color="000000"/>
        </w:rPr>
      </w:pPr>
      <w:r>
        <w:rPr>
          <w:rFonts w:hint="default" w:ascii="宋体" w:eastAsia="宋体"/>
          <w:color w:val="auto"/>
          <w:kern w:val="0"/>
          <w:sz w:val="24"/>
          <w:szCs w:val="24"/>
          <w:highlight w:val="none"/>
          <w:u w:val="none" w:color="000000"/>
        </w:rPr>
        <w:t>日期：  年  月   日</w:t>
      </w:r>
    </w:p>
    <w:p w14:paraId="7063E8C4">
      <w:pPr>
        <w:pStyle w:val="22"/>
        <w:spacing w:beforeLines="0" w:afterLines="0" w:line="360" w:lineRule="exact"/>
        <w:jc w:val="both"/>
        <w:rPr>
          <w:rFonts w:hint="eastAsia" w:eastAsia="黑体"/>
          <w:b w:val="0"/>
          <w:color w:val="auto"/>
          <w:sz w:val="36"/>
          <w:szCs w:val="24"/>
          <w:highlight w:val="none"/>
        </w:rPr>
      </w:pPr>
    </w:p>
    <w:p w14:paraId="4AEA3C3C">
      <w:pPr>
        <w:pStyle w:val="22"/>
        <w:spacing w:beforeLines="0" w:afterLines="0" w:line="360" w:lineRule="exact"/>
        <w:jc w:val="both"/>
        <w:rPr>
          <w:rFonts w:hint="eastAsia" w:eastAsia="黑体"/>
          <w:b w:val="0"/>
          <w:color w:val="auto"/>
          <w:sz w:val="36"/>
          <w:szCs w:val="24"/>
          <w:highlight w:val="none"/>
        </w:rPr>
      </w:pPr>
    </w:p>
    <w:p w14:paraId="3D7EF8B2">
      <w:pPr>
        <w:pStyle w:val="22"/>
        <w:spacing w:beforeLines="0" w:afterLines="0" w:line="360" w:lineRule="exact"/>
        <w:jc w:val="both"/>
        <w:rPr>
          <w:rFonts w:hint="eastAsia" w:eastAsia="黑体"/>
          <w:b w:val="0"/>
          <w:color w:val="auto"/>
          <w:sz w:val="36"/>
          <w:szCs w:val="24"/>
          <w:highlight w:val="none"/>
        </w:rPr>
      </w:pPr>
    </w:p>
    <w:p w14:paraId="585289EE">
      <w:pPr>
        <w:pageBreakBefore/>
        <w:numPr>
          <w:ilvl w:val="0"/>
          <w:numId w:val="0"/>
        </w:numPr>
        <w:spacing w:line="560" w:lineRule="exact"/>
        <w:jc w:val="left"/>
        <w:rPr>
          <w:rFonts w:hint="eastAsia" w:ascii="宋体" w:hAnsi="宋体" w:eastAsia="宋体" w:cs="宋体"/>
          <w:b/>
          <w:color w:val="auto"/>
          <w:sz w:val="36"/>
          <w:szCs w:val="24"/>
          <w:highlight w:val="none"/>
          <w:lang w:eastAsia="zh-CN"/>
        </w:rPr>
      </w:pPr>
      <w:r>
        <w:rPr>
          <w:rFonts w:hint="eastAsia" w:ascii="宋体" w:hAnsi="宋体" w:eastAsia="宋体" w:cs="宋体"/>
          <w:b/>
          <w:color w:val="auto"/>
          <w:sz w:val="36"/>
          <w:szCs w:val="24"/>
          <w:highlight w:val="none"/>
        </w:rPr>
        <w:t>十三、</w:t>
      </w:r>
      <w:r>
        <w:rPr>
          <w:rFonts w:hint="default" w:ascii="宋体" w:hAnsi="宋体" w:eastAsia="宋体" w:cs="宋体"/>
          <w:b/>
          <w:color w:val="auto"/>
          <w:sz w:val="36"/>
          <w:szCs w:val="24"/>
          <w:highlight w:val="none"/>
          <w:lang w:eastAsia="zh-CN"/>
        </w:rPr>
        <w:t>施工组织设计</w:t>
      </w:r>
    </w:p>
    <w:p w14:paraId="72DD73A0">
      <w:pPr>
        <w:pStyle w:val="24"/>
        <w:spacing w:beforeLines="0" w:afterLines="0" w:line="360" w:lineRule="exact"/>
        <w:ind w:firstLine="480" w:firstLineChars="200"/>
        <w:jc w:val="both"/>
        <w:rPr>
          <w:rStyle w:val="19"/>
          <w:rFonts w:hint="eastAsia" w:ascii="Times New Roman" w:hAnsi="Times New Roman" w:eastAsia="Times New Roman" w:cs="Times New Roman"/>
          <w:color w:val="auto"/>
          <w:sz w:val="24"/>
          <w:szCs w:val="24"/>
          <w:highlight w:val="none"/>
          <w:lang w:val="en-US"/>
        </w:rPr>
      </w:pPr>
      <w:bookmarkStart w:id="80" w:name="bookmark2220"/>
      <w:bookmarkEnd w:id="80"/>
    </w:p>
    <w:p w14:paraId="0042CE69">
      <w:pPr>
        <w:pStyle w:val="24"/>
        <w:spacing w:beforeLines="0" w:afterLines="0" w:line="360" w:lineRule="exact"/>
        <w:ind w:firstLine="480" w:firstLineChars="200"/>
        <w:jc w:val="both"/>
        <w:rPr>
          <w:rStyle w:val="19"/>
          <w:rFonts w:hint="eastAsia" w:ascii="Times New Roman" w:hAnsi="Times New Roman" w:eastAsia="Times New Roman" w:cs="Times New Roman"/>
          <w:color w:val="auto"/>
          <w:sz w:val="24"/>
          <w:szCs w:val="24"/>
          <w:highlight w:val="none"/>
        </w:rPr>
      </w:pPr>
      <w:r>
        <w:rPr>
          <w:rStyle w:val="19"/>
          <w:rFonts w:hint="eastAsia" w:ascii="Times New Roman" w:hAnsi="Times New Roman" w:eastAsia="Times New Roman" w:cs="Times New Roman"/>
          <w:color w:val="auto"/>
          <w:sz w:val="24"/>
          <w:szCs w:val="24"/>
          <w:highlight w:val="none"/>
          <w:lang w:val="en-US"/>
        </w:rPr>
        <w:t>1.</w:t>
      </w:r>
      <w:r>
        <w:rPr>
          <w:rStyle w:val="19"/>
          <w:rFonts w:hint="default" w:hAnsi="Times New Roman" w:cs="Times New Roman"/>
          <w:color w:val="auto"/>
          <w:sz w:val="24"/>
          <w:szCs w:val="24"/>
          <w:highlight w:val="none"/>
        </w:rPr>
        <w:t>投标人编制施工组织设计时，应采用文字并结合图表形式说明工程的施工组织、施工方法、技术组织措施，同时应对关键工序、复杂环节重点提出相应技术措施，如冬雨季施工技术、减少噪音、降低环境污染、地下管线及其它地上地下设施的保护加固措施等。 施工组织设计还应结合工程特点提出切实可行的工程质量、工程进度、安全生产、防汛度 汛、文明施工、水土保持、环境保护管理方案。</w:t>
      </w:r>
    </w:p>
    <w:p w14:paraId="324D463C">
      <w:pPr>
        <w:pStyle w:val="24"/>
        <w:spacing w:beforeLines="0" w:afterLines="0" w:line="360" w:lineRule="exact"/>
        <w:ind w:firstLine="440"/>
        <w:jc w:val="both"/>
        <w:rPr>
          <w:rStyle w:val="19"/>
          <w:rFonts w:hint="eastAsia" w:ascii="Times New Roman" w:hAnsi="Times New Roman" w:eastAsia="Times New Roman" w:cs="Times New Roman"/>
          <w:color w:val="auto"/>
          <w:sz w:val="24"/>
          <w:szCs w:val="24"/>
          <w:highlight w:val="none"/>
        </w:rPr>
      </w:pPr>
      <w:r>
        <w:rPr>
          <w:rStyle w:val="19"/>
          <w:rFonts w:hint="default" w:hAnsi="Times New Roman" w:cs="Times New Roman"/>
          <w:color w:val="auto"/>
          <w:sz w:val="24"/>
          <w:szCs w:val="24"/>
          <w:highlight w:val="none"/>
        </w:rPr>
        <w:t>施工组织设计应附的文字说明如下(不限于，仅供参考)：</w:t>
      </w:r>
    </w:p>
    <w:p w14:paraId="6E6AC500">
      <w:pPr>
        <w:pStyle w:val="24"/>
        <w:tabs>
          <w:tab w:val="left" w:pos="923"/>
        </w:tabs>
        <w:spacing w:beforeLines="0" w:afterLines="0" w:line="360" w:lineRule="exact"/>
        <w:ind w:firstLine="480" w:firstLineChars="200"/>
        <w:jc w:val="both"/>
        <w:rPr>
          <w:rStyle w:val="19"/>
          <w:rFonts w:hint="eastAsia" w:ascii="Times New Roman" w:hAnsi="Times New Roman" w:eastAsia="Times New Roman" w:cs="Times New Roman"/>
          <w:color w:val="auto"/>
          <w:sz w:val="24"/>
          <w:szCs w:val="24"/>
          <w:highlight w:val="none"/>
        </w:rPr>
      </w:pPr>
      <w:bookmarkStart w:id="81" w:name="bookmark2221"/>
      <w:bookmarkEnd w:id="81"/>
      <w:r>
        <w:rPr>
          <w:rStyle w:val="19"/>
          <w:rFonts w:hint="default" w:hAnsi="Times New Roman" w:cs="Times New Roman"/>
          <w:color w:val="auto"/>
          <w:sz w:val="24"/>
          <w:szCs w:val="24"/>
          <w:highlight w:val="none"/>
        </w:rPr>
        <w:t>（</w:t>
      </w:r>
      <w:r>
        <w:rPr>
          <w:rStyle w:val="19"/>
          <w:rFonts w:hint="eastAsia" w:ascii="Times New Roman" w:hAnsi="Times New Roman" w:eastAsia="Times New Roman" w:cs="Times New Roman"/>
          <w:color w:val="auto"/>
          <w:sz w:val="24"/>
          <w:szCs w:val="24"/>
          <w:highlight w:val="none"/>
          <w:lang w:val="en-US"/>
        </w:rPr>
        <w:t>1</w:t>
      </w:r>
      <w:r>
        <w:rPr>
          <w:rStyle w:val="19"/>
          <w:rFonts w:hint="default" w:hAnsi="Times New Roman" w:cs="Times New Roman"/>
          <w:color w:val="auto"/>
          <w:sz w:val="24"/>
          <w:szCs w:val="24"/>
          <w:highlight w:val="none"/>
        </w:rPr>
        <w:t>）施工方案与技术措施；</w:t>
      </w:r>
    </w:p>
    <w:p w14:paraId="2AE6F17A">
      <w:pPr>
        <w:pStyle w:val="24"/>
        <w:tabs>
          <w:tab w:val="left" w:pos="923"/>
        </w:tabs>
        <w:spacing w:beforeLines="0" w:afterLines="0" w:line="360" w:lineRule="exact"/>
        <w:ind w:firstLine="480" w:firstLineChars="200"/>
        <w:jc w:val="both"/>
        <w:rPr>
          <w:rStyle w:val="19"/>
          <w:rFonts w:hint="eastAsia" w:ascii="Times New Roman" w:hAnsi="Times New Roman" w:eastAsia="Times New Roman" w:cs="Times New Roman"/>
          <w:color w:val="auto"/>
          <w:sz w:val="24"/>
          <w:szCs w:val="24"/>
          <w:highlight w:val="none"/>
        </w:rPr>
      </w:pPr>
      <w:bookmarkStart w:id="82" w:name="bookmark2222"/>
      <w:bookmarkEnd w:id="82"/>
      <w:r>
        <w:rPr>
          <w:rStyle w:val="19"/>
          <w:rFonts w:hint="default" w:hAnsi="Times New Roman" w:cs="Times New Roman"/>
          <w:color w:val="auto"/>
          <w:sz w:val="24"/>
          <w:szCs w:val="24"/>
          <w:highlight w:val="none"/>
        </w:rPr>
        <w:t>（</w:t>
      </w:r>
      <w:r>
        <w:rPr>
          <w:rStyle w:val="19"/>
          <w:rFonts w:hint="eastAsia" w:ascii="Times New Roman" w:hAnsi="Times New Roman" w:eastAsia="Times New Roman" w:cs="Times New Roman"/>
          <w:color w:val="auto"/>
          <w:sz w:val="24"/>
          <w:szCs w:val="24"/>
          <w:highlight w:val="none"/>
          <w:lang w:val="en-US"/>
        </w:rPr>
        <w:t>2</w:t>
      </w:r>
      <w:r>
        <w:rPr>
          <w:rStyle w:val="19"/>
          <w:rFonts w:hint="default" w:hAnsi="Times New Roman" w:cs="Times New Roman"/>
          <w:color w:val="auto"/>
          <w:sz w:val="24"/>
          <w:szCs w:val="24"/>
          <w:highlight w:val="none"/>
        </w:rPr>
        <w:t>）质量管理体系与措施；</w:t>
      </w:r>
    </w:p>
    <w:p w14:paraId="317D12F1">
      <w:pPr>
        <w:pStyle w:val="24"/>
        <w:tabs>
          <w:tab w:val="left" w:pos="923"/>
        </w:tabs>
        <w:spacing w:beforeLines="0" w:afterLines="0" w:line="360" w:lineRule="exact"/>
        <w:ind w:firstLine="480" w:firstLineChars="200"/>
        <w:jc w:val="both"/>
        <w:rPr>
          <w:rStyle w:val="19"/>
          <w:rFonts w:hint="eastAsia" w:ascii="Times New Roman" w:hAnsi="Times New Roman" w:eastAsia="Times New Roman" w:cs="Times New Roman"/>
          <w:color w:val="auto"/>
          <w:sz w:val="24"/>
          <w:szCs w:val="24"/>
          <w:highlight w:val="none"/>
        </w:rPr>
      </w:pPr>
      <w:bookmarkStart w:id="83" w:name="bookmark2223"/>
      <w:bookmarkEnd w:id="83"/>
      <w:r>
        <w:rPr>
          <w:rStyle w:val="19"/>
          <w:rFonts w:hint="default" w:hAnsi="Times New Roman" w:cs="Times New Roman"/>
          <w:color w:val="auto"/>
          <w:sz w:val="24"/>
          <w:szCs w:val="24"/>
          <w:highlight w:val="none"/>
        </w:rPr>
        <w:t>（</w:t>
      </w:r>
      <w:r>
        <w:rPr>
          <w:rStyle w:val="19"/>
          <w:rFonts w:hint="eastAsia" w:ascii="Times New Roman" w:hAnsi="Times New Roman" w:eastAsia="Times New Roman" w:cs="Times New Roman"/>
          <w:color w:val="auto"/>
          <w:sz w:val="24"/>
          <w:szCs w:val="24"/>
          <w:highlight w:val="none"/>
          <w:lang w:val="en-US"/>
        </w:rPr>
        <w:t>3</w:t>
      </w:r>
      <w:r>
        <w:rPr>
          <w:rStyle w:val="19"/>
          <w:rFonts w:hint="default" w:hAnsi="Times New Roman" w:cs="Times New Roman"/>
          <w:color w:val="auto"/>
          <w:sz w:val="24"/>
          <w:szCs w:val="24"/>
          <w:highlight w:val="none"/>
        </w:rPr>
        <w:t>）安全管理体系与措施；</w:t>
      </w:r>
    </w:p>
    <w:p w14:paraId="192ACCD0">
      <w:pPr>
        <w:pStyle w:val="24"/>
        <w:tabs>
          <w:tab w:val="left" w:pos="923"/>
        </w:tabs>
        <w:spacing w:beforeLines="0" w:afterLines="0" w:line="360" w:lineRule="exact"/>
        <w:ind w:firstLine="480" w:firstLineChars="200"/>
        <w:jc w:val="both"/>
        <w:rPr>
          <w:rStyle w:val="19"/>
          <w:rFonts w:hint="eastAsia" w:ascii="Times New Roman" w:hAnsi="Times New Roman" w:eastAsia="Times New Roman" w:cs="Times New Roman"/>
          <w:color w:val="auto"/>
          <w:sz w:val="24"/>
          <w:szCs w:val="24"/>
          <w:highlight w:val="none"/>
        </w:rPr>
      </w:pPr>
      <w:bookmarkStart w:id="84" w:name="bookmark2224"/>
      <w:bookmarkEnd w:id="84"/>
      <w:r>
        <w:rPr>
          <w:rStyle w:val="19"/>
          <w:rFonts w:hint="default" w:hAnsi="Times New Roman" w:cs="Times New Roman"/>
          <w:color w:val="auto"/>
          <w:sz w:val="24"/>
          <w:szCs w:val="24"/>
          <w:highlight w:val="none"/>
        </w:rPr>
        <w:t>（</w:t>
      </w:r>
      <w:r>
        <w:rPr>
          <w:rStyle w:val="19"/>
          <w:rFonts w:hint="eastAsia" w:ascii="Times New Roman" w:hAnsi="Times New Roman" w:eastAsia="Times New Roman" w:cs="Times New Roman"/>
          <w:color w:val="auto"/>
          <w:sz w:val="24"/>
          <w:szCs w:val="24"/>
          <w:highlight w:val="none"/>
          <w:lang w:val="en-US"/>
        </w:rPr>
        <w:t>4</w:t>
      </w:r>
      <w:r>
        <w:rPr>
          <w:rStyle w:val="19"/>
          <w:rFonts w:hint="default" w:hAnsi="Times New Roman" w:cs="Times New Roman"/>
          <w:color w:val="auto"/>
          <w:sz w:val="24"/>
          <w:szCs w:val="24"/>
          <w:highlight w:val="none"/>
        </w:rPr>
        <w:t>）环境保护管理体系与措施；</w:t>
      </w:r>
    </w:p>
    <w:p w14:paraId="1F1F3387">
      <w:pPr>
        <w:pStyle w:val="24"/>
        <w:tabs>
          <w:tab w:val="left" w:pos="923"/>
        </w:tabs>
        <w:spacing w:beforeLines="0" w:afterLines="0" w:line="360" w:lineRule="exact"/>
        <w:ind w:firstLine="480" w:firstLineChars="200"/>
        <w:jc w:val="both"/>
        <w:rPr>
          <w:rStyle w:val="19"/>
          <w:rFonts w:hint="eastAsia" w:ascii="Times New Roman" w:hAnsi="Times New Roman" w:eastAsia="Times New Roman" w:cs="Times New Roman"/>
          <w:color w:val="auto"/>
          <w:sz w:val="24"/>
          <w:szCs w:val="24"/>
          <w:highlight w:val="none"/>
        </w:rPr>
      </w:pPr>
      <w:bookmarkStart w:id="85" w:name="bookmark2225"/>
      <w:bookmarkEnd w:id="85"/>
      <w:r>
        <w:rPr>
          <w:rStyle w:val="19"/>
          <w:rFonts w:hint="default" w:hAnsi="Times New Roman" w:cs="Times New Roman"/>
          <w:color w:val="auto"/>
          <w:sz w:val="24"/>
          <w:szCs w:val="24"/>
          <w:highlight w:val="none"/>
        </w:rPr>
        <w:t>（</w:t>
      </w:r>
      <w:r>
        <w:rPr>
          <w:rStyle w:val="19"/>
          <w:rFonts w:hint="eastAsia" w:ascii="Times New Roman" w:hAnsi="Times New Roman" w:eastAsia="Times New Roman" w:cs="Times New Roman"/>
          <w:color w:val="auto"/>
          <w:sz w:val="24"/>
          <w:szCs w:val="24"/>
          <w:highlight w:val="none"/>
          <w:lang w:val="en-US"/>
        </w:rPr>
        <w:t>5</w:t>
      </w:r>
      <w:r>
        <w:rPr>
          <w:rStyle w:val="19"/>
          <w:rFonts w:hint="default" w:hAnsi="Times New Roman" w:cs="Times New Roman"/>
          <w:color w:val="auto"/>
          <w:sz w:val="24"/>
          <w:szCs w:val="24"/>
          <w:highlight w:val="none"/>
        </w:rPr>
        <w:t>）工程进度计划与措施；</w:t>
      </w:r>
    </w:p>
    <w:p w14:paraId="32884F6A">
      <w:pPr>
        <w:pStyle w:val="24"/>
        <w:tabs>
          <w:tab w:val="left" w:pos="923"/>
        </w:tabs>
        <w:spacing w:beforeLines="0" w:after="320" w:afterLines="0" w:line="360" w:lineRule="exact"/>
        <w:ind w:firstLine="480" w:firstLineChars="200"/>
        <w:jc w:val="both"/>
        <w:rPr>
          <w:rStyle w:val="19"/>
          <w:rFonts w:hint="eastAsia" w:ascii="Times New Roman" w:hAnsi="Times New Roman" w:eastAsia="Times New Roman" w:cs="Times New Roman"/>
          <w:color w:val="auto"/>
          <w:sz w:val="24"/>
          <w:szCs w:val="24"/>
          <w:highlight w:val="none"/>
        </w:rPr>
      </w:pPr>
      <w:bookmarkStart w:id="86" w:name="bookmark2226"/>
      <w:bookmarkEnd w:id="86"/>
      <w:r>
        <w:rPr>
          <w:rStyle w:val="19"/>
          <w:rFonts w:hint="default" w:hAnsi="Times New Roman" w:cs="Times New Roman"/>
          <w:color w:val="auto"/>
          <w:sz w:val="24"/>
          <w:szCs w:val="24"/>
          <w:highlight w:val="none"/>
        </w:rPr>
        <w:t>（</w:t>
      </w:r>
      <w:r>
        <w:rPr>
          <w:rStyle w:val="19"/>
          <w:rFonts w:hint="eastAsia" w:ascii="Times New Roman" w:hAnsi="Times New Roman" w:eastAsia="Times New Roman" w:cs="Times New Roman"/>
          <w:color w:val="auto"/>
          <w:sz w:val="24"/>
          <w:szCs w:val="24"/>
          <w:highlight w:val="none"/>
          <w:lang w:val="en-US"/>
        </w:rPr>
        <w:t>6</w:t>
      </w:r>
      <w:r>
        <w:rPr>
          <w:rStyle w:val="19"/>
          <w:rFonts w:hint="default" w:hAnsi="Times New Roman" w:cs="Times New Roman"/>
          <w:color w:val="auto"/>
          <w:sz w:val="24"/>
          <w:szCs w:val="24"/>
          <w:highlight w:val="none"/>
        </w:rPr>
        <w:t>）资源配备计划；</w:t>
      </w:r>
    </w:p>
    <w:p w14:paraId="73CBCE0E">
      <w:pPr>
        <w:pStyle w:val="24"/>
        <w:tabs>
          <w:tab w:val="left" w:pos="923"/>
        </w:tabs>
        <w:spacing w:beforeLines="0" w:after="320" w:afterLines="0" w:line="360" w:lineRule="exact"/>
        <w:ind w:firstLine="480" w:firstLineChars="200"/>
        <w:jc w:val="both"/>
        <w:rPr>
          <w:rStyle w:val="19"/>
          <w:rFonts w:hint="eastAsia" w:ascii="Times New Roman" w:hAnsi="Times New Roman" w:eastAsia="Times New Roman" w:cs="Times New Roman"/>
          <w:color w:val="auto"/>
          <w:sz w:val="24"/>
          <w:szCs w:val="24"/>
          <w:highlight w:val="none"/>
          <w:lang w:val="en-US"/>
        </w:rPr>
      </w:pPr>
      <w:r>
        <w:rPr>
          <w:rStyle w:val="19"/>
          <w:rFonts w:hint="eastAsia" w:ascii="Times New Roman" w:hAnsi="Times New Roman" w:eastAsia="Times New Roman" w:cs="Times New Roman"/>
          <w:color w:val="auto"/>
          <w:sz w:val="24"/>
          <w:szCs w:val="24"/>
          <w:highlight w:val="none"/>
          <w:lang w:val="en-US"/>
        </w:rPr>
        <w:t>......</w:t>
      </w:r>
    </w:p>
    <w:p w14:paraId="5FACBA4A">
      <w:pPr>
        <w:pStyle w:val="24"/>
        <w:spacing w:beforeLines="0" w:afterLines="0" w:line="360" w:lineRule="exact"/>
        <w:ind w:firstLine="480" w:firstLineChars="200"/>
        <w:jc w:val="both"/>
        <w:rPr>
          <w:rStyle w:val="19"/>
          <w:rFonts w:hint="eastAsia" w:ascii="Times New Roman" w:hAnsi="Times New Roman" w:eastAsia="Times New Roman" w:cs="Times New Roman"/>
          <w:color w:val="auto"/>
          <w:sz w:val="24"/>
          <w:szCs w:val="24"/>
          <w:highlight w:val="none"/>
          <w:lang w:val="en-US"/>
        </w:rPr>
      </w:pPr>
      <w:bookmarkStart w:id="87" w:name="bookmark2227"/>
      <w:bookmarkEnd w:id="87"/>
      <w:r>
        <w:rPr>
          <w:rStyle w:val="19"/>
          <w:rFonts w:hint="eastAsia" w:ascii="Times New Roman" w:hAnsi="Times New Roman" w:eastAsia="Times New Roman" w:cs="Times New Roman"/>
          <w:color w:val="auto"/>
          <w:sz w:val="24"/>
          <w:szCs w:val="24"/>
          <w:highlight w:val="none"/>
          <w:lang w:val="en-US"/>
        </w:rPr>
        <w:t>2.</w:t>
      </w:r>
      <w:r>
        <w:rPr>
          <w:rStyle w:val="19"/>
          <w:rFonts w:hint="default" w:hAnsi="Times New Roman" w:cs="Times New Roman"/>
          <w:color w:val="auto"/>
          <w:sz w:val="24"/>
          <w:szCs w:val="24"/>
          <w:highlight w:val="none"/>
          <w:lang w:val="en-US"/>
        </w:rPr>
        <w:t>施工组织设计除采用文字表述外宜附下列图表，图表及格式要求附后。</w:t>
      </w:r>
    </w:p>
    <w:p w14:paraId="154FA584">
      <w:pPr>
        <w:pStyle w:val="24"/>
        <w:spacing w:beforeLines="0" w:afterLines="0" w:line="360" w:lineRule="exact"/>
        <w:ind w:left="440" w:firstLine="0"/>
        <w:jc w:val="both"/>
        <w:rPr>
          <w:rStyle w:val="19"/>
          <w:rFonts w:hint="eastAsia" w:ascii="Times New Roman" w:hAnsi="Times New Roman" w:eastAsia="Times New Roman" w:cs="Times New Roman"/>
          <w:color w:val="auto"/>
          <w:sz w:val="24"/>
          <w:szCs w:val="24"/>
          <w:highlight w:val="none"/>
        </w:rPr>
      </w:pPr>
      <w:r>
        <w:rPr>
          <w:rStyle w:val="19"/>
          <w:rFonts w:hint="default" w:hAnsi="Times New Roman" w:cs="Times New Roman"/>
          <w:color w:val="auto"/>
          <w:sz w:val="24"/>
          <w:szCs w:val="24"/>
          <w:highlight w:val="none"/>
        </w:rPr>
        <w:t>（</w:t>
      </w:r>
      <w:r>
        <w:rPr>
          <w:rStyle w:val="19"/>
          <w:rFonts w:hint="eastAsia" w:ascii="Times New Roman" w:hAnsi="Times New Roman" w:eastAsia="Times New Roman" w:cs="Times New Roman"/>
          <w:color w:val="auto"/>
          <w:sz w:val="24"/>
          <w:szCs w:val="24"/>
          <w:highlight w:val="none"/>
          <w:lang w:val="en-US"/>
        </w:rPr>
        <w:t>7</w:t>
      </w:r>
      <w:r>
        <w:rPr>
          <w:rStyle w:val="19"/>
          <w:rFonts w:hint="default" w:hAnsi="Times New Roman" w:cs="Times New Roman"/>
          <w:color w:val="auto"/>
          <w:sz w:val="24"/>
          <w:szCs w:val="24"/>
          <w:highlight w:val="none"/>
          <w:lang w:val="en-US"/>
        </w:rPr>
        <w:t>）</w:t>
      </w:r>
      <w:r>
        <w:rPr>
          <w:rStyle w:val="19"/>
          <w:rFonts w:hint="default" w:hAnsi="Times New Roman" w:cs="Times New Roman"/>
          <w:color w:val="auto"/>
          <w:sz w:val="24"/>
          <w:szCs w:val="24"/>
          <w:highlight w:val="none"/>
        </w:rPr>
        <w:t>拟投入本合同工程的主要施工设备表</w:t>
      </w:r>
    </w:p>
    <w:p w14:paraId="342C1320">
      <w:pPr>
        <w:pStyle w:val="24"/>
        <w:spacing w:beforeLines="0" w:afterLines="0" w:line="360" w:lineRule="exact"/>
        <w:ind w:firstLine="420"/>
        <w:jc w:val="both"/>
        <w:rPr>
          <w:rStyle w:val="19"/>
          <w:rFonts w:hint="eastAsia" w:ascii="Times New Roman" w:hAnsi="Times New Roman" w:eastAsia="Times New Roman" w:cs="Times New Roman"/>
          <w:color w:val="auto"/>
          <w:sz w:val="24"/>
          <w:szCs w:val="24"/>
          <w:highlight w:val="none"/>
        </w:rPr>
      </w:pPr>
      <w:r>
        <w:rPr>
          <w:rStyle w:val="19"/>
          <w:rFonts w:hint="default" w:hAnsi="Times New Roman" w:cs="Times New Roman"/>
          <w:color w:val="auto"/>
          <w:sz w:val="24"/>
          <w:szCs w:val="24"/>
          <w:highlight w:val="none"/>
        </w:rPr>
        <w:t>（</w:t>
      </w:r>
      <w:r>
        <w:rPr>
          <w:rStyle w:val="19"/>
          <w:rFonts w:hint="eastAsia" w:ascii="Times New Roman" w:hAnsi="Times New Roman" w:eastAsia="Times New Roman" w:cs="Times New Roman"/>
          <w:color w:val="auto"/>
          <w:sz w:val="24"/>
          <w:szCs w:val="24"/>
          <w:highlight w:val="none"/>
          <w:lang w:val="en-US"/>
        </w:rPr>
        <w:t>8</w:t>
      </w:r>
      <w:r>
        <w:rPr>
          <w:rStyle w:val="19"/>
          <w:rFonts w:hint="default" w:hAnsi="Times New Roman" w:cs="Times New Roman"/>
          <w:color w:val="auto"/>
          <w:sz w:val="24"/>
          <w:szCs w:val="24"/>
          <w:highlight w:val="none"/>
          <w:lang w:val="en-US"/>
        </w:rPr>
        <w:t>）</w:t>
      </w:r>
      <w:r>
        <w:rPr>
          <w:rStyle w:val="19"/>
          <w:rFonts w:hint="default" w:hAnsi="Times New Roman" w:cs="Times New Roman"/>
          <w:color w:val="auto"/>
          <w:sz w:val="24"/>
          <w:szCs w:val="24"/>
          <w:highlight w:val="none"/>
        </w:rPr>
        <w:t>拟投入本合同工程的试验和检测仪器设备表</w:t>
      </w:r>
    </w:p>
    <w:p w14:paraId="023F1EE1">
      <w:pPr>
        <w:pStyle w:val="24"/>
        <w:spacing w:beforeLines="0" w:afterLines="0" w:line="360" w:lineRule="exact"/>
        <w:ind w:firstLine="420"/>
        <w:jc w:val="both"/>
        <w:rPr>
          <w:rStyle w:val="19"/>
          <w:rFonts w:hint="eastAsia" w:ascii="Times New Roman" w:hAnsi="Times New Roman" w:eastAsia="Times New Roman" w:cs="Times New Roman"/>
          <w:color w:val="auto"/>
          <w:sz w:val="24"/>
          <w:szCs w:val="24"/>
          <w:highlight w:val="none"/>
        </w:rPr>
      </w:pPr>
      <w:r>
        <w:rPr>
          <w:rStyle w:val="19"/>
          <w:rFonts w:hint="default" w:hAnsi="Times New Roman" w:cs="Times New Roman"/>
          <w:color w:val="auto"/>
          <w:sz w:val="24"/>
          <w:szCs w:val="24"/>
          <w:highlight w:val="none"/>
        </w:rPr>
        <w:t>（</w:t>
      </w:r>
      <w:r>
        <w:rPr>
          <w:rStyle w:val="19"/>
          <w:rFonts w:hint="eastAsia" w:ascii="Times New Roman" w:hAnsi="Times New Roman" w:eastAsia="Times New Roman" w:cs="Times New Roman"/>
          <w:color w:val="auto"/>
          <w:sz w:val="24"/>
          <w:szCs w:val="24"/>
          <w:highlight w:val="none"/>
          <w:lang w:val="en-US"/>
        </w:rPr>
        <w:t>9</w:t>
      </w:r>
      <w:r>
        <w:rPr>
          <w:rStyle w:val="19"/>
          <w:rFonts w:hint="default" w:hAnsi="Times New Roman" w:cs="Times New Roman"/>
          <w:color w:val="auto"/>
          <w:sz w:val="24"/>
          <w:szCs w:val="24"/>
          <w:highlight w:val="none"/>
          <w:lang w:val="en-US"/>
        </w:rPr>
        <w:t>）</w:t>
      </w:r>
      <w:r>
        <w:rPr>
          <w:rStyle w:val="19"/>
          <w:rFonts w:hint="default" w:hAnsi="Times New Roman" w:cs="Times New Roman"/>
          <w:color w:val="auto"/>
          <w:sz w:val="24"/>
          <w:szCs w:val="24"/>
          <w:highlight w:val="none"/>
        </w:rPr>
        <w:t>拟投入本合同工程的劳动力计划表</w:t>
      </w:r>
    </w:p>
    <w:p w14:paraId="0DBCF1F5">
      <w:pPr>
        <w:pStyle w:val="24"/>
        <w:spacing w:beforeLines="0" w:afterLines="0" w:line="360" w:lineRule="exact"/>
        <w:ind w:firstLine="420"/>
        <w:jc w:val="both"/>
        <w:rPr>
          <w:rStyle w:val="19"/>
          <w:rFonts w:hint="eastAsia" w:ascii="Times New Roman" w:hAnsi="Times New Roman" w:eastAsia="Times New Roman" w:cs="Times New Roman"/>
          <w:color w:val="auto"/>
          <w:sz w:val="24"/>
          <w:szCs w:val="24"/>
          <w:highlight w:val="none"/>
        </w:rPr>
      </w:pPr>
      <w:r>
        <w:rPr>
          <w:rStyle w:val="19"/>
          <w:rFonts w:hint="default" w:hAnsi="Times New Roman" w:cs="Times New Roman"/>
          <w:color w:val="auto"/>
          <w:sz w:val="24"/>
          <w:szCs w:val="24"/>
          <w:highlight w:val="none"/>
        </w:rPr>
        <w:t>（</w:t>
      </w:r>
      <w:r>
        <w:rPr>
          <w:rStyle w:val="19"/>
          <w:rFonts w:hint="eastAsia" w:ascii="Times New Roman" w:hAnsi="Times New Roman" w:eastAsia="Times New Roman" w:cs="Times New Roman"/>
          <w:color w:val="auto"/>
          <w:sz w:val="24"/>
          <w:szCs w:val="24"/>
          <w:highlight w:val="none"/>
          <w:lang w:val="en-US"/>
        </w:rPr>
        <w:t>10</w:t>
      </w:r>
      <w:r>
        <w:rPr>
          <w:rStyle w:val="19"/>
          <w:rFonts w:hint="default" w:hAnsi="Times New Roman" w:cs="Times New Roman"/>
          <w:color w:val="auto"/>
          <w:sz w:val="24"/>
          <w:szCs w:val="24"/>
          <w:highlight w:val="none"/>
          <w:lang w:val="en-US"/>
        </w:rPr>
        <w:t>）</w:t>
      </w:r>
      <w:r>
        <w:rPr>
          <w:rStyle w:val="19"/>
          <w:rFonts w:hint="default" w:hAnsi="Times New Roman" w:cs="Times New Roman"/>
          <w:color w:val="auto"/>
          <w:sz w:val="24"/>
          <w:szCs w:val="24"/>
          <w:highlight w:val="none"/>
        </w:rPr>
        <w:t>拟投入本合同工程的材料进场计划表</w:t>
      </w:r>
    </w:p>
    <w:p w14:paraId="16E3811E">
      <w:pPr>
        <w:pStyle w:val="24"/>
        <w:spacing w:beforeLines="0" w:afterLines="0" w:line="360" w:lineRule="exact"/>
        <w:ind w:firstLine="420"/>
        <w:jc w:val="both"/>
        <w:rPr>
          <w:rStyle w:val="19"/>
          <w:rFonts w:hint="eastAsia" w:ascii="Times New Roman" w:hAnsi="Times New Roman" w:eastAsia="Times New Roman" w:cs="Times New Roman"/>
          <w:color w:val="auto"/>
          <w:sz w:val="24"/>
          <w:szCs w:val="24"/>
          <w:highlight w:val="none"/>
        </w:rPr>
      </w:pPr>
      <w:r>
        <w:rPr>
          <w:rStyle w:val="19"/>
          <w:rFonts w:hint="default" w:hAnsi="Times New Roman" w:cs="Times New Roman"/>
          <w:color w:val="auto"/>
          <w:sz w:val="24"/>
          <w:szCs w:val="24"/>
          <w:highlight w:val="none"/>
          <w:lang w:val="en-US"/>
        </w:rPr>
        <w:t>（11）</w:t>
      </w:r>
      <w:r>
        <w:rPr>
          <w:rStyle w:val="19"/>
          <w:rFonts w:hint="default" w:hAnsi="Times New Roman" w:cs="Times New Roman"/>
          <w:color w:val="auto"/>
          <w:sz w:val="24"/>
          <w:szCs w:val="24"/>
          <w:highlight w:val="none"/>
        </w:rPr>
        <w:t>计划开工日期、完工日期和施工进度网络图(或横递图)</w:t>
      </w:r>
    </w:p>
    <w:p w14:paraId="707E2532">
      <w:pPr>
        <w:pStyle w:val="24"/>
        <w:spacing w:beforeLines="0" w:afterLines="0" w:line="360" w:lineRule="exact"/>
        <w:ind w:firstLine="420"/>
        <w:jc w:val="both"/>
        <w:rPr>
          <w:rStyle w:val="19"/>
          <w:rFonts w:hint="eastAsia" w:ascii="Times New Roman" w:hAnsi="Times New Roman" w:eastAsia="Times New Roman" w:cs="Times New Roman"/>
          <w:color w:val="auto"/>
          <w:sz w:val="24"/>
          <w:szCs w:val="24"/>
          <w:highlight w:val="none"/>
        </w:rPr>
      </w:pPr>
      <w:r>
        <w:rPr>
          <w:rStyle w:val="19"/>
          <w:rFonts w:hint="default" w:hAnsi="Times New Roman" w:cs="Times New Roman"/>
          <w:color w:val="auto"/>
          <w:sz w:val="24"/>
          <w:szCs w:val="24"/>
          <w:highlight w:val="none"/>
          <w:lang w:val="en-US"/>
        </w:rPr>
        <w:t>（12）</w:t>
      </w:r>
      <w:r>
        <w:rPr>
          <w:rStyle w:val="19"/>
          <w:rFonts w:hint="default" w:hAnsi="Times New Roman" w:cs="Times New Roman"/>
          <w:color w:val="auto"/>
          <w:sz w:val="24"/>
          <w:szCs w:val="24"/>
          <w:highlight w:val="none"/>
        </w:rPr>
        <w:t>平面图</w:t>
      </w:r>
    </w:p>
    <w:p w14:paraId="47B25A97">
      <w:pPr>
        <w:pStyle w:val="24"/>
        <w:spacing w:beforeLines="0" w:after="160" w:afterLines="0" w:line="360" w:lineRule="exact"/>
        <w:ind w:firstLine="420"/>
        <w:jc w:val="both"/>
        <w:rPr>
          <w:rStyle w:val="19"/>
          <w:rFonts w:hint="eastAsia" w:ascii="Times New Roman" w:hAnsi="Times New Roman" w:eastAsia="Times New Roman" w:cs="Times New Roman"/>
          <w:color w:val="auto"/>
          <w:sz w:val="24"/>
          <w:szCs w:val="24"/>
          <w:highlight w:val="none"/>
        </w:rPr>
      </w:pPr>
      <w:r>
        <w:rPr>
          <w:rStyle w:val="19"/>
          <w:rFonts w:hint="default" w:hAnsi="Times New Roman" w:cs="Times New Roman"/>
          <w:color w:val="auto"/>
          <w:sz w:val="24"/>
          <w:szCs w:val="24"/>
          <w:highlight w:val="none"/>
          <w:lang w:val="en-US"/>
        </w:rPr>
        <w:t>（13）</w:t>
      </w:r>
      <w:r>
        <w:rPr>
          <w:rStyle w:val="19"/>
          <w:rFonts w:hint="default" w:hAnsi="Times New Roman" w:cs="Times New Roman"/>
          <w:color w:val="auto"/>
          <w:sz w:val="24"/>
          <w:szCs w:val="24"/>
          <w:highlight w:val="none"/>
        </w:rPr>
        <w:t>临时用地表</w:t>
      </w:r>
      <w:bookmarkStart w:id="88" w:name="bookmark2230"/>
      <w:bookmarkStart w:id="89" w:name="bookmark2228"/>
      <w:bookmarkStart w:id="90" w:name="bookmark2229"/>
    </w:p>
    <w:p w14:paraId="143CF4E9">
      <w:pPr>
        <w:pStyle w:val="24"/>
        <w:spacing w:beforeLines="0" w:after="160" w:afterLines="0" w:line="360" w:lineRule="exact"/>
        <w:ind w:firstLine="420"/>
        <w:jc w:val="both"/>
        <w:rPr>
          <w:rStyle w:val="19"/>
          <w:rFonts w:hint="eastAsia" w:ascii="Times New Roman" w:hAnsi="Times New Roman" w:eastAsia="Times New Roman" w:cs="Times New Roman"/>
          <w:color w:val="auto"/>
          <w:sz w:val="24"/>
          <w:szCs w:val="24"/>
          <w:highlight w:val="none"/>
        </w:rPr>
      </w:pPr>
    </w:p>
    <w:p w14:paraId="016EEB21">
      <w:pPr>
        <w:pStyle w:val="24"/>
        <w:spacing w:beforeLines="0" w:afterLines="0" w:line="360" w:lineRule="exact"/>
        <w:ind w:firstLine="480" w:firstLineChars="200"/>
        <w:jc w:val="both"/>
        <w:rPr>
          <w:rStyle w:val="19"/>
          <w:rFonts w:hint="eastAsia" w:ascii="Times New Roman" w:hAnsi="Times New Roman" w:eastAsia="Times New Roman" w:cs="Times New Roman"/>
          <w:color w:val="auto"/>
          <w:sz w:val="24"/>
          <w:szCs w:val="24"/>
          <w:highlight w:val="none"/>
        </w:rPr>
      </w:pPr>
      <w:r>
        <w:rPr>
          <w:rStyle w:val="19"/>
          <w:rFonts w:hint="eastAsia" w:ascii="Times New Roman" w:hAnsi="Times New Roman" w:eastAsia="Times New Roman" w:cs="Times New Roman"/>
          <w:color w:val="auto"/>
          <w:sz w:val="24"/>
          <w:szCs w:val="24"/>
          <w:highlight w:val="none"/>
          <w:lang w:val="en-US"/>
        </w:rPr>
        <w:t>3.</w:t>
      </w:r>
      <w:r>
        <w:rPr>
          <w:rStyle w:val="19"/>
          <w:rFonts w:hint="default" w:hAnsi="Times New Roman" w:cs="Times New Roman"/>
          <w:color w:val="auto"/>
          <w:sz w:val="24"/>
          <w:szCs w:val="24"/>
          <w:highlight w:val="none"/>
          <w:lang w:val="en-US"/>
        </w:rPr>
        <w:t>本节对施工组织设计的编制要求仅供投标人参考，不作为评标时否决投标的直接因素。</w:t>
      </w:r>
    </w:p>
    <w:p w14:paraId="56EA9962">
      <w:pPr>
        <w:pStyle w:val="23"/>
        <w:spacing w:beforeLines="0" w:afterLines="0"/>
        <w:rPr>
          <w:rStyle w:val="19"/>
          <w:rFonts w:hint="default" w:ascii="宋体" w:hAnsi="宋体" w:eastAsia="宋体" w:cs="宋体"/>
          <w:b/>
          <w:color w:val="auto"/>
          <w:sz w:val="28"/>
          <w:szCs w:val="28"/>
          <w:highlight w:val="none"/>
          <w:lang w:eastAsia="zh-CN"/>
        </w:rPr>
      </w:pPr>
      <w:r>
        <w:rPr>
          <w:rStyle w:val="19"/>
          <w:rFonts w:hint="default"/>
          <w:color w:val="auto"/>
          <w:sz w:val="24"/>
          <w:szCs w:val="24"/>
          <w:highlight w:val="none"/>
          <w:lang w:eastAsia="zh-CN"/>
        </w:rPr>
        <w:br w:type="page"/>
      </w:r>
      <w:r>
        <w:rPr>
          <w:rStyle w:val="19"/>
          <w:rFonts w:hint="default" w:ascii="宋体" w:hAnsi="宋体" w:eastAsia="宋体" w:cs="宋体"/>
          <w:b/>
          <w:color w:val="auto"/>
          <w:sz w:val="28"/>
          <w:szCs w:val="28"/>
          <w:highlight w:val="none"/>
          <w:lang w:eastAsia="zh-CN"/>
        </w:rPr>
        <w:t>附件一：拟投入本合同的主要施工设备表</w:t>
      </w:r>
      <w:bookmarkEnd w:id="88"/>
      <w:bookmarkEnd w:id="89"/>
      <w:bookmarkEnd w:id="90"/>
    </w:p>
    <w:p w14:paraId="7849F0EE">
      <w:pPr>
        <w:pStyle w:val="23"/>
        <w:spacing w:beforeLines="0" w:afterLines="0"/>
        <w:rPr>
          <w:rStyle w:val="19"/>
          <w:rFonts w:hint="default"/>
          <w:color w:val="auto"/>
          <w:sz w:val="24"/>
          <w:szCs w:val="24"/>
          <w:highlight w:val="none"/>
          <w:lang w:eastAsia="zh-CN"/>
        </w:rPr>
      </w:pPr>
    </w:p>
    <w:p w14:paraId="1D6EC9A9">
      <w:pPr>
        <w:pStyle w:val="23"/>
        <w:spacing w:beforeLines="0" w:afterLines="0"/>
        <w:jc w:val="center"/>
        <w:rPr>
          <w:rStyle w:val="19"/>
          <w:rFonts w:hint="default" w:ascii="宋体" w:hAnsi="宋体" w:eastAsia="宋体" w:cs="宋体"/>
          <w:b/>
          <w:color w:val="auto"/>
          <w:sz w:val="24"/>
          <w:szCs w:val="24"/>
          <w:highlight w:val="none"/>
          <w:lang w:eastAsia="zh-CN"/>
        </w:rPr>
      </w:pPr>
      <w:bookmarkStart w:id="91" w:name="bookmark2231"/>
      <w:bookmarkStart w:id="92" w:name="_Toc13379"/>
      <w:bookmarkStart w:id="93" w:name="bookmark2232"/>
      <w:bookmarkStart w:id="94" w:name="_Toc19570"/>
      <w:bookmarkStart w:id="95" w:name="bookmark2233"/>
      <w:r>
        <w:rPr>
          <w:rStyle w:val="19"/>
          <w:rFonts w:hint="default" w:ascii="宋体" w:hAnsi="宋体" w:eastAsia="宋体" w:cs="宋体"/>
          <w:b/>
          <w:color w:val="auto"/>
          <w:sz w:val="24"/>
          <w:szCs w:val="24"/>
          <w:highlight w:val="none"/>
          <w:lang w:eastAsia="zh-CN"/>
        </w:rPr>
        <w:t>拟投入本合同的主要施工设备表</w:t>
      </w:r>
      <w:bookmarkEnd w:id="91"/>
      <w:bookmarkEnd w:id="92"/>
      <w:bookmarkEnd w:id="93"/>
      <w:bookmarkEnd w:id="94"/>
      <w:bookmarkEnd w:id="95"/>
    </w:p>
    <w:tbl>
      <w:tblPr>
        <w:tblStyle w:val="1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 w:type="dxa"/>
          <w:bottom w:w="0" w:type="dxa"/>
          <w:right w:w="10" w:type="dxa"/>
        </w:tblCellMar>
      </w:tblPr>
      <w:tblGrid>
        <w:gridCol w:w="293"/>
        <w:gridCol w:w="1133"/>
        <w:gridCol w:w="864"/>
        <w:gridCol w:w="869"/>
        <w:gridCol w:w="864"/>
        <w:gridCol w:w="991"/>
        <w:gridCol w:w="737"/>
        <w:gridCol w:w="864"/>
        <w:gridCol w:w="864"/>
        <w:gridCol w:w="874"/>
      </w:tblGrid>
      <w:tr w14:paraId="736937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1142" w:hRule="exact"/>
          <w:jc w:val="center"/>
        </w:trPr>
        <w:tc>
          <w:tcPr>
            <w:tcW w:w="293" w:type="dxa"/>
            <w:tcBorders>
              <w:top w:val="single" w:color="auto" w:sz="4" w:space="0"/>
              <w:left w:val="single" w:color="auto" w:sz="4" w:space="0"/>
              <w:bottom w:val="nil"/>
              <w:right w:val="nil"/>
              <w:tl2br w:val="nil"/>
              <w:tr2bl w:val="nil"/>
            </w:tcBorders>
            <w:shd w:val="clear" w:color="auto" w:fill="FFFFFF"/>
            <w:noWrap w:val="0"/>
            <w:vAlign w:val="center"/>
          </w:tcPr>
          <w:p w14:paraId="1256204F">
            <w:pPr>
              <w:pStyle w:val="25"/>
              <w:spacing w:beforeLines="0" w:afterLines="0" w:line="264" w:lineRule="exact"/>
              <w:ind w:firstLine="0"/>
              <w:jc w:val="center"/>
              <w:rPr>
                <w:rStyle w:val="19"/>
                <w:rFonts w:hint="default"/>
                <w:color w:val="auto"/>
                <w:sz w:val="24"/>
                <w:szCs w:val="20"/>
                <w:highlight w:val="none"/>
              </w:rPr>
            </w:pPr>
            <w:r>
              <w:rPr>
                <w:rStyle w:val="19"/>
                <w:rFonts w:hint="default"/>
                <w:color w:val="auto"/>
                <w:sz w:val="24"/>
                <w:szCs w:val="20"/>
                <w:highlight w:val="none"/>
              </w:rPr>
              <w:t>序 号</w:t>
            </w:r>
          </w:p>
        </w:tc>
        <w:tc>
          <w:tcPr>
            <w:tcW w:w="1133" w:type="dxa"/>
            <w:tcBorders>
              <w:top w:val="single" w:color="auto" w:sz="4" w:space="0"/>
              <w:left w:val="single" w:color="auto" w:sz="4" w:space="0"/>
              <w:bottom w:val="nil"/>
              <w:right w:val="nil"/>
              <w:tl2br w:val="nil"/>
              <w:tr2bl w:val="nil"/>
            </w:tcBorders>
            <w:shd w:val="clear" w:color="auto" w:fill="FFFFFF"/>
            <w:noWrap w:val="0"/>
            <w:vAlign w:val="center"/>
          </w:tcPr>
          <w:p w14:paraId="63E5AE39">
            <w:pPr>
              <w:pStyle w:val="25"/>
              <w:spacing w:beforeLines="0" w:afterLines="0" w:line="269" w:lineRule="exact"/>
              <w:ind w:left="180" w:firstLine="0"/>
              <w:jc w:val="center"/>
              <w:rPr>
                <w:rStyle w:val="19"/>
                <w:rFonts w:hint="default"/>
                <w:color w:val="auto"/>
                <w:sz w:val="24"/>
                <w:szCs w:val="20"/>
                <w:highlight w:val="none"/>
              </w:rPr>
            </w:pPr>
            <w:r>
              <w:rPr>
                <w:rStyle w:val="19"/>
                <w:rFonts w:hint="default"/>
                <w:color w:val="auto"/>
                <w:sz w:val="24"/>
                <w:szCs w:val="20"/>
                <w:highlight w:val="none"/>
              </w:rPr>
              <w:t>施工机械</w:t>
            </w:r>
          </w:p>
          <w:p w14:paraId="6ED676DD">
            <w:pPr>
              <w:pStyle w:val="25"/>
              <w:spacing w:beforeLines="0" w:afterLines="0" w:line="269" w:lineRule="exact"/>
              <w:ind w:left="180" w:firstLine="0"/>
              <w:jc w:val="center"/>
              <w:rPr>
                <w:rStyle w:val="19"/>
                <w:rFonts w:hint="default"/>
                <w:color w:val="auto"/>
                <w:sz w:val="24"/>
                <w:szCs w:val="20"/>
                <w:highlight w:val="none"/>
              </w:rPr>
            </w:pPr>
            <w:r>
              <w:rPr>
                <w:rStyle w:val="19"/>
                <w:rFonts w:hint="default"/>
                <w:color w:val="auto"/>
                <w:sz w:val="24"/>
                <w:szCs w:val="20"/>
                <w:highlight w:val="none"/>
              </w:rPr>
              <w:t>名 称</w:t>
            </w:r>
          </w:p>
        </w:tc>
        <w:tc>
          <w:tcPr>
            <w:tcW w:w="864" w:type="dxa"/>
            <w:tcBorders>
              <w:top w:val="single" w:color="auto" w:sz="4" w:space="0"/>
              <w:left w:val="single" w:color="auto" w:sz="4" w:space="0"/>
              <w:bottom w:val="nil"/>
              <w:right w:val="nil"/>
              <w:tl2br w:val="nil"/>
              <w:tr2bl w:val="nil"/>
            </w:tcBorders>
            <w:shd w:val="clear" w:color="auto" w:fill="FFFFFF"/>
            <w:noWrap w:val="0"/>
            <w:vAlign w:val="center"/>
          </w:tcPr>
          <w:p w14:paraId="76D49400">
            <w:pPr>
              <w:pStyle w:val="25"/>
              <w:spacing w:beforeLines="0" w:after="60" w:afterLines="0" w:line="240" w:lineRule="auto"/>
              <w:ind w:firstLine="0"/>
              <w:jc w:val="center"/>
              <w:rPr>
                <w:rStyle w:val="19"/>
                <w:rFonts w:hint="default"/>
                <w:color w:val="auto"/>
                <w:sz w:val="24"/>
                <w:szCs w:val="20"/>
                <w:highlight w:val="none"/>
              </w:rPr>
            </w:pPr>
            <w:r>
              <w:rPr>
                <w:rStyle w:val="19"/>
                <w:rFonts w:hint="default"/>
                <w:color w:val="auto"/>
                <w:sz w:val="24"/>
                <w:szCs w:val="20"/>
                <w:highlight w:val="none"/>
              </w:rPr>
              <w:t>型号</w:t>
            </w:r>
          </w:p>
          <w:p w14:paraId="518830AA">
            <w:pPr>
              <w:pStyle w:val="25"/>
              <w:spacing w:beforeLines="0" w:afterLines="0" w:line="240" w:lineRule="auto"/>
              <w:ind w:firstLine="0"/>
              <w:jc w:val="center"/>
              <w:rPr>
                <w:rStyle w:val="19"/>
                <w:rFonts w:hint="default"/>
                <w:color w:val="auto"/>
                <w:sz w:val="24"/>
                <w:szCs w:val="20"/>
                <w:highlight w:val="none"/>
              </w:rPr>
            </w:pPr>
            <w:r>
              <w:rPr>
                <w:rStyle w:val="19"/>
                <w:rFonts w:hint="default"/>
                <w:color w:val="auto"/>
                <w:sz w:val="24"/>
                <w:szCs w:val="20"/>
                <w:highlight w:val="none"/>
              </w:rPr>
              <w:t>规格</w:t>
            </w:r>
          </w:p>
        </w:tc>
        <w:tc>
          <w:tcPr>
            <w:tcW w:w="869" w:type="dxa"/>
            <w:tcBorders>
              <w:top w:val="single" w:color="auto" w:sz="4" w:space="0"/>
              <w:left w:val="single" w:color="auto" w:sz="4" w:space="0"/>
              <w:bottom w:val="nil"/>
              <w:right w:val="nil"/>
              <w:tl2br w:val="nil"/>
              <w:tr2bl w:val="nil"/>
            </w:tcBorders>
            <w:shd w:val="clear" w:color="auto" w:fill="FFFFFF"/>
            <w:noWrap w:val="0"/>
            <w:vAlign w:val="center"/>
          </w:tcPr>
          <w:p w14:paraId="2DDE38FE">
            <w:pPr>
              <w:pStyle w:val="25"/>
              <w:spacing w:beforeLines="0" w:afterLines="0" w:line="240" w:lineRule="auto"/>
              <w:ind w:firstLine="0"/>
              <w:jc w:val="center"/>
              <w:rPr>
                <w:rStyle w:val="19"/>
                <w:rFonts w:hint="default"/>
                <w:color w:val="auto"/>
                <w:sz w:val="24"/>
                <w:szCs w:val="20"/>
                <w:highlight w:val="none"/>
              </w:rPr>
            </w:pPr>
            <w:r>
              <w:rPr>
                <w:rStyle w:val="19"/>
                <w:rFonts w:hint="default"/>
                <w:color w:val="auto"/>
                <w:sz w:val="24"/>
                <w:szCs w:val="20"/>
                <w:highlight w:val="none"/>
              </w:rPr>
              <w:t>数量</w:t>
            </w:r>
          </w:p>
        </w:tc>
        <w:tc>
          <w:tcPr>
            <w:tcW w:w="864" w:type="dxa"/>
            <w:tcBorders>
              <w:top w:val="single" w:color="auto" w:sz="4" w:space="0"/>
              <w:left w:val="single" w:color="auto" w:sz="4" w:space="0"/>
              <w:bottom w:val="nil"/>
              <w:right w:val="nil"/>
              <w:tl2br w:val="nil"/>
              <w:tr2bl w:val="nil"/>
            </w:tcBorders>
            <w:shd w:val="clear" w:color="auto" w:fill="FFFFFF"/>
            <w:noWrap w:val="0"/>
            <w:vAlign w:val="center"/>
          </w:tcPr>
          <w:p w14:paraId="1D0F711A">
            <w:pPr>
              <w:pStyle w:val="25"/>
              <w:spacing w:beforeLines="0" w:afterLines="0" w:line="266" w:lineRule="exact"/>
              <w:ind w:firstLine="0"/>
              <w:jc w:val="center"/>
              <w:rPr>
                <w:rStyle w:val="19"/>
                <w:rFonts w:hint="default"/>
                <w:color w:val="auto"/>
                <w:sz w:val="24"/>
                <w:szCs w:val="20"/>
                <w:highlight w:val="none"/>
              </w:rPr>
            </w:pPr>
            <w:r>
              <w:rPr>
                <w:rStyle w:val="19"/>
                <w:rFonts w:hint="default"/>
                <w:color w:val="auto"/>
                <w:sz w:val="24"/>
                <w:szCs w:val="20"/>
                <w:highlight w:val="none"/>
              </w:rPr>
              <w:t>制造 年份</w:t>
            </w:r>
          </w:p>
        </w:tc>
        <w:tc>
          <w:tcPr>
            <w:tcW w:w="991" w:type="dxa"/>
            <w:tcBorders>
              <w:top w:val="single" w:color="auto" w:sz="4" w:space="0"/>
              <w:left w:val="single" w:color="auto" w:sz="4" w:space="0"/>
              <w:bottom w:val="nil"/>
              <w:right w:val="nil"/>
              <w:tl2br w:val="nil"/>
              <w:tr2bl w:val="nil"/>
            </w:tcBorders>
            <w:shd w:val="clear" w:color="auto" w:fill="FFFFFF"/>
            <w:noWrap w:val="0"/>
            <w:vAlign w:val="center"/>
          </w:tcPr>
          <w:p w14:paraId="72E014E0">
            <w:pPr>
              <w:pStyle w:val="25"/>
              <w:spacing w:beforeLines="0" w:afterLines="0" w:line="265" w:lineRule="exact"/>
              <w:ind w:firstLine="0"/>
              <w:jc w:val="center"/>
              <w:rPr>
                <w:rStyle w:val="19"/>
                <w:rFonts w:hint="default"/>
                <w:color w:val="auto"/>
                <w:sz w:val="24"/>
                <w:szCs w:val="20"/>
                <w:highlight w:val="none"/>
              </w:rPr>
            </w:pPr>
            <w:r>
              <w:rPr>
                <w:rStyle w:val="19"/>
                <w:rFonts w:hint="default"/>
                <w:color w:val="auto"/>
                <w:sz w:val="24"/>
                <w:szCs w:val="20"/>
                <w:highlight w:val="none"/>
              </w:rPr>
              <w:t xml:space="preserve">额定功率 </w:t>
            </w:r>
            <w:r>
              <w:rPr>
                <w:rStyle w:val="19"/>
                <w:rFonts w:hint="eastAsia" w:ascii="Times New Roman" w:hAnsi="Times New Roman" w:eastAsia="Times New Roman" w:cs="Times New Roman"/>
                <w:color w:val="auto"/>
                <w:sz w:val="24"/>
                <w:szCs w:val="24"/>
                <w:highlight w:val="none"/>
                <w:lang w:val="en-US" w:bidi="en-US"/>
              </w:rPr>
              <w:t>（KW）</w:t>
            </w:r>
            <w:r>
              <w:rPr>
                <w:rStyle w:val="19"/>
                <w:rFonts w:hint="default"/>
                <w:color w:val="auto"/>
                <w:sz w:val="24"/>
                <w:szCs w:val="20"/>
                <w:highlight w:val="none"/>
              </w:rPr>
              <w:t>或 生产能力</w:t>
            </w:r>
          </w:p>
        </w:tc>
        <w:tc>
          <w:tcPr>
            <w:tcW w:w="737" w:type="dxa"/>
            <w:tcBorders>
              <w:top w:val="single" w:color="auto" w:sz="4" w:space="0"/>
              <w:left w:val="single" w:color="auto" w:sz="4" w:space="0"/>
              <w:bottom w:val="nil"/>
              <w:right w:val="nil"/>
              <w:tl2br w:val="nil"/>
              <w:tr2bl w:val="nil"/>
            </w:tcBorders>
            <w:shd w:val="clear" w:color="auto" w:fill="FFFFFF"/>
            <w:noWrap w:val="0"/>
            <w:vAlign w:val="center"/>
          </w:tcPr>
          <w:p w14:paraId="7519B6DC">
            <w:pPr>
              <w:pStyle w:val="25"/>
              <w:spacing w:beforeLines="0" w:afterLines="0" w:line="240" w:lineRule="auto"/>
              <w:ind w:firstLine="0"/>
              <w:jc w:val="center"/>
              <w:rPr>
                <w:rStyle w:val="19"/>
                <w:rFonts w:hint="default"/>
                <w:color w:val="auto"/>
                <w:sz w:val="24"/>
                <w:szCs w:val="20"/>
                <w:highlight w:val="none"/>
              </w:rPr>
            </w:pPr>
            <w:r>
              <w:rPr>
                <w:rStyle w:val="19"/>
                <w:rFonts w:hint="default"/>
                <w:color w:val="auto"/>
                <w:sz w:val="24"/>
                <w:szCs w:val="20"/>
                <w:highlight w:val="none"/>
              </w:rPr>
              <w:t>现在何处</w:t>
            </w:r>
          </w:p>
        </w:tc>
        <w:tc>
          <w:tcPr>
            <w:tcW w:w="864" w:type="dxa"/>
            <w:tcBorders>
              <w:top w:val="single" w:color="auto" w:sz="4" w:space="0"/>
              <w:left w:val="single" w:color="auto" w:sz="4" w:space="0"/>
              <w:bottom w:val="nil"/>
              <w:right w:val="nil"/>
              <w:tl2br w:val="nil"/>
              <w:tr2bl w:val="nil"/>
            </w:tcBorders>
            <w:shd w:val="clear" w:color="auto" w:fill="FFFFFF"/>
            <w:noWrap w:val="0"/>
            <w:vAlign w:val="center"/>
          </w:tcPr>
          <w:p w14:paraId="467672C1">
            <w:pPr>
              <w:pStyle w:val="25"/>
              <w:spacing w:beforeLines="0" w:afterLines="0" w:line="240" w:lineRule="auto"/>
              <w:ind w:firstLine="0"/>
              <w:jc w:val="center"/>
              <w:rPr>
                <w:rStyle w:val="19"/>
                <w:rFonts w:hint="default"/>
                <w:color w:val="auto"/>
                <w:sz w:val="24"/>
                <w:szCs w:val="20"/>
                <w:highlight w:val="none"/>
              </w:rPr>
            </w:pPr>
            <w:r>
              <w:rPr>
                <w:rStyle w:val="19"/>
                <w:rFonts w:hint="default"/>
                <w:color w:val="auto"/>
                <w:sz w:val="24"/>
                <w:szCs w:val="20"/>
                <w:highlight w:val="none"/>
              </w:rPr>
              <w:t>进场时间</w:t>
            </w:r>
          </w:p>
        </w:tc>
        <w:tc>
          <w:tcPr>
            <w:tcW w:w="864" w:type="dxa"/>
            <w:tcBorders>
              <w:top w:val="single" w:color="auto" w:sz="4" w:space="0"/>
              <w:left w:val="single" w:color="auto" w:sz="4" w:space="0"/>
              <w:bottom w:val="nil"/>
              <w:right w:val="nil"/>
              <w:tl2br w:val="nil"/>
              <w:tr2bl w:val="nil"/>
            </w:tcBorders>
            <w:shd w:val="clear" w:color="auto" w:fill="FFFFFF"/>
            <w:noWrap w:val="0"/>
            <w:vAlign w:val="center"/>
          </w:tcPr>
          <w:p w14:paraId="67C99734">
            <w:pPr>
              <w:pStyle w:val="25"/>
              <w:spacing w:beforeLines="0" w:afterLines="0" w:line="240" w:lineRule="auto"/>
              <w:ind w:firstLine="0"/>
              <w:jc w:val="center"/>
              <w:rPr>
                <w:rStyle w:val="19"/>
                <w:rFonts w:hint="default"/>
                <w:color w:val="auto"/>
                <w:sz w:val="24"/>
                <w:szCs w:val="20"/>
                <w:highlight w:val="none"/>
              </w:rPr>
            </w:pPr>
            <w:r>
              <w:rPr>
                <w:rStyle w:val="19"/>
                <w:rFonts w:hint="default"/>
                <w:color w:val="auto"/>
                <w:sz w:val="24"/>
                <w:szCs w:val="20"/>
                <w:highlight w:val="none"/>
              </w:rPr>
              <w:t>退场时间</w:t>
            </w:r>
          </w:p>
        </w:tc>
        <w:tc>
          <w:tcPr>
            <w:tcW w:w="874" w:type="dxa"/>
            <w:tcBorders>
              <w:top w:val="single" w:color="auto" w:sz="4" w:space="0"/>
              <w:left w:val="single" w:color="auto" w:sz="4" w:space="0"/>
              <w:bottom w:val="nil"/>
              <w:right w:val="single" w:color="auto" w:sz="4" w:space="0"/>
              <w:tl2br w:val="nil"/>
              <w:tr2bl w:val="nil"/>
            </w:tcBorders>
            <w:shd w:val="clear" w:color="auto" w:fill="FFFFFF"/>
            <w:noWrap w:val="0"/>
            <w:vAlign w:val="center"/>
          </w:tcPr>
          <w:p w14:paraId="6A3E392E">
            <w:pPr>
              <w:pStyle w:val="25"/>
              <w:spacing w:beforeLines="0" w:afterLines="0" w:line="257" w:lineRule="exact"/>
              <w:ind w:firstLine="0"/>
              <w:jc w:val="center"/>
              <w:rPr>
                <w:rStyle w:val="19"/>
                <w:rFonts w:hint="default"/>
                <w:color w:val="auto"/>
                <w:sz w:val="24"/>
                <w:szCs w:val="20"/>
                <w:highlight w:val="none"/>
              </w:rPr>
            </w:pPr>
            <w:r>
              <w:rPr>
                <w:rStyle w:val="19"/>
                <w:rFonts w:hint="default"/>
                <w:color w:val="auto"/>
                <w:sz w:val="24"/>
                <w:szCs w:val="20"/>
                <w:highlight w:val="none"/>
              </w:rPr>
              <w:t>用于施工 部位</w:t>
            </w:r>
          </w:p>
        </w:tc>
      </w:tr>
      <w:tr w14:paraId="3FD1CF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566" w:hRule="exact"/>
          <w:jc w:val="center"/>
        </w:trPr>
        <w:tc>
          <w:tcPr>
            <w:tcW w:w="293" w:type="dxa"/>
            <w:tcBorders>
              <w:top w:val="single" w:color="auto" w:sz="4" w:space="0"/>
              <w:left w:val="single" w:color="auto" w:sz="4" w:space="0"/>
              <w:bottom w:val="nil"/>
              <w:right w:val="nil"/>
              <w:tl2br w:val="nil"/>
              <w:tr2bl w:val="nil"/>
            </w:tcBorders>
            <w:shd w:val="clear" w:color="auto" w:fill="FFFFFF"/>
            <w:noWrap w:val="0"/>
            <w:vAlign w:val="top"/>
          </w:tcPr>
          <w:p w14:paraId="14DE11D3">
            <w:pPr>
              <w:pStyle w:val="23"/>
              <w:spacing w:beforeLines="0" w:afterLines="0"/>
              <w:rPr>
                <w:rStyle w:val="19"/>
                <w:rFonts w:hint="default"/>
                <w:color w:val="auto"/>
                <w:sz w:val="24"/>
                <w:szCs w:val="24"/>
                <w:highlight w:val="none"/>
              </w:rPr>
            </w:pPr>
          </w:p>
        </w:tc>
        <w:tc>
          <w:tcPr>
            <w:tcW w:w="1133" w:type="dxa"/>
            <w:tcBorders>
              <w:top w:val="single" w:color="auto" w:sz="4" w:space="0"/>
              <w:left w:val="single" w:color="auto" w:sz="4" w:space="0"/>
              <w:bottom w:val="nil"/>
              <w:right w:val="nil"/>
              <w:tl2br w:val="nil"/>
              <w:tr2bl w:val="nil"/>
            </w:tcBorders>
            <w:shd w:val="clear" w:color="auto" w:fill="FFFFFF"/>
            <w:noWrap w:val="0"/>
            <w:vAlign w:val="top"/>
          </w:tcPr>
          <w:p w14:paraId="6D4512A6">
            <w:pPr>
              <w:pStyle w:val="23"/>
              <w:spacing w:beforeLines="0" w:afterLines="0"/>
              <w:rPr>
                <w:rStyle w:val="19"/>
                <w:rFonts w:hint="default"/>
                <w:color w:val="auto"/>
                <w:sz w:val="24"/>
                <w:szCs w:val="24"/>
                <w:highlight w:val="none"/>
              </w:rPr>
            </w:pPr>
          </w:p>
        </w:tc>
        <w:tc>
          <w:tcPr>
            <w:tcW w:w="864" w:type="dxa"/>
            <w:tcBorders>
              <w:top w:val="single" w:color="auto" w:sz="4" w:space="0"/>
              <w:left w:val="single" w:color="auto" w:sz="4" w:space="0"/>
              <w:bottom w:val="nil"/>
              <w:right w:val="nil"/>
              <w:tl2br w:val="nil"/>
              <w:tr2bl w:val="nil"/>
            </w:tcBorders>
            <w:shd w:val="clear" w:color="auto" w:fill="FFFFFF"/>
            <w:noWrap w:val="0"/>
            <w:vAlign w:val="top"/>
          </w:tcPr>
          <w:p w14:paraId="4D5C3091">
            <w:pPr>
              <w:pStyle w:val="23"/>
              <w:spacing w:beforeLines="0" w:afterLines="0"/>
              <w:rPr>
                <w:rStyle w:val="19"/>
                <w:rFonts w:hint="default"/>
                <w:color w:val="auto"/>
                <w:sz w:val="24"/>
                <w:szCs w:val="24"/>
                <w:highlight w:val="none"/>
              </w:rPr>
            </w:pPr>
          </w:p>
        </w:tc>
        <w:tc>
          <w:tcPr>
            <w:tcW w:w="869" w:type="dxa"/>
            <w:tcBorders>
              <w:top w:val="single" w:color="auto" w:sz="4" w:space="0"/>
              <w:left w:val="single" w:color="auto" w:sz="4" w:space="0"/>
              <w:bottom w:val="nil"/>
              <w:right w:val="nil"/>
              <w:tl2br w:val="nil"/>
              <w:tr2bl w:val="nil"/>
            </w:tcBorders>
            <w:shd w:val="clear" w:color="auto" w:fill="FFFFFF"/>
            <w:noWrap w:val="0"/>
            <w:vAlign w:val="top"/>
          </w:tcPr>
          <w:p w14:paraId="2FF54E34">
            <w:pPr>
              <w:pStyle w:val="23"/>
              <w:spacing w:beforeLines="0" w:afterLines="0"/>
              <w:rPr>
                <w:rStyle w:val="19"/>
                <w:rFonts w:hint="default"/>
                <w:color w:val="auto"/>
                <w:sz w:val="24"/>
                <w:szCs w:val="24"/>
                <w:highlight w:val="none"/>
              </w:rPr>
            </w:pPr>
          </w:p>
        </w:tc>
        <w:tc>
          <w:tcPr>
            <w:tcW w:w="864" w:type="dxa"/>
            <w:tcBorders>
              <w:top w:val="single" w:color="auto" w:sz="4" w:space="0"/>
              <w:left w:val="single" w:color="auto" w:sz="4" w:space="0"/>
              <w:bottom w:val="nil"/>
              <w:right w:val="nil"/>
              <w:tl2br w:val="nil"/>
              <w:tr2bl w:val="nil"/>
            </w:tcBorders>
            <w:shd w:val="clear" w:color="auto" w:fill="FFFFFF"/>
            <w:noWrap w:val="0"/>
            <w:vAlign w:val="top"/>
          </w:tcPr>
          <w:p w14:paraId="6352BCE0">
            <w:pPr>
              <w:pStyle w:val="23"/>
              <w:spacing w:beforeLines="0" w:afterLines="0"/>
              <w:rPr>
                <w:rStyle w:val="19"/>
                <w:rFonts w:hint="default"/>
                <w:color w:val="auto"/>
                <w:sz w:val="24"/>
                <w:szCs w:val="24"/>
                <w:highlight w:val="none"/>
              </w:rPr>
            </w:pPr>
          </w:p>
        </w:tc>
        <w:tc>
          <w:tcPr>
            <w:tcW w:w="991" w:type="dxa"/>
            <w:tcBorders>
              <w:top w:val="single" w:color="auto" w:sz="4" w:space="0"/>
              <w:left w:val="single" w:color="auto" w:sz="4" w:space="0"/>
              <w:bottom w:val="nil"/>
              <w:right w:val="nil"/>
              <w:tl2br w:val="nil"/>
              <w:tr2bl w:val="nil"/>
            </w:tcBorders>
            <w:shd w:val="clear" w:color="auto" w:fill="FFFFFF"/>
            <w:noWrap w:val="0"/>
            <w:vAlign w:val="top"/>
          </w:tcPr>
          <w:p w14:paraId="5F6E9325">
            <w:pPr>
              <w:pStyle w:val="23"/>
              <w:spacing w:beforeLines="0" w:afterLines="0"/>
              <w:rPr>
                <w:rStyle w:val="19"/>
                <w:rFonts w:hint="default"/>
                <w:color w:val="auto"/>
                <w:sz w:val="24"/>
                <w:szCs w:val="24"/>
                <w:highlight w:val="none"/>
              </w:rPr>
            </w:pPr>
          </w:p>
        </w:tc>
        <w:tc>
          <w:tcPr>
            <w:tcW w:w="737" w:type="dxa"/>
            <w:tcBorders>
              <w:top w:val="single" w:color="auto" w:sz="4" w:space="0"/>
              <w:left w:val="single" w:color="auto" w:sz="4" w:space="0"/>
              <w:bottom w:val="nil"/>
              <w:right w:val="nil"/>
              <w:tl2br w:val="nil"/>
              <w:tr2bl w:val="nil"/>
            </w:tcBorders>
            <w:shd w:val="clear" w:color="auto" w:fill="FFFFFF"/>
            <w:noWrap w:val="0"/>
            <w:vAlign w:val="top"/>
          </w:tcPr>
          <w:p w14:paraId="7C2E32EB">
            <w:pPr>
              <w:pStyle w:val="23"/>
              <w:spacing w:beforeLines="0" w:afterLines="0"/>
              <w:rPr>
                <w:rStyle w:val="19"/>
                <w:rFonts w:hint="default"/>
                <w:color w:val="auto"/>
                <w:sz w:val="24"/>
                <w:szCs w:val="24"/>
                <w:highlight w:val="none"/>
              </w:rPr>
            </w:pPr>
          </w:p>
        </w:tc>
        <w:tc>
          <w:tcPr>
            <w:tcW w:w="864" w:type="dxa"/>
            <w:tcBorders>
              <w:top w:val="single" w:color="auto" w:sz="4" w:space="0"/>
              <w:left w:val="single" w:color="auto" w:sz="4" w:space="0"/>
              <w:bottom w:val="nil"/>
              <w:right w:val="nil"/>
              <w:tl2br w:val="nil"/>
              <w:tr2bl w:val="nil"/>
            </w:tcBorders>
            <w:shd w:val="clear" w:color="auto" w:fill="FFFFFF"/>
            <w:noWrap w:val="0"/>
            <w:vAlign w:val="top"/>
          </w:tcPr>
          <w:p w14:paraId="2903C5F8">
            <w:pPr>
              <w:pStyle w:val="23"/>
              <w:spacing w:beforeLines="0" w:afterLines="0"/>
              <w:rPr>
                <w:rStyle w:val="19"/>
                <w:rFonts w:hint="default"/>
                <w:color w:val="auto"/>
                <w:sz w:val="24"/>
                <w:szCs w:val="24"/>
                <w:highlight w:val="none"/>
              </w:rPr>
            </w:pPr>
          </w:p>
        </w:tc>
        <w:tc>
          <w:tcPr>
            <w:tcW w:w="864" w:type="dxa"/>
            <w:tcBorders>
              <w:top w:val="single" w:color="auto" w:sz="4" w:space="0"/>
              <w:left w:val="single" w:color="auto" w:sz="4" w:space="0"/>
              <w:bottom w:val="nil"/>
              <w:right w:val="nil"/>
              <w:tl2br w:val="nil"/>
              <w:tr2bl w:val="nil"/>
            </w:tcBorders>
            <w:shd w:val="clear" w:color="auto" w:fill="FFFFFF"/>
            <w:noWrap w:val="0"/>
            <w:vAlign w:val="top"/>
          </w:tcPr>
          <w:p w14:paraId="2353BC01">
            <w:pPr>
              <w:pStyle w:val="23"/>
              <w:spacing w:beforeLines="0" w:afterLines="0"/>
              <w:rPr>
                <w:rStyle w:val="19"/>
                <w:rFonts w:hint="default"/>
                <w:color w:val="auto"/>
                <w:sz w:val="24"/>
                <w:szCs w:val="24"/>
                <w:highlight w:val="none"/>
              </w:rPr>
            </w:pPr>
          </w:p>
        </w:tc>
        <w:tc>
          <w:tcPr>
            <w:tcW w:w="874" w:type="dxa"/>
            <w:tcBorders>
              <w:top w:val="single" w:color="auto" w:sz="4" w:space="0"/>
              <w:left w:val="single" w:color="auto" w:sz="4" w:space="0"/>
              <w:bottom w:val="nil"/>
              <w:right w:val="single" w:color="auto" w:sz="4" w:space="0"/>
              <w:tl2br w:val="nil"/>
              <w:tr2bl w:val="nil"/>
            </w:tcBorders>
            <w:shd w:val="clear" w:color="auto" w:fill="FFFFFF"/>
            <w:noWrap w:val="0"/>
            <w:vAlign w:val="top"/>
          </w:tcPr>
          <w:p w14:paraId="6A0BE41E">
            <w:pPr>
              <w:pStyle w:val="23"/>
              <w:spacing w:beforeLines="0" w:afterLines="0"/>
              <w:rPr>
                <w:rStyle w:val="19"/>
                <w:rFonts w:hint="default"/>
                <w:color w:val="auto"/>
                <w:sz w:val="24"/>
                <w:szCs w:val="24"/>
                <w:highlight w:val="none"/>
              </w:rPr>
            </w:pPr>
          </w:p>
        </w:tc>
      </w:tr>
      <w:tr w14:paraId="40C9FC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566" w:hRule="exact"/>
          <w:jc w:val="center"/>
        </w:trPr>
        <w:tc>
          <w:tcPr>
            <w:tcW w:w="293" w:type="dxa"/>
            <w:tcBorders>
              <w:top w:val="single" w:color="auto" w:sz="4" w:space="0"/>
              <w:left w:val="single" w:color="auto" w:sz="4" w:space="0"/>
              <w:bottom w:val="nil"/>
              <w:right w:val="nil"/>
              <w:tl2br w:val="nil"/>
              <w:tr2bl w:val="nil"/>
            </w:tcBorders>
            <w:shd w:val="clear" w:color="auto" w:fill="FFFFFF"/>
            <w:noWrap w:val="0"/>
            <w:vAlign w:val="top"/>
          </w:tcPr>
          <w:p w14:paraId="7B5ECADF">
            <w:pPr>
              <w:pStyle w:val="23"/>
              <w:spacing w:beforeLines="0" w:afterLines="0"/>
              <w:rPr>
                <w:rStyle w:val="19"/>
                <w:rFonts w:hint="default"/>
                <w:color w:val="auto"/>
                <w:sz w:val="24"/>
                <w:szCs w:val="24"/>
                <w:highlight w:val="none"/>
              </w:rPr>
            </w:pPr>
          </w:p>
        </w:tc>
        <w:tc>
          <w:tcPr>
            <w:tcW w:w="1133" w:type="dxa"/>
            <w:tcBorders>
              <w:top w:val="single" w:color="auto" w:sz="4" w:space="0"/>
              <w:left w:val="single" w:color="auto" w:sz="4" w:space="0"/>
              <w:bottom w:val="nil"/>
              <w:right w:val="nil"/>
              <w:tl2br w:val="nil"/>
              <w:tr2bl w:val="nil"/>
            </w:tcBorders>
            <w:shd w:val="clear" w:color="auto" w:fill="FFFFFF"/>
            <w:noWrap w:val="0"/>
            <w:vAlign w:val="top"/>
          </w:tcPr>
          <w:p w14:paraId="13E27EF9">
            <w:pPr>
              <w:pStyle w:val="23"/>
              <w:spacing w:beforeLines="0" w:afterLines="0"/>
              <w:rPr>
                <w:rStyle w:val="19"/>
                <w:rFonts w:hint="default"/>
                <w:color w:val="auto"/>
                <w:sz w:val="24"/>
                <w:szCs w:val="24"/>
                <w:highlight w:val="none"/>
              </w:rPr>
            </w:pPr>
          </w:p>
        </w:tc>
        <w:tc>
          <w:tcPr>
            <w:tcW w:w="864" w:type="dxa"/>
            <w:tcBorders>
              <w:top w:val="single" w:color="auto" w:sz="4" w:space="0"/>
              <w:left w:val="single" w:color="auto" w:sz="4" w:space="0"/>
              <w:bottom w:val="nil"/>
              <w:right w:val="nil"/>
              <w:tl2br w:val="nil"/>
              <w:tr2bl w:val="nil"/>
            </w:tcBorders>
            <w:shd w:val="clear" w:color="auto" w:fill="FFFFFF"/>
            <w:noWrap w:val="0"/>
            <w:vAlign w:val="top"/>
          </w:tcPr>
          <w:p w14:paraId="13B618BD">
            <w:pPr>
              <w:pStyle w:val="23"/>
              <w:spacing w:beforeLines="0" w:afterLines="0"/>
              <w:rPr>
                <w:rStyle w:val="19"/>
                <w:rFonts w:hint="default"/>
                <w:color w:val="auto"/>
                <w:sz w:val="24"/>
                <w:szCs w:val="24"/>
                <w:highlight w:val="none"/>
              </w:rPr>
            </w:pPr>
          </w:p>
        </w:tc>
        <w:tc>
          <w:tcPr>
            <w:tcW w:w="869" w:type="dxa"/>
            <w:tcBorders>
              <w:top w:val="single" w:color="auto" w:sz="4" w:space="0"/>
              <w:left w:val="single" w:color="auto" w:sz="4" w:space="0"/>
              <w:bottom w:val="nil"/>
              <w:right w:val="nil"/>
              <w:tl2br w:val="nil"/>
              <w:tr2bl w:val="nil"/>
            </w:tcBorders>
            <w:shd w:val="clear" w:color="auto" w:fill="FFFFFF"/>
            <w:noWrap w:val="0"/>
            <w:vAlign w:val="top"/>
          </w:tcPr>
          <w:p w14:paraId="10F10965">
            <w:pPr>
              <w:pStyle w:val="23"/>
              <w:spacing w:beforeLines="0" w:afterLines="0"/>
              <w:rPr>
                <w:rStyle w:val="19"/>
                <w:rFonts w:hint="default"/>
                <w:color w:val="auto"/>
                <w:sz w:val="24"/>
                <w:szCs w:val="24"/>
                <w:highlight w:val="none"/>
              </w:rPr>
            </w:pPr>
          </w:p>
        </w:tc>
        <w:tc>
          <w:tcPr>
            <w:tcW w:w="864" w:type="dxa"/>
            <w:tcBorders>
              <w:top w:val="single" w:color="auto" w:sz="4" w:space="0"/>
              <w:left w:val="single" w:color="auto" w:sz="4" w:space="0"/>
              <w:bottom w:val="nil"/>
              <w:right w:val="nil"/>
              <w:tl2br w:val="nil"/>
              <w:tr2bl w:val="nil"/>
            </w:tcBorders>
            <w:shd w:val="clear" w:color="auto" w:fill="FFFFFF"/>
            <w:noWrap w:val="0"/>
            <w:vAlign w:val="top"/>
          </w:tcPr>
          <w:p w14:paraId="63B20CDE">
            <w:pPr>
              <w:pStyle w:val="23"/>
              <w:spacing w:beforeLines="0" w:afterLines="0"/>
              <w:rPr>
                <w:rStyle w:val="19"/>
                <w:rFonts w:hint="default"/>
                <w:color w:val="auto"/>
                <w:sz w:val="24"/>
                <w:szCs w:val="24"/>
                <w:highlight w:val="none"/>
              </w:rPr>
            </w:pPr>
          </w:p>
        </w:tc>
        <w:tc>
          <w:tcPr>
            <w:tcW w:w="991" w:type="dxa"/>
            <w:tcBorders>
              <w:top w:val="single" w:color="auto" w:sz="4" w:space="0"/>
              <w:left w:val="single" w:color="auto" w:sz="4" w:space="0"/>
              <w:bottom w:val="nil"/>
              <w:right w:val="nil"/>
              <w:tl2br w:val="nil"/>
              <w:tr2bl w:val="nil"/>
            </w:tcBorders>
            <w:shd w:val="clear" w:color="auto" w:fill="FFFFFF"/>
            <w:noWrap w:val="0"/>
            <w:vAlign w:val="top"/>
          </w:tcPr>
          <w:p w14:paraId="0B9F703E">
            <w:pPr>
              <w:pStyle w:val="23"/>
              <w:spacing w:beforeLines="0" w:afterLines="0"/>
              <w:rPr>
                <w:rStyle w:val="19"/>
                <w:rFonts w:hint="default"/>
                <w:color w:val="auto"/>
                <w:sz w:val="24"/>
                <w:szCs w:val="24"/>
                <w:highlight w:val="none"/>
              </w:rPr>
            </w:pPr>
          </w:p>
        </w:tc>
        <w:tc>
          <w:tcPr>
            <w:tcW w:w="737" w:type="dxa"/>
            <w:tcBorders>
              <w:top w:val="single" w:color="auto" w:sz="4" w:space="0"/>
              <w:left w:val="single" w:color="auto" w:sz="4" w:space="0"/>
              <w:bottom w:val="nil"/>
              <w:right w:val="nil"/>
              <w:tl2br w:val="nil"/>
              <w:tr2bl w:val="nil"/>
            </w:tcBorders>
            <w:shd w:val="clear" w:color="auto" w:fill="FFFFFF"/>
            <w:noWrap w:val="0"/>
            <w:vAlign w:val="top"/>
          </w:tcPr>
          <w:p w14:paraId="5FBD1CB1">
            <w:pPr>
              <w:pStyle w:val="23"/>
              <w:spacing w:beforeLines="0" w:afterLines="0"/>
              <w:rPr>
                <w:rStyle w:val="19"/>
                <w:rFonts w:hint="default"/>
                <w:color w:val="auto"/>
                <w:sz w:val="24"/>
                <w:szCs w:val="24"/>
                <w:highlight w:val="none"/>
              </w:rPr>
            </w:pPr>
          </w:p>
        </w:tc>
        <w:tc>
          <w:tcPr>
            <w:tcW w:w="864" w:type="dxa"/>
            <w:tcBorders>
              <w:top w:val="single" w:color="auto" w:sz="4" w:space="0"/>
              <w:left w:val="single" w:color="auto" w:sz="4" w:space="0"/>
              <w:bottom w:val="nil"/>
              <w:right w:val="nil"/>
              <w:tl2br w:val="nil"/>
              <w:tr2bl w:val="nil"/>
            </w:tcBorders>
            <w:shd w:val="clear" w:color="auto" w:fill="FFFFFF"/>
            <w:noWrap w:val="0"/>
            <w:vAlign w:val="top"/>
          </w:tcPr>
          <w:p w14:paraId="1327F83F">
            <w:pPr>
              <w:pStyle w:val="23"/>
              <w:spacing w:beforeLines="0" w:afterLines="0"/>
              <w:rPr>
                <w:rStyle w:val="19"/>
                <w:rFonts w:hint="default"/>
                <w:color w:val="auto"/>
                <w:sz w:val="24"/>
                <w:szCs w:val="24"/>
                <w:highlight w:val="none"/>
              </w:rPr>
            </w:pPr>
          </w:p>
        </w:tc>
        <w:tc>
          <w:tcPr>
            <w:tcW w:w="864" w:type="dxa"/>
            <w:tcBorders>
              <w:top w:val="single" w:color="auto" w:sz="4" w:space="0"/>
              <w:left w:val="single" w:color="auto" w:sz="4" w:space="0"/>
              <w:bottom w:val="nil"/>
              <w:right w:val="nil"/>
              <w:tl2br w:val="nil"/>
              <w:tr2bl w:val="nil"/>
            </w:tcBorders>
            <w:shd w:val="clear" w:color="auto" w:fill="FFFFFF"/>
            <w:noWrap w:val="0"/>
            <w:vAlign w:val="top"/>
          </w:tcPr>
          <w:p w14:paraId="2D1D95AD">
            <w:pPr>
              <w:pStyle w:val="23"/>
              <w:spacing w:beforeLines="0" w:afterLines="0"/>
              <w:rPr>
                <w:rStyle w:val="19"/>
                <w:rFonts w:hint="default"/>
                <w:color w:val="auto"/>
                <w:sz w:val="24"/>
                <w:szCs w:val="24"/>
                <w:highlight w:val="none"/>
              </w:rPr>
            </w:pPr>
          </w:p>
        </w:tc>
        <w:tc>
          <w:tcPr>
            <w:tcW w:w="874" w:type="dxa"/>
            <w:tcBorders>
              <w:top w:val="single" w:color="auto" w:sz="4" w:space="0"/>
              <w:left w:val="single" w:color="auto" w:sz="4" w:space="0"/>
              <w:bottom w:val="nil"/>
              <w:right w:val="single" w:color="auto" w:sz="4" w:space="0"/>
              <w:tl2br w:val="nil"/>
              <w:tr2bl w:val="nil"/>
            </w:tcBorders>
            <w:shd w:val="clear" w:color="auto" w:fill="FFFFFF"/>
            <w:noWrap w:val="0"/>
            <w:vAlign w:val="top"/>
          </w:tcPr>
          <w:p w14:paraId="14383FC7">
            <w:pPr>
              <w:pStyle w:val="23"/>
              <w:spacing w:beforeLines="0" w:afterLines="0"/>
              <w:rPr>
                <w:rStyle w:val="19"/>
                <w:rFonts w:hint="default"/>
                <w:color w:val="auto"/>
                <w:sz w:val="24"/>
                <w:szCs w:val="24"/>
                <w:highlight w:val="none"/>
              </w:rPr>
            </w:pPr>
          </w:p>
        </w:tc>
      </w:tr>
      <w:tr w14:paraId="4C2F4F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566" w:hRule="exact"/>
          <w:jc w:val="center"/>
        </w:trPr>
        <w:tc>
          <w:tcPr>
            <w:tcW w:w="293" w:type="dxa"/>
            <w:tcBorders>
              <w:top w:val="single" w:color="auto" w:sz="4" w:space="0"/>
              <w:left w:val="single" w:color="auto" w:sz="4" w:space="0"/>
              <w:bottom w:val="nil"/>
              <w:right w:val="nil"/>
              <w:tl2br w:val="nil"/>
              <w:tr2bl w:val="nil"/>
            </w:tcBorders>
            <w:shd w:val="clear" w:color="auto" w:fill="FFFFFF"/>
            <w:noWrap w:val="0"/>
            <w:vAlign w:val="top"/>
          </w:tcPr>
          <w:p w14:paraId="430D47BF">
            <w:pPr>
              <w:pStyle w:val="23"/>
              <w:spacing w:beforeLines="0" w:afterLines="0"/>
              <w:rPr>
                <w:rStyle w:val="19"/>
                <w:rFonts w:hint="default"/>
                <w:color w:val="auto"/>
                <w:sz w:val="24"/>
                <w:szCs w:val="24"/>
                <w:highlight w:val="none"/>
              </w:rPr>
            </w:pPr>
          </w:p>
        </w:tc>
        <w:tc>
          <w:tcPr>
            <w:tcW w:w="1133" w:type="dxa"/>
            <w:tcBorders>
              <w:top w:val="single" w:color="auto" w:sz="4" w:space="0"/>
              <w:left w:val="single" w:color="auto" w:sz="4" w:space="0"/>
              <w:bottom w:val="nil"/>
              <w:right w:val="nil"/>
              <w:tl2br w:val="nil"/>
              <w:tr2bl w:val="nil"/>
            </w:tcBorders>
            <w:shd w:val="clear" w:color="auto" w:fill="FFFFFF"/>
            <w:noWrap w:val="0"/>
            <w:vAlign w:val="top"/>
          </w:tcPr>
          <w:p w14:paraId="69F505D0">
            <w:pPr>
              <w:pStyle w:val="23"/>
              <w:spacing w:beforeLines="0" w:afterLines="0"/>
              <w:rPr>
                <w:rStyle w:val="19"/>
                <w:rFonts w:hint="default"/>
                <w:color w:val="auto"/>
                <w:sz w:val="24"/>
                <w:szCs w:val="24"/>
                <w:highlight w:val="none"/>
              </w:rPr>
            </w:pPr>
          </w:p>
        </w:tc>
        <w:tc>
          <w:tcPr>
            <w:tcW w:w="864" w:type="dxa"/>
            <w:tcBorders>
              <w:top w:val="single" w:color="auto" w:sz="4" w:space="0"/>
              <w:left w:val="single" w:color="auto" w:sz="4" w:space="0"/>
              <w:bottom w:val="nil"/>
              <w:right w:val="nil"/>
              <w:tl2br w:val="nil"/>
              <w:tr2bl w:val="nil"/>
            </w:tcBorders>
            <w:shd w:val="clear" w:color="auto" w:fill="FFFFFF"/>
            <w:noWrap w:val="0"/>
            <w:vAlign w:val="top"/>
          </w:tcPr>
          <w:p w14:paraId="28F8CE5C">
            <w:pPr>
              <w:pStyle w:val="23"/>
              <w:spacing w:beforeLines="0" w:afterLines="0"/>
              <w:rPr>
                <w:rStyle w:val="19"/>
                <w:rFonts w:hint="default"/>
                <w:color w:val="auto"/>
                <w:sz w:val="24"/>
                <w:szCs w:val="24"/>
                <w:highlight w:val="none"/>
              </w:rPr>
            </w:pPr>
          </w:p>
        </w:tc>
        <w:tc>
          <w:tcPr>
            <w:tcW w:w="869" w:type="dxa"/>
            <w:tcBorders>
              <w:top w:val="single" w:color="auto" w:sz="4" w:space="0"/>
              <w:left w:val="single" w:color="auto" w:sz="4" w:space="0"/>
              <w:bottom w:val="nil"/>
              <w:right w:val="nil"/>
              <w:tl2br w:val="nil"/>
              <w:tr2bl w:val="nil"/>
            </w:tcBorders>
            <w:shd w:val="clear" w:color="auto" w:fill="FFFFFF"/>
            <w:noWrap w:val="0"/>
            <w:vAlign w:val="top"/>
          </w:tcPr>
          <w:p w14:paraId="0E1817BA">
            <w:pPr>
              <w:pStyle w:val="23"/>
              <w:spacing w:beforeLines="0" w:afterLines="0"/>
              <w:rPr>
                <w:rStyle w:val="19"/>
                <w:rFonts w:hint="default"/>
                <w:color w:val="auto"/>
                <w:sz w:val="24"/>
                <w:szCs w:val="24"/>
                <w:highlight w:val="none"/>
              </w:rPr>
            </w:pPr>
          </w:p>
        </w:tc>
        <w:tc>
          <w:tcPr>
            <w:tcW w:w="864" w:type="dxa"/>
            <w:tcBorders>
              <w:top w:val="single" w:color="auto" w:sz="4" w:space="0"/>
              <w:left w:val="single" w:color="auto" w:sz="4" w:space="0"/>
              <w:bottom w:val="nil"/>
              <w:right w:val="nil"/>
              <w:tl2br w:val="nil"/>
              <w:tr2bl w:val="nil"/>
            </w:tcBorders>
            <w:shd w:val="clear" w:color="auto" w:fill="FFFFFF"/>
            <w:noWrap w:val="0"/>
            <w:vAlign w:val="top"/>
          </w:tcPr>
          <w:p w14:paraId="65540835">
            <w:pPr>
              <w:pStyle w:val="23"/>
              <w:spacing w:beforeLines="0" w:afterLines="0"/>
              <w:rPr>
                <w:rStyle w:val="19"/>
                <w:rFonts w:hint="default"/>
                <w:color w:val="auto"/>
                <w:sz w:val="24"/>
                <w:szCs w:val="24"/>
                <w:highlight w:val="none"/>
              </w:rPr>
            </w:pPr>
          </w:p>
        </w:tc>
        <w:tc>
          <w:tcPr>
            <w:tcW w:w="991" w:type="dxa"/>
            <w:tcBorders>
              <w:top w:val="single" w:color="auto" w:sz="4" w:space="0"/>
              <w:left w:val="single" w:color="auto" w:sz="4" w:space="0"/>
              <w:bottom w:val="nil"/>
              <w:right w:val="nil"/>
              <w:tl2br w:val="nil"/>
              <w:tr2bl w:val="nil"/>
            </w:tcBorders>
            <w:shd w:val="clear" w:color="auto" w:fill="FFFFFF"/>
            <w:noWrap w:val="0"/>
            <w:vAlign w:val="top"/>
          </w:tcPr>
          <w:p w14:paraId="622D0195">
            <w:pPr>
              <w:pStyle w:val="23"/>
              <w:spacing w:beforeLines="0" w:afterLines="0"/>
              <w:rPr>
                <w:rStyle w:val="19"/>
                <w:rFonts w:hint="default"/>
                <w:color w:val="auto"/>
                <w:sz w:val="24"/>
                <w:szCs w:val="24"/>
                <w:highlight w:val="none"/>
              </w:rPr>
            </w:pPr>
          </w:p>
        </w:tc>
        <w:tc>
          <w:tcPr>
            <w:tcW w:w="737" w:type="dxa"/>
            <w:tcBorders>
              <w:top w:val="single" w:color="auto" w:sz="4" w:space="0"/>
              <w:left w:val="single" w:color="auto" w:sz="4" w:space="0"/>
              <w:bottom w:val="nil"/>
              <w:right w:val="nil"/>
              <w:tl2br w:val="nil"/>
              <w:tr2bl w:val="nil"/>
            </w:tcBorders>
            <w:shd w:val="clear" w:color="auto" w:fill="FFFFFF"/>
            <w:noWrap w:val="0"/>
            <w:vAlign w:val="top"/>
          </w:tcPr>
          <w:p w14:paraId="1892A12C">
            <w:pPr>
              <w:pStyle w:val="23"/>
              <w:spacing w:beforeLines="0" w:afterLines="0"/>
              <w:rPr>
                <w:rStyle w:val="19"/>
                <w:rFonts w:hint="default"/>
                <w:color w:val="auto"/>
                <w:sz w:val="24"/>
                <w:szCs w:val="24"/>
                <w:highlight w:val="none"/>
              </w:rPr>
            </w:pPr>
          </w:p>
        </w:tc>
        <w:tc>
          <w:tcPr>
            <w:tcW w:w="864" w:type="dxa"/>
            <w:tcBorders>
              <w:top w:val="single" w:color="auto" w:sz="4" w:space="0"/>
              <w:left w:val="single" w:color="auto" w:sz="4" w:space="0"/>
              <w:bottom w:val="nil"/>
              <w:right w:val="nil"/>
              <w:tl2br w:val="nil"/>
              <w:tr2bl w:val="nil"/>
            </w:tcBorders>
            <w:shd w:val="clear" w:color="auto" w:fill="FFFFFF"/>
            <w:noWrap w:val="0"/>
            <w:vAlign w:val="top"/>
          </w:tcPr>
          <w:p w14:paraId="3F6B79A6">
            <w:pPr>
              <w:pStyle w:val="23"/>
              <w:spacing w:beforeLines="0" w:afterLines="0"/>
              <w:rPr>
                <w:rStyle w:val="19"/>
                <w:rFonts w:hint="default"/>
                <w:color w:val="auto"/>
                <w:sz w:val="24"/>
                <w:szCs w:val="24"/>
                <w:highlight w:val="none"/>
              </w:rPr>
            </w:pPr>
          </w:p>
        </w:tc>
        <w:tc>
          <w:tcPr>
            <w:tcW w:w="864" w:type="dxa"/>
            <w:tcBorders>
              <w:top w:val="single" w:color="auto" w:sz="4" w:space="0"/>
              <w:left w:val="single" w:color="auto" w:sz="4" w:space="0"/>
              <w:bottom w:val="nil"/>
              <w:right w:val="nil"/>
              <w:tl2br w:val="nil"/>
              <w:tr2bl w:val="nil"/>
            </w:tcBorders>
            <w:shd w:val="clear" w:color="auto" w:fill="FFFFFF"/>
            <w:noWrap w:val="0"/>
            <w:vAlign w:val="top"/>
          </w:tcPr>
          <w:p w14:paraId="391617EB">
            <w:pPr>
              <w:pStyle w:val="23"/>
              <w:spacing w:beforeLines="0" w:afterLines="0"/>
              <w:rPr>
                <w:rStyle w:val="19"/>
                <w:rFonts w:hint="default"/>
                <w:color w:val="auto"/>
                <w:sz w:val="24"/>
                <w:szCs w:val="24"/>
                <w:highlight w:val="none"/>
              </w:rPr>
            </w:pPr>
          </w:p>
        </w:tc>
        <w:tc>
          <w:tcPr>
            <w:tcW w:w="874" w:type="dxa"/>
            <w:tcBorders>
              <w:top w:val="single" w:color="auto" w:sz="4" w:space="0"/>
              <w:left w:val="single" w:color="auto" w:sz="4" w:space="0"/>
              <w:bottom w:val="nil"/>
              <w:right w:val="single" w:color="auto" w:sz="4" w:space="0"/>
              <w:tl2br w:val="nil"/>
              <w:tr2bl w:val="nil"/>
            </w:tcBorders>
            <w:shd w:val="clear" w:color="auto" w:fill="FFFFFF"/>
            <w:noWrap w:val="0"/>
            <w:vAlign w:val="top"/>
          </w:tcPr>
          <w:p w14:paraId="6E8AFED3">
            <w:pPr>
              <w:pStyle w:val="23"/>
              <w:spacing w:beforeLines="0" w:afterLines="0"/>
              <w:rPr>
                <w:rStyle w:val="19"/>
                <w:rFonts w:hint="default"/>
                <w:color w:val="auto"/>
                <w:sz w:val="24"/>
                <w:szCs w:val="24"/>
                <w:highlight w:val="none"/>
              </w:rPr>
            </w:pPr>
          </w:p>
        </w:tc>
      </w:tr>
      <w:tr w14:paraId="1FC57B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566" w:hRule="exact"/>
          <w:jc w:val="center"/>
        </w:trPr>
        <w:tc>
          <w:tcPr>
            <w:tcW w:w="293" w:type="dxa"/>
            <w:tcBorders>
              <w:top w:val="single" w:color="auto" w:sz="4" w:space="0"/>
              <w:left w:val="single" w:color="auto" w:sz="4" w:space="0"/>
              <w:bottom w:val="nil"/>
              <w:right w:val="nil"/>
              <w:tl2br w:val="nil"/>
              <w:tr2bl w:val="nil"/>
            </w:tcBorders>
            <w:shd w:val="clear" w:color="auto" w:fill="FFFFFF"/>
            <w:noWrap w:val="0"/>
            <w:vAlign w:val="top"/>
          </w:tcPr>
          <w:p w14:paraId="38278EF5">
            <w:pPr>
              <w:pStyle w:val="23"/>
              <w:spacing w:beforeLines="0" w:afterLines="0"/>
              <w:rPr>
                <w:rStyle w:val="19"/>
                <w:rFonts w:hint="default"/>
                <w:color w:val="auto"/>
                <w:sz w:val="24"/>
                <w:szCs w:val="24"/>
                <w:highlight w:val="none"/>
              </w:rPr>
            </w:pPr>
          </w:p>
        </w:tc>
        <w:tc>
          <w:tcPr>
            <w:tcW w:w="1133" w:type="dxa"/>
            <w:tcBorders>
              <w:top w:val="single" w:color="auto" w:sz="4" w:space="0"/>
              <w:left w:val="single" w:color="auto" w:sz="4" w:space="0"/>
              <w:bottom w:val="nil"/>
              <w:right w:val="nil"/>
              <w:tl2br w:val="nil"/>
              <w:tr2bl w:val="nil"/>
            </w:tcBorders>
            <w:shd w:val="clear" w:color="auto" w:fill="FFFFFF"/>
            <w:noWrap w:val="0"/>
            <w:vAlign w:val="top"/>
          </w:tcPr>
          <w:p w14:paraId="003F4E2C">
            <w:pPr>
              <w:pStyle w:val="23"/>
              <w:spacing w:beforeLines="0" w:afterLines="0"/>
              <w:rPr>
                <w:rStyle w:val="19"/>
                <w:rFonts w:hint="default"/>
                <w:color w:val="auto"/>
                <w:sz w:val="24"/>
                <w:szCs w:val="24"/>
                <w:highlight w:val="none"/>
              </w:rPr>
            </w:pPr>
          </w:p>
        </w:tc>
        <w:tc>
          <w:tcPr>
            <w:tcW w:w="864" w:type="dxa"/>
            <w:tcBorders>
              <w:top w:val="single" w:color="auto" w:sz="4" w:space="0"/>
              <w:left w:val="single" w:color="auto" w:sz="4" w:space="0"/>
              <w:bottom w:val="nil"/>
              <w:right w:val="nil"/>
              <w:tl2br w:val="nil"/>
              <w:tr2bl w:val="nil"/>
            </w:tcBorders>
            <w:shd w:val="clear" w:color="auto" w:fill="FFFFFF"/>
            <w:noWrap w:val="0"/>
            <w:vAlign w:val="top"/>
          </w:tcPr>
          <w:p w14:paraId="10D6DE2A">
            <w:pPr>
              <w:pStyle w:val="23"/>
              <w:spacing w:beforeLines="0" w:afterLines="0"/>
              <w:rPr>
                <w:rStyle w:val="19"/>
                <w:rFonts w:hint="default"/>
                <w:color w:val="auto"/>
                <w:sz w:val="24"/>
                <w:szCs w:val="24"/>
                <w:highlight w:val="none"/>
              </w:rPr>
            </w:pPr>
          </w:p>
        </w:tc>
        <w:tc>
          <w:tcPr>
            <w:tcW w:w="869" w:type="dxa"/>
            <w:tcBorders>
              <w:top w:val="single" w:color="auto" w:sz="4" w:space="0"/>
              <w:left w:val="single" w:color="auto" w:sz="4" w:space="0"/>
              <w:bottom w:val="nil"/>
              <w:right w:val="nil"/>
              <w:tl2br w:val="nil"/>
              <w:tr2bl w:val="nil"/>
            </w:tcBorders>
            <w:shd w:val="clear" w:color="auto" w:fill="FFFFFF"/>
            <w:noWrap w:val="0"/>
            <w:vAlign w:val="top"/>
          </w:tcPr>
          <w:p w14:paraId="14780614">
            <w:pPr>
              <w:pStyle w:val="23"/>
              <w:spacing w:beforeLines="0" w:afterLines="0"/>
              <w:rPr>
                <w:rStyle w:val="19"/>
                <w:rFonts w:hint="default"/>
                <w:color w:val="auto"/>
                <w:sz w:val="24"/>
                <w:szCs w:val="24"/>
                <w:highlight w:val="none"/>
              </w:rPr>
            </w:pPr>
          </w:p>
        </w:tc>
        <w:tc>
          <w:tcPr>
            <w:tcW w:w="864" w:type="dxa"/>
            <w:tcBorders>
              <w:top w:val="single" w:color="auto" w:sz="4" w:space="0"/>
              <w:left w:val="single" w:color="auto" w:sz="4" w:space="0"/>
              <w:bottom w:val="nil"/>
              <w:right w:val="nil"/>
              <w:tl2br w:val="nil"/>
              <w:tr2bl w:val="nil"/>
            </w:tcBorders>
            <w:shd w:val="clear" w:color="auto" w:fill="FFFFFF"/>
            <w:noWrap w:val="0"/>
            <w:vAlign w:val="top"/>
          </w:tcPr>
          <w:p w14:paraId="75475C38">
            <w:pPr>
              <w:pStyle w:val="23"/>
              <w:spacing w:beforeLines="0" w:afterLines="0"/>
              <w:rPr>
                <w:rStyle w:val="19"/>
                <w:rFonts w:hint="default"/>
                <w:color w:val="auto"/>
                <w:sz w:val="24"/>
                <w:szCs w:val="24"/>
                <w:highlight w:val="none"/>
              </w:rPr>
            </w:pPr>
          </w:p>
        </w:tc>
        <w:tc>
          <w:tcPr>
            <w:tcW w:w="991" w:type="dxa"/>
            <w:tcBorders>
              <w:top w:val="single" w:color="auto" w:sz="4" w:space="0"/>
              <w:left w:val="single" w:color="auto" w:sz="4" w:space="0"/>
              <w:bottom w:val="nil"/>
              <w:right w:val="nil"/>
              <w:tl2br w:val="nil"/>
              <w:tr2bl w:val="nil"/>
            </w:tcBorders>
            <w:shd w:val="clear" w:color="auto" w:fill="FFFFFF"/>
            <w:noWrap w:val="0"/>
            <w:vAlign w:val="top"/>
          </w:tcPr>
          <w:p w14:paraId="3198F51A">
            <w:pPr>
              <w:pStyle w:val="23"/>
              <w:spacing w:beforeLines="0" w:afterLines="0"/>
              <w:rPr>
                <w:rStyle w:val="19"/>
                <w:rFonts w:hint="default"/>
                <w:color w:val="auto"/>
                <w:sz w:val="24"/>
                <w:szCs w:val="24"/>
                <w:highlight w:val="none"/>
              </w:rPr>
            </w:pPr>
          </w:p>
        </w:tc>
        <w:tc>
          <w:tcPr>
            <w:tcW w:w="737" w:type="dxa"/>
            <w:tcBorders>
              <w:top w:val="single" w:color="auto" w:sz="4" w:space="0"/>
              <w:left w:val="single" w:color="auto" w:sz="4" w:space="0"/>
              <w:bottom w:val="nil"/>
              <w:right w:val="nil"/>
              <w:tl2br w:val="nil"/>
              <w:tr2bl w:val="nil"/>
            </w:tcBorders>
            <w:shd w:val="clear" w:color="auto" w:fill="FFFFFF"/>
            <w:noWrap w:val="0"/>
            <w:vAlign w:val="top"/>
          </w:tcPr>
          <w:p w14:paraId="4E955651">
            <w:pPr>
              <w:pStyle w:val="23"/>
              <w:spacing w:beforeLines="0" w:afterLines="0"/>
              <w:rPr>
                <w:rStyle w:val="19"/>
                <w:rFonts w:hint="default"/>
                <w:color w:val="auto"/>
                <w:sz w:val="24"/>
                <w:szCs w:val="24"/>
                <w:highlight w:val="none"/>
              </w:rPr>
            </w:pPr>
          </w:p>
        </w:tc>
        <w:tc>
          <w:tcPr>
            <w:tcW w:w="864" w:type="dxa"/>
            <w:tcBorders>
              <w:top w:val="single" w:color="auto" w:sz="4" w:space="0"/>
              <w:left w:val="single" w:color="auto" w:sz="4" w:space="0"/>
              <w:bottom w:val="nil"/>
              <w:right w:val="nil"/>
              <w:tl2br w:val="nil"/>
              <w:tr2bl w:val="nil"/>
            </w:tcBorders>
            <w:shd w:val="clear" w:color="auto" w:fill="FFFFFF"/>
            <w:noWrap w:val="0"/>
            <w:vAlign w:val="top"/>
          </w:tcPr>
          <w:p w14:paraId="238F2CD0">
            <w:pPr>
              <w:pStyle w:val="23"/>
              <w:spacing w:beforeLines="0" w:afterLines="0"/>
              <w:rPr>
                <w:rStyle w:val="19"/>
                <w:rFonts w:hint="default"/>
                <w:color w:val="auto"/>
                <w:sz w:val="24"/>
                <w:szCs w:val="24"/>
                <w:highlight w:val="none"/>
              </w:rPr>
            </w:pPr>
          </w:p>
        </w:tc>
        <w:tc>
          <w:tcPr>
            <w:tcW w:w="864" w:type="dxa"/>
            <w:tcBorders>
              <w:top w:val="single" w:color="auto" w:sz="4" w:space="0"/>
              <w:left w:val="single" w:color="auto" w:sz="4" w:space="0"/>
              <w:bottom w:val="nil"/>
              <w:right w:val="nil"/>
              <w:tl2br w:val="nil"/>
              <w:tr2bl w:val="nil"/>
            </w:tcBorders>
            <w:shd w:val="clear" w:color="auto" w:fill="FFFFFF"/>
            <w:noWrap w:val="0"/>
            <w:vAlign w:val="top"/>
          </w:tcPr>
          <w:p w14:paraId="5F4C3813">
            <w:pPr>
              <w:pStyle w:val="23"/>
              <w:spacing w:beforeLines="0" w:afterLines="0"/>
              <w:rPr>
                <w:rStyle w:val="19"/>
                <w:rFonts w:hint="default"/>
                <w:color w:val="auto"/>
                <w:sz w:val="24"/>
                <w:szCs w:val="24"/>
                <w:highlight w:val="none"/>
              </w:rPr>
            </w:pPr>
          </w:p>
        </w:tc>
        <w:tc>
          <w:tcPr>
            <w:tcW w:w="874" w:type="dxa"/>
            <w:tcBorders>
              <w:top w:val="single" w:color="auto" w:sz="4" w:space="0"/>
              <w:left w:val="single" w:color="auto" w:sz="4" w:space="0"/>
              <w:bottom w:val="nil"/>
              <w:right w:val="single" w:color="auto" w:sz="4" w:space="0"/>
              <w:tl2br w:val="nil"/>
              <w:tr2bl w:val="nil"/>
            </w:tcBorders>
            <w:shd w:val="clear" w:color="auto" w:fill="FFFFFF"/>
            <w:noWrap w:val="0"/>
            <w:vAlign w:val="top"/>
          </w:tcPr>
          <w:p w14:paraId="3977B20E">
            <w:pPr>
              <w:pStyle w:val="23"/>
              <w:spacing w:beforeLines="0" w:afterLines="0"/>
              <w:rPr>
                <w:rStyle w:val="19"/>
                <w:rFonts w:hint="default"/>
                <w:color w:val="auto"/>
                <w:sz w:val="24"/>
                <w:szCs w:val="24"/>
                <w:highlight w:val="none"/>
              </w:rPr>
            </w:pPr>
          </w:p>
        </w:tc>
      </w:tr>
      <w:tr w14:paraId="51ADE8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576" w:hRule="exact"/>
          <w:jc w:val="center"/>
        </w:trPr>
        <w:tc>
          <w:tcPr>
            <w:tcW w:w="293" w:type="dxa"/>
            <w:tcBorders>
              <w:top w:val="single" w:color="auto" w:sz="4" w:space="0"/>
              <w:left w:val="single" w:color="auto" w:sz="4" w:space="0"/>
              <w:bottom w:val="single" w:color="auto" w:sz="4" w:space="0"/>
              <w:right w:val="nil"/>
              <w:tl2br w:val="nil"/>
              <w:tr2bl w:val="nil"/>
            </w:tcBorders>
            <w:shd w:val="clear" w:color="auto" w:fill="FFFFFF"/>
            <w:noWrap w:val="0"/>
            <w:vAlign w:val="top"/>
          </w:tcPr>
          <w:p w14:paraId="0D84F431">
            <w:pPr>
              <w:pStyle w:val="23"/>
              <w:spacing w:beforeLines="0" w:afterLines="0"/>
              <w:rPr>
                <w:rStyle w:val="19"/>
                <w:rFonts w:hint="default"/>
                <w:color w:val="auto"/>
                <w:sz w:val="10"/>
                <w:szCs w:val="24"/>
                <w:highlight w:val="none"/>
              </w:rPr>
            </w:pPr>
          </w:p>
        </w:tc>
        <w:tc>
          <w:tcPr>
            <w:tcW w:w="1133" w:type="dxa"/>
            <w:tcBorders>
              <w:top w:val="single" w:color="auto" w:sz="4" w:space="0"/>
              <w:left w:val="single" w:color="auto" w:sz="4" w:space="0"/>
              <w:bottom w:val="single" w:color="auto" w:sz="4" w:space="0"/>
              <w:right w:val="nil"/>
              <w:tl2br w:val="nil"/>
              <w:tr2bl w:val="nil"/>
            </w:tcBorders>
            <w:shd w:val="clear" w:color="auto" w:fill="FFFFFF"/>
            <w:noWrap w:val="0"/>
            <w:vAlign w:val="top"/>
          </w:tcPr>
          <w:p w14:paraId="0EA466F0">
            <w:pPr>
              <w:pStyle w:val="23"/>
              <w:spacing w:beforeLines="0" w:afterLines="0"/>
              <w:rPr>
                <w:rStyle w:val="19"/>
                <w:rFonts w:hint="default"/>
                <w:color w:val="auto"/>
                <w:sz w:val="10"/>
                <w:szCs w:val="24"/>
                <w:highlight w:val="none"/>
              </w:rPr>
            </w:pPr>
          </w:p>
        </w:tc>
        <w:tc>
          <w:tcPr>
            <w:tcW w:w="864" w:type="dxa"/>
            <w:tcBorders>
              <w:top w:val="single" w:color="auto" w:sz="4" w:space="0"/>
              <w:left w:val="single" w:color="auto" w:sz="4" w:space="0"/>
              <w:bottom w:val="single" w:color="auto" w:sz="4" w:space="0"/>
              <w:right w:val="nil"/>
              <w:tl2br w:val="nil"/>
              <w:tr2bl w:val="nil"/>
            </w:tcBorders>
            <w:shd w:val="clear" w:color="auto" w:fill="FFFFFF"/>
            <w:noWrap w:val="0"/>
            <w:vAlign w:val="top"/>
          </w:tcPr>
          <w:p w14:paraId="456CAEAE">
            <w:pPr>
              <w:pStyle w:val="23"/>
              <w:spacing w:beforeLines="0" w:afterLines="0"/>
              <w:rPr>
                <w:rStyle w:val="19"/>
                <w:rFonts w:hint="default"/>
                <w:color w:val="auto"/>
                <w:sz w:val="10"/>
                <w:szCs w:val="24"/>
                <w:highlight w:val="none"/>
              </w:rPr>
            </w:pPr>
          </w:p>
        </w:tc>
        <w:tc>
          <w:tcPr>
            <w:tcW w:w="869" w:type="dxa"/>
            <w:tcBorders>
              <w:top w:val="single" w:color="auto" w:sz="4" w:space="0"/>
              <w:left w:val="single" w:color="auto" w:sz="4" w:space="0"/>
              <w:bottom w:val="single" w:color="auto" w:sz="4" w:space="0"/>
              <w:right w:val="nil"/>
              <w:tl2br w:val="nil"/>
              <w:tr2bl w:val="nil"/>
            </w:tcBorders>
            <w:shd w:val="clear" w:color="auto" w:fill="FFFFFF"/>
            <w:noWrap w:val="0"/>
            <w:vAlign w:val="top"/>
          </w:tcPr>
          <w:p w14:paraId="36828F8B">
            <w:pPr>
              <w:pStyle w:val="23"/>
              <w:spacing w:beforeLines="0" w:afterLines="0"/>
              <w:rPr>
                <w:rStyle w:val="19"/>
                <w:rFonts w:hint="default"/>
                <w:color w:val="auto"/>
                <w:sz w:val="10"/>
                <w:szCs w:val="24"/>
                <w:highlight w:val="none"/>
              </w:rPr>
            </w:pPr>
          </w:p>
        </w:tc>
        <w:tc>
          <w:tcPr>
            <w:tcW w:w="864" w:type="dxa"/>
            <w:tcBorders>
              <w:top w:val="single" w:color="auto" w:sz="4" w:space="0"/>
              <w:left w:val="single" w:color="auto" w:sz="4" w:space="0"/>
              <w:bottom w:val="single" w:color="auto" w:sz="4" w:space="0"/>
              <w:right w:val="nil"/>
              <w:tl2br w:val="nil"/>
              <w:tr2bl w:val="nil"/>
            </w:tcBorders>
            <w:shd w:val="clear" w:color="auto" w:fill="FFFFFF"/>
            <w:noWrap w:val="0"/>
            <w:vAlign w:val="top"/>
          </w:tcPr>
          <w:p w14:paraId="2BADB373">
            <w:pPr>
              <w:pStyle w:val="23"/>
              <w:spacing w:beforeLines="0" w:afterLines="0"/>
              <w:rPr>
                <w:rStyle w:val="19"/>
                <w:rFonts w:hint="default"/>
                <w:color w:val="auto"/>
                <w:sz w:val="10"/>
                <w:szCs w:val="24"/>
                <w:highlight w:val="none"/>
              </w:rPr>
            </w:pPr>
          </w:p>
        </w:tc>
        <w:tc>
          <w:tcPr>
            <w:tcW w:w="991" w:type="dxa"/>
            <w:tcBorders>
              <w:top w:val="single" w:color="auto" w:sz="4" w:space="0"/>
              <w:left w:val="single" w:color="auto" w:sz="4" w:space="0"/>
              <w:bottom w:val="single" w:color="auto" w:sz="4" w:space="0"/>
              <w:right w:val="nil"/>
              <w:tl2br w:val="nil"/>
              <w:tr2bl w:val="nil"/>
            </w:tcBorders>
            <w:shd w:val="clear" w:color="auto" w:fill="FFFFFF"/>
            <w:noWrap w:val="0"/>
            <w:vAlign w:val="top"/>
          </w:tcPr>
          <w:p w14:paraId="49445FEF">
            <w:pPr>
              <w:pStyle w:val="23"/>
              <w:spacing w:beforeLines="0" w:afterLines="0"/>
              <w:rPr>
                <w:rStyle w:val="19"/>
                <w:rFonts w:hint="default"/>
                <w:color w:val="auto"/>
                <w:sz w:val="10"/>
                <w:szCs w:val="24"/>
                <w:highlight w:val="none"/>
              </w:rPr>
            </w:pPr>
          </w:p>
        </w:tc>
        <w:tc>
          <w:tcPr>
            <w:tcW w:w="737" w:type="dxa"/>
            <w:tcBorders>
              <w:top w:val="single" w:color="auto" w:sz="4" w:space="0"/>
              <w:left w:val="single" w:color="auto" w:sz="4" w:space="0"/>
              <w:bottom w:val="single" w:color="auto" w:sz="4" w:space="0"/>
              <w:right w:val="nil"/>
              <w:tl2br w:val="nil"/>
              <w:tr2bl w:val="nil"/>
            </w:tcBorders>
            <w:shd w:val="clear" w:color="auto" w:fill="FFFFFF"/>
            <w:noWrap w:val="0"/>
            <w:vAlign w:val="top"/>
          </w:tcPr>
          <w:p w14:paraId="3EA6FD82">
            <w:pPr>
              <w:pStyle w:val="23"/>
              <w:spacing w:beforeLines="0" w:afterLines="0"/>
              <w:rPr>
                <w:rStyle w:val="19"/>
                <w:rFonts w:hint="default"/>
                <w:color w:val="auto"/>
                <w:sz w:val="10"/>
                <w:szCs w:val="24"/>
                <w:highlight w:val="none"/>
              </w:rPr>
            </w:pPr>
          </w:p>
        </w:tc>
        <w:tc>
          <w:tcPr>
            <w:tcW w:w="864" w:type="dxa"/>
            <w:tcBorders>
              <w:top w:val="single" w:color="auto" w:sz="4" w:space="0"/>
              <w:left w:val="single" w:color="auto" w:sz="4" w:space="0"/>
              <w:bottom w:val="single" w:color="auto" w:sz="4" w:space="0"/>
              <w:right w:val="nil"/>
              <w:tl2br w:val="nil"/>
              <w:tr2bl w:val="nil"/>
            </w:tcBorders>
            <w:shd w:val="clear" w:color="auto" w:fill="FFFFFF"/>
            <w:noWrap w:val="0"/>
            <w:vAlign w:val="top"/>
          </w:tcPr>
          <w:p w14:paraId="3526B71F">
            <w:pPr>
              <w:pStyle w:val="23"/>
              <w:spacing w:beforeLines="0" w:afterLines="0"/>
              <w:rPr>
                <w:rStyle w:val="19"/>
                <w:rFonts w:hint="default"/>
                <w:color w:val="auto"/>
                <w:sz w:val="10"/>
                <w:szCs w:val="24"/>
                <w:highlight w:val="none"/>
              </w:rPr>
            </w:pPr>
          </w:p>
        </w:tc>
        <w:tc>
          <w:tcPr>
            <w:tcW w:w="864" w:type="dxa"/>
            <w:tcBorders>
              <w:top w:val="single" w:color="auto" w:sz="4" w:space="0"/>
              <w:left w:val="single" w:color="auto" w:sz="4" w:space="0"/>
              <w:bottom w:val="single" w:color="auto" w:sz="4" w:space="0"/>
              <w:right w:val="nil"/>
              <w:tl2br w:val="nil"/>
              <w:tr2bl w:val="nil"/>
            </w:tcBorders>
            <w:shd w:val="clear" w:color="auto" w:fill="FFFFFF"/>
            <w:noWrap w:val="0"/>
            <w:vAlign w:val="top"/>
          </w:tcPr>
          <w:p w14:paraId="30077640">
            <w:pPr>
              <w:pStyle w:val="23"/>
              <w:spacing w:beforeLines="0" w:afterLines="0"/>
              <w:rPr>
                <w:rStyle w:val="19"/>
                <w:rFonts w:hint="default"/>
                <w:color w:val="auto"/>
                <w:sz w:val="10"/>
                <w:szCs w:val="24"/>
                <w:highlight w:val="none"/>
              </w:rPr>
            </w:pPr>
          </w:p>
        </w:tc>
        <w:tc>
          <w:tcPr>
            <w:tcW w:w="874" w:type="dxa"/>
            <w:tcBorders>
              <w:top w:val="single" w:color="auto" w:sz="4" w:space="0"/>
              <w:left w:val="single" w:color="auto" w:sz="4" w:space="0"/>
              <w:bottom w:val="single" w:color="auto" w:sz="4" w:space="0"/>
              <w:right w:val="single" w:color="auto" w:sz="4" w:space="0"/>
              <w:tl2br w:val="nil"/>
              <w:tr2bl w:val="nil"/>
            </w:tcBorders>
            <w:shd w:val="clear" w:color="auto" w:fill="FFFFFF"/>
            <w:noWrap w:val="0"/>
            <w:vAlign w:val="top"/>
          </w:tcPr>
          <w:p w14:paraId="33146B16">
            <w:pPr>
              <w:pStyle w:val="23"/>
              <w:spacing w:beforeLines="0" w:afterLines="0"/>
              <w:rPr>
                <w:rStyle w:val="19"/>
                <w:rFonts w:hint="default"/>
                <w:color w:val="auto"/>
                <w:sz w:val="10"/>
                <w:szCs w:val="24"/>
                <w:highlight w:val="none"/>
              </w:rPr>
            </w:pPr>
          </w:p>
        </w:tc>
      </w:tr>
    </w:tbl>
    <w:p w14:paraId="6212252E">
      <w:pPr>
        <w:pStyle w:val="23"/>
        <w:spacing w:beforeLines="0" w:afterLines="0"/>
        <w:rPr>
          <w:rStyle w:val="19"/>
          <w:rFonts w:hint="default" w:ascii="宋体" w:eastAsia="宋体"/>
          <w:color w:val="auto"/>
          <w:sz w:val="24"/>
          <w:szCs w:val="24"/>
          <w:highlight w:val="none"/>
        </w:rPr>
      </w:pPr>
    </w:p>
    <w:p w14:paraId="41658F42">
      <w:pPr>
        <w:pStyle w:val="23"/>
        <w:spacing w:beforeLines="0" w:afterLines="0"/>
        <w:rPr>
          <w:rStyle w:val="19"/>
          <w:rFonts w:hint="default" w:ascii="宋体" w:hAnsi="宋体" w:eastAsia="宋体" w:cs="宋体"/>
          <w:b/>
          <w:color w:val="auto"/>
          <w:sz w:val="28"/>
          <w:szCs w:val="28"/>
          <w:highlight w:val="none"/>
          <w:lang w:eastAsia="zh-CN"/>
        </w:rPr>
      </w:pPr>
      <w:bookmarkStart w:id="96" w:name="_Toc27417"/>
      <w:bookmarkStart w:id="97" w:name="bookmark2235"/>
      <w:bookmarkStart w:id="98" w:name="bookmark2236"/>
      <w:bookmarkStart w:id="99" w:name="bookmark2234"/>
      <w:bookmarkStart w:id="100" w:name="_Toc3373"/>
    </w:p>
    <w:p w14:paraId="1E69A319">
      <w:pPr>
        <w:pStyle w:val="23"/>
        <w:spacing w:beforeLines="0" w:afterLines="0"/>
        <w:rPr>
          <w:rStyle w:val="19"/>
          <w:rFonts w:hint="default" w:ascii="宋体" w:hAnsi="宋体" w:eastAsia="宋体" w:cs="宋体"/>
          <w:b/>
          <w:color w:val="auto"/>
          <w:sz w:val="28"/>
          <w:szCs w:val="28"/>
          <w:highlight w:val="none"/>
          <w:lang w:eastAsia="zh-CN"/>
        </w:rPr>
      </w:pPr>
    </w:p>
    <w:p w14:paraId="61885E67">
      <w:pPr>
        <w:pStyle w:val="23"/>
        <w:spacing w:beforeLines="0" w:afterLines="0"/>
        <w:rPr>
          <w:rStyle w:val="19"/>
          <w:rFonts w:hint="default" w:ascii="宋体" w:hAnsi="宋体" w:eastAsia="宋体" w:cs="宋体"/>
          <w:b/>
          <w:color w:val="auto"/>
          <w:sz w:val="28"/>
          <w:szCs w:val="28"/>
          <w:highlight w:val="none"/>
          <w:lang w:eastAsia="zh-CN"/>
        </w:rPr>
      </w:pPr>
      <w:r>
        <w:rPr>
          <w:rStyle w:val="19"/>
          <w:rFonts w:hint="default" w:ascii="宋体" w:hAnsi="宋体" w:eastAsia="宋体" w:cs="宋体"/>
          <w:b/>
          <w:color w:val="auto"/>
          <w:sz w:val="28"/>
          <w:szCs w:val="28"/>
          <w:highlight w:val="none"/>
          <w:lang w:eastAsia="zh-CN"/>
        </w:rPr>
        <w:t>附件二：拟投入本合同工程的试验和检测仪器设备表</w:t>
      </w:r>
      <w:bookmarkEnd w:id="96"/>
    </w:p>
    <w:p w14:paraId="0B390869">
      <w:pPr>
        <w:pStyle w:val="23"/>
        <w:spacing w:beforeLines="0" w:afterLines="0"/>
        <w:rPr>
          <w:rStyle w:val="19"/>
          <w:rFonts w:hint="default"/>
          <w:color w:val="auto"/>
          <w:sz w:val="24"/>
          <w:szCs w:val="24"/>
          <w:highlight w:val="none"/>
          <w:lang w:eastAsia="zh-CN"/>
        </w:rPr>
      </w:pPr>
    </w:p>
    <w:p w14:paraId="19FEC3C6">
      <w:pPr>
        <w:pStyle w:val="23"/>
        <w:spacing w:beforeLines="0" w:afterLines="0"/>
        <w:jc w:val="center"/>
        <w:rPr>
          <w:rStyle w:val="19"/>
          <w:rFonts w:hint="default" w:ascii="宋体" w:hAnsi="宋体" w:eastAsia="宋体" w:cs="宋体"/>
          <w:b/>
          <w:color w:val="auto"/>
          <w:sz w:val="24"/>
          <w:szCs w:val="24"/>
          <w:highlight w:val="none"/>
          <w:lang w:eastAsia="zh-CN"/>
        </w:rPr>
      </w:pPr>
      <w:bookmarkStart w:id="101" w:name="_Toc24555"/>
      <w:r>
        <w:rPr>
          <w:rStyle w:val="19"/>
          <w:rFonts w:hint="default" w:ascii="宋体" w:hAnsi="宋体" w:eastAsia="宋体" w:cs="宋体"/>
          <w:b/>
          <w:color w:val="auto"/>
          <w:sz w:val="24"/>
          <w:szCs w:val="24"/>
          <w:highlight w:val="none"/>
          <w:lang w:eastAsia="zh-CN"/>
        </w:rPr>
        <w:t>拟投入本合同工程的试验和检测仪器设备表</w:t>
      </w:r>
      <w:bookmarkEnd w:id="97"/>
      <w:bookmarkEnd w:id="98"/>
      <w:bookmarkEnd w:id="99"/>
      <w:bookmarkEnd w:id="100"/>
      <w:bookmarkEnd w:id="101"/>
    </w:p>
    <w:tbl>
      <w:tblPr>
        <w:tblStyle w:val="18"/>
        <w:tblW w:w="835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 w:type="dxa"/>
          <w:bottom w:w="0" w:type="dxa"/>
          <w:right w:w="10" w:type="dxa"/>
        </w:tblCellMar>
      </w:tblPr>
      <w:tblGrid>
        <w:gridCol w:w="576"/>
        <w:gridCol w:w="1416"/>
        <w:gridCol w:w="907"/>
        <w:gridCol w:w="907"/>
        <w:gridCol w:w="907"/>
        <w:gridCol w:w="912"/>
        <w:gridCol w:w="902"/>
        <w:gridCol w:w="907"/>
        <w:gridCol w:w="917"/>
      </w:tblGrid>
      <w:tr w14:paraId="4862BA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859" w:hRule="exact"/>
          <w:jc w:val="center"/>
        </w:trPr>
        <w:tc>
          <w:tcPr>
            <w:tcW w:w="576" w:type="dxa"/>
            <w:tcBorders>
              <w:top w:val="single" w:color="auto" w:sz="4" w:space="0"/>
              <w:left w:val="single" w:color="auto" w:sz="4" w:space="0"/>
              <w:bottom w:val="nil"/>
              <w:right w:val="nil"/>
              <w:tl2br w:val="nil"/>
              <w:tr2bl w:val="nil"/>
            </w:tcBorders>
            <w:shd w:val="clear" w:color="auto" w:fill="FFFFFF"/>
            <w:noWrap w:val="0"/>
            <w:vAlign w:val="center"/>
          </w:tcPr>
          <w:p w14:paraId="4944B449">
            <w:pPr>
              <w:pStyle w:val="25"/>
              <w:spacing w:beforeLines="0" w:afterLines="0" w:line="240" w:lineRule="auto"/>
              <w:ind w:firstLine="0"/>
              <w:jc w:val="center"/>
              <w:rPr>
                <w:rStyle w:val="19"/>
                <w:rFonts w:hint="default"/>
                <w:color w:val="auto"/>
                <w:sz w:val="24"/>
                <w:szCs w:val="20"/>
                <w:highlight w:val="none"/>
              </w:rPr>
            </w:pPr>
            <w:r>
              <w:rPr>
                <w:rStyle w:val="19"/>
                <w:rFonts w:hint="default"/>
                <w:color w:val="auto"/>
                <w:sz w:val="24"/>
                <w:szCs w:val="20"/>
                <w:highlight w:val="none"/>
              </w:rPr>
              <w:t>序号</w:t>
            </w:r>
          </w:p>
        </w:tc>
        <w:tc>
          <w:tcPr>
            <w:tcW w:w="1416" w:type="dxa"/>
            <w:tcBorders>
              <w:top w:val="single" w:color="auto" w:sz="4" w:space="0"/>
              <w:left w:val="single" w:color="auto" w:sz="4" w:space="0"/>
              <w:bottom w:val="nil"/>
              <w:right w:val="nil"/>
              <w:tl2br w:val="nil"/>
              <w:tr2bl w:val="nil"/>
            </w:tcBorders>
            <w:shd w:val="clear" w:color="auto" w:fill="FFFFFF"/>
            <w:noWrap w:val="0"/>
            <w:vAlign w:val="center"/>
          </w:tcPr>
          <w:p w14:paraId="2DB423F6">
            <w:pPr>
              <w:pStyle w:val="25"/>
              <w:spacing w:beforeLines="0" w:afterLines="0" w:line="240" w:lineRule="auto"/>
              <w:ind w:firstLine="0"/>
              <w:jc w:val="center"/>
              <w:rPr>
                <w:rStyle w:val="19"/>
                <w:rFonts w:hint="default"/>
                <w:color w:val="auto"/>
                <w:sz w:val="24"/>
                <w:szCs w:val="20"/>
                <w:highlight w:val="none"/>
              </w:rPr>
            </w:pPr>
            <w:r>
              <w:rPr>
                <w:rStyle w:val="19"/>
                <w:rFonts w:hint="default"/>
                <w:color w:val="auto"/>
                <w:sz w:val="24"/>
                <w:szCs w:val="20"/>
                <w:highlight w:val="none"/>
              </w:rPr>
              <w:t>仪器设备名称</w:t>
            </w:r>
          </w:p>
        </w:tc>
        <w:tc>
          <w:tcPr>
            <w:tcW w:w="907" w:type="dxa"/>
            <w:tcBorders>
              <w:top w:val="single" w:color="auto" w:sz="4" w:space="0"/>
              <w:left w:val="single" w:color="auto" w:sz="4" w:space="0"/>
              <w:bottom w:val="nil"/>
              <w:right w:val="nil"/>
              <w:tl2br w:val="nil"/>
              <w:tr2bl w:val="nil"/>
            </w:tcBorders>
            <w:shd w:val="clear" w:color="auto" w:fill="FFFFFF"/>
            <w:noWrap w:val="0"/>
            <w:vAlign w:val="center"/>
          </w:tcPr>
          <w:p w14:paraId="7E1DE18F">
            <w:pPr>
              <w:pStyle w:val="25"/>
              <w:spacing w:beforeLines="0" w:afterLines="0" w:line="240" w:lineRule="auto"/>
              <w:ind w:firstLine="0"/>
              <w:jc w:val="center"/>
              <w:rPr>
                <w:rStyle w:val="19"/>
                <w:rFonts w:hint="default"/>
                <w:color w:val="auto"/>
                <w:sz w:val="24"/>
                <w:szCs w:val="20"/>
                <w:highlight w:val="none"/>
              </w:rPr>
            </w:pPr>
            <w:r>
              <w:rPr>
                <w:rStyle w:val="19"/>
                <w:rFonts w:hint="default"/>
                <w:color w:val="auto"/>
                <w:sz w:val="24"/>
                <w:szCs w:val="20"/>
                <w:highlight w:val="none"/>
              </w:rPr>
              <w:t>型号规格</w:t>
            </w:r>
          </w:p>
        </w:tc>
        <w:tc>
          <w:tcPr>
            <w:tcW w:w="907" w:type="dxa"/>
            <w:tcBorders>
              <w:top w:val="single" w:color="auto" w:sz="4" w:space="0"/>
              <w:left w:val="single" w:color="auto" w:sz="4" w:space="0"/>
              <w:bottom w:val="nil"/>
              <w:right w:val="nil"/>
              <w:tl2br w:val="nil"/>
              <w:tr2bl w:val="nil"/>
            </w:tcBorders>
            <w:shd w:val="clear" w:color="auto" w:fill="FFFFFF"/>
            <w:noWrap w:val="0"/>
            <w:vAlign w:val="center"/>
          </w:tcPr>
          <w:p w14:paraId="22AF30A3">
            <w:pPr>
              <w:pStyle w:val="25"/>
              <w:spacing w:beforeLines="0" w:afterLines="0" w:line="240" w:lineRule="auto"/>
              <w:ind w:firstLine="0"/>
              <w:jc w:val="center"/>
              <w:rPr>
                <w:rStyle w:val="19"/>
                <w:rFonts w:hint="default"/>
                <w:color w:val="auto"/>
                <w:sz w:val="24"/>
                <w:szCs w:val="20"/>
                <w:highlight w:val="none"/>
              </w:rPr>
            </w:pPr>
            <w:r>
              <w:rPr>
                <w:rStyle w:val="19"/>
                <w:rFonts w:hint="default"/>
                <w:color w:val="auto"/>
                <w:sz w:val="24"/>
                <w:szCs w:val="20"/>
                <w:highlight w:val="none"/>
              </w:rPr>
              <w:t>数量</w:t>
            </w:r>
          </w:p>
        </w:tc>
        <w:tc>
          <w:tcPr>
            <w:tcW w:w="907" w:type="dxa"/>
            <w:tcBorders>
              <w:top w:val="single" w:color="auto" w:sz="4" w:space="0"/>
              <w:left w:val="single" w:color="auto" w:sz="4" w:space="0"/>
              <w:bottom w:val="nil"/>
              <w:right w:val="nil"/>
              <w:tl2br w:val="nil"/>
              <w:tr2bl w:val="nil"/>
            </w:tcBorders>
            <w:shd w:val="clear" w:color="auto" w:fill="FFFFFF"/>
            <w:noWrap w:val="0"/>
            <w:vAlign w:val="center"/>
          </w:tcPr>
          <w:p w14:paraId="6C9F6307">
            <w:pPr>
              <w:pStyle w:val="25"/>
              <w:spacing w:beforeLines="0" w:afterLines="0" w:line="240" w:lineRule="auto"/>
              <w:ind w:firstLine="0"/>
              <w:jc w:val="center"/>
              <w:rPr>
                <w:rStyle w:val="19"/>
                <w:rFonts w:hint="default"/>
                <w:color w:val="auto"/>
                <w:sz w:val="24"/>
                <w:szCs w:val="20"/>
                <w:highlight w:val="none"/>
              </w:rPr>
            </w:pPr>
            <w:r>
              <w:rPr>
                <w:rStyle w:val="19"/>
                <w:rFonts w:hint="default"/>
                <w:color w:val="auto"/>
                <w:sz w:val="24"/>
                <w:szCs w:val="20"/>
                <w:highlight w:val="none"/>
              </w:rPr>
              <w:t>国别产地</w:t>
            </w:r>
          </w:p>
        </w:tc>
        <w:tc>
          <w:tcPr>
            <w:tcW w:w="912" w:type="dxa"/>
            <w:tcBorders>
              <w:top w:val="single" w:color="auto" w:sz="4" w:space="0"/>
              <w:left w:val="single" w:color="auto" w:sz="4" w:space="0"/>
              <w:bottom w:val="nil"/>
              <w:right w:val="nil"/>
              <w:tl2br w:val="nil"/>
              <w:tr2bl w:val="nil"/>
            </w:tcBorders>
            <w:shd w:val="clear" w:color="auto" w:fill="FFFFFF"/>
            <w:noWrap w:val="0"/>
            <w:vAlign w:val="center"/>
          </w:tcPr>
          <w:p w14:paraId="586C0DB7">
            <w:pPr>
              <w:pStyle w:val="25"/>
              <w:spacing w:beforeLines="0" w:afterLines="0" w:line="240" w:lineRule="auto"/>
              <w:ind w:firstLine="0"/>
              <w:jc w:val="center"/>
              <w:rPr>
                <w:rStyle w:val="19"/>
                <w:rFonts w:hint="default"/>
                <w:color w:val="auto"/>
                <w:sz w:val="24"/>
                <w:szCs w:val="20"/>
                <w:highlight w:val="none"/>
              </w:rPr>
            </w:pPr>
            <w:r>
              <w:rPr>
                <w:rStyle w:val="19"/>
                <w:rFonts w:hint="default"/>
                <w:color w:val="auto"/>
                <w:sz w:val="24"/>
                <w:szCs w:val="20"/>
                <w:highlight w:val="none"/>
              </w:rPr>
              <w:t>制造年份</w:t>
            </w:r>
          </w:p>
        </w:tc>
        <w:tc>
          <w:tcPr>
            <w:tcW w:w="902" w:type="dxa"/>
            <w:tcBorders>
              <w:top w:val="single" w:color="auto" w:sz="4" w:space="0"/>
              <w:left w:val="single" w:color="auto" w:sz="4" w:space="0"/>
              <w:bottom w:val="nil"/>
              <w:right w:val="nil"/>
              <w:tl2br w:val="nil"/>
              <w:tr2bl w:val="nil"/>
            </w:tcBorders>
            <w:shd w:val="clear" w:color="auto" w:fill="FFFFFF"/>
            <w:noWrap w:val="0"/>
            <w:vAlign w:val="center"/>
          </w:tcPr>
          <w:p w14:paraId="07163AA2">
            <w:pPr>
              <w:pStyle w:val="25"/>
              <w:spacing w:beforeLines="0" w:afterLines="0" w:line="264" w:lineRule="exact"/>
              <w:ind w:firstLine="0"/>
              <w:jc w:val="center"/>
              <w:rPr>
                <w:rStyle w:val="19"/>
                <w:rFonts w:hint="default"/>
                <w:color w:val="auto"/>
                <w:sz w:val="24"/>
                <w:szCs w:val="20"/>
                <w:highlight w:val="none"/>
              </w:rPr>
            </w:pPr>
            <w:r>
              <w:rPr>
                <w:rStyle w:val="19"/>
                <w:rFonts w:hint="default"/>
                <w:color w:val="auto"/>
                <w:sz w:val="24"/>
                <w:szCs w:val="20"/>
                <w:highlight w:val="none"/>
              </w:rPr>
              <w:t>己使用</w:t>
            </w:r>
          </w:p>
          <w:p w14:paraId="67065663">
            <w:pPr>
              <w:pStyle w:val="25"/>
              <w:spacing w:beforeLines="0" w:afterLines="0" w:line="264" w:lineRule="exact"/>
              <w:ind w:firstLine="0"/>
              <w:jc w:val="center"/>
              <w:rPr>
                <w:rStyle w:val="19"/>
                <w:rFonts w:hint="default"/>
                <w:color w:val="auto"/>
                <w:sz w:val="24"/>
                <w:szCs w:val="20"/>
                <w:highlight w:val="none"/>
              </w:rPr>
            </w:pPr>
            <w:r>
              <w:rPr>
                <w:rStyle w:val="19"/>
                <w:rFonts w:hint="default"/>
                <w:color w:val="auto"/>
                <w:sz w:val="24"/>
                <w:szCs w:val="20"/>
                <w:highlight w:val="none"/>
              </w:rPr>
              <w:t>台时数</w:t>
            </w:r>
          </w:p>
        </w:tc>
        <w:tc>
          <w:tcPr>
            <w:tcW w:w="907" w:type="dxa"/>
            <w:tcBorders>
              <w:top w:val="single" w:color="auto" w:sz="4" w:space="0"/>
              <w:left w:val="single" w:color="auto" w:sz="4" w:space="0"/>
              <w:bottom w:val="nil"/>
              <w:right w:val="nil"/>
              <w:tl2br w:val="nil"/>
              <w:tr2bl w:val="nil"/>
            </w:tcBorders>
            <w:shd w:val="clear" w:color="auto" w:fill="FFFFFF"/>
            <w:noWrap w:val="0"/>
            <w:vAlign w:val="center"/>
          </w:tcPr>
          <w:p w14:paraId="07FA2507">
            <w:pPr>
              <w:pStyle w:val="25"/>
              <w:spacing w:beforeLines="0" w:afterLines="0" w:line="240" w:lineRule="auto"/>
              <w:ind w:firstLine="0"/>
              <w:jc w:val="center"/>
              <w:rPr>
                <w:rStyle w:val="19"/>
                <w:rFonts w:hint="default"/>
                <w:color w:val="auto"/>
                <w:sz w:val="24"/>
                <w:szCs w:val="20"/>
                <w:highlight w:val="none"/>
              </w:rPr>
            </w:pPr>
            <w:r>
              <w:rPr>
                <w:rStyle w:val="19"/>
                <w:rFonts w:hint="default"/>
                <w:color w:val="auto"/>
                <w:sz w:val="24"/>
                <w:szCs w:val="20"/>
                <w:highlight w:val="none"/>
              </w:rPr>
              <w:t>用途</w:t>
            </w:r>
          </w:p>
        </w:tc>
        <w:tc>
          <w:tcPr>
            <w:tcW w:w="917" w:type="dxa"/>
            <w:tcBorders>
              <w:top w:val="single" w:color="auto" w:sz="4" w:space="0"/>
              <w:left w:val="single" w:color="auto" w:sz="4" w:space="0"/>
              <w:bottom w:val="nil"/>
              <w:right w:val="single" w:color="auto" w:sz="4" w:space="0"/>
              <w:tl2br w:val="nil"/>
              <w:tr2bl w:val="nil"/>
            </w:tcBorders>
            <w:shd w:val="clear" w:color="auto" w:fill="FFFFFF"/>
            <w:noWrap w:val="0"/>
            <w:vAlign w:val="center"/>
          </w:tcPr>
          <w:p w14:paraId="0F148808">
            <w:pPr>
              <w:pStyle w:val="25"/>
              <w:spacing w:beforeLines="0" w:afterLines="0" w:line="240" w:lineRule="auto"/>
              <w:ind w:firstLine="0"/>
              <w:jc w:val="center"/>
              <w:rPr>
                <w:rStyle w:val="19"/>
                <w:rFonts w:hint="default"/>
                <w:color w:val="auto"/>
                <w:sz w:val="24"/>
                <w:szCs w:val="20"/>
                <w:highlight w:val="none"/>
              </w:rPr>
            </w:pPr>
            <w:r>
              <w:rPr>
                <w:rStyle w:val="19"/>
                <w:rFonts w:hint="default"/>
                <w:color w:val="auto"/>
                <w:sz w:val="24"/>
                <w:szCs w:val="20"/>
                <w:highlight w:val="none"/>
              </w:rPr>
              <w:t>备注</w:t>
            </w:r>
          </w:p>
        </w:tc>
      </w:tr>
      <w:tr w14:paraId="43CC04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566" w:hRule="exact"/>
          <w:jc w:val="center"/>
        </w:trPr>
        <w:tc>
          <w:tcPr>
            <w:tcW w:w="576" w:type="dxa"/>
            <w:tcBorders>
              <w:top w:val="single" w:color="auto" w:sz="4" w:space="0"/>
              <w:left w:val="single" w:color="auto" w:sz="4" w:space="0"/>
              <w:bottom w:val="nil"/>
              <w:right w:val="nil"/>
              <w:tl2br w:val="nil"/>
              <w:tr2bl w:val="nil"/>
            </w:tcBorders>
            <w:shd w:val="clear" w:color="auto" w:fill="FFFFFF"/>
            <w:noWrap w:val="0"/>
            <w:vAlign w:val="top"/>
          </w:tcPr>
          <w:p w14:paraId="192C13F8">
            <w:pPr>
              <w:pStyle w:val="23"/>
              <w:spacing w:beforeLines="0" w:afterLines="0"/>
              <w:rPr>
                <w:rStyle w:val="19"/>
                <w:rFonts w:hint="default"/>
                <w:color w:val="auto"/>
                <w:sz w:val="24"/>
                <w:szCs w:val="24"/>
                <w:highlight w:val="none"/>
              </w:rPr>
            </w:pPr>
          </w:p>
        </w:tc>
        <w:tc>
          <w:tcPr>
            <w:tcW w:w="1416" w:type="dxa"/>
            <w:tcBorders>
              <w:top w:val="single" w:color="auto" w:sz="4" w:space="0"/>
              <w:left w:val="single" w:color="auto" w:sz="4" w:space="0"/>
              <w:bottom w:val="nil"/>
              <w:right w:val="nil"/>
              <w:tl2br w:val="nil"/>
              <w:tr2bl w:val="nil"/>
            </w:tcBorders>
            <w:shd w:val="clear" w:color="auto" w:fill="FFFFFF"/>
            <w:noWrap w:val="0"/>
            <w:vAlign w:val="top"/>
          </w:tcPr>
          <w:p w14:paraId="7281D89A">
            <w:pPr>
              <w:pStyle w:val="23"/>
              <w:spacing w:beforeLines="0" w:afterLines="0"/>
              <w:rPr>
                <w:rStyle w:val="19"/>
                <w:rFonts w:hint="default"/>
                <w:color w:val="auto"/>
                <w:sz w:val="24"/>
                <w:szCs w:val="24"/>
                <w:highlight w:val="none"/>
              </w:rPr>
            </w:pPr>
          </w:p>
        </w:tc>
        <w:tc>
          <w:tcPr>
            <w:tcW w:w="907" w:type="dxa"/>
            <w:tcBorders>
              <w:top w:val="single" w:color="auto" w:sz="4" w:space="0"/>
              <w:left w:val="single" w:color="auto" w:sz="4" w:space="0"/>
              <w:bottom w:val="nil"/>
              <w:right w:val="nil"/>
              <w:tl2br w:val="nil"/>
              <w:tr2bl w:val="nil"/>
            </w:tcBorders>
            <w:shd w:val="clear" w:color="auto" w:fill="FFFFFF"/>
            <w:noWrap w:val="0"/>
            <w:vAlign w:val="top"/>
          </w:tcPr>
          <w:p w14:paraId="033BFB9D">
            <w:pPr>
              <w:pStyle w:val="23"/>
              <w:spacing w:beforeLines="0" w:afterLines="0"/>
              <w:rPr>
                <w:rStyle w:val="19"/>
                <w:rFonts w:hint="default"/>
                <w:color w:val="auto"/>
                <w:sz w:val="24"/>
                <w:szCs w:val="24"/>
                <w:highlight w:val="none"/>
              </w:rPr>
            </w:pPr>
          </w:p>
        </w:tc>
        <w:tc>
          <w:tcPr>
            <w:tcW w:w="907" w:type="dxa"/>
            <w:tcBorders>
              <w:top w:val="single" w:color="auto" w:sz="4" w:space="0"/>
              <w:left w:val="single" w:color="auto" w:sz="4" w:space="0"/>
              <w:bottom w:val="nil"/>
              <w:right w:val="nil"/>
              <w:tl2br w:val="nil"/>
              <w:tr2bl w:val="nil"/>
            </w:tcBorders>
            <w:shd w:val="clear" w:color="auto" w:fill="FFFFFF"/>
            <w:noWrap w:val="0"/>
            <w:vAlign w:val="top"/>
          </w:tcPr>
          <w:p w14:paraId="385E9F22">
            <w:pPr>
              <w:pStyle w:val="23"/>
              <w:spacing w:beforeLines="0" w:afterLines="0"/>
              <w:rPr>
                <w:rStyle w:val="19"/>
                <w:rFonts w:hint="default"/>
                <w:color w:val="auto"/>
                <w:sz w:val="24"/>
                <w:szCs w:val="24"/>
                <w:highlight w:val="none"/>
              </w:rPr>
            </w:pPr>
          </w:p>
        </w:tc>
        <w:tc>
          <w:tcPr>
            <w:tcW w:w="907" w:type="dxa"/>
            <w:tcBorders>
              <w:top w:val="single" w:color="auto" w:sz="4" w:space="0"/>
              <w:left w:val="single" w:color="auto" w:sz="4" w:space="0"/>
              <w:bottom w:val="nil"/>
              <w:right w:val="nil"/>
              <w:tl2br w:val="nil"/>
              <w:tr2bl w:val="nil"/>
            </w:tcBorders>
            <w:shd w:val="clear" w:color="auto" w:fill="FFFFFF"/>
            <w:noWrap w:val="0"/>
            <w:vAlign w:val="top"/>
          </w:tcPr>
          <w:p w14:paraId="2550F9E5">
            <w:pPr>
              <w:pStyle w:val="23"/>
              <w:spacing w:beforeLines="0" w:afterLines="0"/>
              <w:rPr>
                <w:rStyle w:val="19"/>
                <w:rFonts w:hint="default"/>
                <w:color w:val="auto"/>
                <w:sz w:val="24"/>
                <w:szCs w:val="24"/>
                <w:highlight w:val="none"/>
              </w:rPr>
            </w:pPr>
          </w:p>
        </w:tc>
        <w:tc>
          <w:tcPr>
            <w:tcW w:w="912" w:type="dxa"/>
            <w:tcBorders>
              <w:top w:val="single" w:color="auto" w:sz="4" w:space="0"/>
              <w:left w:val="single" w:color="auto" w:sz="4" w:space="0"/>
              <w:bottom w:val="nil"/>
              <w:right w:val="nil"/>
              <w:tl2br w:val="nil"/>
              <w:tr2bl w:val="nil"/>
            </w:tcBorders>
            <w:shd w:val="clear" w:color="auto" w:fill="FFFFFF"/>
            <w:noWrap w:val="0"/>
            <w:vAlign w:val="top"/>
          </w:tcPr>
          <w:p w14:paraId="1ADA8C53">
            <w:pPr>
              <w:pStyle w:val="23"/>
              <w:spacing w:beforeLines="0" w:afterLines="0"/>
              <w:rPr>
                <w:rStyle w:val="19"/>
                <w:rFonts w:hint="default"/>
                <w:color w:val="auto"/>
                <w:sz w:val="24"/>
                <w:szCs w:val="24"/>
                <w:highlight w:val="none"/>
              </w:rPr>
            </w:pPr>
          </w:p>
        </w:tc>
        <w:tc>
          <w:tcPr>
            <w:tcW w:w="902" w:type="dxa"/>
            <w:tcBorders>
              <w:top w:val="single" w:color="auto" w:sz="4" w:space="0"/>
              <w:left w:val="single" w:color="auto" w:sz="4" w:space="0"/>
              <w:bottom w:val="nil"/>
              <w:right w:val="nil"/>
              <w:tl2br w:val="nil"/>
              <w:tr2bl w:val="nil"/>
            </w:tcBorders>
            <w:shd w:val="clear" w:color="auto" w:fill="FFFFFF"/>
            <w:noWrap w:val="0"/>
            <w:vAlign w:val="top"/>
          </w:tcPr>
          <w:p w14:paraId="2DCCEE25">
            <w:pPr>
              <w:pStyle w:val="23"/>
              <w:spacing w:beforeLines="0" w:afterLines="0"/>
              <w:rPr>
                <w:rStyle w:val="19"/>
                <w:rFonts w:hint="default"/>
                <w:color w:val="auto"/>
                <w:sz w:val="24"/>
                <w:szCs w:val="24"/>
                <w:highlight w:val="none"/>
              </w:rPr>
            </w:pPr>
          </w:p>
        </w:tc>
        <w:tc>
          <w:tcPr>
            <w:tcW w:w="907" w:type="dxa"/>
            <w:tcBorders>
              <w:top w:val="single" w:color="auto" w:sz="4" w:space="0"/>
              <w:left w:val="single" w:color="auto" w:sz="4" w:space="0"/>
              <w:bottom w:val="nil"/>
              <w:right w:val="nil"/>
              <w:tl2br w:val="nil"/>
              <w:tr2bl w:val="nil"/>
            </w:tcBorders>
            <w:shd w:val="clear" w:color="auto" w:fill="FFFFFF"/>
            <w:noWrap w:val="0"/>
            <w:vAlign w:val="top"/>
          </w:tcPr>
          <w:p w14:paraId="63284671">
            <w:pPr>
              <w:pStyle w:val="23"/>
              <w:spacing w:beforeLines="0" w:afterLines="0"/>
              <w:rPr>
                <w:rStyle w:val="19"/>
                <w:rFonts w:hint="default"/>
                <w:color w:val="auto"/>
                <w:sz w:val="24"/>
                <w:szCs w:val="24"/>
                <w:highlight w:val="none"/>
              </w:rPr>
            </w:pPr>
          </w:p>
        </w:tc>
        <w:tc>
          <w:tcPr>
            <w:tcW w:w="917" w:type="dxa"/>
            <w:tcBorders>
              <w:top w:val="single" w:color="auto" w:sz="4" w:space="0"/>
              <w:left w:val="single" w:color="auto" w:sz="4" w:space="0"/>
              <w:bottom w:val="nil"/>
              <w:right w:val="single" w:color="auto" w:sz="4" w:space="0"/>
              <w:tl2br w:val="nil"/>
              <w:tr2bl w:val="nil"/>
            </w:tcBorders>
            <w:shd w:val="clear" w:color="auto" w:fill="FFFFFF"/>
            <w:noWrap w:val="0"/>
            <w:vAlign w:val="top"/>
          </w:tcPr>
          <w:p w14:paraId="7B5753E8">
            <w:pPr>
              <w:pStyle w:val="23"/>
              <w:spacing w:beforeLines="0" w:afterLines="0"/>
              <w:rPr>
                <w:rStyle w:val="19"/>
                <w:rFonts w:hint="default"/>
                <w:color w:val="auto"/>
                <w:sz w:val="24"/>
                <w:szCs w:val="24"/>
                <w:highlight w:val="none"/>
              </w:rPr>
            </w:pPr>
          </w:p>
        </w:tc>
      </w:tr>
      <w:tr w14:paraId="58FCE3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566" w:hRule="exact"/>
          <w:jc w:val="center"/>
        </w:trPr>
        <w:tc>
          <w:tcPr>
            <w:tcW w:w="576" w:type="dxa"/>
            <w:tcBorders>
              <w:top w:val="single" w:color="auto" w:sz="4" w:space="0"/>
              <w:left w:val="single" w:color="auto" w:sz="4" w:space="0"/>
              <w:bottom w:val="nil"/>
              <w:right w:val="nil"/>
              <w:tl2br w:val="nil"/>
              <w:tr2bl w:val="nil"/>
            </w:tcBorders>
            <w:shd w:val="clear" w:color="auto" w:fill="FFFFFF"/>
            <w:noWrap w:val="0"/>
            <w:vAlign w:val="top"/>
          </w:tcPr>
          <w:p w14:paraId="6744BBC9">
            <w:pPr>
              <w:pStyle w:val="23"/>
              <w:spacing w:beforeLines="0" w:afterLines="0"/>
              <w:rPr>
                <w:rStyle w:val="19"/>
                <w:rFonts w:hint="default"/>
                <w:color w:val="auto"/>
                <w:sz w:val="24"/>
                <w:szCs w:val="24"/>
                <w:highlight w:val="none"/>
              </w:rPr>
            </w:pPr>
          </w:p>
        </w:tc>
        <w:tc>
          <w:tcPr>
            <w:tcW w:w="1416" w:type="dxa"/>
            <w:tcBorders>
              <w:top w:val="single" w:color="auto" w:sz="4" w:space="0"/>
              <w:left w:val="single" w:color="auto" w:sz="4" w:space="0"/>
              <w:bottom w:val="nil"/>
              <w:right w:val="nil"/>
              <w:tl2br w:val="nil"/>
              <w:tr2bl w:val="nil"/>
            </w:tcBorders>
            <w:shd w:val="clear" w:color="auto" w:fill="FFFFFF"/>
            <w:noWrap w:val="0"/>
            <w:vAlign w:val="top"/>
          </w:tcPr>
          <w:p w14:paraId="20225EC5">
            <w:pPr>
              <w:pStyle w:val="23"/>
              <w:spacing w:beforeLines="0" w:afterLines="0"/>
              <w:rPr>
                <w:rStyle w:val="19"/>
                <w:rFonts w:hint="default"/>
                <w:color w:val="auto"/>
                <w:sz w:val="24"/>
                <w:szCs w:val="24"/>
                <w:highlight w:val="none"/>
              </w:rPr>
            </w:pPr>
          </w:p>
        </w:tc>
        <w:tc>
          <w:tcPr>
            <w:tcW w:w="907" w:type="dxa"/>
            <w:tcBorders>
              <w:top w:val="single" w:color="auto" w:sz="4" w:space="0"/>
              <w:left w:val="single" w:color="auto" w:sz="4" w:space="0"/>
              <w:bottom w:val="nil"/>
              <w:right w:val="nil"/>
              <w:tl2br w:val="nil"/>
              <w:tr2bl w:val="nil"/>
            </w:tcBorders>
            <w:shd w:val="clear" w:color="auto" w:fill="FFFFFF"/>
            <w:noWrap w:val="0"/>
            <w:vAlign w:val="top"/>
          </w:tcPr>
          <w:p w14:paraId="14E0EF42">
            <w:pPr>
              <w:pStyle w:val="23"/>
              <w:spacing w:beforeLines="0" w:afterLines="0"/>
              <w:rPr>
                <w:rStyle w:val="19"/>
                <w:rFonts w:hint="default"/>
                <w:color w:val="auto"/>
                <w:sz w:val="24"/>
                <w:szCs w:val="24"/>
                <w:highlight w:val="none"/>
              </w:rPr>
            </w:pPr>
          </w:p>
        </w:tc>
        <w:tc>
          <w:tcPr>
            <w:tcW w:w="907" w:type="dxa"/>
            <w:tcBorders>
              <w:top w:val="single" w:color="auto" w:sz="4" w:space="0"/>
              <w:left w:val="single" w:color="auto" w:sz="4" w:space="0"/>
              <w:bottom w:val="nil"/>
              <w:right w:val="nil"/>
              <w:tl2br w:val="nil"/>
              <w:tr2bl w:val="nil"/>
            </w:tcBorders>
            <w:shd w:val="clear" w:color="auto" w:fill="FFFFFF"/>
            <w:noWrap w:val="0"/>
            <w:vAlign w:val="top"/>
          </w:tcPr>
          <w:p w14:paraId="178BE364">
            <w:pPr>
              <w:pStyle w:val="23"/>
              <w:spacing w:beforeLines="0" w:afterLines="0"/>
              <w:rPr>
                <w:rStyle w:val="19"/>
                <w:rFonts w:hint="default"/>
                <w:color w:val="auto"/>
                <w:sz w:val="24"/>
                <w:szCs w:val="24"/>
                <w:highlight w:val="none"/>
              </w:rPr>
            </w:pPr>
          </w:p>
        </w:tc>
        <w:tc>
          <w:tcPr>
            <w:tcW w:w="907" w:type="dxa"/>
            <w:tcBorders>
              <w:top w:val="single" w:color="auto" w:sz="4" w:space="0"/>
              <w:left w:val="single" w:color="auto" w:sz="4" w:space="0"/>
              <w:bottom w:val="nil"/>
              <w:right w:val="nil"/>
              <w:tl2br w:val="nil"/>
              <w:tr2bl w:val="nil"/>
            </w:tcBorders>
            <w:shd w:val="clear" w:color="auto" w:fill="FFFFFF"/>
            <w:noWrap w:val="0"/>
            <w:vAlign w:val="top"/>
          </w:tcPr>
          <w:p w14:paraId="68308160">
            <w:pPr>
              <w:pStyle w:val="23"/>
              <w:spacing w:beforeLines="0" w:afterLines="0"/>
              <w:rPr>
                <w:rStyle w:val="19"/>
                <w:rFonts w:hint="default"/>
                <w:color w:val="auto"/>
                <w:sz w:val="24"/>
                <w:szCs w:val="24"/>
                <w:highlight w:val="none"/>
              </w:rPr>
            </w:pPr>
          </w:p>
        </w:tc>
        <w:tc>
          <w:tcPr>
            <w:tcW w:w="912" w:type="dxa"/>
            <w:tcBorders>
              <w:top w:val="single" w:color="auto" w:sz="4" w:space="0"/>
              <w:left w:val="single" w:color="auto" w:sz="4" w:space="0"/>
              <w:bottom w:val="nil"/>
              <w:right w:val="nil"/>
              <w:tl2br w:val="nil"/>
              <w:tr2bl w:val="nil"/>
            </w:tcBorders>
            <w:shd w:val="clear" w:color="auto" w:fill="FFFFFF"/>
            <w:noWrap w:val="0"/>
            <w:vAlign w:val="top"/>
          </w:tcPr>
          <w:p w14:paraId="5F7825E2">
            <w:pPr>
              <w:pStyle w:val="23"/>
              <w:spacing w:beforeLines="0" w:afterLines="0"/>
              <w:rPr>
                <w:rStyle w:val="19"/>
                <w:rFonts w:hint="default"/>
                <w:color w:val="auto"/>
                <w:sz w:val="24"/>
                <w:szCs w:val="24"/>
                <w:highlight w:val="none"/>
              </w:rPr>
            </w:pPr>
          </w:p>
        </w:tc>
        <w:tc>
          <w:tcPr>
            <w:tcW w:w="902" w:type="dxa"/>
            <w:tcBorders>
              <w:top w:val="single" w:color="auto" w:sz="4" w:space="0"/>
              <w:left w:val="single" w:color="auto" w:sz="4" w:space="0"/>
              <w:bottom w:val="nil"/>
              <w:right w:val="nil"/>
              <w:tl2br w:val="nil"/>
              <w:tr2bl w:val="nil"/>
            </w:tcBorders>
            <w:shd w:val="clear" w:color="auto" w:fill="FFFFFF"/>
            <w:noWrap w:val="0"/>
            <w:vAlign w:val="top"/>
          </w:tcPr>
          <w:p w14:paraId="3B9F8553">
            <w:pPr>
              <w:pStyle w:val="23"/>
              <w:spacing w:beforeLines="0" w:afterLines="0"/>
              <w:rPr>
                <w:rStyle w:val="19"/>
                <w:rFonts w:hint="default"/>
                <w:color w:val="auto"/>
                <w:sz w:val="24"/>
                <w:szCs w:val="24"/>
                <w:highlight w:val="none"/>
              </w:rPr>
            </w:pPr>
          </w:p>
        </w:tc>
        <w:tc>
          <w:tcPr>
            <w:tcW w:w="907" w:type="dxa"/>
            <w:tcBorders>
              <w:top w:val="single" w:color="auto" w:sz="4" w:space="0"/>
              <w:left w:val="single" w:color="auto" w:sz="4" w:space="0"/>
              <w:bottom w:val="nil"/>
              <w:right w:val="nil"/>
              <w:tl2br w:val="nil"/>
              <w:tr2bl w:val="nil"/>
            </w:tcBorders>
            <w:shd w:val="clear" w:color="auto" w:fill="FFFFFF"/>
            <w:noWrap w:val="0"/>
            <w:vAlign w:val="top"/>
          </w:tcPr>
          <w:p w14:paraId="18512C3E">
            <w:pPr>
              <w:pStyle w:val="23"/>
              <w:spacing w:beforeLines="0" w:afterLines="0"/>
              <w:rPr>
                <w:rStyle w:val="19"/>
                <w:rFonts w:hint="default"/>
                <w:color w:val="auto"/>
                <w:sz w:val="24"/>
                <w:szCs w:val="24"/>
                <w:highlight w:val="none"/>
              </w:rPr>
            </w:pPr>
          </w:p>
        </w:tc>
        <w:tc>
          <w:tcPr>
            <w:tcW w:w="917" w:type="dxa"/>
            <w:tcBorders>
              <w:top w:val="single" w:color="auto" w:sz="4" w:space="0"/>
              <w:left w:val="single" w:color="auto" w:sz="4" w:space="0"/>
              <w:bottom w:val="nil"/>
              <w:right w:val="single" w:color="auto" w:sz="4" w:space="0"/>
              <w:tl2br w:val="nil"/>
              <w:tr2bl w:val="nil"/>
            </w:tcBorders>
            <w:shd w:val="clear" w:color="auto" w:fill="FFFFFF"/>
            <w:noWrap w:val="0"/>
            <w:vAlign w:val="top"/>
          </w:tcPr>
          <w:p w14:paraId="46FAE35B">
            <w:pPr>
              <w:pStyle w:val="23"/>
              <w:spacing w:beforeLines="0" w:afterLines="0"/>
              <w:rPr>
                <w:rStyle w:val="19"/>
                <w:rFonts w:hint="default"/>
                <w:color w:val="auto"/>
                <w:sz w:val="24"/>
                <w:szCs w:val="24"/>
                <w:highlight w:val="none"/>
              </w:rPr>
            </w:pPr>
          </w:p>
        </w:tc>
      </w:tr>
      <w:tr w14:paraId="4F896B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566" w:hRule="exact"/>
          <w:jc w:val="center"/>
        </w:trPr>
        <w:tc>
          <w:tcPr>
            <w:tcW w:w="576" w:type="dxa"/>
            <w:tcBorders>
              <w:top w:val="single" w:color="auto" w:sz="4" w:space="0"/>
              <w:left w:val="single" w:color="auto" w:sz="4" w:space="0"/>
              <w:bottom w:val="nil"/>
              <w:right w:val="nil"/>
              <w:tl2br w:val="nil"/>
              <w:tr2bl w:val="nil"/>
            </w:tcBorders>
            <w:shd w:val="clear" w:color="auto" w:fill="FFFFFF"/>
            <w:noWrap w:val="0"/>
            <w:vAlign w:val="top"/>
          </w:tcPr>
          <w:p w14:paraId="21975537">
            <w:pPr>
              <w:pStyle w:val="23"/>
              <w:spacing w:beforeLines="0" w:afterLines="0"/>
              <w:rPr>
                <w:rStyle w:val="19"/>
                <w:rFonts w:hint="default"/>
                <w:color w:val="auto"/>
                <w:sz w:val="24"/>
                <w:szCs w:val="24"/>
                <w:highlight w:val="none"/>
              </w:rPr>
            </w:pPr>
          </w:p>
        </w:tc>
        <w:tc>
          <w:tcPr>
            <w:tcW w:w="1416" w:type="dxa"/>
            <w:tcBorders>
              <w:top w:val="single" w:color="auto" w:sz="4" w:space="0"/>
              <w:left w:val="single" w:color="auto" w:sz="4" w:space="0"/>
              <w:bottom w:val="nil"/>
              <w:right w:val="nil"/>
              <w:tl2br w:val="nil"/>
              <w:tr2bl w:val="nil"/>
            </w:tcBorders>
            <w:shd w:val="clear" w:color="auto" w:fill="FFFFFF"/>
            <w:noWrap w:val="0"/>
            <w:vAlign w:val="top"/>
          </w:tcPr>
          <w:p w14:paraId="3F73A4E9">
            <w:pPr>
              <w:pStyle w:val="23"/>
              <w:spacing w:beforeLines="0" w:afterLines="0"/>
              <w:rPr>
                <w:rStyle w:val="19"/>
                <w:rFonts w:hint="default"/>
                <w:color w:val="auto"/>
                <w:sz w:val="24"/>
                <w:szCs w:val="24"/>
                <w:highlight w:val="none"/>
              </w:rPr>
            </w:pPr>
          </w:p>
        </w:tc>
        <w:tc>
          <w:tcPr>
            <w:tcW w:w="907" w:type="dxa"/>
            <w:tcBorders>
              <w:top w:val="single" w:color="auto" w:sz="4" w:space="0"/>
              <w:left w:val="single" w:color="auto" w:sz="4" w:space="0"/>
              <w:bottom w:val="nil"/>
              <w:right w:val="nil"/>
              <w:tl2br w:val="nil"/>
              <w:tr2bl w:val="nil"/>
            </w:tcBorders>
            <w:shd w:val="clear" w:color="auto" w:fill="FFFFFF"/>
            <w:noWrap w:val="0"/>
            <w:vAlign w:val="top"/>
          </w:tcPr>
          <w:p w14:paraId="7D55BEE4">
            <w:pPr>
              <w:pStyle w:val="23"/>
              <w:spacing w:beforeLines="0" w:afterLines="0"/>
              <w:rPr>
                <w:rStyle w:val="19"/>
                <w:rFonts w:hint="default"/>
                <w:color w:val="auto"/>
                <w:sz w:val="24"/>
                <w:szCs w:val="24"/>
                <w:highlight w:val="none"/>
              </w:rPr>
            </w:pPr>
          </w:p>
        </w:tc>
        <w:tc>
          <w:tcPr>
            <w:tcW w:w="907" w:type="dxa"/>
            <w:tcBorders>
              <w:top w:val="single" w:color="auto" w:sz="4" w:space="0"/>
              <w:left w:val="single" w:color="auto" w:sz="4" w:space="0"/>
              <w:bottom w:val="nil"/>
              <w:right w:val="nil"/>
              <w:tl2br w:val="nil"/>
              <w:tr2bl w:val="nil"/>
            </w:tcBorders>
            <w:shd w:val="clear" w:color="auto" w:fill="FFFFFF"/>
            <w:noWrap w:val="0"/>
            <w:vAlign w:val="top"/>
          </w:tcPr>
          <w:p w14:paraId="07A034DC">
            <w:pPr>
              <w:pStyle w:val="23"/>
              <w:spacing w:beforeLines="0" w:afterLines="0"/>
              <w:rPr>
                <w:rStyle w:val="19"/>
                <w:rFonts w:hint="default"/>
                <w:color w:val="auto"/>
                <w:sz w:val="24"/>
                <w:szCs w:val="24"/>
                <w:highlight w:val="none"/>
              </w:rPr>
            </w:pPr>
          </w:p>
        </w:tc>
        <w:tc>
          <w:tcPr>
            <w:tcW w:w="907" w:type="dxa"/>
            <w:tcBorders>
              <w:top w:val="single" w:color="auto" w:sz="4" w:space="0"/>
              <w:left w:val="single" w:color="auto" w:sz="4" w:space="0"/>
              <w:bottom w:val="nil"/>
              <w:right w:val="nil"/>
              <w:tl2br w:val="nil"/>
              <w:tr2bl w:val="nil"/>
            </w:tcBorders>
            <w:shd w:val="clear" w:color="auto" w:fill="FFFFFF"/>
            <w:noWrap w:val="0"/>
            <w:vAlign w:val="top"/>
          </w:tcPr>
          <w:p w14:paraId="411DE86F">
            <w:pPr>
              <w:pStyle w:val="23"/>
              <w:spacing w:beforeLines="0" w:afterLines="0"/>
              <w:rPr>
                <w:rStyle w:val="19"/>
                <w:rFonts w:hint="default"/>
                <w:color w:val="auto"/>
                <w:sz w:val="24"/>
                <w:szCs w:val="24"/>
                <w:highlight w:val="none"/>
              </w:rPr>
            </w:pPr>
          </w:p>
        </w:tc>
        <w:tc>
          <w:tcPr>
            <w:tcW w:w="912" w:type="dxa"/>
            <w:tcBorders>
              <w:top w:val="single" w:color="auto" w:sz="4" w:space="0"/>
              <w:left w:val="single" w:color="auto" w:sz="4" w:space="0"/>
              <w:bottom w:val="nil"/>
              <w:right w:val="nil"/>
              <w:tl2br w:val="nil"/>
              <w:tr2bl w:val="nil"/>
            </w:tcBorders>
            <w:shd w:val="clear" w:color="auto" w:fill="FFFFFF"/>
            <w:noWrap w:val="0"/>
            <w:vAlign w:val="top"/>
          </w:tcPr>
          <w:p w14:paraId="0CE436E8">
            <w:pPr>
              <w:pStyle w:val="23"/>
              <w:spacing w:beforeLines="0" w:afterLines="0"/>
              <w:rPr>
                <w:rStyle w:val="19"/>
                <w:rFonts w:hint="default"/>
                <w:color w:val="auto"/>
                <w:sz w:val="24"/>
                <w:szCs w:val="24"/>
                <w:highlight w:val="none"/>
              </w:rPr>
            </w:pPr>
          </w:p>
        </w:tc>
        <w:tc>
          <w:tcPr>
            <w:tcW w:w="902" w:type="dxa"/>
            <w:tcBorders>
              <w:top w:val="single" w:color="auto" w:sz="4" w:space="0"/>
              <w:left w:val="single" w:color="auto" w:sz="4" w:space="0"/>
              <w:bottom w:val="nil"/>
              <w:right w:val="nil"/>
              <w:tl2br w:val="nil"/>
              <w:tr2bl w:val="nil"/>
            </w:tcBorders>
            <w:shd w:val="clear" w:color="auto" w:fill="FFFFFF"/>
            <w:noWrap w:val="0"/>
            <w:vAlign w:val="top"/>
          </w:tcPr>
          <w:p w14:paraId="7E810D3D">
            <w:pPr>
              <w:pStyle w:val="23"/>
              <w:spacing w:beforeLines="0" w:afterLines="0"/>
              <w:rPr>
                <w:rStyle w:val="19"/>
                <w:rFonts w:hint="default"/>
                <w:color w:val="auto"/>
                <w:sz w:val="24"/>
                <w:szCs w:val="24"/>
                <w:highlight w:val="none"/>
              </w:rPr>
            </w:pPr>
          </w:p>
        </w:tc>
        <w:tc>
          <w:tcPr>
            <w:tcW w:w="907" w:type="dxa"/>
            <w:tcBorders>
              <w:top w:val="single" w:color="auto" w:sz="4" w:space="0"/>
              <w:left w:val="single" w:color="auto" w:sz="4" w:space="0"/>
              <w:bottom w:val="nil"/>
              <w:right w:val="nil"/>
              <w:tl2br w:val="nil"/>
              <w:tr2bl w:val="nil"/>
            </w:tcBorders>
            <w:shd w:val="clear" w:color="auto" w:fill="FFFFFF"/>
            <w:noWrap w:val="0"/>
            <w:vAlign w:val="top"/>
          </w:tcPr>
          <w:p w14:paraId="2E1E4794">
            <w:pPr>
              <w:pStyle w:val="23"/>
              <w:spacing w:beforeLines="0" w:afterLines="0"/>
              <w:rPr>
                <w:rStyle w:val="19"/>
                <w:rFonts w:hint="default"/>
                <w:color w:val="auto"/>
                <w:sz w:val="24"/>
                <w:szCs w:val="24"/>
                <w:highlight w:val="none"/>
              </w:rPr>
            </w:pPr>
          </w:p>
        </w:tc>
        <w:tc>
          <w:tcPr>
            <w:tcW w:w="917" w:type="dxa"/>
            <w:tcBorders>
              <w:top w:val="single" w:color="auto" w:sz="4" w:space="0"/>
              <w:left w:val="single" w:color="auto" w:sz="4" w:space="0"/>
              <w:bottom w:val="nil"/>
              <w:right w:val="single" w:color="auto" w:sz="4" w:space="0"/>
              <w:tl2br w:val="nil"/>
              <w:tr2bl w:val="nil"/>
            </w:tcBorders>
            <w:shd w:val="clear" w:color="auto" w:fill="FFFFFF"/>
            <w:noWrap w:val="0"/>
            <w:vAlign w:val="top"/>
          </w:tcPr>
          <w:p w14:paraId="1C069752">
            <w:pPr>
              <w:pStyle w:val="23"/>
              <w:spacing w:beforeLines="0" w:afterLines="0"/>
              <w:rPr>
                <w:rStyle w:val="19"/>
                <w:rFonts w:hint="default"/>
                <w:color w:val="auto"/>
                <w:sz w:val="24"/>
                <w:szCs w:val="24"/>
                <w:highlight w:val="none"/>
              </w:rPr>
            </w:pPr>
          </w:p>
        </w:tc>
      </w:tr>
      <w:tr w14:paraId="610785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581" w:hRule="exact"/>
          <w:jc w:val="center"/>
        </w:trPr>
        <w:tc>
          <w:tcPr>
            <w:tcW w:w="576" w:type="dxa"/>
            <w:tcBorders>
              <w:top w:val="single" w:color="auto" w:sz="4" w:space="0"/>
              <w:left w:val="single" w:color="auto" w:sz="4" w:space="0"/>
              <w:bottom w:val="single" w:color="auto" w:sz="4" w:space="0"/>
              <w:right w:val="nil"/>
              <w:tl2br w:val="nil"/>
              <w:tr2bl w:val="nil"/>
            </w:tcBorders>
            <w:shd w:val="clear" w:color="auto" w:fill="FFFFFF"/>
            <w:noWrap w:val="0"/>
            <w:vAlign w:val="top"/>
          </w:tcPr>
          <w:p w14:paraId="1195ABE0">
            <w:pPr>
              <w:pStyle w:val="23"/>
              <w:spacing w:beforeLines="0" w:afterLines="0"/>
              <w:rPr>
                <w:rStyle w:val="19"/>
                <w:rFonts w:hint="default"/>
                <w:color w:val="auto"/>
                <w:sz w:val="24"/>
                <w:szCs w:val="24"/>
                <w:highlight w:val="none"/>
              </w:rPr>
            </w:pPr>
          </w:p>
        </w:tc>
        <w:tc>
          <w:tcPr>
            <w:tcW w:w="1416" w:type="dxa"/>
            <w:tcBorders>
              <w:top w:val="single" w:color="auto" w:sz="4" w:space="0"/>
              <w:left w:val="single" w:color="auto" w:sz="4" w:space="0"/>
              <w:bottom w:val="single" w:color="auto" w:sz="4" w:space="0"/>
              <w:right w:val="nil"/>
              <w:tl2br w:val="nil"/>
              <w:tr2bl w:val="nil"/>
            </w:tcBorders>
            <w:shd w:val="clear" w:color="auto" w:fill="FFFFFF"/>
            <w:noWrap w:val="0"/>
            <w:vAlign w:val="top"/>
          </w:tcPr>
          <w:p w14:paraId="3EFD8741">
            <w:pPr>
              <w:pStyle w:val="23"/>
              <w:spacing w:beforeLines="0" w:afterLines="0"/>
              <w:rPr>
                <w:rStyle w:val="19"/>
                <w:rFonts w:hint="default"/>
                <w:color w:val="auto"/>
                <w:sz w:val="24"/>
                <w:szCs w:val="24"/>
                <w:highlight w:val="none"/>
              </w:rPr>
            </w:pPr>
          </w:p>
        </w:tc>
        <w:tc>
          <w:tcPr>
            <w:tcW w:w="907" w:type="dxa"/>
            <w:tcBorders>
              <w:top w:val="single" w:color="auto" w:sz="4" w:space="0"/>
              <w:left w:val="single" w:color="auto" w:sz="4" w:space="0"/>
              <w:bottom w:val="single" w:color="auto" w:sz="4" w:space="0"/>
              <w:right w:val="nil"/>
              <w:tl2br w:val="nil"/>
              <w:tr2bl w:val="nil"/>
            </w:tcBorders>
            <w:shd w:val="clear" w:color="auto" w:fill="FFFFFF"/>
            <w:noWrap w:val="0"/>
            <w:vAlign w:val="top"/>
          </w:tcPr>
          <w:p w14:paraId="7F878B35">
            <w:pPr>
              <w:pStyle w:val="23"/>
              <w:spacing w:beforeLines="0" w:afterLines="0"/>
              <w:rPr>
                <w:rStyle w:val="19"/>
                <w:rFonts w:hint="default"/>
                <w:color w:val="auto"/>
                <w:sz w:val="24"/>
                <w:szCs w:val="24"/>
                <w:highlight w:val="none"/>
              </w:rPr>
            </w:pPr>
          </w:p>
        </w:tc>
        <w:tc>
          <w:tcPr>
            <w:tcW w:w="907" w:type="dxa"/>
            <w:tcBorders>
              <w:top w:val="single" w:color="auto" w:sz="4" w:space="0"/>
              <w:left w:val="single" w:color="auto" w:sz="4" w:space="0"/>
              <w:bottom w:val="single" w:color="auto" w:sz="4" w:space="0"/>
              <w:right w:val="nil"/>
              <w:tl2br w:val="nil"/>
              <w:tr2bl w:val="nil"/>
            </w:tcBorders>
            <w:shd w:val="clear" w:color="auto" w:fill="FFFFFF"/>
            <w:noWrap w:val="0"/>
            <w:vAlign w:val="top"/>
          </w:tcPr>
          <w:p w14:paraId="617F8032">
            <w:pPr>
              <w:pStyle w:val="23"/>
              <w:spacing w:beforeLines="0" w:afterLines="0"/>
              <w:rPr>
                <w:rStyle w:val="19"/>
                <w:rFonts w:hint="default"/>
                <w:color w:val="auto"/>
                <w:sz w:val="24"/>
                <w:szCs w:val="24"/>
                <w:highlight w:val="none"/>
              </w:rPr>
            </w:pPr>
          </w:p>
        </w:tc>
        <w:tc>
          <w:tcPr>
            <w:tcW w:w="907" w:type="dxa"/>
            <w:tcBorders>
              <w:top w:val="single" w:color="auto" w:sz="4" w:space="0"/>
              <w:left w:val="single" w:color="auto" w:sz="4" w:space="0"/>
              <w:bottom w:val="single" w:color="auto" w:sz="4" w:space="0"/>
              <w:right w:val="nil"/>
              <w:tl2br w:val="nil"/>
              <w:tr2bl w:val="nil"/>
            </w:tcBorders>
            <w:shd w:val="clear" w:color="auto" w:fill="FFFFFF"/>
            <w:noWrap w:val="0"/>
            <w:vAlign w:val="top"/>
          </w:tcPr>
          <w:p w14:paraId="22932E72">
            <w:pPr>
              <w:pStyle w:val="23"/>
              <w:spacing w:beforeLines="0" w:afterLines="0"/>
              <w:rPr>
                <w:rStyle w:val="19"/>
                <w:rFonts w:hint="default"/>
                <w:color w:val="auto"/>
                <w:sz w:val="24"/>
                <w:szCs w:val="24"/>
                <w:highlight w:val="none"/>
              </w:rPr>
            </w:pPr>
          </w:p>
        </w:tc>
        <w:tc>
          <w:tcPr>
            <w:tcW w:w="912" w:type="dxa"/>
            <w:tcBorders>
              <w:top w:val="single" w:color="auto" w:sz="4" w:space="0"/>
              <w:left w:val="single" w:color="auto" w:sz="4" w:space="0"/>
              <w:bottom w:val="single" w:color="auto" w:sz="4" w:space="0"/>
              <w:right w:val="nil"/>
              <w:tl2br w:val="nil"/>
              <w:tr2bl w:val="nil"/>
            </w:tcBorders>
            <w:shd w:val="clear" w:color="auto" w:fill="FFFFFF"/>
            <w:noWrap w:val="0"/>
            <w:vAlign w:val="top"/>
          </w:tcPr>
          <w:p w14:paraId="300884F7">
            <w:pPr>
              <w:pStyle w:val="23"/>
              <w:spacing w:beforeLines="0" w:afterLines="0"/>
              <w:rPr>
                <w:rStyle w:val="19"/>
                <w:rFonts w:hint="default"/>
                <w:color w:val="auto"/>
                <w:sz w:val="24"/>
                <w:szCs w:val="24"/>
                <w:highlight w:val="none"/>
              </w:rPr>
            </w:pPr>
          </w:p>
        </w:tc>
        <w:tc>
          <w:tcPr>
            <w:tcW w:w="902" w:type="dxa"/>
            <w:tcBorders>
              <w:top w:val="single" w:color="auto" w:sz="4" w:space="0"/>
              <w:left w:val="single" w:color="auto" w:sz="4" w:space="0"/>
              <w:bottom w:val="single" w:color="auto" w:sz="4" w:space="0"/>
              <w:right w:val="nil"/>
              <w:tl2br w:val="nil"/>
              <w:tr2bl w:val="nil"/>
            </w:tcBorders>
            <w:shd w:val="clear" w:color="auto" w:fill="FFFFFF"/>
            <w:noWrap w:val="0"/>
            <w:vAlign w:val="top"/>
          </w:tcPr>
          <w:p w14:paraId="6D42E80B">
            <w:pPr>
              <w:pStyle w:val="23"/>
              <w:spacing w:beforeLines="0" w:afterLines="0"/>
              <w:rPr>
                <w:rStyle w:val="19"/>
                <w:rFonts w:hint="default"/>
                <w:color w:val="auto"/>
                <w:sz w:val="24"/>
                <w:szCs w:val="24"/>
                <w:highlight w:val="none"/>
              </w:rPr>
            </w:pPr>
          </w:p>
        </w:tc>
        <w:tc>
          <w:tcPr>
            <w:tcW w:w="907" w:type="dxa"/>
            <w:tcBorders>
              <w:top w:val="single" w:color="auto" w:sz="4" w:space="0"/>
              <w:left w:val="single" w:color="auto" w:sz="4" w:space="0"/>
              <w:bottom w:val="single" w:color="auto" w:sz="4" w:space="0"/>
              <w:right w:val="nil"/>
              <w:tl2br w:val="nil"/>
              <w:tr2bl w:val="nil"/>
            </w:tcBorders>
            <w:shd w:val="clear" w:color="auto" w:fill="FFFFFF"/>
            <w:noWrap w:val="0"/>
            <w:vAlign w:val="top"/>
          </w:tcPr>
          <w:p w14:paraId="0A48FD47">
            <w:pPr>
              <w:pStyle w:val="23"/>
              <w:spacing w:beforeLines="0" w:afterLines="0"/>
              <w:rPr>
                <w:rStyle w:val="19"/>
                <w:rFonts w:hint="default"/>
                <w:color w:val="auto"/>
                <w:sz w:val="24"/>
                <w:szCs w:val="24"/>
                <w:highlight w:val="none"/>
              </w:rPr>
            </w:pPr>
          </w:p>
        </w:tc>
        <w:tc>
          <w:tcPr>
            <w:tcW w:w="917" w:type="dxa"/>
            <w:tcBorders>
              <w:top w:val="single" w:color="auto" w:sz="4" w:space="0"/>
              <w:left w:val="single" w:color="auto" w:sz="4" w:space="0"/>
              <w:bottom w:val="single" w:color="auto" w:sz="4" w:space="0"/>
              <w:right w:val="single" w:color="auto" w:sz="4" w:space="0"/>
              <w:tl2br w:val="nil"/>
              <w:tr2bl w:val="nil"/>
            </w:tcBorders>
            <w:shd w:val="clear" w:color="auto" w:fill="FFFFFF"/>
            <w:noWrap w:val="0"/>
            <w:vAlign w:val="top"/>
          </w:tcPr>
          <w:p w14:paraId="28CEC2F6">
            <w:pPr>
              <w:pStyle w:val="23"/>
              <w:spacing w:beforeLines="0" w:afterLines="0"/>
              <w:rPr>
                <w:rStyle w:val="19"/>
                <w:rFonts w:hint="default"/>
                <w:color w:val="auto"/>
                <w:sz w:val="24"/>
                <w:szCs w:val="24"/>
                <w:highlight w:val="none"/>
              </w:rPr>
            </w:pPr>
          </w:p>
        </w:tc>
      </w:tr>
    </w:tbl>
    <w:p w14:paraId="199723D7">
      <w:pPr>
        <w:pStyle w:val="23"/>
        <w:spacing w:beforeLines="0" w:afterLines="0"/>
        <w:rPr>
          <w:rStyle w:val="19"/>
          <w:rFonts w:hint="default"/>
          <w:color w:val="auto"/>
          <w:sz w:val="24"/>
          <w:szCs w:val="24"/>
          <w:highlight w:val="none"/>
        </w:rPr>
      </w:pPr>
    </w:p>
    <w:p w14:paraId="69C97E04">
      <w:pPr>
        <w:pStyle w:val="23"/>
        <w:spacing w:beforeLines="0" w:afterLines="0"/>
        <w:rPr>
          <w:rStyle w:val="19"/>
          <w:rFonts w:hint="default"/>
          <w:color w:val="auto"/>
          <w:sz w:val="24"/>
          <w:szCs w:val="24"/>
          <w:highlight w:val="none"/>
        </w:rPr>
      </w:pPr>
      <w:r>
        <w:rPr>
          <w:rStyle w:val="19"/>
          <w:rFonts w:hint="default"/>
          <w:color w:val="auto"/>
          <w:sz w:val="24"/>
          <w:szCs w:val="24"/>
          <w:highlight w:val="none"/>
        </w:rPr>
        <w:br w:type="page"/>
      </w:r>
    </w:p>
    <w:p w14:paraId="3F7DD411">
      <w:pPr>
        <w:pStyle w:val="23"/>
        <w:spacing w:beforeLines="0" w:afterLines="0"/>
        <w:rPr>
          <w:rStyle w:val="19"/>
          <w:rFonts w:hint="default" w:ascii="宋体" w:hAnsi="宋体" w:eastAsia="宋体" w:cs="宋体"/>
          <w:b/>
          <w:color w:val="auto"/>
          <w:sz w:val="28"/>
          <w:szCs w:val="28"/>
          <w:highlight w:val="none"/>
          <w:lang w:eastAsia="zh-CN"/>
        </w:rPr>
      </w:pPr>
      <w:bookmarkStart w:id="102" w:name="bookmark2238"/>
      <w:bookmarkStart w:id="103" w:name="bookmark2239"/>
      <w:bookmarkStart w:id="104" w:name="bookmark2237"/>
      <w:r>
        <w:rPr>
          <w:rStyle w:val="19"/>
          <w:rFonts w:hint="default" w:ascii="宋体" w:hAnsi="宋体" w:eastAsia="宋体" w:cs="宋体"/>
          <w:b/>
          <w:color w:val="auto"/>
          <w:sz w:val="28"/>
          <w:szCs w:val="28"/>
          <w:highlight w:val="none"/>
          <w:lang w:eastAsia="zh-CN"/>
        </w:rPr>
        <w:t>附件三：拟投入本合同工程的劳动力计划表</w:t>
      </w:r>
      <w:bookmarkEnd w:id="102"/>
      <w:bookmarkEnd w:id="103"/>
      <w:bookmarkEnd w:id="104"/>
    </w:p>
    <w:p w14:paraId="08184381">
      <w:pPr>
        <w:pStyle w:val="23"/>
        <w:spacing w:beforeLines="0" w:afterLines="0"/>
        <w:rPr>
          <w:rStyle w:val="19"/>
          <w:rFonts w:hint="default" w:ascii="宋体" w:hAnsi="宋体" w:eastAsia="宋体" w:cs="宋体"/>
          <w:b/>
          <w:color w:val="auto"/>
          <w:sz w:val="20"/>
          <w:szCs w:val="20"/>
          <w:highlight w:val="none"/>
          <w:lang w:eastAsia="zh-CN"/>
        </w:rPr>
      </w:pPr>
    </w:p>
    <w:p w14:paraId="5E703EC1">
      <w:pPr>
        <w:pStyle w:val="23"/>
        <w:spacing w:beforeLines="0" w:afterLines="0"/>
        <w:jc w:val="center"/>
        <w:rPr>
          <w:rStyle w:val="19"/>
          <w:rFonts w:hint="default" w:ascii="宋体" w:hAnsi="宋体" w:eastAsia="宋体" w:cs="宋体"/>
          <w:b/>
          <w:color w:val="auto"/>
          <w:sz w:val="24"/>
          <w:szCs w:val="24"/>
          <w:highlight w:val="none"/>
          <w:lang w:eastAsia="zh-CN"/>
        </w:rPr>
      </w:pPr>
      <w:bookmarkStart w:id="105" w:name="bookmark2241"/>
      <w:bookmarkStart w:id="106" w:name="bookmark2240"/>
      <w:bookmarkStart w:id="107" w:name="bookmark2242"/>
      <w:bookmarkStart w:id="108" w:name="_Toc30824"/>
      <w:bookmarkStart w:id="109" w:name="_Toc26872"/>
      <w:r>
        <w:rPr>
          <w:rStyle w:val="19"/>
          <w:rFonts w:hint="default" w:ascii="宋体" w:hAnsi="宋体" w:eastAsia="宋体" w:cs="宋体"/>
          <w:b/>
          <w:color w:val="auto"/>
          <w:sz w:val="24"/>
          <w:szCs w:val="24"/>
          <w:highlight w:val="none"/>
          <w:lang w:eastAsia="zh-CN"/>
        </w:rPr>
        <w:t>拟投入本合同工程的劳动力计划表</w:t>
      </w:r>
      <w:bookmarkEnd w:id="105"/>
      <w:bookmarkEnd w:id="106"/>
      <w:bookmarkEnd w:id="107"/>
      <w:bookmarkEnd w:id="108"/>
      <w:bookmarkEnd w:id="109"/>
    </w:p>
    <w:p w14:paraId="60E82758">
      <w:pPr>
        <w:pStyle w:val="23"/>
        <w:spacing w:beforeLines="0" w:afterLines="0"/>
        <w:jc w:val="center"/>
        <w:rPr>
          <w:rStyle w:val="19"/>
          <w:rFonts w:hint="default"/>
          <w:b/>
          <w:color w:val="auto"/>
          <w:sz w:val="24"/>
          <w:szCs w:val="24"/>
          <w:highlight w:val="none"/>
          <w:lang w:eastAsia="zh-CN"/>
        </w:rPr>
      </w:pPr>
    </w:p>
    <w:tbl>
      <w:tblPr>
        <w:tblStyle w:val="1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 w:type="dxa"/>
          <w:bottom w:w="0" w:type="dxa"/>
          <w:right w:w="10" w:type="dxa"/>
        </w:tblCellMar>
      </w:tblPr>
      <w:tblGrid>
        <w:gridCol w:w="850"/>
        <w:gridCol w:w="1586"/>
        <w:gridCol w:w="737"/>
        <w:gridCol w:w="737"/>
        <w:gridCol w:w="737"/>
        <w:gridCol w:w="737"/>
        <w:gridCol w:w="737"/>
        <w:gridCol w:w="947"/>
        <w:gridCol w:w="1328"/>
      </w:tblGrid>
      <w:tr w14:paraId="18B43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576" w:hRule="exact"/>
          <w:jc w:val="center"/>
        </w:trPr>
        <w:tc>
          <w:tcPr>
            <w:tcW w:w="2436" w:type="dxa"/>
            <w:gridSpan w:val="2"/>
            <w:vMerge w:val="restart"/>
            <w:tcBorders>
              <w:top w:val="single" w:color="auto" w:sz="4" w:space="0"/>
              <w:left w:val="single" w:color="auto" w:sz="4" w:space="0"/>
              <w:bottom w:val="nil"/>
              <w:right w:val="nil"/>
              <w:tl2br w:val="nil"/>
              <w:tr2bl w:val="nil"/>
            </w:tcBorders>
            <w:shd w:val="clear" w:color="auto" w:fill="FFFFFF"/>
            <w:noWrap w:val="0"/>
            <w:vAlign w:val="center"/>
          </w:tcPr>
          <w:p w14:paraId="350CB2D6">
            <w:pPr>
              <w:pStyle w:val="25"/>
              <w:spacing w:beforeLines="0" w:afterLines="0" w:line="266" w:lineRule="exact"/>
              <w:ind w:firstLine="1780" w:firstLineChars="989"/>
              <w:rPr>
                <w:rStyle w:val="19"/>
                <w:rFonts w:hint="default"/>
                <w:color w:val="auto"/>
                <w:sz w:val="24"/>
                <w:szCs w:val="20"/>
                <w:highlight w:val="none"/>
              </w:rPr>
            </w:pPr>
            <w:r>
              <w:rPr>
                <w:rFonts w:hint="default"/>
                <w:color w:val="auto"/>
                <w:sz w:val="18"/>
                <w:szCs w:val="18"/>
                <w:highlight w:val="none"/>
                <w:lang w:bidi="mn-Mong-CN"/>
              </w:rPr>
              <mc:AlternateContent>
                <mc:Choice Requires="wps">
                  <w:drawing>
                    <wp:anchor distT="0" distB="0" distL="114300" distR="114300" simplePos="0" relativeHeight="251659264" behindDoc="0" locked="0" layoutInCell="1" allowOverlap="1">
                      <wp:simplePos x="0" y="0"/>
                      <wp:positionH relativeFrom="column">
                        <wp:posOffset>52705</wp:posOffset>
                      </wp:positionH>
                      <wp:positionV relativeFrom="paragraph">
                        <wp:posOffset>1270</wp:posOffset>
                      </wp:positionV>
                      <wp:extent cx="1494790" cy="508000"/>
                      <wp:effectExtent l="1270" t="4445" r="8890" b="20955"/>
                      <wp:wrapNone/>
                      <wp:docPr id="12" name="直接箭头连接符 12"/>
                      <wp:cNvGraphicFramePr/>
                      <a:graphic xmlns:a="http://schemas.openxmlformats.org/drawingml/2006/main">
                        <a:graphicData uri="http://schemas.microsoft.com/office/word/2010/wordprocessingShape">
                          <wps:wsp>
                            <wps:cNvCnPr/>
                            <wps:spPr>
                              <a:xfrm>
                                <a:off x="0" y="0"/>
                                <a:ext cx="1494790" cy="50800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4.15pt;margin-top:0.1pt;height:40pt;width:117.7pt;z-index:251659264;mso-width-relative:page;mso-height-relative:page;" filled="f" stroked="t" coordsize="21600,21600" o:gfxdata="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zdLSm1AAAAAUBAAAPAAAAAAAAAAEAIAAAACIAAABkcnMvZG93&#10;bnJldi54bWxQSwECFAAUAAAACACHTuJANAFiiAQCAADzAwAADgAAAAAAAAABACAAAAAjAQAAZHJz&#10;L2Uyb0RvYy54bWxQSwUGAAAAAAYABgBZAQAAmQUAAAAA&#10;">
                      <v:fill on="f" focussize="0,0"/>
                      <v:stroke color="#000000" joinstyle="round"/>
                      <v:imagedata o:title=""/>
                      <o:lock v:ext="edit" aspectratio="f"/>
                    </v:shape>
                  </w:pict>
                </mc:Fallback>
              </mc:AlternateContent>
            </w:r>
            <w:r>
              <w:rPr>
                <w:rFonts w:hint="default"/>
                <w:color w:val="auto"/>
                <w:sz w:val="24"/>
                <w:szCs w:val="24"/>
                <w:highlight w:val="none"/>
                <w:lang w:val="en-US" w:bidi="mn-Mong-CN"/>
              </w:rPr>
              <mc:AlternateContent>
                <mc:Choice Requires="wps">
                  <w:drawing>
                    <wp:anchor distT="0" distB="0" distL="114300" distR="114300" simplePos="0" relativeHeight="251660288" behindDoc="0" locked="0" layoutInCell="1" allowOverlap="1">
                      <wp:simplePos x="0" y="0"/>
                      <wp:positionH relativeFrom="column">
                        <wp:posOffset>-13970</wp:posOffset>
                      </wp:positionH>
                      <wp:positionV relativeFrom="paragraph">
                        <wp:posOffset>-8255</wp:posOffset>
                      </wp:positionV>
                      <wp:extent cx="901065" cy="728345"/>
                      <wp:effectExtent l="3175" t="3810" r="10160" b="10795"/>
                      <wp:wrapNone/>
                      <wp:docPr id="13" name="直接箭头连接符 13"/>
                      <wp:cNvGraphicFramePr/>
                      <a:graphic xmlns:a="http://schemas.openxmlformats.org/drawingml/2006/main">
                        <a:graphicData uri="http://schemas.microsoft.com/office/word/2010/wordprocessingShape">
                          <wps:wsp>
                            <wps:cNvCnPr/>
                            <wps:spPr>
                              <a:xfrm>
                                <a:off x="0" y="0"/>
                                <a:ext cx="901065" cy="72834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1pt;margin-top:-0.65pt;height:57.35pt;width:70.95pt;z-index:251660288;mso-width-relative:page;mso-height-relative:page;" filled="f" stroked="t" coordsize="21600,21600" o:gfxdata="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DCSkVL2AAAAAkBAAAPAAAAAAAAAAEAIAAAACIAAABkcnMvZG93&#10;bnJldi54bWxQSwECFAAUAAAACACHTuJA90RZvAACAADyAwAADgAAAAAAAAABACAAAAAnAQAAZHJz&#10;L2Uyb0RvYy54bWxQSwUGAAAAAAYABgBZAQAAmQUAAAAA&#10;">
                      <v:fill on="f" focussize="0,0"/>
                      <v:stroke color="#000000" joinstyle="round"/>
                      <v:imagedata o:title=""/>
                      <o:lock v:ext="edit" aspectratio="f"/>
                    </v:shape>
                  </w:pict>
                </mc:Fallback>
              </mc:AlternateContent>
            </w:r>
            <w:r>
              <w:rPr>
                <w:rStyle w:val="19"/>
                <w:rFonts w:hint="default"/>
                <w:color w:val="auto"/>
                <w:sz w:val="24"/>
                <w:szCs w:val="20"/>
                <w:highlight w:val="none"/>
              </w:rPr>
              <w:t xml:space="preserve">工种 </w:t>
            </w:r>
          </w:p>
          <w:p w14:paraId="2D752B53">
            <w:pPr>
              <w:pStyle w:val="25"/>
              <w:spacing w:beforeLines="0" w:afterLines="0" w:line="266" w:lineRule="exact"/>
              <w:ind w:firstLine="936" w:firstLineChars="390"/>
              <w:rPr>
                <w:rStyle w:val="19"/>
                <w:rFonts w:hint="default"/>
                <w:color w:val="auto"/>
                <w:sz w:val="24"/>
                <w:szCs w:val="20"/>
                <w:highlight w:val="none"/>
              </w:rPr>
            </w:pPr>
          </w:p>
          <w:p w14:paraId="0E3C7A1F">
            <w:pPr>
              <w:pStyle w:val="25"/>
              <w:spacing w:beforeLines="0" w:afterLines="0" w:line="266" w:lineRule="exact"/>
              <w:ind w:firstLine="1176" w:firstLineChars="490"/>
              <w:rPr>
                <w:rStyle w:val="19"/>
                <w:rFonts w:hint="default"/>
                <w:color w:val="auto"/>
                <w:sz w:val="24"/>
                <w:szCs w:val="20"/>
                <w:highlight w:val="none"/>
              </w:rPr>
            </w:pPr>
            <w:r>
              <w:rPr>
                <w:rStyle w:val="19"/>
                <w:rFonts w:hint="default"/>
                <w:color w:val="auto"/>
                <w:sz w:val="24"/>
                <w:szCs w:val="20"/>
                <w:highlight w:val="none"/>
              </w:rPr>
              <w:t>人数</w:t>
            </w:r>
          </w:p>
          <w:p w14:paraId="2DBFB06B">
            <w:pPr>
              <w:pStyle w:val="25"/>
              <w:spacing w:beforeLines="0" w:afterLines="0" w:line="266" w:lineRule="exact"/>
              <w:ind w:firstLine="180"/>
              <w:rPr>
                <w:rStyle w:val="19"/>
                <w:rFonts w:hint="default"/>
                <w:color w:val="auto"/>
                <w:sz w:val="24"/>
                <w:szCs w:val="20"/>
                <w:highlight w:val="none"/>
              </w:rPr>
            </w:pPr>
            <w:r>
              <w:rPr>
                <w:rStyle w:val="19"/>
                <w:rFonts w:hint="default"/>
                <w:color w:val="auto"/>
                <w:sz w:val="24"/>
                <w:szCs w:val="20"/>
                <w:highlight w:val="none"/>
              </w:rPr>
              <w:t>时间</w:t>
            </w:r>
          </w:p>
        </w:tc>
        <w:tc>
          <w:tcPr>
            <w:tcW w:w="737" w:type="dxa"/>
            <w:vMerge w:val="restart"/>
            <w:tcBorders>
              <w:top w:val="single" w:color="auto" w:sz="4" w:space="0"/>
              <w:left w:val="single" w:color="auto" w:sz="4" w:space="0"/>
              <w:bottom w:val="nil"/>
              <w:right w:val="nil"/>
              <w:tl2br w:val="nil"/>
              <w:tr2bl w:val="nil"/>
            </w:tcBorders>
            <w:shd w:val="clear" w:color="auto" w:fill="FFFFFF"/>
            <w:noWrap w:val="0"/>
            <w:vAlign w:val="top"/>
          </w:tcPr>
          <w:p w14:paraId="4A219C7A">
            <w:pPr>
              <w:pStyle w:val="23"/>
              <w:spacing w:beforeLines="0" w:afterLines="0"/>
              <w:rPr>
                <w:rStyle w:val="19"/>
                <w:rFonts w:hint="default"/>
                <w:color w:val="auto"/>
                <w:sz w:val="24"/>
                <w:szCs w:val="24"/>
                <w:highlight w:val="none"/>
              </w:rPr>
            </w:pPr>
          </w:p>
        </w:tc>
        <w:tc>
          <w:tcPr>
            <w:tcW w:w="737" w:type="dxa"/>
            <w:vMerge w:val="restart"/>
            <w:tcBorders>
              <w:top w:val="single" w:color="auto" w:sz="4" w:space="0"/>
              <w:left w:val="single" w:color="auto" w:sz="4" w:space="0"/>
              <w:bottom w:val="nil"/>
              <w:right w:val="nil"/>
              <w:tl2br w:val="nil"/>
              <w:tr2bl w:val="nil"/>
            </w:tcBorders>
            <w:shd w:val="clear" w:color="auto" w:fill="FFFFFF"/>
            <w:noWrap w:val="0"/>
            <w:vAlign w:val="top"/>
          </w:tcPr>
          <w:p w14:paraId="270ECC42">
            <w:pPr>
              <w:pStyle w:val="23"/>
              <w:spacing w:beforeLines="0" w:afterLines="0"/>
              <w:rPr>
                <w:rStyle w:val="19"/>
                <w:rFonts w:hint="default"/>
                <w:color w:val="auto"/>
                <w:sz w:val="24"/>
                <w:szCs w:val="24"/>
                <w:highlight w:val="none"/>
              </w:rPr>
            </w:pPr>
          </w:p>
        </w:tc>
        <w:tc>
          <w:tcPr>
            <w:tcW w:w="737" w:type="dxa"/>
            <w:vMerge w:val="restart"/>
            <w:tcBorders>
              <w:top w:val="single" w:color="auto" w:sz="4" w:space="0"/>
              <w:left w:val="single" w:color="auto" w:sz="4" w:space="0"/>
              <w:bottom w:val="nil"/>
              <w:right w:val="nil"/>
              <w:tl2br w:val="nil"/>
              <w:tr2bl w:val="nil"/>
            </w:tcBorders>
            <w:shd w:val="clear" w:color="auto" w:fill="FFFFFF"/>
            <w:noWrap w:val="0"/>
            <w:vAlign w:val="top"/>
          </w:tcPr>
          <w:p w14:paraId="06CB3C64">
            <w:pPr>
              <w:pStyle w:val="23"/>
              <w:spacing w:beforeLines="0" w:afterLines="0"/>
              <w:rPr>
                <w:rStyle w:val="19"/>
                <w:rFonts w:hint="default"/>
                <w:color w:val="auto"/>
                <w:sz w:val="24"/>
                <w:szCs w:val="24"/>
                <w:highlight w:val="none"/>
              </w:rPr>
            </w:pPr>
          </w:p>
        </w:tc>
        <w:tc>
          <w:tcPr>
            <w:tcW w:w="737" w:type="dxa"/>
            <w:vMerge w:val="restart"/>
            <w:tcBorders>
              <w:top w:val="single" w:color="auto" w:sz="4" w:space="0"/>
              <w:left w:val="single" w:color="auto" w:sz="4" w:space="0"/>
              <w:bottom w:val="nil"/>
              <w:right w:val="nil"/>
              <w:tl2br w:val="nil"/>
              <w:tr2bl w:val="nil"/>
            </w:tcBorders>
            <w:shd w:val="clear" w:color="auto" w:fill="FFFFFF"/>
            <w:noWrap w:val="0"/>
            <w:vAlign w:val="top"/>
          </w:tcPr>
          <w:p w14:paraId="2F0ECED7">
            <w:pPr>
              <w:pStyle w:val="23"/>
              <w:spacing w:beforeLines="0" w:afterLines="0"/>
              <w:rPr>
                <w:rStyle w:val="19"/>
                <w:rFonts w:hint="default"/>
                <w:color w:val="auto"/>
                <w:sz w:val="24"/>
                <w:szCs w:val="24"/>
                <w:highlight w:val="none"/>
              </w:rPr>
            </w:pPr>
          </w:p>
        </w:tc>
        <w:tc>
          <w:tcPr>
            <w:tcW w:w="737" w:type="dxa"/>
            <w:vMerge w:val="restart"/>
            <w:tcBorders>
              <w:top w:val="single" w:color="auto" w:sz="4" w:space="0"/>
              <w:left w:val="single" w:color="auto" w:sz="4" w:space="0"/>
              <w:bottom w:val="nil"/>
              <w:right w:val="nil"/>
              <w:tl2br w:val="nil"/>
              <w:tr2bl w:val="nil"/>
            </w:tcBorders>
            <w:shd w:val="clear" w:color="auto" w:fill="FFFFFF"/>
            <w:noWrap w:val="0"/>
            <w:vAlign w:val="top"/>
          </w:tcPr>
          <w:p w14:paraId="27848665">
            <w:pPr>
              <w:pStyle w:val="23"/>
              <w:spacing w:beforeLines="0" w:afterLines="0"/>
              <w:rPr>
                <w:rStyle w:val="19"/>
                <w:rFonts w:hint="default"/>
                <w:color w:val="auto"/>
                <w:sz w:val="24"/>
                <w:szCs w:val="24"/>
                <w:highlight w:val="none"/>
              </w:rPr>
            </w:pPr>
          </w:p>
        </w:tc>
        <w:tc>
          <w:tcPr>
            <w:tcW w:w="2275" w:type="dxa"/>
            <w:gridSpan w:val="2"/>
            <w:tcBorders>
              <w:top w:val="single" w:color="auto" w:sz="4" w:space="0"/>
              <w:left w:val="single" w:color="auto" w:sz="4" w:space="0"/>
              <w:bottom w:val="nil"/>
              <w:right w:val="single" w:color="auto" w:sz="4" w:space="0"/>
              <w:tl2br w:val="nil"/>
              <w:tr2bl w:val="nil"/>
            </w:tcBorders>
            <w:shd w:val="clear" w:color="auto" w:fill="FFFFFF"/>
            <w:noWrap w:val="0"/>
            <w:vAlign w:val="center"/>
          </w:tcPr>
          <w:p w14:paraId="15F28525">
            <w:pPr>
              <w:pStyle w:val="25"/>
              <w:spacing w:beforeLines="0" w:afterLines="0" w:line="240" w:lineRule="auto"/>
              <w:ind w:firstLine="0"/>
              <w:jc w:val="center"/>
              <w:rPr>
                <w:rStyle w:val="19"/>
                <w:rFonts w:hint="default"/>
                <w:color w:val="auto"/>
                <w:sz w:val="24"/>
                <w:szCs w:val="20"/>
                <w:highlight w:val="none"/>
              </w:rPr>
            </w:pPr>
            <w:r>
              <w:rPr>
                <w:rStyle w:val="19"/>
                <w:rFonts w:hint="default"/>
                <w:color w:val="auto"/>
                <w:sz w:val="24"/>
                <w:szCs w:val="20"/>
                <w:highlight w:val="none"/>
              </w:rPr>
              <w:t>合 计</w:t>
            </w:r>
          </w:p>
        </w:tc>
      </w:tr>
      <w:tr w14:paraId="6F3ABB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566" w:hRule="exact"/>
          <w:jc w:val="center"/>
        </w:trPr>
        <w:tc>
          <w:tcPr>
            <w:tcW w:w="2436" w:type="dxa"/>
            <w:gridSpan w:val="2"/>
            <w:vMerge w:val="continue"/>
            <w:tcBorders>
              <w:top w:val="nil"/>
              <w:left w:val="single" w:color="auto" w:sz="4" w:space="0"/>
              <w:bottom w:val="nil"/>
              <w:right w:val="nil"/>
              <w:tl2br w:val="nil"/>
              <w:tr2bl w:val="nil"/>
            </w:tcBorders>
            <w:shd w:val="clear" w:color="auto" w:fill="FFFFFF"/>
            <w:noWrap w:val="0"/>
            <w:vAlign w:val="center"/>
          </w:tcPr>
          <w:p w14:paraId="1383A78A">
            <w:pPr>
              <w:pStyle w:val="23"/>
              <w:spacing w:beforeLines="0" w:afterLines="0"/>
              <w:rPr>
                <w:rStyle w:val="19"/>
                <w:rFonts w:hint="default"/>
                <w:color w:val="auto"/>
                <w:sz w:val="24"/>
                <w:szCs w:val="24"/>
                <w:highlight w:val="none"/>
              </w:rPr>
            </w:pPr>
          </w:p>
        </w:tc>
        <w:tc>
          <w:tcPr>
            <w:tcW w:w="737" w:type="dxa"/>
            <w:vMerge w:val="continue"/>
            <w:tcBorders>
              <w:top w:val="nil"/>
              <w:left w:val="single" w:color="auto" w:sz="4" w:space="0"/>
              <w:bottom w:val="nil"/>
              <w:right w:val="nil"/>
              <w:tl2br w:val="nil"/>
              <w:tr2bl w:val="nil"/>
            </w:tcBorders>
            <w:shd w:val="clear" w:color="auto" w:fill="FFFFFF"/>
            <w:noWrap w:val="0"/>
            <w:vAlign w:val="top"/>
          </w:tcPr>
          <w:p w14:paraId="2CAE0274">
            <w:pPr>
              <w:pStyle w:val="23"/>
              <w:spacing w:beforeLines="0" w:afterLines="0"/>
              <w:rPr>
                <w:rStyle w:val="19"/>
                <w:rFonts w:hint="default"/>
                <w:color w:val="auto"/>
                <w:sz w:val="24"/>
                <w:szCs w:val="24"/>
                <w:highlight w:val="none"/>
              </w:rPr>
            </w:pPr>
          </w:p>
        </w:tc>
        <w:tc>
          <w:tcPr>
            <w:tcW w:w="737" w:type="dxa"/>
            <w:vMerge w:val="continue"/>
            <w:tcBorders>
              <w:top w:val="nil"/>
              <w:left w:val="single" w:color="auto" w:sz="4" w:space="0"/>
              <w:bottom w:val="nil"/>
              <w:right w:val="nil"/>
              <w:tl2br w:val="nil"/>
              <w:tr2bl w:val="nil"/>
            </w:tcBorders>
            <w:shd w:val="clear" w:color="auto" w:fill="FFFFFF"/>
            <w:noWrap w:val="0"/>
            <w:vAlign w:val="top"/>
          </w:tcPr>
          <w:p w14:paraId="33C806CF">
            <w:pPr>
              <w:pStyle w:val="23"/>
              <w:spacing w:beforeLines="0" w:afterLines="0"/>
              <w:rPr>
                <w:rStyle w:val="19"/>
                <w:rFonts w:hint="default"/>
                <w:color w:val="auto"/>
                <w:sz w:val="24"/>
                <w:szCs w:val="24"/>
                <w:highlight w:val="none"/>
              </w:rPr>
            </w:pPr>
          </w:p>
        </w:tc>
        <w:tc>
          <w:tcPr>
            <w:tcW w:w="737" w:type="dxa"/>
            <w:vMerge w:val="continue"/>
            <w:tcBorders>
              <w:top w:val="nil"/>
              <w:left w:val="single" w:color="auto" w:sz="4" w:space="0"/>
              <w:bottom w:val="nil"/>
              <w:right w:val="nil"/>
              <w:tl2br w:val="nil"/>
              <w:tr2bl w:val="nil"/>
            </w:tcBorders>
            <w:shd w:val="clear" w:color="auto" w:fill="FFFFFF"/>
            <w:noWrap w:val="0"/>
            <w:vAlign w:val="top"/>
          </w:tcPr>
          <w:p w14:paraId="5F521C07">
            <w:pPr>
              <w:pStyle w:val="23"/>
              <w:spacing w:beforeLines="0" w:afterLines="0"/>
              <w:rPr>
                <w:rStyle w:val="19"/>
                <w:rFonts w:hint="default"/>
                <w:color w:val="auto"/>
                <w:sz w:val="24"/>
                <w:szCs w:val="24"/>
                <w:highlight w:val="none"/>
              </w:rPr>
            </w:pPr>
          </w:p>
        </w:tc>
        <w:tc>
          <w:tcPr>
            <w:tcW w:w="737" w:type="dxa"/>
            <w:vMerge w:val="continue"/>
            <w:tcBorders>
              <w:top w:val="nil"/>
              <w:left w:val="single" w:color="auto" w:sz="4" w:space="0"/>
              <w:bottom w:val="nil"/>
              <w:right w:val="nil"/>
              <w:tl2br w:val="nil"/>
              <w:tr2bl w:val="nil"/>
            </w:tcBorders>
            <w:shd w:val="clear" w:color="auto" w:fill="FFFFFF"/>
            <w:noWrap w:val="0"/>
            <w:vAlign w:val="top"/>
          </w:tcPr>
          <w:p w14:paraId="19215E65">
            <w:pPr>
              <w:pStyle w:val="23"/>
              <w:spacing w:beforeLines="0" w:afterLines="0"/>
              <w:rPr>
                <w:rStyle w:val="19"/>
                <w:rFonts w:hint="default"/>
                <w:color w:val="auto"/>
                <w:sz w:val="24"/>
                <w:szCs w:val="24"/>
                <w:highlight w:val="none"/>
              </w:rPr>
            </w:pPr>
          </w:p>
        </w:tc>
        <w:tc>
          <w:tcPr>
            <w:tcW w:w="737" w:type="dxa"/>
            <w:vMerge w:val="continue"/>
            <w:tcBorders>
              <w:top w:val="nil"/>
              <w:left w:val="single" w:color="auto" w:sz="4" w:space="0"/>
              <w:bottom w:val="nil"/>
              <w:right w:val="nil"/>
              <w:tl2br w:val="nil"/>
              <w:tr2bl w:val="nil"/>
            </w:tcBorders>
            <w:shd w:val="clear" w:color="auto" w:fill="FFFFFF"/>
            <w:noWrap w:val="0"/>
            <w:vAlign w:val="top"/>
          </w:tcPr>
          <w:p w14:paraId="2A39A3CD">
            <w:pPr>
              <w:pStyle w:val="23"/>
              <w:spacing w:beforeLines="0" w:afterLines="0"/>
              <w:rPr>
                <w:rStyle w:val="19"/>
                <w:rFonts w:hint="default"/>
                <w:color w:val="auto"/>
                <w:sz w:val="24"/>
                <w:szCs w:val="24"/>
                <w:highlight w:val="none"/>
              </w:rPr>
            </w:pPr>
          </w:p>
        </w:tc>
        <w:tc>
          <w:tcPr>
            <w:tcW w:w="947" w:type="dxa"/>
            <w:tcBorders>
              <w:top w:val="single" w:color="auto" w:sz="4" w:space="0"/>
              <w:left w:val="single" w:color="auto" w:sz="4" w:space="0"/>
              <w:bottom w:val="nil"/>
              <w:right w:val="nil"/>
              <w:tl2br w:val="nil"/>
              <w:tr2bl w:val="nil"/>
            </w:tcBorders>
            <w:shd w:val="clear" w:color="auto" w:fill="FFFFFF"/>
            <w:noWrap w:val="0"/>
            <w:vAlign w:val="center"/>
          </w:tcPr>
          <w:p w14:paraId="1102E910">
            <w:pPr>
              <w:pStyle w:val="25"/>
              <w:spacing w:beforeLines="0" w:afterLines="0" w:line="240" w:lineRule="auto"/>
              <w:ind w:firstLine="0"/>
              <w:jc w:val="center"/>
              <w:rPr>
                <w:rStyle w:val="19"/>
                <w:rFonts w:hint="default"/>
                <w:color w:val="auto"/>
                <w:sz w:val="24"/>
                <w:szCs w:val="20"/>
                <w:highlight w:val="none"/>
              </w:rPr>
            </w:pPr>
            <w:r>
              <w:rPr>
                <w:rStyle w:val="19"/>
                <w:rFonts w:hint="default"/>
                <w:color w:val="auto"/>
                <w:sz w:val="24"/>
                <w:szCs w:val="20"/>
                <w:highlight w:val="none"/>
              </w:rPr>
              <w:t>人数</w:t>
            </w:r>
          </w:p>
        </w:tc>
        <w:tc>
          <w:tcPr>
            <w:tcW w:w="1328" w:type="dxa"/>
            <w:tcBorders>
              <w:top w:val="single" w:color="auto" w:sz="4" w:space="0"/>
              <w:left w:val="single" w:color="auto" w:sz="4" w:space="0"/>
              <w:bottom w:val="nil"/>
              <w:right w:val="single" w:color="auto" w:sz="4" w:space="0"/>
              <w:tl2br w:val="nil"/>
              <w:tr2bl w:val="nil"/>
            </w:tcBorders>
            <w:shd w:val="clear" w:color="auto" w:fill="FFFFFF"/>
            <w:noWrap w:val="0"/>
            <w:vAlign w:val="center"/>
          </w:tcPr>
          <w:p w14:paraId="15664B5F">
            <w:pPr>
              <w:pStyle w:val="25"/>
              <w:spacing w:beforeLines="0" w:afterLines="0" w:line="240" w:lineRule="auto"/>
              <w:ind w:firstLine="0"/>
              <w:jc w:val="center"/>
              <w:rPr>
                <w:rStyle w:val="19"/>
                <w:rFonts w:hint="default"/>
                <w:color w:val="auto"/>
                <w:sz w:val="24"/>
                <w:szCs w:val="20"/>
                <w:highlight w:val="none"/>
              </w:rPr>
            </w:pPr>
            <w:r>
              <w:rPr>
                <w:rStyle w:val="19"/>
                <w:rFonts w:hint="default"/>
                <w:color w:val="auto"/>
                <w:sz w:val="24"/>
                <w:szCs w:val="20"/>
                <w:highlight w:val="none"/>
              </w:rPr>
              <w:t>人工工日数</w:t>
            </w:r>
          </w:p>
        </w:tc>
      </w:tr>
      <w:tr w14:paraId="4A0579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566" w:hRule="exact"/>
          <w:jc w:val="center"/>
        </w:trPr>
        <w:tc>
          <w:tcPr>
            <w:tcW w:w="850" w:type="dxa"/>
            <w:vMerge w:val="restart"/>
            <w:tcBorders>
              <w:top w:val="single" w:color="auto" w:sz="4" w:space="0"/>
              <w:left w:val="single" w:color="auto" w:sz="4" w:space="0"/>
              <w:bottom w:val="nil"/>
              <w:right w:val="nil"/>
              <w:tl2br w:val="nil"/>
              <w:tr2bl w:val="nil"/>
            </w:tcBorders>
            <w:shd w:val="clear" w:color="auto" w:fill="FFFFFF"/>
            <w:noWrap w:val="0"/>
            <w:vAlign w:val="center"/>
          </w:tcPr>
          <w:p w14:paraId="1CACF7F6">
            <w:pPr>
              <w:pStyle w:val="25"/>
              <w:spacing w:beforeLines="0" w:afterLines="0" w:line="240" w:lineRule="auto"/>
              <w:rPr>
                <w:rStyle w:val="19"/>
                <w:rFonts w:hint="default"/>
                <w:color w:val="auto"/>
                <w:sz w:val="24"/>
                <w:szCs w:val="20"/>
                <w:highlight w:val="none"/>
              </w:rPr>
            </w:pPr>
            <w:r>
              <w:rPr>
                <w:rStyle w:val="19"/>
                <w:rFonts w:hint="default"/>
                <w:color w:val="auto"/>
                <w:sz w:val="24"/>
                <w:szCs w:val="20"/>
                <w:highlight w:val="none"/>
              </w:rPr>
              <w:t>年</w:t>
            </w:r>
          </w:p>
        </w:tc>
        <w:tc>
          <w:tcPr>
            <w:tcW w:w="1586" w:type="dxa"/>
            <w:tcBorders>
              <w:top w:val="single" w:color="auto" w:sz="4" w:space="0"/>
              <w:left w:val="single" w:color="auto" w:sz="4" w:space="0"/>
              <w:bottom w:val="nil"/>
              <w:right w:val="nil"/>
              <w:tl2br w:val="nil"/>
              <w:tr2bl w:val="nil"/>
            </w:tcBorders>
            <w:shd w:val="clear" w:color="auto" w:fill="FFFFFF"/>
            <w:noWrap w:val="0"/>
            <w:vAlign w:val="center"/>
          </w:tcPr>
          <w:p w14:paraId="6BDB7A15">
            <w:pPr>
              <w:pStyle w:val="25"/>
              <w:spacing w:beforeLines="0" w:afterLines="0" w:line="240" w:lineRule="auto"/>
              <w:ind w:left="1120" w:firstLine="0"/>
              <w:rPr>
                <w:rStyle w:val="19"/>
                <w:rFonts w:hint="default"/>
                <w:color w:val="auto"/>
                <w:sz w:val="24"/>
                <w:szCs w:val="20"/>
                <w:highlight w:val="none"/>
              </w:rPr>
            </w:pPr>
            <w:r>
              <w:rPr>
                <w:rStyle w:val="19"/>
                <w:rFonts w:hint="default"/>
                <w:color w:val="auto"/>
                <w:sz w:val="24"/>
                <w:szCs w:val="20"/>
                <w:highlight w:val="none"/>
              </w:rPr>
              <w:t>月</w:t>
            </w:r>
          </w:p>
        </w:tc>
        <w:tc>
          <w:tcPr>
            <w:tcW w:w="737" w:type="dxa"/>
            <w:tcBorders>
              <w:top w:val="single" w:color="auto" w:sz="4" w:space="0"/>
              <w:left w:val="single" w:color="auto" w:sz="4" w:space="0"/>
              <w:bottom w:val="nil"/>
              <w:right w:val="nil"/>
              <w:tl2br w:val="nil"/>
              <w:tr2bl w:val="nil"/>
            </w:tcBorders>
            <w:shd w:val="clear" w:color="auto" w:fill="FFFFFF"/>
            <w:noWrap w:val="0"/>
            <w:vAlign w:val="top"/>
          </w:tcPr>
          <w:p w14:paraId="5AFAC293">
            <w:pPr>
              <w:pStyle w:val="23"/>
              <w:spacing w:beforeLines="0" w:afterLines="0"/>
              <w:rPr>
                <w:rStyle w:val="19"/>
                <w:rFonts w:hint="default"/>
                <w:color w:val="auto"/>
                <w:sz w:val="24"/>
                <w:szCs w:val="24"/>
                <w:highlight w:val="none"/>
              </w:rPr>
            </w:pPr>
          </w:p>
        </w:tc>
        <w:tc>
          <w:tcPr>
            <w:tcW w:w="737" w:type="dxa"/>
            <w:tcBorders>
              <w:top w:val="single" w:color="auto" w:sz="4" w:space="0"/>
              <w:left w:val="single" w:color="auto" w:sz="4" w:space="0"/>
              <w:bottom w:val="nil"/>
              <w:right w:val="nil"/>
              <w:tl2br w:val="nil"/>
              <w:tr2bl w:val="nil"/>
            </w:tcBorders>
            <w:shd w:val="clear" w:color="auto" w:fill="FFFFFF"/>
            <w:noWrap w:val="0"/>
            <w:vAlign w:val="top"/>
          </w:tcPr>
          <w:p w14:paraId="1B2C0476">
            <w:pPr>
              <w:pStyle w:val="23"/>
              <w:spacing w:beforeLines="0" w:afterLines="0"/>
              <w:rPr>
                <w:rStyle w:val="19"/>
                <w:rFonts w:hint="default"/>
                <w:color w:val="auto"/>
                <w:sz w:val="24"/>
                <w:szCs w:val="24"/>
                <w:highlight w:val="none"/>
              </w:rPr>
            </w:pPr>
          </w:p>
        </w:tc>
        <w:tc>
          <w:tcPr>
            <w:tcW w:w="737" w:type="dxa"/>
            <w:tcBorders>
              <w:top w:val="single" w:color="auto" w:sz="4" w:space="0"/>
              <w:left w:val="single" w:color="auto" w:sz="4" w:space="0"/>
              <w:bottom w:val="nil"/>
              <w:right w:val="nil"/>
              <w:tl2br w:val="nil"/>
              <w:tr2bl w:val="nil"/>
            </w:tcBorders>
            <w:shd w:val="clear" w:color="auto" w:fill="FFFFFF"/>
            <w:noWrap w:val="0"/>
            <w:vAlign w:val="top"/>
          </w:tcPr>
          <w:p w14:paraId="169434C5">
            <w:pPr>
              <w:pStyle w:val="23"/>
              <w:spacing w:beforeLines="0" w:afterLines="0"/>
              <w:rPr>
                <w:rStyle w:val="19"/>
                <w:rFonts w:hint="default"/>
                <w:color w:val="auto"/>
                <w:sz w:val="24"/>
                <w:szCs w:val="24"/>
                <w:highlight w:val="none"/>
              </w:rPr>
            </w:pPr>
          </w:p>
        </w:tc>
        <w:tc>
          <w:tcPr>
            <w:tcW w:w="737" w:type="dxa"/>
            <w:tcBorders>
              <w:top w:val="single" w:color="auto" w:sz="4" w:space="0"/>
              <w:left w:val="single" w:color="auto" w:sz="4" w:space="0"/>
              <w:bottom w:val="nil"/>
              <w:right w:val="nil"/>
              <w:tl2br w:val="nil"/>
              <w:tr2bl w:val="nil"/>
            </w:tcBorders>
            <w:shd w:val="clear" w:color="auto" w:fill="FFFFFF"/>
            <w:noWrap w:val="0"/>
            <w:vAlign w:val="top"/>
          </w:tcPr>
          <w:p w14:paraId="7B14FCF8">
            <w:pPr>
              <w:pStyle w:val="23"/>
              <w:spacing w:beforeLines="0" w:afterLines="0"/>
              <w:rPr>
                <w:rStyle w:val="19"/>
                <w:rFonts w:hint="default"/>
                <w:color w:val="auto"/>
                <w:sz w:val="24"/>
                <w:szCs w:val="24"/>
                <w:highlight w:val="none"/>
              </w:rPr>
            </w:pPr>
          </w:p>
        </w:tc>
        <w:tc>
          <w:tcPr>
            <w:tcW w:w="737" w:type="dxa"/>
            <w:tcBorders>
              <w:top w:val="single" w:color="auto" w:sz="4" w:space="0"/>
              <w:left w:val="single" w:color="auto" w:sz="4" w:space="0"/>
              <w:bottom w:val="nil"/>
              <w:right w:val="nil"/>
              <w:tl2br w:val="nil"/>
              <w:tr2bl w:val="nil"/>
            </w:tcBorders>
            <w:shd w:val="clear" w:color="auto" w:fill="FFFFFF"/>
            <w:noWrap w:val="0"/>
            <w:vAlign w:val="top"/>
          </w:tcPr>
          <w:p w14:paraId="71BDCCFE">
            <w:pPr>
              <w:pStyle w:val="23"/>
              <w:spacing w:beforeLines="0" w:afterLines="0"/>
              <w:rPr>
                <w:rStyle w:val="19"/>
                <w:rFonts w:hint="default"/>
                <w:color w:val="auto"/>
                <w:sz w:val="24"/>
                <w:szCs w:val="24"/>
                <w:highlight w:val="none"/>
              </w:rPr>
            </w:pPr>
          </w:p>
        </w:tc>
        <w:tc>
          <w:tcPr>
            <w:tcW w:w="947" w:type="dxa"/>
            <w:tcBorders>
              <w:top w:val="single" w:color="auto" w:sz="4" w:space="0"/>
              <w:left w:val="single" w:color="auto" w:sz="4" w:space="0"/>
              <w:bottom w:val="nil"/>
              <w:right w:val="nil"/>
              <w:tl2br w:val="nil"/>
              <w:tr2bl w:val="nil"/>
            </w:tcBorders>
            <w:shd w:val="clear" w:color="auto" w:fill="FFFFFF"/>
            <w:noWrap w:val="0"/>
            <w:vAlign w:val="top"/>
          </w:tcPr>
          <w:p w14:paraId="73229CCB">
            <w:pPr>
              <w:pStyle w:val="23"/>
              <w:spacing w:beforeLines="0" w:afterLines="0"/>
              <w:rPr>
                <w:rStyle w:val="19"/>
                <w:rFonts w:hint="default"/>
                <w:color w:val="auto"/>
                <w:sz w:val="24"/>
                <w:szCs w:val="24"/>
                <w:highlight w:val="none"/>
              </w:rPr>
            </w:pPr>
          </w:p>
        </w:tc>
        <w:tc>
          <w:tcPr>
            <w:tcW w:w="1328" w:type="dxa"/>
            <w:tcBorders>
              <w:top w:val="single" w:color="auto" w:sz="4" w:space="0"/>
              <w:left w:val="single" w:color="auto" w:sz="4" w:space="0"/>
              <w:bottom w:val="nil"/>
              <w:right w:val="single" w:color="auto" w:sz="4" w:space="0"/>
              <w:tl2br w:val="nil"/>
              <w:tr2bl w:val="nil"/>
            </w:tcBorders>
            <w:shd w:val="clear" w:color="auto" w:fill="FFFFFF"/>
            <w:noWrap w:val="0"/>
            <w:vAlign w:val="center"/>
          </w:tcPr>
          <w:p w14:paraId="4BA8E160">
            <w:pPr>
              <w:pStyle w:val="23"/>
              <w:spacing w:beforeLines="0" w:afterLines="0"/>
              <w:jc w:val="center"/>
              <w:rPr>
                <w:rStyle w:val="19"/>
                <w:rFonts w:hint="default"/>
                <w:color w:val="auto"/>
                <w:sz w:val="24"/>
                <w:szCs w:val="24"/>
                <w:highlight w:val="none"/>
              </w:rPr>
            </w:pPr>
          </w:p>
        </w:tc>
      </w:tr>
      <w:tr w14:paraId="146D40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566" w:hRule="exact"/>
          <w:jc w:val="center"/>
        </w:trPr>
        <w:tc>
          <w:tcPr>
            <w:tcW w:w="850" w:type="dxa"/>
            <w:vMerge w:val="continue"/>
            <w:tcBorders>
              <w:top w:val="nil"/>
              <w:left w:val="single" w:color="auto" w:sz="4" w:space="0"/>
              <w:bottom w:val="nil"/>
              <w:right w:val="nil"/>
              <w:tl2br w:val="nil"/>
              <w:tr2bl w:val="nil"/>
            </w:tcBorders>
            <w:shd w:val="clear" w:color="auto" w:fill="FFFFFF"/>
            <w:noWrap w:val="0"/>
            <w:vAlign w:val="center"/>
          </w:tcPr>
          <w:p w14:paraId="6C51BE3C">
            <w:pPr>
              <w:pStyle w:val="23"/>
              <w:spacing w:beforeLines="0" w:afterLines="0"/>
              <w:rPr>
                <w:rStyle w:val="19"/>
                <w:rFonts w:hint="default"/>
                <w:color w:val="auto"/>
                <w:sz w:val="24"/>
                <w:szCs w:val="24"/>
                <w:highlight w:val="none"/>
              </w:rPr>
            </w:pPr>
          </w:p>
        </w:tc>
        <w:tc>
          <w:tcPr>
            <w:tcW w:w="1586" w:type="dxa"/>
            <w:tcBorders>
              <w:top w:val="single" w:color="auto" w:sz="4" w:space="0"/>
              <w:left w:val="single" w:color="auto" w:sz="4" w:space="0"/>
              <w:bottom w:val="nil"/>
              <w:right w:val="nil"/>
              <w:tl2br w:val="nil"/>
              <w:tr2bl w:val="nil"/>
            </w:tcBorders>
            <w:shd w:val="clear" w:color="auto" w:fill="FFFFFF"/>
            <w:noWrap w:val="0"/>
            <w:vAlign w:val="center"/>
          </w:tcPr>
          <w:p w14:paraId="57EA6AC8">
            <w:pPr>
              <w:pStyle w:val="25"/>
              <w:spacing w:beforeLines="0" w:afterLines="0" w:line="240" w:lineRule="auto"/>
              <w:ind w:left="1120" w:firstLine="0"/>
              <w:rPr>
                <w:rStyle w:val="19"/>
                <w:rFonts w:hint="default"/>
                <w:color w:val="auto"/>
                <w:sz w:val="24"/>
                <w:szCs w:val="20"/>
                <w:highlight w:val="none"/>
              </w:rPr>
            </w:pPr>
            <w:r>
              <w:rPr>
                <w:rStyle w:val="19"/>
                <w:rFonts w:hint="default"/>
                <w:color w:val="auto"/>
                <w:sz w:val="24"/>
                <w:szCs w:val="20"/>
                <w:highlight w:val="none"/>
              </w:rPr>
              <w:t>月</w:t>
            </w:r>
          </w:p>
        </w:tc>
        <w:tc>
          <w:tcPr>
            <w:tcW w:w="737" w:type="dxa"/>
            <w:tcBorders>
              <w:top w:val="single" w:color="auto" w:sz="4" w:space="0"/>
              <w:left w:val="single" w:color="auto" w:sz="4" w:space="0"/>
              <w:bottom w:val="nil"/>
              <w:right w:val="nil"/>
              <w:tl2br w:val="nil"/>
              <w:tr2bl w:val="nil"/>
            </w:tcBorders>
            <w:shd w:val="clear" w:color="auto" w:fill="FFFFFF"/>
            <w:noWrap w:val="0"/>
            <w:vAlign w:val="top"/>
          </w:tcPr>
          <w:p w14:paraId="344E3560">
            <w:pPr>
              <w:pStyle w:val="23"/>
              <w:spacing w:beforeLines="0" w:afterLines="0"/>
              <w:rPr>
                <w:rStyle w:val="19"/>
                <w:rFonts w:hint="default"/>
                <w:color w:val="auto"/>
                <w:sz w:val="24"/>
                <w:szCs w:val="24"/>
                <w:highlight w:val="none"/>
              </w:rPr>
            </w:pPr>
          </w:p>
        </w:tc>
        <w:tc>
          <w:tcPr>
            <w:tcW w:w="737" w:type="dxa"/>
            <w:tcBorders>
              <w:top w:val="single" w:color="auto" w:sz="4" w:space="0"/>
              <w:left w:val="single" w:color="auto" w:sz="4" w:space="0"/>
              <w:bottom w:val="nil"/>
              <w:right w:val="nil"/>
              <w:tl2br w:val="nil"/>
              <w:tr2bl w:val="nil"/>
            </w:tcBorders>
            <w:shd w:val="clear" w:color="auto" w:fill="FFFFFF"/>
            <w:noWrap w:val="0"/>
            <w:vAlign w:val="top"/>
          </w:tcPr>
          <w:p w14:paraId="56F0675E">
            <w:pPr>
              <w:pStyle w:val="23"/>
              <w:spacing w:beforeLines="0" w:afterLines="0"/>
              <w:rPr>
                <w:rStyle w:val="19"/>
                <w:rFonts w:hint="default"/>
                <w:color w:val="auto"/>
                <w:sz w:val="24"/>
                <w:szCs w:val="24"/>
                <w:highlight w:val="none"/>
              </w:rPr>
            </w:pPr>
          </w:p>
        </w:tc>
        <w:tc>
          <w:tcPr>
            <w:tcW w:w="737" w:type="dxa"/>
            <w:tcBorders>
              <w:top w:val="single" w:color="auto" w:sz="4" w:space="0"/>
              <w:left w:val="single" w:color="auto" w:sz="4" w:space="0"/>
              <w:bottom w:val="nil"/>
              <w:right w:val="nil"/>
              <w:tl2br w:val="nil"/>
              <w:tr2bl w:val="nil"/>
            </w:tcBorders>
            <w:shd w:val="clear" w:color="auto" w:fill="FFFFFF"/>
            <w:noWrap w:val="0"/>
            <w:vAlign w:val="top"/>
          </w:tcPr>
          <w:p w14:paraId="41C7D0BE">
            <w:pPr>
              <w:pStyle w:val="23"/>
              <w:spacing w:beforeLines="0" w:afterLines="0"/>
              <w:rPr>
                <w:rStyle w:val="19"/>
                <w:rFonts w:hint="default"/>
                <w:color w:val="auto"/>
                <w:sz w:val="24"/>
                <w:szCs w:val="24"/>
                <w:highlight w:val="none"/>
              </w:rPr>
            </w:pPr>
          </w:p>
        </w:tc>
        <w:tc>
          <w:tcPr>
            <w:tcW w:w="737" w:type="dxa"/>
            <w:tcBorders>
              <w:top w:val="single" w:color="auto" w:sz="4" w:space="0"/>
              <w:left w:val="single" w:color="auto" w:sz="4" w:space="0"/>
              <w:bottom w:val="nil"/>
              <w:right w:val="nil"/>
              <w:tl2br w:val="nil"/>
              <w:tr2bl w:val="nil"/>
            </w:tcBorders>
            <w:shd w:val="clear" w:color="auto" w:fill="FFFFFF"/>
            <w:noWrap w:val="0"/>
            <w:vAlign w:val="top"/>
          </w:tcPr>
          <w:p w14:paraId="68651E27">
            <w:pPr>
              <w:pStyle w:val="23"/>
              <w:spacing w:beforeLines="0" w:afterLines="0"/>
              <w:rPr>
                <w:rStyle w:val="19"/>
                <w:rFonts w:hint="default"/>
                <w:color w:val="auto"/>
                <w:sz w:val="24"/>
                <w:szCs w:val="24"/>
                <w:highlight w:val="none"/>
              </w:rPr>
            </w:pPr>
          </w:p>
        </w:tc>
        <w:tc>
          <w:tcPr>
            <w:tcW w:w="737" w:type="dxa"/>
            <w:tcBorders>
              <w:top w:val="single" w:color="auto" w:sz="4" w:space="0"/>
              <w:left w:val="single" w:color="auto" w:sz="4" w:space="0"/>
              <w:bottom w:val="nil"/>
              <w:right w:val="nil"/>
              <w:tl2br w:val="nil"/>
              <w:tr2bl w:val="nil"/>
            </w:tcBorders>
            <w:shd w:val="clear" w:color="auto" w:fill="FFFFFF"/>
            <w:noWrap w:val="0"/>
            <w:vAlign w:val="top"/>
          </w:tcPr>
          <w:p w14:paraId="467CE07C">
            <w:pPr>
              <w:pStyle w:val="23"/>
              <w:spacing w:beforeLines="0" w:afterLines="0"/>
              <w:rPr>
                <w:rStyle w:val="19"/>
                <w:rFonts w:hint="default"/>
                <w:color w:val="auto"/>
                <w:sz w:val="24"/>
                <w:szCs w:val="24"/>
                <w:highlight w:val="none"/>
              </w:rPr>
            </w:pPr>
          </w:p>
        </w:tc>
        <w:tc>
          <w:tcPr>
            <w:tcW w:w="947" w:type="dxa"/>
            <w:tcBorders>
              <w:top w:val="single" w:color="auto" w:sz="4" w:space="0"/>
              <w:left w:val="single" w:color="auto" w:sz="4" w:space="0"/>
              <w:bottom w:val="nil"/>
              <w:right w:val="nil"/>
              <w:tl2br w:val="nil"/>
              <w:tr2bl w:val="nil"/>
            </w:tcBorders>
            <w:shd w:val="clear" w:color="auto" w:fill="FFFFFF"/>
            <w:noWrap w:val="0"/>
            <w:vAlign w:val="top"/>
          </w:tcPr>
          <w:p w14:paraId="2A8D977A">
            <w:pPr>
              <w:pStyle w:val="23"/>
              <w:spacing w:beforeLines="0" w:afterLines="0"/>
              <w:rPr>
                <w:rStyle w:val="19"/>
                <w:rFonts w:hint="default"/>
                <w:color w:val="auto"/>
                <w:sz w:val="24"/>
                <w:szCs w:val="24"/>
                <w:highlight w:val="none"/>
              </w:rPr>
            </w:pPr>
          </w:p>
        </w:tc>
        <w:tc>
          <w:tcPr>
            <w:tcW w:w="1328" w:type="dxa"/>
            <w:tcBorders>
              <w:top w:val="single" w:color="auto" w:sz="4" w:space="0"/>
              <w:left w:val="single" w:color="auto" w:sz="4" w:space="0"/>
              <w:bottom w:val="nil"/>
              <w:right w:val="single" w:color="auto" w:sz="4" w:space="0"/>
              <w:tl2br w:val="nil"/>
              <w:tr2bl w:val="nil"/>
            </w:tcBorders>
            <w:shd w:val="clear" w:color="auto" w:fill="FFFFFF"/>
            <w:noWrap w:val="0"/>
            <w:vAlign w:val="center"/>
          </w:tcPr>
          <w:p w14:paraId="4576548B">
            <w:pPr>
              <w:pStyle w:val="23"/>
              <w:spacing w:beforeLines="0" w:afterLines="0"/>
              <w:jc w:val="center"/>
              <w:rPr>
                <w:rStyle w:val="19"/>
                <w:rFonts w:hint="default"/>
                <w:color w:val="auto"/>
                <w:sz w:val="24"/>
                <w:szCs w:val="24"/>
                <w:highlight w:val="none"/>
              </w:rPr>
            </w:pPr>
          </w:p>
        </w:tc>
      </w:tr>
      <w:tr w14:paraId="4368FD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566" w:hRule="exact"/>
          <w:jc w:val="center"/>
        </w:trPr>
        <w:tc>
          <w:tcPr>
            <w:tcW w:w="850" w:type="dxa"/>
            <w:vMerge w:val="continue"/>
            <w:tcBorders>
              <w:top w:val="nil"/>
              <w:left w:val="single" w:color="auto" w:sz="4" w:space="0"/>
              <w:bottom w:val="nil"/>
              <w:right w:val="nil"/>
              <w:tl2br w:val="nil"/>
              <w:tr2bl w:val="nil"/>
            </w:tcBorders>
            <w:shd w:val="clear" w:color="auto" w:fill="FFFFFF"/>
            <w:noWrap w:val="0"/>
            <w:vAlign w:val="center"/>
          </w:tcPr>
          <w:p w14:paraId="58A6A371">
            <w:pPr>
              <w:pStyle w:val="23"/>
              <w:spacing w:beforeLines="0" w:afterLines="0"/>
              <w:rPr>
                <w:rStyle w:val="19"/>
                <w:rFonts w:hint="default"/>
                <w:color w:val="auto"/>
                <w:sz w:val="24"/>
                <w:szCs w:val="24"/>
                <w:highlight w:val="none"/>
              </w:rPr>
            </w:pPr>
          </w:p>
        </w:tc>
        <w:tc>
          <w:tcPr>
            <w:tcW w:w="1586" w:type="dxa"/>
            <w:tcBorders>
              <w:top w:val="single" w:color="auto" w:sz="4" w:space="0"/>
              <w:left w:val="single" w:color="auto" w:sz="4" w:space="0"/>
              <w:bottom w:val="nil"/>
              <w:right w:val="nil"/>
              <w:tl2br w:val="nil"/>
              <w:tr2bl w:val="nil"/>
            </w:tcBorders>
            <w:shd w:val="clear" w:color="auto" w:fill="FFFFFF"/>
            <w:noWrap w:val="0"/>
            <w:vAlign w:val="center"/>
          </w:tcPr>
          <w:p w14:paraId="7A26C082">
            <w:pPr>
              <w:pStyle w:val="25"/>
              <w:spacing w:beforeLines="0" w:afterLines="0" w:line="240" w:lineRule="auto"/>
              <w:ind w:left="1120" w:firstLine="0"/>
              <w:rPr>
                <w:rStyle w:val="19"/>
                <w:rFonts w:hint="default"/>
                <w:color w:val="auto"/>
                <w:sz w:val="24"/>
                <w:szCs w:val="20"/>
                <w:highlight w:val="none"/>
              </w:rPr>
            </w:pPr>
            <w:r>
              <w:rPr>
                <w:rStyle w:val="19"/>
                <w:rFonts w:hint="default"/>
                <w:color w:val="auto"/>
                <w:sz w:val="24"/>
                <w:szCs w:val="20"/>
                <w:highlight w:val="none"/>
              </w:rPr>
              <w:t>月</w:t>
            </w:r>
          </w:p>
        </w:tc>
        <w:tc>
          <w:tcPr>
            <w:tcW w:w="737" w:type="dxa"/>
            <w:tcBorders>
              <w:top w:val="single" w:color="auto" w:sz="4" w:space="0"/>
              <w:left w:val="single" w:color="auto" w:sz="4" w:space="0"/>
              <w:bottom w:val="nil"/>
              <w:right w:val="nil"/>
              <w:tl2br w:val="nil"/>
              <w:tr2bl w:val="nil"/>
            </w:tcBorders>
            <w:shd w:val="clear" w:color="auto" w:fill="FFFFFF"/>
            <w:noWrap w:val="0"/>
            <w:vAlign w:val="top"/>
          </w:tcPr>
          <w:p w14:paraId="4E87EA34">
            <w:pPr>
              <w:pStyle w:val="23"/>
              <w:spacing w:beforeLines="0" w:afterLines="0"/>
              <w:rPr>
                <w:rStyle w:val="19"/>
                <w:rFonts w:hint="default"/>
                <w:color w:val="auto"/>
                <w:sz w:val="24"/>
                <w:szCs w:val="24"/>
                <w:highlight w:val="none"/>
              </w:rPr>
            </w:pPr>
          </w:p>
        </w:tc>
        <w:tc>
          <w:tcPr>
            <w:tcW w:w="737" w:type="dxa"/>
            <w:tcBorders>
              <w:top w:val="single" w:color="auto" w:sz="4" w:space="0"/>
              <w:left w:val="single" w:color="auto" w:sz="4" w:space="0"/>
              <w:bottom w:val="nil"/>
              <w:right w:val="nil"/>
              <w:tl2br w:val="nil"/>
              <w:tr2bl w:val="nil"/>
            </w:tcBorders>
            <w:shd w:val="clear" w:color="auto" w:fill="FFFFFF"/>
            <w:noWrap w:val="0"/>
            <w:vAlign w:val="top"/>
          </w:tcPr>
          <w:p w14:paraId="43D57827">
            <w:pPr>
              <w:pStyle w:val="23"/>
              <w:spacing w:beforeLines="0" w:afterLines="0"/>
              <w:rPr>
                <w:rStyle w:val="19"/>
                <w:rFonts w:hint="default"/>
                <w:color w:val="auto"/>
                <w:sz w:val="24"/>
                <w:szCs w:val="24"/>
                <w:highlight w:val="none"/>
              </w:rPr>
            </w:pPr>
          </w:p>
        </w:tc>
        <w:tc>
          <w:tcPr>
            <w:tcW w:w="737" w:type="dxa"/>
            <w:tcBorders>
              <w:top w:val="single" w:color="auto" w:sz="4" w:space="0"/>
              <w:left w:val="single" w:color="auto" w:sz="4" w:space="0"/>
              <w:bottom w:val="nil"/>
              <w:right w:val="nil"/>
              <w:tl2br w:val="nil"/>
              <w:tr2bl w:val="nil"/>
            </w:tcBorders>
            <w:shd w:val="clear" w:color="auto" w:fill="FFFFFF"/>
            <w:noWrap w:val="0"/>
            <w:vAlign w:val="top"/>
          </w:tcPr>
          <w:p w14:paraId="3218F79E">
            <w:pPr>
              <w:pStyle w:val="23"/>
              <w:spacing w:beforeLines="0" w:afterLines="0"/>
              <w:rPr>
                <w:rStyle w:val="19"/>
                <w:rFonts w:hint="default"/>
                <w:color w:val="auto"/>
                <w:sz w:val="24"/>
                <w:szCs w:val="24"/>
                <w:highlight w:val="none"/>
              </w:rPr>
            </w:pPr>
          </w:p>
        </w:tc>
        <w:tc>
          <w:tcPr>
            <w:tcW w:w="737" w:type="dxa"/>
            <w:tcBorders>
              <w:top w:val="single" w:color="auto" w:sz="4" w:space="0"/>
              <w:left w:val="single" w:color="auto" w:sz="4" w:space="0"/>
              <w:bottom w:val="nil"/>
              <w:right w:val="nil"/>
              <w:tl2br w:val="nil"/>
              <w:tr2bl w:val="nil"/>
            </w:tcBorders>
            <w:shd w:val="clear" w:color="auto" w:fill="FFFFFF"/>
            <w:noWrap w:val="0"/>
            <w:vAlign w:val="top"/>
          </w:tcPr>
          <w:p w14:paraId="70885EBC">
            <w:pPr>
              <w:pStyle w:val="23"/>
              <w:spacing w:beforeLines="0" w:afterLines="0"/>
              <w:rPr>
                <w:rStyle w:val="19"/>
                <w:rFonts w:hint="default"/>
                <w:color w:val="auto"/>
                <w:sz w:val="24"/>
                <w:szCs w:val="24"/>
                <w:highlight w:val="none"/>
              </w:rPr>
            </w:pPr>
          </w:p>
        </w:tc>
        <w:tc>
          <w:tcPr>
            <w:tcW w:w="737" w:type="dxa"/>
            <w:tcBorders>
              <w:top w:val="single" w:color="auto" w:sz="4" w:space="0"/>
              <w:left w:val="single" w:color="auto" w:sz="4" w:space="0"/>
              <w:bottom w:val="nil"/>
              <w:right w:val="nil"/>
              <w:tl2br w:val="nil"/>
              <w:tr2bl w:val="nil"/>
            </w:tcBorders>
            <w:shd w:val="clear" w:color="auto" w:fill="FFFFFF"/>
            <w:noWrap w:val="0"/>
            <w:vAlign w:val="top"/>
          </w:tcPr>
          <w:p w14:paraId="11679371">
            <w:pPr>
              <w:pStyle w:val="23"/>
              <w:spacing w:beforeLines="0" w:afterLines="0"/>
              <w:rPr>
                <w:rStyle w:val="19"/>
                <w:rFonts w:hint="default"/>
                <w:color w:val="auto"/>
                <w:sz w:val="24"/>
                <w:szCs w:val="24"/>
                <w:highlight w:val="none"/>
              </w:rPr>
            </w:pPr>
          </w:p>
        </w:tc>
        <w:tc>
          <w:tcPr>
            <w:tcW w:w="947" w:type="dxa"/>
            <w:tcBorders>
              <w:top w:val="single" w:color="auto" w:sz="4" w:space="0"/>
              <w:left w:val="single" w:color="auto" w:sz="4" w:space="0"/>
              <w:bottom w:val="nil"/>
              <w:right w:val="nil"/>
              <w:tl2br w:val="nil"/>
              <w:tr2bl w:val="nil"/>
            </w:tcBorders>
            <w:shd w:val="clear" w:color="auto" w:fill="FFFFFF"/>
            <w:noWrap w:val="0"/>
            <w:vAlign w:val="top"/>
          </w:tcPr>
          <w:p w14:paraId="6EB6344C">
            <w:pPr>
              <w:pStyle w:val="23"/>
              <w:spacing w:beforeLines="0" w:afterLines="0"/>
              <w:rPr>
                <w:rStyle w:val="19"/>
                <w:rFonts w:hint="default"/>
                <w:color w:val="auto"/>
                <w:sz w:val="24"/>
                <w:szCs w:val="24"/>
                <w:highlight w:val="none"/>
              </w:rPr>
            </w:pPr>
          </w:p>
        </w:tc>
        <w:tc>
          <w:tcPr>
            <w:tcW w:w="1328" w:type="dxa"/>
            <w:tcBorders>
              <w:top w:val="single" w:color="auto" w:sz="4" w:space="0"/>
              <w:left w:val="single" w:color="auto" w:sz="4" w:space="0"/>
              <w:bottom w:val="nil"/>
              <w:right w:val="single" w:color="auto" w:sz="4" w:space="0"/>
              <w:tl2br w:val="nil"/>
              <w:tr2bl w:val="nil"/>
            </w:tcBorders>
            <w:shd w:val="clear" w:color="auto" w:fill="FFFFFF"/>
            <w:noWrap w:val="0"/>
            <w:vAlign w:val="top"/>
          </w:tcPr>
          <w:p w14:paraId="13DAD702">
            <w:pPr>
              <w:pStyle w:val="23"/>
              <w:spacing w:beforeLines="0" w:afterLines="0"/>
              <w:rPr>
                <w:rStyle w:val="19"/>
                <w:rFonts w:hint="default"/>
                <w:color w:val="auto"/>
                <w:sz w:val="24"/>
                <w:szCs w:val="24"/>
                <w:highlight w:val="none"/>
              </w:rPr>
            </w:pPr>
          </w:p>
        </w:tc>
      </w:tr>
      <w:tr w14:paraId="24D034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566" w:hRule="exact"/>
          <w:jc w:val="center"/>
        </w:trPr>
        <w:tc>
          <w:tcPr>
            <w:tcW w:w="850" w:type="dxa"/>
            <w:vMerge w:val="continue"/>
            <w:tcBorders>
              <w:top w:val="nil"/>
              <w:left w:val="single" w:color="auto" w:sz="4" w:space="0"/>
              <w:bottom w:val="nil"/>
              <w:right w:val="nil"/>
              <w:tl2br w:val="nil"/>
              <w:tr2bl w:val="nil"/>
            </w:tcBorders>
            <w:shd w:val="clear" w:color="auto" w:fill="FFFFFF"/>
            <w:noWrap w:val="0"/>
            <w:vAlign w:val="center"/>
          </w:tcPr>
          <w:p w14:paraId="538D44F8">
            <w:pPr>
              <w:pStyle w:val="23"/>
              <w:spacing w:beforeLines="0" w:afterLines="0"/>
              <w:rPr>
                <w:rStyle w:val="19"/>
                <w:rFonts w:hint="default"/>
                <w:color w:val="auto"/>
                <w:sz w:val="24"/>
                <w:szCs w:val="24"/>
                <w:highlight w:val="none"/>
              </w:rPr>
            </w:pPr>
          </w:p>
        </w:tc>
        <w:tc>
          <w:tcPr>
            <w:tcW w:w="1586" w:type="dxa"/>
            <w:tcBorders>
              <w:top w:val="single" w:color="auto" w:sz="4" w:space="0"/>
              <w:left w:val="single" w:color="auto" w:sz="4" w:space="0"/>
              <w:bottom w:val="nil"/>
              <w:right w:val="nil"/>
              <w:tl2br w:val="nil"/>
              <w:tr2bl w:val="nil"/>
            </w:tcBorders>
            <w:shd w:val="clear" w:color="auto" w:fill="FFFFFF"/>
            <w:noWrap w:val="0"/>
            <w:vAlign w:val="center"/>
          </w:tcPr>
          <w:p w14:paraId="51CCD8B3">
            <w:pPr>
              <w:pStyle w:val="25"/>
              <w:spacing w:beforeLines="0" w:afterLines="0" w:line="240" w:lineRule="auto"/>
              <w:ind w:left="1120" w:firstLine="0"/>
              <w:rPr>
                <w:rStyle w:val="19"/>
                <w:rFonts w:hint="default"/>
                <w:color w:val="auto"/>
                <w:sz w:val="24"/>
                <w:szCs w:val="20"/>
                <w:highlight w:val="none"/>
              </w:rPr>
            </w:pPr>
            <w:r>
              <w:rPr>
                <w:rStyle w:val="19"/>
                <w:rFonts w:hint="default"/>
                <w:color w:val="auto"/>
                <w:sz w:val="24"/>
                <w:szCs w:val="20"/>
                <w:highlight w:val="none"/>
              </w:rPr>
              <w:t>月</w:t>
            </w:r>
          </w:p>
        </w:tc>
        <w:tc>
          <w:tcPr>
            <w:tcW w:w="737" w:type="dxa"/>
            <w:tcBorders>
              <w:top w:val="single" w:color="auto" w:sz="4" w:space="0"/>
              <w:left w:val="single" w:color="auto" w:sz="4" w:space="0"/>
              <w:bottom w:val="nil"/>
              <w:right w:val="nil"/>
              <w:tl2br w:val="nil"/>
              <w:tr2bl w:val="nil"/>
            </w:tcBorders>
            <w:shd w:val="clear" w:color="auto" w:fill="FFFFFF"/>
            <w:noWrap w:val="0"/>
            <w:vAlign w:val="top"/>
          </w:tcPr>
          <w:p w14:paraId="070B4913">
            <w:pPr>
              <w:pStyle w:val="23"/>
              <w:spacing w:beforeLines="0" w:afterLines="0"/>
              <w:rPr>
                <w:rStyle w:val="19"/>
                <w:rFonts w:hint="default"/>
                <w:color w:val="auto"/>
                <w:sz w:val="24"/>
                <w:szCs w:val="24"/>
                <w:highlight w:val="none"/>
              </w:rPr>
            </w:pPr>
          </w:p>
        </w:tc>
        <w:tc>
          <w:tcPr>
            <w:tcW w:w="737" w:type="dxa"/>
            <w:tcBorders>
              <w:top w:val="single" w:color="auto" w:sz="4" w:space="0"/>
              <w:left w:val="single" w:color="auto" w:sz="4" w:space="0"/>
              <w:bottom w:val="nil"/>
              <w:right w:val="nil"/>
              <w:tl2br w:val="nil"/>
              <w:tr2bl w:val="nil"/>
            </w:tcBorders>
            <w:shd w:val="clear" w:color="auto" w:fill="FFFFFF"/>
            <w:noWrap w:val="0"/>
            <w:vAlign w:val="top"/>
          </w:tcPr>
          <w:p w14:paraId="563AB2FF">
            <w:pPr>
              <w:pStyle w:val="23"/>
              <w:spacing w:beforeLines="0" w:afterLines="0"/>
              <w:rPr>
                <w:rStyle w:val="19"/>
                <w:rFonts w:hint="default"/>
                <w:color w:val="auto"/>
                <w:sz w:val="24"/>
                <w:szCs w:val="24"/>
                <w:highlight w:val="none"/>
              </w:rPr>
            </w:pPr>
          </w:p>
        </w:tc>
        <w:tc>
          <w:tcPr>
            <w:tcW w:w="737" w:type="dxa"/>
            <w:tcBorders>
              <w:top w:val="single" w:color="auto" w:sz="4" w:space="0"/>
              <w:left w:val="single" w:color="auto" w:sz="4" w:space="0"/>
              <w:bottom w:val="nil"/>
              <w:right w:val="nil"/>
              <w:tl2br w:val="nil"/>
              <w:tr2bl w:val="nil"/>
            </w:tcBorders>
            <w:shd w:val="clear" w:color="auto" w:fill="FFFFFF"/>
            <w:noWrap w:val="0"/>
            <w:vAlign w:val="top"/>
          </w:tcPr>
          <w:p w14:paraId="4348E251">
            <w:pPr>
              <w:pStyle w:val="23"/>
              <w:spacing w:beforeLines="0" w:afterLines="0"/>
              <w:rPr>
                <w:rStyle w:val="19"/>
                <w:rFonts w:hint="default"/>
                <w:color w:val="auto"/>
                <w:sz w:val="24"/>
                <w:szCs w:val="24"/>
                <w:highlight w:val="none"/>
              </w:rPr>
            </w:pPr>
          </w:p>
        </w:tc>
        <w:tc>
          <w:tcPr>
            <w:tcW w:w="737" w:type="dxa"/>
            <w:tcBorders>
              <w:top w:val="single" w:color="auto" w:sz="4" w:space="0"/>
              <w:left w:val="single" w:color="auto" w:sz="4" w:space="0"/>
              <w:bottom w:val="nil"/>
              <w:right w:val="nil"/>
              <w:tl2br w:val="nil"/>
              <w:tr2bl w:val="nil"/>
            </w:tcBorders>
            <w:shd w:val="clear" w:color="auto" w:fill="FFFFFF"/>
            <w:noWrap w:val="0"/>
            <w:vAlign w:val="top"/>
          </w:tcPr>
          <w:p w14:paraId="17987D92">
            <w:pPr>
              <w:pStyle w:val="23"/>
              <w:spacing w:beforeLines="0" w:afterLines="0"/>
              <w:rPr>
                <w:rStyle w:val="19"/>
                <w:rFonts w:hint="default"/>
                <w:color w:val="auto"/>
                <w:sz w:val="24"/>
                <w:szCs w:val="24"/>
                <w:highlight w:val="none"/>
              </w:rPr>
            </w:pPr>
          </w:p>
        </w:tc>
        <w:tc>
          <w:tcPr>
            <w:tcW w:w="737" w:type="dxa"/>
            <w:tcBorders>
              <w:top w:val="single" w:color="auto" w:sz="4" w:space="0"/>
              <w:left w:val="single" w:color="auto" w:sz="4" w:space="0"/>
              <w:bottom w:val="nil"/>
              <w:right w:val="nil"/>
              <w:tl2br w:val="nil"/>
              <w:tr2bl w:val="nil"/>
            </w:tcBorders>
            <w:shd w:val="clear" w:color="auto" w:fill="FFFFFF"/>
            <w:noWrap w:val="0"/>
            <w:vAlign w:val="top"/>
          </w:tcPr>
          <w:p w14:paraId="5E59F5C8">
            <w:pPr>
              <w:pStyle w:val="23"/>
              <w:spacing w:beforeLines="0" w:afterLines="0"/>
              <w:rPr>
                <w:rStyle w:val="19"/>
                <w:rFonts w:hint="default"/>
                <w:color w:val="auto"/>
                <w:sz w:val="24"/>
                <w:szCs w:val="24"/>
                <w:highlight w:val="none"/>
              </w:rPr>
            </w:pPr>
          </w:p>
        </w:tc>
        <w:tc>
          <w:tcPr>
            <w:tcW w:w="947" w:type="dxa"/>
            <w:tcBorders>
              <w:top w:val="single" w:color="auto" w:sz="4" w:space="0"/>
              <w:left w:val="single" w:color="auto" w:sz="4" w:space="0"/>
              <w:bottom w:val="nil"/>
              <w:right w:val="nil"/>
              <w:tl2br w:val="nil"/>
              <w:tr2bl w:val="nil"/>
            </w:tcBorders>
            <w:shd w:val="clear" w:color="auto" w:fill="FFFFFF"/>
            <w:noWrap w:val="0"/>
            <w:vAlign w:val="top"/>
          </w:tcPr>
          <w:p w14:paraId="7590B16A">
            <w:pPr>
              <w:pStyle w:val="23"/>
              <w:spacing w:beforeLines="0" w:afterLines="0"/>
              <w:rPr>
                <w:rStyle w:val="19"/>
                <w:rFonts w:hint="default"/>
                <w:color w:val="auto"/>
                <w:sz w:val="24"/>
                <w:szCs w:val="24"/>
                <w:highlight w:val="none"/>
              </w:rPr>
            </w:pPr>
          </w:p>
        </w:tc>
        <w:tc>
          <w:tcPr>
            <w:tcW w:w="1328" w:type="dxa"/>
            <w:tcBorders>
              <w:top w:val="single" w:color="auto" w:sz="4" w:space="0"/>
              <w:left w:val="single" w:color="auto" w:sz="4" w:space="0"/>
              <w:bottom w:val="nil"/>
              <w:right w:val="single" w:color="auto" w:sz="4" w:space="0"/>
              <w:tl2br w:val="nil"/>
              <w:tr2bl w:val="nil"/>
            </w:tcBorders>
            <w:shd w:val="clear" w:color="auto" w:fill="FFFFFF"/>
            <w:noWrap w:val="0"/>
            <w:vAlign w:val="top"/>
          </w:tcPr>
          <w:p w14:paraId="4EAB3D8E">
            <w:pPr>
              <w:pStyle w:val="23"/>
              <w:spacing w:beforeLines="0" w:afterLines="0"/>
              <w:rPr>
                <w:rStyle w:val="19"/>
                <w:rFonts w:hint="default"/>
                <w:color w:val="auto"/>
                <w:sz w:val="24"/>
                <w:szCs w:val="24"/>
                <w:highlight w:val="none"/>
              </w:rPr>
            </w:pPr>
          </w:p>
        </w:tc>
      </w:tr>
      <w:tr w14:paraId="4865C4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566" w:hRule="exact"/>
          <w:jc w:val="center"/>
        </w:trPr>
        <w:tc>
          <w:tcPr>
            <w:tcW w:w="850" w:type="dxa"/>
            <w:vMerge w:val="continue"/>
            <w:tcBorders>
              <w:top w:val="nil"/>
              <w:left w:val="single" w:color="auto" w:sz="4" w:space="0"/>
              <w:bottom w:val="nil"/>
              <w:right w:val="nil"/>
              <w:tl2br w:val="nil"/>
              <w:tr2bl w:val="nil"/>
            </w:tcBorders>
            <w:shd w:val="clear" w:color="auto" w:fill="FFFFFF"/>
            <w:noWrap w:val="0"/>
            <w:vAlign w:val="center"/>
          </w:tcPr>
          <w:p w14:paraId="00408FCA">
            <w:pPr>
              <w:pStyle w:val="23"/>
              <w:spacing w:beforeLines="0" w:afterLines="0"/>
              <w:rPr>
                <w:rStyle w:val="19"/>
                <w:rFonts w:hint="default"/>
                <w:color w:val="auto"/>
                <w:sz w:val="24"/>
                <w:szCs w:val="24"/>
                <w:highlight w:val="none"/>
              </w:rPr>
            </w:pPr>
          </w:p>
        </w:tc>
        <w:tc>
          <w:tcPr>
            <w:tcW w:w="1586" w:type="dxa"/>
            <w:tcBorders>
              <w:top w:val="single" w:color="auto" w:sz="4" w:space="0"/>
              <w:left w:val="single" w:color="auto" w:sz="4" w:space="0"/>
              <w:bottom w:val="nil"/>
              <w:right w:val="nil"/>
              <w:tl2br w:val="nil"/>
              <w:tr2bl w:val="nil"/>
            </w:tcBorders>
            <w:shd w:val="clear" w:color="auto" w:fill="FFFFFF"/>
            <w:noWrap w:val="0"/>
            <w:vAlign w:val="center"/>
          </w:tcPr>
          <w:p w14:paraId="35AB8253">
            <w:pPr>
              <w:pStyle w:val="25"/>
              <w:spacing w:beforeLines="0" w:afterLines="0" w:line="240" w:lineRule="auto"/>
              <w:ind w:left="1120" w:firstLine="0"/>
              <w:rPr>
                <w:rStyle w:val="19"/>
                <w:rFonts w:hint="default"/>
                <w:color w:val="auto"/>
                <w:sz w:val="24"/>
                <w:szCs w:val="20"/>
                <w:highlight w:val="none"/>
              </w:rPr>
            </w:pPr>
            <w:r>
              <w:rPr>
                <w:rStyle w:val="19"/>
                <w:rFonts w:hint="default"/>
                <w:color w:val="auto"/>
                <w:sz w:val="24"/>
                <w:szCs w:val="20"/>
                <w:highlight w:val="none"/>
              </w:rPr>
              <w:t>月</w:t>
            </w:r>
          </w:p>
        </w:tc>
        <w:tc>
          <w:tcPr>
            <w:tcW w:w="737" w:type="dxa"/>
            <w:tcBorders>
              <w:top w:val="single" w:color="auto" w:sz="4" w:space="0"/>
              <w:left w:val="single" w:color="auto" w:sz="4" w:space="0"/>
              <w:bottom w:val="nil"/>
              <w:right w:val="nil"/>
              <w:tl2br w:val="nil"/>
              <w:tr2bl w:val="nil"/>
            </w:tcBorders>
            <w:shd w:val="clear" w:color="auto" w:fill="FFFFFF"/>
            <w:noWrap w:val="0"/>
            <w:vAlign w:val="top"/>
          </w:tcPr>
          <w:p w14:paraId="628058DE">
            <w:pPr>
              <w:pStyle w:val="23"/>
              <w:spacing w:beforeLines="0" w:afterLines="0"/>
              <w:rPr>
                <w:rStyle w:val="19"/>
                <w:rFonts w:hint="default"/>
                <w:color w:val="auto"/>
                <w:sz w:val="24"/>
                <w:szCs w:val="24"/>
                <w:highlight w:val="none"/>
              </w:rPr>
            </w:pPr>
          </w:p>
        </w:tc>
        <w:tc>
          <w:tcPr>
            <w:tcW w:w="737" w:type="dxa"/>
            <w:tcBorders>
              <w:top w:val="single" w:color="auto" w:sz="4" w:space="0"/>
              <w:left w:val="single" w:color="auto" w:sz="4" w:space="0"/>
              <w:bottom w:val="nil"/>
              <w:right w:val="nil"/>
              <w:tl2br w:val="nil"/>
              <w:tr2bl w:val="nil"/>
            </w:tcBorders>
            <w:shd w:val="clear" w:color="auto" w:fill="FFFFFF"/>
            <w:noWrap w:val="0"/>
            <w:vAlign w:val="top"/>
          </w:tcPr>
          <w:p w14:paraId="592C561C">
            <w:pPr>
              <w:pStyle w:val="23"/>
              <w:spacing w:beforeLines="0" w:afterLines="0"/>
              <w:rPr>
                <w:rStyle w:val="19"/>
                <w:rFonts w:hint="default"/>
                <w:color w:val="auto"/>
                <w:sz w:val="24"/>
                <w:szCs w:val="24"/>
                <w:highlight w:val="none"/>
              </w:rPr>
            </w:pPr>
          </w:p>
        </w:tc>
        <w:tc>
          <w:tcPr>
            <w:tcW w:w="737" w:type="dxa"/>
            <w:tcBorders>
              <w:top w:val="single" w:color="auto" w:sz="4" w:space="0"/>
              <w:left w:val="single" w:color="auto" w:sz="4" w:space="0"/>
              <w:bottom w:val="nil"/>
              <w:right w:val="nil"/>
              <w:tl2br w:val="nil"/>
              <w:tr2bl w:val="nil"/>
            </w:tcBorders>
            <w:shd w:val="clear" w:color="auto" w:fill="FFFFFF"/>
            <w:noWrap w:val="0"/>
            <w:vAlign w:val="top"/>
          </w:tcPr>
          <w:p w14:paraId="3DAC0C71">
            <w:pPr>
              <w:pStyle w:val="23"/>
              <w:spacing w:beforeLines="0" w:afterLines="0"/>
              <w:rPr>
                <w:rStyle w:val="19"/>
                <w:rFonts w:hint="default"/>
                <w:color w:val="auto"/>
                <w:sz w:val="24"/>
                <w:szCs w:val="24"/>
                <w:highlight w:val="none"/>
              </w:rPr>
            </w:pPr>
          </w:p>
        </w:tc>
        <w:tc>
          <w:tcPr>
            <w:tcW w:w="737" w:type="dxa"/>
            <w:tcBorders>
              <w:top w:val="single" w:color="auto" w:sz="4" w:space="0"/>
              <w:left w:val="single" w:color="auto" w:sz="4" w:space="0"/>
              <w:bottom w:val="nil"/>
              <w:right w:val="nil"/>
              <w:tl2br w:val="nil"/>
              <w:tr2bl w:val="nil"/>
            </w:tcBorders>
            <w:shd w:val="clear" w:color="auto" w:fill="FFFFFF"/>
            <w:noWrap w:val="0"/>
            <w:vAlign w:val="top"/>
          </w:tcPr>
          <w:p w14:paraId="6A2B27E7">
            <w:pPr>
              <w:pStyle w:val="23"/>
              <w:spacing w:beforeLines="0" w:afterLines="0"/>
              <w:rPr>
                <w:rStyle w:val="19"/>
                <w:rFonts w:hint="default"/>
                <w:color w:val="auto"/>
                <w:sz w:val="24"/>
                <w:szCs w:val="24"/>
                <w:highlight w:val="none"/>
              </w:rPr>
            </w:pPr>
          </w:p>
        </w:tc>
        <w:tc>
          <w:tcPr>
            <w:tcW w:w="737" w:type="dxa"/>
            <w:tcBorders>
              <w:top w:val="single" w:color="auto" w:sz="4" w:space="0"/>
              <w:left w:val="single" w:color="auto" w:sz="4" w:space="0"/>
              <w:bottom w:val="nil"/>
              <w:right w:val="nil"/>
              <w:tl2br w:val="nil"/>
              <w:tr2bl w:val="nil"/>
            </w:tcBorders>
            <w:shd w:val="clear" w:color="auto" w:fill="FFFFFF"/>
            <w:noWrap w:val="0"/>
            <w:vAlign w:val="top"/>
          </w:tcPr>
          <w:p w14:paraId="7F2BA7F8">
            <w:pPr>
              <w:pStyle w:val="23"/>
              <w:spacing w:beforeLines="0" w:afterLines="0"/>
              <w:rPr>
                <w:rStyle w:val="19"/>
                <w:rFonts w:hint="default"/>
                <w:color w:val="auto"/>
                <w:sz w:val="24"/>
                <w:szCs w:val="24"/>
                <w:highlight w:val="none"/>
              </w:rPr>
            </w:pPr>
          </w:p>
        </w:tc>
        <w:tc>
          <w:tcPr>
            <w:tcW w:w="947" w:type="dxa"/>
            <w:tcBorders>
              <w:top w:val="single" w:color="auto" w:sz="4" w:space="0"/>
              <w:left w:val="single" w:color="auto" w:sz="4" w:space="0"/>
              <w:bottom w:val="nil"/>
              <w:right w:val="nil"/>
              <w:tl2br w:val="nil"/>
              <w:tr2bl w:val="nil"/>
            </w:tcBorders>
            <w:shd w:val="clear" w:color="auto" w:fill="FFFFFF"/>
            <w:noWrap w:val="0"/>
            <w:vAlign w:val="top"/>
          </w:tcPr>
          <w:p w14:paraId="72380931">
            <w:pPr>
              <w:pStyle w:val="23"/>
              <w:spacing w:beforeLines="0" w:afterLines="0"/>
              <w:rPr>
                <w:rStyle w:val="19"/>
                <w:rFonts w:hint="default"/>
                <w:color w:val="auto"/>
                <w:sz w:val="24"/>
                <w:szCs w:val="24"/>
                <w:highlight w:val="none"/>
              </w:rPr>
            </w:pPr>
          </w:p>
        </w:tc>
        <w:tc>
          <w:tcPr>
            <w:tcW w:w="1328" w:type="dxa"/>
            <w:tcBorders>
              <w:top w:val="single" w:color="auto" w:sz="4" w:space="0"/>
              <w:left w:val="single" w:color="auto" w:sz="4" w:space="0"/>
              <w:bottom w:val="nil"/>
              <w:right w:val="single" w:color="auto" w:sz="4" w:space="0"/>
              <w:tl2br w:val="nil"/>
              <w:tr2bl w:val="nil"/>
            </w:tcBorders>
            <w:shd w:val="clear" w:color="auto" w:fill="FFFFFF"/>
            <w:noWrap w:val="0"/>
            <w:vAlign w:val="top"/>
          </w:tcPr>
          <w:p w14:paraId="58450115">
            <w:pPr>
              <w:pStyle w:val="23"/>
              <w:spacing w:beforeLines="0" w:afterLines="0"/>
              <w:rPr>
                <w:rStyle w:val="19"/>
                <w:rFonts w:hint="default"/>
                <w:color w:val="auto"/>
                <w:sz w:val="24"/>
                <w:szCs w:val="24"/>
                <w:highlight w:val="none"/>
              </w:rPr>
            </w:pPr>
          </w:p>
        </w:tc>
      </w:tr>
      <w:tr w14:paraId="56CA9D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566" w:hRule="exact"/>
          <w:jc w:val="center"/>
        </w:trPr>
        <w:tc>
          <w:tcPr>
            <w:tcW w:w="850" w:type="dxa"/>
            <w:vMerge w:val="continue"/>
            <w:tcBorders>
              <w:top w:val="nil"/>
              <w:left w:val="single" w:color="auto" w:sz="4" w:space="0"/>
              <w:bottom w:val="nil"/>
              <w:right w:val="nil"/>
              <w:tl2br w:val="nil"/>
              <w:tr2bl w:val="nil"/>
            </w:tcBorders>
            <w:shd w:val="clear" w:color="auto" w:fill="FFFFFF"/>
            <w:noWrap w:val="0"/>
            <w:vAlign w:val="center"/>
          </w:tcPr>
          <w:p w14:paraId="3939263E">
            <w:pPr>
              <w:pStyle w:val="23"/>
              <w:spacing w:beforeLines="0" w:afterLines="0"/>
              <w:rPr>
                <w:rStyle w:val="19"/>
                <w:rFonts w:hint="default"/>
                <w:color w:val="auto"/>
                <w:sz w:val="24"/>
                <w:szCs w:val="24"/>
                <w:highlight w:val="none"/>
              </w:rPr>
            </w:pPr>
          </w:p>
        </w:tc>
        <w:tc>
          <w:tcPr>
            <w:tcW w:w="1586" w:type="dxa"/>
            <w:tcBorders>
              <w:top w:val="single" w:color="auto" w:sz="4" w:space="0"/>
              <w:left w:val="single" w:color="auto" w:sz="4" w:space="0"/>
              <w:bottom w:val="nil"/>
              <w:right w:val="nil"/>
              <w:tl2br w:val="nil"/>
              <w:tr2bl w:val="nil"/>
            </w:tcBorders>
            <w:shd w:val="clear" w:color="auto" w:fill="FFFFFF"/>
            <w:noWrap w:val="0"/>
            <w:vAlign w:val="center"/>
          </w:tcPr>
          <w:p w14:paraId="3A6FAB43">
            <w:pPr>
              <w:pStyle w:val="25"/>
              <w:spacing w:beforeLines="0" w:afterLines="0" w:line="240" w:lineRule="auto"/>
              <w:ind w:left="1120" w:firstLine="0"/>
              <w:rPr>
                <w:rStyle w:val="19"/>
                <w:rFonts w:hint="default"/>
                <w:color w:val="auto"/>
                <w:sz w:val="24"/>
                <w:szCs w:val="20"/>
                <w:highlight w:val="none"/>
              </w:rPr>
            </w:pPr>
            <w:r>
              <w:rPr>
                <w:rStyle w:val="19"/>
                <w:rFonts w:hint="default"/>
                <w:color w:val="auto"/>
                <w:sz w:val="24"/>
                <w:szCs w:val="20"/>
                <w:highlight w:val="none"/>
              </w:rPr>
              <w:t>月</w:t>
            </w:r>
          </w:p>
        </w:tc>
        <w:tc>
          <w:tcPr>
            <w:tcW w:w="737" w:type="dxa"/>
            <w:tcBorders>
              <w:top w:val="single" w:color="auto" w:sz="4" w:space="0"/>
              <w:left w:val="single" w:color="auto" w:sz="4" w:space="0"/>
              <w:bottom w:val="nil"/>
              <w:right w:val="nil"/>
              <w:tl2br w:val="nil"/>
              <w:tr2bl w:val="nil"/>
            </w:tcBorders>
            <w:shd w:val="clear" w:color="auto" w:fill="FFFFFF"/>
            <w:noWrap w:val="0"/>
            <w:vAlign w:val="top"/>
          </w:tcPr>
          <w:p w14:paraId="67D7FCFB">
            <w:pPr>
              <w:pStyle w:val="23"/>
              <w:spacing w:beforeLines="0" w:afterLines="0"/>
              <w:rPr>
                <w:rStyle w:val="19"/>
                <w:rFonts w:hint="default"/>
                <w:color w:val="auto"/>
                <w:sz w:val="24"/>
                <w:szCs w:val="24"/>
                <w:highlight w:val="none"/>
              </w:rPr>
            </w:pPr>
          </w:p>
        </w:tc>
        <w:tc>
          <w:tcPr>
            <w:tcW w:w="737" w:type="dxa"/>
            <w:tcBorders>
              <w:top w:val="single" w:color="auto" w:sz="4" w:space="0"/>
              <w:left w:val="single" w:color="auto" w:sz="4" w:space="0"/>
              <w:bottom w:val="nil"/>
              <w:right w:val="nil"/>
              <w:tl2br w:val="nil"/>
              <w:tr2bl w:val="nil"/>
            </w:tcBorders>
            <w:shd w:val="clear" w:color="auto" w:fill="FFFFFF"/>
            <w:noWrap w:val="0"/>
            <w:vAlign w:val="top"/>
          </w:tcPr>
          <w:p w14:paraId="161828BC">
            <w:pPr>
              <w:pStyle w:val="23"/>
              <w:spacing w:beforeLines="0" w:afterLines="0"/>
              <w:rPr>
                <w:rStyle w:val="19"/>
                <w:rFonts w:hint="default"/>
                <w:color w:val="auto"/>
                <w:sz w:val="24"/>
                <w:szCs w:val="24"/>
                <w:highlight w:val="none"/>
              </w:rPr>
            </w:pPr>
          </w:p>
        </w:tc>
        <w:tc>
          <w:tcPr>
            <w:tcW w:w="737" w:type="dxa"/>
            <w:tcBorders>
              <w:top w:val="single" w:color="auto" w:sz="4" w:space="0"/>
              <w:left w:val="single" w:color="auto" w:sz="4" w:space="0"/>
              <w:bottom w:val="nil"/>
              <w:right w:val="nil"/>
              <w:tl2br w:val="nil"/>
              <w:tr2bl w:val="nil"/>
            </w:tcBorders>
            <w:shd w:val="clear" w:color="auto" w:fill="FFFFFF"/>
            <w:noWrap w:val="0"/>
            <w:vAlign w:val="top"/>
          </w:tcPr>
          <w:p w14:paraId="6C583814">
            <w:pPr>
              <w:pStyle w:val="23"/>
              <w:spacing w:beforeLines="0" w:afterLines="0"/>
              <w:rPr>
                <w:rStyle w:val="19"/>
                <w:rFonts w:hint="default"/>
                <w:color w:val="auto"/>
                <w:sz w:val="24"/>
                <w:szCs w:val="24"/>
                <w:highlight w:val="none"/>
              </w:rPr>
            </w:pPr>
          </w:p>
        </w:tc>
        <w:tc>
          <w:tcPr>
            <w:tcW w:w="737" w:type="dxa"/>
            <w:tcBorders>
              <w:top w:val="single" w:color="auto" w:sz="4" w:space="0"/>
              <w:left w:val="single" w:color="auto" w:sz="4" w:space="0"/>
              <w:bottom w:val="nil"/>
              <w:right w:val="nil"/>
              <w:tl2br w:val="nil"/>
              <w:tr2bl w:val="nil"/>
            </w:tcBorders>
            <w:shd w:val="clear" w:color="auto" w:fill="FFFFFF"/>
            <w:noWrap w:val="0"/>
            <w:vAlign w:val="top"/>
          </w:tcPr>
          <w:p w14:paraId="484C2518">
            <w:pPr>
              <w:pStyle w:val="23"/>
              <w:spacing w:beforeLines="0" w:afterLines="0"/>
              <w:rPr>
                <w:rStyle w:val="19"/>
                <w:rFonts w:hint="default"/>
                <w:color w:val="auto"/>
                <w:sz w:val="24"/>
                <w:szCs w:val="24"/>
                <w:highlight w:val="none"/>
              </w:rPr>
            </w:pPr>
          </w:p>
        </w:tc>
        <w:tc>
          <w:tcPr>
            <w:tcW w:w="737" w:type="dxa"/>
            <w:tcBorders>
              <w:top w:val="single" w:color="auto" w:sz="4" w:space="0"/>
              <w:left w:val="single" w:color="auto" w:sz="4" w:space="0"/>
              <w:bottom w:val="nil"/>
              <w:right w:val="nil"/>
              <w:tl2br w:val="nil"/>
              <w:tr2bl w:val="nil"/>
            </w:tcBorders>
            <w:shd w:val="clear" w:color="auto" w:fill="FFFFFF"/>
            <w:noWrap w:val="0"/>
            <w:vAlign w:val="top"/>
          </w:tcPr>
          <w:p w14:paraId="6B5F80AA">
            <w:pPr>
              <w:pStyle w:val="23"/>
              <w:spacing w:beforeLines="0" w:afterLines="0"/>
              <w:rPr>
                <w:rStyle w:val="19"/>
                <w:rFonts w:hint="default"/>
                <w:color w:val="auto"/>
                <w:sz w:val="24"/>
                <w:szCs w:val="24"/>
                <w:highlight w:val="none"/>
              </w:rPr>
            </w:pPr>
          </w:p>
        </w:tc>
        <w:tc>
          <w:tcPr>
            <w:tcW w:w="947" w:type="dxa"/>
            <w:tcBorders>
              <w:top w:val="single" w:color="auto" w:sz="4" w:space="0"/>
              <w:left w:val="single" w:color="auto" w:sz="4" w:space="0"/>
              <w:bottom w:val="nil"/>
              <w:right w:val="nil"/>
              <w:tl2br w:val="nil"/>
              <w:tr2bl w:val="nil"/>
            </w:tcBorders>
            <w:shd w:val="clear" w:color="auto" w:fill="FFFFFF"/>
            <w:noWrap w:val="0"/>
            <w:vAlign w:val="top"/>
          </w:tcPr>
          <w:p w14:paraId="7B4C8236">
            <w:pPr>
              <w:pStyle w:val="23"/>
              <w:spacing w:beforeLines="0" w:afterLines="0"/>
              <w:rPr>
                <w:rStyle w:val="19"/>
                <w:rFonts w:hint="default"/>
                <w:color w:val="auto"/>
                <w:sz w:val="24"/>
                <w:szCs w:val="24"/>
                <w:highlight w:val="none"/>
              </w:rPr>
            </w:pPr>
          </w:p>
        </w:tc>
        <w:tc>
          <w:tcPr>
            <w:tcW w:w="1328" w:type="dxa"/>
            <w:tcBorders>
              <w:top w:val="single" w:color="auto" w:sz="4" w:space="0"/>
              <w:left w:val="single" w:color="auto" w:sz="4" w:space="0"/>
              <w:bottom w:val="nil"/>
              <w:right w:val="single" w:color="auto" w:sz="4" w:space="0"/>
              <w:tl2br w:val="nil"/>
              <w:tr2bl w:val="nil"/>
            </w:tcBorders>
            <w:shd w:val="clear" w:color="auto" w:fill="FFFFFF"/>
            <w:noWrap w:val="0"/>
            <w:vAlign w:val="top"/>
          </w:tcPr>
          <w:p w14:paraId="73B60764">
            <w:pPr>
              <w:pStyle w:val="23"/>
              <w:spacing w:beforeLines="0" w:afterLines="0"/>
              <w:rPr>
                <w:rStyle w:val="19"/>
                <w:rFonts w:hint="default"/>
                <w:color w:val="auto"/>
                <w:sz w:val="24"/>
                <w:szCs w:val="24"/>
                <w:highlight w:val="none"/>
              </w:rPr>
            </w:pPr>
          </w:p>
        </w:tc>
      </w:tr>
      <w:tr w14:paraId="0E0055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571" w:hRule="exact"/>
          <w:jc w:val="center"/>
        </w:trPr>
        <w:tc>
          <w:tcPr>
            <w:tcW w:w="850" w:type="dxa"/>
            <w:vMerge w:val="continue"/>
            <w:tcBorders>
              <w:top w:val="nil"/>
              <w:left w:val="single" w:color="auto" w:sz="4" w:space="0"/>
              <w:bottom w:val="nil"/>
              <w:right w:val="nil"/>
              <w:tl2br w:val="nil"/>
              <w:tr2bl w:val="nil"/>
            </w:tcBorders>
            <w:shd w:val="clear" w:color="auto" w:fill="FFFFFF"/>
            <w:noWrap w:val="0"/>
            <w:vAlign w:val="center"/>
          </w:tcPr>
          <w:p w14:paraId="3D452181">
            <w:pPr>
              <w:pStyle w:val="23"/>
              <w:spacing w:beforeLines="0" w:afterLines="0"/>
              <w:rPr>
                <w:rStyle w:val="19"/>
                <w:rFonts w:hint="default"/>
                <w:color w:val="auto"/>
                <w:sz w:val="24"/>
                <w:szCs w:val="24"/>
                <w:highlight w:val="none"/>
              </w:rPr>
            </w:pPr>
          </w:p>
        </w:tc>
        <w:tc>
          <w:tcPr>
            <w:tcW w:w="1586" w:type="dxa"/>
            <w:tcBorders>
              <w:top w:val="single" w:color="auto" w:sz="4" w:space="0"/>
              <w:left w:val="single" w:color="auto" w:sz="4" w:space="0"/>
              <w:bottom w:val="nil"/>
              <w:right w:val="nil"/>
              <w:tl2br w:val="nil"/>
              <w:tr2bl w:val="nil"/>
            </w:tcBorders>
            <w:shd w:val="clear" w:color="auto" w:fill="FFFFFF"/>
            <w:noWrap w:val="0"/>
            <w:vAlign w:val="center"/>
          </w:tcPr>
          <w:p w14:paraId="5DAECA65">
            <w:pPr>
              <w:pStyle w:val="25"/>
              <w:tabs>
                <w:tab w:val="left" w:leader="dot" w:pos="326"/>
              </w:tabs>
              <w:spacing w:beforeLines="0" w:afterLines="0" w:line="240" w:lineRule="auto"/>
              <w:ind w:firstLine="0"/>
              <w:jc w:val="right"/>
              <w:rPr>
                <w:rStyle w:val="19"/>
                <w:rFonts w:hint="default"/>
                <w:color w:val="auto"/>
                <w:sz w:val="24"/>
                <w:szCs w:val="20"/>
                <w:highlight w:val="none"/>
              </w:rPr>
            </w:pPr>
            <w:r>
              <w:rPr>
                <w:rStyle w:val="19"/>
                <w:rFonts w:hint="default" w:ascii="Arial" w:hAnsi="Arial" w:cs="Arial"/>
                <w:color w:val="auto"/>
                <w:sz w:val="24"/>
                <w:szCs w:val="24"/>
                <w:highlight w:val="none"/>
                <w:lang w:val="en-US" w:eastAsia="en-US" w:bidi="en-US"/>
              </w:rPr>
              <w:tab/>
            </w:r>
          </w:p>
        </w:tc>
        <w:tc>
          <w:tcPr>
            <w:tcW w:w="737" w:type="dxa"/>
            <w:tcBorders>
              <w:top w:val="single" w:color="auto" w:sz="4" w:space="0"/>
              <w:left w:val="single" w:color="auto" w:sz="4" w:space="0"/>
              <w:bottom w:val="nil"/>
              <w:right w:val="nil"/>
              <w:tl2br w:val="nil"/>
              <w:tr2bl w:val="nil"/>
            </w:tcBorders>
            <w:shd w:val="clear" w:color="auto" w:fill="FFFFFF"/>
            <w:noWrap w:val="0"/>
            <w:vAlign w:val="top"/>
          </w:tcPr>
          <w:p w14:paraId="17F69D7C">
            <w:pPr>
              <w:pStyle w:val="23"/>
              <w:spacing w:beforeLines="0" w:afterLines="0"/>
              <w:rPr>
                <w:rStyle w:val="19"/>
                <w:rFonts w:hint="default"/>
                <w:color w:val="auto"/>
                <w:sz w:val="24"/>
                <w:szCs w:val="24"/>
                <w:highlight w:val="none"/>
              </w:rPr>
            </w:pPr>
          </w:p>
        </w:tc>
        <w:tc>
          <w:tcPr>
            <w:tcW w:w="737" w:type="dxa"/>
            <w:tcBorders>
              <w:top w:val="single" w:color="auto" w:sz="4" w:space="0"/>
              <w:left w:val="single" w:color="auto" w:sz="4" w:space="0"/>
              <w:bottom w:val="nil"/>
              <w:right w:val="nil"/>
              <w:tl2br w:val="nil"/>
              <w:tr2bl w:val="nil"/>
            </w:tcBorders>
            <w:shd w:val="clear" w:color="auto" w:fill="FFFFFF"/>
            <w:noWrap w:val="0"/>
            <w:vAlign w:val="top"/>
          </w:tcPr>
          <w:p w14:paraId="6B0737AF">
            <w:pPr>
              <w:pStyle w:val="23"/>
              <w:spacing w:beforeLines="0" w:afterLines="0"/>
              <w:rPr>
                <w:rStyle w:val="19"/>
                <w:rFonts w:hint="default"/>
                <w:color w:val="auto"/>
                <w:sz w:val="24"/>
                <w:szCs w:val="24"/>
                <w:highlight w:val="none"/>
              </w:rPr>
            </w:pPr>
          </w:p>
        </w:tc>
        <w:tc>
          <w:tcPr>
            <w:tcW w:w="737" w:type="dxa"/>
            <w:tcBorders>
              <w:top w:val="single" w:color="auto" w:sz="4" w:space="0"/>
              <w:left w:val="single" w:color="auto" w:sz="4" w:space="0"/>
              <w:bottom w:val="nil"/>
              <w:right w:val="nil"/>
              <w:tl2br w:val="nil"/>
              <w:tr2bl w:val="nil"/>
            </w:tcBorders>
            <w:shd w:val="clear" w:color="auto" w:fill="FFFFFF"/>
            <w:noWrap w:val="0"/>
            <w:vAlign w:val="top"/>
          </w:tcPr>
          <w:p w14:paraId="2E5114E6">
            <w:pPr>
              <w:pStyle w:val="23"/>
              <w:spacing w:beforeLines="0" w:afterLines="0"/>
              <w:rPr>
                <w:rStyle w:val="19"/>
                <w:rFonts w:hint="default"/>
                <w:color w:val="auto"/>
                <w:sz w:val="24"/>
                <w:szCs w:val="24"/>
                <w:highlight w:val="none"/>
              </w:rPr>
            </w:pPr>
          </w:p>
        </w:tc>
        <w:tc>
          <w:tcPr>
            <w:tcW w:w="737" w:type="dxa"/>
            <w:tcBorders>
              <w:top w:val="single" w:color="auto" w:sz="4" w:space="0"/>
              <w:left w:val="single" w:color="auto" w:sz="4" w:space="0"/>
              <w:bottom w:val="nil"/>
              <w:right w:val="nil"/>
              <w:tl2br w:val="nil"/>
              <w:tr2bl w:val="nil"/>
            </w:tcBorders>
            <w:shd w:val="clear" w:color="auto" w:fill="FFFFFF"/>
            <w:noWrap w:val="0"/>
            <w:vAlign w:val="top"/>
          </w:tcPr>
          <w:p w14:paraId="6CC712E4">
            <w:pPr>
              <w:pStyle w:val="23"/>
              <w:spacing w:beforeLines="0" w:afterLines="0"/>
              <w:rPr>
                <w:rStyle w:val="19"/>
                <w:rFonts w:hint="default"/>
                <w:color w:val="auto"/>
                <w:sz w:val="24"/>
                <w:szCs w:val="24"/>
                <w:highlight w:val="none"/>
              </w:rPr>
            </w:pPr>
          </w:p>
        </w:tc>
        <w:tc>
          <w:tcPr>
            <w:tcW w:w="737" w:type="dxa"/>
            <w:tcBorders>
              <w:top w:val="single" w:color="auto" w:sz="4" w:space="0"/>
              <w:left w:val="single" w:color="auto" w:sz="4" w:space="0"/>
              <w:bottom w:val="nil"/>
              <w:right w:val="nil"/>
              <w:tl2br w:val="nil"/>
              <w:tr2bl w:val="nil"/>
            </w:tcBorders>
            <w:shd w:val="clear" w:color="auto" w:fill="FFFFFF"/>
            <w:noWrap w:val="0"/>
            <w:vAlign w:val="top"/>
          </w:tcPr>
          <w:p w14:paraId="631B6F18">
            <w:pPr>
              <w:pStyle w:val="23"/>
              <w:spacing w:beforeLines="0" w:afterLines="0"/>
              <w:rPr>
                <w:rStyle w:val="19"/>
                <w:rFonts w:hint="default"/>
                <w:color w:val="auto"/>
                <w:sz w:val="24"/>
                <w:szCs w:val="24"/>
                <w:highlight w:val="none"/>
              </w:rPr>
            </w:pPr>
          </w:p>
        </w:tc>
        <w:tc>
          <w:tcPr>
            <w:tcW w:w="947" w:type="dxa"/>
            <w:tcBorders>
              <w:top w:val="single" w:color="auto" w:sz="4" w:space="0"/>
              <w:left w:val="single" w:color="auto" w:sz="4" w:space="0"/>
              <w:bottom w:val="nil"/>
              <w:right w:val="nil"/>
              <w:tl2br w:val="nil"/>
              <w:tr2bl w:val="nil"/>
            </w:tcBorders>
            <w:shd w:val="clear" w:color="auto" w:fill="FFFFFF"/>
            <w:noWrap w:val="0"/>
            <w:vAlign w:val="top"/>
          </w:tcPr>
          <w:p w14:paraId="23B75095">
            <w:pPr>
              <w:pStyle w:val="23"/>
              <w:spacing w:beforeLines="0" w:afterLines="0"/>
              <w:rPr>
                <w:rStyle w:val="19"/>
                <w:rFonts w:hint="default"/>
                <w:color w:val="auto"/>
                <w:sz w:val="24"/>
                <w:szCs w:val="24"/>
                <w:highlight w:val="none"/>
              </w:rPr>
            </w:pPr>
          </w:p>
        </w:tc>
        <w:tc>
          <w:tcPr>
            <w:tcW w:w="1328" w:type="dxa"/>
            <w:tcBorders>
              <w:top w:val="single" w:color="auto" w:sz="4" w:space="0"/>
              <w:left w:val="single" w:color="auto" w:sz="4" w:space="0"/>
              <w:bottom w:val="nil"/>
              <w:right w:val="single" w:color="auto" w:sz="4" w:space="0"/>
              <w:tl2br w:val="nil"/>
              <w:tr2bl w:val="nil"/>
            </w:tcBorders>
            <w:shd w:val="clear" w:color="auto" w:fill="FFFFFF"/>
            <w:noWrap w:val="0"/>
            <w:vAlign w:val="top"/>
          </w:tcPr>
          <w:p w14:paraId="17D0E125">
            <w:pPr>
              <w:pStyle w:val="23"/>
              <w:spacing w:beforeLines="0" w:afterLines="0"/>
              <w:rPr>
                <w:rStyle w:val="19"/>
                <w:rFonts w:hint="default"/>
                <w:color w:val="auto"/>
                <w:sz w:val="24"/>
                <w:szCs w:val="24"/>
                <w:highlight w:val="none"/>
              </w:rPr>
            </w:pPr>
          </w:p>
        </w:tc>
      </w:tr>
      <w:tr w14:paraId="5D32C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576" w:hRule="exact"/>
          <w:jc w:val="center"/>
        </w:trPr>
        <w:tc>
          <w:tcPr>
            <w:tcW w:w="6121" w:type="dxa"/>
            <w:gridSpan w:val="7"/>
            <w:tcBorders>
              <w:top w:val="single" w:color="auto" w:sz="4" w:space="0"/>
              <w:left w:val="single" w:color="auto" w:sz="4" w:space="0"/>
              <w:bottom w:val="single" w:color="auto" w:sz="4" w:space="0"/>
              <w:right w:val="nil"/>
              <w:tl2br w:val="nil"/>
              <w:tr2bl w:val="nil"/>
            </w:tcBorders>
            <w:shd w:val="clear" w:color="auto" w:fill="FFFFFF"/>
            <w:noWrap w:val="0"/>
            <w:vAlign w:val="center"/>
          </w:tcPr>
          <w:p w14:paraId="4C99B3F1">
            <w:pPr>
              <w:pStyle w:val="25"/>
              <w:spacing w:beforeLines="0" w:afterLines="0" w:line="240" w:lineRule="auto"/>
              <w:ind w:firstLine="0"/>
              <w:jc w:val="center"/>
              <w:rPr>
                <w:rStyle w:val="19"/>
                <w:rFonts w:hint="default"/>
                <w:color w:val="auto"/>
                <w:sz w:val="24"/>
                <w:szCs w:val="20"/>
                <w:highlight w:val="none"/>
              </w:rPr>
            </w:pPr>
            <w:r>
              <w:rPr>
                <w:rStyle w:val="19"/>
                <w:rFonts w:hint="default"/>
                <w:color w:val="auto"/>
                <w:sz w:val="24"/>
                <w:szCs w:val="20"/>
                <w:highlight w:val="none"/>
              </w:rPr>
              <w:t>总 计</w:t>
            </w:r>
          </w:p>
        </w:tc>
        <w:tc>
          <w:tcPr>
            <w:tcW w:w="947" w:type="dxa"/>
            <w:tcBorders>
              <w:top w:val="single" w:color="auto" w:sz="4" w:space="0"/>
              <w:left w:val="single" w:color="auto" w:sz="4" w:space="0"/>
              <w:bottom w:val="single" w:color="auto" w:sz="4" w:space="0"/>
              <w:right w:val="nil"/>
              <w:tl2br w:val="nil"/>
              <w:tr2bl w:val="nil"/>
            </w:tcBorders>
            <w:shd w:val="clear" w:color="auto" w:fill="FFFFFF"/>
            <w:noWrap w:val="0"/>
            <w:vAlign w:val="top"/>
          </w:tcPr>
          <w:p w14:paraId="50CB3448">
            <w:pPr>
              <w:pStyle w:val="23"/>
              <w:spacing w:beforeLines="0" w:afterLines="0"/>
              <w:rPr>
                <w:rStyle w:val="19"/>
                <w:rFonts w:hint="default"/>
                <w:color w:val="auto"/>
                <w:sz w:val="24"/>
                <w:szCs w:val="24"/>
                <w:highlight w:val="none"/>
              </w:rPr>
            </w:pPr>
          </w:p>
        </w:tc>
        <w:tc>
          <w:tcPr>
            <w:tcW w:w="1328" w:type="dxa"/>
            <w:tcBorders>
              <w:top w:val="single" w:color="auto" w:sz="4" w:space="0"/>
              <w:left w:val="single" w:color="auto" w:sz="4" w:space="0"/>
              <w:bottom w:val="single" w:color="auto" w:sz="4" w:space="0"/>
              <w:right w:val="single" w:color="auto" w:sz="4" w:space="0"/>
              <w:tl2br w:val="nil"/>
              <w:tr2bl w:val="nil"/>
            </w:tcBorders>
            <w:shd w:val="clear" w:color="auto" w:fill="FFFFFF"/>
            <w:noWrap w:val="0"/>
            <w:vAlign w:val="top"/>
          </w:tcPr>
          <w:p w14:paraId="4EBDD742">
            <w:pPr>
              <w:pStyle w:val="23"/>
              <w:spacing w:beforeLines="0" w:afterLines="0"/>
              <w:rPr>
                <w:rStyle w:val="19"/>
                <w:rFonts w:hint="default"/>
                <w:color w:val="auto"/>
                <w:sz w:val="24"/>
                <w:szCs w:val="24"/>
                <w:highlight w:val="none"/>
              </w:rPr>
            </w:pPr>
          </w:p>
        </w:tc>
      </w:tr>
    </w:tbl>
    <w:p w14:paraId="68CDBB26">
      <w:pPr>
        <w:pStyle w:val="23"/>
        <w:spacing w:beforeLines="0" w:after="299" w:afterLines="0" w:line="1" w:lineRule="exact"/>
        <w:rPr>
          <w:rStyle w:val="19"/>
          <w:rFonts w:hint="default"/>
          <w:color w:val="auto"/>
          <w:sz w:val="24"/>
          <w:szCs w:val="24"/>
          <w:highlight w:val="none"/>
        </w:rPr>
      </w:pPr>
    </w:p>
    <w:p w14:paraId="6648B402">
      <w:pPr>
        <w:pStyle w:val="24"/>
        <w:tabs>
          <w:tab w:val="left" w:pos="847"/>
          <w:tab w:val="left" w:leader="underscore" w:pos="850"/>
          <w:tab w:val="left" w:leader="underscore" w:pos="1906"/>
          <w:tab w:val="left" w:pos="1908"/>
          <w:tab w:val="left" w:pos="2964"/>
        </w:tabs>
        <w:spacing w:beforeLines="0" w:after="420" w:afterLines="0" w:line="350" w:lineRule="exact"/>
        <w:ind w:firstLine="0"/>
        <w:rPr>
          <w:rStyle w:val="19"/>
          <w:rFonts w:hint="default"/>
          <w:b/>
          <w:color w:val="auto"/>
          <w:sz w:val="28"/>
          <w:szCs w:val="20"/>
          <w:highlight w:val="none"/>
          <w:lang w:val="en-US" w:bidi="en-US"/>
        </w:rPr>
      </w:pPr>
      <w:bookmarkStart w:id="110" w:name="bookmark2245"/>
      <w:bookmarkStart w:id="111" w:name="bookmark2244"/>
      <w:bookmarkStart w:id="112" w:name="bookmark2243"/>
    </w:p>
    <w:p w14:paraId="0AA52437">
      <w:pPr>
        <w:pStyle w:val="24"/>
        <w:tabs>
          <w:tab w:val="left" w:pos="847"/>
          <w:tab w:val="left" w:leader="underscore" w:pos="850"/>
          <w:tab w:val="left" w:leader="underscore" w:pos="1906"/>
          <w:tab w:val="left" w:pos="1908"/>
          <w:tab w:val="left" w:pos="2964"/>
        </w:tabs>
        <w:spacing w:beforeLines="0" w:after="420" w:afterLines="0" w:line="350" w:lineRule="exact"/>
        <w:ind w:firstLine="0"/>
        <w:rPr>
          <w:rStyle w:val="19"/>
          <w:rFonts w:hint="default"/>
          <w:b/>
          <w:color w:val="auto"/>
          <w:sz w:val="28"/>
          <w:szCs w:val="20"/>
          <w:highlight w:val="none"/>
          <w:lang w:val="en-US" w:bidi="en-US"/>
        </w:rPr>
      </w:pPr>
    </w:p>
    <w:p w14:paraId="0D910718">
      <w:pPr>
        <w:pStyle w:val="24"/>
        <w:tabs>
          <w:tab w:val="left" w:pos="847"/>
          <w:tab w:val="left" w:leader="underscore" w:pos="850"/>
          <w:tab w:val="left" w:leader="underscore" w:pos="1906"/>
          <w:tab w:val="left" w:pos="1908"/>
          <w:tab w:val="left" w:pos="2964"/>
        </w:tabs>
        <w:spacing w:beforeLines="0" w:after="420" w:afterLines="0" w:line="350" w:lineRule="exact"/>
        <w:ind w:firstLine="0"/>
        <w:rPr>
          <w:rStyle w:val="19"/>
          <w:rFonts w:hint="default"/>
          <w:b/>
          <w:color w:val="auto"/>
          <w:sz w:val="28"/>
          <w:szCs w:val="20"/>
          <w:highlight w:val="none"/>
        </w:rPr>
      </w:pPr>
      <w:r>
        <w:rPr>
          <w:rStyle w:val="19"/>
          <w:rFonts w:hint="default"/>
          <w:b/>
          <w:color w:val="auto"/>
          <w:sz w:val="28"/>
          <w:szCs w:val="20"/>
          <w:highlight w:val="none"/>
          <w:lang w:val="en-US" w:bidi="en-US"/>
        </w:rPr>
        <w:t>附件四：拟投入本合同工程的材料进场计划表</w:t>
      </w:r>
      <w:bookmarkEnd w:id="110"/>
      <w:bookmarkEnd w:id="111"/>
      <w:bookmarkEnd w:id="112"/>
    </w:p>
    <w:p w14:paraId="761AB151">
      <w:pPr>
        <w:pStyle w:val="23"/>
        <w:spacing w:beforeLines="0" w:afterLines="0"/>
        <w:jc w:val="center"/>
        <w:rPr>
          <w:rStyle w:val="19"/>
          <w:rFonts w:hint="default" w:ascii="宋体" w:hAnsi="宋体" w:eastAsia="宋体" w:cs="宋体"/>
          <w:b/>
          <w:color w:val="auto"/>
          <w:sz w:val="24"/>
          <w:szCs w:val="24"/>
          <w:highlight w:val="none"/>
          <w:lang w:eastAsia="zh-CN"/>
        </w:rPr>
      </w:pPr>
      <w:bookmarkStart w:id="113" w:name="bookmark2248"/>
      <w:bookmarkStart w:id="114" w:name="bookmark2246"/>
      <w:bookmarkStart w:id="115" w:name="_Toc16851"/>
      <w:bookmarkStart w:id="116" w:name="bookmark2247"/>
      <w:bookmarkStart w:id="117" w:name="_Toc16708"/>
      <w:r>
        <w:rPr>
          <w:rStyle w:val="19"/>
          <w:rFonts w:hint="default" w:ascii="宋体" w:hAnsi="宋体" w:eastAsia="宋体" w:cs="宋体"/>
          <w:b/>
          <w:color w:val="auto"/>
          <w:sz w:val="24"/>
          <w:szCs w:val="24"/>
          <w:highlight w:val="none"/>
          <w:lang w:eastAsia="zh-CN"/>
        </w:rPr>
        <w:t>拟投入本合同工程的材料进场计划表</w:t>
      </w:r>
      <w:bookmarkEnd w:id="113"/>
      <w:bookmarkEnd w:id="114"/>
      <w:bookmarkEnd w:id="115"/>
      <w:bookmarkEnd w:id="116"/>
      <w:bookmarkEnd w:id="117"/>
    </w:p>
    <w:tbl>
      <w:tblPr>
        <w:tblStyle w:val="1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 w:type="dxa"/>
          <w:bottom w:w="0" w:type="dxa"/>
          <w:right w:w="10" w:type="dxa"/>
        </w:tblCellMar>
      </w:tblPr>
      <w:tblGrid>
        <w:gridCol w:w="1090"/>
        <w:gridCol w:w="902"/>
        <w:gridCol w:w="907"/>
        <w:gridCol w:w="907"/>
        <w:gridCol w:w="907"/>
        <w:gridCol w:w="912"/>
        <w:gridCol w:w="902"/>
        <w:gridCol w:w="907"/>
        <w:gridCol w:w="917"/>
      </w:tblGrid>
      <w:tr w14:paraId="77BB10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576" w:hRule="exact"/>
          <w:jc w:val="center"/>
        </w:trPr>
        <w:tc>
          <w:tcPr>
            <w:tcW w:w="1090" w:type="dxa"/>
            <w:vMerge w:val="restart"/>
            <w:tcBorders>
              <w:top w:val="single" w:color="auto" w:sz="4" w:space="0"/>
              <w:left w:val="single" w:color="auto" w:sz="4" w:space="0"/>
              <w:bottom w:val="nil"/>
              <w:right w:val="nil"/>
              <w:tl2br w:val="nil"/>
              <w:tr2bl w:val="nil"/>
            </w:tcBorders>
            <w:shd w:val="clear" w:color="auto" w:fill="FFFFFF"/>
            <w:noWrap w:val="0"/>
            <w:vAlign w:val="center"/>
          </w:tcPr>
          <w:p w14:paraId="4242FFE9">
            <w:pPr>
              <w:pStyle w:val="25"/>
              <w:spacing w:beforeLines="0" w:afterLines="0" w:line="240" w:lineRule="auto"/>
              <w:ind w:firstLine="0"/>
              <w:jc w:val="center"/>
              <w:rPr>
                <w:rStyle w:val="19"/>
                <w:rFonts w:hint="default"/>
                <w:color w:val="auto"/>
                <w:sz w:val="24"/>
                <w:szCs w:val="24"/>
                <w:highlight w:val="none"/>
              </w:rPr>
            </w:pPr>
            <w:r>
              <w:rPr>
                <w:rStyle w:val="19"/>
                <w:rFonts w:hint="default"/>
                <w:color w:val="auto"/>
                <w:sz w:val="24"/>
                <w:szCs w:val="24"/>
                <w:highlight w:val="none"/>
              </w:rPr>
              <w:t>名称</w:t>
            </w:r>
          </w:p>
        </w:tc>
        <w:tc>
          <w:tcPr>
            <w:tcW w:w="902" w:type="dxa"/>
            <w:vMerge w:val="restart"/>
            <w:tcBorders>
              <w:top w:val="single" w:color="auto" w:sz="4" w:space="0"/>
              <w:left w:val="single" w:color="auto" w:sz="4" w:space="0"/>
              <w:bottom w:val="nil"/>
              <w:right w:val="nil"/>
              <w:tl2br w:val="nil"/>
              <w:tr2bl w:val="nil"/>
            </w:tcBorders>
            <w:shd w:val="clear" w:color="auto" w:fill="FFFFFF"/>
            <w:noWrap w:val="0"/>
            <w:vAlign w:val="center"/>
          </w:tcPr>
          <w:p w14:paraId="0BDCB948">
            <w:pPr>
              <w:pStyle w:val="25"/>
              <w:spacing w:beforeLines="0" w:afterLines="0" w:line="240" w:lineRule="auto"/>
              <w:ind w:firstLine="0"/>
              <w:jc w:val="center"/>
              <w:rPr>
                <w:rStyle w:val="19"/>
                <w:rFonts w:hint="default"/>
                <w:color w:val="auto"/>
                <w:sz w:val="24"/>
                <w:szCs w:val="24"/>
                <w:highlight w:val="none"/>
              </w:rPr>
            </w:pPr>
            <w:r>
              <w:rPr>
                <w:rStyle w:val="19"/>
                <w:rFonts w:hint="default"/>
                <w:color w:val="auto"/>
                <w:sz w:val="24"/>
                <w:szCs w:val="24"/>
                <w:highlight w:val="none"/>
              </w:rPr>
              <w:t>规格</w:t>
            </w:r>
          </w:p>
        </w:tc>
        <w:tc>
          <w:tcPr>
            <w:tcW w:w="907" w:type="dxa"/>
            <w:vMerge w:val="restart"/>
            <w:tcBorders>
              <w:top w:val="single" w:color="auto" w:sz="4" w:space="0"/>
              <w:left w:val="single" w:color="auto" w:sz="4" w:space="0"/>
              <w:bottom w:val="nil"/>
              <w:right w:val="nil"/>
              <w:tl2br w:val="nil"/>
              <w:tr2bl w:val="nil"/>
            </w:tcBorders>
            <w:shd w:val="clear" w:color="auto" w:fill="FFFFFF"/>
            <w:noWrap w:val="0"/>
            <w:vAlign w:val="center"/>
          </w:tcPr>
          <w:p w14:paraId="1B8574CD">
            <w:pPr>
              <w:pStyle w:val="25"/>
              <w:spacing w:beforeLines="0" w:afterLines="0" w:line="269" w:lineRule="exact"/>
              <w:ind w:firstLine="0"/>
              <w:jc w:val="center"/>
              <w:rPr>
                <w:rStyle w:val="19"/>
                <w:rFonts w:hint="default"/>
                <w:color w:val="auto"/>
                <w:sz w:val="24"/>
                <w:szCs w:val="24"/>
                <w:highlight w:val="none"/>
              </w:rPr>
            </w:pPr>
            <w:r>
              <w:rPr>
                <w:rStyle w:val="19"/>
                <w:rFonts w:hint="default"/>
                <w:color w:val="auto"/>
                <w:sz w:val="24"/>
                <w:szCs w:val="24"/>
                <w:highlight w:val="none"/>
              </w:rPr>
              <w:t>计量</w:t>
            </w:r>
          </w:p>
          <w:p w14:paraId="7DEE8F82">
            <w:pPr>
              <w:pStyle w:val="25"/>
              <w:spacing w:beforeLines="0" w:afterLines="0" w:line="269" w:lineRule="exact"/>
              <w:ind w:firstLine="0"/>
              <w:jc w:val="center"/>
              <w:rPr>
                <w:rStyle w:val="19"/>
                <w:rFonts w:hint="default"/>
                <w:color w:val="auto"/>
                <w:sz w:val="24"/>
                <w:szCs w:val="24"/>
                <w:highlight w:val="none"/>
              </w:rPr>
            </w:pPr>
            <w:r>
              <w:rPr>
                <w:rStyle w:val="19"/>
                <w:rFonts w:hint="default"/>
                <w:color w:val="auto"/>
                <w:sz w:val="24"/>
                <w:szCs w:val="24"/>
                <w:highlight w:val="none"/>
              </w:rPr>
              <w:t>单位</w:t>
            </w:r>
          </w:p>
        </w:tc>
        <w:tc>
          <w:tcPr>
            <w:tcW w:w="4535" w:type="dxa"/>
            <w:gridSpan w:val="5"/>
            <w:tcBorders>
              <w:top w:val="single" w:color="auto" w:sz="4" w:space="0"/>
              <w:left w:val="single" w:color="auto" w:sz="4" w:space="0"/>
              <w:bottom w:val="nil"/>
              <w:right w:val="nil"/>
              <w:tl2br w:val="nil"/>
              <w:tr2bl w:val="nil"/>
            </w:tcBorders>
            <w:shd w:val="clear" w:color="auto" w:fill="FFFFFF"/>
            <w:noWrap w:val="0"/>
            <w:vAlign w:val="center"/>
          </w:tcPr>
          <w:p w14:paraId="5CA2505E">
            <w:pPr>
              <w:pStyle w:val="25"/>
              <w:spacing w:beforeLines="0" w:afterLines="0" w:line="240" w:lineRule="auto"/>
              <w:ind w:firstLine="0"/>
              <w:jc w:val="center"/>
              <w:rPr>
                <w:rStyle w:val="19"/>
                <w:rFonts w:hint="default"/>
                <w:color w:val="auto"/>
                <w:sz w:val="24"/>
                <w:szCs w:val="24"/>
                <w:highlight w:val="none"/>
              </w:rPr>
            </w:pPr>
            <w:r>
              <w:rPr>
                <w:rStyle w:val="19"/>
                <w:rFonts w:hint="default"/>
                <w:color w:val="auto"/>
                <w:sz w:val="24"/>
                <w:szCs w:val="24"/>
                <w:highlight w:val="none"/>
              </w:rPr>
              <w:t>数 量</w:t>
            </w:r>
          </w:p>
        </w:tc>
        <w:tc>
          <w:tcPr>
            <w:tcW w:w="917" w:type="dxa"/>
            <w:vMerge w:val="restart"/>
            <w:tcBorders>
              <w:top w:val="single" w:color="auto" w:sz="4" w:space="0"/>
              <w:left w:val="single" w:color="auto" w:sz="4" w:space="0"/>
              <w:bottom w:val="nil"/>
              <w:right w:val="single" w:color="auto" w:sz="4" w:space="0"/>
              <w:tl2br w:val="nil"/>
              <w:tr2bl w:val="nil"/>
            </w:tcBorders>
            <w:shd w:val="clear" w:color="auto" w:fill="FFFFFF"/>
            <w:noWrap w:val="0"/>
            <w:vAlign w:val="center"/>
          </w:tcPr>
          <w:p w14:paraId="094CAE21">
            <w:pPr>
              <w:pStyle w:val="25"/>
              <w:spacing w:beforeLines="0" w:afterLines="0" w:line="240" w:lineRule="auto"/>
              <w:ind w:firstLine="0"/>
              <w:jc w:val="center"/>
              <w:rPr>
                <w:rStyle w:val="19"/>
                <w:rFonts w:hint="default"/>
                <w:color w:val="auto"/>
                <w:sz w:val="24"/>
                <w:szCs w:val="24"/>
                <w:highlight w:val="none"/>
              </w:rPr>
            </w:pPr>
            <w:r>
              <w:rPr>
                <w:rStyle w:val="19"/>
                <w:rFonts w:hint="default"/>
                <w:color w:val="auto"/>
                <w:sz w:val="24"/>
                <w:szCs w:val="24"/>
                <w:highlight w:val="none"/>
              </w:rPr>
              <w:t>备注</w:t>
            </w:r>
          </w:p>
        </w:tc>
      </w:tr>
      <w:tr w14:paraId="1268C1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566" w:hRule="exact"/>
          <w:jc w:val="center"/>
        </w:trPr>
        <w:tc>
          <w:tcPr>
            <w:tcW w:w="1090" w:type="dxa"/>
            <w:vMerge w:val="continue"/>
            <w:tcBorders>
              <w:top w:val="nil"/>
              <w:left w:val="single" w:color="auto" w:sz="4" w:space="0"/>
              <w:bottom w:val="nil"/>
              <w:right w:val="nil"/>
              <w:tl2br w:val="nil"/>
              <w:tr2bl w:val="nil"/>
            </w:tcBorders>
            <w:shd w:val="clear" w:color="auto" w:fill="FFFFFF"/>
            <w:noWrap w:val="0"/>
            <w:vAlign w:val="center"/>
          </w:tcPr>
          <w:p w14:paraId="4C07DD22">
            <w:pPr>
              <w:pStyle w:val="23"/>
              <w:spacing w:beforeLines="0" w:afterLines="0"/>
              <w:jc w:val="center"/>
              <w:rPr>
                <w:rStyle w:val="19"/>
                <w:rFonts w:hint="default"/>
                <w:color w:val="auto"/>
                <w:sz w:val="24"/>
                <w:szCs w:val="24"/>
                <w:highlight w:val="none"/>
              </w:rPr>
            </w:pPr>
          </w:p>
        </w:tc>
        <w:tc>
          <w:tcPr>
            <w:tcW w:w="902" w:type="dxa"/>
            <w:vMerge w:val="continue"/>
            <w:tcBorders>
              <w:top w:val="nil"/>
              <w:left w:val="single" w:color="auto" w:sz="4" w:space="0"/>
              <w:bottom w:val="nil"/>
              <w:right w:val="nil"/>
              <w:tl2br w:val="nil"/>
              <w:tr2bl w:val="nil"/>
            </w:tcBorders>
            <w:shd w:val="clear" w:color="auto" w:fill="FFFFFF"/>
            <w:noWrap w:val="0"/>
            <w:vAlign w:val="center"/>
          </w:tcPr>
          <w:p w14:paraId="5399F7FD">
            <w:pPr>
              <w:pStyle w:val="23"/>
              <w:spacing w:beforeLines="0" w:afterLines="0"/>
              <w:jc w:val="center"/>
              <w:rPr>
                <w:rStyle w:val="19"/>
                <w:rFonts w:hint="default"/>
                <w:color w:val="auto"/>
                <w:sz w:val="24"/>
                <w:szCs w:val="24"/>
                <w:highlight w:val="none"/>
              </w:rPr>
            </w:pPr>
          </w:p>
        </w:tc>
        <w:tc>
          <w:tcPr>
            <w:tcW w:w="907" w:type="dxa"/>
            <w:vMerge w:val="continue"/>
            <w:tcBorders>
              <w:top w:val="nil"/>
              <w:left w:val="single" w:color="auto" w:sz="4" w:space="0"/>
              <w:bottom w:val="nil"/>
              <w:right w:val="nil"/>
              <w:tl2br w:val="nil"/>
              <w:tr2bl w:val="nil"/>
            </w:tcBorders>
            <w:shd w:val="clear" w:color="auto" w:fill="FFFFFF"/>
            <w:noWrap w:val="0"/>
            <w:vAlign w:val="center"/>
          </w:tcPr>
          <w:p w14:paraId="1793C01D">
            <w:pPr>
              <w:pStyle w:val="23"/>
              <w:spacing w:beforeLines="0" w:afterLines="0"/>
              <w:jc w:val="center"/>
              <w:rPr>
                <w:rStyle w:val="19"/>
                <w:rFonts w:hint="default"/>
                <w:color w:val="auto"/>
                <w:sz w:val="24"/>
                <w:szCs w:val="24"/>
                <w:highlight w:val="none"/>
              </w:rPr>
            </w:pPr>
          </w:p>
        </w:tc>
        <w:tc>
          <w:tcPr>
            <w:tcW w:w="907" w:type="dxa"/>
            <w:tcBorders>
              <w:top w:val="single" w:color="auto" w:sz="4" w:space="0"/>
              <w:left w:val="single" w:color="auto" w:sz="4" w:space="0"/>
              <w:bottom w:val="nil"/>
              <w:right w:val="nil"/>
              <w:tl2br w:val="nil"/>
              <w:tr2bl w:val="nil"/>
            </w:tcBorders>
            <w:shd w:val="clear" w:color="auto" w:fill="FFFFFF"/>
            <w:noWrap w:val="0"/>
            <w:vAlign w:val="center"/>
          </w:tcPr>
          <w:p w14:paraId="71A6741C">
            <w:pPr>
              <w:pStyle w:val="25"/>
              <w:spacing w:beforeLines="0" w:afterLines="0" w:line="240" w:lineRule="auto"/>
              <w:ind w:firstLine="0"/>
              <w:jc w:val="center"/>
              <w:rPr>
                <w:rStyle w:val="19"/>
                <w:rFonts w:hint="default"/>
                <w:color w:val="auto"/>
                <w:sz w:val="24"/>
                <w:szCs w:val="24"/>
                <w:highlight w:val="none"/>
              </w:rPr>
            </w:pPr>
            <w:r>
              <w:rPr>
                <w:rStyle w:val="19"/>
                <w:rFonts w:hint="default"/>
                <w:color w:val="auto"/>
                <w:sz w:val="24"/>
                <w:szCs w:val="24"/>
                <w:highlight w:val="none"/>
              </w:rPr>
              <w:t>总量</w:t>
            </w:r>
          </w:p>
        </w:tc>
        <w:tc>
          <w:tcPr>
            <w:tcW w:w="907" w:type="dxa"/>
            <w:tcBorders>
              <w:top w:val="single" w:color="auto" w:sz="4" w:space="0"/>
              <w:left w:val="single" w:color="auto" w:sz="4" w:space="0"/>
              <w:bottom w:val="nil"/>
              <w:right w:val="nil"/>
              <w:tl2br w:val="nil"/>
              <w:tr2bl w:val="nil"/>
            </w:tcBorders>
            <w:shd w:val="clear" w:color="auto" w:fill="FFFFFF"/>
            <w:noWrap w:val="0"/>
            <w:vAlign w:val="center"/>
          </w:tcPr>
          <w:p w14:paraId="3B45EE12">
            <w:pPr>
              <w:pStyle w:val="25"/>
              <w:spacing w:beforeLines="0" w:afterLines="0" w:line="240" w:lineRule="auto"/>
              <w:ind w:firstLine="0"/>
              <w:jc w:val="center"/>
              <w:rPr>
                <w:rStyle w:val="19"/>
                <w:rFonts w:hint="default"/>
                <w:color w:val="auto"/>
                <w:sz w:val="24"/>
                <w:szCs w:val="24"/>
                <w:highlight w:val="none"/>
              </w:rPr>
            </w:pPr>
            <w:r>
              <w:rPr>
                <w:rStyle w:val="19"/>
                <w:rFonts w:hint="default"/>
                <w:color w:val="auto"/>
                <w:sz w:val="24"/>
                <w:szCs w:val="24"/>
                <w:highlight w:val="none"/>
              </w:rPr>
              <w:t>月</w:t>
            </w:r>
          </w:p>
        </w:tc>
        <w:tc>
          <w:tcPr>
            <w:tcW w:w="912" w:type="dxa"/>
            <w:tcBorders>
              <w:top w:val="single" w:color="auto" w:sz="4" w:space="0"/>
              <w:left w:val="single" w:color="auto" w:sz="4" w:space="0"/>
              <w:bottom w:val="nil"/>
              <w:right w:val="nil"/>
              <w:tl2br w:val="nil"/>
              <w:tr2bl w:val="nil"/>
            </w:tcBorders>
            <w:shd w:val="clear" w:color="auto" w:fill="FFFFFF"/>
            <w:noWrap w:val="0"/>
            <w:vAlign w:val="center"/>
          </w:tcPr>
          <w:p w14:paraId="335C906F">
            <w:pPr>
              <w:pStyle w:val="25"/>
              <w:spacing w:beforeLines="0" w:afterLines="0" w:line="240" w:lineRule="auto"/>
              <w:ind w:firstLine="0"/>
              <w:jc w:val="center"/>
              <w:rPr>
                <w:rStyle w:val="19"/>
                <w:rFonts w:hint="default"/>
                <w:color w:val="auto"/>
                <w:sz w:val="24"/>
                <w:szCs w:val="24"/>
                <w:highlight w:val="none"/>
              </w:rPr>
            </w:pPr>
            <w:r>
              <w:rPr>
                <w:rStyle w:val="19"/>
                <w:rFonts w:hint="default"/>
                <w:color w:val="auto"/>
                <w:sz w:val="24"/>
                <w:szCs w:val="24"/>
                <w:highlight w:val="none"/>
              </w:rPr>
              <w:t>月</w:t>
            </w:r>
          </w:p>
        </w:tc>
        <w:tc>
          <w:tcPr>
            <w:tcW w:w="902" w:type="dxa"/>
            <w:tcBorders>
              <w:top w:val="single" w:color="auto" w:sz="4" w:space="0"/>
              <w:left w:val="single" w:color="auto" w:sz="4" w:space="0"/>
              <w:bottom w:val="nil"/>
              <w:right w:val="nil"/>
              <w:tl2br w:val="nil"/>
              <w:tr2bl w:val="nil"/>
            </w:tcBorders>
            <w:shd w:val="clear" w:color="auto" w:fill="FFFFFF"/>
            <w:noWrap w:val="0"/>
            <w:vAlign w:val="center"/>
          </w:tcPr>
          <w:p w14:paraId="1570BC30">
            <w:pPr>
              <w:pStyle w:val="25"/>
              <w:spacing w:beforeLines="0" w:afterLines="0" w:line="240" w:lineRule="auto"/>
              <w:ind w:firstLine="0"/>
              <w:jc w:val="center"/>
              <w:rPr>
                <w:rStyle w:val="19"/>
                <w:rFonts w:hint="default"/>
                <w:color w:val="auto"/>
                <w:sz w:val="24"/>
                <w:szCs w:val="24"/>
                <w:highlight w:val="none"/>
              </w:rPr>
            </w:pPr>
            <w:r>
              <w:rPr>
                <w:rStyle w:val="19"/>
                <w:rFonts w:hint="default"/>
                <w:color w:val="auto"/>
                <w:sz w:val="24"/>
                <w:szCs w:val="24"/>
                <w:highlight w:val="none"/>
              </w:rPr>
              <w:t>月</w:t>
            </w:r>
          </w:p>
        </w:tc>
        <w:tc>
          <w:tcPr>
            <w:tcW w:w="907" w:type="dxa"/>
            <w:tcBorders>
              <w:top w:val="single" w:color="auto" w:sz="4" w:space="0"/>
              <w:left w:val="single" w:color="auto" w:sz="4" w:space="0"/>
              <w:bottom w:val="nil"/>
              <w:right w:val="nil"/>
              <w:tl2br w:val="nil"/>
              <w:tr2bl w:val="nil"/>
            </w:tcBorders>
            <w:shd w:val="clear" w:color="auto" w:fill="FFFFFF"/>
            <w:noWrap w:val="0"/>
            <w:vAlign w:val="center"/>
          </w:tcPr>
          <w:p w14:paraId="49635198">
            <w:pPr>
              <w:pStyle w:val="25"/>
              <w:spacing w:beforeLines="0" w:afterLines="0" w:line="240" w:lineRule="auto"/>
              <w:ind w:right="380" w:firstLine="0"/>
              <w:jc w:val="center"/>
              <w:rPr>
                <w:rStyle w:val="19"/>
                <w:rFonts w:hint="default"/>
                <w:color w:val="auto"/>
                <w:sz w:val="24"/>
                <w:szCs w:val="24"/>
                <w:highlight w:val="none"/>
              </w:rPr>
            </w:pPr>
            <w:r>
              <w:rPr>
                <w:rStyle w:val="19"/>
                <w:rFonts w:hint="default"/>
                <w:color w:val="auto"/>
                <w:sz w:val="24"/>
                <w:szCs w:val="24"/>
                <w:highlight w:val="none"/>
              </w:rPr>
              <w:t>月</w:t>
            </w:r>
          </w:p>
        </w:tc>
        <w:tc>
          <w:tcPr>
            <w:tcW w:w="917" w:type="dxa"/>
            <w:vMerge w:val="continue"/>
            <w:tcBorders>
              <w:top w:val="nil"/>
              <w:left w:val="single" w:color="auto" w:sz="4" w:space="0"/>
              <w:bottom w:val="nil"/>
              <w:right w:val="single" w:color="auto" w:sz="4" w:space="0"/>
              <w:tl2br w:val="nil"/>
              <w:tr2bl w:val="nil"/>
            </w:tcBorders>
            <w:shd w:val="clear" w:color="auto" w:fill="FFFFFF"/>
            <w:noWrap w:val="0"/>
            <w:vAlign w:val="center"/>
          </w:tcPr>
          <w:p w14:paraId="5B995E72">
            <w:pPr>
              <w:pStyle w:val="23"/>
              <w:spacing w:beforeLines="0" w:afterLines="0"/>
              <w:jc w:val="center"/>
              <w:rPr>
                <w:rStyle w:val="19"/>
                <w:rFonts w:hint="default"/>
                <w:color w:val="auto"/>
                <w:sz w:val="24"/>
                <w:szCs w:val="24"/>
                <w:highlight w:val="none"/>
              </w:rPr>
            </w:pPr>
          </w:p>
        </w:tc>
      </w:tr>
      <w:tr w14:paraId="7B89EC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566" w:hRule="exact"/>
          <w:jc w:val="center"/>
        </w:trPr>
        <w:tc>
          <w:tcPr>
            <w:tcW w:w="1090" w:type="dxa"/>
            <w:tcBorders>
              <w:top w:val="single" w:color="auto" w:sz="4" w:space="0"/>
              <w:left w:val="single" w:color="auto" w:sz="4" w:space="0"/>
              <w:bottom w:val="nil"/>
              <w:right w:val="nil"/>
              <w:tl2br w:val="nil"/>
              <w:tr2bl w:val="nil"/>
            </w:tcBorders>
            <w:shd w:val="clear" w:color="auto" w:fill="FFFFFF"/>
            <w:noWrap w:val="0"/>
            <w:vAlign w:val="center"/>
          </w:tcPr>
          <w:p w14:paraId="53075208">
            <w:pPr>
              <w:pStyle w:val="23"/>
              <w:spacing w:beforeLines="0" w:afterLines="0"/>
              <w:jc w:val="center"/>
              <w:rPr>
                <w:rStyle w:val="19"/>
                <w:rFonts w:hint="default"/>
                <w:color w:val="auto"/>
                <w:sz w:val="24"/>
                <w:szCs w:val="24"/>
                <w:highlight w:val="none"/>
              </w:rPr>
            </w:pPr>
          </w:p>
        </w:tc>
        <w:tc>
          <w:tcPr>
            <w:tcW w:w="902" w:type="dxa"/>
            <w:tcBorders>
              <w:top w:val="single" w:color="auto" w:sz="4" w:space="0"/>
              <w:left w:val="single" w:color="auto" w:sz="4" w:space="0"/>
              <w:bottom w:val="nil"/>
              <w:right w:val="nil"/>
              <w:tl2br w:val="nil"/>
              <w:tr2bl w:val="nil"/>
            </w:tcBorders>
            <w:shd w:val="clear" w:color="auto" w:fill="FFFFFF"/>
            <w:noWrap w:val="0"/>
            <w:vAlign w:val="center"/>
          </w:tcPr>
          <w:p w14:paraId="2A2C0590">
            <w:pPr>
              <w:pStyle w:val="23"/>
              <w:spacing w:beforeLines="0" w:afterLines="0"/>
              <w:jc w:val="center"/>
              <w:rPr>
                <w:rStyle w:val="19"/>
                <w:rFonts w:hint="default"/>
                <w:color w:val="auto"/>
                <w:sz w:val="24"/>
                <w:szCs w:val="24"/>
                <w:highlight w:val="none"/>
              </w:rPr>
            </w:pPr>
          </w:p>
        </w:tc>
        <w:tc>
          <w:tcPr>
            <w:tcW w:w="907" w:type="dxa"/>
            <w:tcBorders>
              <w:top w:val="single" w:color="auto" w:sz="4" w:space="0"/>
              <w:left w:val="single" w:color="auto" w:sz="4" w:space="0"/>
              <w:bottom w:val="nil"/>
              <w:right w:val="nil"/>
              <w:tl2br w:val="nil"/>
              <w:tr2bl w:val="nil"/>
            </w:tcBorders>
            <w:shd w:val="clear" w:color="auto" w:fill="FFFFFF"/>
            <w:noWrap w:val="0"/>
            <w:vAlign w:val="center"/>
          </w:tcPr>
          <w:p w14:paraId="28EBE6F5">
            <w:pPr>
              <w:pStyle w:val="23"/>
              <w:spacing w:beforeLines="0" w:afterLines="0"/>
              <w:jc w:val="center"/>
              <w:rPr>
                <w:rStyle w:val="19"/>
                <w:rFonts w:hint="default"/>
                <w:color w:val="auto"/>
                <w:sz w:val="24"/>
                <w:szCs w:val="24"/>
                <w:highlight w:val="none"/>
              </w:rPr>
            </w:pPr>
          </w:p>
        </w:tc>
        <w:tc>
          <w:tcPr>
            <w:tcW w:w="907" w:type="dxa"/>
            <w:tcBorders>
              <w:top w:val="single" w:color="auto" w:sz="4" w:space="0"/>
              <w:left w:val="single" w:color="auto" w:sz="4" w:space="0"/>
              <w:bottom w:val="nil"/>
              <w:right w:val="nil"/>
              <w:tl2br w:val="nil"/>
              <w:tr2bl w:val="nil"/>
            </w:tcBorders>
            <w:shd w:val="clear" w:color="auto" w:fill="FFFFFF"/>
            <w:noWrap w:val="0"/>
            <w:vAlign w:val="center"/>
          </w:tcPr>
          <w:p w14:paraId="4596FA36">
            <w:pPr>
              <w:pStyle w:val="23"/>
              <w:spacing w:beforeLines="0" w:afterLines="0"/>
              <w:jc w:val="center"/>
              <w:rPr>
                <w:rStyle w:val="19"/>
                <w:rFonts w:hint="default"/>
                <w:color w:val="auto"/>
                <w:sz w:val="24"/>
                <w:szCs w:val="24"/>
                <w:highlight w:val="none"/>
              </w:rPr>
            </w:pPr>
          </w:p>
        </w:tc>
        <w:tc>
          <w:tcPr>
            <w:tcW w:w="907" w:type="dxa"/>
            <w:tcBorders>
              <w:top w:val="single" w:color="auto" w:sz="4" w:space="0"/>
              <w:left w:val="single" w:color="auto" w:sz="4" w:space="0"/>
              <w:bottom w:val="nil"/>
              <w:right w:val="nil"/>
              <w:tl2br w:val="nil"/>
              <w:tr2bl w:val="nil"/>
            </w:tcBorders>
            <w:shd w:val="clear" w:color="auto" w:fill="FFFFFF"/>
            <w:noWrap w:val="0"/>
            <w:vAlign w:val="center"/>
          </w:tcPr>
          <w:p w14:paraId="571F2745">
            <w:pPr>
              <w:pStyle w:val="23"/>
              <w:spacing w:beforeLines="0" w:afterLines="0"/>
              <w:jc w:val="center"/>
              <w:rPr>
                <w:rStyle w:val="19"/>
                <w:rFonts w:hint="default"/>
                <w:color w:val="auto"/>
                <w:sz w:val="24"/>
                <w:szCs w:val="24"/>
                <w:highlight w:val="none"/>
              </w:rPr>
            </w:pPr>
          </w:p>
        </w:tc>
        <w:tc>
          <w:tcPr>
            <w:tcW w:w="912" w:type="dxa"/>
            <w:tcBorders>
              <w:top w:val="single" w:color="auto" w:sz="4" w:space="0"/>
              <w:left w:val="single" w:color="auto" w:sz="4" w:space="0"/>
              <w:bottom w:val="nil"/>
              <w:right w:val="nil"/>
              <w:tl2br w:val="nil"/>
              <w:tr2bl w:val="nil"/>
            </w:tcBorders>
            <w:shd w:val="clear" w:color="auto" w:fill="FFFFFF"/>
            <w:noWrap w:val="0"/>
            <w:vAlign w:val="center"/>
          </w:tcPr>
          <w:p w14:paraId="237F0414">
            <w:pPr>
              <w:pStyle w:val="23"/>
              <w:spacing w:beforeLines="0" w:afterLines="0"/>
              <w:jc w:val="center"/>
              <w:rPr>
                <w:rStyle w:val="19"/>
                <w:rFonts w:hint="default"/>
                <w:color w:val="auto"/>
                <w:sz w:val="24"/>
                <w:szCs w:val="24"/>
                <w:highlight w:val="none"/>
              </w:rPr>
            </w:pPr>
          </w:p>
        </w:tc>
        <w:tc>
          <w:tcPr>
            <w:tcW w:w="902" w:type="dxa"/>
            <w:tcBorders>
              <w:top w:val="single" w:color="auto" w:sz="4" w:space="0"/>
              <w:left w:val="single" w:color="auto" w:sz="4" w:space="0"/>
              <w:bottom w:val="nil"/>
              <w:right w:val="nil"/>
              <w:tl2br w:val="nil"/>
              <w:tr2bl w:val="nil"/>
            </w:tcBorders>
            <w:shd w:val="clear" w:color="auto" w:fill="FFFFFF"/>
            <w:noWrap w:val="0"/>
            <w:vAlign w:val="center"/>
          </w:tcPr>
          <w:p w14:paraId="64B85984">
            <w:pPr>
              <w:pStyle w:val="23"/>
              <w:spacing w:beforeLines="0" w:afterLines="0"/>
              <w:jc w:val="center"/>
              <w:rPr>
                <w:rStyle w:val="19"/>
                <w:rFonts w:hint="default"/>
                <w:color w:val="auto"/>
                <w:sz w:val="24"/>
                <w:szCs w:val="24"/>
                <w:highlight w:val="none"/>
              </w:rPr>
            </w:pPr>
          </w:p>
        </w:tc>
        <w:tc>
          <w:tcPr>
            <w:tcW w:w="907" w:type="dxa"/>
            <w:tcBorders>
              <w:top w:val="single" w:color="auto" w:sz="4" w:space="0"/>
              <w:left w:val="single" w:color="auto" w:sz="4" w:space="0"/>
              <w:bottom w:val="nil"/>
              <w:right w:val="nil"/>
              <w:tl2br w:val="nil"/>
              <w:tr2bl w:val="nil"/>
            </w:tcBorders>
            <w:shd w:val="clear" w:color="auto" w:fill="FFFFFF"/>
            <w:noWrap w:val="0"/>
            <w:vAlign w:val="center"/>
          </w:tcPr>
          <w:p w14:paraId="40F2598E">
            <w:pPr>
              <w:pStyle w:val="23"/>
              <w:spacing w:beforeLines="0" w:afterLines="0"/>
              <w:jc w:val="center"/>
              <w:rPr>
                <w:rStyle w:val="19"/>
                <w:rFonts w:hint="default"/>
                <w:color w:val="auto"/>
                <w:sz w:val="24"/>
                <w:szCs w:val="24"/>
                <w:highlight w:val="none"/>
              </w:rPr>
            </w:pPr>
          </w:p>
        </w:tc>
        <w:tc>
          <w:tcPr>
            <w:tcW w:w="917" w:type="dxa"/>
            <w:tcBorders>
              <w:top w:val="single" w:color="auto" w:sz="4" w:space="0"/>
              <w:left w:val="single" w:color="auto" w:sz="4" w:space="0"/>
              <w:bottom w:val="nil"/>
              <w:right w:val="single" w:color="auto" w:sz="4" w:space="0"/>
              <w:tl2br w:val="nil"/>
              <w:tr2bl w:val="nil"/>
            </w:tcBorders>
            <w:shd w:val="clear" w:color="auto" w:fill="FFFFFF"/>
            <w:noWrap w:val="0"/>
            <w:vAlign w:val="center"/>
          </w:tcPr>
          <w:p w14:paraId="5344B76E">
            <w:pPr>
              <w:pStyle w:val="23"/>
              <w:spacing w:beforeLines="0" w:afterLines="0"/>
              <w:jc w:val="center"/>
              <w:rPr>
                <w:rStyle w:val="19"/>
                <w:rFonts w:hint="default"/>
                <w:color w:val="auto"/>
                <w:sz w:val="24"/>
                <w:szCs w:val="24"/>
                <w:highlight w:val="none"/>
              </w:rPr>
            </w:pPr>
          </w:p>
        </w:tc>
      </w:tr>
      <w:tr w14:paraId="4815C4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566" w:hRule="exact"/>
          <w:jc w:val="center"/>
        </w:trPr>
        <w:tc>
          <w:tcPr>
            <w:tcW w:w="1090" w:type="dxa"/>
            <w:tcBorders>
              <w:top w:val="single" w:color="auto" w:sz="4" w:space="0"/>
              <w:left w:val="single" w:color="auto" w:sz="4" w:space="0"/>
              <w:bottom w:val="nil"/>
              <w:right w:val="nil"/>
              <w:tl2br w:val="nil"/>
              <w:tr2bl w:val="nil"/>
            </w:tcBorders>
            <w:shd w:val="clear" w:color="auto" w:fill="FFFFFF"/>
            <w:noWrap w:val="0"/>
            <w:vAlign w:val="center"/>
          </w:tcPr>
          <w:p w14:paraId="6EB405E5">
            <w:pPr>
              <w:pStyle w:val="23"/>
              <w:spacing w:beforeLines="0" w:afterLines="0"/>
              <w:jc w:val="center"/>
              <w:rPr>
                <w:rStyle w:val="19"/>
                <w:rFonts w:hint="default"/>
                <w:color w:val="auto"/>
                <w:sz w:val="18"/>
                <w:szCs w:val="24"/>
                <w:highlight w:val="none"/>
              </w:rPr>
            </w:pPr>
          </w:p>
        </w:tc>
        <w:tc>
          <w:tcPr>
            <w:tcW w:w="902" w:type="dxa"/>
            <w:tcBorders>
              <w:top w:val="single" w:color="auto" w:sz="4" w:space="0"/>
              <w:left w:val="single" w:color="auto" w:sz="4" w:space="0"/>
              <w:bottom w:val="nil"/>
              <w:right w:val="nil"/>
              <w:tl2br w:val="nil"/>
              <w:tr2bl w:val="nil"/>
            </w:tcBorders>
            <w:shd w:val="clear" w:color="auto" w:fill="FFFFFF"/>
            <w:noWrap w:val="0"/>
            <w:vAlign w:val="center"/>
          </w:tcPr>
          <w:p w14:paraId="6625A19B">
            <w:pPr>
              <w:pStyle w:val="23"/>
              <w:spacing w:beforeLines="0" w:afterLines="0"/>
              <w:jc w:val="center"/>
              <w:rPr>
                <w:rStyle w:val="19"/>
                <w:rFonts w:hint="default"/>
                <w:color w:val="auto"/>
                <w:sz w:val="18"/>
                <w:szCs w:val="24"/>
                <w:highlight w:val="none"/>
              </w:rPr>
            </w:pPr>
          </w:p>
        </w:tc>
        <w:tc>
          <w:tcPr>
            <w:tcW w:w="907" w:type="dxa"/>
            <w:tcBorders>
              <w:top w:val="single" w:color="auto" w:sz="4" w:space="0"/>
              <w:left w:val="single" w:color="auto" w:sz="4" w:space="0"/>
              <w:bottom w:val="nil"/>
              <w:right w:val="nil"/>
              <w:tl2br w:val="nil"/>
              <w:tr2bl w:val="nil"/>
            </w:tcBorders>
            <w:shd w:val="clear" w:color="auto" w:fill="FFFFFF"/>
            <w:noWrap w:val="0"/>
            <w:vAlign w:val="center"/>
          </w:tcPr>
          <w:p w14:paraId="3FEFC986">
            <w:pPr>
              <w:pStyle w:val="23"/>
              <w:spacing w:beforeLines="0" w:afterLines="0"/>
              <w:jc w:val="center"/>
              <w:rPr>
                <w:rStyle w:val="19"/>
                <w:rFonts w:hint="default"/>
                <w:color w:val="auto"/>
                <w:sz w:val="18"/>
                <w:szCs w:val="24"/>
                <w:highlight w:val="none"/>
              </w:rPr>
            </w:pPr>
          </w:p>
        </w:tc>
        <w:tc>
          <w:tcPr>
            <w:tcW w:w="907" w:type="dxa"/>
            <w:tcBorders>
              <w:top w:val="single" w:color="auto" w:sz="4" w:space="0"/>
              <w:left w:val="single" w:color="auto" w:sz="4" w:space="0"/>
              <w:bottom w:val="nil"/>
              <w:right w:val="nil"/>
              <w:tl2br w:val="nil"/>
              <w:tr2bl w:val="nil"/>
            </w:tcBorders>
            <w:shd w:val="clear" w:color="auto" w:fill="FFFFFF"/>
            <w:noWrap w:val="0"/>
            <w:vAlign w:val="center"/>
          </w:tcPr>
          <w:p w14:paraId="4CC868D8">
            <w:pPr>
              <w:pStyle w:val="23"/>
              <w:spacing w:beforeLines="0" w:afterLines="0"/>
              <w:jc w:val="center"/>
              <w:rPr>
                <w:rStyle w:val="19"/>
                <w:rFonts w:hint="default"/>
                <w:color w:val="auto"/>
                <w:sz w:val="18"/>
                <w:szCs w:val="24"/>
                <w:highlight w:val="none"/>
              </w:rPr>
            </w:pPr>
          </w:p>
        </w:tc>
        <w:tc>
          <w:tcPr>
            <w:tcW w:w="907" w:type="dxa"/>
            <w:tcBorders>
              <w:top w:val="single" w:color="auto" w:sz="4" w:space="0"/>
              <w:left w:val="single" w:color="auto" w:sz="4" w:space="0"/>
              <w:bottom w:val="nil"/>
              <w:right w:val="nil"/>
              <w:tl2br w:val="nil"/>
              <w:tr2bl w:val="nil"/>
            </w:tcBorders>
            <w:shd w:val="clear" w:color="auto" w:fill="FFFFFF"/>
            <w:noWrap w:val="0"/>
            <w:vAlign w:val="center"/>
          </w:tcPr>
          <w:p w14:paraId="609E86EE">
            <w:pPr>
              <w:pStyle w:val="23"/>
              <w:spacing w:beforeLines="0" w:afterLines="0"/>
              <w:jc w:val="center"/>
              <w:rPr>
                <w:rStyle w:val="19"/>
                <w:rFonts w:hint="default"/>
                <w:color w:val="auto"/>
                <w:sz w:val="18"/>
                <w:szCs w:val="24"/>
                <w:highlight w:val="none"/>
              </w:rPr>
            </w:pPr>
          </w:p>
        </w:tc>
        <w:tc>
          <w:tcPr>
            <w:tcW w:w="912" w:type="dxa"/>
            <w:tcBorders>
              <w:top w:val="single" w:color="auto" w:sz="4" w:space="0"/>
              <w:left w:val="single" w:color="auto" w:sz="4" w:space="0"/>
              <w:bottom w:val="nil"/>
              <w:right w:val="nil"/>
              <w:tl2br w:val="nil"/>
              <w:tr2bl w:val="nil"/>
            </w:tcBorders>
            <w:shd w:val="clear" w:color="auto" w:fill="FFFFFF"/>
            <w:noWrap w:val="0"/>
            <w:vAlign w:val="center"/>
          </w:tcPr>
          <w:p w14:paraId="4CEE9CC9">
            <w:pPr>
              <w:pStyle w:val="23"/>
              <w:spacing w:beforeLines="0" w:afterLines="0"/>
              <w:jc w:val="center"/>
              <w:rPr>
                <w:rStyle w:val="19"/>
                <w:rFonts w:hint="default"/>
                <w:color w:val="auto"/>
                <w:sz w:val="18"/>
                <w:szCs w:val="24"/>
                <w:highlight w:val="none"/>
              </w:rPr>
            </w:pPr>
          </w:p>
        </w:tc>
        <w:tc>
          <w:tcPr>
            <w:tcW w:w="902" w:type="dxa"/>
            <w:tcBorders>
              <w:top w:val="single" w:color="auto" w:sz="4" w:space="0"/>
              <w:left w:val="single" w:color="auto" w:sz="4" w:space="0"/>
              <w:bottom w:val="nil"/>
              <w:right w:val="nil"/>
              <w:tl2br w:val="nil"/>
              <w:tr2bl w:val="nil"/>
            </w:tcBorders>
            <w:shd w:val="clear" w:color="auto" w:fill="FFFFFF"/>
            <w:noWrap w:val="0"/>
            <w:vAlign w:val="center"/>
          </w:tcPr>
          <w:p w14:paraId="12E1CDF0">
            <w:pPr>
              <w:pStyle w:val="23"/>
              <w:spacing w:beforeLines="0" w:afterLines="0"/>
              <w:jc w:val="center"/>
              <w:rPr>
                <w:rStyle w:val="19"/>
                <w:rFonts w:hint="default"/>
                <w:color w:val="auto"/>
                <w:sz w:val="18"/>
                <w:szCs w:val="24"/>
                <w:highlight w:val="none"/>
              </w:rPr>
            </w:pPr>
          </w:p>
        </w:tc>
        <w:tc>
          <w:tcPr>
            <w:tcW w:w="907" w:type="dxa"/>
            <w:tcBorders>
              <w:top w:val="single" w:color="auto" w:sz="4" w:space="0"/>
              <w:left w:val="single" w:color="auto" w:sz="4" w:space="0"/>
              <w:bottom w:val="nil"/>
              <w:right w:val="nil"/>
              <w:tl2br w:val="nil"/>
              <w:tr2bl w:val="nil"/>
            </w:tcBorders>
            <w:shd w:val="clear" w:color="auto" w:fill="FFFFFF"/>
            <w:noWrap w:val="0"/>
            <w:vAlign w:val="center"/>
          </w:tcPr>
          <w:p w14:paraId="32AAE5EA">
            <w:pPr>
              <w:pStyle w:val="23"/>
              <w:spacing w:beforeLines="0" w:afterLines="0"/>
              <w:jc w:val="center"/>
              <w:rPr>
                <w:rStyle w:val="19"/>
                <w:rFonts w:hint="default"/>
                <w:color w:val="auto"/>
                <w:sz w:val="18"/>
                <w:szCs w:val="24"/>
                <w:highlight w:val="none"/>
              </w:rPr>
            </w:pPr>
          </w:p>
        </w:tc>
        <w:tc>
          <w:tcPr>
            <w:tcW w:w="917" w:type="dxa"/>
            <w:tcBorders>
              <w:top w:val="single" w:color="auto" w:sz="4" w:space="0"/>
              <w:left w:val="single" w:color="auto" w:sz="4" w:space="0"/>
              <w:bottom w:val="nil"/>
              <w:right w:val="single" w:color="auto" w:sz="4" w:space="0"/>
              <w:tl2br w:val="nil"/>
              <w:tr2bl w:val="nil"/>
            </w:tcBorders>
            <w:shd w:val="clear" w:color="auto" w:fill="FFFFFF"/>
            <w:noWrap w:val="0"/>
            <w:vAlign w:val="center"/>
          </w:tcPr>
          <w:p w14:paraId="7931A130">
            <w:pPr>
              <w:pStyle w:val="23"/>
              <w:spacing w:beforeLines="0" w:afterLines="0"/>
              <w:jc w:val="center"/>
              <w:rPr>
                <w:rStyle w:val="19"/>
                <w:rFonts w:hint="default"/>
                <w:color w:val="auto"/>
                <w:sz w:val="18"/>
                <w:szCs w:val="24"/>
                <w:highlight w:val="none"/>
              </w:rPr>
            </w:pPr>
          </w:p>
        </w:tc>
      </w:tr>
      <w:tr w14:paraId="2EF8B9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566" w:hRule="exact"/>
          <w:jc w:val="center"/>
        </w:trPr>
        <w:tc>
          <w:tcPr>
            <w:tcW w:w="1090" w:type="dxa"/>
            <w:tcBorders>
              <w:top w:val="single" w:color="auto" w:sz="4" w:space="0"/>
              <w:left w:val="single" w:color="auto" w:sz="4" w:space="0"/>
              <w:bottom w:val="nil"/>
              <w:right w:val="nil"/>
              <w:tl2br w:val="nil"/>
              <w:tr2bl w:val="nil"/>
            </w:tcBorders>
            <w:shd w:val="clear" w:color="auto" w:fill="FFFFFF"/>
            <w:noWrap w:val="0"/>
            <w:vAlign w:val="center"/>
          </w:tcPr>
          <w:p w14:paraId="258D1A0F">
            <w:pPr>
              <w:pStyle w:val="23"/>
              <w:spacing w:beforeLines="0" w:afterLines="0"/>
              <w:jc w:val="center"/>
              <w:rPr>
                <w:rStyle w:val="19"/>
                <w:rFonts w:hint="default"/>
                <w:color w:val="auto"/>
                <w:sz w:val="18"/>
                <w:szCs w:val="24"/>
                <w:highlight w:val="none"/>
              </w:rPr>
            </w:pPr>
          </w:p>
        </w:tc>
        <w:tc>
          <w:tcPr>
            <w:tcW w:w="902" w:type="dxa"/>
            <w:tcBorders>
              <w:top w:val="single" w:color="auto" w:sz="4" w:space="0"/>
              <w:left w:val="single" w:color="auto" w:sz="4" w:space="0"/>
              <w:bottom w:val="nil"/>
              <w:right w:val="nil"/>
              <w:tl2br w:val="nil"/>
              <w:tr2bl w:val="nil"/>
            </w:tcBorders>
            <w:shd w:val="clear" w:color="auto" w:fill="FFFFFF"/>
            <w:noWrap w:val="0"/>
            <w:vAlign w:val="center"/>
          </w:tcPr>
          <w:p w14:paraId="37F225B0">
            <w:pPr>
              <w:pStyle w:val="23"/>
              <w:spacing w:beforeLines="0" w:afterLines="0"/>
              <w:jc w:val="center"/>
              <w:rPr>
                <w:rStyle w:val="19"/>
                <w:rFonts w:hint="default"/>
                <w:color w:val="auto"/>
                <w:sz w:val="18"/>
                <w:szCs w:val="24"/>
                <w:highlight w:val="none"/>
              </w:rPr>
            </w:pPr>
          </w:p>
        </w:tc>
        <w:tc>
          <w:tcPr>
            <w:tcW w:w="907" w:type="dxa"/>
            <w:tcBorders>
              <w:top w:val="single" w:color="auto" w:sz="4" w:space="0"/>
              <w:left w:val="single" w:color="auto" w:sz="4" w:space="0"/>
              <w:bottom w:val="nil"/>
              <w:right w:val="nil"/>
              <w:tl2br w:val="nil"/>
              <w:tr2bl w:val="nil"/>
            </w:tcBorders>
            <w:shd w:val="clear" w:color="auto" w:fill="FFFFFF"/>
            <w:noWrap w:val="0"/>
            <w:vAlign w:val="center"/>
          </w:tcPr>
          <w:p w14:paraId="7C0F2EEE">
            <w:pPr>
              <w:pStyle w:val="23"/>
              <w:spacing w:beforeLines="0" w:afterLines="0"/>
              <w:jc w:val="center"/>
              <w:rPr>
                <w:rStyle w:val="19"/>
                <w:rFonts w:hint="default"/>
                <w:color w:val="auto"/>
                <w:sz w:val="18"/>
                <w:szCs w:val="24"/>
                <w:highlight w:val="none"/>
              </w:rPr>
            </w:pPr>
          </w:p>
        </w:tc>
        <w:tc>
          <w:tcPr>
            <w:tcW w:w="907" w:type="dxa"/>
            <w:tcBorders>
              <w:top w:val="single" w:color="auto" w:sz="4" w:space="0"/>
              <w:left w:val="single" w:color="auto" w:sz="4" w:space="0"/>
              <w:bottom w:val="nil"/>
              <w:right w:val="nil"/>
              <w:tl2br w:val="nil"/>
              <w:tr2bl w:val="nil"/>
            </w:tcBorders>
            <w:shd w:val="clear" w:color="auto" w:fill="FFFFFF"/>
            <w:noWrap w:val="0"/>
            <w:vAlign w:val="center"/>
          </w:tcPr>
          <w:p w14:paraId="2C49F417">
            <w:pPr>
              <w:pStyle w:val="23"/>
              <w:spacing w:beforeLines="0" w:afterLines="0"/>
              <w:jc w:val="center"/>
              <w:rPr>
                <w:rStyle w:val="19"/>
                <w:rFonts w:hint="default"/>
                <w:color w:val="auto"/>
                <w:sz w:val="18"/>
                <w:szCs w:val="24"/>
                <w:highlight w:val="none"/>
              </w:rPr>
            </w:pPr>
          </w:p>
        </w:tc>
        <w:tc>
          <w:tcPr>
            <w:tcW w:w="907" w:type="dxa"/>
            <w:tcBorders>
              <w:top w:val="single" w:color="auto" w:sz="4" w:space="0"/>
              <w:left w:val="single" w:color="auto" w:sz="4" w:space="0"/>
              <w:bottom w:val="nil"/>
              <w:right w:val="nil"/>
              <w:tl2br w:val="nil"/>
              <w:tr2bl w:val="nil"/>
            </w:tcBorders>
            <w:shd w:val="clear" w:color="auto" w:fill="FFFFFF"/>
            <w:noWrap w:val="0"/>
            <w:vAlign w:val="center"/>
          </w:tcPr>
          <w:p w14:paraId="59A1A6A0">
            <w:pPr>
              <w:pStyle w:val="23"/>
              <w:spacing w:beforeLines="0" w:afterLines="0"/>
              <w:jc w:val="center"/>
              <w:rPr>
                <w:rStyle w:val="19"/>
                <w:rFonts w:hint="default"/>
                <w:color w:val="auto"/>
                <w:sz w:val="18"/>
                <w:szCs w:val="24"/>
                <w:highlight w:val="none"/>
              </w:rPr>
            </w:pPr>
          </w:p>
        </w:tc>
        <w:tc>
          <w:tcPr>
            <w:tcW w:w="912" w:type="dxa"/>
            <w:tcBorders>
              <w:top w:val="single" w:color="auto" w:sz="4" w:space="0"/>
              <w:left w:val="single" w:color="auto" w:sz="4" w:space="0"/>
              <w:bottom w:val="nil"/>
              <w:right w:val="nil"/>
              <w:tl2br w:val="nil"/>
              <w:tr2bl w:val="nil"/>
            </w:tcBorders>
            <w:shd w:val="clear" w:color="auto" w:fill="FFFFFF"/>
            <w:noWrap w:val="0"/>
            <w:vAlign w:val="center"/>
          </w:tcPr>
          <w:p w14:paraId="76F32A2C">
            <w:pPr>
              <w:pStyle w:val="23"/>
              <w:spacing w:beforeLines="0" w:afterLines="0"/>
              <w:jc w:val="center"/>
              <w:rPr>
                <w:rStyle w:val="19"/>
                <w:rFonts w:hint="default"/>
                <w:color w:val="auto"/>
                <w:sz w:val="18"/>
                <w:szCs w:val="24"/>
                <w:highlight w:val="none"/>
              </w:rPr>
            </w:pPr>
          </w:p>
        </w:tc>
        <w:tc>
          <w:tcPr>
            <w:tcW w:w="902" w:type="dxa"/>
            <w:tcBorders>
              <w:top w:val="single" w:color="auto" w:sz="4" w:space="0"/>
              <w:left w:val="single" w:color="auto" w:sz="4" w:space="0"/>
              <w:bottom w:val="nil"/>
              <w:right w:val="nil"/>
              <w:tl2br w:val="nil"/>
              <w:tr2bl w:val="nil"/>
            </w:tcBorders>
            <w:shd w:val="clear" w:color="auto" w:fill="FFFFFF"/>
            <w:noWrap w:val="0"/>
            <w:vAlign w:val="center"/>
          </w:tcPr>
          <w:p w14:paraId="0457408A">
            <w:pPr>
              <w:pStyle w:val="23"/>
              <w:spacing w:beforeLines="0" w:afterLines="0"/>
              <w:jc w:val="center"/>
              <w:rPr>
                <w:rStyle w:val="19"/>
                <w:rFonts w:hint="default"/>
                <w:color w:val="auto"/>
                <w:sz w:val="18"/>
                <w:szCs w:val="24"/>
                <w:highlight w:val="none"/>
              </w:rPr>
            </w:pPr>
          </w:p>
        </w:tc>
        <w:tc>
          <w:tcPr>
            <w:tcW w:w="907" w:type="dxa"/>
            <w:tcBorders>
              <w:top w:val="single" w:color="auto" w:sz="4" w:space="0"/>
              <w:left w:val="single" w:color="auto" w:sz="4" w:space="0"/>
              <w:bottom w:val="nil"/>
              <w:right w:val="nil"/>
              <w:tl2br w:val="nil"/>
              <w:tr2bl w:val="nil"/>
            </w:tcBorders>
            <w:shd w:val="clear" w:color="auto" w:fill="FFFFFF"/>
            <w:noWrap w:val="0"/>
            <w:vAlign w:val="center"/>
          </w:tcPr>
          <w:p w14:paraId="1E66E6C8">
            <w:pPr>
              <w:pStyle w:val="23"/>
              <w:spacing w:beforeLines="0" w:afterLines="0"/>
              <w:jc w:val="center"/>
              <w:rPr>
                <w:rStyle w:val="19"/>
                <w:rFonts w:hint="default"/>
                <w:color w:val="auto"/>
                <w:sz w:val="18"/>
                <w:szCs w:val="24"/>
                <w:highlight w:val="none"/>
              </w:rPr>
            </w:pPr>
          </w:p>
        </w:tc>
        <w:tc>
          <w:tcPr>
            <w:tcW w:w="917" w:type="dxa"/>
            <w:tcBorders>
              <w:top w:val="single" w:color="auto" w:sz="4" w:space="0"/>
              <w:left w:val="single" w:color="auto" w:sz="4" w:space="0"/>
              <w:bottom w:val="nil"/>
              <w:right w:val="single" w:color="auto" w:sz="4" w:space="0"/>
              <w:tl2br w:val="nil"/>
              <w:tr2bl w:val="nil"/>
            </w:tcBorders>
            <w:shd w:val="clear" w:color="auto" w:fill="FFFFFF"/>
            <w:noWrap w:val="0"/>
            <w:vAlign w:val="center"/>
          </w:tcPr>
          <w:p w14:paraId="4AEE593A">
            <w:pPr>
              <w:pStyle w:val="23"/>
              <w:spacing w:beforeLines="0" w:afterLines="0"/>
              <w:jc w:val="center"/>
              <w:rPr>
                <w:rStyle w:val="19"/>
                <w:rFonts w:hint="default"/>
                <w:color w:val="auto"/>
                <w:sz w:val="18"/>
                <w:szCs w:val="24"/>
                <w:highlight w:val="none"/>
              </w:rPr>
            </w:pPr>
          </w:p>
        </w:tc>
      </w:tr>
      <w:tr w14:paraId="66FB35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581" w:hRule="exact"/>
          <w:jc w:val="center"/>
        </w:trPr>
        <w:tc>
          <w:tcPr>
            <w:tcW w:w="1090" w:type="dxa"/>
            <w:tcBorders>
              <w:top w:val="single" w:color="auto" w:sz="4" w:space="0"/>
              <w:left w:val="single" w:color="auto" w:sz="4" w:space="0"/>
              <w:bottom w:val="single" w:color="auto" w:sz="4" w:space="0"/>
              <w:right w:val="nil"/>
              <w:tl2br w:val="nil"/>
              <w:tr2bl w:val="nil"/>
            </w:tcBorders>
            <w:shd w:val="clear" w:color="auto" w:fill="FFFFFF"/>
            <w:noWrap w:val="0"/>
            <w:vAlign w:val="center"/>
          </w:tcPr>
          <w:p w14:paraId="24E8E35A">
            <w:pPr>
              <w:pStyle w:val="23"/>
              <w:spacing w:beforeLines="0" w:afterLines="0"/>
              <w:jc w:val="center"/>
              <w:rPr>
                <w:rStyle w:val="19"/>
                <w:rFonts w:hint="default"/>
                <w:color w:val="auto"/>
                <w:sz w:val="18"/>
                <w:szCs w:val="24"/>
                <w:highlight w:val="none"/>
              </w:rPr>
            </w:pPr>
          </w:p>
        </w:tc>
        <w:tc>
          <w:tcPr>
            <w:tcW w:w="902" w:type="dxa"/>
            <w:tcBorders>
              <w:top w:val="single" w:color="auto" w:sz="4" w:space="0"/>
              <w:left w:val="single" w:color="auto" w:sz="4" w:space="0"/>
              <w:bottom w:val="single" w:color="auto" w:sz="4" w:space="0"/>
              <w:right w:val="nil"/>
              <w:tl2br w:val="nil"/>
              <w:tr2bl w:val="nil"/>
            </w:tcBorders>
            <w:shd w:val="clear" w:color="auto" w:fill="FFFFFF"/>
            <w:noWrap w:val="0"/>
            <w:vAlign w:val="center"/>
          </w:tcPr>
          <w:p w14:paraId="64344ACE">
            <w:pPr>
              <w:pStyle w:val="23"/>
              <w:spacing w:beforeLines="0" w:afterLines="0"/>
              <w:jc w:val="center"/>
              <w:rPr>
                <w:rStyle w:val="19"/>
                <w:rFonts w:hint="default"/>
                <w:color w:val="auto"/>
                <w:sz w:val="18"/>
                <w:szCs w:val="24"/>
                <w:highlight w:val="none"/>
              </w:rPr>
            </w:pPr>
          </w:p>
        </w:tc>
        <w:tc>
          <w:tcPr>
            <w:tcW w:w="907" w:type="dxa"/>
            <w:tcBorders>
              <w:top w:val="single" w:color="auto" w:sz="4" w:space="0"/>
              <w:left w:val="single" w:color="auto" w:sz="4" w:space="0"/>
              <w:bottom w:val="single" w:color="auto" w:sz="4" w:space="0"/>
              <w:right w:val="nil"/>
              <w:tl2br w:val="nil"/>
              <w:tr2bl w:val="nil"/>
            </w:tcBorders>
            <w:shd w:val="clear" w:color="auto" w:fill="FFFFFF"/>
            <w:noWrap w:val="0"/>
            <w:vAlign w:val="center"/>
          </w:tcPr>
          <w:p w14:paraId="50B85BDA">
            <w:pPr>
              <w:pStyle w:val="23"/>
              <w:spacing w:beforeLines="0" w:afterLines="0"/>
              <w:jc w:val="center"/>
              <w:rPr>
                <w:rStyle w:val="19"/>
                <w:rFonts w:hint="default"/>
                <w:color w:val="auto"/>
                <w:sz w:val="18"/>
                <w:szCs w:val="24"/>
                <w:highlight w:val="none"/>
              </w:rPr>
            </w:pPr>
          </w:p>
        </w:tc>
        <w:tc>
          <w:tcPr>
            <w:tcW w:w="907" w:type="dxa"/>
            <w:tcBorders>
              <w:top w:val="single" w:color="auto" w:sz="4" w:space="0"/>
              <w:left w:val="single" w:color="auto" w:sz="4" w:space="0"/>
              <w:bottom w:val="single" w:color="auto" w:sz="4" w:space="0"/>
              <w:right w:val="nil"/>
              <w:tl2br w:val="nil"/>
              <w:tr2bl w:val="nil"/>
            </w:tcBorders>
            <w:shd w:val="clear" w:color="auto" w:fill="FFFFFF"/>
            <w:noWrap w:val="0"/>
            <w:vAlign w:val="center"/>
          </w:tcPr>
          <w:p w14:paraId="7315D985">
            <w:pPr>
              <w:pStyle w:val="23"/>
              <w:spacing w:beforeLines="0" w:afterLines="0"/>
              <w:jc w:val="center"/>
              <w:rPr>
                <w:rStyle w:val="19"/>
                <w:rFonts w:hint="default"/>
                <w:color w:val="auto"/>
                <w:sz w:val="18"/>
                <w:szCs w:val="24"/>
                <w:highlight w:val="none"/>
              </w:rPr>
            </w:pPr>
          </w:p>
        </w:tc>
        <w:tc>
          <w:tcPr>
            <w:tcW w:w="907" w:type="dxa"/>
            <w:tcBorders>
              <w:top w:val="single" w:color="auto" w:sz="4" w:space="0"/>
              <w:left w:val="single" w:color="auto" w:sz="4" w:space="0"/>
              <w:bottom w:val="single" w:color="auto" w:sz="4" w:space="0"/>
              <w:right w:val="nil"/>
              <w:tl2br w:val="nil"/>
              <w:tr2bl w:val="nil"/>
            </w:tcBorders>
            <w:shd w:val="clear" w:color="auto" w:fill="FFFFFF"/>
            <w:noWrap w:val="0"/>
            <w:vAlign w:val="center"/>
          </w:tcPr>
          <w:p w14:paraId="7245FD08">
            <w:pPr>
              <w:pStyle w:val="23"/>
              <w:spacing w:beforeLines="0" w:afterLines="0"/>
              <w:jc w:val="center"/>
              <w:rPr>
                <w:rStyle w:val="19"/>
                <w:rFonts w:hint="default"/>
                <w:color w:val="auto"/>
                <w:sz w:val="18"/>
                <w:szCs w:val="24"/>
                <w:highlight w:val="none"/>
              </w:rPr>
            </w:pPr>
          </w:p>
        </w:tc>
        <w:tc>
          <w:tcPr>
            <w:tcW w:w="912" w:type="dxa"/>
            <w:tcBorders>
              <w:top w:val="single" w:color="auto" w:sz="4" w:space="0"/>
              <w:left w:val="single" w:color="auto" w:sz="4" w:space="0"/>
              <w:bottom w:val="single" w:color="auto" w:sz="4" w:space="0"/>
              <w:right w:val="nil"/>
              <w:tl2br w:val="nil"/>
              <w:tr2bl w:val="nil"/>
            </w:tcBorders>
            <w:shd w:val="clear" w:color="auto" w:fill="FFFFFF"/>
            <w:noWrap w:val="0"/>
            <w:vAlign w:val="center"/>
          </w:tcPr>
          <w:p w14:paraId="2D309B27">
            <w:pPr>
              <w:pStyle w:val="23"/>
              <w:spacing w:beforeLines="0" w:afterLines="0"/>
              <w:jc w:val="center"/>
              <w:rPr>
                <w:rStyle w:val="19"/>
                <w:rFonts w:hint="default"/>
                <w:color w:val="auto"/>
                <w:sz w:val="18"/>
                <w:szCs w:val="24"/>
                <w:highlight w:val="none"/>
              </w:rPr>
            </w:pPr>
          </w:p>
        </w:tc>
        <w:tc>
          <w:tcPr>
            <w:tcW w:w="902" w:type="dxa"/>
            <w:tcBorders>
              <w:top w:val="single" w:color="auto" w:sz="4" w:space="0"/>
              <w:left w:val="single" w:color="auto" w:sz="4" w:space="0"/>
              <w:bottom w:val="single" w:color="auto" w:sz="4" w:space="0"/>
              <w:right w:val="nil"/>
              <w:tl2br w:val="nil"/>
              <w:tr2bl w:val="nil"/>
            </w:tcBorders>
            <w:shd w:val="clear" w:color="auto" w:fill="FFFFFF"/>
            <w:noWrap w:val="0"/>
            <w:vAlign w:val="center"/>
          </w:tcPr>
          <w:p w14:paraId="49BBB5A4">
            <w:pPr>
              <w:pStyle w:val="23"/>
              <w:spacing w:beforeLines="0" w:afterLines="0"/>
              <w:jc w:val="center"/>
              <w:rPr>
                <w:rStyle w:val="19"/>
                <w:rFonts w:hint="default"/>
                <w:color w:val="auto"/>
                <w:sz w:val="18"/>
                <w:szCs w:val="24"/>
                <w:highlight w:val="none"/>
              </w:rPr>
            </w:pPr>
          </w:p>
        </w:tc>
        <w:tc>
          <w:tcPr>
            <w:tcW w:w="907" w:type="dxa"/>
            <w:tcBorders>
              <w:top w:val="single" w:color="auto" w:sz="4" w:space="0"/>
              <w:left w:val="single" w:color="auto" w:sz="4" w:space="0"/>
              <w:bottom w:val="single" w:color="auto" w:sz="4" w:space="0"/>
              <w:right w:val="nil"/>
              <w:tl2br w:val="nil"/>
              <w:tr2bl w:val="nil"/>
            </w:tcBorders>
            <w:shd w:val="clear" w:color="auto" w:fill="FFFFFF"/>
            <w:noWrap w:val="0"/>
            <w:vAlign w:val="center"/>
          </w:tcPr>
          <w:p w14:paraId="13F237D4">
            <w:pPr>
              <w:pStyle w:val="23"/>
              <w:spacing w:beforeLines="0" w:afterLines="0"/>
              <w:jc w:val="center"/>
              <w:rPr>
                <w:rStyle w:val="19"/>
                <w:rFonts w:hint="default"/>
                <w:color w:val="auto"/>
                <w:sz w:val="18"/>
                <w:szCs w:val="24"/>
                <w:highlight w:val="none"/>
              </w:rPr>
            </w:pPr>
          </w:p>
        </w:tc>
        <w:tc>
          <w:tcPr>
            <w:tcW w:w="917" w:type="dxa"/>
            <w:tcBorders>
              <w:top w:val="single" w:color="auto" w:sz="4" w:space="0"/>
              <w:left w:val="single" w:color="auto" w:sz="4" w:space="0"/>
              <w:bottom w:val="single" w:color="auto" w:sz="4" w:space="0"/>
              <w:right w:val="single" w:color="auto" w:sz="4" w:space="0"/>
              <w:tl2br w:val="nil"/>
              <w:tr2bl w:val="nil"/>
            </w:tcBorders>
            <w:shd w:val="clear" w:color="auto" w:fill="FFFFFF"/>
            <w:noWrap w:val="0"/>
            <w:vAlign w:val="center"/>
          </w:tcPr>
          <w:p w14:paraId="32414645">
            <w:pPr>
              <w:pStyle w:val="23"/>
              <w:spacing w:beforeLines="0" w:afterLines="0"/>
              <w:jc w:val="center"/>
              <w:rPr>
                <w:rStyle w:val="19"/>
                <w:rFonts w:hint="default"/>
                <w:color w:val="auto"/>
                <w:sz w:val="18"/>
                <w:szCs w:val="24"/>
                <w:highlight w:val="none"/>
              </w:rPr>
            </w:pPr>
          </w:p>
        </w:tc>
      </w:tr>
    </w:tbl>
    <w:p w14:paraId="3B0CFA74">
      <w:pPr>
        <w:pStyle w:val="23"/>
        <w:spacing w:beforeLines="0" w:afterLines="0"/>
        <w:rPr>
          <w:rStyle w:val="19"/>
          <w:rFonts w:hint="default"/>
          <w:color w:val="auto"/>
          <w:sz w:val="24"/>
          <w:szCs w:val="24"/>
          <w:highlight w:val="none"/>
        </w:rPr>
      </w:pPr>
    </w:p>
    <w:p w14:paraId="68C4B7F0">
      <w:pPr>
        <w:pStyle w:val="23"/>
        <w:spacing w:beforeLines="0" w:afterLines="0"/>
        <w:rPr>
          <w:rStyle w:val="19"/>
          <w:rFonts w:hint="default"/>
          <w:color w:val="auto"/>
          <w:sz w:val="24"/>
          <w:szCs w:val="24"/>
          <w:highlight w:val="none"/>
        </w:rPr>
      </w:pPr>
      <w:r>
        <w:rPr>
          <w:rStyle w:val="19"/>
          <w:rFonts w:hint="default"/>
          <w:color w:val="auto"/>
          <w:sz w:val="24"/>
          <w:szCs w:val="24"/>
          <w:highlight w:val="none"/>
        </w:rPr>
        <w:br w:type="page"/>
      </w:r>
    </w:p>
    <w:p w14:paraId="689A3F24">
      <w:pPr>
        <w:pStyle w:val="24"/>
        <w:tabs>
          <w:tab w:val="left" w:pos="847"/>
          <w:tab w:val="left" w:leader="underscore" w:pos="850"/>
          <w:tab w:val="left" w:leader="underscore" w:pos="1906"/>
          <w:tab w:val="left" w:pos="1908"/>
          <w:tab w:val="left" w:pos="2964"/>
        </w:tabs>
        <w:spacing w:beforeLines="0" w:after="420" w:afterLines="0" w:line="350" w:lineRule="exact"/>
        <w:ind w:firstLine="0"/>
        <w:rPr>
          <w:rStyle w:val="19"/>
          <w:rFonts w:hint="default"/>
          <w:b/>
          <w:color w:val="auto"/>
          <w:sz w:val="28"/>
          <w:szCs w:val="20"/>
          <w:highlight w:val="none"/>
          <w:lang w:val="en-US" w:bidi="en-US"/>
        </w:rPr>
      </w:pPr>
      <w:bookmarkStart w:id="118" w:name="bookmark2249"/>
      <w:bookmarkStart w:id="119" w:name="bookmark2251"/>
      <w:bookmarkStart w:id="120" w:name="bookmark2250"/>
      <w:r>
        <w:rPr>
          <w:rStyle w:val="19"/>
          <w:rFonts w:hint="default"/>
          <w:b/>
          <w:color w:val="auto"/>
          <w:sz w:val="28"/>
          <w:szCs w:val="20"/>
          <w:highlight w:val="none"/>
          <w:lang w:val="en-US" w:bidi="en-US"/>
        </w:rPr>
        <w:t>附件五：计划开工日期、完工日期和施工进度网络图（或横道图）</w:t>
      </w:r>
      <w:bookmarkEnd w:id="118"/>
      <w:bookmarkEnd w:id="119"/>
      <w:bookmarkEnd w:id="120"/>
    </w:p>
    <w:p w14:paraId="5C4F3E03">
      <w:pPr>
        <w:pStyle w:val="23"/>
        <w:spacing w:beforeLines="0" w:afterLines="0"/>
        <w:jc w:val="center"/>
        <w:rPr>
          <w:rStyle w:val="19"/>
          <w:rFonts w:hint="default" w:ascii="宋体" w:hAnsi="宋体" w:eastAsia="宋体" w:cs="宋体"/>
          <w:b/>
          <w:color w:val="auto"/>
          <w:sz w:val="24"/>
          <w:szCs w:val="24"/>
          <w:highlight w:val="none"/>
          <w:lang w:eastAsia="zh-CN"/>
        </w:rPr>
      </w:pPr>
      <w:bookmarkStart w:id="121" w:name="bookmark2253"/>
      <w:bookmarkStart w:id="122" w:name="bookmark2252"/>
      <w:bookmarkStart w:id="123" w:name="bookmark2254"/>
      <w:bookmarkStart w:id="124" w:name="_Toc24573"/>
      <w:bookmarkStart w:id="125" w:name="_Toc2597"/>
      <w:r>
        <w:rPr>
          <w:rStyle w:val="19"/>
          <w:rFonts w:hint="default" w:ascii="宋体" w:hAnsi="宋体" w:eastAsia="宋体" w:cs="宋体"/>
          <w:b/>
          <w:color w:val="auto"/>
          <w:sz w:val="24"/>
          <w:szCs w:val="24"/>
          <w:highlight w:val="none"/>
          <w:lang w:eastAsia="zh-CN"/>
        </w:rPr>
        <w:t>计划开工日期、完工日期和施工进度网络图（或横道图）</w:t>
      </w:r>
      <w:bookmarkEnd w:id="121"/>
      <w:bookmarkEnd w:id="122"/>
      <w:bookmarkEnd w:id="123"/>
      <w:bookmarkEnd w:id="124"/>
      <w:bookmarkEnd w:id="125"/>
    </w:p>
    <w:p w14:paraId="1CC977B6">
      <w:pPr>
        <w:pStyle w:val="23"/>
        <w:spacing w:beforeLines="0" w:afterLines="0"/>
        <w:jc w:val="center"/>
        <w:rPr>
          <w:rStyle w:val="19"/>
          <w:rFonts w:hint="default"/>
          <w:b/>
          <w:color w:val="auto"/>
          <w:sz w:val="24"/>
          <w:szCs w:val="24"/>
          <w:highlight w:val="none"/>
          <w:lang w:eastAsia="zh-CN"/>
        </w:rPr>
      </w:pPr>
    </w:p>
    <w:p w14:paraId="0373BC61">
      <w:pPr>
        <w:pStyle w:val="24"/>
        <w:numPr>
          <w:ilvl w:val="0"/>
          <w:numId w:val="3"/>
        </w:numPr>
        <w:tabs>
          <w:tab w:val="left" w:pos="747"/>
        </w:tabs>
        <w:spacing w:beforeLines="0" w:after="120" w:afterLines="0" w:line="343" w:lineRule="exact"/>
        <w:ind w:firstLine="420"/>
        <w:jc w:val="both"/>
        <w:rPr>
          <w:rStyle w:val="19"/>
          <w:rFonts w:hint="default"/>
          <w:color w:val="auto"/>
          <w:sz w:val="24"/>
          <w:szCs w:val="20"/>
          <w:highlight w:val="none"/>
        </w:rPr>
      </w:pPr>
      <w:bookmarkStart w:id="126" w:name="bookmark2255"/>
      <w:bookmarkEnd w:id="126"/>
      <w:r>
        <w:rPr>
          <w:rStyle w:val="19"/>
          <w:rFonts w:hint="default"/>
          <w:color w:val="auto"/>
          <w:sz w:val="24"/>
          <w:szCs w:val="20"/>
          <w:highlight w:val="none"/>
        </w:rPr>
        <w:t>投标人应递交施工进度网络图或施工进度表，说明按招标文件要求的计划工期进行施工的各个关键日期。</w:t>
      </w:r>
    </w:p>
    <w:p w14:paraId="59AC0B64">
      <w:pPr>
        <w:pStyle w:val="24"/>
        <w:tabs>
          <w:tab w:val="left" w:pos="754"/>
        </w:tabs>
        <w:spacing w:beforeLines="0" w:after="500" w:afterLines="0"/>
        <w:rPr>
          <w:rStyle w:val="19"/>
          <w:rFonts w:hint="default"/>
          <w:color w:val="auto"/>
          <w:sz w:val="24"/>
          <w:szCs w:val="20"/>
          <w:highlight w:val="none"/>
        </w:rPr>
      </w:pPr>
      <w:bookmarkStart w:id="127" w:name="bookmark2256"/>
      <w:bookmarkEnd w:id="127"/>
      <w:r>
        <w:rPr>
          <w:rStyle w:val="19"/>
          <w:rFonts w:hint="default"/>
          <w:color w:val="auto"/>
          <w:sz w:val="24"/>
          <w:szCs w:val="20"/>
          <w:highlight w:val="none"/>
        </w:rPr>
        <w:t>施工进度表可采用网络图（或横道图）表示。</w:t>
      </w:r>
      <w:bookmarkStart w:id="128" w:name="bookmark2259"/>
      <w:bookmarkStart w:id="129" w:name="bookmark2257"/>
      <w:bookmarkStart w:id="130" w:name="bookmark2258"/>
    </w:p>
    <w:p w14:paraId="094C2FEF">
      <w:pPr>
        <w:pStyle w:val="24"/>
        <w:tabs>
          <w:tab w:val="left" w:pos="754"/>
        </w:tabs>
        <w:spacing w:beforeLines="0" w:after="500" w:afterLines="0"/>
        <w:ind w:firstLine="0"/>
        <w:rPr>
          <w:rStyle w:val="19"/>
          <w:rFonts w:hint="default"/>
          <w:b/>
          <w:color w:val="auto"/>
          <w:sz w:val="28"/>
          <w:szCs w:val="24"/>
          <w:highlight w:val="none"/>
          <w:lang w:eastAsia="zh-CN"/>
        </w:rPr>
      </w:pPr>
      <w:r>
        <w:rPr>
          <w:rStyle w:val="19"/>
          <w:rFonts w:hint="default" w:ascii="宋体" w:hAnsi="宋体" w:eastAsia="宋体" w:cs="宋体"/>
          <w:b/>
          <w:color w:val="auto"/>
          <w:sz w:val="28"/>
          <w:szCs w:val="28"/>
          <w:highlight w:val="none"/>
          <w:lang w:eastAsia="zh-CN"/>
        </w:rPr>
        <w:t>附件六：施工总平面图</w:t>
      </w:r>
      <w:bookmarkEnd w:id="128"/>
      <w:bookmarkEnd w:id="129"/>
      <w:bookmarkEnd w:id="130"/>
    </w:p>
    <w:p w14:paraId="6767E8DE">
      <w:pPr>
        <w:pStyle w:val="23"/>
        <w:spacing w:beforeLines="0" w:afterLines="0"/>
        <w:jc w:val="center"/>
        <w:rPr>
          <w:rStyle w:val="19"/>
          <w:rFonts w:hint="default" w:ascii="宋体" w:hAnsi="宋体" w:eastAsia="宋体" w:cs="宋体"/>
          <w:b/>
          <w:color w:val="auto"/>
          <w:sz w:val="24"/>
          <w:szCs w:val="24"/>
          <w:highlight w:val="none"/>
          <w:lang w:eastAsia="zh-CN"/>
        </w:rPr>
      </w:pPr>
      <w:bookmarkStart w:id="131" w:name="bookmark2262"/>
      <w:bookmarkStart w:id="132" w:name="bookmark2261"/>
      <w:bookmarkStart w:id="133" w:name="_Toc768"/>
      <w:bookmarkStart w:id="134" w:name="_Toc30163"/>
      <w:bookmarkStart w:id="135" w:name="bookmark2260"/>
      <w:r>
        <w:rPr>
          <w:rStyle w:val="19"/>
          <w:rFonts w:hint="default" w:ascii="宋体" w:hAnsi="宋体" w:eastAsia="宋体" w:cs="宋体"/>
          <w:b/>
          <w:color w:val="auto"/>
          <w:sz w:val="24"/>
          <w:szCs w:val="24"/>
          <w:highlight w:val="none"/>
          <w:lang w:eastAsia="zh-CN"/>
        </w:rPr>
        <w:t>施工总平面图</w:t>
      </w:r>
      <w:bookmarkEnd w:id="131"/>
      <w:bookmarkEnd w:id="132"/>
      <w:bookmarkEnd w:id="133"/>
      <w:bookmarkEnd w:id="134"/>
      <w:bookmarkEnd w:id="135"/>
    </w:p>
    <w:p w14:paraId="0F2B376F">
      <w:pPr>
        <w:pStyle w:val="23"/>
        <w:spacing w:beforeLines="0" w:afterLines="0"/>
        <w:jc w:val="center"/>
        <w:rPr>
          <w:rStyle w:val="19"/>
          <w:rFonts w:hint="default"/>
          <w:b/>
          <w:color w:val="auto"/>
          <w:sz w:val="24"/>
          <w:szCs w:val="24"/>
          <w:highlight w:val="none"/>
          <w:lang w:eastAsia="zh-CN"/>
        </w:rPr>
      </w:pPr>
    </w:p>
    <w:p w14:paraId="182543DA">
      <w:pPr>
        <w:pStyle w:val="24"/>
        <w:spacing w:beforeLines="0" w:after="560" w:afterLines="0" w:line="350" w:lineRule="exact"/>
        <w:ind w:firstLine="420"/>
        <w:jc w:val="both"/>
        <w:rPr>
          <w:rStyle w:val="19"/>
          <w:rFonts w:hint="default"/>
          <w:color w:val="auto"/>
          <w:sz w:val="24"/>
          <w:szCs w:val="24"/>
          <w:highlight w:val="none"/>
        </w:rPr>
      </w:pPr>
      <w:r>
        <w:rPr>
          <w:rStyle w:val="19"/>
          <w:rFonts w:hint="default"/>
          <w:color w:val="auto"/>
          <w:sz w:val="24"/>
          <w:szCs w:val="24"/>
          <w:highlight w:val="none"/>
        </w:rPr>
        <w:t>投标人应递交一份施工总平面图，绘出现场临时设施布置图及表并附文字说明，说明临时设施、加工车间、现场办公、设备及仓储、供电、供水、卫生、生活、道路、消防等设施的情况和布置。</w:t>
      </w:r>
    </w:p>
    <w:p w14:paraId="4F5588AE">
      <w:pPr>
        <w:pStyle w:val="24"/>
        <w:spacing w:beforeLines="0" w:after="560" w:afterLines="0" w:line="350" w:lineRule="exact"/>
        <w:ind w:firstLine="420"/>
        <w:jc w:val="both"/>
        <w:rPr>
          <w:rStyle w:val="19"/>
          <w:rFonts w:hint="default"/>
          <w:color w:val="auto"/>
          <w:sz w:val="24"/>
          <w:szCs w:val="24"/>
          <w:highlight w:val="none"/>
        </w:rPr>
      </w:pPr>
      <w:r>
        <w:rPr>
          <w:rStyle w:val="19"/>
          <w:rFonts w:hint="default"/>
          <w:color w:val="auto"/>
          <w:sz w:val="24"/>
          <w:szCs w:val="24"/>
          <w:highlight w:val="none"/>
        </w:rPr>
        <w:t>其他</w:t>
      </w:r>
      <w:bookmarkStart w:id="136" w:name="bookmark2263"/>
      <w:bookmarkStart w:id="137" w:name="bookmark2264"/>
      <w:bookmarkStart w:id="138" w:name="bookmark2265"/>
    </w:p>
    <w:p w14:paraId="67EE6E05">
      <w:pPr>
        <w:pStyle w:val="24"/>
        <w:spacing w:beforeLines="0" w:after="560" w:afterLines="0" w:line="350" w:lineRule="exact"/>
        <w:ind w:firstLine="420"/>
        <w:jc w:val="both"/>
        <w:rPr>
          <w:rStyle w:val="19"/>
          <w:rFonts w:hint="default"/>
          <w:b/>
          <w:color w:val="auto"/>
          <w:sz w:val="28"/>
          <w:szCs w:val="20"/>
          <w:highlight w:val="none"/>
        </w:rPr>
      </w:pPr>
      <w:r>
        <w:rPr>
          <w:rStyle w:val="19"/>
          <w:rFonts w:hint="default"/>
          <w:b/>
          <w:color w:val="auto"/>
          <w:sz w:val="28"/>
          <w:szCs w:val="20"/>
          <w:highlight w:val="none"/>
          <w:lang w:val="en-US"/>
        </w:rPr>
        <w:t>附件七：</w:t>
      </w:r>
      <w:r>
        <w:rPr>
          <w:rStyle w:val="19"/>
          <w:rFonts w:hint="default"/>
          <w:b/>
          <w:color w:val="auto"/>
          <w:sz w:val="28"/>
          <w:szCs w:val="20"/>
          <w:highlight w:val="none"/>
        </w:rPr>
        <w:t>临时用地表</w:t>
      </w:r>
      <w:bookmarkEnd w:id="136"/>
      <w:bookmarkEnd w:id="137"/>
      <w:bookmarkEnd w:id="138"/>
    </w:p>
    <w:p w14:paraId="7980E6D2">
      <w:pPr>
        <w:pStyle w:val="23"/>
        <w:spacing w:beforeLines="0" w:afterLines="0"/>
        <w:jc w:val="center"/>
        <w:rPr>
          <w:rStyle w:val="19"/>
          <w:rFonts w:hint="default" w:ascii="宋体" w:hAnsi="宋体" w:eastAsia="宋体" w:cs="宋体"/>
          <w:b/>
          <w:color w:val="auto"/>
          <w:sz w:val="24"/>
          <w:szCs w:val="24"/>
          <w:highlight w:val="none"/>
          <w:lang w:eastAsia="zh-CN"/>
        </w:rPr>
      </w:pPr>
      <w:bookmarkStart w:id="139" w:name="bookmark2266"/>
      <w:bookmarkStart w:id="140" w:name="bookmark2267"/>
      <w:bookmarkStart w:id="141" w:name="bookmark2268"/>
      <w:bookmarkStart w:id="142" w:name="_Toc31330"/>
      <w:bookmarkStart w:id="143" w:name="_Toc3522"/>
      <w:r>
        <w:rPr>
          <w:rStyle w:val="19"/>
          <w:rFonts w:hint="default" w:ascii="宋体" w:hAnsi="宋体" w:eastAsia="宋体" w:cs="宋体"/>
          <w:b/>
          <w:color w:val="auto"/>
          <w:sz w:val="24"/>
          <w:szCs w:val="24"/>
          <w:highlight w:val="none"/>
          <w:lang w:eastAsia="zh-CN"/>
        </w:rPr>
        <w:t>临时用地表</w:t>
      </w:r>
      <w:bookmarkEnd w:id="139"/>
      <w:bookmarkEnd w:id="140"/>
      <w:bookmarkEnd w:id="141"/>
      <w:bookmarkEnd w:id="142"/>
      <w:bookmarkEnd w:id="143"/>
    </w:p>
    <w:p w14:paraId="3182871E">
      <w:pPr>
        <w:pStyle w:val="23"/>
        <w:spacing w:beforeLines="0" w:afterLines="0"/>
        <w:jc w:val="center"/>
        <w:rPr>
          <w:rStyle w:val="19"/>
          <w:rFonts w:hint="default"/>
          <w:b/>
          <w:color w:val="auto"/>
          <w:sz w:val="24"/>
          <w:szCs w:val="24"/>
          <w:highlight w:val="none"/>
          <w:lang w:eastAsia="zh-CN"/>
        </w:rPr>
      </w:pPr>
    </w:p>
    <w:tbl>
      <w:tblPr>
        <w:tblStyle w:val="1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 w:type="dxa"/>
          <w:bottom w:w="0" w:type="dxa"/>
          <w:right w:w="10" w:type="dxa"/>
        </w:tblCellMar>
      </w:tblPr>
      <w:tblGrid>
        <w:gridCol w:w="2093"/>
        <w:gridCol w:w="2083"/>
        <w:gridCol w:w="2083"/>
        <w:gridCol w:w="2093"/>
      </w:tblGrid>
      <w:tr w14:paraId="6D7535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576" w:hRule="exact"/>
          <w:jc w:val="center"/>
        </w:trPr>
        <w:tc>
          <w:tcPr>
            <w:tcW w:w="2093" w:type="dxa"/>
            <w:tcBorders>
              <w:top w:val="single" w:color="auto" w:sz="4" w:space="0"/>
              <w:left w:val="single" w:color="auto" w:sz="4" w:space="0"/>
              <w:bottom w:val="nil"/>
              <w:right w:val="nil"/>
              <w:tl2br w:val="nil"/>
              <w:tr2bl w:val="nil"/>
            </w:tcBorders>
            <w:shd w:val="clear" w:color="auto" w:fill="FFFFFF"/>
            <w:noWrap w:val="0"/>
            <w:vAlign w:val="center"/>
          </w:tcPr>
          <w:p w14:paraId="39639FCB">
            <w:pPr>
              <w:pStyle w:val="25"/>
              <w:spacing w:beforeLines="0" w:afterLines="0" w:line="240" w:lineRule="auto"/>
              <w:ind w:firstLine="0"/>
              <w:jc w:val="center"/>
              <w:rPr>
                <w:rStyle w:val="19"/>
                <w:rFonts w:hint="default"/>
                <w:color w:val="auto"/>
                <w:sz w:val="24"/>
                <w:szCs w:val="20"/>
                <w:highlight w:val="none"/>
              </w:rPr>
            </w:pPr>
            <w:r>
              <w:rPr>
                <w:rStyle w:val="19"/>
                <w:rFonts w:hint="default"/>
                <w:color w:val="auto"/>
                <w:sz w:val="24"/>
                <w:szCs w:val="20"/>
                <w:highlight w:val="none"/>
              </w:rPr>
              <w:t>用途</w:t>
            </w:r>
          </w:p>
        </w:tc>
        <w:tc>
          <w:tcPr>
            <w:tcW w:w="2083" w:type="dxa"/>
            <w:tcBorders>
              <w:top w:val="single" w:color="auto" w:sz="4" w:space="0"/>
              <w:left w:val="single" w:color="auto" w:sz="4" w:space="0"/>
              <w:bottom w:val="nil"/>
              <w:right w:val="nil"/>
              <w:tl2br w:val="nil"/>
              <w:tr2bl w:val="nil"/>
            </w:tcBorders>
            <w:shd w:val="clear" w:color="auto" w:fill="FFFFFF"/>
            <w:noWrap w:val="0"/>
            <w:vAlign w:val="center"/>
          </w:tcPr>
          <w:p w14:paraId="1DBF78E1">
            <w:pPr>
              <w:pStyle w:val="25"/>
              <w:spacing w:beforeLines="0" w:afterLines="0" w:line="240" w:lineRule="auto"/>
              <w:ind w:firstLine="0"/>
              <w:jc w:val="center"/>
              <w:rPr>
                <w:rStyle w:val="19"/>
                <w:rFonts w:hint="default"/>
                <w:color w:val="auto"/>
                <w:sz w:val="24"/>
                <w:szCs w:val="20"/>
                <w:highlight w:val="none"/>
              </w:rPr>
            </w:pPr>
            <w:r>
              <w:rPr>
                <w:rStyle w:val="19"/>
                <w:rFonts w:hint="default"/>
                <w:color w:val="auto"/>
                <w:sz w:val="24"/>
                <w:szCs w:val="20"/>
                <w:highlight w:val="none"/>
              </w:rPr>
              <w:t>面积（</w:t>
            </w:r>
            <w:r>
              <w:rPr>
                <w:rStyle w:val="19"/>
                <w:rFonts w:hint="default"/>
                <w:color w:val="auto"/>
                <w:sz w:val="24"/>
                <w:szCs w:val="20"/>
                <w:highlight w:val="none"/>
                <w:lang w:bidi="en-US"/>
              </w:rPr>
              <w:t>m</w:t>
            </w:r>
            <w:r>
              <w:rPr>
                <w:rStyle w:val="19"/>
                <w:rFonts w:hint="default"/>
                <w:color w:val="auto"/>
                <w:sz w:val="24"/>
                <w:szCs w:val="20"/>
                <w:highlight w:val="none"/>
                <w:vertAlign w:val="superscript"/>
                <w:lang w:bidi="en-US"/>
              </w:rPr>
              <w:t>2</w:t>
            </w:r>
            <w:r>
              <w:rPr>
                <w:rStyle w:val="19"/>
                <w:rFonts w:hint="default"/>
                <w:color w:val="auto"/>
                <w:sz w:val="24"/>
                <w:szCs w:val="20"/>
                <w:highlight w:val="none"/>
              </w:rPr>
              <w:t>）</w:t>
            </w:r>
          </w:p>
        </w:tc>
        <w:tc>
          <w:tcPr>
            <w:tcW w:w="2083" w:type="dxa"/>
            <w:tcBorders>
              <w:top w:val="single" w:color="auto" w:sz="4" w:space="0"/>
              <w:left w:val="single" w:color="auto" w:sz="4" w:space="0"/>
              <w:bottom w:val="nil"/>
              <w:right w:val="nil"/>
              <w:tl2br w:val="nil"/>
              <w:tr2bl w:val="nil"/>
            </w:tcBorders>
            <w:shd w:val="clear" w:color="auto" w:fill="FFFFFF"/>
            <w:noWrap w:val="0"/>
            <w:vAlign w:val="center"/>
          </w:tcPr>
          <w:p w14:paraId="356481E9">
            <w:pPr>
              <w:pStyle w:val="25"/>
              <w:spacing w:beforeLines="0" w:afterLines="0" w:line="240" w:lineRule="auto"/>
              <w:ind w:firstLine="0"/>
              <w:jc w:val="center"/>
              <w:rPr>
                <w:rStyle w:val="19"/>
                <w:rFonts w:hint="default"/>
                <w:color w:val="auto"/>
                <w:sz w:val="24"/>
                <w:szCs w:val="20"/>
                <w:highlight w:val="none"/>
              </w:rPr>
            </w:pPr>
            <w:r>
              <w:rPr>
                <w:rStyle w:val="19"/>
                <w:rFonts w:hint="default"/>
                <w:color w:val="auto"/>
                <w:sz w:val="24"/>
                <w:szCs w:val="20"/>
                <w:highlight w:val="none"/>
              </w:rPr>
              <w:t>位置</w:t>
            </w:r>
          </w:p>
        </w:tc>
        <w:tc>
          <w:tcPr>
            <w:tcW w:w="2093" w:type="dxa"/>
            <w:tcBorders>
              <w:top w:val="single" w:color="auto" w:sz="4" w:space="0"/>
              <w:left w:val="single" w:color="auto" w:sz="4" w:space="0"/>
              <w:bottom w:val="nil"/>
              <w:right w:val="single" w:color="auto" w:sz="4" w:space="0"/>
              <w:tl2br w:val="nil"/>
              <w:tr2bl w:val="nil"/>
            </w:tcBorders>
            <w:shd w:val="clear" w:color="auto" w:fill="FFFFFF"/>
            <w:noWrap w:val="0"/>
            <w:vAlign w:val="center"/>
          </w:tcPr>
          <w:p w14:paraId="2D54C83F">
            <w:pPr>
              <w:pStyle w:val="25"/>
              <w:spacing w:beforeLines="0" w:afterLines="0" w:line="240" w:lineRule="auto"/>
              <w:ind w:firstLine="0"/>
              <w:jc w:val="center"/>
              <w:rPr>
                <w:rStyle w:val="19"/>
                <w:rFonts w:hint="default"/>
                <w:color w:val="auto"/>
                <w:sz w:val="24"/>
                <w:szCs w:val="20"/>
                <w:highlight w:val="none"/>
              </w:rPr>
            </w:pPr>
            <w:r>
              <w:rPr>
                <w:rStyle w:val="19"/>
                <w:rFonts w:hint="default"/>
                <w:color w:val="auto"/>
                <w:sz w:val="24"/>
                <w:szCs w:val="20"/>
                <w:highlight w:val="none"/>
              </w:rPr>
              <w:t>需用时间</w:t>
            </w:r>
          </w:p>
        </w:tc>
      </w:tr>
      <w:tr w14:paraId="272C7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566" w:hRule="exact"/>
          <w:jc w:val="center"/>
        </w:trPr>
        <w:tc>
          <w:tcPr>
            <w:tcW w:w="2093" w:type="dxa"/>
            <w:tcBorders>
              <w:top w:val="single" w:color="auto" w:sz="4" w:space="0"/>
              <w:left w:val="single" w:color="auto" w:sz="4" w:space="0"/>
              <w:bottom w:val="nil"/>
              <w:right w:val="nil"/>
              <w:tl2br w:val="nil"/>
              <w:tr2bl w:val="nil"/>
            </w:tcBorders>
            <w:shd w:val="clear" w:color="auto" w:fill="FFFFFF"/>
            <w:noWrap w:val="0"/>
            <w:vAlign w:val="top"/>
          </w:tcPr>
          <w:p w14:paraId="22987D68">
            <w:pPr>
              <w:pStyle w:val="23"/>
              <w:spacing w:beforeLines="0" w:afterLines="0"/>
              <w:rPr>
                <w:rStyle w:val="19"/>
                <w:rFonts w:hint="default"/>
                <w:color w:val="auto"/>
                <w:sz w:val="24"/>
                <w:szCs w:val="24"/>
                <w:highlight w:val="none"/>
              </w:rPr>
            </w:pPr>
          </w:p>
        </w:tc>
        <w:tc>
          <w:tcPr>
            <w:tcW w:w="2083" w:type="dxa"/>
            <w:tcBorders>
              <w:top w:val="single" w:color="auto" w:sz="4" w:space="0"/>
              <w:left w:val="single" w:color="auto" w:sz="4" w:space="0"/>
              <w:bottom w:val="nil"/>
              <w:right w:val="nil"/>
              <w:tl2br w:val="nil"/>
              <w:tr2bl w:val="nil"/>
            </w:tcBorders>
            <w:shd w:val="clear" w:color="auto" w:fill="FFFFFF"/>
            <w:noWrap w:val="0"/>
            <w:vAlign w:val="top"/>
          </w:tcPr>
          <w:p w14:paraId="3FCC8985">
            <w:pPr>
              <w:pStyle w:val="23"/>
              <w:spacing w:beforeLines="0" w:afterLines="0"/>
              <w:rPr>
                <w:rStyle w:val="19"/>
                <w:rFonts w:hint="default"/>
                <w:color w:val="auto"/>
                <w:sz w:val="24"/>
                <w:szCs w:val="24"/>
                <w:highlight w:val="none"/>
              </w:rPr>
            </w:pPr>
          </w:p>
        </w:tc>
        <w:tc>
          <w:tcPr>
            <w:tcW w:w="2083" w:type="dxa"/>
            <w:tcBorders>
              <w:top w:val="single" w:color="auto" w:sz="4" w:space="0"/>
              <w:left w:val="single" w:color="auto" w:sz="4" w:space="0"/>
              <w:bottom w:val="nil"/>
              <w:right w:val="nil"/>
              <w:tl2br w:val="nil"/>
              <w:tr2bl w:val="nil"/>
            </w:tcBorders>
            <w:shd w:val="clear" w:color="auto" w:fill="FFFFFF"/>
            <w:noWrap w:val="0"/>
            <w:vAlign w:val="top"/>
          </w:tcPr>
          <w:p w14:paraId="5C045257">
            <w:pPr>
              <w:pStyle w:val="23"/>
              <w:spacing w:beforeLines="0" w:afterLines="0"/>
              <w:rPr>
                <w:rStyle w:val="19"/>
                <w:rFonts w:hint="default"/>
                <w:color w:val="auto"/>
                <w:sz w:val="24"/>
                <w:szCs w:val="24"/>
                <w:highlight w:val="none"/>
              </w:rPr>
            </w:pPr>
          </w:p>
        </w:tc>
        <w:tc>
          <w:tcPr>
            <w:tcW w:w="2093" w:type="dxa"/>
            <w:tcBorders>
              <w:top w:val="single" w:color="auto" w:sz="4" w:space="0"/>
              <w:left w:val="single" w:color="auto" w:sz="4" w:space="0"/>
              <w:bottom w:val="nil"/>
              <w:right w:val="single" w:color="auto" w:sz="4" w:space="0"/>
              <w:tl2br w:val="nil"/>
              <w:tr2bl w:val="nil"/>
            </w:tcBorders>
            <w:shd w:val="clear" w:color="auto" w:fill="FFFFFF"/>
            <w:noWrap w:val="0"/>
            <w:vAlign w:val="top"/>
          </w:tcPr>
          <w:p w14:paraId="1A1C5D02">
            <w:pPr>
              <w:pStyle w:val="23"/>
              <w:spacing w:beforeLines="0" w:afterLines="0"/>
              <w:rPr>
                <w:rStyle w:val="19"/>
                <w:rFonts w:hint="default"/>
                <w:color w:val="auto"/>
                <w:sz w:val="24"/>
                <w:szCs w:val="24"/>
                <w:highlight w:val="none"/>
              </w:rPr>
            </w:pPr>
          </w:p>
        </w:tc>
      </w:tr>
      <w:tr w14:paraId="5DEDE5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566" w:hRule="exact"/>
          <w:jc w:val="center"/>
        </w:trPr>
        <w:tc>
          <w:tcPr>
            <w:tcW w:w="2093" w:type="dxa"/>
            <w:tcBorders>
              <w:top w:val="single" w:color="auto" w:sz="4" w:space="0"/>
              <w:left w:val="single" w:color="auto" w:sz="4" w:space="0"/>
              <w:bottom w:val="nil"/>
              <w:right w:val="nil"/>
              <w:tl2br w:val="nil"/>
              <w:tr2bl w:val="nil"/>
            </w:tcBorders>
            <w:shd w:val="clear" w:color="auto" w:fill="FFFFFF"/>
            <w:noWrap w:val="0"/>
            <w:vAlign w:val="top"/>
          </w:tcPr>
          <w:p w14:paraId="5B76377E">
            <w:pPr>
              <w:pStyle w:val="23"/>
              <w:spacing w:beforeLines="0" w:afterLines="0"/>
              <w:rPr>
                <w:rStyle w:val="19"/>
                <w:rFonts w:hint="default"/>
                <w:color w:val="auto"/>
                <w:sz w:val="24"/>
                <w:szCs w:val="24"/>
                <w:highlight w:val="none"/>
              </w:rPr>
            </w:pPr>
          </w:p>
        </w:tc>
        <w:tc>
          <w:tcPr>
            <w:tcW w:w="2083" w:type="dxa"/>
            <w:tcBorders>
              <w:top w:val="single" w:color="auto" w:sz="4" w:space="0"/>
              <w:left w:val="single" w:color="auto" w:sz="4" w:space="0"/>
              <w:bottom w:val="nil"/>
              <w:right w:val="nil"/>
              <w:tl2br w:val="nil"/>
              <w:tr2bl w:val="nil"/>
            </w:tcBorders>
            <w:shd w:val="clear" w:color="auto" w:fill="FFFFFF"/>
            <w:noWrap w:val="0"/>
            <w:vAlign w:val="top"/>
          </w:tcPr>
          <w:p w14:paraId="01DF6282">
            <w:pPr>
              <w:pStyle w:val="23"/>
              <w:spacing w:beforeLines="0" w:afterLines="0"/>
              <w:rPr>
                <w:rStyle w:val="19"/>
                <w:rFonts w:hint="default"/>
                <w:color w:val="auto"/>
                <w:sz w:val="24"/>
                <w:szCs w:val="24"/>
                <w:highlight w:val="none"/>
              </w:rPr>
            </w:pPr>
          </w:p>
        </w:tc>
        <w:tc>
          <w:tcPr>
            <w:tcW w:w="2083" w:type="dxa"/>
            <w:tcBorders>
              <w:top w:val="single" w:color="auto" w:sz="4" w:space="0"/>
              <w:left w:val="single" w:color="auto" w:sz="4" w:space="0"/>
              <w:bottom w:val="nil"/>
              <w:right w:val="nil"/>
              <w:tl2br w:val="nil"/>
              <w:tr2bl w:val="nil"/>
            </w:tcBorders>
            <w:shd w:val="clear" w:color="auto" w:fill="FFFFFF"/>
            <w:noWrap w:val="0"/>
            <w:vAlign w:val="top"/>
          </w:tcPr>
          <w:p w14:paraId="14EFA7D7">
            <w:pPr>
              <w:pStyle w:val="23"/>
              <w:spacing w:beforeLines="0" w:afterLines="0"/>
              <w:rPr>
                <w:rStyle w:val="19"/>
                <w:rFonts w:hint="default"/>
                <w:color w:val="auto"/>
                <w:sz w:val="24"/>
                <w:szCs w:val="24"/>
                <w:highlight w:val="none"/>
              </w:rPr>
            </w:pPr>
          </w:p>
        </w:tc>
        <w:tc>
          <w:tcPr>
            <w:tcW w:w="2093" w:type="dxa"/>
            <w:tcBorders>
              <w:top w:val="single" w:color="auto" w:sz="4" w:space="0"/>
              <w:left w:val="single" w:color="auto" w:sz="4" w:space="0"/>
              <w:bottom w:val="nil"/>
              <w:right w:val="single" w:color="auto" w:sz="4" w:space="0"/>
              <w:tl2br w:val="nil"/>
              <w:tr2bl w:val="nil"/>
            </w:tcBorders>
            <w:shd w:val="clear" w:color="auto" w:fill="FFFFFF"/>
            <w:noWrap w:val="0"/>
            <w:vAlign w:val="top"/>
          </w:tcPr>
          <w:p w14:paraId="68114228">
            <w:pPr>
              <w:pStyle w:val="23"/>
              <w:spacing w:beforeLines="0" w:afterLines="0"/>
              <w:rPr>
                <w:rStyle w:val="19"/>
                <w:rFonts w:hint="default"/>
                <w:color w:val="auto"/>
                <w:sz w:val="24"/>
                <w:szCs w:val="24"/>
                <w:highlight w:val="none"/>
              </w:rPr>
            </w:pPr>
          </w:p>
        </w:tc>
      </w:tr>
      <w:tr w14:paraId="240FEC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566" w:hRule="exact"/>
          <w:jc w:val="center"/>
        </w:trPr>
        <w:tc>
          <w:tcPr>
            <w:tcW w:w="2093" w:type="dxa"/>
            <w:tcBorders>
              <w:top w:val="single" w:color="auto" w:sz="4" w:space="0"/>
              <w:left w:val="single" w:color="auto" w:sz="4" w:space="0"/>
              <w:bottom w:val="nil"/>
              <w:right w:val="nil"/>
              <w:tl2br w:val="nil"/>
              <w:tr2bl w:val="nil"/>
            </w:tcBorders>
            <w:shd w:val="clear" w:color="auto" w:fill="FFFFFF"/>
            <w:noWrap w:val="0"/>
            <w:vAlign w:val="top"/>
          </w:tcPr>
          <w:p w14:paraId="0DD504B1">
            <w:pPr>
              <w:pStyle w:val="23"/>
              <w:spacing w:beforeLines="0" w:afterLines="0"/>
              <w:rPr>
                <w:rStyle w:val="19"/>
                <w:rFonts w:hint="default"/>
                <w:color w:val="auto"/>
                <w:sz w:val="24"/>
                <w:szCs w:val="24"/>
                <w:highlight w:val="none"/>
              </w:rPr>
            </w:pPr>
          </w:p>
        </w:tc>
        <w:tc>
          <w:tcPr>
            <w:tcW w:w="2083" w:type="dxa"/>
            <w:tcBorders>
              <w:top w:val="single" w:color="auto" w:sz="4" w:space="0"/>
              <w:left w:val="single" w:color="auto" w:sz="4" w:space="0"/>
              <w:bottom w:val="nil"/>
              <w:right w:val="nil"/>
              <w:tl2br w:val="nil"/>
              <w:tr2bl w:val="nil"/>
            </w:tcBorders>
            <w:shd w:val="clear" w:color="auto" w:fill="FFFFFF"/>
            <w:noWrap w:val="0"/>
            <w:vAlign w:val="top"/>
          </w:tcPr>
          <w:p w14:paraId="70E77633">
            <w:pPr>
              <w:pStyle w:val="23"/>
              <w:spacing w:beforeLines="0" w:afterLines="0"/>
              <w:rPr>
                <w:rStyle w:val="19"/>
                <w:rFonts w:hint="default"/>
                <w:color w:val="auto"/>
                <w:sz w:val="24"/>
                <w:szCs w:val="24"/>
                <w:highlight w:val="none"/>
              </w:rPr>
            </w:pPr>
          </w:p>
        </w:tc>
        <w:tc>
          <w:tcPr>
            <w:tcW w:w="2083" w:type="dxa"/>
            <w:tcBorders>
              <w:top w:val="single" w:color="auto" w:sz="4" w:space="0"/>
              <w:left w:val="single" w:color="auto" w:sz="4" w:space="0"/>
              <w:bottom w:val="nil"/>
              <w:right w:val="nil"/>
              <w:tl2br w:val="nil"/>
              <w:tr2bl w:val="nil"/>
            </w:tcBorders>
            <w:shd w:val="clear" w:color="auto" w:fill="FFFFFF"/>
            <w:noWrap w:val="0"/>
            <w:vAlign w:val="top"/>
          </w:tcPr>
          <w:p w14:paraId="1BCFD12E">
            <w:pPr>
              <w:pStyle w:val="23"/>
              <w:spacing w:beforeLines="0" w:afterLines="0"/>
              <w:rPr>
                <w:rStyle w:val="19"/>
                <w:rFonts w:hint="default"/>
                <w:color w:val="auto"/>
                <w:sz w:val="24"/>
                <w:szCs w:val="24"/>
                <w:highlight w:val="none"/>
              </w:rPr>
            </w:pPr>
          </w:p>
        </w:tc>
        <w:tc>
          <w:tcPr>
            <w:tcW w:w="2093" w:type="dxa"/>
            <w:tcBorders>
              <w:top w:val="single" w:color="auto" w:sz="4" w:space="0"/>
              <w:left w:val="single" w:color="auto" w:sz="4" w:space="0"/>
              <w:bottom w:val="nil"/>
              <w:right w:val="single" w:color="auto" w:sz="4" w:space="0"/>
              <w:tl2br w:val="nil"/>
              <w:tr2bl w:val="nil"/>
            </w:tcBorders>
            <w:shd w:val="clear" w:color="auto" w:fill="FFFFFF"/>
            <w:noWrap w:val="0"/>
            <w:vAlign w:val="top"/>
          </w:tcPr>
          <w:p w14:paraId="7B1B242E">
            <w:pPr>
              <w:pStyle w:val="23"/>
              <w:spacing w:beforeLines="0" w:afterLines="0"/>
              <w:rPr>
                <w:rStyle w:val="19"/>
                <w:rFonts w:hint="default"/>
                <w:color w:val="auto"/>
                <w:sz w:val="24"/>
                <w:szCs w:val="24"/>
                <w:highlight w:val="none"/>
              </w:rPr>
            </w:pPr>
          </w:p>
        </w:tc>
      </w:tr>
      <w:tr w14:paraId="78517A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566" w:hRule="exact"/>
          <w:jc w:val="center"/>
        </w:trPr>
        <w:tc>
          <w:tcPr>
            <w:tcW w:w="2093" w:type="dxa"/>
            <w:tcBorders>
              <w:top w:val="single" w:color="auto" w:sz="4" w:space="0"/>
              <w:left w:val="single" w:color="auto" w:sz="4" w:space="0"/>
              <w:bottom w:val="nil"/>
              <w:right w:val="nil"/>
              <w:tl2br w:val="nil"/>
              <w:tr2bl w:val="nil"/>
            </w:tcBorders>
            <w:shd w:val="clear" w:color="auto" w:fill="FFFFFF"/>
            <w:noWrap w:val="0"/>
            <w:vAlign w:val="top"/>
          </w:tcPr>
          <w:p w14:paraId="612F76CE">
            <w:pPr>
              <w:pStyle w:val="23"/>
              <w:spacing w:beforeLines="0" w:afterLines="0"/>
              <w:rPr>
                <w:rStyle w:val="19"/>
                <w:rFonts w:hint="default"/>
                <w:color w:val="auto"/>
                <w:sz w:val="24"/>
                <w:szCs w:val="24"/>
                <w:highlight w:val="none"/>
              </w:rPr>
            </w:pPr>
          </w:p>
        </w:tc>
        <w:tc>
          <w:tcPr>
            <w:tcW w:w="2083" w:type="dxa"/>
            <w:tcBorders>
              <w:top w:val="single" w:color="auto" w:sz="4" w:space="0"/>
              <w:left w:val="single" w:color="auto" w:sz="4" w:space="0"/>
              <w:bottom w:val="nil"/>
              <w:right w:val="nil"/>
              <w:tl2br w:val="nil"/>
              <w:tr2bl w:val="nil"/>
            </w:tcBorders>
            <w:shd w:val="clear" w:color="auto" w:fill="FFFFFF"/>
            <w:noWrap w:val="0"/>
            <w:vAlign w:val="top"/>
          </w:tcPr>
          <w:p w14:paraId="7DD84D6E">
            <w:pPr>
              <w:pStyle w:val="23"/>
              <w:spacing w:beforeLines="0" w:afterLines="0"/>
              <w:rPr>
                <w:rStyle w:val="19"/>
                <w:rFonts w:hint="default"/>
                <w:color w:val="auto"/>
                <w:sz w:val="24"/>
                <w:szCs w:val="24"/>
                <w:highlight w:val="none"/>
              </w:rPr>
            </w:pPr>
          </w:p>
        </w:tc>
        <w:tc>
          <w:tcPr>
            <w:tcW w:w="2083" w:type="dxa"/>
            <w:tcBorders>
              <w:top w:val="single" w:color="auto" w:sz="4" w:space="0"/>
              <w:left w:val="single" w:color="auto" w:sz="4" w:space="0"/>
              <w:bottom w:val="nil"/>
              <w:right w:val="nil"/>
              <w:tl2br w:val="nil"/>
              <w:tr2bl w:val="nil"/>
            </w:tcBorders>
            <w:shd w:val="clear" w:color="auto" w:fill="FFFFFF"/>
            <w:noWrap w:val="0"/>
            <w:vAlign w:val="top"/>
          </w:tcPr>
          <w:p w14:paraId="4F037E86">
            <w:pPr>
              <w:pStyle w:val="23"/>
              <w:spacing w:beforeLines="0" w:afterLines="0"/>
              <w:rPr>
                <w:rStyle w:val="19"/>
                <w:rFonts w:hint="default"/>
                <w:color w:val="auto"/>
                <w:sz w:val="24"/>
                <w:szCs w:val="24"/>
                <w:highlight w:val="none"/>
              </w:rPr>
            </w:pPr>
          </w:p>
        </w:tc>
        <w:tc>
          <w:tcPr>
            <w:tcW w:w="2093" w:type="dxa"/>
            <w:tcBorders>
              <w:top w:val="single" w:color="auto" w:sz="4" w:space="0"/>
              <w:left w:val="single" w:color="auto" w:sz="4" w:space="0"/>
              <w:bottom w:val="nil"/>
              <w:right w:val="single" w:color="auto" w:sz="4" w:space="0"/>
              <w:tl2br w:val="nil"/>
              <w:tr2bl w:val="nil"/>
            </w:tcBorders>
            <w:shd w:val="clear" w:color="auto" w:fill="FFFFFF"/>
            <w:noWrap w:val="0"/>
            <w:vAlign w:val="top"/>
          </w:tcPr>
          <w:p w14:paraId="21A264E2">
            <w:pPr>
              <w:pStyle w:val="23"/>
              <w:spacing w:beforeLines="0" w:afterLines="0"/>
              <w:rPr>
                <w:rStyle w:val="19"/>
                <w:rFonts w:hint="default"/>
                <w:color w:val="auto"/>
                <w:sz w:val="24"/>
                <w:szCs w:val="24"/>
                <w:highlight w:val="none"/>
              </w:rPr>
            </w:pPr>
          </w:p>
        </w:tc>
      </w:tr>
      <w:tr w14:paraId="1953D3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566" w:hRule="exact"/>
          <w:jc w:val="center"/>
        </w:trPr>
        <w:tc>
          <w:tcPr>
            <w:tcW w:w="2093" w:type="dxa"/>
            <w:tcBorders>
              <w:top w:val="single" w:color="auto" w:sz="4" w:space="0"/>
              <w:left w:val="single" w:color="auto" w:sz="4" w:space="0"/>
              <w:bottom w:val="nil"/>
              <w:right w:val="nil"/>
              <w:tl2br w:val="nil"/>
              <w:tr2bl w:val="nil"/>
            </w:tcBorders>
            <w:shd w:val="clear" w:color="auto" w:fill="FFFFFF"/>
            <w:noWrap w:val="0"/>
            <w:vAlign w:val="top"/>
          </w:tcPr>
          <w:p w14:paraId="0A1BAA16">
            <w:pPr>
              <w:pStyle w:val="23"/>
              <w:spacing w:beforeLines="0" w:afterLines="0"/>
              <w:rPr>
                <w:rStyle w:val="19"/>
                <w:rFonts w:hint="default"/>
                <w:color w:val="auto"/>
                <w:sz w:val="24"/>
                <w:szCs w:val="24"/>
                <w:highlight w:val="none"/>
              </w:rPr>
            </w:pPr>
          </w:p>
        </w:tc>
        <w:tc>
          <w:tcPr>
            <w:tcW w:w="2083" w:type="dxa"/>
            <w:tcBorders>
              <w:top w:val="single" w:color="auto" w:sz="4" w:space="0"/>
              <w:left w:val="single" w:color="auto" w:sz="4" w:space="0"/>
              <w:bottom w:val="nil"/>
              <w:right w:val="nil"/>
              <w:tl2br w:val="nil"/>
              <w:tr2bl w:val="nil"/>
            </w:tcBorders>
            <w:shd w:val="clear" w:color="auto" w:fill="FFFFFF"/>
            <w:noWrap w:val="0"/>
            <w:vAlign w:val="top"/>
          </w:tcPr>
          <w:p w14:paraId="41864A15">
            <w:pPr>
              <w:pStyle w:val="23"/>
              <w:spacing w:beforeLines="0" w:afterLines="0"/>
              <w:rPr>
                <w:rStyle w:val="19"/>
                <w:rFonts w:hint="default"/>
                <w:color w:val="auto"/>
                <w:sz w:val="24"/>
                <w:szCs w:val="24"/>
                <w:highlight w:val="none"/>
              </w:rPr>
            </w:pPr>
          </w:p>
        </w:tc>
        <w:tc>
          <w:tcPr>
            <w:tcW w:w="2083" w:type="dxa"/>
            <w:tcBorders>
              <w:top w:val="single" w:color="auto" w:sz="4" w:space="0"/>
              <w:left w:val="single" w:color="auto" w:sz="4" w:space="0"/>
              <w:bottom w:val="nil"/>
              <w:right w:val="nil"/>
              <w:tl2br w:val="nil"/>
              <w:tr2bl w:val="nil"/>
            </w:tcBorders>
            <w:shd w:val="clear" w:color="auto" w:fill="FFFFFF"/>
            <w:noWrap w:val="0"/>
            <w:vAlign w:val="top"/>
          </w:tcPr>
          <w:p w14:paraId="59F4A1C8">
            <w:pPr>
              <w:pStyle w:val="23"/>
              <w:spacing w:beforeLines="0" w:afterLines="0"/>
              <w:rPr>
                <w:rStyle w:val="19"/>
                <w:rFonts w:hint="default"/>
                <w:color w:val="auto"/>
                <w:sz w:val="24"/>
                <w:szCs w:val="24"/>
                <w:highlight w:val="none"/>
              </w:rPr>
            </w:pPr>
          </w:p>
        </w:tc>
        <w:tc>
          <w:tcPr>
            <w:tcW w:w="2093" w:type="dxa"/>
            <w:tcBorders>
              <w:top w:val="single" w:color="auto" w:sz="4" w:space="0"/>
              <w:left w:val="single" w:color="auto" w:sz="4" w:space="0"/>
              <w:bottom w:val="nil"/>
              <w:right w:val="single" w:color="auto" w:sz="4" w:space="0"/>
              <w:tl2br w:val="nil"/>
              <w:tr2bl w:val="nil"/>
            </w:tcBorders>
            <w:shd w:val="clear" w:color="auto" w:fill="FFFFFF"/>
            <w:noWrap w:val="0"/>
            <w:vAlign w:val="top"/>
          </w:tcPr>
          <w:p w14:paraId="1DCE5189">
            <w:pPr>
              <w:pStyle w:val="23"/>
              <w:spacing w:beforeLines="0" w:afterLines="0"/>
              <w:rPr>
                <w:rStyle w:val="19"/>
                <w:rFonts w:hint="default"/>
                <w:color w:val="auto"/>
                <w:sz w:val="24"/>
                <w:szCs w:val="24"/>
                <w:highlight w:val="none"/>
              </w:rPr>
            </w:pPr>
          </w:p>
        </w:tc>
      </w:tr>
      <w:tr w14:paraId="1F1B0A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576" w:hRule="exact"/>
          <w:jc w:val="center"/>
        </w:trPr>
        <w:tc>
          <w:tcPr>
            <w:tcW w:w="2093" w:type="dxa"/>
            <w:tcBorders>
              <w:top w:val="single" w:color="auto" w:sz="4" w:space="0"/>
              <w:left w:val="single" w:color="auto" w:sz="4" w:space="0"/>
              <w:bottom w:val="single" w:color="auto" w:sz="4" w:space="0"/>
              <w:right w:val="nil"/>
              <w:tl2br w:val="nil"/>
              <w:tr2bl w:val="nil"/>
            </w:tcBorders>
            <w:shd w:val="clear" w:color="auto" w:fill="FFFFFF"/>
            <w:noWrap w:val="0"/>
            <w:vAlign w:val="top"/>
          </w:tcPr>
          <w:p w14:paraId="44CC4E96">
            <w:pPr>
              <w:pStyle w:val="23"/>
              <w:spacing w:beforeLines="0" w:afterLines="0"/>
              <w:rPr>
                <w:rStyle w:val="19"/>
                <w:rFonts w:hint="default"/>
                <w:color w:val="auto"/>
                <w:sz w:val="24"/>
                <w:szCs w:val="24"/>
                <w:highlight w:val="none"/>
              </w:rPr>
            </w:pPr>
          </w:p>
        </w:tc>
        <w:tc>
          <w:tcPr>
            <w:tcW w:w="2083" w:type="dxa"/>
            <w:tcBorders>
              <w:top w:val="single" w:color="auto" w:sz="4" w:space="0"/>
              <w:left w:val="single" w:color="auto" w:sz="4" w:space="0"/>
              <w:bottom w:val="single" w:color="auto" w:sz="4" w:space="0"/>
              <w:right w:val="nil"/>
              <w:tl2br w:val="nil"/>
              <w:tr2bl w:val="nil"/>
            </w:tcBorders>
            <w:shd w:val="clear" w:color="auto" w:fill="FFFFFF"/>
            <w:noWrap w:val="0"/>
            <w:vAlign w:val="top"/>
          </w:tcPr>
          <w:p w14:paraId="0BB0D3CF">
            <w:pPr>
              <w:pStyle w:val="23"/>
              <w:spacing w:beforeLines="0" w:afterLines="0"/>
              <w:rPr>
                <w:rStyle w:val="19"/>
                <w:rFonts w:hint="default"/>
                <w:color w:val="auto"/>
                <w:sz w:val="24"/>
                <w:szCs w:val="24"/>
                <w:highlight w:val="none"/>
              </w:rPr>
            </w:pPr>
          </w:p>
        </w:tc>
        <w:tc>
          <w:tcPr>
            <w:tcW w:w="2083" w:type="dxa"/>
            <w:tcBorders>
              <w:top w:val="single" w:color="auto" w:sz="4" w:space="0"/>
              <w:left w:val="single" w:color="auto" w:sz="4" w:space="0"/>
              <w:bottom w:val="single" w:color="auto" w:sz="4" w:space="0"/>
              <w:right w:val="nil"/>
              <w:tl2br w:val="nil"/>
              <w:tr2bl w:val="nil"/>
            </w:tcBorders>
            <w:shd w:val="clear" w:color="auto" w:fill="FFFFFF"/>
            <w:noWrap w:val="0"/>
            <w:vAlign w:val="top"/>
          </w:tcPr>
          <w:p w14:paraId="71F1C3DD">
            <w:pPr>
              <w:pStyle w:val="23"/>
              <w:spacing w:beforeLines="0" w:afterLines="0"/>
              <w:rPr>
                <w:rStyle w:val="19"/>
                <w:rFonts w:hint="default"/>
                <w:color w:val="auto"/>
                <w:sz w:val="24"/>
                <w:szCs w:val="24"/>
                <w:highlight w:val="none"/>
              </w:rPr>
            </w:pPr>
          </w:p>
        </w:tc>
        <w:tc>
          <w:tcPr>
            <w:tcW w:w="2093" w:type="dxa"/>
            <w:tcBorders>
              <w:top w:val="single" w:color="auto" w:sz="4" w:space="0"/>
              <w:left w:val="single" w:color="auto" w:sz="4" w:space="0"/>
              <w:bottom w:val="single" w:color="auto" w:sz="4" w:space="0"/>
              <w:right w:val="single" w:color="auto" w:sz="4" w:space="0"/>
              <w:tl2br w:val="nil"/>
              <w:tr2bl w:val="nil"/>
            </w:tcBorders>
            <w:shd w:val="clear" w:color="auto" w:fill="FFFFFF"/>
            <w:noWrap w:val="0"/>
            <w:vAlign w:val="top"/>
          </w:tcPr>
          <w:p w14:paraId="659A1F53">
            <w:pPr>
              <w:pStyle w:val="23"/>
              <w:spacing w:beforeLines="0" w:afterLines="0"/>
              <w:rPr>
                <w:rStyle w:val="19"/>
                <w:rFonts w:hint="default"/>
                <w:color w:val="auto"/>
                <w:sz w:val="24"/>
                <w:szCs w:val="24"/>
                <w:highlight w:val="none"/>
              </w:rPr>
            </w:pPr>
          </w:p>
        </w:tc>
      </w:tr>
    </w:tbl>
    <w:p w14:paraId="30AF84B8">
      <w:pPr>
        <w:pageBreakBefore/>
        <w:spacing w:line="440" w:lineRule="exact"/>
        <w:jc w:val="left"/>
        <w:rPr>
          <w:rFonts w:hint="default" w:ascii="宋体" w:hAnsi="宋体" w:eastAsia="宋体" w:cs="宋体"/>
          <w:b/>
          <w:color w:val="auto"/>
          <w:sz w:val="36"/>
          <w:szCs w:val="24"/>
          <w:highlight w:val="none"/>
        </w:rPr>
      </w:pPr>
      <w:r>
        <w:rPr>
          <w:rFonts w:hint="default" w:ascii="宋体" w:hAnsi="宋体" w:eastAsia="宋体" w:cs="宋体"/>
          <w:b/>
          <w:color w:val="auto"/>
          <w:sz w:val="36"/>
          <w:szCs w:val="24"/>
          <w:highlight w:val="none"/>
        </w:rPr>
        <w:t>十四、按本竞争性磋商文件规定提交的其它资料。</w:t>
      </w:r>
    </w:p>
    <w:p w14:paraId="71A05A82">
      <w:pPr>
        <w:spacing w:line="440" w:lineRule="exact"/>
        <w:jc w:val="center"/>
        <w:rPr>
          <w:rFonts w:hint="default" w:ascii="宋体" w:hAnsi="宋体" w:eastAsia="宋体" w:cs="宋体"/>
          <w:b/>
          <w:color w:val="auto"/>
          <w:sz w:val="48"/>
          <w:szCs w:val="24"/>
          <w:highlight w:val="none"/>
        </w:rPr>
      </w:pPr>
    </w:p>
    <w:p w14:paraId="4BE1867A">
      <w:pPr>
        <w:spacing w:line="520" w:lineRule="exact"/>
        <w:ind w:firstLine="602" w:firstLineChars="200"/>
        <w:jc w:val="left"/>
        <w:rPr>
          <w:rFonts w:hint="default" w:ascii="宋体" w:hAnsi="宋体" w:eastAsia="宋体" w:cs="宋体"/>
          <w:b/>
          <w:color w:val="auto"/>
          <w:sz w:val="30"/>
          <w:szCs w:val="30"/>
          <w:highlight w:val="none"/>
        </w:rPr>
      </w:pPr>
    </w:p>
    <w:p w14:paraId="09B28079">
      <w:pPr>
        <w:autoSpaceDE w:val="0"/>
        <w:autoSpaceDN w:val="0"/>
        <w:spacing w:line="360" w:lineRule="auto"/>
        <w:ind w:left="4335" w:leftChars="1950" w:hanging="240" w:hangingChars="100"/>
        <w:rPr>
          <w:rFonts w:hint="default" w:ascii="宋体" w:hAnsi="宋体" w:eastAsia="宋体" w:cs="宋体"/>
          <w:color w:val="auto"/>
          <w:kern w:val="0"/>
          <w:sz w:val="24"/>
          <w:szCs w:val="24"/>
          <w:highlight w:val="none"/>
        </w:rPr>
      </w:pPr>
    </w:p>
    <w:p w14:paraId="26201D93">
      <w:pPr>
        <w:autoSpaceDE w:val="0"/>
        <w:autoSpaceDN w:val="0"/>
        <w:spacing w:line="360" w:lineRule="auto"/>
        <w:ind w:left="4335" w:leftChars="1950" w:hanging="240" w:hangingChars="100"/>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供应商名称（电子签章）：</w:t>
      </w:r>
    </w:p>
    <w:p w14:paraId="77159227">
      <w:pPr>
        <w:autoSpaceDE w:val="0"/>
        <w:autoSpaceDN w:val="0"/>
        <w:spacing w:line="360" w:lineRule="auto"/>
        <w:ind w:firstLine="6480" w:firstLineChars="2700"/>
        <w:rPr>
          <w:rFonts w:hint="default" w:ascii="宋体" w:hAnsi="宋体" w:eastAsia="宋体" w:cs="宋体"/>
          <w:color w:val="auto"/>
          <w:kern w:val="0"/>
          <w:sz w:val="24"/>
          <w:szCs w:val="24"/>
          <w:highlight w:val="none"/>
          <w:lang w:val="zh-CN"/>
        </w:rPr>
      </w:pPr>
      <w:r>
        <w:rPr>
          <w:rFonts w:hint="default" w:ascii="宋体" w:hAnsi="宋体" w:eastAsia="宋体" w:cs="宋体"/>
          <w:color w:val="auto"/>
          <w:kern w:val="0"/>
          <w:sz w:val="24"/>
          <w:szCs w:val="24"/>
          <w:highlight w:val="none"/>
          <w:lang w:val="zh-CN"/>
        </w:rPr>
        <w:t>日期：  年  月   日</w:t>
      </w:r>
    </w:p>
    <w:p w14:paraId="02C9270A">
      <w:pPr>
        <w:snapToGrid w:val="0"/>
        <w:spacing w:line="360" w:lineRule="auto"/>
        <w:ind w:firstLine="482" w:firstLineChars="200"/>
        <w:rPr>
          <w:rFonts w:hint="default" w:ascii="宋体" w:hAnsi="宋体" w:eastAsia="宋体" w:cs="宋体"/>
          <w:b/>
          <w:color w:val="auto"/>
          <w:sz w:val="24"/>
          <w:szCs w:val="24"/>
          <w:highlight w:val="none"/>
        </w:rPr>
        <w:sectPr>
          <w:headerReference r:id="rId10" w:type="default"/>
          <w:footerReference r:id="rId11" w:type="default"/>
          <w:pgSz w:w="11910" w:h="16840"/>
          <w:pgMar w:top="1340" w:right="1500" w:bottom="280" w:left="1680" w:header="720" w:footer="720" w:gutter="0"/>
          <w:lnNumType w:countBy="0" w:distance="360"/>
          <w:cols w:space="720" w:num="1"/>
        </w:sectPr>
      </w:pPr>
    </w:p>
    <w:p w14:paraId="7071F9D4">
      <w:pPr>
        <w:autoSpaceDE w:val="0"/>
        <w:autoSpaceDN w:val="0"/>
        <w:spacing w:line="360" w:lineRule="auto"/>
        <w:ind w:firstLine="6505" w:firstLineChars="2700"/>
        <w:rPr>
          <w:rFonts w:hint="default" w:ascii="宋体" w:hAnsi="宋体" w:eastAsia="宋体" w:cs="宋体"/>
          <w:b/>
          <w:color w:val="auto"/>
          <w:sz w:val="24"/>
          <w:szCs w:val="24"/>
          <w:highlight w:val="none"/>
        </w:rPr>
      </w:pPr>
    </w:p>
    <w:p w14:paraId="3FEA8326">
      <w:pPr>
        <w:keepNext/>
        <w:keepLines/>
        <w:spacing w:before="260" w:after="260" w:line="416" w:lineRule="auto"/>
        <w:jc w:val="center"/>
        <w:outlineLvl w:val="1"/>
        <w:rPr>
          <w:rFonts w:hint="default" w:ascii="宋体" w:hAnsi="宋体" w:eastAsia="宋体" w:cs="宋体"/>
          <w:b/>
          <w:color w:val="auto"/>
          <w:sz w:val="32"/>
          <w:szCs w:val="32"/>
          <w:highlight w:val="none"/>
        </w:rPr>
      </w:pPr>
      <w:bookmarkStart w:id="144" w:name="_Toc27859"/>
      <w:bookmarkStart w:id="145" w:name="_Toc80205941"/>
      <w:r>
        <w:rPr>
          <w:rFonts w:hint="default" w:ascii="宋体" w:hAnsi="宋体" w:eastAsia="宋体" w:cs="宋体"/>
          <w:b/>
          <w:color w:val="auto"/>
          <w:sz w:val="32"/>
          <w:szCs w:val="32"/>
          <w:highlight w:val="none"/>
        </w:rPr>
        <w:t>第四节 报价文件格式</w:t>
      </w:r>
      <w:bookmarkEnd w:id="144"/>
      <w:bookmarkEnd w:id="145"/>
    </w:p>
    <w:p w14:paraId="4238AD10">
      <w:pPr>
        <w:snapToGrid w:val="0"/>
        <w:spacing w:before="120" w:beforeLines="50" w:after="50"/>
        <w:rPr>
          <w:rFonts w:hint="default" w:ascii="宋体" w:hAnsi="宋体" w:eastAsia="宋体" w:cs="宋体"/>
          <w:color w:val="auto"/>
          <w:sz w:val="32"/>
          <w:szCs w:val="20"/>
          <w:highlight w:val="none"/>
        </w:rPr>
      </w:pPr>
      <w:r>
        <w:rPr>
          <w:rFonts w:hint="default" w:ascii="宋体" w:hAnsi="宋体" w:eastAsia="宋体" w:cs="宋体"/>
          <w:color w:val="auto"/>
          <w:sz w:val="24"/>
          <w:szCs w:val="24"/>
          <w:highlight w:val="none"/>
        </w:rPr>
        <w:t xml:space="preserve">                                                    </w:t>
      </w:r>
      <w:r>
        <w:rPr>
          <w:rFonts w:hint="default" w:ascii="宋体" w:hAnsi="宋体" w:eastAsia="宋体" w:cs="宋体"/>
          <w:color w:val="auto"/>
          <w:sz w:val="21"/>
          <w:szCs w:val="24"/>
          <w:highlight w:val="none"/>
        </w:rPr>
        <w:t>全流程电子文件</w:t>
      </w:r>
    </w:p>
    <w:p w14:paraId="35F1E1C5">
      <w:pPr>
        <w:snapToGrid w:val="0"/>
        <w:spacing w:before="120" w:beforeLines="50" w:after="50"/>
        <w:rPr>
          <w:rFonts w:hint="default" w:ascii="宋体" w:hAnsi="宋体" w:eastAsia="宋体" w:cs="宋体"/>
          <w:color w:val="auto"/>
          <w:sz w:val="24"/>
          <w:szCs w:val="20"/>
          <w:highlight w:val="none"/>
        </w:rPr>
      </w:pPr>
    </w:p>
    <w:p w14:paraId="64C6350E">
      <w:pPr>
        <w:snapToGrid w:val="0"/>
        <w:spacing w:before="120" w:beforeLines="50" w:after="50"/>
        <w:rPr>
          <w:rFonts w:hint="default" w:ascii="宋体" w:hAnsi="宋体" w:eastAsia="宋体" w:cs="宋体"/>
          <w:color w:val="auto"/>
          <w:sz w:val="24"/>
          <w:szCs w:val="20"/>
          <w:highlight w:val="none"/>
        </w:rPr>
      </w:pPr>
    </w:p>
    <w:p w14:paraId="37FAD48F">
      <w:pPr>
        <w:snapToGrid w:val="0"/>
        <w:spacing w:before="120" w:beforeLines="50" w:after="50"/>
        <w:rPr>
          <w:rFonts w:hint="default" w:ascii="宋体" w:hAnsi="宋体" w:eastAsia="宋体" w:cs="宋体"/>
          <w:color w:val="auto"/>
          <w:sz w:val="24"/>
          <w:szCs w:val="20"/>
          <w:highlight w:val="none"/>
        </w:rPr>
      </w:pPr>
    </w:p>
    <w:p w14:paraId="2B572F38">
      <w:pPr>
        <w:snapToGrid w:val="0"/>
        <w:spacing w:before="120" w:beforeLines="50" w:after="50"/>
        <w:jc w:val="center"/>
        <w:rPr>
          <w:rFonts w:hint="default" w:ascii="宋体" w:hAnsi="宋体" w:eastAsia="宋体" w:cs="宋体"/>
          <w:color w:val="auto"/>
          <w:sz w:val="44"/>
          <w:szCs w:val="44"/>
          <w:highlight w:val="none"/>
        </w:rPr>
      </w:pPr>
      <w:r>
        <w:rPr>
          <w:rFonts w:hint="default" w:ascii="宋体" w:hAnsi="宋体" w:eastAsia="宋体" w:cs="宋体"/>
          <w:color w:val="auto"/>
          <w:sz w:val="44"/>
          <w:szCs w:val="44"/>
          <w:highlight w:val="none"/>
        </w:rPr>
        <w:t>报  价  文  件（封面）</w:t>
      </w:r>
    </w:p>
    <w:p w14:paraId="11DD595D">
      <w:pPr>
        <w:snapToGrid w:val="0"/>
        <w:spacing w:before="120" w:beforeLines="50" w:after="50"/>
        <w:rPr>
          <w:rFonts w:hint="default" w:ascii="宋体" w:hAnsi="宋体" w:eastAsia="宋体" w:cs="宋体"/>
          <w:color w:val="auto"/>
          <w:sz w:val="24"/>
          <w:szCs w:val="20"/>
          <w:highlight w:val="none"/>
        </w:rPr>
      </w:pPr>
    </w:p>
    <w:p w14:paraId="2897B66E">
      <w:pPr>
        <w:snapToGrid w:val="0"/>
        <w:spacing w:before="120" w:beforeLines="50" w:after="50"/>
        <w:rPr>
          <w:rFonts w:hint="default" w:ascii="宋体" w:hAnsi="宋体" w:eastAsia="宋体" w:cs="宋体"/>
          <w:color w:val="auto"/>
          <w:sz w:val="24"/>
          <w:szCs w:val="20"/>
          <w:highlight w:val="none"/>
        </w:rPr>
      </w:pPr>
    </w:p>
    <w:p w14:paraId="6A4A0036">
      <w:pPr>
        <w:snapToGrid w:val="0"/>
        <w:spacing w:before="120" w:beforeLines="50" w:after="50"/>
        <w:rPr>
          <w:rFonts w:hint="default" w:ascii="宋体" w:hAnsi="宋体" w:eastAsia="宋体" w:cs="宋体"/>
          <w:color w:val="auto"/>
          <w:sz w:val="24"/>
          <w:szCs w:val="20"/>
          <w:highlight w:val="none"/>
        </w:rPr>
      </w:pPr>
    </w:p>
    <w:p w14:paraId="70A5993F">
      <w:pPr>
        <w:snapToGrid w:val="0"/>
        <w:spacing w:before="120" w:beforeLines="50" w:after="50"/>
        <w:rPr>
          <w:rFonts w:hint="default" w:ascii="宋体" w:hAnsi="宋体" w:eastAsia="宋体" w:cs="宋体"/>
          <w:color w:val="auto"/>
          <w:sz w:val="24"/>
          <w:szCs w:val="20"/>
          <w:highlight w:val="none"/>
        </w:rPr>
      </w:pPr>
    </w:p>
    <w:p w14:paraId="0A020AF5">
      <w:pPr>
        <w:snapToGrid w:val="0"/>
        <w:spacing w:before="120" w:beforeLines="50" w:after="50"/>
        <w:rPr>
          <w:rFonts w:hint="default" w:ascii="宋体" w:hAnsi="宋体" w:eastAsia="宋体" w:cs="宋体"/>
          <w:color w:val="auto"/>
          <w:sz w:val="24"/>
          <w:szCs w:val="20"/>
          <w:highlight w:val="none"/>
        </w:rPr>
      </w:pPr>
    </w:p>
    <w:p w14:paraId="6BFBF44C">
      <w:pPr>
        <w:snapToGrid w:val="0"/>
        <w:spacing w:before="120" w:beforeLines="50" w:after="50"/>
        <w:ind w:firstLine="640" w:firstLineChars="200"/>
        <w:rPr>
          <w:rFonts w:hint="default" w:ascii="宋体" w:hAnsi="宋体" w:eastAsia="宋体" w:cs="宋体"/>
          <w:color w:val="auto"/>
          <w:sz w:val="32"/>
          <w:szCs w:val="32"/>
          <w:highlight w:val="none"/>
        </w:rPr>
      </w:pPr>
      <w:r>
        <w:rPr>
          <w:rFonts w:hint="default" w:ascii="宋体" w:hAnsi="宋体" w:eastAsia="宋体" w:cs="宋体"/>
          <w:color w:val="auto"/>
          <w:sz w:val="32"/>
          <w:szCs w:val="32"/>
          <w:highlight w:val="none"/>
        </w:rPr>
        <w:t>项目名称：　</w:t>
      </w:r>
    </w:p>
    <w:p w14:paraId="3783C5AA">
      <w:pPr>
        <w:snapToGrid w:val="0"/>
        <w:spacing w:before="120" w:beforeLines="50" w:after="50"/>
        <w:ind w:firstLine="720" w:firstLineChars="225"/>
        <w:rPr>
          <w:rFonts w:hint="default" w:ascii="宋体" w:hAnsi="宋体" w:eastAsia="宋体" w:cs="宋体"/>
          <w:color w:val="auto"/>
          <w:sz w:val="32"/>
          <w:szCs w:val="32"/>
          <w:highlight w:val="none"/>
        </w:rPr>
      </w:pPr>
    </w:p>
    <w:p w14:paraId="405F0C8D">
      <w:pPr>
        <w:snapToGrid w:val="0"/>
        <w:spacing w:before="120" w:beforeLines="50" w:after="50"/>
        <w:ind w:firstLine="640" w:firstLineChars="200"/>
        <w:rPr>
          <w:rFonts w:hint="default" w:ascii="宋体" w:hAnsi="宋体" w:eastAsia="宋体" w:cs="宋体"/>
          <w:color w:val="auto"/>
          <w:sz w:val="32"/>
          <w:szCs w:val="32"/>
          <w:highlight w:val="none"/>
        </w:rPr>
      </w:pPr>
      <w:r>
        <w:rPr>
          <w:rFonts w:hint="default" w:ascii="宋体" w:hAnsi="宋体" w:eastAsia="宋体" w:cs="宋体"/>
          <w:color w:val="auto"/>
          <w:sz w:val="32"/>
          <w:szCs w:val="32"/>
          <w:highlight w:val="none"/>
        </w:rPr>
        <w:t>项目编号：　</w:t>
      </w:r>
    </w:p>
    <w:p w14:paraId="1D567D07">
      <w:pPr>
        <w:snapToGrid w:val="0"/>
        <w:spacing w:before="120" w:beforeLines="50" w:after="50"/>
        <w:ind w:firstLine="720" w:firstLineChars="225"/>
        <w:rPr>
          <w:rFonts w:hint="default" w:ascii="宋体" w:hAnsi="宋体" w:eastAsia="宋体" w:cs="宋体"/>
          <w:color w:val="auto"/>
          <w:sz w:val="32"/>
          <w:szCs w:val="32"/>
          <w:highlight w:val="none"/>
        </w:rPr>
      </w:pPr>
      <w:r>
        <w:rPr>
          <w:rFonts w:hint="default" w:ascii="宋体" w:hAnsi="宋体" w:eastAsia="宋体" w:cs="宋体"/>
          <w:color w:val="auto"/>
          <w:sz w:val="32"/>
          <w:szCs w:val="32"/>
          <w:highlight w:val="none"/>
        </w:rPr>
        <w:t xml:space="preserve"> </w:t>
      </w:r>
    </w:p>
    <w:p w14:paraId="59C93951">
      <w:pPr>
        <w:snapToGrid w:val="0"/>
        <w:spacing w:before="120" w:beforeLines="50" w:after="50"/>
        <w:ind w:firstLine="640" w:firstLineChars="200"/>
        <w:rPr>
          <w:rFonts w:hint="default" w:ascii="宋体" w:hAnsi="宋体" w:eastAsia="宋体" w:cs="宋体"/>
          <w:color w:val="auto"/>
          <w:sz w:val="32"/>
          <w:szCs w:val="32"/>
          <w:highlight w:val="none"/>
        </w:rPr>
      </w:pPr>
      <w:r>
        <w:rPr>
          <w:rFonts w:hint="default" w:ascii="宋体" w:hAnsi="宋体" w:eastAsia="宋体" w:cs="宋体"/>
          <w:color w:val="auto"/>
          <w:sz w:val="32"/>
          <w:szCs w:val="32"/>
          <w:highlight w:val="none"/>
        </w:rPr>
        <w:t>所竞分标（如有则填写，无分标时填写“无”或者留空）：</w:t>
      </w:r>
    </w:p>
    <w:p w14:paraId="62859155">
      <w:pPr>
        <w:snapToGrid w:val="0"/>
        <w:spacing w:before="120" w:beforeLines="50" w:after="50"/>
        <w:ind w:firstLine="720" w:firstLineChars="225"/>
        <w:rPr>
          <w:rFonts w:hint="default" w:ascii="宋体" w:hAnsi="宋体" w:eastAsia="宋体" w:cs="宋体"/>
          <w:color w:val="auto"/>
          <w:sz w:val="32"/>
          <w:szCs w:val="32"/>
          <w:highlight w:val="none"/>
        </w:rPr>
      </w:pPr>
    </w:p>
    <w:p w14:paraId="40C884EA">
      <w:pPr>
        <w:snapToGrid w:val="0"/>
        <w:spacing w:before="50" w:after="50"/>
        <w:ind w:firstLine="640" w:firstLineChars="200"/>
        <w:rPr>
          <w:rFonts w:hint="default" w:ascii="宋体" w:hAnsi="宋体" w:eastAsia="宋体" w:cs="宋体"/>
          <w:color w:val="auto"/>
          <w:sz w:val="32"/>
          <w:szCs w:val="32"/>
          <w:highlight w:val="none"/>
        </w:rPr>
      </w:pPr>
      <w:r>
        <w:rPr>
          <w:rFonts w:hint="default" w:ascii="宋体" w:hAnsi="宋体" w:eastAsia="宋体" w:cs="宋体"/>
          <w:color w:val="auto"/>
          <w:sz w:val="32"/>
          <w:szCs w:val="32"/>
          <w:highlight w:val="none"/>
        </w:rPr>
        <w:t>供应商名称：</w:t>
      </w:r>
    </w:p>
    <w:p w14:paraId="497B1D38">
      <w:pPr>
        <w:snapToGrid w:val="0"/>
        <w:spacing w:before="50" w:after="50"/>
        <w:ind w:firstLine="720" w:firstLineChars="225"/>
        <w:rPr>
          <w:rFonts w:hint="default" w:ascii="宋体" w:hAnsi="宋体" w:eastAsia="宋体" w:cs="宋体"/>
          <w:color w:val="auto"/>
          <w:sz w:val="32"/>
          <w:szCs w:val="32"/>
          <w:highlight w:val="none"/>
        </w:rPr>
      </w:pPr>
    </w:p>
    <w:p w14:paraId="34D0072E">
      <w:pPr>
        <w:snapToGrid w:val="0"/>
        <w:spacing w:before="50" w:after="50"/>
        <w:ind w:firstLine="720" w:firstLineChars="225"/>
        <w:rPr>
          <w:rFonts w:hint="default" w:ascii="宋体" w:hAnsi="宋体" w:eastAsia="宋体" w:cs="宋体"/>
          <w:color w:val="auto"/>
          <w:sz w:val="32"/>
          <w:szCs w:val="32"/>
          <w:highlight w:val="none"/>
        </w:rPr>
      </w:pPr>
    </w:p>
    <w:p w14:paraId="58888183">
      <w:pPr>
        <w:snapToGrid w:val="0"/>
        <w:spacing w:before="50" w:after="50"/>
        <w:ind w:firstLine="1280" w:firstLineChars="400"/>
        <w:rPr>
          <w:rFonts w:hint="default" w:ascii="宋体" w:hAnsi="宋体" w:eastAsia="宋体" w:cs="宋体"/>
          <w:color w:val="auto"/>
          <w:sz w:val="32"/>
          <w:szCs w:val="32"/>
          <w:highlight w:val="none"/>
        </w:rPr>
      </w:pPr>
    </w:p>
    <w:p w14:paraId="1E2DE5A0">
      <w:pPr>
        <w:snapToGrid w:val="0"/>
        <w:spacing w:before="120" w:beforeLines="50" w:after="50"/>
        <w:jc w:val="center"/>
        <w:rPr>
          <w:rFonts w:hint="default" w:ascii="宋体" w:hAnsi="宋体" w:eastAsia="宋体" w:cs="宋体"/>
          <w:color w:val="auto"/>
          <w:sz w:val="32"/>
          <w:szCs w:val="32"/>
          <w:highlight w:val="none"/>
        </w:rPr>
      </w:pPr>
      <w:r>
        <w:rPr>
          <w:rFonts w:hint="default" w:ascii="宋体" w:hAnsi="宋体" w:eastAsia="宋体" w:cs="宋体"/>
          <w:color w:val="auto"/>
          <w:sz w:val="32"/>
          <w:szCs w:val="32"/>
          <w:highlight w:val="none"/>
        </w:rPr>
        <w:t>年    月    日</w:t>
      </w:r>
    </w:p>
    <w:p w14:paraId="01172FB8">
      <w:pPr>
        <w:snapToGrid w:val="0"/>
        <w:spacing w:before="120" w:beforeLines="50" w:after="50" w:line="400" w:lineRule="exact"/>
        <w:jc w:val="center"/>
        <w:rPr>
          <w:rFonts w:hint="default" w:ascii="宋体" w:hAnsi="宋体" w:eastAsia="宋体" w:cs="宋体"/>
          <w:b/>
          <w:color w:val="auto"/>
          <w:sz w:val="32"/>
          <w:szCs w:val="32"/>
          <w:highlight w:val="none"/>
        </w:rPr>
      </w:pPr>
      <w:r>
        <w:rPr>
          <w:rFonts w:hint="default" w:ascii="宋体" w:hAnsi="宋体" w:eastAsia="宋体" w:cs="宋体"/>
          <w:color w:val="auto"/>
          <w:sz w:val="24"/>
          <w:szCs w:val="24"/>
          <w:highlight w:val="none"/>
        </w:rPr>
        <w:br w:type="page"/>
      </w:r>
      <w:r>
        <w:rPr>
          <w:rFonts w:hint="default" w:ascii="宋体" w:hAnsi="宋体" w:eastAsia="宋体" w:cs="宋体"/>
          <w:b/>
          <w:color w:val="auto"/>
          <w:sz w:val="32"/>
          <w:szCs w:val="32"/>
          <w:highlight w:val="none"/>
        </w:rPr>
        <w:t>报价文件目录</w:t>
      </w:r>
    </w:p>
    <w:p w14:paraId="051A727A">
      <w:pPr>
        <w:spacing w:line="480" w:lineRule="exact"/>
        <w:rPr>
          <w:rFonts w:hint="default" w:ascii="宋体" w:hAnsi="宋体" w:eastAsia="宋体" w:cs="宋体"/>
          <w:color w:val="auto"/>
          <w:sz w:val="21"/>
          <w:szCs w:val="24"/>
          <w:highlight w:val="none"/>
        </w:rPr>
      </w:pPr>
    </w:p>
    <w:p w14:paraId="2FB05342">
      <w:pPr>
        <w:spacing w:line="480" w:lineRule="exact"/>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一、响应函……………………………………………………………………（页码）</w:t>
      </w:r>
    </w:p>
    <w:p w14:paraId="4A359DD3">
      <w:pPr>
        <w:spacing w:line="480" w:lineRule="exact"/>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二、响应报价表………………………………………………………………（页码）</w:t>
      </w:r>
    </w:p>
    <w:p w14:paraId="6A18E022">
      <w:pPr>
        <w:spacing w:line="480" w:lineRule="exact"/>
        <w:rPr>
          <w:rFonts w:hint="default" w:ascii="宋体" w:hAnsi="宋体" w:eastAsia="宋体" w:cs="宋体"/>
          <w:color w:val="auto"/>
          <w:sz w:val="24"/>
          <w:szCs w:val="24"/>
          <w:highlight w:val="none"/>
        </w:rPr>
      </w:pPr>
      <w:r>
        <w:rPr>
          <w:rFonts w:hint="default" w:ascii="宋体" w:hAnsi="宋体" w:eastAsia="宋体" w:cs="宋体"/>
          <w:color w:val="auto"/>
          <w:kern w:val="0"/>
          <w:sz w:val="24"/>
          <w:szCs w:val="24"/>
          <w:highlight w:val="none"/>
        </w:rPr>
        <w:t>三、工程量清单报价有关资料………………………………………………（页码）</w:t>
      </w:r>
    </w:p>
    <w:p w14:paraId="32FC981A">
      <w:pPr>
        <w:snapToGrid w:val="0"/>
        <w:spacing w:before="120" w:beforeLines="50" w:after="50" w:line="360" w:lineRule="auto"/>
        <w:ind w:left="142" w:firstLine="640" w:firstLineChars="200"/>
        <w:jc w:val="left"/>
        <w:rPr>
          <w:rFonts w:hint="default" w:ascii="宋体" w:hAnsi="宋体" w:eastAsia="宋体" w:cs="宋体"/>
          <w:color w:val="auto"/>
          <w:sz w:val="32"/>
          <w:szCs w:val="32"/>
          <w:highlight w:val="none"/>
        </w:rPr>
      </w:pPr>
    </w:p>
    <w:p w14:paraId="228A0F24">
      <w:pPr>
        <w:snapToGrid w:val="0"/>
        <w:spacing w:before="120" w:beforeLines="50" w:after="50" w:line="360" w:lineRule="auto"/>
        <w:ind w:left="142" w:firstLine="480" w:firstLineChars="200"/>
        <w:jc w:val="left"/>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br w:type="page"/>
      </w:r>
      <w:r>
        <w:rPr>
          <w:rFonts w:hint="default" w:ascii="宋体" w:hAnsi="宋体" w:eastAsia="宋体" w:cs="宋体"/>
          <w:b/>
          <w:color w:val="auto"/>
          <w:sz w:val="32"/>
          <w:szCs w:val="32"/>
          <w:highlight w:val="none"/>
        </w:rPr>
        <w:t>一、响应函</w:t>
      </w:r>
    </w:p>
    <w:p w14:paraId="3F5FE0AB">
      <w:pPr>
        <w:spacing w:line="500" w:lineRule="exact"/>
        <w:jc w:val="center"/>
        <w:rPr>
          <w:rFonts w:hint="default" w:ascii="宋体" w:hAnsi="宋体" w:eastAsia="宋体" w:cs="宋体"/>
          <w:b/>
          <w:color w:val="auto"/>
          <w:kern w:val="0"/>
          <w:sz w:val="30"/>
          <w:szCs w:val="30"/>
          <w:highlight w:val="none"/>
        </w:rPr>
      </w:pPr>
      <w:r>
        <w:rPr>
          <w:rFonts w:hint="default" w:ascii="宋体" w:hAnsi="宋体" w:eastAsia="宋体" w:cs="宋体"/>
          <w:b/>
          <w:color w:val="auto"/>
          <w:kern w:val="0"/>
          <w:sz w:val="30"/>
          <w:szCs w:val="30"/>
          <w:highlight w:val="none"/>
        </w:rPr>
        <w:t>响应函</w:t>
      </w:r>
    </w:p>
    <w:p w14:paraId="7837B862">
      <w:pPr>
        <w:spacing w:line="360" w:lineRule="auto"/>
        <w:jc w:val="left"/>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致：</w:t>
      </w:r>
      <w:r>
        <w:rPr>
          <w:rFonts w:hint="default" w:ascii="宋体" w:hAnsi="宋体" w:eastAsia="宋体" w:cs="宋体"/>
          <w:color w:val="auto"/>
          <w:kern w:val="0"/>
          <w:sz w:val="24"/>
          <w:szCs w:val="24"/>
          <w:highlight w:val="none"/>
          <w:u w:val="single"/>
        </w:rPr>
        <w:t xml:space="preserve"> 采购人 </w:t>
      </w:r>
    </w:p>
    <w:p w14:paraId="4C353405">
      <w:pPr>
        <w:spacing w:line="360" w:lineRule="auto"/>
        <w:ind w:firstLine="480" w:firstLineChars="200"/>
        <w:jc w:val="left"/>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我方已仔细阅读了贵方组织的</w:t>
      </w:r>
      <w:r>
        <w:rPr>
          <w:rFonts w:hint="default" w:ascii="宋体" w:hAnsi="宋体" w:eastAsia="宋体" w:cs="宋体"/>
          <w:color w:val="auto"/>
          <w:kern w:val="0"/>
          <w:sz w:val="24"/>
          <w:szCs w:val="24"/>
          <w:highlight w:val="none"/>
          <w:u w:val="single"/>
        </w:rPr>
        <w:t xml:space="preserve"> 　　　　 </w:t>
      </w:r>
      <w:r>
        <w:rPr>
          <w:rFonts w:hint="default" w:ascii="宋体" w:hAnsi="宋体" w:eastAsia="宋体" w:cs="宋体"/>
          <w:color w:val="auto"/>
          <w:kern w:val="0"/>
          <w:sz w:val="24"/>
          <w:szCs w:val="24"/>
          <w:highlight w:val="none"/>
        </w:rPr>
        <w:t>项目（项目编号：</w:t>
      </w:r>
      <w:r>
        <w:rPr>
          <w:rFonts w:hint="default" w:ascii="宋体" w:hAnsi="宋体" w:eastAsia="宋体" w:cs="宋体"/>
          <w:color w:val="auto"/>
          <w:kern w:val="0"/>
          <w:sz w:val="24"/>
          <w:szCs w:val="24"/>
          <w:highlight w:val="none"/>
          <w:u w:val="single"/>
        </w:rPr>
        <w:t xml:space="preserve"> 　　　　　</w:t>
      </w:r>
      <w:r>
        <w:rPr>
          <w:rFonts w:hint="default" w:ascii="宋体" w:hAnsi="宋体" w:eastAsia="宋体" w:cs="宋体"/>
          <w:color w:val="auto"/>
          <w:kern w:val="0"/>
          <w:sz w:val="24"/>
          <w:szCs w:val="24"/>
          <w:highlight w:val="none"/>
        </w:rPr>
        <w:t xml:space="preserve">）的竞争性磋商采购文件的全部内容，现正式递交下述文件参加贵方组织的本次政府采购活动： </w:t>
      </w:r>
    </w:p>
    <w:p w14:paraId="16E9F23B">
      <w:pPr>
        <w:spacing w:line="360" w:lineRule="auto"/>
        <w:ind w:firstLine="480" w:firstLineChars="200"/>
        <w:jc w:val="left"/>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一、首次报价文件电子版</w:t>
      </w:r>
      <w:r>
        <w:rPr>
          <w:rFonts w:hint="default" w:ascii="宋体" w:hAnsi="宋体" w:eastAsia="宋体" w:cs="宋体"/>
          <w:color w:val="auto"/>
          <w:kern w:val="0"/>
          <w:sz w:val="24"/>
          <w:szCs w:val="24"/>
          <w:highlight w:val="none"/>
          <w:u w:val="single"/>
        </w:rPr>
        <w:t xml:space="preserve">   </w:t>
      </w:r>
      <w:r>
        <w:rPr>
          <w:rFonts w:hint="default" w:ascii="宋体" w:hAnsi="宋体" w:eastAsia="宋体" w:cs="宋体"/>
          <w:color w:val="auto"/>
          <w:kern w:val="0"/>
          <w:sz w:val="24"/>
          <w:szCs w:val="24"/>
          <w:highlight w:val="none"/>
        </w:rPr>
        <w:t>份（包含按“第三章 供应商须知”提交的全部文件）；</w:t>
      </w:r>
    </w:p>
    <w:p w14:paraId="6B012C75">
      <w:pPr>
        <w:spacing w:line="360" w:lineRule="auto"/>
        <w:ind w:firstLine="480" w:firstLineChars="200"/>
        <w:jc w:val="left"/>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二、技术文件电子版</w:t>
      </w:r>
      <w:r>
        <w:rPr>
          <w:rFonts w:hint="default" w:ascii="宋体" w:hAnsi="宋体" w:eastAsia="宋体" w:cs="宋体"/>
          <w:color w:val="auto"/>
          <w:kern w:val="0"/>
          <w:sz w:val="24"/>
          <w:szCs w:val="24"/>
          <w:highlight w:val="none"/>
          <w:u w:val="single"/>
        </w:rPr>
        <w:t xml:space="preserve">   </w:t>
      </w:r>
      <w:r>
        <w:rPr>
          <w:rFonts w:hint="default" w:ascii="宋体" w:hAnsi="宋体" w:eastAsia="宋体" w:cs="宋体"/>
          <w:color w:val="auto"/>
          <w:kern w:val="0"/>
          <w:sz w:val="24"/>
          <w:szCs w:val="24"/>
          <w:highlight w:val="none"/>
        </w:rPr>
        <w:t>份（包含按“第三章 供应商须知”提交的全部文件）；商务文件电子版</w:t>
      </w:r>
      <w:r>
        <w:rPr>
          <w:rFonts w:hint="default" w:ascii="宋体" w:hAnsi="宋体" w:eastAsia="宋体" w:cs="宋体"/>
          <w:color w:val="auto"/>
          <w:kern w:val="0"/>
          <w:sz w:val="24"/>
          <w:szCs w:val="24"/>
          <w:highlight w:val="none"/>
          <w:u w:val="single"/>
        </w:rPr>
        <w:t xml:space="preserve">   </w:t>
      </w:r>
      <w:r>
        <w:rPr>
          <w:rFonts w:hint="default" w:ascii="宋体" w:hAnsi="宋体" w:eastAsia="宋体" w:cs="宋体"/>
          <w:color w:val="auto"/>
          <w:kern w:val="0"/>
          <w:sz w:val="24"/>
          <w:szCs w:val="24"/>
          <w:highlight w:val="none"/>
        </w:rPr>
        <w:t>份（包含按“第三章 供应商须知”提交的全部文件）；（商务技术文件已合并装订成册）；</w:t>
      </w:r>
    </w:p>
    <w:p w14:paraId="004B1051">
      <w:pPr>
        <w:spacing w:line="360" w:lineRule="auto"/>
        <w:ind w:firstLine="480" w:firstLineChars="200"/>
        <w:jc w:val="left"/>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三、资格证明文件电子版（包含按“第三章供应商须知”提交的全部文件）；</w:t>
      </w:r>
    </w:p>
    <w:p w14:paraId="23E9A907">
      <w:pPr>
        <w:spacing w:line="360" w:lineRule="auto"/>
        <w:ind w:firstLine="480" w:firstLineChars="200"/>
        <w:jc w:val="left"/>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据此函，签字人兹宣布：</w:t>
      </w:r>
    </w:p>
    <w:p w14:paraId="39B75A2B">
      <w:pPr>
        <w:spacing w:line="360" w:lineRule="auto"/>
        <w:ind w:firstLine="482"/>
        <w:jc w:val="left"/>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1、我方愿意以（大写）人民币</w:t>
      </w:r>
      <w:r>
        <w:rPr>
          <w:rFonts w:hint="default" w:ascii="宋体" w:hAnsi="宋体" w:eastAsia="宋体" w:cs="宋体"/>
          <w:color w:val="auto"/>
          <w:kern w:val="0"/>
          <w:sz w:val="24"/>
          <w:szCs w:val="24"/>
          <w:highlight w:val="none"/>
          <w:u w:val="single"/>
        </w:rPr>
        <w:t xml:space="preserve">             </w:t>
      </w:r>
      <w:r>
        <w:rPr>
          <w:rFonts w:hint="default" w:ascii="宋体" w:hAnsi="宋体" w:eastAsia="宋体" w:cs="宋体"/>
          <w:color w:val="auto"/>
          <w:kern w:val="0"/>
          <w:sz w:val="24"/>
          <w:szCs w:val="24"/>
          <w:highlight w:val="none"/>
        </w:rPr>
        <w:t>（¥</w:t>
      </w:r>
      <w:r>
        <w:rPr>
          <w:rFonts w:hint="default" w:ascii="宋体" w:hAnsi="宋体" w:eastAsia="宋体" w:cs="宋体"/>
          <w:color w:val="auto"/>
          <w:kern w:val="0"/>
          <w:sz w:val="24"/>
          <w:szCs w:val="24"/>
          <w:highlight w:val="none"/>
          <w:u w:val="single"/>
        </w:rPr>
        <w:t xml:space="preserve">          </w:t>
      </w:r>
      <w:r>
        <w:rPr>
          <w:rFonts w:hint="default" w:ascii="宋体" w:hAnsi="宋体" w:eastAsia="宋体" w:cs="宋体"/>
          <w:color w:val="auto"/>
          <w:kern w:val="0"/>
          <w:sz w:val="24"/>
          <w:szCs w:val="24"/>
          <w:highlight w:val="none"/>
        </w:rPr>
        <w:t>元)的竞标总报价，工期（无分标时填写）：</w:t>
      </w:r>
      <w:r>
        <w:rPr>
          <w:rFonts w:hint="default" w:ascii="宋体" w:hAnsi="宋体" w:eastAsia="宋体" w:cs="宋体"/>
          <w:color w:val="auto"/>
          <w:kern w:val="0"/>
          <w:sz w:val="24"/>
          <w:szCs w:val="24"/>
          <w:highlight w:val="none"/>
          <w:u w:val="single"/>
        </w:rPr>
        <w:t xml:space="preserve">           </w:t>
      </w:r>
      <w:r>
        <w:rPr>
          <w:rFonts w:hint="default" w:ascii="宋体" w:hAnsi="宋体" w:eastAsia="宋体" w:cs="宋体"/>
          <w:color w:val="auto"/>
          <w:kern w:val="0"/>
          <w:sz w:val="24"/>
          <w:szCs w:val="24"/>
          <w:highlight w:val="none"/>
        </w:rPr>
        <w:t>，我方保证工程质量达到</w:t>
      </w:r>
      <w:r>
        <w:rPr>
          <w:rFonts w:hint="default" w:ascii="宋体" w:hAnsi="宋体" w:eastAsia="宋体" w:cs="宋体"/>
          <w:color w:val="auto"/>
          <w:kern w:val="0"/>
          <w:sz w:val="24"/>
          <w:szCs w:val="24"/>
          <w:highlight w:val="none"/>
          <w:u w:val="single"/>
        </w:rPr>
        <w:t xml:space="preserve">       </w:t>
      </w:r>
      <w:r>
        <w:rPr>
          <w:rFonts w:hint="default" w:ascii="宋体" w:hAnsi="宋体" w:eastAsia="宋体" w:cs="宋体"/>
          <w:color w:val="auto"/>
          <w:kern w:val="0"/>
          <w:sz w:val="24"/>
          <w:szCs w:val="24"/>
          <w:highlight w:val="none"/>
        </w:rPr>
        <w:t>等级，提供本项目竞争性磋商采购文件第二章“需求一览表”中相应的采购内容。</w:t>
      </w:r>
    </w:p>
    <w:p w14:paraId="6CA2FE48">
      <w:pPr>
        <w:spacing w:line="360" w:lineRule="auto"/>
        <w:ind w:firstLine="482"/>
        <w:jc w:val="left"/>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其中（有分标时填写）：</w:t>
      </w:r>
    </w:p>
    <w:p w14:paraId="7224E025">
      <w:pPr>
        <w:spacing w:line="360" w:lineRule="auto"/>
        <w:ind w:firstLine="482"/>
        <w:jc w:val="left"/>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u w:val="single"/>
        </w:rPr>
        <w:t xml:space="preserve">    </w:t>
      </w:r>
      <w:r>
        <w:rPr>
          <w:rFonts w:hint="default" w:ascii="宋体" w:hAnsi="宋体" w:eastAsia="宋体" w:cs="宋体"/>
          <w:color w:val="auto"/>
          <w:kern w:val="0"/>
          <w:sz w:val="24"/>
          <w:szCs w:val="24"/>
          <w:highlight w:val="none"/>
        </w:rPr>
        <w:t>分标报价为（大写）人民币</w:t>
      </w:r>
      <w:r>
        <w:rPr>
          <w:rFonts w:hint="default" w:ascii="宋体" w:hAnsi="宋体" w:eastAsia="宋体" w:cs="宋体"/>
          <w:color w:val="auto"/>
          <w:kern w:val="0"/>
          <w:sz w:val="24"/>
          <w:szCs w:val="24"/>
          <w:highlight w:val="none"/>
          <w:u w:val="single"/>
        </w:rPr>
        <w:t xml:space="preserve">               </w:t>
      </w:r>
      <w:r>
        <w:rPr>
          <w:rFonts w:hint="default" w:ascii="宋体" w:hAnsi="宋体" w:eastAsia="宋体" w:cs="宋体"/>
          <w:color w:val="auto"/>
          <w:kern w:val="0"/>
          <w:sz w:val="24"/>
          <w:szCs w:val="24"/>
          <w:highlight w:val="none"/>
        </w:rPr>
        <w:t xml:space="preserve"> (¥</w:t>
      </w:r>
      <w:r>
        <w:rPr>
          <w:rFonts w:hint="default" w:ascii="宋体" w:hAnsi="宋体" w:eastAsia="宋体" w:cs="宋体"/>
          <w:color w:val="auto"/>
          <w:kern w:val="0"/>
          <w:sz w:val="24"/>
          <w:szCs w:val="24"/>
          <w:highlight w:val="none"/>
          <w:u w:val="single"/>
        </w:rPr>
        <w:t xml:space="preserve">           </w:t>
      </w:r>
      <w:r>
        <w:rPr>
          <w:rFonts w:hint="default" w:ascii="宋体" w:hAnsi="宋体" w:eastAsia="宋体" w:cs="宋体"/>
          <w:color w:val="auto"/>
          <w:kern w:val="0"/>
          <w:sz w:val="24"/>
          <w:szCs w:val="24"/>
          <w:highlight w:val="none"/>
        </w:rPr>
        <w:t>元)，工期：</w:t>
      </w:r>
      <w:r>
        <w:rPr>
          <w:rFonts w:hint="default" w:ascii="宋体" w:hAnsi="宋体" w:eastAsia="宋体" w:cs="宋体"/>
          <w:color w:val="auto"/>
          <w:kern w:val="0"/>
          <w:sz w:val="24"/>
          <w:szCs w:val="24"/>
          <w:highlight w:val="none"/>
          <w:u w:val="single"/>
        </w:rPr>
        <w:t xml:space="preserve">     </w:t>
      </w:r>
      <w:r>
        <w:rPr>
          <w:rFonts w:hint="default" w:ascii="宋体" w:hAnsi="宋体" w:eastAsia="宋体" w:cs="宋体"/>
          <w:color w:val="auto"/>
          <w:kern w:val="0"/>
          <w:sz w:val="24"/>
          <w:szCs w:val="24"/>
          <w:highlight w:val="none"/>
        </w:rPr>
        <w:t>；</w:t>
      </w:r>
    </w:p>
    <w:p w14:paraId="2B99E4D3">
      <w:pPr>
        <w:spacing w:line="360" w:lineRule="auto"/>
        <w:ind w:firstLine="482"/>
        <w:jc w:val="left"/>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u w:val="single"/>
        </w:rPr>
        <w:t xml:space="preserve">    </w:t>
      </w:r>
      <w:r>
        <w:rPr>
          <w:rFonts w:hint="default" w:ascii="宋体" w:hAnsi="宋体" w:eastAsia="宋体" w:cs="宋体"/>
          <w:color w:val="auto"/>
          <w:kern w:val="0"/>
          <w:sz w:val="24"/>
          <w:szCs w:val="24"/>
          <w:highlight w:val="none"/>
        </w:rPr>
        <w:t>分标报价为（大写）人民币</w:t>
      </w:r>
      <w:r>
        <w:rPr>
          <w:rFonts w:hint="default" w:ascii="宋体" w:hAnsi="宋体" w:eastAsia="宋体" w:cs="宋体"/>
          <w:color w:val="auto"/>
          <w:kern w:val="0"/>
          <w:sz w:val="24"/>
          <w:szCs w:val="24"/>
          <w:highlight w:val="none"/>
          <w:u w:val="single"/>
        </w:rPr>
        <w:t xml:space="preserve">               </w:t>
      </w:r>
      <w:r>
        <w:rPr>
          <w:rFonts w:hint="default" w:ascii="宋体" w:hAnsi="宋体" w:eastAsia="宋体" w:cs="宋体"/>
          <w:color w:val="auto"/>
          <w:kern w:val="0"/>
          <w:sz w:val="24"/>
          <w:szCs w:val="24"/>
          <w:highlight w:val="none"/>
        </w:rPr>
        <w:t xml:space="preserve"> (¥</w:t>
      </w:r>
      <w:r>
        <w:rPr>
          <w:rFonts w:hint="default" w:ascii="宋体" w:hAnsi="宋体" w:eastAsia="宋体" w:cs="宋体"/>
          <w:color w:val="auto"/>
          <w:kern w:val="0"/>
          <w:sz w:val="24"/>
          <w:szCs w:val="24"/>
          <w:highlight w:val="none"/>
          <w:u w:val="single"/>
        </w:rPr>
        <w:t xml:space="preserve">           </w:t>
      </w:r>
      <w:r>
        <w:rPr>
          <w:rFonts w:hint="default" w:ascii="宋体" w:hAnsi="宋体" w:eastAsia="宋体" w:cs="宋体"/>
          <w:color w:val="auto"/>
          <w:kern w:val="0"/>
          <w:sz w:val="24"/>
          <w:szCs w:val="24"/>
          <w:highlight w:val="none"/>
        </w:rPr>
        <w:t>元)，工期：</w:t>
      </w:r>
      <w:r>
        <w:rPr>
          <w:rFonts w:hint="default" w:ascii="宋体" w:hAnsi="宋体" w:eastAsia="宋体" w:cs="宋体"/>
          <w:color w:val="auto"/>
          <w:kern w:val="0"/>
          <w:sz w:val="24"/>
          <w:szCs w:val="24"/>
          <w:highlight w:val="none"/>
          <w:u w:val="single"/>
        </w:rPr>
        <w:t xml:space="preserve">      </w:t>
      </w:r>
      <w:r>
        <w:rPr>
          <w:rFonts w:hint="default" w:ascii="宋体" w:hAnsi="宋体" w:eastAsia="宋体" w:cs="宋体"/>
          <w:color w:val="auto"/>
          <w:kern w:val="0"/>
          <w:sz w:val="24"/>
          <w:szCs w:val="24"/>
          <w:highlight w:val="none"/>
        </w:rPr>
        <w:t>；</w:t>
      </w:r>
    </w:p>
    <w:p w14:paraId="6C5A1573">
      <w:pPr>
        <w:spacing w:line="360" w:lineRule="auto"/>
        <w:ind w:firstLine="482"/>
        <w:jc w:val="left"/>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w:t>
      </w:r>
    </w:p>
    <w:p w14:paraId="1F20B135">
      <w:pPr>
        <w:spacing w:line="360" w:lineRule="auto"/>
        <w:ind w:firstLine="482"/>
        <w:jc w:val="left"/>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2、我方同意自本项目竞争性磋商采购文件采购公告规定的递交响应文件截止时间起遵循本响应函，并承诺在“第三章 供应商须知”规定的响应有效期内不修改、撤销响应文件。</w:t>
      </w:r>
    </w:p>
    <w:p w14:paraId="4386723C">
      <w:pPr>
        <w:spacing w:line="360" w:lineRule="auto"/>
        <w:ind w:firstLine="482"/>
        <w:jc w:val="left"/>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3、我方在此声明，所递交的响应文件及有关资料内容完整、真实和准确。</w:t>
      </w:r>
    </w:p>
    <w:p w14:paraId="26D00984">
      <w:pPr>
        <w:spacing w:line="360" w:lineRule="auto"/>
        <w:ind w:firstLine="482"/>
        <w:jc w:val="left"/>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4、如本项目采购内容涉及须符合国家强制规定的，我方承诺我方本次竞标均符合国家有关强制规定。</w:t>
      </w:r>
    </w:p>
    <w:p w14:paraId="7961BC69">
      <w:pPr>
        <w:spacing w:line="360" w:lineRule="auto"/>
        <w:ind w:firstLine="482"/>
        <w:jc w:val="left"/>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5、如我方成交，我方承诺在收到成交通知书后，在成交通知书规定的期限内，根据竞争性磋商采购文件、我方的响应文件及有关澄清承诺书的要求按第七章“合同文本”与采购人订立书面合同，并按照合同约定承担完成合同的责任和义务。</w:t>
      </w:r>
    </w:p>
    <w:p w14:paraId="0B4C93DE">
      <w:pPr>
        <w:spacing w:line="360" w:lineRule="auto"/>
        <w:ind w:firstLine="482"/>
        <w:jc w:val="left"/>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6、我方已详细审核竞争性磋商采购文件，我方知道必须放弃提出含糊不清或误解问题的权利。</w:t>
      </w:r>
    </w:p>
    <w:p w14:paraId="61007F6E">
      <w:pPr>
        <w:spacing w:line="360" w:lineRule="auto"/>
        <w:ind w:firstLine="482"/>
        <w:jc w:val="left"/>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7、我方承诺满足竞争性磋商采购文件第七章“合同文本”的条款，承担完成合同的责任和义务。</w:t>
      </w:r>
    </w:p>
    <w:p w14:paraId="230E0D56">
      <w:pPr>
        <w:spacing w:line="360" w:lineRule="auto"/>
        <w:ind w:firstLine="482"/>
        <w:jc w:val="left"/>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8、我方同意应贵方要求提供与本竞标有关的任何数据或资料。若贵方需要，我方愿意提供我方作出的一切承诺的证明材料。</w:t>
      </w:r>
    </w:p>
    <w:p w14:paraId="44C40ABD">
      <w:pPr>
        <w:spacing w:line="360" w:lineRule="auto"/>
        <w:ind w:firstLine="482"/>
        <w:jc w:val="left"/>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9、我方完全理解贵方不一定接受响应报价最低的竞标人为成交供应商的行为。</w:t>
      </w:r>
    </w:p>
    <w:p w14:paraId="263862C9">
      <w:pPr>
        <w:spacing w:line="360" w:lineRule="auto"/>
        <w:ind w:firstLine="482"/>
        <w:jc w:val="left"/>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10、我方将严格遵守《中华人民共和国政府采购法》第七十七条的规定，即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37DBC734">
      <w:pPr>
        <w:numPr>
          <w:ilvl w:val="0"/>
          <w:numId w:val="4"/>
        </w:numPr>
        <w:tabs>
          <w:tab w:val="left" w:pos="945"/>
        </w:tabs>
        <w:spacing w:line="360" w:lineRule="auto"/>
        <w:jc w:val="left"/>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提供虚假材料谋取中标、成交的；</w:t>
      </w:r>
    </w:p>
    <w:p w14:paraId="05B073CF">
      <w:pPr>
        <w:numPr>
          <w:ilvl w:val="0"/>
          <w:numId w:val="4"/>
        </w:numPr>
        <w:tabs>
          <w:tab w:val="left" w:pos="945"/>
        </w:tabs>
        <w:spacing w:line="360" w:lineRule="auto"/>
        <w:jc w:val="left"/>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采取不正当手段诋毁、排挤其他供应商的；</w:t>
      </w:r>
    </w:p>
    <w:p w14:paraId="6A1B10C4">
      <w:pPr>
        <w:numPr>
          <w:ilvl w:val="0"/>
          <w:numId w:val="4"/>
        </w:numPr>
        <w:tabs>
          <w:tab w:val="left" w:pos="945"/>
        </w:tabs>
        <w:spacing w:line="360" w:lineRule="auto"/>
        <w:jc w:val="left"/>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与采购人、其他供应商或者采购代理机构恶意串通的；</w:t>
      </w:r>
    </w:p>
    <w:p w14:paraId="5F67FB59">
      <w:pPr>
        <w:numPr>
          <w:ilvl w:val="0"/>
          <w:numId w:val="4"/>
        </w:numPr>
        <w:tabs>
          <w:tab w:val="left" w:pos="945"/>
        </w:tabs>
        <w:spacing w:line="360" w:lineRule="auto"/>
        <w:jc w:val="left"/>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向采购人、采购代理机构行贿或者提供其他不正当利益的；</w:t>
      </w:r>
    </w:p>
    <w:p w14:paraId="41693FEC">
      <w:pPr>
        <w:numPr>
          <w:ilvl w:val="0"/>
          <w:numId w:val="4"/>
        </w:numPr>
        <w:tabs>
          <w:tab w:val="left" w:pos="945"/>
        </w:tabs>
        <w:spacing w:line="360" w:lineRule="auto"/>
        <w:jc w:val="left"/>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在采购过程中与采购人进行协商谈判的；</w:t>
      </w:r>
    </w:p>
    <w:p w14:paraId="595F060E">
      <w:pPr>
        <w:numPr>
          <w:ilvl w:val="0"/>
          <w:numId w:val="4"/>
        </w:numPr>
        <w:tabs>
          <w:tab w:val="left" w:pos="945"/>
        </w:tabs>
        <w:spacing w:line="360" w:lineRule="auto"/>
        <w:jc w:val="left"/>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拒绝有关部门监督检查或提供虚假情况的。</w:t>
      </w:r>
    </w:p>
    <w:p w14:paraId="31812F66">
      <w:pPr>
        <w:spacing w:line="360" w:lineRule="auto"/>
        <w:ind w:firstLine="420"/>
        <w:jc w:val="left"/>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11.与本磋商有关的一切正式往来信函请寄：</w:t>
      </w:r>
      <w:r>
        <w:rPr>
          <w:rFonts w:hint="default" w:ascii="宋体" w:hAnsi="宋体" w:eastAsia="宋体" w:cs="宋体"/>
          <w:color w:val="auto"/>
          <w:kern w:val="0"/>
          <w:sz w:val="24"/>
          <w:szCs w:val="24"/>
          <w:highlight w:val="none"/>
          <w:u w:val="single"/>
        </w:rPr>
        <w:t xml:space="preserve"> </w:t>
      </w:r>
    </w:p>
    <w:p w14:paraId="37836679">
      <w:pPr>
        <w:spacing w:line="360" w:lineRule="auto"/>
        <w:ind w:firstLine="420"/>
        <w:jc w:val="left"/>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地址：</w:t>
      </w:r>
      <w:r>
        <w:rPr>
          <w:rFonts w:hint="default" w:ascii="宋体" w:hAnsi="宋体" w:eastAsia="宋体" w:cs="宋体"/>
          <w:color w:val="auto"/>
          <w:kern w:val="0"/>
          <w:sz w:val="24"/>
          <w:szCs w:val="24"/>
          <w:highlight w:val="none"/>
          <w:u w:val="single"/>
        </w:rPr>
        <w:t xml:space="preserve">                                                        </w:t>
      </w:r>
      <w:r>
        <w:rPr>
          <w:rFonts w:hint="default" w:ascii="宋体" w:hAnsi="宋体" w:eastAsia="宋体" w:cs="宋体"/>
          <w:color w:val="auto"/>
          <w:kern w:val="0"/>
          <w:sz w:val="24"/>
          <w:szCs w:val="24"/>
          <w:highlight w:val="none"/>
        </w:rPr>
        <w:t xml:space="preserve"> </w:t>
      </w:r>
    </w:p>
    <w:p w14:paraId="4937DD58">
      <w:pPr>
        <w:spacing w:line="360" w:lineRule="auto"/>
        <w:ind w:firstLine="420"/>
        <w:jc w:val="left"/>
        <w:rPr>
          <w:rFonts w:hint="default" w:ascii="宋体" w:hAnsi="宋体" w:eastAsia="宋体" w:cs="宋体"/>
          <w:color w:val="auto"/>
          <w:kern w:val="0"/>
          <w:sz w:val="24"/>
          <w:szCs w:val="24"/>
          <w:highlight w:val="none"/>
          <w:u w:val="single"/>
        </w:rPr>
      </w:pPr>
      <w:r>
        <w:rPr>
          <w:rFonts w:hint="default" w:ascii="宋体" w:hAnsi="宋体" w:eastAsia="宋体" w:cs="宋体"/>
          <w:color w:val="auto"/>
          <w:kern w:val="0"/>
          <w:sz w:val="24"/>
          <w:szCs w:val="24"/>
          <w:highlight w:val="none"/>
        </w:rPr>
        <w:t>电话：</w:t>
      </w:r>
      <w:r>
        <w:rPr>
          <w:rFonts w:hint="default" w:ascii="宋体" w:hAnsi="宋体" w:eastAsia="宋体" w:cs="宋体"/>
          <w:color w:val="auto"/>
          <w:kern w:val="0"/>
          <w:sz w:val="24"/>
          <w:szCs w:val="24"/>
          <w:highlight w:val="none"/>
          <w:u w:val="single"/>
        </w:rPr>
        <w:t xml:space="preserve">                                      　　　　　　　　　</w:t>
      </w:r>
    </w:p>
    <w:p w14:paraId="5CA8DE6B">
      <w:pPr>
        <w:spacing w:line="360" w:lineRule="auto"/>
        <w:ind w:firstLine="420"/>
        <w:jc w:val="left"/>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传真：</w:t>
      </w:r>
      <w:r>
        <w:rPr>
          <w:rFonts w:hint="default" w:ascii="宋体" w:hAnsi="宋体" w:eastAsia="宋体" w:cs="宋体"/>
          <w:color w:val="auto"/>
          <w:kern w:val="0"/>
          <w:sz w:val="24"/>
          <w:szCs w:val="24"/>
          <w:highlight w:val="none"/>
          <w:u w:val="single"/>
        </w:rPr>
        <w:t>　　　　　　　　　　　　　　　　　　　　　　　　　　　　</w:t>
      </w:r>
    </w:p>
    <w:p w14:paraId="47A1C650">
      <w:pPr>
        <w:spacing w:line="360" w:lineRule="auto"/>
        <w:ind w:firstLine="420"/>
        <w:jc w:val="left"/>
        <w:rPr>
          <w:rFonts w:hint="default" w:ascii="宋体" w:hAnsi="宋体" w:eastAsia="宋体" w:cs="宋体"/>
          <w:color w:val="auto"/>
          <w:kern w:val="0"/>
          <w:sz w:val="24"/>
          <w:szCs w:val="24"/>
          <w:highlight w:val="none"/>
          <w:u w:val="single"/>
        </w:rPr>
      </w:pPr>
      <w:r>
        <w:rPr>
          <w:rFonts w:hint="default" w:ascii="宋体" w:hAnsi="宋体" w:eastAsia="宋体" w:cs="宋体"/>
          <w:color w:val="auto"/>
          <w:kern w:val="0"/>
          <w:sz w:val="24"/>
          <w:szCs w:val="24"/>
          <w:highlight w:val="none"/>
        </w:rPr>
        <w:t>邮政编码：</w:t>
      </w:r>
      <w:r>
        <w:rPr>
          <w:rFonts w:hint="default" w:ascii="宋体" w:hAnsi="宋体" w:eastAsia="宋体" w:cs="宋体"/>
          <w:color w:val="auto"/>
          <w:kern w:val="0"/>
          <w:sz w:val="24"/>
          <w:szCs w:val="24"/>
          <w:highlight w:val="none"/>
          <w:u w:val="single"/>
        </w:rPr>
        <w:t xml:space="preserve">                                                    </w:t>
      </w:r>
    </w:p>
    <w:p w14:paraId="01DCD495">
      <w:pPr>
        <w:spacing w:line="360" w:lineRule="auto"/>
        <w:ind w:firstLine="420"/>
        <w:jc w:val="left"/>
        <w:rPr>
          <w:rFonts w:hint="default" w:ascii="宋体" w:hAnsi="宋体" w:eastAsia="宋体" w:cs="宋体"/>
          <w:color w:val="auto"/>
          <w:kern w:val="0"/>
          <w:sz w:val="24"/>
          <w:szCs w:val="24"/>
          <w:highlight w:val="none"/>
          <w:u w:val="single"/>
        </w:rPr>
      </w:pPr>
      <w:r>
        <w:rPr>
          <w:rFonts w:hint="default" w:ascii="宋体" w:hAnsi="宋体" w:eastAsia="宋体" w:cs="宋体"/>
          <w:color w:val="auto"/>
          <w:kern w:val="0"/>
          <w:sz w:val="24"/>
          <w:szCs w:val="24"/>
          <w:highlight w:val="none"/>
        </w:rPr>
        <w:t>开户名称：</w:t>
      </w:r>
      <w:r>
        <w:rPr>
          <w:rFonts w:hint="default" w:ascii="宋体" w:hAnsi="宋体" w:eastAsia="宋体" w:cs="宋体"/>
          <w:color w:val="auto"/>
          <w:kern w:val="0"/>
          <w:sz w:val="24"/>
          <w:szCs w:val="24"/>
          <w:highlight w:val="none"/>
          <w:u w:val="single"/>
        </w:rPr>
        <w:t xml:space="preserve">                                                    </w:t>
      </w:r>
    </w:p>
    <w:p w14:paraId="35226FC5">
      <w:pPr>
        <w:spacing w:line="360" w:lineRule="auto"/>
        <w:ind w:firstLine="420"/>
        <w:jc w:val="left"/>
        <w:rPr>
          <w:rFonts w:hint="default" w:ascii="宋体" w:hAnsi="宋体" w:eastAsia="宋体" w:cs="宋体"/>
          <w:color w:val="auto"/>
          <w:kern w:val="0"/>
          <w:sz w:val="24"/>
          <w:szCs w:val="24"/>
          <w:highlight w:val="none"/>
          <w:u w:val="single"/>
        </w:rPr>
      </w:pPr>
      <w:r>
        <w:rPr>
          <w:rFonts w:hint="default" w:ascii="宋体" w:hAnsi="宋体" w:eastAsia="宋体" w:cs="宋体"/>
          <w:color w:val="auto"/>
          <w:kern w:val="0"/>
          <w:sz w:val="24"/>
          <w:szCs w:val="24"/>
          <w:highlight w:val="none"/>
        </w:rPr>
        <w:t>开户银行：</w:t>
      </w:r>
      <w:r>
        <w:rPr>
          <w:rFonts w:hint="default" w:ascii="宋体" w:hAnsi="宋体" w:eastAsia="宋体" w:cs="宋体"/>
          <w:color w:val="auto"/>
          <w:kern w:val="0"/>
          <w:sz w:val="24"/>
          <w:szCs w:val="24"/>
          <w:highlight w:val="none"/>
          <w:u w:val="single"/>
        </w:rPr>
        <w:t xml:space="preserve">                                                    </w:t>
      </w:r>
    </w:p>
    <w:p w14:paraId="3BB00B2B">
      <w:pPr>
        <w:spacing w:line="360" w:lineRule="auto"/>
        <w:ind w:firstLine="420"/>
        <w:jc w:val="left"/>
        <w:rPr>
          <w:rFonts w:hint="default" w:ascii="宋体" w:hAnsi="宋体" w:eastAsia="宋体" w:cs="宋体"/>
          <w:color w:val="auto"/>
          <w:kern w:val="0"/>
          <w:sz w:val="24"/>
          <w:szCs w:val="24"/>
          <w:highlight w:val="none"/>
          <w:u w:val="single"/>
        </w:rPr>
      </w:pPr>
      <w:r>
        <w:rPr>
          <w:rFonts w:hint="default" w:ascii="宋体" w:hAnsi="宋体" w:eastAsia="宋体" w:cs="宋体"/>
          <w:color w:val="auto"/>
          <w:kern w:val="0"/>
          <w:sz w:val="24"/>
          <w:szCs w:val="24"/>
          <w:highlight w:val="none"/>
        </w:rPr>
        <w:t>银行账号：</w:t>
      </w:r>
      <w:r>
        <w:rPr>
          <w:rFonts w:hint="default" w:ascii="宋体" w:hAnsi="宋体" w:eastAsia="宋体" w:cs="宋体"/>
          <w:color w:val="auto"/>
          <w:kern w:val="0"/>
          <w:sz w:val="24"/>
          <w:szCs w:val="24"/>
          <w:highlight w:val="none"/>
          <w:u w:val="single"/>
        </w:rPr>
        <w:t xml:space="preserve">                                                    </w:t>
      </w:r>
    </w:p>
    <w:p w14:paraId="66F59977">
      <w:pPr>
        <w:tabs>
          <w:tab w:val="left" w:pos="939"/>
        </w:tabs>
        <w:spacing w:line="360" w:lineRule="auto"/>
        <w:ind w:left="141" w:leftChars="67" w:firstLine="360" w:firstLineChars="150"/>
        <w:jc w:val="left"/>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特此承诺。</w:t>
      </w:r>
    </w:p>
    <w:p w14:paraId="2363D4ED">
      <w:pPr>
        <w:spacing w:line="360" w:lineRule="auto"/>
        <w:jc w:val="left"/>
        <w:rPr>
          <w:rFonts w:hint="default" w:ascii="宋体" w:hAnsi="宋体" w:eastAsia="宋体" w:cs="宋体"/>
          <w:color w:val="auto"/>
          <w:sz w:val="24"/>
          <w:szCs w:val="24"/>
          <w:highlight w:val="none"/>
        </w:rPr>
      </w:pPr>
    </w:p>
    <w:p w14:paraId="049D9637">
      <w:pPr>
        <w:autoSpaceDE w:val="0"/>
        <w:autoSpaceDN w:val="0"/>
        <w:spacing w:line="360" w:lineRule="auto"/>
        <w:ind w:left="4335" w:leftChars="1950" w:hanging="240" w:hangingChars="100"/>
        <w:jc w:val="left"/>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供应商名称（电子签章）：</w:t>
      </w:r>
    </w:p>
    <w:p w14:paraId="1F524A86">
      <w:pPr>
        <w:autoSpaceDE w:val="0"/>
        <w:autoSpaceDN w:val="0"/>
        <w:spacing w:line="360" w:lineRule="auto"/>
        <w:ind w:firstLine="6480" w:firstLineChars="2700"/>
        <w:rPr>
          <w:rFonts w:hint="default" w:ascii="宋体" w:hAnsi="宋体" w:eastAsia="宋体" w:cs="宋体"/>
          <w:color w:val="auto"/>
          <w:kern w:val="0"/>
          <w:sz w:val="24"/>
          <w:szCs w:val="24"/>
          <w:highlight w:val="none"/>
          <w:lang w:val="zh-CN"/>
        </w:rPr>
      </w:pPr>
      <w:r>
        <w:rPr>
          <w:rFonts w:hint="default" w:ascii="宋体" w:hAnsi="宋体" w:eastAsia="宋体" w:cs="宋体"/>
          <w:color w:val="auto"/>
          <w:kern w:val="0"/>
          <w:sz w:val="24"/>
          <w:szCs w:val="24"/>
          <w:highlight w:val="none"/>
          <w:lang w:val="zh-CN"/>
        </w:rPr>
        <w:t>日期：  年  月   日</w:t>
      </w:r>
    </w:p>
    <w:p w14:paraId="04FBB96A">
      <w:pPr>
        <w:widowControl/>
        <w:spacing w:line="360" w:lineRule="auto"/>
        <w:rPr>
          <w:rFonts w:hint="default" w:ascii="宋体" w:hAnsi="宋体" w:eastAsia="宋体" w:cs="宋体"/>
          <w:color w:val="auto"/>
          <w:kern w:val="0"/>
          <w:sz w:val="24"/>
          <w:szCs w:val="24"/>
          <w:highlight w:val="none"/>
          <w:lang w:val="zh-CN"/>
        </w:rPr>
        <w:sectPr>
          <w:pgSz w:w="11910" w:h="16840"/>
          <w:pgMar w:top="1508" w:right="1276" w:bottom="1242" w:left="1395" w:header="720" w:footer="720" w:gutter="0"/>
          <w:lnNumType w:countBy="0" w:distance="360"/>
          <w:cols w:space="720" w:num="1"/>
        </w:sectPr>
      </w:pPr>
    </w:p>
    <w:p w14:paraId="3CFC20FC">
      <w:pPr>
        <w:pStyle w:val="26"/>
        <w:spacing w:beforeLines="0" w:afterLines="0"/>
        <w:jc w:val="center"/>
        <w:rPr>
          <w:rStyle w:val="19"/>
          <w:rFonts w:hint="default" w:ascii="宋体" w:hAnsi="宋体" w:eastAsia="宋体"/>
          <w:color w:val="auto"/>
          <w:sz w:val="24"/>
          <w:szCs w:val="20"/>
          <w:highlight w:val="none"/>
          <w:lang w:eastAsia="zh-CN"/>
        </w:rPr>
      </w:pPr>
      <w:bookmarkStart w:id="146" w:name="_Toc389065357"/>
      <w:r>
        <w:rPr>
          <w:rFonts w:hint="default" w:ascii="宋体" w:hAnsi="宋体" w:eastAsia="宋体" w:cs="宋体"/>
          <w:b w:val="0"/>
          <w:color w:val="auto"/>
          <w:sz w:val="30"/>
          <w:szCs w:val="30"/>
          <w:highlight w:val="none"/>
        </w:rPr>
        <w:t>响应函附录</w:t>
      </w:r>
      <w:bookmarkEnd w:id="146"/>
    </w:p>
    <w:tbl>
      <w:tblPr>
        <w:tblStyle w:val="1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 w:type="dxa"/>
          <w:bottom w:w="0" w:type="dxa"/>
          <w:right w:w="10" w:type="dxa"/>
        </w:tblCellMar>
      </w:tblPr>
      <w:tblGrid>
        <w:gridCol w:w="820"/>
        <w:gridCol w:w="2211"/>
        <w:gridCol w:w="1445"/>
        <w:gridCol w:w="2904"/>
        <w:gridCol w:w="840"/>
      </w:tblGrid>
      <w:tr w14:paraId="34DFFA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680" w:hRule="exact"/>
          <w:jc w:val="center"/>
        </w:trPr>
        <w:tc>
          <w:tcPr>
            <w:tcW w:w="820" w:type="dxa"/>
            <w:tcBorders>
              <w:top w:val="single" w:color="auto" w:sz="4" w:space="0"/>
              <w:left w:val="single" w:color="auto" w:sz="4" w:space="0"/>
              <w:bottom w:val="nil"/>
              <w:right w:val="nil"/>
              <w:tl2br w:val="nil"/>
              <w:tr2bl w:val="nil"/>
            </w:tcBorders>
            <w:shd w:val="clear" w:color="auto" w:fill="FFFFFF"/>
            <w:noWrap w:val="0"/>
            <w:vAlign w:val="center"/>
          </w:tcPr>
          <w:p w14:paraId="5B6BCA49">
            <w:pPr>
              <w:pStyle w:val="25"/>
              <w:spacing w:beforeLines="0" w:afterLines="0" w:line="240" w:lineRule="auto"/>
              <w:ind w:firstLine="0"/>
              <w:jc w:val="center"/>
              <w:rPr>
                <w:rStyle w:val="19"/>
                <w:rFonts w:hint="default"/>
                <w:color w:val="auto"/>
                <w:sz w:val="24"/>
                <w:szCs w:val="20"/>
                <w:highlight w:val="none"/>
              </w:rPr>
            </w:pPr>
            <w:r>
              <w:rPr>
                <w:rStyle w:val="19"/>
                <w:rFonts w:hint="default"/>
                <w:color w:val="auto"/>
                <w:sz w:val="24"/>
                <w:szCs w:val="20"/>
                <w:highlight w:val="none"/>
              </w:rPr>
              <w:t>序号</w:t>
            </w:r>
          </w:p>
        </w:tc>
        <w:tc>
          <w:tcPr>
            <w:tcW w:w="2211" w:type="dxa"/>
            <w:tcBorders>
              <w:top w:val="single" w:color="auto" w:sz="4" w:space="0"/>
              <w:left w:val="single" w:color="auto" w:sz="4" w:space="0"/>
              <w:bottom w:val="nil"/>
              <w:right w:val="nil"/>
              <w:tl2br w:val="nil"/>
              <w:tr2bl w:val="nil"/>
            </w:tcBorders>
            <w:shd w:val="clear" w:color="auto" w:fill="FFFFFF"/>
            <w:noWrap w:val="0"/>
            <w:vAlign w:val="center"/>
          </w:tcPr>
          <w:p w14:paraId="5ECEC27D">
            <w:pPr>
              <w:pStyle w:val="25"/>
              <w:spacing w:beforeLines="0" w:afterLines="0" w:line="240" w:lineRule="auto"/>
              <w:ind w:firstLine="0"/>
              <w:jc w:val="center"/>
              <w:rPr>
                <w:rStyle w:val="19"/>
                <w:rFonts w:hint="default"/>
                <w:color w:val="auto"/>
                <w:sz w:val="24"/>
                <w:szCs w:val="20"/>
                <w:highlight w:val="none"/>
              </w:rPr>
            </w:pPr>
            <w:r>
              <w:rPr>
                <w:rStyle w:val="19"/>
                <w:rFonts w:hint="default"/>
                <w:color w:val="auto"/>
                <w:sz w:val="24"/>
                <w:szCs w:val="20"/>
                <w:highlight w:val="none"/>
              </w:rPr>
              <w:t>条款名称</w:t>
            </w:r>
          </w:p>
        </w:tc>
        <w:tc>
          <w:tcPr>
            <w:tcW w:w="1445" w:type="dxa"/>
            <w:tcBorders>
              <w:top w:val="single" w:color="auto" w:sz="4" w:space="0"/>
              <w:left w:val="single" w:color="auto" w:sz="4" w:space="0"/>
              <w:bottom w:val="nil"/>
              <w:right w:val="nil"/>
              <w:tl2br w:val="nil"/>
              <w:tr2bl w:val="nil"/>
            </w:tcBorders>
            <w:shd w:val="clear" w:color="auto" w:fill="FFFFFF"/>
            <w:noWrap w:val="0"/>
            <w:vAlign w:val="center"/>
          </w:tcPr>
          <w:p w14:paraId="19761F11">
            <w:pPr>
              <w:pStyle w:val="25"/>
              <w:spacing w:beforeLines="0" w:afterLines="0" w:line="240" w:lineRule="auto"/>
              <w:ind w:firstLine="0"/>
              <w:jc w:val="center"/>
              <w:rPr>
                <w:rStyle w:val="19"/>
                <w:rFonts w:hint="default"/>
                <w:color w:val="auto"/>
                <w:sz w:val="24"/>
                <w:szCs w:val="20"/>
                <w:highlight w:val="none"/>
              </w:rPr>
            </w:pPr>
            <w:r>
              <w:rPr>
                <w:rStyle w:val="19"/>
                <w:rFonts w:hint="default"/>
                <w:color w:val="auto"/>
                <w:sz w:val="24"/>
                <w:szCs w:val="20"/>
                <w:highlight w:val="none"/>
              </w:rPr>
              <w:t>合同条款号</w:t>
            </w:r>
          </w:p>
        </w:tc>
        <w:tc>
          <w:tcPr>
            <w:tcW w:w="2904" w:type="dxa"/>
            <w:tcBorders>
              <w:top w:val="single" w:color="auto" w:sz="4" w:space="0"/>
              <w:left w:val="single" w:color="auto" w:sz="4" w:space="0"/>
              <w:bottom w:val="nil"/>
              <w:right w:val="nil"/>
              <w:tl2br w:val="nil"/>
              <w:tr2bl w:val="nil"/>
            </w:tcBorders>
            <w:shd w:val="clear" w:color="auto" w:fill="FFFFFF"/>
            <w:noWrap w:val="0"/>
            <w:vAlign w:val="center"/>
          </w:tcPr>
          <w:p w14:paraId="0625BE19">
            <w:pPr>
              <w:pStyle w:val="25"/>
              <w:spacing w:beforeLines="0" w:afterLines="0" w:line="240" w:lineRule="auto"/>
              <w:ind w:firstLine="0"/>
              <w:jc w:val="center"/>
              <w:rPr>
                <w:rStyle w:val="19"/>
                <w:rFonts w:hint="default"/>
                <w:color w:val="auto"/>
                <w:sz w:val="24"/>
                <w:szCs w:val="20"/>
                <w:highlight w:val="none"/>
              </w:rPr>
            </w:pPr>
            <w:r>
              <w:rPr>
                <w:rStyle w:val="19"/>
                <w:rFonts w:hint="default"/>
                <w:color w:val="auto"/>
                <w:sz w:val="24"/>
                <w:szCs w:val="20"/>
                <w:highlight w:val="none"/>
              </w:rPr>
              <w:t>约定内容</w:t>
            </w:r>
          </w:p>
        </w:tc>
        <w:tc>
          <w:tcPr>
            <w:tcW w:w="840" w:type="dxa"/>
            <w:tcBorders>
              <w:top w:val="single" w:color="auto" w:sz="4" w:space="0"/>
              <w:left w:val="single" w:color="auto" w:sz="4" w:space="0"/>
              <w:bottom w:val="nil"/>
              <w:right w:val="single" w:color="auto" w:sz="4" w:space="0"/>
              <w:tl2br w:val="nil"/>
              <w:tr2bl w:val="nil"/>
            </w:tcBorders>
            <w:shd w:val="clear" w:color="auto" w:fill="FFFFFF"/>
            <w:noWrap w:val="0"/>
            <w:vAlign w:val="center"/>
          </w:tcPr>
          <w:p w14:paraId="6C5FF334">
            <w:pPr>
              <w:pStyle w:val="25"/>
              <w:spacing w:beforeLines="0" w:afterLines="0" w:line="240" w:lineRule="auto"/>
              <w:ind w:firstLine="0"/>
              <w:jc w:val="center"/>
              <w:rPr>
                <w:rStyle w:val="19"/>
                <w:rFonts w:hint="default"/>
                <w:color w:val="auto"/>
                <w:sz w:val="24"/>
                <w:szCs w:val="20"/>
                <w:highlight w:val="none"/>
              </w:rPr>
            </w:pPr>
            <w:r>
              <w:rPr>
                <w:rStyle w:val="19"/>
                <w:rFonts w:hint="default"/>
                <w:color w:val="auto"/>
                <w:sz w:val="24"/>
                <w:szCs w:val="20"/>
                <w:highlight w:val="none"/>
              </w:rPr>
              <w:t>备注</w:t>
            </w:r>
          </w:p>
        </w:tc>
      </w:tr>
      <w:tr w14:paraId="2CF60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1444" w:hRule="exact"/>
          <w:jc w:val="center"/>
        </w:trPr>
        <w:tc>
          <w:tcPr>
            <w:tcW w:w="820" w:type="dxa"/>
            <w:tcBorders>
              <w:top w:val="single" w:color="auto" w:sz="4" w:space="0"/>
              <w:left w:val="single" w:color="auto" w:sz="4" w:space="0"/>
              <w:bottom w:val="nil"/>
              <w:right w:val="nil"/>
              <w:tl2br w:val="nil"/>
              <w:tr2bl w:val="nil"/>
            </w:tcBorders>
            <w:shd w:val="clear" w:color="auto" w:fill="FFFFFF"/>
            <w:noWrap w:val="0"/>
            <w:vAlign w:val="center"/>
          </w:tcPr>
          <w:p w14:paraId="5585504B">
            <w:pPr>
              <w:pStyle w:val="25"/>
              <w:spacing w:beforeLines="0" w:afterLines="0" w:line="240" w:lineRule="auto"/>
              <w:ind w:firstLine="0"/>
              <w:jc w:val="center"/>
              <w:rPr>
                <w:rStyle w:val="19"/>
                <w:rFonts w:hint="default"/>
                <w:color w:val="auto"/>
                <w:sz w:val="24"/>
                <w:szCs w:val="20"/>
                <w:highlight w:val="none"/>
              </w:rPr>
            </w:pPr>
            <w:r>
              <w:rPr>
                <w:rStyle w:val="19"/>
                <w:rFonts w:hint="default"/>
                <w:color w:val="auto"/>
                <w:sz w:val="24"/>
                <w:szCs w:val="20"/>
                <w:highlight w:val="none"/>
              </w:rPr>
              <w:t>1</w:t>
            </w:r>
          </w:p>
        </w:tc>
        <w:tc>
          <w:tcPr>
            <w:tcW w:w="2211" w:type="dxa"/>
            <w:tcBorders>
              <w:top w:val="single" w:color="auto" w:sz="4" w:space="0"/>
              <w:left w:val="single" w:color="auto" w:sz="4" w:space="0"/>
              <w:bottom w:val="nil"/>
              <w:right w:val="nil"/>
              <w:tl2br w:val="nil"/>
              <w:tr2bl w:val="nil"/>
            </w:tcBorders>
            <w:shd w:val="clear" w:color="auto" w:fill="FFFFFF"/>
            <w:noWrap w:val="0"/>
            <w:vAlign w:val="center"/>
          </w:tcPr>
          <w:p w14:paraId="08D90A82">
            <w:pPr>
              <w:pStyle w:val="25"/>
              <w:spacing w:beforeLines="0" w:afterLines="0" w:line="240" w:lineRule="auto"/>
              <w:ind w:firstLine="0"/>
              <w:jc w:val="center"/>
              <w:rPr>
                <w:rStyle w:val="19"/>
                <w:rFonts w:hint="default"/>
                <w:color w:val="auto"/>
                <w:sz w:val="24"/>
                <w:szCs w:val="20"/>
                <w:highlight w:val="none"/>
              </w:rPr>
            </w:pPr>
            <w:r>
              <w:rPr>
                <w:rStyle w:val="19"/>
                <w:rFonts w:hint="default"/>
                <w:color w:val="auto"/>
                <w:sz w:val="24"/>
                <w:szCs w:val="20"/>
                <w:highlight w:val="none"/>
              </w:rPr>
              <w:t>项目经理</w:t>
            </w:r>
          </w:p>
        </w:tc>
        <w:tc>
          <w:tcPr>
            <w:tcW w:w="1445" w:type="dxa"/>
            <w:tcBorders>
              <w:top w:val="single" w:color="auto" w:sz="4" w:space="0"/>
              <w:left w:val="single" w:color="auto" w:sz="4" w:space="0"/>
              <w:bottom w:val="nil"/>
              <w:right w:val="nil"/>
              <w:tl2br w:val="nil"/>
              <w:tr2bl w:val="nil"/>
            </w:tcBorders>
            <w:shd w:val="clear" w:color="auto" w:fill="FFFFFF"/>
            <w:noWrap w:val="0"/>
            <w:vAlign w:val="center"/>
          </w:tcPr>
          <w:p w14:paraId="0033A591">
            <w:pPr>
              <w:pStyle w:val="25"/>
              <w:spacing w:beforeLines="0" w:afterLines="0" w:line="240" w:lineRule="auto"/>
              <w:ind w:firstLine="0"/>
              <w:jc w:val="center"/>
              <w:rPr>
                <w:rStyle w:val="19"/>
                <w:rFonts w:hint="eastAsia" w:ascii="Times New Roman" w:hAnsi="Times New Roman" w:eastAsia="Times New Roman" w:cs="Times New Roman"/>
                <w:color w:val="auto"/>
                <w:sz w:val="24"/>
                <w:szCs w:val="24"/>
                <w:highlight w:val="none"/>
              </w:rPr>
            </w:pPr>
            <w:r>
              <w:rPr>
                <w:rStyle w:val="19"/>
                <w:rFonts w:hint="eastAsia" w:ascii="Times New Roman" w:hAnsi="Times New Roman" w:eastAsia="Times New Roman" w:cs="Times New Roman"/>
                <w:color w:val="auto"/>
                <w:sz w:val="24"/>
                <w:szCs w:val="24"/>
                <w:highlight w:val="none"/>
                <w:lang w:val="en-US" w:eastAsia="en-US" w:bidi="en-US"/>
              </w:rPr>
              <w:t>1. 1.2.4</w:t>
            </w:r>
          </w:p>
        </w:tc>
        <w:tc>
          <w:tcPr>
            <w:tcW w:w="2904" w:type="dxa"/>
            <w:tcBorders>
              <w:top w:val="single" w:color="auto" w:sz="4" w:space="0"/>
              <w:left w:val="single" w:color="auto" w:sz="4" w:space="0"/>
              <w:bottom w:val="nil"/>
              <w:right w:val="nil"/>
              <w:tl2br w:val="nil"/>
              <w:tr2bl w:val="nil"/>
            </w:tcBorders>
            <w:shd w:val="clear" w:color="auto" w:fill="FFFFFF"/>
            <w:noWrap w:val="0"/>
            <w:vAlign w:val="center"/>
          </w:tcPr>
          <w:p w14:paraId="7E4755AB">
            <w:pPr>
              <w:pStyle w:val="23"/>
              <w:keepNext w:val="0"/>
              <w:keepLines w:val="0"/>
              <w:pageBreakBefore w:val="0"/>
              <w:widowControl w:val="0"/>
              <w:kinsoku/>
              <w:wordWrap/>
              <w:overflowPunct/>
              <w:topLinePunct w:val="0"/>
              <w:autoSpaceDE/>
              <w:autoSpaceDN/>
              <w:bidi w:val="0"/>
              <w:adjustRightInd/>
              <w:snapToGrid/>
              <w:spacing w:beforeLines="0" w:afterLines="0" w:line="340" w:lineRule="exact"/>
              <w:textAlignment w:val="auto"/>
              <w:rPr>
                <w:rStyle w:val="19"/>
                <w:rFonts w:hint="default" w:ascii="宋体" w:hAnsi="宋体" w:eastAsia="宋体" w:cs="宋体"/>
                <w:color w:val="auto"/>
                <w:sz w:val="24"/>
                <w:szCs w:val="24"/>
                <w:highlight w:val="none"/>
                <w:lang w:eastAsia="zh-CN"/>
              </w:rPr>
            </w:pPr>
            <w:r>
              <w:rPr>
                <w:rStyle w:val="19"/>
                <w:rFonts w:hint="default" w:ascii="宋体" w:hAnsi="宋体" w:eastAsia="宋体" w:cs="宋体"/>
                <w:color w:val="auto"/>
                <w:sz w:val="24"/>
                <w:szCs w:val="24"/>
                <w:highlight w:val="none"/>
                <w:lang w:eastAsia="zh-CN"/>
              </w:rPr>
              <w:t>姓名：</w:t>
            </w:r>
          </w:p>
          <w:p w14:paraId="1BB6DFC9">
            <w:pPr>
              <w:pStyle w:val="23"/>
              <w:keepNext w:val="0"/>
              <w:keepLines w:val="0"/>
              <w:pageBreakBefore w:val="0"/>
              <w:widowControl w:val="0"/>
              <w:kinsoku/>
              <w:wordWrap/>
              <w:overflowPunct/>
              <w:topLinePunct w:val="0"/>
              <w:autoSpaceDE/>
              <w:autoSpaceDN/>
              <w:bidi w:val="0"/>
              <w:adjustRightInd/>
              <w:snapToGrid/>
              <w:spacing w:beforeLines="0" w:afterLines="0" w:line="340" w:lineRule="exact"/>
              <w:textAlignment w:val="auto"/>
              <w:rPr>
                <w:rStyle w:val="19"/>
                <w:rFonts w:hint="default" w:ascii="宋体" w:hAnsi="宋体" w:eastAsia="宋体" w:cs="宋体"/>
                <w:color w:val="auto"/>
                <w:sz w:val="24"/>
                <w:szCs w:val="24"/>
                <w:highlight w:val="none"/>
                <w:lang w:eastAsia="zh-CN"/>
              </w:rPr>
            </w:pPr>
            <w:r>
              <w:rPr>
                <w:rStyle w:val="19"/>
                <w:rFonts w:hint="default" w:ascii="宋体" w:hAnsi="宋体" w:eastAsia="宋体" w:cs="宋体"/>
                <w:color w:val="auto"/>
                <w:sz w:val="24"/>
                <w:szCs w:val="24"/>
                <w:highlight w:val="none"/>
                <w:lang w:eastAsia="zh-CN"/>
              </w:rPr>
              <w:t>身份证号码：</w:t>
            </w:r>
          </w:p>
          <w:p w14:paraId="16B7F4B3">
            <w:pPr>
              <w:pStyle w:val="23"/>
              <w:keepNext w:val="0"/>
              <w:keepLines w:val="0"/>
              <w:pageBreakBefore w:val="0"/>
              <w:widowControl w:val="0"/>
              <w:kinsoku/>
              <w:wordWrap/>
              <w:overflowPunct/>
              <w:topLinePunct w:val="0"/>
              <w:autoSpaceDE/>
              <w:autoSpaceDN/>
              <w:bidi w:val="0"/>
              <w:adjustRightInd/>
              <w:snapToGrid/>
              <w:spacing w:beforeLines="0" w:afterLines="0" w:line="340" w:lineRule="exact"/>
              <w:textAlignment w:val="auto"/>
              <w:rPr>
                <w:rStyle w:val="19"/>
                <w:rFonts w:hint="default" w:ascii="宋体" w:hAnsi="宋体" w:eastAsia="宋体" w:cs="宋体"/>
                <w:color w:val="auto"/>
                <w:sz w:val="24"/>
                <w:szCs w:val="24"/>
                <w:highlight w:val="none"/>
                <w:lang w:eastAsia="zh-CN"/>
              </w:rPr>
            </w:pPr>
            <w:r>
              <w:rPr>
                <w:rStyle w:val="19"/>
                <w:rFonts w:hint="default" w:ascii="宋体" w:hAnsi="宋体" w:eastAsia="宋体" w:cs="宋体"/>
                <w:color w:val="auto"/>
                <w:sz w:val="24"/>
                <w:szCs w:val="24"/>
                <w:highlight w:val="none"/>
                <w:lang w:eastAsia="zh-CN"/>
              </w:rPr>
              <w:t>职称：</w:t>
            </w:r>
          </w:p>
          <w:p w14:paraId="43F7BE7C">
            <w:pPr>
              <w:pStyle w:val="23"/>
              <w:keepNext w:val="0"/>
              <w:keepLines w:val="0"/>
              <w:pageBreakBefore w:val="0"/>
              <w:widowControl w:val="0"/>
              <w:kinsoku/>
              <w:wordWrap/>
              <w:overflowPunct/>
              <w:topLinePunct w:val="0"/>
              <w:autoSpaceDE/>
              <w:autoSpaceDN/>
              <w:bidi w:val="0"/>
              <w:adjustRightInd/>
              <w:snapToGrid/>
              <w:spacing w:beforeLines="0" w:afterLines="0" w:line="340" w:lineRule="exact"/>
              <w:textAlignment w:val="auto"/>
              <w:rPr>
                <w:rStyle w:val="19"/>
                <w:rFonts w:hint="default"/>
                <w:color w:val="auto"/>
                <w:sz w:val="24"/>
                <w:szCs w:val="24"/>
                <w:highlight w:val="none"/>
              </w:rPr>
            </w:pPr>
            <w:r>
              <w:rPr>
                <w:rStyle w:val="19"/>
                <w:rFonts w:hint="default" w:ascii="宋体" w:hAnsi="宋体" w:eastAsia="宋体" w:cs="宋体"/>
                <w:color w:val="auto"/>
                <w:sz w:val="24"/>
                <w:szCs w:val="24"/>
                <w:highlight w:val="none"/>
                <w:lang w:eastAsia="zh-CN"/>
              </w:rPr>
              <w:t>注册执业资格：</w:t>
            </w:r>
          </w:p>
        </w:tc>
        <w:tc>
          <w:tcPr>
            <w:tcW w:w="840" w:type="dxa"/>
            <w:tcBorders>
              <w:top w:val="single" w:color="auto" w:sz="4" w:space="0"/>
              <w:left w:val="single" w:color="auto" w:sz="4" w:space="0"/>
              <w:bottom w:val="nil"/>
              <w:right w:val="single" w:color="auto" w:sz="4" w:space="0"/>
              <w:tl2br w:val="nil"/>
              <w:tr2bl w:val="nil"/>
            </w:tcBorders>
            <w:shd w:val="clear" w:color="auto" w:fill="FFFFFF"/>
            <w:noWrap w:val="0"/>
            <w:vAlign w:val="top"/>
          </w:tcPr>
          <w:p w14:paraId="2E5772F1">
            <w:pPr>
              <w:pStyle w:val="23"/>
              <w:spacing w:beforeLines="0" w:afterLines="0"/>
              <w:rPr>
                <w:rStyle w:val="19"/>
                <w:rFonts w:hint="default" w:ascii="宋体" w:hAnsi="宋体" w:eastAsia="宋体" w:cs="宋体"/>
                <w:color w:val="auto"/>
                <w:sz w:val="24"/>
                <w:szCs w:val="24"/>
                <w:highlight w:val="none"/>
              </w:rPr>
            </w:pPr>
          </w:p>
        </w:tc>
      </w:tr>
      <w:tr w14:paraId="183EDA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980" w:hRule="exact"/>
          <w:jc w:val="center"/>
        </w:trPr>
        <w:tc>
          <w:tcPr>
            <w:tcW w:w="820" w:type="dxa"/>
            <w:tcBorders>
              <w:top w:val="single" w:color="auto" w:sz="4" w:space="0"/>
              <w:left w:val="single" w:color="auto" w:sz="4" w:space="0"/>
              <w:bottom w:val="nil"/>
              <w:right w:val="nil"/>
              <w:tl2br w:val="nil"/>
              <w:tr2bl w:val="nil"/>
            </w:tcBorders>
            <w:shd w:val="clear" w:color="auto" w:fill="FFFFFF"/>
            <w:noWrap w:val="0"/>
            <w:vAlign w:val="center"/>
          </w:tcPr>
          <w:p w14:paraId="13964E56">
            <w:pPr>
              <w:pStyle w:val="25"/>
              <w:spacing w:beforeLines="0" w:afterLines="0" w:line="240" w:lineRule="auto"/>
              <w:ind w:firstLine="0"/>
              <w:jc w:val="center"/>
              <w:rPr>
                <w:rStyle w:val="19"/>
                <w:rFonts w:hint="default"/>
                <w:color w:val="auto"/>
                <w:sz w:val="24"/>
                <w:szCs w:val="20"/>
                <w:highlight w:val="none"/>
              </w:rPr>
            </w:pPr>
            <w:r>
              <w:rPr>
                <w:rStyle w:val="19"/>
                <w:rFonts w:hint="default"/>
                <w:color w:val="auto"/>
                <w:sz w:val="24"/>
                <w:szCs w:val="20"/>
                <w:highlight w:val="none"/>
              </w:rPr>
              <w:t>2</w:t>
            </w:r>
          </w:p>
        </w:tc>
        <w:tc>
          <w:tcPr>
            <w:tcW w:w="2211" w:type="dxa"/>
            <w:tcBorders>
              <w:top w:val="single" w:color="auto" w:sz="4" w:space="0"/>
              <w:left w:val="single" w:color="auto" w:sz="4" w:space="0"/>
              <w:bottom w:val="nil"/>
              <w:right w:val="nil"/>
              <w:tl2br w:val="nil"/>
              <w:tr2bl w:val="nil"/>
            </w:tcBorders>
            <w:shd w:val="clear" w:color="auto" w:fill="FFFFFF"/>
            <w:noWrap w:val="0"/>
            <w:vAlign w:val="center"/>
          </w:tcPr>
          <w:p w14:paraId="728198DC">
            <w:pPr>
              <w:pStyle w:val="25"/>
              <w:spacing w:beforeLines="0" w:afterLines="0" w:line="240" w:lineRule="auto"/>
              <w:ind w:firstLine="0"/>
              <w:jc w:val="center"/>
              <w:rPr>
                <w:rStyle w:val="19"/>
                <w:rFonts w:hint="default"/>
                <w:color w:val="auto"/>
                <w:sz w:val="24"/>
                <w:szCs w:val="20"/>
                <w:highlight w:val="none"/>
              </w:rPr>
            </w:pPr>
            <w:r>
              <w:rPr>
                <w:rStyle w:val="19"/>
                <w:rFonts w:hint="default"/>
                <w:color w:val="auto"/>
                <w:sz w:val="24"/>
                <w:szCs w:val="20"/>
                <w:highlight w:val="none"/>
              </w:rPr>
              <w:t>技术负责人</w:t>
            </w:r>
          </w:p>
        </w:tc>
        <w:tc>
          <w:tcPr>
            <w:tcW w:w="1445" w:type="dxa"/>
            <w:tcBorders>
              <w:top w:val="single" w:color="auto" w:sz="4" w:space="0"/>
              <w:left w:val="single" w:color="auto" w:sz="4" w:space="0"/>
              <w:bottom w:val="nil"/>
              <w:right w:val="nil"/>
              <w:tl2br w:val="nil"/>
              <w:tr2bl w:val="nil"/>
            </w:tcBorders>
            <w:shd w:val="clear" w:color="auto" w:fill="FFFFFF"/>
            <w:noWrap w:val="0"/>
            <w:vAlign w:val="center"/>
          </w:tcPr>
          <w:p w14:paraId="5140E95A">
            <w:pPr>
              <w:pStyle w:val="25"/>
              <w:spacing w:beforeLines="0" w:afterLines="0" w:line="240" w:lineRule="auto"/>
              <w:ind w:firstLine="0"/>
              <w:jc w:val="center"/>
              <w:rPr>
                <w:rStyle w:val="19"/>
                <w:rFonts w:hint="eastAsia" w:ascii="Times New Roman" w:hAnsi="Times New Roman" w:eastAsia="Times New Roman" w:cs="Times New Roman"/>
                <w:color w:val="auto"/>
                <w:sz w:val="24"/>
                <w:szCs w:val="24"/>
                <w:highlight w:val="none"/>
                <w:lang w:val="en-US" w:eastAsia="en-US" w:bidi="en-US"/>
              </w:rPr>
            </w:pPr>
            <w:r>
              <w:rPr>
                <w:rStyle w:val="19"/>
                <w:rFonts w:hint="eastAsia" w:ascii="Times New Roman" w:hAnsi="Times New Roman" w:eastAsia="Times New Roman" w:cs="Times New Roman"/>
                <w:color w:val="auto"/>
                <w:sz w:val="24"/>
                <w:szCs w:val="24"/>
                <w:highlight w:val="none"/>
                <w:lang w:val="en-US" w:eastAsia="en-US" w:bidi="en-US"/>
              </w:rPr>
              <w:t>1. 1.2.4</w:t>
            </w:r>
          </w:p>
        </w:tc>
        <w:tc>
          <w:tcPr>
            <w:tcW w:w="2904" w:type="dxa"/>
            <w:tcBorders>
              <w:top w:val="single" w:color="auto" w:sz="4" w:space="0"/>
              <w:left w:val="single" w:color="auto" w:sz="4" w:space="0"/>
              <w:bottom w:val="nil"/>
              <w:right w:val="nil"/>
              <w:tl2br w:val="nil"/>
              <w:tr2bl w:val="nil"/>
            </w:tcBorders>
            <w:shd w:val="clear" w:color="auto" w:fill="FFFFFF"/>
            <w:noWrap w:val="0"/>
            <w:vAlign w:val="center"/>
          </w:tcPr>
          <w:p w14:paraId="4DD45D5E">
            <w:pPr>
              <w:pStyle w:val="23"/>
              <w:keepNext w:val="0"/>
              <w:keepLines w:val="0"/>
              <w:pageBreakBefore w:val="0"/>
              <w:widowControl w:val="0"/>
              <w:kinsoku/>
              <w:wordWrap/>
              <w:overflowPunct/>
              <w:topLinePunct w:val="0"/>
              <w:autoSpaceDE/>
              <w:autoSpaceDN/>
              <w:bidi w:val="0"/>
              <w:adjustRightInd/>
              <w:snapToGrid/>
              <w:spacing w:beforeLines="0" w:afterLines="0" w:line="340" w:lineRule="exact"/>
              <w:textAlignment w:val="auto"/>
              <w:rPr>
                <w:rStyle w:val="19"/>
                <w:rFonts w:hint="default" w:ascii="宋体" w:hAnsi="宋体" w:eastAsia="宋体" w:cs="宋体"/>
                <w:color w:val="auto"/>
                <w:sz w:val="24"/>
                <w:szCs w:val="24"/>
                <w:highlight w:val="none"/>
                <w:lang w:eastAsia="zh-CN"/>
              </w:rPr>
            </w:pPr>
            <w:r>
              <w:rPr>
                <w:rStyle w:val="19"/>
                <w:rFonts w:hint="default" w:ascii="宋体" w:hAnsi="宋体" w:eastAsia="宋体" w:cs="宋体"/>
                <w:color w:val="auto"/>
                <w:sz w:val="24"/>
                <w:szCs w:val="24"/>
                <w:highlight w:val="none"/>
                <w:lang w:eastAsia="zh-CN"/>
              </w:rPr>
              <w:t>姓名：</w:t>
            </w:r>
          </w:p>
          <w:p w14:paraId="67285032">
            <w:pPr>
              <w:pStyle w:val="23"/>
              <w:keepNext w:val="0"/>
              <w:keepLines w:val="0"/>
              <w:pageBreakBefore w:val="0"/>
              <w:widowControl w:val="0"/>
              <w:kinsoku/>
              <w:wordWrap/>
              <w:overflowPunct/>
              <w:topLinePunct w:val="0"/>
              <w:autoSpaceDE/>
              <w:autoSpaceDN/>
              <w:bidi w:val="0"/>
              <w:adjustRightInd/>
              <w:snapToGrid/>
              <w:spacing w:beforeLines="0" w:afterLines="0" w:line="340" w:lineRule="exact"/>
              <w:textAlignment w:val="auto"/>
              <w:rPr>
                <w:rStyle w:val="19"/>
                <w:rFonts w:hint="default" w:ascii="宋体" w:hAnsi="宋体" w:eastAsia="宋体" w:cs="宋体"/>
                <w:color w:val="auto"/>
                <w:sz w:val="24"/>
                <w:szCs w:val="24"/>
                <w:highlight w:val="none"/>
                <w:lang w:eastAsia="zh-CN"/>
              </w:rPr>
            </w:pPr>
            <w:r>
              <w:rPr>
                <w:rStyle w:val="19"/>
                <w:rFonts w:hint="default" w:ascii="宋体" w:hAnsi="宋体" w:eastAsia="宋体" w:cs="宋体"/>
                <w:color w:val="auto"/>
                <w:sz w:val="24"/>
                <w:szCs w:val="24"/>
                <w:highlight w:val="none"/>
                <w:lang w:eastAsia="zh-CN"/>
              </w:rPr>
              <w:t>身份证号码：</w:t>
            </w:r>
          </w:p>
          <w:p w14:paraId="3ADA8423">
            <w:pPr>
              <w:pStyle w:val="23"/>
              <w:keepNext w:val="0"/>
              <w:keepLines w:val="0"/>
              <w:pageBreakBefore w:val="0"/>
              <w:widowControl w:val="0"/>
              <w:kinsoku/>
              <w:wordWrap/>
              <w:overflowPunct/>
              <w:topLinePunct w:val="0"/>
              <w:autoSpaceDE/>
              <w:autoSpaceDN/>
              <w:bidi w:val="0"/>
              <w:adjustRightInd/>
              <w:snapToGrid/>
              <w:spacing w:beforeLines="0" w:afterLines="0" w:line="340" w:lineRule="exact"/>
              <w:textAlignment w:val="auto"/>
              <w:rPr>
                <w:rStyle w:val="19"/>
                <w:rFonts w:hint="default" w:ascii="宋体" w:hAnsi="宋体" w:eastAsia="宋体" w:cs="宋体"/>
                <w:color w:val="auto"/>
                <w:sz w:val="24"/>
                <w:szCs w:val="24"/>
                <w:highlight w:val="none"/>
                <w:lang w:eastAsia="zh-CN"/>
              </w:rPr>
            </w:pPr>
            <w:r>
              <w:rPr>
                <w:rStyle w:val="19"/>
                <w:rFonts w:hint="default" w:ascii="宋体" w:hAnsi="宋体" w:eastAsia="宋体" w:cs="宋体"/>
                <w:color w:val="auto"/>
                <w:sz w:val="24"/>
                <w:szCs w:val="24"/>
                <w:highlight w:val="none"/>
                <w:lang w:eastAsia="zh-CN"/>
              </w:rPr>
              <w:t>职称：</w:t>
            </w:r>
          </w:p>
        </w:tc>
        <w:tc>
          <w:tcPr>
            <w:tcW w:w="840" w:type="dxa"/>
            <w:tcBorders>
              <w:top w:val="single" w:color="auto" w:sz="4" w:space="0"/>
              <w:left w:val="single" w:color="auto" w:sz="4" w:space="0"/>
              <w:bottom w:val="nil"/>
              <w:right w:val="single" w:color="auto" w:sz="4" w:space="0"/>
              <w:tl2br w:val="nil"/>
              <w:tr2bl w:val="nil"/>
            </w:tcBorders>
            <w:shd w:val="clear" w:color="auto" w:fill="FFFFFF"/>
            <w:noWrap w:val="0"/>
            <w:vAlign w:val="top"/>
          </w:tcPr>
          <w:p w14:paraId="243859B8">
            <w:pPr>
              <w:pStyle w:val="23"/>
              <w:spacing w:beforeLines="0" w:afterLines="0"/>
              <w:rPr>
                <w:rStyle w:val="19"/>
                <w:rFonts w:hint="default" w:ascii="宋体" w:hAnsi="宋体" w:eastAsia="宋体" w:cs="宋体"/>
                <w:color w:val="auto"/>
                <w:sz w:val="24"/>
                <w:szCs w:val="24"/>
                <w:highlight w:val="none"/>
                <w:lang w:eastAsia="zh-CN"/>
              </w:rPr>
            </w:pPr>
          </w:p>
        </w:tc>
      </w:tr>
      <w:tr w14:paraId="54327E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1385" w:hRule="exact"/>
          <w:jc w:val="center"/>
        </w:trPr>
        <w:tc>
          <w:tcPr>
            <w:tcW w:w="820" w:type="dxa"/>
            <w:tcBorders>
              <w:top w:val="single" w:color="auto" w:sz="4" w:space="0"/>
              <w:left w:val="single" w:color="auto" w:sz="4" w:space="0"/>
              <w:bottom w:val="nil"/>
              <w:right w:val="nil"/>
              <w:tl2br w:val="nil"/>
              <w:tr2bl w:val="nil"/>
            </w:tcBorders>
            <w:shd w:val="clear" w:color="auto" w:fill="FFFFFF"/>
            <w:noWrap w:val="0"/>
            <w:vAlign w:val="center"/>
          </w:tcPr>
          <w:p w14:paraId="752B7087">
            <w:pPr>
              <w:pStyle w:val="25"/>
              <w:spacing w:beforeLines="0" w:afterLines="0" w:line="240" w:lineRule="auto"/>
              <w:ind w:firstLine="0"/>
              <w:jc w:val="center"/>
              <w:rPr>
                <w:rStyle w:val="19"/>
                <w:rFonts w:hint="default"/>
                <w:color w:val="auto"/>
                <w:sz w:val="24"/>
                <w:szCs w:val="20"/>
                <w:highlight w:val="none"/>
              </w:rPr>
            </w:pPr>
            <w:r>
              <w:rPr>
                <w:rStyle w:val="19"/>
                <w:rFonts w:hint="default"/>
                <w:color w:val="auto"/>
                <w:sz w:val="24"/>
                <w:szCs w:val="20"/>
                <w:highlight w:val="none"/>
              </w:rPr>
              <w:t>3</w:t>
            </w:r>
          </w:p>
        </w:tc>
        <w:tc>
          <w:tcPr>
            <w:tcW w:w="2211" w:type="dxa"/>
            <w:tcBorders>
              <w:top w:val="single" w:color="auto" w:sz="4" w:space="0"/>
              <w:left w:val="single" w:color="auto" w:sz="4" w:space="0"/>
              <w:bottom w:val="nil"/>
              <w:right w:val="nil"/>
              <w:tl2br w:val="nil"/>
              <w:tr2bl w:val="nil"/>
            </w:tcBorders>
            <w:shd w:val="clear" w:color="auto" w:fill="FFFFFF"/>
            <w:noWrap w:val="0"/>
            <w:vAlign w:val="center"/>
          </w:tcPr>
          <w:p w14:paraId="28EEAE1B">
            <w:pPr>
              <w:pStyle w:val="25"/>
              <w:spacing w:beforeLines="0" w:afterLines="0" w:line="240" w:lineRule="auto"/>
              <w:ind w:firstLine="0"/>
              <w:jc w:val="center"/>
              <w:rPr>
                <w:rStyle w:val="19"/>
                <w:rFonts w:hint="default"/>
                <w:color w:val="auto"/>
                <w:sz w:val="24"/>
                <w:szCs w:val="20"/>
                <w:highlight w:val="none"/>
              </w:rPr>
            </w:pPr>
            <w:r>
              <w:rPr>
                <w:rStyle w:val="19"/>
                <w:rFonts w:hint="default"/>
                <w:color w:val="auto"/>
                <w:sz w:val="24"/>
                <w:szCs w:val="20"/>
                <w:highlight w:val="none"/>
              </w:rPr>
              <w:t>专职安全员</w:t>
            </w:r>
          </w:p>
        </w:tc>
        <w:tc>
          <w:tcPr>
            <w:tcW w:w="1445" w:type="dxa"/>
            <w:tcBorders>
              <w:top w:val="single" w:color="auto" w:sz="4" w:space="0"/>
              <w:left w:val="single" w:color="auto" w:sz="4" w:space="0"/>
              <w:bottom w:val="nil"/>
              <w:right w:val="nil"/>
              <w:tl2br w:val="nil"/>
              <w:tr2bl w:val="nil"/>
            </w:tcBorders>
            <w:shd w:val="clear" w:color="auto" w:fill="FFFFFF"/>
            <w:noWrap w:val="0"/>
            <w:vAlign w:val="center"/>
          </w:tcPr>
          <w:p w14:paraId="48F7814C">
            <w:pPr>
              <w:pStyle w:val="25"/>
              <w:spacing w:beforeLines="0" w:afterLines="0" w:line="240" w:lineRule="auto"/>
              <w:ind w:firstLine="0"/>
              <w:jc w:val="center"/>
              <w:rPr>
                <w:rStyle w:val="19"/>
                <w:rFonts w:hint="eastAsia" w:ascii="Times New Roman" w:hAnsi="Times New Roman" w:eastAsia="Times New Roman" w:cs="Times New Roman"/>
                <w:color w:val="auto"/>
                <w:sz w:val="24"/>
                <w:szCs w:val="24"/>
                <w:highlight w:val="none"/>
                <w:lang w:val="en-US" w:eastAsia="en-US" w:bidi="en-US"/>
              </w:rPr>
            </w:pPr>
            <w:r>
              <w:rPr>
                <w:rStyle w:val="19"/>
                <w:rFonts w:hint="eastAsia" w:ascii="Times New Roman" w:hAnsi="Times New Roman" w:eastAsia="Times New Roman" w:cs="Times New Roman"/>
                <w:color w:val="auto"/>
                <w:sz w:val="24"/>
                <w:szCs w:val="24"/>
                <w:highlight w:val="none"/>
                <w:lang w:val="en-US" w:eastAsia="en-US" w:bidi="en-US"/>
              </w:rPr>
              <w:t>1. 1.2.4</w:t>
            </w:r>
          </w:p>
        </w:tc>
        <w:tc>
          <w:tcPr>
            <w:tcW w:w="2904" w:type="dxa"/>
            <w:tcBorders>
              <w:top w:val="single" w:color="auto" w:sz="4" w:space="0"/>
              <w:left w:val="single" w:color="auto" w:sz="4" w:space="0"/>
              <w:bottom w:val="nil"/>
              <w:right w:val="nil"/>
              <w:tl2br w:val="nil"/>
              <w:tr2bl w:val="nil"/>
            </w:tcBorders>
            <w:shd w:val="clear" w:color="auto" w:fill="FFFFFF"/>
            <w:noWrap w:val="0"/>
            <w:vAlign w:val="center"/>
          </w:tcPr>
          <w:p w14:paraId="7B60D4C5">
            <w:pPr>
              <w:pStyle w:val="23"/>
              <w:keepNext w:val="0"/>
              <w:keepLines w:val="0"/>
              <w:pageBreakBefore w:val="0"/>
              <w:widowControl w:val="0"/>
              <w:kinsoku/>
              <w:wordWrap/>
              <w:overflowPunct/>
              <w:topLinePunct w:val="0"/>
              <w:autoSpaceDE/>
              <w:autoSpaceDN/>
              <w:bidi w:val="0"/>
              <w:adjustRightInd/>
              <w:snapToGrid/>
              <w:spacing w:beforeLines="0" w:afterLines="0" w:line="340" w:lineRule="exact"/>
              <w:textAlignment w:val="auto"/>
              <w:rPr>
                <w:rStyle w:val="19"/>
                <w:rFonts w:hint="default" w:ascii="宋体" w:hAnsi="宋体" w:eastAsia="宋体" w:cs="宋体"/>
                <w:color w:val="auto"/>
                <w:sz w:val="24"/>
                <w:szCs w:val="24"/>
                <w:highlight w:val="none"/>
                <w:lang w:eastAsia="zh-CN"/>
              </w:rPr>
            </w:pPr>
            <w:r>
              <w:rPr>
                <w:rStyle w:val="19"/>
                <w:rFonts w:hint="default" w:ascii="宋体" w:hAnsi="宋体" w:eastAsia="宋体" w:cs="宋体"/>
                <w:color w:val="auto"/>
                <w:sz w:val="24"/>
                <w:szCs w:val="24"/>
                <w:highlight w:val="none"/>
                <w:lang w:eastAsia="zh-CN"/>
              </w:rPr>
              <w:t>姓名：</w:t>
            </w:r>
          </w:p>
          <w:p w14:paraId="51602194">
            <w:pPr>
              <w:pStyle w:val="23"/>
              <w:keepNext w:val="0"/>
              <w:keepLines w:val="0"/>
              <w:pageBreakBefore w:val="0"/>
              <w:widowControl w:val="0"/>
              <w:kinsoku/>
              <w:wordWrap/>
              <w:overflowPunct/>
              <w:topLinePunct w:val="0"/>
              <w:autoSpaceDE/>
              <w:autoSpaceDN/>
              <w:bidi w:val="0"/>
              <w:adjustRightInd/>
              <w:snapToGrid/>
              <w:spacing w:beforeLines="0" w:afterLines="0" w:line="340" w:lineRule="exact"/>
              <w:textAlignment w:val="auto"/>
              <w:rPr>
                <w:rStyle w:val="19"/>
                <w:rFonts w:hint="default" w:ascii="宋体" w:hAnsi="宋体" w:eastAsia="宋体" w:cs="宋体"/>
                <w:color w:val="auto"/>
                <w:sz w:val="24"/>
                <w:szCs w:val="24"/>
                <w:highlight w:val="none"/>
                <w:lang w:eastAsia="zh-CN"/>
              </w:rPr>
            </w:pPr>
            <w:r>
              <w:rPr>
                <w:rStyle w:val="19"/>
                <w:rFonts w:hint="default" w:ascii="宋体" w:hAnsi="宋体" w:eastAsia="宋体" w:cs="宋体"/>
                <w:color w:val="auto"/>
                <w:sz w:val="24"/>
                <w:szCs w:val="24"/>
                <w:highlight w:val="none"/>
                <w:lang w:eastAsia="zh-CN"/>
              </w:rPr>
              <w:t>身份证号码：</w:t>
            </w:r>
          </w:p>
          <w:p w14:paraId="0CCCEF13">
            <w:pPr>
              <w:pStyle w:val="23"/>
              <w:keepNext w:val="0"/>
              <w:keepLines w:val="0"/>
              <w:pageBreakBefore w:val="0"/>
              <w:widowControl w:val="0"/>
              <w:kinsoku/>
              <w:wordWrap/>
              <w:overflowPunct/>
              <w:topLinePunct w:val="0"/>
              <w:autoSpaceDE/>
              <w:autoSpaceDN/>
              <w:bidi w:val="0"/>
              <w:adjustRightInd/>
              <w:snapToGrid/>
              <w:spacing w:beforeLines="0" w:afterLines="0" w:line="340" w:lineRule="exact"/>
              <w:textAlignment w:val="auto"/>
              <w:rPr>
                <w:rStyle w:val="19"/>
                <w:rFonts w:hint="default" w:ascii="宋体" w:hAnsi="宋体" w:eastAsia="宋体" w:cs="宋体"/>
                <w:color w:val="auto"/>
                <w:sz w:val="24"/>
                <w:szCs w:val="24"/>
                <w:highlight w:val="none"/>
                <w:lang w:eastAsia="zh-CN"/>
              </w:rPr>
            </w:pPr>
            <w:r>
              <w:rPr>
                <w:rStyle w:val="19"/>
                <w:rFonts w:hint="default" w:ascii="宋体" w:hAnsi="宋体" w:eastAsia="宋体" w:cs="宋体"/>
                <w:color w:val="auto"/>
                <w:sz w:val="24"/>
                <w:szCs w:val="24"/>
                <w:highlight w:val="none"/>
                <w:lang w:eastAsia="zh-CN"/>
              </w:rPr>
              <w:t>水行政主管部门颁发的安全生产考核合格证书号码：</w:t>
            </w:r>
          </w:p>
        </w:tc>
        <w:tc>
          <w:tcPr>
            <w:tcW w:w="840" w:type="dxa"/>
            <w:tcBorders>
              <w:top w:val="single" w:color="auto" w:sz="4" w:space="0"/>
              <w:left w:val="single" w:color="auto" w:sz="4" w:space="0"/>
              <w:bottom w:val="nil"/>
              <w:right w:val="single" w:color="auto" w:sz="4" w:space="0"/>
              <w:tl2br w:val="nil"/>
              <w:tr2bl w:val="nil"/>
            </w:tcBorders>
            <w:shd w:val="clear" w:color="auto" w:fill="FFFFFF"/>
            <w:noWrap w:val="0"/>
            <w:vAlign w:val="top"/>
          </w:tcPr>
          <w:p w14:paraId="495F2E19">
            <w:pPr>
              <w:pStyle w:val="23"/>
              <w:spacing w:beforeLines="0" w:afterLines="0"/>
              <w:rPr>
                <w:rStyle w:val="19"/>
                <w:rFonts w:hint="default" w:ascii="宋体" w:hAnsi="宋体" w:eastAsia="宋体" w:cs="宋体"/>
                <w:color w:val="auto"/>
                <w:sz w:val="24"/>
                <w:szCs w:val="24"/>
                <w:highlight w:val="none"/>
                <w:lang w:eastAsia="zh-CN"/>
              </w:rPr>
            </w:pPr>
          </w:p>
        </w:tc>
      </w:tr>
      <w:tr w14:paraId="066F7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680" w:hRule="exact"/>
          <w:jc w:val="center"/>
        </w:trPr>
        <w:tc>
          <w:tcPr>
            <w:tcW w:w="820" w:type="dxa"/>
            <w:tcBorders>
              <w:top w:val="single" w:color="auto" w:sz="4" w:space="0"/>
              <w:left w:val="single" w:color="auto" w:sz="4" w:space="0"/>
              <w:bottom w:val="nil"/>
              <w:right w:val="nil"/>
              <w:tl2br w:val="nil"/>
              <w:tr2bl w:val="nil"/>
            </w:tcBorders>
            <w:shd w:val="clear" w:color="auto" w:fill="FFFFFF"/>
            <w:noWrap w:val="0"/>
            <w:vAlign w:val="center"/>
          </w:tcPr>
          <w:p w14:paraId="6763FE59">
            <w:pPr>
              <w:pStyle w:val="25"/>
              <w:spacing w:beforeLines="0" w:afterLines="0" w:line="240" w:lineRule="auto"/>
              <w:ind w:firstLine="0"/>
              <w:jc w:val="center"/>
              <w:rPr>
                <w:rStyle w:val="19"/>
                <w:rFonts w:hint="default"/>
                <w:color w:val="auto"/>
                <w:sz w:val="24"/>
                <w:szCs w:val="20"/>
                <w:highlight w:val="none"/>
              </w:rPr>
            </w:pPr>
            <w:r>
              <w:rPr>
                <w:rStyle w:val="19"/>
                <w:rFonts w:hint="default"/>
                <w:color w:val="auto"/>
                <w:sz w:val="24"/>
                <w:szCs w:val="20"/>
                <w:highlight w:val="none"/>
              </w:rPr>
              <w:t>4</w:t>
            </w:r>
          </w:p>
        </w:tc>
        <w:tc>
          <w:tcPr>
            <w:tcW w:w="2211" w:type="dxa"/>
            <w:tcBorders>
              <w:top w:val="single" w:color="auto" w:sz="4" w:space="0"/>
              <w:left w:val="single" w:color="auto" w:sz="4" w:space="0"/>
              <w:bottom w:val="nil"/>
              <w:right w:val="nil"/>
              <w:tl2br w:val="nil"/>
              <w:tr2bl w:val="nil"/>
            </w:tcBorders>
            <w:shd w:val="clear" w:color="auto" w:fill="FFFFFF"/>
            <w:noWrap w:val="0"/>
            <w:vAlign w:val="center"/>
          </w:tcPr>
          <w:p w14:paraId="70AE6381">
            <w:pPr>
              <w:pStyle w:val="25"/>
              <w:spacing w:beforeLines="0" w:afterLines="0" w:line="240" w:lineRule="auto"/>
              <w:ind w:firstLine="0"/>
              <w:jc w:val="center"/>
              <w:rPr>
                <w:rStyle w:val="19"/>
                <w:rFonts w:hint="default"/>
                <w:color w:val="auto"/>
                <w:sz w:val="24"/>
                <w:szCs w:val="20"/>
                <w:highlight w:val="none"/>
              </w:rPr>
            </w:pPr>
            <w:r>
              <w:rPr>
                <w:rStyle w:val="19"/>
                <w:rFonts w:hint="default"/>
                <w:color w:val="auto"/>
                <w:sz w:val="24"/>
                <w:szCs w:val="20"/>
                <w:highlight w:val="none"/>
              </w:rPr>
              <w:t>工期</w:t>
            </w:r>
          </w:p>
        </w:tc>
        <w:tc>
          <w:tcPr>
            <w:tcW w:w="1445" w:type="dxa"/>
            <w:tcBorders>
              <w:top w:val="single" w:color="auto" w:sz="4" w:space="0"/>
              <w:left w:val="single" w:color="auto" w:sz="4" w:space="0"/>
              <w:bottom w:val="nil"/>
              <w:right w:val="nil"/>
              <w:tl2br w:val="nil"/>
              <w:tr2bl w:val="nil"/>
            </w:tcBorders>
            <w:shd w:val="clear" w:color="auto" w:fill="FFFFFF"/>
            <w:noWrap w:val="0"/>
            <w:vAlign w:val="center"/>
          </w:tcPr>
          <w:p w14:paraId="1593B7F0">
            <w:pPr>
              <w:pStyle w:val="25"/>
              <w:spacing w:beforeLines="0" w:afterLines="0" w:line="240" w:lineRule="auto"/>
              <w:ind w:firstLine="0"/>
              <w:jc w:val="center"/>
              <w:rPr>
                <w:rStyle w:val="19"/>
                <w:rFonts w:hint="eastAsia" w:ascii="Times New Roman" w:hAnsi="Times New Roman" w:eastAsia="Times New Roman" w:cs="Times New Roman"/>
                <w:color w:val="auto"/>
                <w:sz w:val="24"/>
                <w:szCs w:val="24"/>
                <w:highlight w:val="none"/>
              </w:rPr>
            </w:pPr>
            <w:r>
              <w:rPr>
                <w:rStyle w:val="19"/>
                <w:rFonts w:hint="eastAsia" w:ascii="Times New Roman" w:hAnsi="Times New Roman" w:eastAsia="Times New Roman" w:cs="Times New Roman"/>
                <w:color w:val="auto"/>
                <w:sz w:val="24"/>
                <w:szCs w:val="24"/>
                <w:highlight w:val="none"/>
                <w:lang w:val="en-US" w:eastAsia="en-US" w:bidi="en-US"/>
              </w:rPr>
              <w:t>1. 1.4.3</w:t>
            </w:r>
          </w:p>
        </w:tc>
        <w:tc>
          <w:tcPr>
            <w:tcW w:w="2904" w:type="dxa"/>
            <w:tcBorders>
              <w:top w:val="single" w:color="auto" w:sz="4" w:space="0"/>
              <w:left w:val="single" w:color="auto" w:sz="4" w:space="0"/>
              <w:bottom w:val="nil"/>
              <w:right w:val="nil"/>
              <w:tl2br w:val="nil"/>
              <w:tr2bl w:val="nil"/>
            </w:tcBorders>
            <w:shd w:val="clear" w:color="auto" w:fill="FFFFFF"/>
            <w:noWrap w:val="0"/>
            <w:vAlign w:val="center"/>
          </w:tcPr>
          <w:p w14:paraId="04A129A9">
            <w:pPr>
              <w:pStyle w:val="25"/>
              <w:tabs>
                <w:tab w:val="left" w:leader="underscore" w:pos="1212"/>
              </w:tabs>
              <w:spacing w:beforeLines="0" w:afterLines="0" w:line="240" w:lineRule="auto"/>
              <w:ind w:firstLine="0"/>
              <w:rPr>
                <w:rStyle w:val="19"/>
                <w:rFonts w:hint="default"/>
                <w:color w:val="auto"/>
                <w:sz w:val="24"/>
                <w:szCs w:val="20"/>
                <w:highlight w:val="none"/>
              </w:rPr>
            </w:pPr>
            <w:r>
              <w:rPr>
                <w:rStyle w:val="19"/>
                <w:rFonts w:hint="default"/>
                <w:color w:val="auto"/>
                <w:sz w:val="24"/>
                <w:szCs w:val="20"/>
                <w:highlight w:val="none"/>
              </w:rPr>
              <w:t>天数：</w:t>
            </w:r>
            <w:r>
              <w:rPr>
                <w:rStyle w:val="19"/>
                <w:rFonts w:hint="default"/>
                <w:color w:val="auto"/>
                <w:sz w:val="24"/>
                <w:szCs w:val="20"/>
                <w:highlight w:val="none"/>
                <w:u w:val="single"/>
                <w:lang w:val="en-US"/>
              </w:rPr>
              <w:t xml:space="preserve">   </w:t>
            </w:r>
            <w:r>
              <w:rPr>
                <w:rStyle w:val="19"/>
                <w:rFonts w:hint="default"/>
                <w:color w:val="auto"/>
                <w:sz w:val="24"/>
                <w:szCs w:val="20"/>
                <w:highlight w:val="none"/>
              </w:rPr>
              <w:t>日历天</w:t>
            </w:r>
          </w:p>
        </w:tc>
        <w:tc>
          <w:tcPr>
            <w:tcW w:w="840" w:type="dxa"/>
            <w:tcBorders>
              <w:top w:val="single" w:color="auto" w:sz="4" w:space="0"/>
              <w:left w:val="single" w:color="auto" w:sz="4" w:space="0"/>
              <w:bottom w:val="nil"/>
              <w:right w:val="single" w:color="auto" w:sz="4" w:space="0"/>
              <w:tl2br w:val="nil"/>
              <w:tr2bl w:val="nil"/>
            </w:tcBorders>
            <w:shd w:val="clear" w:color="auto" w:fill="FFFFFF"/>
            <w:noWrap w:val="0"/>
            <w:vAlign w:val="top"/>
          </w:tcPr>
          <w:p w14:paraId="076A5AEA">
            <w:pPr>
              <w:pStyle w:val="23"/>
              <w:spacing w:beforeLines="0" w:afterLines="0"/>
              <w:rPr>
                <w:rStyle w:val="19"/>
                <w:rFonts w:hint="default" w:ascii="宋体" w:hAnsi="宋体" w:eastAsia="宋体" w:cs="宋体"/>
                <w:color w:val="auto"/>
                <w:sz w:val="24"/>
                <w:szCs w:val="24"/>
                <w:highlight w:val="none"/>
              </w:rPr>
            </w:pPr>
          </w:p>
        </w:tc>
      </w:tr>
      <w:tr w14:paraId="0A1DDD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680" w:hRule="exact"/>
          <w:jc w:val="center"/>
        </w:trPr>
        <w:tc>
          <w:tcPr>
            <w:tcW w:w="820" w:type="dxa"/>
            <w:tcBorders>
              <w:top w:val="single" w:color="auto" w:sz="4" w:space="0"/>
              <w:left w:val="single" w:color="auto" w:sz="4" w:space="0"/>
              <w:bottom w:val="nil"/>
              <w:right w:val="nil"/>
              <w:tl2br w:val="nil"/>
              <w:tr2bl w:val="nil"/>
            </w:tcBorders>
            <w:shd w:val="clear" w:color="auto" w:fill="FFFFFF"/>
            <w:noWrap w:val="0"/>
            <w:vAlign w:val="center"/>
          </w:tcPr>
          <w:p w14:paraId="0BC7BAFA">
            <w:pPr>
              <w:pStyle w:val="25"/>
              <w:spacing w:beforeLines="0" w:afterLines="0" w:line="240" w:lineRule="auto"/>
              <w:ind w:firstLine="0"/>
              <w:jc w:val="center"/>
              <w:rPr>
                <w:rStyle w:val="19"/>
                <w:rFonts w:hint="default"/>
                <w:color w:val="auto"/>
                <w:sz w:val="24"/>
                <w:szCs w:val="20"/>
                <w:highlight w:val="none"/>
              </w:rPr>
            </w:pPr>
            <w:r>
              <w:rPr>
                <w:rStyle w:val="19"/>
                <w:rFonts w:hint="default"/>
                <w:color w:val="auto"/>
                <w:sz w:val="24"/>
                <w:szCs w:val="20"/>
                <w:highlight w:val="none"/>
              </w:rPr>
              <w:t>5</w:t>
            </w:r>
          </w:p>
        </w:tc>
        <w:tc>
          <w:tcPr>
            <w:tcW w:w="2211" w:type="dxa"/>
            <w:tcBorders>
              <w:top w:val="single" w:color="auto" w:sz="4" w:space="0"/>
              <w:left w:val="single" w:color="auto" w:sz="4" w:space="0"/>
              <w:bottom w:val="nil"/>
              <w:right w:val="nil"/>
              <w:tl2br w:val="nil"/>
              <w:tr2bl w:val="nil"/>
            </w:tcBorders>
            <w:shd w:val="clear" w:color="auto" w:fill="FFFFFF"/>
            <w:noWrap w:val="0"/>
            <w:vAlign w:val="center"/>
          </w:tcPr>
          <w:p w14:paraId="35C4AA21">
            <w:pPr>
              <w:pStyle w:val="25"/>
              <w:spacing w:beforeLines="0" w:afterLines="0" w:line="271" w:lineRule="exact"/>
              <w:ind w:firstLine="0"/>
              <w:jc w:val="center"/>
              <w:rPr>
                <w:rStyle w:val="19"/>
                <w:rFonts w:hint="default"/>
                <w:color w:val="auto"/>
                <w:sz w:val="24"/>
                <w:szCs w:val="20"/>
                <w:highlight w:val="none"/>
              </w:rPr>
            </w:pPr>
            <w:r>
              <w:rPr>
                <w:rStyle w:val="19"/>
                <w:rFonts w:hint="default"/>
                <w:color w:val="auto"/>
                <w:sz w:val="24"/>
                <w:szCs w:val="20"/>
                <w:highlight w:val="none"/>
              </w:rPr>
              <w:t>工程质量保修期</w:t>
            </w:r>
          </w:p>
        </w:tc>
        <w:tc>
          <w:tcPr>
            <w:tcW w:w="1445" w:type="dxa"/>
            <w:tcBorders>
              <w:top w:val="single" w:color="auto" w:sz="4" w:space="0"/>
              <w:left w:val="single" w:color="auto" w:sz="4" w:space="0"/>
              <w:bottom w:val="nil"/>
              <w:right w:val="nil"/>
              <w:tl2br w:val="nil"/>
              <w:tr2bl w:val="nil"/>
            </w:tcBorders>
            <w:shd w:val="clear" w:color="auto" w:fill="FFFFFF"/>
            <w:noWrap w:val="0"/>
            <w:vAlign w:val="center"/>
          </w:tcPr>
          <w:p w14:paraId="0E6398D4">
            <w:pPr>
              <w:pStyle w:val="25"/>
              <w:spacing w:beforeLines="0" w:afterLines="0" w:line="240" w:lineRule="auto"/>
              <w:ind w:firstLine="0"/>
              <w:jc w:val="center"/>
              <w:rPr>
                <w:rStyle w:val="19"/>
                <w:rFonts w:hint="eastAsia" w:ascii="Times New Roman" w:hAnsi="Times New Roman" w:eastAsia="Times New Roman" w:cs="Times New Roman"/>
                <w:color w:val="auto"/>
                <w:sz w:val="24"/>
                <w:szCs w:val="24"/>
                <w:highlight w:val="none"/>
              </w:rPr>
            </w:pPr>
            <w:r>
              <w:rPr>
                <w:rStyle w:val="19"/>
                <w:rFonts w:hint="eastAsia" w:ascii="Times New Roman" w:hAnsi="Times New Roman" w:eastAsia="Times New Roman" w:cs="Times New Roman"/>
                <w:color w:val="auto"/>
                <w:sz w:val="24"/>
                <w:szCs w:val="24"/>
                <w:highlight w:val="none"/>
                <w:lang w:val="en-US" w:eastAsia="en-US" w:bidi="en-US"/>
              </w:rPr>
              <w:t>1. 1.4.5</w:t>
            </w:r>
          </w:p>
        </w:tc>
        <w:tc>
          <w:tcPr>
            <w:tcW w:w="2904" w:type="dxa"/>
            <w:tcBorders>
              <w:top w:val="single" w:color="auto" w:sz="4" w:space="0"/>
              <w:left w:val="single" w:color="auto" w:sz="4" w:space="0"/>
              <w:bottom w:val="nil"/>
              <w:right w:val="nil"/>
              <w:tl2br w:val="nil"/>
              <w:tr2bl w:val="nil"/>
            </w:tcBorders>
            <w:shd w:val="clear" w:color="auto" w:fill="FFFFFF"/>
            <w:noWrap w:val="0"/>
            <w:vAlign w:val="top"/>
          </w:tcPr>
          <w:p w14:paraId="6B7BD5A9">
            <w:pPr>
              <w:pStyle w:val="23"/>
              <w:spacing w:beforeLines="0" w:afterLines="0"/>
              <w:rPr>
                <w:rStyle w:val="19"/>
                <w:rFonts w:hint="default" w:ascii="宋体" w:hAnsi="宋体" w:eastAsia="宋体" w:cs="宋体"/>
                <w:color w:val="auto"/>
                <w:sz w:val="24"/>
                <w:szCs w:val="24"/>
                <w:highlight w:val="none"/>
              </w:rPr>
            </w:pPr>
          </w:p>
        </w:tc>
        <w:tc>
          <w:tcPr>
            <w:tcW w:w="840" w:type="dxa"/>
            <w:tcBorders>
              <w:top w:val="single" w:color="auto" w:sz="4" w:space="0"/>
              <w:left w:val="single" w:color="auto" w:sz="4" w:space="0"/>
              <w:bottom w:val="nil"/>
              <w:right w:val="single" w:color="auto" w:sz="4" w:space="0"/>
              <w:tl2br w:val="nil"/>
              <w:tr2bl w:val="nil"/>
            </w:tcBorders>
            <w:shd w:val="clear" w:color="auto" w:fill="FFFFFF"/>
            <w:noWrap w:val="0"/>
            <w:vAlign w:val="top"/>
          </w:tcPr>
          <w:p w14:paraId="474A04A8">
            <w:pPr>
              <w:pStyle w:val="23"/>
              <w:spacing w:beforeLines="0" w:afterLines="0"/>
              <w:rPr>
                <w:rStyle w:val="19"/>
                <w:rFonts w:hint="default" w:ascii="宋体" w:hAnsi="宋体" w:eastAsia="宋体" w:cs="宋体"/>
                <w:color w:val="auto"/>
                <w:sz w:val="24"/>
                <w:szCs w:val="24"/>
                <w:highlight w:val="none"/>
              </w:rPr>
            </w:pPr>
          </w:p>
        </w:tc>
      </w:tr>
      <w:tr w14:paraId="5D9774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1023" w:hRule="exact"/>
          <w:jc w:val="center"/>
        </w:trPr>
        <w:tc>
          <w:tcPr>
            <w:tcW w:w="820" w:type="dxa"/>
            <w:tcBorders>
              <w:top w:val="single" w:color="auto" w:sz="4" w:space="0"/>
              <w:left w:val="single" w:color="auto" w:sz="4" w:space="0"/>
              <w:bottom w:val="nil"/>
              <w:right w:val="nil"/>
              <w:tl2br w:val="nil"/>
              <w:tr2bl w:val="nil"/>
            </w:tcBorders>
            <w:shd w:val="clear" w:color="auto" w:fill="FFFFFF"/>
            <w:noWrap w:val="0"/>
            <w:vAlign w:val="center"/>
          </w:tcPr>
          <w:p w14:paraId="7D004C3C">
            <w:pPr>
              <w:pStyle w:val="25"/>
              <w:spacing w:beforeLines="0" w:afterLines="0" w:line="240" w:lineRule="auto"/>
              <w:ind w:firstLine="0"/>
              <w:jc w:val="center"/>
              <w:rPr>
                <w:rStyle w:val="19"/>
                <w:rFonts w:hint="default"/>
                <w:color w:val="auto"/>
                <w:sz w:val="24"/>
                <w:szCs w:val="20"/>
                <w:highlight w:val="none"/>
                <w:lang w:val="en-US"/>
              </w:rPr>
            </w:pPr>
            <w:r>
              <w:rPr>
                <w:rStyle w:val="19"/>
                <w:rFonts w:hint="default"/>
                <w:color w:val="auto"/>
                <w:sz w:val="24"/>
                <w:szCs w:val="20"/>
                <w:highlight w:val="none"/>
                <w:lang w:val="en-US"/>
              </w:rPr>
              <w:t>6</w:t>
            </w:r>
          </w:p>
        </w:tc>
        <w:tc>
          <w:tcPr>
            <w:tcW w:w="2211" w:type="dxa"/>
            <w:tcBorders>
              <w:top w:val="single" w:color="auto" w:sz="4" w:space="0"/>
              <w:left w:val="single" w:color="auto" w:sz="4" w:space="0"/>
              <w:bottom w:val="nil"/>
              <w:right w:val="nil"/>
              <w:tl2br w:val="nil"/>
              <w:tr2bl w:val="nil"/>
            </w:tcBorders>
            <w:shd w:val="clear" w:color="auto" w:fill="FFFFFF"/>
            <w:noWrap w:val="0"/>
            <w:vAlign w:val="center"/>
          </w:tcPr>
          <w:p w14:paraId="62259333">
            <w:pPr>
              <w:pStyle w:val="25"/>
              <w:spacing w:beforeLines="0" w:afterLines="0" w:line="240" w:lineRule="auto"/>
              <w:ind w:firstLine="0"/>
              <w:jc w:val="center"/>
              <w:rPr>
                <w:rStyle w:val="19"/>
                <w:rFonts w:hint="default"/>
                <w:color w:val="auto"/>
                <w:sz w:val="24"/>
                <w:szCs w:val="20"/>
                <w:highlight w:val="none"/>
              </w:rPr>
            </w:pPr>
            <w:r>
              <w:rPr>
                <w:rStyle w:val="19"/>
                <w:rFonts w:hint="default"/>
                <w:color w:val="auto"/>
                <w:sz w:val="24"/>
                <w:szCs w:val="20"/>
                <w:highlight w:val="none"/>
              </w:rPr>
              <w:t>分包</w:t>
            </w:r>
          </w:p>
        </w:tc>
        <w:tc>
          <w:tcPr>
            <w:tcW w:w="1445" w:type="dxa"/>
            <w:tcBorders>
              <w:top w:val="single" w:color="auto" w:sz="4" w:space="0"/>
              <w:left w:val="single" w:color="auto" w:sz="4" w:space="0"/>
              <w:bottom w:val="nil"/>
              <w:right w:val="nil"/>
              <w:tl2br w:val="nil"/>
              <w:tr2bl w:val="nil"/>
            </w:tcBorders>
            <w:shd w:val="clear" w:color="auto" w:fill="FFFFFF"/>
            <w:noWrap w:val="0"/>
            <w:vAlign w:val="center"/>
          </w:tcPr>
          <w:p w14:paraId="6FAA3519">
            <w:pPr>
              <w:pStyle w:val="25"/>
              <w:spacing w:beforeLines="0" w:afterLines="0" w:line="240" w:lineRule="auto"/>
              <w:ind w:firstLine="0"/>
              <w:jc w:val="center"/>
              <w:rPr>
                <w:rStyle w:val="19"/>
                <w:rFonts w:hint="eastAsia" w:ascii="Times New Roman" w:hAnsi="Times New Roman" w:eastAsia="Times New Roman" w:cs="Times New Roman"/>
                <w:color w:val="auto"/>
                <w:sz w:val="24"/>
                <w:szCs w:val="24"/>
                <w:highlight w:val="none"/>
              </w:rPr>
            </w:pPr>
            <w:r>
              <w:rPr>
                <w:rStyle w:val="19"/>
                <w:rFonts w:hint="eastAsia" w:ascii="Times New Roman" w:hAnsi="Times New Roman" w:eastAsia="Times New Roman" w:cs="Times New Roman"/>
                <w:color w:val="auto"/>
                <w:sz w:val="24"/>
                <w:szCs w:val="24"/>
                <w:highlight w:val="none"/>
                <w:lang w:val="en-US" w:eastAsia="en-US" w:bidi="en-US"/>
              </w:rPr>
              <w:t>4.3</w:t>
            </w:r>
          </w:p>
        </w:tc>
        <w:tc>
          <w:tcPr>
            <w:tcW w:w="2904" w:type="dxa"/>
            <w:tcBorders>
              <w:top w:val="single" w:color="auto" w:sz="4" w:space="0"/>
              <w:left w:val="single" w:color="auto" w:sz="4" w:space="0"/>
              <w:bottom w:val="nil"/>
              <w:right w:val="nil"/>
              <w:tl2br w:val="nil"/>
              <w:tr2bl w:val="nil"/>
            </w:tcBorders>
            <w:shd w:val="clear" w:color="auto" w:fill="FFFFFF"/>
            <w:noWrap w:val="0"/>
            <w:vAlign w:val="center"/>
          </w:tcPr>
          <w:p w14:paraId="1E6824E8">
            <w:pPr>
              <w:pStyle w:val="23"/>
              <w:spacing w:beforeLines="0" w:afterLines="0"/>
              <w:jc w:val="both"/>
              <w:rPr>
                <w:rStyle w:val="19"/>
                <w:rFonts w:hint="default" w:ascii="宋体" w:hAnsi="宋体" w:eastAsia="宋体" w:cs="宋体"/>
                <w:color w:val="auto"/>
                <w:sz w:val="24"/>
                <w:szCs w:val="24"/>
                <w:highlight w:val="none"/>
                <w:lang w:eastAsia="zh-CN"/>
              </w:rPr>
            </w:pPr>
            <w:r>
              <w:rPr>
                <w:rStyle w:val="19"/>
                <w:rFonts w:hint="default" w:ascii="宋体" w:hAnsi="宋体" w:eastAsia="宋体" w:cs="宋体"/>
                <w:color w:val="auto"/>
                <w:sz w:val="24"/>
                <w:szCs w:val="24"/>
                <w:highlight w:val="none"/>
                <w:lang w:eastAsia="zh-CN"/>
              </w:rPr>
              <w:t>□不允许；</w:t>
            </w:r>
          </w:p>
          <w:p w14:paraId="5C5E8BE7">
            <w:pPr>
              <w:pStyle w:val="23"/>
              <w:spacing w:beforeLines="0" w:afterLines="0"/>
              <w:jc w:val="both"/>
              <w:rPr>
                <w:rStyle w:val="19"/>
                <w:rFonts w:hint="default" w:ascii="宋体" w:hAnsi="宋体" w:eastAsia="宋体" w:cs="宋体"/>
                <w:color w:val="auto"/>
                <w:sz w:val="24"/>
                <w:szCs w:val="24"/>
                <w:highlight w:val="none"/>
                <w:lang w:eastAsia="zh-CN"/>
              </w:rPr>
            </w:pPr>
            <w:r>
              <w:rPr>
                <w:rStyle w:val="19"/>
                <w:rFonts w:hint="default" w:ascii="宋体" w:hAnsi="宋体" w:eastAsia="宋体" w:cs="宋体"/>
                <w:color w:val="auto"/>
                <w:sz w:val="24"/>
                <w:szCs w:val="24"/>
                <w:highlight w:val="none"/>
                <w:lang w:eastAsia="zh-CN"/>
              </w:rPr>
              <w:t>□允许，分包工程项目：</w:t>
            </w:r>
          </w:p>
          <w:p w14:paraId="62D8E910">
            <w:pPr>
              <w:pStyle w:val="23"/>
              <w:spacing w:beforeLines="0" w:afterLines="0"/>
              <w:ind w:firstLine="960" w:firstLineChars="400"/>
              <w:jc w:val="both"/>
              <w:rPr>
                <w:rStyle w:val="19"/>
                <w:rFonts w:hint="default" w:ascii="宋体" w:hAnsi="宋体" w:eastAsia="宋体" w:cs="宋体"/>
                <w:color w:val="auto"/>
                <w:sz w:val="24"/>
                <w:szCs w:val="24"/>
                <w:highlight w:val="none"/>
                <w:lang w:eastAsia="zh-CN"/>
              </w:rPr>
            </w:pPr>
            <w:r>
              <w:rPr>
                <w:rStyle w:val="19"/>
                <w:rFonts w:hint="default" w:ascii="宋体" w:hAnsi="宋体" w:eastAsia="宋体" w:cs="宋体"/>
                <w:color w:val="auto"/>
                <w:sz w:val="24"/>
                <w:szCs w:val="24"/>
                <w:highlight w:val="none"/>
                <w:lang w:eastAsia="zh-CN"/>
              </w:rPr>
              <w:t>分包金额限额：</w:t>
            </w:r>
          </w:p>
        </w:tc>
        <w:tc>
          <w:tcPr>
            <w:tcW w:w="840" w:type="dxa"/>
            <w:tcBorders>
              <w:top w:val="single" w:color="auto" w:sz="4" w:space="0"/>
              <w:left w:val="single" w:color="auto" w:sz="4" w:space="0"/>
              <w:bottom w:val="nil"/>
              <w:right w:val="single" w:color="auto" w:sz="4" w:space="0"/>
              <w:tl2br w:val="nil"/>
              <w:tr2bl w:val="nil"/>
            </w:tcBorders>
            <w:shd w:val="clear" w:color="auto" w:fill="FFFFFF"/>
            <w:noWrap w:val="0"/>
            <w:vAlign w:val="top"/>
          </w:tcPr>
          <w:p w14:paraId="6240862F">
            <w:pPr>
              <w:pStyle w:val="23"/>
              <w:spacing w:beforeLines="0" w:afterLines="0"/>
              <w:rPr>
                <w:rStyle w:val="19"/>
                <w:rFonts w:hint="default" w:ascii="宋体" w:hAnsi="宋体" w:eastAsia="宋体" w:cs="宋体"/>
                <w:color w:val="auto"/>
                <w:sz w:val="24"/>
                <w:szCs w:val="24"/>
                <w:highlight w:val="none"/>
              </w:rPr>
            </w:pPr>
          </w:p>
        </w:tc>
      </w:tr>
      <w:tr w14:paraId="5C4892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680" w:hRule="exact"/>
          <w:jc w:val="center"/>
        </w:trPr>
        <w:tc>
          <w:tcPr>
            <w:tcW w:w="820" w:type="dxa"/>
            <w:tcBorders>
              <w:top w:val="single" w:color="auto" w:sz="4" w:space="0"/>
              <w:left w:val="single" w:color="auto" w:sz="4" w:space="0"/>
              <w:bottom w:val="nil"/>
              <w:right w:val="nil"/>
              <w:tl2br w:val="nil"/>
              <w:tr2bl w:val="nil"/>
            </w:tcBorders>
            <w:shd w:val="clear" w:color="auto" w:fill="FFFFFF"/>
            <w:noWrap w:val="0"/>
            <w:vAlign w:val="center"/>
          </w:tcPr>
          <w:p w14:paraId="5FB27A7E">
            <w:pPr>
              <w:pStyle w:val="25"/>
              <w:spacing w:beforeLines="0" w:afterLines="0" w:line="240" w:lineRule="auto"/>
              <w:ind w:firstLine="0"/>
              <w:jc w:val="center"/>
              <w:rPr>
                <w:rStyle w:val="19"/>
                <w:rFonts w:hint="default"/>
                <w:color w:val="auto"/>
                <w:sz w:val="24"/>
                <w:szCs w:val="20"/>
                <w:highlight w:val="none"/>
                <w:lang w:val="en-US"/>
              </w:rPr>
            </w:pPr>
            <w:r>
              <w:rPr>
                <w:rStyle w:val="19"/>
                <w:rFonts w:hint="default"/>
                <w:color w:val="auto"/>
                <w:sz w:val="24"/>
                <w:szCs w:val="20"/>
                <w:highlight w:val="none"/>
                <w:lang w:val="en-US"/>
              </w:rPr>
              <w:t>7</w:t>
            </w:r>
          </w:p>
        </w:tc>
        <w:tc>
          <w:tcPr>
            <w:tcW w:w="2211" w:type="dxa"/>
            <w:tcBorders>
              <w:top w:val="single" w:color="auto" w:sz="4" w:space="0"/>
              <w:left w:val="single" w:color="auto" w:sz="4" w:space="0"/>
              <w:bottom w:val="nil"/>
              <w:right w:val="nil"/>
              <w:tl2br w:val="nil"/>
              <w:tr2bl w:val="nil"/>
            </w:tcBorders>
            <w:shd w:val="clear" w:color="auto" w:fill="FFFFFF"/>
            <w:noWrap w:val="0"/>
            <w:vAlign w:val="center"/>
          </w:tcPr>
          <w:p w14:paraId="17FED6A9">
            <w:pPr>
              <w:pStyle w:val="25"/>
              <w:spacing w:beforeLines="0" w:afterLines="0" w:line="240" w:lineRule="auto"/>
              <w:ind w:firstLine="0"/>
              <w:jc w:val="center"/>
              <w:rPr>
                <w:rStyle w:val="19"/>
                <w:rFonts w:hint="default"/>
                <w:color w:val="auto"/>
                <w:sz w:val="24"/>
                <w:szCs w:val="20"/>
                <w:highlight w:val="none"/>
              </w:rPr>
            </w:pPr>
            <w:r>
              <w:rPr>
                <w:rStyle w:val="19"/>
                <w:rFonts w:hint="default"/>
                <w:color w:val="auto"/>
                <w:sz w:val="24"/>
                <w:szCs w:val="20"/>
                <w:highlight w:val="none"/>
              </w:rPr>
              <w:t>价格调整的差额计算</w:t>
            </w:r>
          </w:p>
        </w:tc>
        <w:tc>
          <w:tcPr>
            <w:tcW w:w="1445" w:type="dxa"/>
            <w:tcBorders>
              <w:top w:val="single" w:color="auto" w:sz="4" w:space="0"/>
              <w:left w:val="single" w:color="auto" w:sz="4" w:space="0"/>
              <w:bottom w:val="nil"/>
              <w:right w:val="nil"/>
              <w:tl2br w:val="nil"/>
              <w:tr2bl w:val="nil"/>
            </w:tcBorders>
            <w:shd w:val="clear" w:color="auto" w:fill="FFFFFF"/>
            <w:noWrap w:val="0"/>
            <w:vAlign w:val="center"/>
          </w:tcPr>
          <w:p w14:paraId="257441F2">
            <w:pPr>
              <w:pStyle w:val="25"/>
              <w:spacing w:beforeLines="0" w:afterLines="0" w:line="240" w:lineRule="auto"/>
              <w:ind w:firstLine="0"/>
              <w:jc w:val="center"/>
              <w:rPr>
                <w:rStyle w:val="19"/>
                <w:rFonts w:hint="eastAsia" w:ascii="Times New Roman" w:hAnsi="Times New Roman" w:eastAsia="Times New Roman" w:cs="Times New Roman"/>
                <w:color w:val="auto"/>
                <w:sz w:val="24"/>
                <w:szCs w:val="24"/>
                <w:highlight w:val="none"/>
              </w:rPr>
            </w:pPr>
            <w:r>
              <w:rPr>
                <w:rStyle w:val="19"/>
                <w:rFonts w:hint="eastAsia" w:ascii="Times New Roman" w:hAnsi="Times New Roman" w:eastAsia="Times New Roman" w:cs="Times New Roman"/>
                <w:color w:val="auto"/>
                <w:sz w:val="24"/>
                <w:szCs w:val="24"/>
                <w:highlight w:val="none"/>
                <w:lang w:val="en-US" w:eastAsia="en-US" w:bidi="en-US"/>
              </w:rPr>
              <w:t xml:space="preserve">16. 1. </w:t>
            </w:r>
            <w:r>
              <w:rPr>
                <w:rStyle w:val="19"/>
                <w:rFonts w:hint="eastAsia" w:ascii="Times New Roman" w:hAnsi="Times New Roman" w:eastAsia="Times New Roman" w:cs="Times New Roman"/>
                <w:color w:val="auto"/>
                <w:sz w:val="24"/>
                <w:szCs w:val="24"/>
                <w:highlight w:val="none"/>
              </w:rPr>
              <w:t>1</w:t>
            </w:r>
          </w:p>
        </w:tc>
        <w:tc>
          <w:tcPr>
            <w:tcW w:w="2904" w:type="dxa"/>
            <w:tcBorders>
              <w:top w:val="single" w:color="auto" w:sz="4" w:space="0"/>
              <w:left w:val="single" w:color="auto" w:sz="4" w:space="0"/>
              <w:bottom w:val="nil"/>
              <w:right w:val="nil"/>
              <w:tl2br w:val="nil"/>
              <w:tr2bl w:val="nil"/>
            </w:tcBorders>
            <w:shd w:val="clear" w:color="auto" w:fill="FFFFFF"/>
            <w:noWrap w:val="0"/>
            <w:vAlign w:val="center"/>
          </w:tcPr>
          <w:p w14:paraId="780611C4">
            <w:pPr>
              <w:pStyle w:val="25"/>
              <w:spacing w:beforeLines="0" w:afterLines="0" w:line="240" w:lineRule="auto"/>
              <w:ind w:firstLine="0"/>
              <w:jc w:val="center"/>
              <w:rPr>
                <w:rStyle w:val="19"/>
                <w:rFonts w:hint="default"/>
                <w:color w:val="auto"/>
                <w:sz w:val="24"/>
                <w:szCs w:val="20"/>
                <w:highlight w:val="none"/>
              </w:rPr>
            </w:pPr>
            <w:r>
              <w:rPr>
                <w:rStyle w:val="19"/>
                <w:rFonts w:hint="default"/>
                <w:color w:val="auto"/>
                <w:sz w:val="24"/>
                <w:szCs w:val="20"/>
                <w:highlight w:val="none"/>
              </w:rPr>
              <w:t>见价格指数权重表</w:t>
            </w:r>
          </w:p>
        </w:tc>
        <w:tc>
          <w:tcPr>
            <w:tcW w:w="840" w:type="dxa"/>
            <w:tcBorders>
              <w:top w:val="single" w:color="auto" w:sz="4" w:space="0"/>
              <w:left w:val="single" w:color="auto" w:sz="4" w:space="0"/>
              <w:bottom w:val="nil"/>
              <w:right w:val="single" w:color="auto" w:sz="4" w:space="0"/>
              <w:tl2br w:val="nil"/>
              <w:tr2bl w:val="nil"/>
            </w:tcBorders>
            <w:shd w:val="clear" w:color="auto" w:fill="FFFFFF"/>
            <w:noWrap w:val="0"/>
            <w:vAlign w:val="top"/>
          </w:tcPr>
          <w:p w14:paraId="17E6AB45">
            <w:pPr>
              <w:pStyle w:val="23"/>
              <w:spacing w:beforeLines="0" w:afterLines="0"/>
              <w:rPr>
                <w:rStyle w:val="19"/>
                <w:rFonts w:hint="default" w:ascii="宋体" w:hAnsi="宋体" w:eastAsia="宋体" w:cs="宋体"/>
                <w:color w:val="auto"/>
                <w:sz w:val="24"/>
                <w:szCs w:val="24"/>
                <w:highlight w:val="none"/>
              </w:rPr>
            </w:pPr>
          </w:p>
        </w:tc>
      </w:tr>
      <w:tr w14:paraId="7AE178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680" w:hRule="exact"/>
          <w:jc w:val="center"/>
        </w:trPr>
        <w:tc>
          <w:tcPr>
            <w:tcW w:w="820" w:type="dxa"/>
            <w:tcBorders>
              <w:top w:val="single" w:color="auto" w:sz="4" w:space="0"/>
              <w:left w:val="single" w:color="auto" w:sz="4" w:space="0"/>
              <w:bottom w:val="nil"/>
              <w:right w:val="nil"/>
              <w:tl2br w:val="nil"/>
              <w:tr2bl w:val="nil"/>
            </w:tcBorders>
            <w:shd w:val="clear" w:color="auto" w:fill="FFFFFF"/>
            <w:noWrap w:val="0"/>
            <w:vAlign w:val="top"/>
          </w:tcPr>
          <w:p w14:paraId="6838DEF1">
            <w:pPr>
              <w:pStyle w:val="23"/>
              <w:spacing w:beforeLines="0" w:afterLines="0"/>
              <w:rPr>
                <w:rStyle w:val="19"/>
                <w:rFonts w:hint="default" w:ascii="宋体" w:hAnsi="宋体" w:eastAsia="宋体" w:cs="宋体"/>
                <w:color w:val="auto"/>
                <w:sz w:val="24"/>
                <w:szCs w:val="24"/>
                <w:highlight w:val="none"/>
              </w:rPr>
            </w:pPr>
          </w:p>
        </w:tc>
        <w:tc>
          <w:tcPr>
            <w:tcW w:w="2211" w:type="dxa"/>
            <w:tcBorders>
              <w:top w:val="single" w:color="auto" w:sz="4" w:space="0"/>
              <w:left w:val="single" w:color="auto" w:sz="4" w:space="0"/>
              <w:bottom w:val="nil"/>
              <w:right w:val="nil"/>
              <w:tl2br w:val="nil"/>
              <w:tr2bl w:val="nil"/>
            </w:tcBorders>
            <w:shd w:val="clear" w:color="auto" w:fill="FFFFFF"/>
            <w:noWrap w:val="0"/>
            <w:vAlign w:val="center"/>
          </w:tcPr>
          <w:p w14:paraId="3C8507C7">
            <w:pPr>
              <w:pStyle w:val="25"/>
              <w:tabs>
                <w:tab w:val="left" w:leader="dot" w:pos="324"/>
              </w:tabs>
              <w:spacing w:beforeLines="0" w:afterLines="0" w:line="240" w:lineRule="auto"/>
              <w:ind w:firstLine="0"/>
              <w:jc w:val="center"/>
              <w:rPr>
                <w:rStyle w:val="19"/>
                <w:rFonts w:hint="default"/>
                <w:color w:val="auto"/>
                <w:sz w:val="24"/>
                <w:szCs w:val="20"/>
                <w:highlight w:val="none"/>
              </w:rPr>
            </w:pPr>
            <w:r>
              <w:rPr>
                <w:rStyle w:val="19"/>
                <w:rFonts w:hint="default"/>
                <w:color w:val="auto"/>
                <w:sz w:val="24"/>
                <w:szCs w:val="20"/>
                <w:highlight w:val="none"/>
                <w:lang w:val="en-US" w:eastAsia="en-US" w:bidi="en-US"/>
              </w:rPr>
              <w:tab/>
            </w:r>
          </w:p>
        </w:tc>
        <w:tc>
          <w:tcPr>
            <w:tcW w:w="1445" w:type="dxa"/>
            <w:tcBorders>
              <w:top w:val="single" w:color="auto" w:sz="4" w:space="0"/>
              <w:left w:val="single" w:color="auto" w:sz="4" w:space="0"/>
              <w:bottom w:val="nil"/>
              <w:right w:val="nil"/>
              <w:tl2br w:val="nil"/>
              <w:tr2bl w:val="nil"/>
            </w:tcBorders>
            <w:shd w:val="clear" w:color="auto" w:fill="FFFFFF"/>
            <w:noWrap w:val="0"/>
            <w:vAlign w:val="center"/>
          </w:tcPr>
          <w:p w14:paraId="50781A0A">
            <w:pPr>
              <w:pStyle w:val="25"/>
              <w:tabs>
                <w:tab w:val="left" w:leader="dot" w:pos="324"/>
              </w:tabs>
              <w:spacing w:beforeLines="0" w:afterLines="0" w:line="240" w:lineRule="auto"/>
              <w:ind w:firstLine="0"/>
              <w:jc w:val="center"/>
              <w:rPr>
                <w:rStyle w:val="19"/>
                <w:rFonts w:hint="default"/>
                <w:color w:val="auto"/>
                <w:sz w:val="24"/>
                <w:szCs w:val="20"/>
                <w:highlight w:val="none"/>
              </w:rPr>
            </w:pPr>
            <w:r>
              <w:rPr>
                <w:rStyle w:val="19"/>
                <w:rFonts w:hint="default"/>
                <w:color w:val="auto"/>
                <w:sz w:val="24"/>
                <w:szCs w:val="20"/>
                <w:highlight w:val="none"/>
                <w:lang w:val="en-US" w:eastAsia="en-US" w:bidi="en-US"/>
              </w:rPr>
              <w:tab/>
            </w:r>
          </w:p>
        </w:tc>
        <w:tc>
          <w:tcPr>
            <w:tcW w:w="2904" w:type="dxa"/>
            <w:tcBorders>
              <w:top w:val="single" w:color="auto" w:sz="4" w:space="0"/>
              <w:left w:val="single" w:color="auto" w:sz="4" w:space="0"/>
              <w:bottom w:val="nil"/>
              <w:right w:val="nil"/>
              <w:tl2br w:val="nil"/>
              <w:tr2bl w:val="nil"/>
            </w:tcBorders>
            <w:shd w:val="clear" w:color="auto" w:fill="FFFFFF"/>
            <w:noWrap w:val="0"/>
            <w:vAlign w:val="center"/>
          </w:tcPr>
          <w:p w14:paraId="0849C856">
            <w:pPr>
              <w:pStyle w:val="25"/>
              <w:tabs>
                <w:tab w:val="left" w:leader="dot" w:pos="324"/>
              </w:tabs>
              <w:spacing w:beforeLines="0" w:afterLines="0" w:line="240" w:lineRule="auto"/>
              <w:ind w:firstLine="0"/>
              <w:jc w:val="center"/>
              <w:rPr>
                <w:rStyle w:val="19"/>
                <w:rFonts w:hint="default"/>
                <w:color w:val="auto"/>
                <w:sz w:val="24"/>
                <w:szCs w:val="20"/>
                <w:highlight w:val="none"/>
              </w:rPr>
            </w:pPr>
            <w:r>
              <w:rPr>
                <w:rStyle w:val="19"/>
                <w:rFonts w:hint="default"/>
                <w:color w:val="auto"/>
                <w:sz w:val="24"/>
                <w:szCs w:val="20"/>
                <w:highlight w:val="none"/>
                <w:lang w:val="en-US" w:eastAsia="en-US" w:bidi="en-US"/>
              </w:rPr>
              <w:tab/>
            </w:r>
          </w:p>
        </w:tc>
        <w:tc>
          <w:tcPr>
            <w:tcW w:w="840" w:type="dxa"/>
            <w:tcBorders>
              <w:top w:val="single" w:color="auto" w:sz="4" w:space="0"/>
              <w:left w:val="single" w:color="auto" w:sz="4" w:space="0"/>
              <w:bottom w:val="nil"/>
              <w:right w:val="single" w:color="auto" w:sz="4" w:space="0"/>
              <w:tl2br w:val="nil"/>
              <w:tr2bl w:val="nil"/>
            </w:tcBorders>
            <w:shd w:val="clear" w:color="auto" w:fill="FFFFFF"/>
            <w:noWrap w:val="0"/>
            <w:vAlign w:val="top"/>
          </w:tcPr>
          <w:p w14:paraId="6DB35DEB">
            <w:pPr>
              <w:pStyle w:val="23"/>
              <w:spacing w:beforeLines="0" w:afterLines="0"/>
              <w:rPr>
                <w:rStyle w:val="19"/>
                <w:rFonts w:hint="default" w:ascii="宋体" w:hAnsi="宋体" w:eastAsia="宋体" w:cs="宋体"/>
                <w:color w:val="auto"/>
                <w:sz w:val="24"/>
                <w:szCs w:val="24"/>
                <w:highlight w:val="none"/>
              </w:rPr>
            </w:pPr>
          </w:p>
        </w:tc>
      </w:tr>
      <w:tr w14:paraId="43E078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680" w:hRule="exact"/>
          <w:jc w:val="center"/>
        </w:trPr>
        <w:tc>
          <w:tcPr>
            <w:tcW w:w="820" w:type="dxa"/>
            <w:tcBorders>
              <w:top w:val="single" w:color="auto" w:sz="4" w:space="0"/>
              <w:left w:val="single" w:color="auto" w:sz="4" w:space="0"/>
              <w:bottom w:val="single" w:color="auto" w:sz="4" w:space="0"/>
              <w:right w:val="nil"/>
              <w:tl2br w:val="nil"/>
              <w:tr2bl w:val="nil"/>
            </w:tcBorders>
            <w:shd w:val="clear" w:color="auto" w:fill="FFFFFF"/>
            <w:noWrap w:val="0"/>
            <w:vAlign w:val="top"/>
          </w:tcPr>
          <w:p w14:paraId="43D35435">
            <w:pPr>
              <w:pStyle w:val="23"/>
              <w:spacing w:beforeLines="0" w:afterLines="0"/>
              <w:rPr>
                <w:rStyle w:val="19"/>
                <w:rFonts w:hint="default" w:ascii="宋体" w:hAnsi="宋体" w:eastAsia="宋体" w:cs="宋体"/>
                <w:color w:val="auto"/>
                <w:sz w:val="24"/>
                <w:szCs w:val="24"/>
                <w:highlight w:val="none"/>
              </w:rPr>
            </w:pPr>
          </w:p>
        </w:tc>
        <w:tc>
          <w:tcPr>
            <w:tcW w:w="2211" w:type="dxa"/>
            <w:tcBorders>
              <w:top w:val="single" w:color="auto" w:sz="4" w:space="0"/>
              <w:left w:val="single" w:color="auto" w:sz="4" w:space="0"/>
              <w:bottom w:val="single" w:color="auto" w:sz="4" w:space="0"/>
              <w:right w:val="nil"/>
              <w:tl2br w:val="nil"/>
              <w:tr2bl w:val="nil"/>
            </w:tcBorders>
            <w:shd w:val="clear" w:color="auto" w:fill="FFFFFF"/>
            <w:noWrap w:val="0"/>
            <w:vAlign w:val="center"/>
          </w:tcPr>
          <w:p w14:paraId="7D01BC58">
            <w:pPr>
              <w:pStyle w:val="25"/>
              <w:tabs>
                <w:tab w:val="left" w:leader="dot" w:pos="324"/>
              </w:tabs>
              <w:spacing w:beforeLines="0" w:afterLines="0" w:line="240" w:lineRule="auto"/>
              <w:ind w:firstLine="0"/>
              <w:jc w:val="center"/>
              <w:rPr>
                <w:rStyle w:val="19"/>
                <w:rFonts w:hint="default"/>
                <w:color w:val="auto"/>
                <w:sz w:val="24"/>
                <w:szCs w:val="20"/>
                <w:highlight w:val="none"/>
              </w:rPr>
            </w:pPr>
            <w:r>
              <w:rPr>
                <w:rStyle w:val="19"/>
                <w:rFonts w:hint="default"/>
                <w:color w:val="auto"/>
                <w:sz w:val="24"/>
                <w:szCs w:val="20"/>
                <w:highlight w:val="none"/>
                <w:lang w:val="en-US" w:eastAsia="en-US" w:bidi="en-US"/>
              </w:rPr>
              <w:tab/>
            </w:r>
          </w:p>
        </w:tc>
        <w:tc>
          <w:tcPr>
            <w:tcW w:w="1445" w:type="dxa"/>
            <w:tcBorders>
              <w:top w:val="single" w:color="auto" w:sz="4" w:space="0"/>
              <w:left w:val="single" w:color="auto" w:sz="4" w:space="0"/>
              <w:bottom w:val="single" w:color="auto" w:sz="4" w:space="0"/>
              <w:right w:val="nil"/>
              <w:tl2br w:val="nil"/>
              <w:tr2bl w:val="nil"/>
            </w:tcBorders>
            <w:shd w:val="clear" w:color="auto" w:fill="FFFFFF"/>
            <w:noWrap w:val="0"/>
            <w:vAlign w:val="center"/>
          </w:tcPr>
          <w:p w14:paraId="55EDDD3A">
            <w:pPr>
              <w:pStyle w:val="25"/>
              <w:tabs>
                <w:tab w:val="left" w:leader="dot" w:pos="324"/>
              </w:tabs>
              <w:spacing w:beforeLines="0" w:afterLines="0" w:line="240" w:lineRule="auto"/>
              <w:ind w:firstLine="0"/>
              <w:jc w:val="center"/>
              <w:rPr>
                <w:rStyle w:val="19"/>
                <w:rFonts w:hint="default"/>
                <w:color w:val="auto"/>
                <w:sz w:val="24"/>
                <w:szCs w:val="20"/>
                <w:highlight w:val="none"/>
              </w:rPr>
            </w:pPr>
            <w:r>
              <w:rPr>
                <w:rStyle w:val="19"/>
                <w:rFonts w:hint="default"/>
                <w:color w:val="auto"/>
                <w:sz w:val="24"/>
                <w:szCs w:val="20"/>
                <w:highlight w:val="none"/>
                <w:lang w:val="en-US" w:eastAsia="en-US" w:bidi="en-US"/>
              </w:rPr>
              <w:tab/>
            </w:r>
          </w:p>
        </w:tc>
        <w:tc>
          <w:tcPr>
            <w:tcW w:w="2904" w:type="dxa"/>
            <w:tcBorders>
              <w:top w:val="single" w:color="auto" w:sz="4" w:space="0"/>
              <w:left w:val="single" w:color="auto" w:sz="4" w:space="0"/>
              <w:bottom w:val="single" w:color="auto" w:sz="4" w:space="0"/>
              <w:right w:val="nil"/>
              <w:tl2br w:val="nil"/>
              <w:tr2bl w:val="nil"/>
            </w:tcBorders>
            <w:shd w:val="clear" w:color="auto" w:fill="FFFFFF"/>
            <w:noWrap w:val="0"/>
            <w:vAlign w:val="center"/>
          </w:tcPr>
          <w:p w14:paraId="0C7AB643">
            <w:pPr>
              <w:pStyle w:val="25"/>
              <w:tabs>
                <w:tab w:val="left" w:leader="dot" w:pos="324"/>
              </w:tabs>
              <w:spacing w:beforeLines="0" w:afterLines="0" w:line="240" w:lineRule="auto"/>
              <w:ind w:firstLine="0"/>
              <w:jc w:val="center"/>
              <w:rPr>
                <w:rStyle w:val="19"/>
                <w:rFonts w:hint="default"/>
                <w:color w:val="auto"/>
                <w:sz w:val="24"/>
                <w:szCs w:val="20"/>
                <w:highlight w:val="none"/>
              </w:rPr>
            </w:pPr>
            <w:r>
              <w:rPr>
                <w:rStyle w:val="19"/>
                <w:rFonts w:hint="default"/>
                <w:color w:val="auto"/>
                <w:sz w:val="24"/>
                <w:szCs w:val="20"/>
                <w:highlight w:val="none"/>
                <w:lang w:val="en-US" w:eastAsia="en-US" w:bidi="en-US"/>
              </w:rPr>
              <w:tab/>
            </w:r>
          </w:p>
        </w:tc>
        <w:tc>
          <w:tcPr>
            <w:tcW w:w="840" w:type="dxa"/>
            <w:tcBorders>
              <w:top w:val="single" w:color="auto" w:sz="4" w:space="0"/>
              <w:left w:val="single" w:color="auto" w:sz="4" w:space="0"/>
              <w:bottom w:val="single" w:color="auto" w:sz="4" w:space="0"/>
              <w:right w:val="single" w:color="auto" w:sz="4" w:space="0"/>
              <w:tl2br w:val="nil"/>
              <w:tr2bl w:val="nil"/>
            </w:tcBorders>
            <w:shd w:val="clear" w:color="auto" w:fill="FFFFFF"/>
            <w:noWrap w:val="0"/>
            <w:vAlign w:val="top"/>
          </w:tcPr>
          <w:p w14:paraId="4F226F3B">
            <w:pPr>
              <w:pStyle w:val="23"/>
              <w:spacing w:beforeLines="0" w:afterLines="0"/>
              <w:rPr>
                <w:rStyle w:val="19"/>
                <w:rFonts w:hint="default" w:ascii="宋体" w:hAnsi="宋体" w:eastAsia="宋体" w:cs="宋体"/>
                <w:color w:val="auto"/>
                <w:sz w:val="24"/>
                <w:szCs w:val="24"/>
                <w:highlight w:val="none"/>
              </w:rPr>
            </w:pPr>
          </w:p>
        </w:tc>
      </w:tr>
    </w:tbl>
    <w:p w14:paraId="234F9BFB">
      <w:pPr>
        <w:widowControl/>
        <w:spacing w:line="480" w:lineRule="exact"/>
        <w:ind w:firstLine="480" w:firstLineChars="200"/>
        <w:textAlignment w:val="baseline"/>
        <w:rPr>
          <w:rFonts w:hint="default" w:ascii="宋体" w:hAnsi="宋体" w:eastAsia="宋体" w:cs="宋体"/>
          <w:color w:val="auto"/>
          <w:kern w:val="0"/>
          <w:sz w:val="24"/>
          <w:szCs w:val="24"/>
          <w:highlight w:val="none"/>
          <w:u w:val="none" w:color="000000"/>
        </w:rPr>
      </w:pPr>
    </w:p>
    <w:p w14:paraId="518285DD">
      <w:pPr>
        <w:widowControl/>
        <w:spacing w:line="560" w:lineRule="exact"/>
        <w:ind w:firstLine="480" w:firstLineChars="200"/>
        <w:textAlignment w:val="baseline"/>
        <w:rPr>
          <w:rFonts w:hint="default" w:ascii="宋体" w:hAnsi="宋体" w:eastAsia="宋体" w:cs="宋体"/>
          <w:color w:val="auto"/>
          <w:kern w:val="0"/>
          <w:sz w:val="24"/>
          <w:szCs w:val="24"/>
          <w:highlight w:val="none"/>
          <w:u w:val="single" w:color="auto"/>
        </w:rPr>
      </w:pPr>
      <w:r>
        <w:rPr>
          <w:rFonts w:hint="default" w:ascii="宋体" w:hAnsi="宋体" w:eastAsia="宋体" w:cs="宋体"/>
          <w:color w:val="auto"/>
          <w:kern w:val="0"/>
          <w:sz w:val="24"/>
          <w:szCs w:val="24"/>
          <w:highlight w:val="none"/>
          <w:u w:val="none" w:color="000000"/>
        </w:rPr>
        <w:t>供应商</w:t>
      </w:r>
      <w:r>
        <w:rPr>
          <w:rFonts w:hint="default" w:ascii="宋体" w:hAnsi="宋体" w:eastAsia="宋体" w:cs="宋体"/>
          <w:color w:val="auto"/>
          <w:kern w:val="0"/>
          <w:sz w:val="24"/>
          <w:szCs w:val="24"/>
          <w:highlight w:val="none"/>
        </w:rPr>
        <w:t>名称</w:t>
      </w:r>
      <w:r>
        <w:rPr>
          <w:rFonts w:hint="default" w:ascii="宋体" w:hAnsi="宋体" w:eastAsia="宋体" w:cs="宋体"/>
          <w:color w:val="auto"/>
          <w:kern w:val="0"/>
          <w:sz w:val="24"/>
          <w:szCs w:val="24"/>
          <w:highlight w:val="none"/>
          <w:u w:val="none" w:color="000000"/>
        </w:rPr>
        <w:t>（电子签章）：</w:t>
      </w:r>
      <w:r>
        <w:rPr>
          <w:rFonts w:hint="default" w:ascii="宋体" w:hAnsi="宋体" w:eastAsia="宋体" w:cs="宋体"/>
          <w:color w:val="auto"/>
          <w:kern w:val="0"/>
          <w:sz w:val="24"/>
          <w:szCs w:val="24"/>
          <w:highlight w:val="none"/>
          <w:u w:val="single" w:color="auto"/>
        </w:rPr>
        <w:t xml:space="preserve">                             </w:t>
      </w:r>
    </w:p>
    <w:p w14:paraId="27613422">
      <w:pPr>
        <w:widowControl/>
        <w:spacing w:line="560" w:lineRule="exact"/>
        <w:ind w:firstLine="480" w:firstLineChars="200"/>
        <w:textAlignment w:val="baseline"/>
        <w:rPr>
          <w:rFonts w:hint="default" w:ascii="宋体" w:hAnsi="宋体" w:eastAsia="宋体" w:cs="宋体"/>
          <w:color w:val="auto"/>
          <w:kern w:val="0"/>
          <w:sz w:val="24"/>
          <w:szCs w:val="24"/>
          <w:highlight w:val="none"/>
          <w:u w:val="single" w:color="auto"/>
        </w:rPr>
      </w:pPr>
      <w:r>
        <w:rPr>
          <w:rFonts w:hint="default" w:ascii="宋体" w:hAnsi="宋体" w:eastAsia="宋体" w:cs="宋体"/>
          <w:color w:val="auto"/>
          <w:kern w:val="0"/>
          <w:sz w:val="24"/>
          <w:szCs w:val="24"/>
          <w:highlight w:val="none"/>
          <w:u w:val="none" w:color="000000"/>
        </w:rPr>
        <w:t>法人代表或委托代理人（签字或电子签名）：</w:t>
      </w:r>
      <w:r>
        <w:rPr>
          <w:rFonts w:hint="default" w:ascii="宋体" w:hAnsi="宋体" w:eastAsia="宋体" w:cs="宋体"/>
          <w:color w:val="auto"/>
          <w:kern w:val="0"/>
          <w:sz w:val="24"/>
          <w:szCs w:val="24"/>
          <w:highlight w:val="none"/>
          <w:u w:val="single" w:color="auto"/>
        </w:rPr>
        <w:t xml:space="preserve">         </w:t>
      </w:r>
    </w:p>
    <w:p w14:paraId="5F84186C">
      <w:pPr>
        <w:widowControl/>
        <w:spacing w:line="560" w:lineRule="exact"/>
        <w:ind w:firstLine="480" w:firstLineChars="200"/>
        <w:textAlignment w:val="baseline"/>
        <w:rPr>
          <w:rFonts w:hint="default" w:ascii="宋体" w:hAnsi="宋体" w:eastAsia="宋体" w:cs="宋体"/>
          <w:color w:val="auto"/>
          <w:kern w:val="0"/>
          <w:sz w:val="24"/>
          <w:szCs w:val="24"/>
          <w:highlight w:val="none"/>
          <w:u w:val="none" w:color="000000"/>
        </w:rPr>
      </w:pPr>
      <w:r>
        <w:rPr>
          <w:rFonts w:hint="default" w:ascii="宋体" w:hAnsi="宋体" w:eastAsia="宋体" w:cs="宋体"/>
          <w:color w:val="auto"/>
          <w:kern w:val="0"/>
          <w:sz w:val="24"/>
          <w:szCs w:val="24"/>
          <w:highlight w:val="none"/>
          <w:u w:val="none" w:color="000000"/>
        </w:rPr>
        <w:t>日期：</w:t>
      </w:r>
      <w:r>
        <w:rPr>
          <w:rFonts w:hint="default" w:ascii="宋体" w:hAnsi="宋体" w:eastAsia="宋体" w:cs="宋体"/>
          <w:color w:val="auto"/>
          <w:kern w:val="0"/>
          <w:sz w:val="24"/>
          <w:szCs w:val="24"/>
          <w:highlight w:val="none"/>
          <w:u w:val="single" w:color="000000"/>
        </w:rPr>
        <w:t xml:space="preserve">              </w:t>
      </w:r>
      <w:r>
        <w:rPr>
          <w:rFonts w:hint="default" w:ascii="宋体" w:hAnsi="宋体" w:eastAsia="宋体" w:cs="宋体"/>
          <w:color w:val="auto"/>
          <w:kern w:val="0"/>
          <w:sz w:val="24"/>
          <w:szCs w:val="24"/>
          <w:highlight w:val="none"/>
          <w:u w:val="none" w:color="000000"/>
        </w:rPr>
        <w:t>年</w:t>
      </w:r>
      <w:r>
        <w:rPr>
          <w:rFonts w:hint="default" w:ascii="宋体" w:hAnsi="宋体" w:eastAsia="宋体" w:cs="宋体"/>
          <w:color w:val="auto"/>
          <w:kern w:val="0"/>
          <w:sz w:val="24"/>
          <w:szCs w:val="24"/>
          <w:highlight w:val="none"/>
          <w:u w:val="single" w:color="000000"/>
        </w:rPr>
        <w:t xml:space="preserve">      </w:t>
      </w:r>
      <w:r>
        <w:rPr>
          <w:rFonts w:hint="default" w:ascii="宋体" w:hAnsi="宋体" w:eastAsia="宋体" w:cs="宋体"/>
          <w:color w:val="auto"/>
          <w:kern w:val="0"/>
          <w:sz w:val="24"/>
          <w:szCs w:val="24"/>
          <w:highlight w:val="none"/>
          <w:u w:val="none" w:color="000000"/>
        </w:rPr>
        <w:t>月</w:t>
      </w:r>
      <w:r>
        <w:rPr>
          <w:rFonts w:hint="default" w:ascii="宋体" w:hAnsi="宋体" w:eastAsia="宋体" w:cs="宋体"/>
          <w:color w:val="auto"/>
          <w:kern w:val="0"/>
          <w:sz w:val="24"/>
          <w:szCs w:val="24"/>
          <w:highlight w:val="none"/>
          <w:u w:val="single" w:color="000000"/>
        </w:rPr>
        <w:t xml:space="preserve">      </w:t>
      </w:r>
      <w:r>
        <w:rPr>
          <w:rFonts w:hint="default" w:ascii="宋体" w:hAnsi="宋体" w:eastAsia="宋体" w:cs="宋体"/>
          <w:color w:val="auto"/>
          <w:kern w:val="0"/>
          <w:sz w:val="24"/>
          <w:szCs w:val="24"/>
          <w:highlight w:val="none"/>
          <w:u w:val="none" w:color="000000"/>
        </w:rPr>
        <w:t>日</w:t>
      </w:r>
    </w:p>
    <w:p w14:paraId="391F7108">
      <w:pPr>
        <w:widowControl/>
        <w:spacing w:line="357" w:lineRule="atLeast"/>
        <w:textAlignment w:val="baseline"/>
        <w:rPr>
          <w:rFonts w:hint="default" w:ascii="宋体" w:hAnsi="宋体" w:eastAsia="宋体" w:cs="宋体"/>
          <w:color w:val="auto"/>
          <w:kern w:val="0"/>
          <w:sz w:val="24"/>
          <w:szCs w:val="24"/>
          <w:highlight w:val="none"/>
          <w:u w:val="none" w:color="000000"/>
        </w:rPr>
      </w:pPr>
    </w:p>
    <w:p w14:paraId="3B195B38">
      <w:pPr>
        <w:widowControl/>
        <w:spacing w:line="357" w:lineRule="atLeast"/>
        <w:textAlignment w:val="baseline"/>
        <w:rPr>
          <w:rFonts w:hint="default" w:ascii="宋体" w:eastAsia="宋体"/>
          <w:color w:val="auto"/>
          <w:kern w:val="0"/>
          <w:sz w:val="21"/>
          <w:szCs w:val="20"/>
          <w:highlight w:val="none"/>
          <w:u w:val="none" w:color="000000"/>
        </w:rPr>
      </w:pPr>
    </w:p>
    <w:p w14:paraId="45A0E277">
      <w:pPr>
        <w:snapToGrid w:val="0"/>
        <w:spacing w:before="120" w:beforeLines="50" w:after="50" w:line="360" w:lineRule="auto"/>
        <w:ind w:left="142" w:firstLine="643" w:firstLineChars="200"/>
        <w:jc w:val="left"/>
        <w:rPr>
          <w:rFonts w:hint="default" w:ascii="宋体" w:hAnsi="宋体" w:eastAsia="宋体" w:cs="宋体"/>
          <w:b/>
          <w:color w:val="auto"/>
          <w:sz w:val="32"/>
          <w:szCs w:val="32"/>
          <w:highlight w:val="none"/>
        </w:rPr>
      </w:pPr>
    </w:p>
    <w:p w14:paraId="3B82C752">
      <w:pPr>
        <w:snapToGrid w:val="0"/>
        <w:spacing w:before="120" w:beforeLines="50" w:after="50" w:line="360" w:lineRule="auto"/>
        <w:ind w:left="142" w:firstLine="643" w:firstLineChars="200"/>
        <w:jc w:val="left"/>
        <w:rPr>
          <w:rFonts w:hint="default" w:ascii="宋体" w:hAnsi="宋体" w:eastAsia="宋体" w:cs="宋体"/>
          <w:b/>
          <w:color w:val="auto"/>
          <w:sz w:val="32"/>
          <w:szCs w:val="32"/>
          <w:highlight w:val="none"/>
        </w:rPr>
      </w:pPr>
    </w:p>
    <w:p w14:paraId="6743B27F">
      <w:pPr>
        <w:snapToGrid w:val="0"/>
        <w:spacing w:before="120" w:beforeLines="50" w:after="50" w:line="360" w:lineRule="auto"/>
        <w:ind w:left="142" w:firstLine="643" w:firstLineChars="200"/>
        <w:jc w:val="left"/>
        <w:rPr>
          <w:rFonts w:hint="default" w:ascii="宋体" w:eastAsia="宋体"/>
          <w:b/>
          <w:color w:val="auto"/>
          <w:kern w:val="0"/>
          <w:sz w:val="44"/>
          <w:szCs w:val="44"/>
          <w:highlight w:val="none"/>
          <w:u w:val="none" w:color="000000"/>
        </w:rPr>
      </w:pPr>
      <w:r>
        <w:rPr>
          <w:rFonts w:hint="default" w:ascii="宋体" w:hAnsi="宋体" w:eastAsia="宋体" w:cs="宋体"/>
          <w:b/>
          <w:color w:val="auto"/>
          <w:sz w:val="32"/>
          <w:szCs w:val="32"/>
          <w:highlight w:val="none"/>
        </w:rPr>
        <w:t>二、响应报价表</w:t>
      </w:r>
    </w:p>
    <w:p w14:paraId="576A21BE">
      <w:pPr>
        <w:spacing w:line="500" w:lineRule="exact"/>
        <w:jc w:val="center"/>
        <w:rPr>
          <w:rFonts w:hint="default" w:ascii="宋体" w:hAnsi="宋体" w:eastAsia="宋体" w:cs="宋体"/>
          <w:b/>
          <w:color w:val="auto"/>
          <w:kern w:val="0"/>
          <w:sz w:val="30"/>
          <w:szCs w:val="30"/>
          <w:highlight w:val="none"/>
        </w:rPr>
      </w:pPr>
      <w:r>
        <w:rPr>
          <w:rFonts w:hint="default" w:ascii="宋体" w:hAnsi="宋体" w:eastAsia="宋体" w:cs="宋体"/>
          <w:b/>
          <w:color w:val="auto"/>
          <w:kern w:val="0"/>
          <w:sz w:val="30"/>
          <w:szCs w:val="30"/>
          <w:highlight w:val="none"/>
        </w:rPr>
        <w:t>响应报价表</w:t>
      </w:r>
    </w:p>
    <w:p w14:paraId="1EDF46F8">
      <w:pPr>
        <w:spacing w:after="120" w:line="357" w:lineRule="atLeast"/>
        <w:textAlignment w:val="baseline"/>
        <w:rPr>
          <w:rFonts w:hint="default" w:ascii="宋体" w:eastAsia="宋体"/>
          <w:color w:val="auto"/>
          <w:sz w:val="21"/>
          <w:szCs w:val="24"/>
          <w:highlight w:val="none"/>
          <w:u w:val="none" w:color="000000"/>
        </w:rPr>
      </w:pPr>
    </w:p>
    <w:p w14:paraId="5EAC152A">
      <w:pPr>
        <w:widowControl/>
        <w:spacing w:line="357" w:lineRule="atLeast"/>
        <w:jc w:val="center"/>
        <w:textAlignment w:val="baseline"/>
        <w:rPr>
          <w:rFonts w:hint="default" w:ascii="宋体" w:eastAsia="宋体"/>
          <w:color w:val="auto"/>
          <w:kern w:val="0"/>
          <w:sz w:val="21"/>
          <w:szCs w:val="20"/>
          <w:highlight w:val="none"/>
          <w:u w:val="none" w:color="000000"/>
        </w:rPr>
      </w:pPr>
      <w:r>
        <w:rPr>
          <w:rFonts w:hint="default" w:ascii="宋体" w:eastAsia="宋体"/>
          <w:color w:val="auto"/>
          <w:kern w:val="0"/>
          <w:sz w:val="21"/>
          <w:szCs w:val="20"/>
          <w:highlight w:val="none"/>
          <w:u w:val="none" w:color="000000"/>
        </w:rPr>
        <w:t xml:space="preserve">                                               币种：人民币</w:t>
      </w:r>
    </w:p>
    <w:p w14:paraId="05FFA9B0">
      <w:pPr>
        <w:pStyle w:val="7"/>
        <w:rPr>
          <w:rFonts w:hint="default" w:ascii="宋体" w:eastAsia="宋体"/>
          <w:color w:val="auto"/>
          <w:kern w:val="0"/>
          <w:sz w:val="21"/>
          <w:szCs w:val="20"/>
          <w:highlight w:val="none"/>
          <w:u w:val="none" w:color="000000"/>
        </w:rPr>
      </w:pPr>
    </w:p>
    <w:p w14:paraId="098D6E9B">
      <w:pPr>
        <w:snapToGrid w:val="0"/>
        <w:spacing w:before="50" w:after="50" w:line="360" w:lineRule="auto"/>
        <w:rPr>
          <w:rFonts w:hint="default" w:ascii="宋体" w:hAnsi="宋体" w:eastAsia="宋体" w:cs="宋体"/>
          <w:color w:val="auto"/>
          <w:sz w:val="24"/>
          <w:szCs w:val="24"/>
          <w:highlight w:val="none"/>
          <w:u w:val="single"/>
        </w:rPr>
      </w:pPr>
      <w:r>
        <w:rPr>
          <w:rFonts w:hint="default" w:ascii="宋体" w:hAnsi="宋体" w:eastAsia="宋体" w:cs="宋体"/>
          <w:color w:val="auto"/>
          <w:sz w:val="24"/>
          <w:szCs w:val="24"/>
          <w:highlight w:val="none"/>
        </w:rPr>
        <w:t xml:space="preserve"> 项目名称：</w:t>
      </w:r>
      <w:r>
        <w:rPr>
          <w:rFonts w:hint="default" w:ascii="宋体" w:hAnsi="宋体" w:eastAsia="宋体" w:cs="宋体"/>
          <w:color w:val="auto"/>
          <w:sz w:val="24"/>
          <w:szCs w:val="24"/>
          <w:highlight w:val="none"/>
          <w:u w:val="single"/>
        </w:rPr>
        <w:t xml:space="preserve">                       </w:t>
      </w:r>
      <w:r>
        <w:rPr>
          <w:rFonts w:hint="default" w:ascii="宋体" w:hAnsi="宋体" w:eastAsia="宋体" w:cs="宋体"/>
          <w:color w:val="auto"/>
          <w:sz w:val="24"/>
          <w:szCs w:val="24"/>
          <w:highlight w:val="none"/>
        </w:rPr>
        <w:t xml:space="preserve">  项目编号：</w:t>
      </w:r>
      <w:r>
        <w:rPr>
          <w:rFonts w:hint="default" w:ascii="宋体" w:hAnsi="宋体" w:eastAsia="宋体" w:cs="宋体"/>
          <w:color w:val="auto"/>
          <w:sz w:val="24"/>
          <w:szCs w:val="24"/>
          <w:highlight w:val="none"/>
          <w:u w:val="single"/>
        </w:rPr>
        <w:t xml:space="preserve">              </w:t>
      </w:r>
      <w:r>
        <w:rPr>
          <w:rFonts w:hint="default" w:ascii="宋体" w:hAnsi="宋体" w:eastAsia="宋体" w:cs="宋体"/>
          <w:color w:val="auto"/>
          <w:sz w:val="24"/>
          <w:szCs w:val="24"/>
          <w:highlight w:val="none"/>
        </w:rPr>
        <w:t xml:space="preserve">                   </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9"/>
        <w:gridCol w:w="3023"/>
        <w:gridCol w:w="1680"/>
        <w:gridCol w:w="1995"/>
        <w:gridCol w:w="2193"/>
      </w:tblGrid>
      <w:tr w14:paraId="3A98A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3" w:hRule="atLeast"/>
        </w:trPr>
        <w:tc>
          <w:tcPr>
            <w:tcW w:w="71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8FCA360">
            <w:pPr>
              <w:jc w:val="center"/>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序号</w:t>
            </w:r>
          </w:p>
        </w:tc>
        <w:tc>
          <w:tcPr>
            <w:tcW w:w="302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84B1331">
            <w:pPr>
              <w:jc w:val="center"/>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工程名称</w:t>
            </w:r>
          </w:p>
        </w:tc>
        <w:tc>
          <w:tcPr>
            <w:tcW w:w="168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7E54A74">
            <w:pPr>
              <w:jc w:val="center"/>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数量及单位</w:t>
            </w:r>
          </w:p>
        </w:tc>
        <w:tc>
          <w:tcPr>
            <w:tcW w:w="199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B5D7A8F">
            <w:pPr>
              <w:jc w:val="center"/>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总价（元）</w:t>
            </w:r>
          </w:p>
        </w:tc>
        <w:tc>
          <w:tcPr>
            <w:tcW w:w="219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036AEE3">
            <w:pPr>
              <w:jc w:val="center"/>
              <w:rPr>
                <w:rFonts w:hint="default" w:ascii="宋体" w:hAnsi="宋体" w:eastAsia="宋体" w:cs="宋体"/>
                <w:color w:val="auto"/>
                <w:sz w:val="24"/>
                <w:szCs w:val="24"/>
                <w:highlight w:val="none"/>
              </w:rPr>
            </w:pPr>
            <w:r>
              <w:rPr>
                <w:rFonts w:hint="default" w:ascii="宋体" w:hAnsi="宋体" w:eastAsia="宋体"/>
                <w:color w:val="auto"/>
                <w:sz w:val="24"/>
                <w:szCs w:val="24"/>
                <w:highlight w:val="none"/>
                <w:u w:val="none" w:color="000000"/>
              </w:rPr>
              <w:t>其中：安全生产费（元）</w:t>
            </w:r>
          </w:p>
        </w:tc>
      </w:tr>
      <w:tr w14:paraId="776A0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0" w:hRule="atLeast"/>
        </w:trPr>
        <w:tc>
          <w:tcPr>
            <w:tcW w:w="71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C8CA499">
            <w:pPr>
              <w:spacing w:line="420" w:lineRule="exact"/>
              <w:jc w:val="center"/>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1</w:t>
            </w:r>
          </w:p>
        </w:tc>
        <w:tc>
          <w:tcPr>
            <w:tcW w:w="302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97CF30F">
            <w:pPr>
              <w:spacing w:line="420" w:lineRule="exact"/>
              <w:jc w:val="center"/>
              <w:rPr>
                <w:rFonts w:hint="default" w:ascii="宋体" w:hAnsi="宋体" w:eastAsia="宋体" w:cs="宋体"/>
                <w:color w:val="auto"/>
                <w:sz w:val="24"/>
                <w:szCs w:val="24"/>
                <w:highlight w:val="none"/>
              </w:rPr>
            </w:pPr>
          </w:p>
        </w:tc>
        <w:tc>
          <w:tcPr>
            <w:tcW w:w="168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453D9B4">
            <w:pPr>
              <w:jc w:val="center"/>
              <w:rPr>
                <w:rFonts w:hint="default" w:ascii="宋体" w:hAnsi="宋体" w:eastAsia="宋体" w:cs="宋体"/>
                <w:color w:val="auto"/>
                <w:sz w:val="24"/>
                <w:szCs w:val="24"/>
                <w:highlight w:val="none"/>
              </w:rPr>
            </w:pPr>
          </w:p>
        </w:tc>
        <w:tc>
          <w:tcPr>
            <w:tcW w:w="199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1B3475C">
            <w:pPr>
              <w:jc w:val="center"/>
              <w:rPr>
                <w:rFonts w:hint="default" w:ascii="宋体" w:hAnsi="宋体" w:eastAsia="宋体" w:cs="宋体"/>
                <w:color w:val="auto"/>
                <w:sz w:val="24"/>
                <w:szCs w:val="24"/>
                <w:highlight w:val="none"/>
              </w:rPr>
            </w:pPr>
          </w:p>
        </w:tc>
        <w:tc>
          <w:tcPr>
            <w:tcW w:w="219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CEFDE1D">
            <w:pPr>
              <w:jc w:val="center"/>
              <w:rPr>
                <w:rFonts w:hint="default" w:ascii="宋体" w:hAnsi="宋体" w:eastAsia="宋体" w:cs="宋体"/>
                <w:color w:val="auto"/>
                <w:sz w:val="24"/>
                <w:szCs w:val="24"/>
                <w:highlight w:val="none"/>
              </w:rPr>
            </w:pPr>
          </w:p>
        </w:tc>
      </w:tr>
      <w:tr w14:paraId="3D945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0" w:hRule="atLeast"/>
        </w:trPr>
        <w:tc>
          <w:tcPr>
            <w:tcW w:w="71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800693F">
            <w:pPr>
              <w:spacing w:line="420" w:lineRule="exact"/>
              <w:jc w:val="center"/>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w:t>
            </w:r>
          </w:p>
        </w:tc>
        <w:tc>
          <w:tcPr>
            <w:tcW w:w="302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4C6BFE1">
            <w:pPr>
              <w:spacing w:line="420" w:lineRule="exact"/>
              <w:jc w:val="center"/>
              <w:rPr>
                <w:rFonts w:hint="default" w:ascii="宋体" w:hAnsi="宋体" w:eastAsia="宋体" w:cs="宋体"/>
                <w:color w:val="auto"/>
                <w:sz w:val="24"/>
                <w:szCs w:val="24"/>
                <w:highlight w:val="none"/>
              </w:rPr>
            </w:pPr>
          </w:p>
        </w:tc>
        <w:tc>
          <w:tcPr>
            <w:tcW w:w="168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BDAAA4E">
            <w:pPr>
              <w:jc w:val="center"/>
              <w:rPr>
                <w:rFonts w:hint="default" w:ascii="宋体" w:hAnsi="宋体" w:eastAsia="宋体" w:cs="宋体"/>
                <w:color w:val="auto"/>
                <w:sz w:val="24"/>
                <w:szCs w:val="24"/>
                <w:highlight w:val="none"/>
              </w:rPr>
            </w:pPr>
          </w:p>
        </w:tc>
        <w:tc>
          <w:tcPr>
            <w:tcW w:w="199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FF155B3">
            <w:pPr>
              <w:jc w:val="center"/>
              <w:rPr>
                <w:rFonts w:hint="default" w:ascii="宋体" w:hAnsi="宋体" w:eastAsia="宋体" w:cs="宋体"/>
                <w:color w:val="auto"/>
                <w:sz w:val="24"/>
                <w:szCs w:val="24"/>
                <w:highlight w:val="none"/>
              </w:rPr>
            </w:pPr>
          </w:p>
        </w:tc>
        <w:tc>
          <w:tcPr>
            <w:tcW w:w="219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ADEA9B1">
            <w:pPr>
              <w:jc w:val="center"/>
              <w:rPr>
                <w:rFonts w:hint="default" w:ascii="宋体" w:hAnsi="宋体" w:eastAsia="宋体" w:cs="宋体"/>
                <w:color w:val="auto"/>
                <w:sz w:val="24"/>
                <w:szCs w:val="24"/>
                <w:highlight w:val="none"/>
              </w:rPr>
            </w:pPr>
          </w:p>
        </w:tc>
      </w:tr>
      <w:tr w14:paraId="04143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0" w:hRule="atLeast"/>
        </w:trPr>
        <w:tc>
          <w:tcPr>
            <w:tcW w:w="9610"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213D6E71">
            <w:pPr>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报价合计（包含税费等所有费用）：（大写）人民币             （¥        元）</w:t>
            </w:r>
          </w:p>
        </w:tc>
      </w:tr>
      <w:tr w14:paraId="0A1E9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0" w:hRule="atLeast"/>
        </w:trPr>
        <w:tc>
          <w:tcPr>
            <w:tcW w:w="9610"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01E67252">
            <w:pPr>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工期：</w:t>
            </w:r>
          </w:p>
        </w:tc>
      </w:tr>
      <w:tr w14:paraId="23D30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trPr>
        <w:tc>
          <w:tcPr>
            <w:tcW w:w="9610"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542CF2A3">
            <w:pPr>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验收标准、规范：</w:t>
            </w:r>
          </w:p>
        </w:tc>
      </w:tr>
      <w:tr w14:paraId="3080C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0" w:hRule="atLeast"/>
        </w:trPr>
        <w:tc>
          <w:tcPr>
            <w:tcW w:w="9610"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43B8BB52">
            <w:pPr>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工程质量保修期：</w:t>
            </w:r>
          </w:p>
        </w:tc>
      </w:tr>
    </w:tbl>
    <w:p w14:paraId="2AB4F710">
      <w:pPr>
        <w:pStyle w:val="14"/>
        <w:rPr>
          <w:rFonts w:hint="default" w:ascii="宋体" w:eastAsia="宋体"/>
          <w:color w:val="auto"/>
          <w:sz w:val="21"/>
          <w:szCs w:val="24"/>
          <w:highlight w:val="none"/>
        </w:rPr>
      </w:pPr>
    </w:p>
    <w:p w14:paraId="35B22079">
      <w:pPr>
        <w:widowControl/>
        <w:spacing w:line="357" w:lineRule="atLeast"/>
        <w:textAlignment w:val="baseline"/>
        <w:rPr>
          <w:rFonts w:hint="default" w:ascii="宋体" w:eastAsia="宋体"/>
          <w:b/>
          <w:color w:val="auto"/>
          <w:kern w:val="0"/>
          <w:sz w:val="21"/>
          <w:szCs w:val="20"/>
          <w:highlight w:val="none"/>
          <w:u w:val="none" w:color="000000"/>
        </w:rPr>
      </w:pPr>
    </w:p>
    <w:p w14:paraId="3FB4DC9B">
      <w:pPr>
        <w:widowControl/>
        <w:spacing w:line="600" w:lineRule="exact"/>
        <w:textAlignment w:val="baseline"/>
        <w:rPr>
          <w:rFonts w:hint="default" w:ascii="宋体" w:hAnsi="宋体" w:eastAsia="宋体"/>
          <w:color w:val="auto"/>
          <w:kern w:val="0"/>
          <w:sz w:val="24"/>
          <w:szCs w:val="24"/>
          <w:highlight w:val="none"/>
          <w:u w:val="single" w:color="auto"/>
        </w:rPr>
      </w:pPr>
      <w:r>
        <w:rPr>
          <w:rFonts w:hint="default" w:ascii="宋体" w:hAnsi="宋体" w:eastAsia="宋体"/>
          <w:color w:val="auto"/>
          <w:kern w:val="0"/>
          <w:sz w:val="24"/>
          <w:szCs w:val="24"/>
          <w:highlight w:val="none"/>
          <w:u w:val="none" w:color="000000"/>
        </w:rPr>
        <w:t>供应商（电子签章）：</w:t>
      </w:r>
      <w:r>
        <w:rPr>
          <w:rFonts w:hint="default" w:ascii="宋体" w:hAnsi="宋体" w:eastAsia="宋体"/>
          <w:color w:val="auto"/>
          <w:kern w:val="0"/>
          <w:sz w:val="24"/>
          <w:szCs w:val="24"/>
          <w:highlight w:val="none"/>
          <w:u w:val="single" w:color="auto"/>
        </w:rPr>
        <w:t xml:space="preserve">                                </w:t>
      </w:r>
    </w:p>
    <w:p w14:paraId="3C4B1762">
      <w:pPr>
        <w:widowControl/>
        <w:spacing w:line="600" w:lineRule="exact"/>
        <w:textAlignment w:val="baseline"/>
        <w:rPr>
          <w:rFonts w:hint="default" w:ascii="宋体" w:hAnsi="宋体" w:eastAsia="宋体"/>
          <w:color w:val="auto"/>
          <w:kern w:val="0"/>
          <w:sz w:val="24"/>
          <w:szCs w:val="24"/>
          <w:highlight w:val="none"/>
          <w:u w:val="single" w:color="auto"/>
        </w:rPr>
      </w:pPr>
      <w:r>
        <w:rPr>
          <w:rFonts w:hint="default" w:ascii="宋体" w:hAnsi="宋体" w:eastAsia="宋体"/>
          <w:color w:val="auto"/>
          <w:kern w:val="0"/>
          <w:sz w:val="24"/>
          <w:szCs w:val="24"/>
          <w:highlight w:val="none"/>
          <w:u w:val="none" w:color="000000"/>
        </w:rPr>
        <w:t>法人代表或委托代理人（签字或电子签名）：</w:t>
      </w:r>
      <w:r>
        <w:rPr>
          <w:rFonts w:hint="default" w:ascii="宋体" w:hAnsi="宋体" w:eastAsia="宋体"/>
          <w:color w:val="auto"/>
          <w:kern w:val="0"/>
          <w:sz w:val="24"/>
          <w:szCs w:val="24"/>
          <w:highlight w:val="none"/>
          <w:u w:val="single" w:color="auto"/>
        </w:rPr>
        <w:t xml:space="preserve">            </w:t>
      </w:r>
    </w:p>
    <w:p w14:paraId="5A0DF1DE">
      <w:pPr>
        <w:widowControl/>
        <w:spacing w:line="600" w:lineRule="exact"/>
        <w:textAlignment w:val="baseline"/>
        <w:rPr>
          <w:rFonts w:hint="default" w:ascii="宋体" w:eastAsia="宋体"/>
          <w:b/>
          <w:color w:val="auto"/>
          <w:kern w:val="0"/>
          <w:sz w:val="24"/>
          <w:szCs w:val="24"/>
          <w:highlight w:val="none"/>
          <w:u w:val="none" w:color="000000"/>
        </w:rPr>
      </w:pPr>
      <w:r>
        <w:rPr>
          <w:rFonts w:hint="default" w:ascii="宋体" w:hAnsi="宋体" w:eastAsia="宋体"/>
          <w:color w:val="auto"/>
          <w:kern w:val="0"/>
          <w:sz w:val="24"/>
          <w:szCs w:val="24"/>
          <w:highlight w:val="none"/>
          <w:u w:val="none" w:color="000000"/>
        </w:rPr>
        <w:t>日期：</w:t>
      </w:r>
      <w:r>
        <w:rPr>
          <w:rFonts w:hint="default" w:ascii="宋体" w:hAnsi="宋体" w:eastAsia="宋体"/>
          <w:color w:val="auto"/>
          <w:kern w:val="0"/>
          <w:sz w:val="24"/>
          <w:szCs w:val="24"/>
          <w:highlight w:val="none"/>
          <w:u w:val="single" w:color="000000"/>
        </w:rPr>
        <w:t xml:space="preserve">              </w:t>
      </w:r>
      <w:r>
        <w:rPr>
          <w:rFonts w:hint="default" w:ascii="宋体" w:hAnsi="宋体" w:eastAsia="宋体"/>
          <w:color w:val="auto"/>
          <w:kern w:val="0"/>
          <w:sz w:val="24"/>
          <w:szCs w:val="24"/>
          <w:highlight w:val="none"/>
          <w:u w:val="none" w:color="000000"/>
        </w:rPr>
        <w:t>年</w:t>
      </w:r>
      <w:r>
        <w:rPr>
          <w:rFonts w:hint="default" w:ascii="宋体" w:hAnsi="宋体" w:eastAsia="宋体"/>
          <w:color w:val="auto"/>
          <w:kern w:val="0"/>
          <w:sz w:val="24"/>
          <w:szCs w:val="24"/>
          <w:highlight w:val="none"/>
          <w:u w:val="single" w:color="000000"/>
        </w:rPr>
        <w:t xml:space="preserve">      </w:t>
      </w:r>
      <w:r>
        <w:rPr>
          <w:rFonts w:hint="default" w:ascii="宋体" w:hAnsi="宋体" w:eastAsia="宋体"/>
          <w:color w:val="auto"/>
          <w:kern w:val="0"/>
          <w:sz w:val="24"/>
          <w:szCs w:val="24"/>
          <w:highlight w:val="none"/>
          <w:u w:val="none" w:color="000000"/>
        </w:rPr>
        <w:t>月</w:t>
      </w:r>
      <w:r>
        <w:rPr>
          <w:rFonts w:hint="default" w:ascii="宋体" w:hAnsi="宋体" w:eastAsia="宋体"/>
          <w:color w:val="auto"/>
          <w:kern w:val="0"/>
          <w:sz w:val="24"/>
          <w:szCs w:val="24"/>
          <w:highlight w:val="none"/>
          <w:u w:val="single" w:color="000000"/>
        </w:rPr>
        <w:t xml:space="preserve">      </w:t>
      </w:r>
      <w:r>
        <w:rPr>
          <w:rFonts w:hint="default" w:ascii="宋体" w:hAnsi="宋体" w:eastAsia="宋体"/>
          <w:color w:val="auto"/>
          <w:kern w:val="0"/>
          <w:sz w:val="24"/>
          <w:szCs w:val="24"/>
          <w:highlight w:val="none"/>
          <w:u w:val="none" w:color="000000"/>
        </w:rPr>
        <w:t>日</w:t>
      </w:r>
    </w:p>
    <w:p w14:paraId="4703F77D">
      <w:pPr>
        <w:widowControl/>
        <w:spacing w:line="357" w:lineRule="atLeast"/>
        <w:textAlignment w:val="baseline"/>
        <w:rPr>
          <w:rFonts w:hint="default" w:ascii="宋体" w:eastAsia="宋体"/>
          <w:b/>
          <w:color w:val="auto"/>
          <w:kern w:val="0"/>
          <w:sz w:val="21"/>
          <w:szCs w:val="20"/>
          <w:highlight w:val="none"/>
          <w:u w:val="none" w:color="000000"/>
        </w:rPr>
      </w:pPr>
    </w:p>
    <w:p w14:paraId="4A34F7EC">
      <w:pPr>
        <w:pageBreakBefore/>
        <w:snapToGrid w:val="0"/>
        <w:spacing w:before="120" w:beforeLines="50" w:after="50" w:line="360" w:lineRule="auto"/>
        <w:ind w:left="142" w:firstLine="643" w:firstLineChars="200"/>
        <w:jc w:val="left"/>
        <w:rPr>
          <w:rFonts w:hint="default" w:ascii="宋体" w:hAnsi="宋体" w:eastAsia="宋体" w:cs="宋体"/>
          <w:b/>
          <w:color w:val="auto"/>
          <w:sz w:val="32"/>
          <w:szCs w:val="32"/>
          <w:highlight w:val="none"/>
        </w:rPr>
      </w:pPr>
      <w:r>
        <w:rPr>
          <w:rFonts w:hint="default" w:ascii="宋体" w:hAnsi="宋体" w:eastAsia="宋体" w:cs="宋体"/>
          <w:b/>
          <w:color w:val="auto"/>
          <w:sz w:val="32"/>
          <w:szCs w:val="32"/>
          <w:highlight w:val="none"/>
        </w:rPr>
        <w:t>三、工程量清单报价有关资料</w:t>
      </w:r>
    </w:p>
    <w:p w14:paraId="788A7888">
      <w:pPr>
        <w:spacing w:line="500" w:lineRule="exact"/>
        <w:ind w:firstLine="480" w:firstLineChars="200"/>
        <w:rPr>
          <w:rFonts w:hint="default" w:ascii="宋体" w:hAnsi="宋体" w:eastAsia="宋体" w:cs="宋体"/>
          <w:color w:val="auto"/>
          <w:kern w:val="0"/>
          <w:sz w:val="24"/>
          <w:szCs w:val="21"/>
          <w:highlight w:val="none"/>
        </w:rPr>
      </w:pPr>
      <w:r>
        <w:rPr>
          <w:rFonts w:hint="default" w:ascii="宋体" w:hAnsi="宋体" w:eastAsia="宋体" w:cs="宋体"/>
          <w:color w:val="auto"/>
          <w:kern w:val="0"/>
          <w:sz w:val="24"/>
          <w:szCs w:val="21"/>
          <w:highlight w:val="none"/>
        </w:rPr>
        <w:t>注：已标价工程量清单应根据采购人提供的工程量清单相应表格及有关规定执行，可根据发布的工程量清单中的相关表格及报价说明填写，本采购文件不另提供参考格式。</w:t>
      </w:r>
    </w:p>
    <w:p w14:paraId="17AC5D3F">
      <w:pPr>
        <w:spacing w:line="500" w:lineRule="exact"/>
        <w:ind w:firstLine="480" w:firstLineChars="200"/>
        <w:rPr>
          <w:rFonts w:hint="default" w:ascii="宋体" w:hAnsi="宋体" w:eastAsia="宋体" w:cs="宋体"/>
          <w:color w:val="auto"/>
          <w:kern w:val="0"/>
          <w:sz w:val="24"/>
          <w:szCs w:val="21"/>
          <w:highlight w:val="none"/>
        </w:rPr>
      </w:pPr>
    </w:p>
    <w:p w14:paraId="11844F3C">
      <w:pPr>
        <w:spacing w:line="500" w:lineRule="exact"/>
        <w:ind w:firstLine="480" w:firstLineChars="200"/>
        <w:rPr>
          <w:rFonts w:hint="default" w:ascii="宋体" w:hAnsi="宋体" w:eastAsia="宋体" w:cs="宋体"/>
          <w:color w:val="auto"/>
          <w:kern w:val="0"/>
          <w:sz w:val="24"/>
          <w:szCs w:val="21"/>
          <w:highlight w:val="none"/>
        </w:rPr>
      </w:pPr>
    </w:p>
    <w:p w14:paraId="5C613F47">
      <w:pPr>
        <w:spacing w:line="500" w:lineRule="exact"/>
        <w:ind w:firstLine="480" w:firstLineChars="200"/>
        <w:rPr>
          <w:rFonts w:hint="default" w:ascii="宋体" w:hAnsi="宋体" w:eastAsia="宋体" w:cs="宋体"/>
          <w:color w:val="auto"/>
          <w:kern w:val="0"/>
          <w:sz w:val="24"/>
          <w:szCs w:val="21"/>
          <w:highlight w:val="none"/>
        </w:rPr>
      </w:pPr>
    </w:p>
    <w:p w14:paraId="4F4208B0">
      <w:pPr>
        <w:spacing w:line="500" w:lineRule="exact"/>
        <w:ind w:firstLine="480" w:firstLineChars="200"/>
        <w:rPr>
          <w:rFonts w:hint="default" w:ascii="宋体" w:hAnsi="宋体" w:eastAsia="宋体" w:cs="宋体"/>
          <w:color w:val="auto"/>
          <w:kern w:val="0"/>
          <w:sz w:val="24"/>
          <w:szCs w:val="21"/>
          <w:highlight w:val="none"/>
        </w:rPr>
      </w:pPr>
    </w:p>
    <w:p w14:paraId="0521E6E2">
      <w:pPr>
        <w:spacing w:line="500" w:lineRule="exact"/>
        <w:ind w:firstLine="480" w:firstLineChars="200"/>
        <w:rPr>
          <w:rFonts w:hint="default" w:ascii="宋体" w:hAnsi="宋体" w:eastAsia="宋体" w:cs="宋体"/>
          <w:color w:val="auto"/>
          <w:kern w:val="0"/>
          <w:sz w:val="24"/>
          <w:szCs w:val="21"/>
          <w:highlight w:val="none"/>
        </w:rPr>
      </w:pPr>
    </w:p>
    <w:p w14:paraId="682209A2">
      <w:pPr>
        <w:spacing w:line="500" w:lineRule="exact"/>
        <w:ind w:firstLine="480" w:firstLineChars="200"/>
        <w:rPr>
          <w:rFonts w:hint="default" w:ascii="宋体" w:hAnsi="宋体" w:eastAsia="宋体" w:cs="宋体"/>
          <w:color w:val="auto"/>
          <w:kern w:val="0"/>
          <w:sz w:val="24"/>
          <w:szCs w:val="21"/>
          <w:highlight w:val="none"/>
        </w:rPr>
      </w:pPr>
    </w:p>
    <w:p w14:paraId="16414202">
      <w:pPr>
        <w:spacing w:line="500" w:lineRule="exact"/>
        <w:ind w:firstLine="480" w:firstLineChars="200"/>
        <w:rPr>
          <w:rFonts w:hint="default" w:ascii="宋体" w:hAnsi="宋体" w:eastAsia="宋体" w:cs="宋体"/>
          <w:color w:val="auto"/>
          <w:kern w:val="0"/>
          <w:sz w:val="24"/>
          <w:szCs w:val="21"/>
          <w:highlight w:val="none"/>
        </w:rPr>
      </w:pPr>
    </w:p>
    <w:p w14:paraId="55FA8F87">
      <w:pPr>
        <w:spacing w:line="500" w:lineRule="exact"/>
        <w:ind w:firstLine="480" w:firstLineChars="200"/>
        <w:rPr>
          <w:rFonts w:hint="default" w:ascii="宋体" w:hAnsi="宋体" w:eastAsia="宋体" w:cs="宋体"/>
          <w:color w:val="auto"/>
          <w:kern w:val="0"/>
          <w:sz w:val="24"/>
          <w:szCs w:val="21"/>
          <w:highlight w:val="none"/>
        </w:rPr>
      </w:pPr>
    </w:p>
    <w:p w14:paraId="04470AA6">
      <w:pPr>
        <w:spacing w:line="500" w:lineRule="exact"/>
        <w:ind w:firstLine="480" w:firstLineChars="200"/>
        <w:rPr>
          <w:rFonts w:hint="default" w:ascii="宋体" w:hAnsi="宋体" w:eastAsia="宋体" w:cs="宋体"/>
          <w:color w:val="auto"/>
          <w:kern w:val="0"/>
          <w:sz w:val="24"/>
          <w:szCs w:val="21"/>
          <w:highlight w:val="none"/>
        </w:rPr>
      </w:pPr>
    </w:p>
    <w:p w14:paraId="0AA829A9">
      <w:pPr>
        <w:spacing w:line="500" w:lineRule="exact"/>
        <w:ind w:firstLine="480" w:firstLineChars="200"/>
        <w:rPr>
          <w:rFonts w:hint="default" w:ascii="宋体" w:hAnsi="宋体" w:eastAsia="宋体" w:cs="宋体"/>
          <w:color w:val="auto"/>
          <w:kern w:val="0"/>
          <w:sz w:val="24"/>
          <w:szCs w:val="21"/>
          <w:highlight w:val="none"/>
        </w:rPr>
      </w:pPr>
    </w:p>
    <w:p w14:paraId="68FC111F">
      <w:pPr>
        <w:spacing w:line="500" w:lineRule="exact"/>
        <w:ind w:firstLine="480" w:firstLineChars="200"/>
        <w:rPr>
          <w:rFonts w:hint="default" w:ascii="宋体" w:hAnsi="宋体" w:eastAsia="宋体" w:cs="宋体"/>
          <w:color w:val="auto"/>
          <w:kern w:val="0"/>
          <w:sz w:val="24"/>
          <w:szCs w:val="21"/>
          <w:highlight w:val="none"/>
        </w:rPr>
      </w:pPr>
    </w:p>
    <w:p w14:paraId="3A7631F8">
      <w:pPr>
        <w:spacing w:line="500" w:lineRule="exact"/>
        <w:ind w:firstLine="480" w:firstLineChars="200"/>
        <w:rPr>
          <w:rFonts w:hint="default" w:ascii="宋体" w:hAnsi="宋体" w:eastAsia="宋体" w:cs="宋体"/>
          <w:color w:val="auto"/>
          <w:kern w:val="0"/>
          <w:sz w:val="24"/>
          <w:szCs w:val="21"/>
          <w:highlight w:val="none"/>
        </w:rPr>
      </w:pPr>
    </w:p>
    <w:p w14:paraId="227F3A04">
      <w:pPr>
        <w:spacing w:line="500" w:lineRule="exact"/>
        <w:ind w:firstLine="480" w:firstLineChars="200"/>
        <w:rPr>
          <w:rFonts w:hint="default" w:ascii="宋体" w:hAnsi="宋体" w:eastAsia="宋体" w:cs="宋体"/>
          <w:color w:val="auto"/>
          <w:kern w:val="0"/>
          <w:sz w:val="24"/>
          <w:szCs w:val="21"/>
          <w:highlight w:val="none"/>
        </w:rPr>
      </w:pPr>
    </w:p>
    <w:p w14:paraId="2CF1BA3A">
      <w:pPr>
        <w:spacing w:line="500" w:lineRule="exact"/>
        <w:ind w:firstLine="480" w:firstLineChars="200"/>
        <w:rPr>
          <w:rFonts w:hint="default" w:ascii="宋体" w:hAnsi="宋体" w:eastAsia="宋体" w:cs="宋体"/>
          <w:color w:val="auto"/>
          <w:kern w:val="0"/>
          <w:sz w:val="24"/>
          <w:szCs w:val="21"/>
          <w:highlight w:val="none"/>
        </w:rPr>
      </w:pPr>
    </w:p>
    <w:p w14:paraId="1F75907D">
      <w:pPr>
        <w:spacing w:line="500" w:lineRule="exact"/>
        <w:ind w:firstLine="480" w:firstLineChars="200"/>
        <w:rPr>
          <w:rFonts w:hint="default" w:ascii="宋体" w:hAnsi="宋体" w:eastAsia="宋体" w:cs="宋体"/>
          <w:color w:val="auto"/>
          <w:kern w:val="0"/>
          <w:sz w:val="24"/>
          <w:szCs w:val="21"/>
          <w:highlight w:val="none"/>
        </w:rPr>
      </w:pPr>
    </w:p>
    <w:p w14:paraId="695DF26C">
      <w:pPr>
        <w:spacing w:line="500" w:lineRule="exact"/>
        <w:ind w:firstLine="480" w:firstLineChars="200"/>
        <w:rPr>
          <w:rFonts w:hint="default" w:ascii="宋体" w:hAnsi="宋体" w:eastAsia="宋体" w:cs="宋体"/>
          <w:color w:val="auto"/>
          <w:kern w:val="0"/>
          <w:sz w:val="24"/>
          <w:szCs w:val="21"/>
          <w:highlight w:val="none"/>
        </w:rPr>
      </w:pPr>
    </w:p>
    <w:p w14:paraId="2EF702EB">
      <w:pPr>
        <w:spacing w:line="500" w:lineRule="exact"/>
        <w:ind w:firstLine="480" w:firstLineChars="200"/>
        <w:rPr>
          <w:rFonts w:hint="default" w:ascii="宋体" w:hAnsi="宋体" w:eastAsia="宋体" w:cs="宋体"/>
          <w:color w:val="auto"/>
          <w:kern w:val="0"/>
          <w:sz w:val="24"/>
          <w:szCs w:val="21"/>
          <w:highlight w:val="none"/>
        </w:rPr>
      </w:pPr>
    </w:p>
    <w:p w14:paraId="050E358F">
      <w:pPr>
        <w:spacing w:line="500" w:lineRule="exact"/>
        <w:ind w:firstLine="480" w:firstLineChars="200"/>
        <w:rPr>
          <w:rFonts w:hint="default" w:ascii="宋体" w:hAnsi="宋体" w:eastAsia="宋体" w:cs="宋体"/>
          <w:color w:val="auto"/>
          <w:kern w:val="0"/>
          <w:sz w:val="24"/>
          <w:szCs w:val="21"/>
          <w:highlight w:val="none"/>
        </w:rPr>
      </w:pPr>
    </w:p>
    <w:p w14:paraId="3CD6D989">
      <w:pPr>
        <w:spacing w:line="500" w:lineRule="exact"/>
        <w:ind w:firstLine="480" w:firstLineChars="200"/>
        <w:rPr>
          <w:rFonts w:hint="default" w:ascii="宋体" w:hAnsi="宋体" w:eastAsia="宋体" w:cs="宋体"/>
          <w:color w:val="auto"/>
          <w:kern w:val="0"/>
          <w:sz w:val="24"/>
          <w:szCs w:val="21"/>
          <w:highlight w:val="none"/>
        </w:rPr>
      </w:pPr>
    </w:p>
    <w:p w14:paraId="03E00C04">
      <w:pPr>
        <w:spacing w:line="500" w:lineRule="exact"/>
        <w:ind w:firstLine="480" w:firstLineChars="200"/>
        <w:rPr>
          <w:rFonts w:hint="default" w:ascii="宋体" w:hAnsi="宋体" w:eastAsia="宋体" w:cs="宋体"/>
          <w:color w:val="auto"/>
          <w:kern w:val="0"/>
          <w:sz w:val="24"/>
          <w:szCs w:val="21"/>
          <w:highlight w:val="none"/>
        </w:rPr>
      </w:pPr>
    </w:p>
    <w:p w14:paraId="6688D6EC">
      <w:pPr>
        <w:spacing w:line="500" w:lineRule="exact"/>
        <w:ind w:firstLine="480" w:firstLineChars="200"/>
        <w:rPr>
          <w:rFonts w:hint="default" w:ascii="宋体" w:hAnsi="宋体" w:eastAsia="宋体" w:cs="宋体"/>
          <w:color w:val="auto"/>
          <w:kern w:val="0"/>
          <w:sz w:val="24"/>
          <w:szCs w:val="21"/>
          <w:highlight w:val="none"/>
        </w:rPr>
      </w:pPr>
    </w:p>
    <w:p w14:paraId="3180909C">
      <w:pPr>
        <w:spacing w:line="500" w:lineRule="exact"/>
        <w:ind w:firstLine="480" w:firstLineChars="200"/>
        <w:rPr>
          <w:rFonts w:hint="default" w:ascii="宋体" w:hAnsi="宋体" w:eastAsia="宋体" w:cs="宋体"/>
          <w:color w:val="auto"/>
          <w:kern w:val="0"/>
          <w:sz w:val="24"/>
          <w:szCs w:val="21"/>
          <w:highlight w:val="none"/>
        </w:rPr>
      </w:pPr>
    </w:p>
    <w:p w14:paraId="512AF89F">
      <w:pPr>
        <w:spacing w:line="500" w:lineRule="exact"/>
        <w:ind w:firstLine="480" w:firstLineChars="200"/>
        <w:rPr>
          <w:rFonts w:hint="default" w:ascii="宋体" w:hAnsi="宋体" w:eastAsia="宋体" w:cs="宋体"/>
          <w:color w:val="auto"/>
          <w:kern w:val="0"/>
          <w:sz w:val="24"/>
          <w:szCs w:val="21"/>
          <w:highlight w:val="none"/>
        </w:rPr>
      </w:pPr>
    </w:p>
    <w:p w14:paraId="7FA8F029">
      <w:pPr>
        <w:spacing w:line="500" w:lineRule="exact"/>
        <w:ind w:firstLine="480" w:firstLineChars="200"/>
        <w:rPr>
          <w:rFonts w:hint="default" w:ascii="宋体" w:hAnsi="宋体" w:eastAsia="宋体" w:cs="宋体"/>
          <w:color w:val="auto"/>
          <w:kern w:val="0"/>
          <w:sz w:val="24"/>
          <w:szCs w:val="21"/>
          <w:highlight w:val="none"/>
        </w:rPr>
      </w:pPr>
    </w:p>
    <w:p w14:paraId="3049941E">
      <w:pPr>
        <w:keepNext/>
        <w:keepLines/>
        <w:pageBreakBefore/>
        <w:spacing w:before="260" w:after="260" w:line="416" w:lineRule="auto"/>
        <w:jc w:val="center"/>
        <w:outlineLvl w:val="1"/>
        <w:rPr>
          <w:rFonts w:hint="default" w:ascii="宋体" w:hAnsi="宋体" w:eastAsia="宋体" w:cs="宋体"/>
          <w:color w:val="auto"/>
          <w:sz w:val="32"/>
          <w:szCs w:val="32"/>
          <w:highlight w:val="none"/>
        </w:rPr>
      </w:pPr>
      <w:bookmarkStart w:id="147" w:name="_Toc35611516"/>
      <w:bookmarkEnd w:id="147"/>
      <w:bookmarkStart w:id="148" w:name="_Toc31728084"/>
      <w:bookmarkEnd w:id="148"/>
      <w:bookmarkStart w:id="149" w:name="_Toc31723070"/>
      <w:bookmarkEnd w:id="149"/>
      <w:bookmarkStart w:id="150" w:name="_Toc44229899"/>
      <w:bookmarkEnd w:id="150"/>
      <w:bookmarkStart w:id="151" w:name="_Toc35611438"/>
      <w:bookmarkEnd w:id="151"/>
      <w:bookmarkStart w:id="152" w:name="_Toc31262"/>
      <w:bookmarkStart w:id="153" w:name="_Toc80205942"/>
      <w:r>
        <w:rPr>
          <w:rFonts w:hint="default" w:ascii="宋体" w:hAnsi="宋体" w:eastAsia="宋体" w:cs="宋体"/>
          <w:b/>
          <w:color w:val="auto"/>
          <w:sz w:val="32"/>
          <w:szCs w:val="32"/>
          <w:highlight w:val="none"/>
        </w:rPr>
        <w:t>第五节 其他文书、文件格式</w:t>
      </w:r>
      <w:bookmarkEnd w:id="152"/>
      <w:bookmarkEnd w:id="153"/>
    </w:p>
    <w:p w14:paraId="739A7936">
      <w:pPr>
        <w:jc w:val="center"/>
        <w:rPr>
          <w:rFonts w:hint="default" w:ascii="宋体" w:hAnsi="宋体" w:eastAsia="宋体" w:cs="宋体"/>
          <w:b/>
          <w:color w:val="auto"/>
          <w:sz w:val="32"/>
          <w:szCs w:val="32"/>
          <w:highlight w:val="none"/>
          <w:lang w:val="en"/>
        </w:rPr>
      </w:pPr>
      <w:r>
        <w:rPr>
          <w:rFonts w:hint="default" w:ascii="宋体" w:hAnsi="宋体" w:eastAsia="宋体" w:cs="宋体"/>
          <w:b/>
          <w:color w:val="auto"/>
          <w:sz w:val="32"/>
          <w:szCs w:val="32"/>
          <w:highlight w:val="none"/>
          <w:lang w:val="en"/>
        </w:rPr>
        <w:t>知识产权合规性声明</w:t>
      </w:r>
    </w:p>
    <w:p w14:paraId="22FC6B85">
      <w:pPr>
        <w:rPr>
          <w:rFonts w:hint="default" w:ascii="宋体" w:hAnsi="宋体" w:eastAsia="宋体" w:cs="宋体"/>
          <w:color w:val="auto"/>
          <w:sz w:val="30"/>
          <w:szCs w:val="30"/>
          <w:highlight w:val="none"/>
        </w:rPr>
      </w:pPr>
      <w:r>
        <w:rPr>
          <w:rFonts w:hint="default" w:ascii="宋体" w:hAnsi="宋体" w:eastAsia="宋体" w:cs="宋体"/>
          <w:color w:val="auto"/>
          <w:sz w:val="30"/>
          <w:szCs w:val="30"/>
          <w:highlight w:val="none"/>
        </w:rPr>
        <w:t xml:space="preserve">    </w:t>
      </w:r>
    </w:p>
    <w:p w14:paraId="4EAFCC32">
      <w:pPr>
        <w:spacing w:line="480" w:lineRule="exact"/>
        <w:rPr>
          <w:rFonts w:hint="default" w:ascii="宋体" w:hAnsi="宋体" w:eastAsia="宋体" w:cs="宋体"/>
          <w:color w:val="auto"/>
          <w:sz w:val="24"/>
          <w:szCs w:val="24"/>
          <w:highlight w:val="none"/>
          <w:lang w:val="en"/>
        </w:rPr>
      </w:pPr>
      <w:r>
        <w:rPr>
          <w:rFonts w:hint="default" w:ascii="宋体" w:hAnsi="宋体" w:eastAsia="宋体" w:cs="宋体"/>
          <w:color w:val="auto"/>
          <w:sz w:val="30"/>
          <w:szCs w:val="30"/>
          <w:highlight w:val="none"/>
        </w:rPr>
        <w:t xml:space="preserve">  </w:t>
      </w:r>
      <w:r>
        <w:rPr>
          <w:rFonts w:hint="default" w:ascii="宋体" w:hAnsi="宋体" w:eastAsia="宋体" w:cs="宋体"/>
          <w:color w:val="auto"/>
          <w:sz w:val="24"/>
          <w:szCs w:val="24"/>
          <w:highlight w:val="none"/>
        </w:rPr>
        <w:t xml:space="preserve">  本</w:t>
      </w:r>
      <w:r>
        <w:rPr>
          <w:rFonts w:hint="default" w:ascii="宋体" w:hAnsi="宋体" w:eastAsia="宋体" w:cs="宋体"/>
          <w:color w:val="auto"/>
          <w:sz w:val="24"/>
          <w:szCs w:val="24"/>
          <w:highlight w:val="none"/>
          <w:lang w:val="en"/>
        </w:rPr>
        <w:t>企业（单位）自愿参与政府投资政府采购的</w:t>
      </w:r>
      <w:r>
        <w:rPr>
          <w:rFonts w:hint="default" w:ascii="宋体" w:hAnsi="宋体" w:eastAsia="宋体" w:cs="宋体"/>
          <w:color w:val="auto"/>
          <w:sz w:val="24"/>
          <w:szCs w:val="24"/>
          <w:highlight w:val="none"/>
          <w:u w:val="single"/>
          <w:lang w:val="en"/>
        </w:rPr>
        <w:t>　　　　　　　　　　</w:t>
      </w:r>
      <w:r>
        <w:rPr>
          <w:rFonts w:hint="default" w:ascii="宋体" w:hAnsi="宋体" w:eastAsia="宋体" w:cs="宋体"/>
          <w:color w:val="auto"/>
          <w:sz w:val="24"/>
          <w:szCs w:val="24"/>
          <w:highlight w:val="none"/>
          <w:lang w:val="en"/>
        </w:rPr>
        <w:t>项目，</w:t>
      </w:r>
      <w:r>
        <w:rPr>
          <w:rFonts w:hint="default" w:ascii="宋体" w:hAnsi="宋体" w:eastAsia="宋体" w:cs="宋体"/>
          <w:b/>
          <w:color w:val="auto"/>
          <w:sz w:val="24"/>
          <w:szCs w:val="24"/>
          <w:highlight w:val="none"/>
          <w:lang w:val="en"/>
        </w:rPr>
        <w:t>在此郑重承诺：</w:t>
      </w:r>
      <w:r>
        <w:rPr>
          <w:rFonts w:hint="default" w:ascii="宋体" w:hAnsi="宋体" w:eastAsia="宋体" w:cs="宋体"/>
          <w:color w:val="auto"/>
          <w:sz w:val="24"/>
          <w:szCs w:val="24"/>
          <w:highlight w:val="none"/>
          <w:lang w:val="en"/>
        </w:rPr>
        <w:t>遵守中国知识产权法律、法规、规章、规范性文件及在中国适用的与知识产权有关的国际公约，所参与项目的知识产权明晰无争议，归属或技术来源正当合法。近三年在知识产权领域不存在违反法律、法规、规章及其他规范性文件的失信行为。所参与的项目不对其他单位及个人的知识产权构成侵权。如经核查确有违反上述承诺应遵守的行为，本企业（</w:t>
      </w:r>
      <w:r>
        <w:rPr>
          <w:rFonts w:hint="default" w:ascii="宋体" w:hAnsi="宋体" w:eastAsia="宋体" w:cs="宋体"/>
          <w:color w:val="auto"/>
          <w:sz w:val="24"/>
          <w:szCs w:val="24"/>
          <w:highlight w:val="none"/>
        </w:rPr>
        <w:t>单位</w:t>
      </w:r>
      <w:r>
        <w:rPr>
          <w:rFonts w:hint="default" w:ascii="宋体" w:hAnsi="宋体" w:eastAsia="宋体" w:cs="宋体"/>
          <w:color w:val="auto"/>
          <w:sz w:val="24"/>
          <w:szCs w:val="24"/>
          <w:highlight w:val="none"/>
          <w:lang w:val="en"/>
        </w:rPr>
        <w:t>）将承担由此产生的全部责任。</w:t>
      </w:r>
    </w:p>
    <w:p w14:paraId="19E90B22">
      <w:pPr>
        <w:snapToGrid w:val="0"/>
        <w:spacing w:line="480" w:lineRule="exact"/>
        <w:ind w:left="5634" w:leftChars="1736" w:hanging="1988" w:hangingChars="825"/>
        <w:rPr>
          <w:rFonts w:hint="default" w:ascii="宋体" w:hAnsi="宋体" w:eastAsia="宋体" w:cs="宋体"/>
          <w:b/>
          <w:color w:val="auto"/>
          <w:sz w:val="24"/>
          <w:szCs w:val="24"/>
          <w:highlight w:val="none"/>
        </w:rPr>
      </w:pPr>
      <w:r>
        <w:rPr>
          <w:rFonts w:hint="default" w:ascii="宋体" w:hAnsi="宋体" w:eastAsia="宋体" w:cs="宋体"/>
          <w:b/>
          <w:color w:val="auto"/>
          <w:sz w:val="24"/>
          <w:szCs w:val="24"/>
          <w:highlight w:val="none"/>
        </w:rPr>
        <w:t xml:space="preserve">           </w:t>
      </w:r>
    </w:p>
    <w:p w14:paraId="4BAAE907">
      <w:pPr>
        <w:snapToGrid w:val="0"/>
        <w:spacing w:line="480" w:lineRule="exact"/>
        <w:ind w:left="5634" w:leftChars="1736" w:hanging="1988" w:hangingChars="825"/>
        <w:rPr>
          <w:rFonts w:hint="default" w:ascii="宋体" w:hAnsi="宋体" w:eastAsia="宋体" w:cs="宋体"/>
          <w:b/>
          <w:color w:val="auto"/>
          <w:sz w:val="24"/>
          <w:szCs w:val="24"/>
          <w:highlight w:val="none"/>
        </w:rPr>
      </w:pPr>
    </w:p>
    <w:p w14:paraId="3D33B90E">
      <w:pPr>
        <w:snapToGrid w:val="0"/>
        <w:spacing w:line="480" w:lineRule="exact"/>
        <w:ind w:left="5634" w:leftChars="1736" w:hanging="1988" w:hangingChars="825"/>
        <w:rPr>
          <w:rFonts w:hint="default" w:ascii="宋体" w:hAnsi="宋体" w:eastAsia="宋体" w:cs="宋体"/>
          <w:b/>
          <w:color w:val="auto"/>
          <w:sz w:val="24"/>
          <w:szCs w:val="24"/>
          <w:highlight w:val="none"/>
        </w:rPr>
      </w:pPr>
    </w:p>
    <w:p w14:paraId="4B13DCA6">
      <w:pPr>
        <w:snapToGrid w:val="0"/>
        <w:spacing w:line="480" w:lineRule="exact"/>
        <w:ind w:left="5634" w:leftChars="1736" w:hanging="1988" w:hangingChars="825"/>
        <w:rPr>
          <w:rFonts w:hint="default" w:ascii="宋体" w:hAnsi="宋体" w:eastAsia="宋体" w:cs="宋体"/>
          <w:b/>
          <w:color w:val="auto"/>
          <w:sz w:val="24"/>
          <w:szCs w:val="24"/>
          <w:highlight w:val="none"/>
        </w:rPr>
      </w:pPr>
    </w:p>
    <w:p w14:paraId="67F915A8">
      <w:pPr>
        <w:snapToGrid w:val="0"/>
        <w:spacing w:line="480" w:lineRule="exact"/>
        <w:ind w:left="5634" w:leftChars="1736" w:hanging="1988" w:hangingChars="825"/>
        <w:rPr>
          <w:rFonts w:hint="default" w:ascii="宋体" w:hAnsi="宋体" w:eastAsia="宋体" w:cs="宋体"/>
          <w:color w:val="auto"/>
          <w:kern w:val="0"/>
          <w:sz w:val="24"/>
          <w:szCs w:val="24"/>
          <w:highlight w:val="none"/>
        </w:rPr>
      </w:pPr>
      <w:r>
        <w:rPr>
          <w:rFonts w:hint="default" w:ascii="宋体" w:hAnsi="宋体" w:eastAsia="宋体" w:cs="宋体"/>
          <w:b/>
          <w:color w:val="auto"/>
          <w:sz w:val="24"/>
          <w:szCs w:val="24"/>
          <w:highlight w:val="none"/>
        </w:rPr>
        <w:t xml:space="preserve">      </w:t>
      </w:r>
      <w:r>
        <w:rPr>
          <w:rFonts w:hint="default" w:ascii="宋体" w:hAnsi="宋体" w:eastAsia="宋体" w:cs="宋体"/>
          <w:color w:val="auto"/>
          <w:kern w:val="0"/>
          <w:sz w:val="24"/>
          <w:szCs w:val="24"/>
          <w:highlight w:val="none"/>
          <w:lang w:val="zh-CN"/>
        </w:rPr>
        <w:t>投标人名称(电子签章)：</w:t>
      </w:r>
    </w:p>
    <w:p w14:paraId="714E50DB">
      <w:pPr>
        <w:snapToGrid w:val="0"/>
        <w:spacing w:line="480" w:lineRule="exact"/>
        <w:ind w:firstLine="5160" w:firstLineChars="2150"/>
        <w:rPr>
          <w:rFonts w:hint="default" w:ascii="宋体" w:hAnsi="宋体" w:eastAsia="宋体" w:cs="宋体"/>
          <w:color w:val="auto"/>
          <w:kern w:val="0"/>
          <w:sz w:val="24"/>
          <w:szCs w:val="24"/>
          <w:highlight w:val="none"/>
          <w:lang w:val="zh-CN"/>
        </w:rPr>
      </w:pPr>
      <w:r>
        <w:rPr>
          <w:rFonts w:hint="default" w:ascii="宋体" w:hAnsi="宋体" w:eastAsia="宋体" w:cs="宋体"/>
          <w:color w:val="auto"/>
          <w:kern w:val="0"/>
          <w:sz w:val="24"/>
          <w:szCs w:val="24"/>
          <w:highlight w:val="none"/>
          <w:lang w:val="zh-CN"/>
        </w:rPr>
        <w:t>日期</w:t>
      </w:r>
      <w:r>
        <w:rPr>
          <w:rFonts w:hint="default" w:ascii="宋体" w:hAnsi="宋体" w:eastAsia="宋体" w:cs="宋体"/>
          <w:color w:val="auto"/>
          <w:kern w:val="0"/>
          <w:sz w:val="24"/>
          <w:szCs w:val="24"/>
          <w:highlight w:val="none"/>
        </w:rPr>
        <w:t xml:space="preserve">：  年  </w:t>
      </w:r>
      <w:r>
        <w:rPr>
          <w:rFonts w:hint="default" w:ascii="宋体" w:hAnsi="宋体" w:eastAsia="宋体" w:cs="宋体"/>
          <w:color w:val="auto"/>
          <w:kern w:val="0"/>
          <w:sz w:val="24"/>
          <w:szCs w:val="24"/>
          <w:highlight w:val="none"/>
          <w:lang w:val="zh-CN"/>
        </w:rPr>
        <w:t>月</w:t>
      </w:r>
      <w:r>
        <w:rPr>
          <w:rFonts w:hint="default" w:ascii="宋体" w:hAnsi="宋体" w:eastAsia="宋体" w:cs="宋体"/>
          <w:color w:val="auto"/>
          <w:kern w:val="0"/>
          <w:sz w:val="24"/>
          <w:szCs w:val="24"/>
          <w:highlight w:val="none"/>
        </w:rPr>
        <w:t xml:space="preserve">   </w:t>
      </w:r>
      <w:r>
        <w:rPr>
          <w:rFonts w:hint="default" w:ascii="宋体" w:hAnsi="宋体" w:eastAsia="宋体" w:cs="宋体"/>
          <w:color w:val="auto"/>
          <w:kern w:val="0"/>
          <w:sz w:val="24"/>
          <w:szCs w:val="24"/>
          <w:highlight w:val="none"/>
          <w:lang w:val="zh-CN"/>
        </w:rPr>
        <w:t>日</w:t>
      </w:r>
    </w:p>
    <w:p w14:paraId="2157DAE6">
      <w:pPr>
        <w:widowControl/>
        <w:jc w:val="left"/>
        <w:rPr>
          <w:rFonts w:hint="default" w:ascii="宋体" w:hAnsi="宋体" w:eastAsia="宋体" w:cs="宋体"/>
          <w:color w:val="auto"/>
          <w:sz w:val="24"/>
          <w:szCs w:val="24"/>
          <w:highlight w:val="none"/>
        </w:rPr>
        <w:sectPr>
          <w:pgSz w:w="11906" w:h="16838"/>
          <w:pgMar w:top="1134" w:right="1134" w:bottom="1134" w:left="1134" w:header="720" w:footer="720" w:gutter="0"/>
          <w:lnNumType w:countBy="0" w:distance="360"/>
          <w:cols w:space="720" w:num="1"/>
          <w:docGrid w:type="lines" w:linePitch="331" w:charSpace="0"/>
        </w:sectPr>
      </w:pPr>
    </w:p>
    <w:p w14:paraId="51D0FCDA">
      <w:pPr>
        <w:spacing w:line="520" w:lineRule="exact"/>
        <w:rPr>
          <w:rFonts w:hint="default" w:ascii="宋体" w:hAnsi="宋体" w:eastAsia="宋体" w:cs="宋体"/>
          <w:color w:val="auto"/>
          <w:sz w:val="24"/>
          <w:szCs w:val="24"/>
          <w:highlight w:val="none"/>
        </w:rPr>
      </w:pPr>
    </w:p>
    <w:p w14:paraId="0B6146AC">
      <w:pPr>
        <w:spacing w:line="520" w:lineRule="exact"/>
        <w:jc w:val="center"/>
        <w:rPr>
          <w:rFonts w:hint="default" w:ascii="宋体" w:hAnsi="宋体" w:eastAsia="宋体" w:cs="宋体"/>
          <w:color w:val="auto"/>
          <w:sz w:val="32"/>
          <w:szCs w:val="32"/>
          <w:highlight w:val="none"/>
        </w:rPr>
      </w:pPr>
      <w:r>
        <w:rPr>
          <w:rFonts w:hint="default" w:ascii="宋体" w:hAnsi="宋体" w:eastAsia="宋体" w:cs="宋体"/>
          <w:color w:val="auto"/>
          <w:sz w:val="44"/>
          <w:szCs w:val="44"/>
          <w:highlight w:val="none"/>
        </w:rPr>
        <w:t>残疾人福利性单位声明函</w:t>
      </w:r>
    </w:p>
    <w:p w14:paraId="123498B5">
      <w:pPr>
        <w:spacing w:line="520" w:lineRule="exact"/>
        <w:rPr>
          <w:rFonts w:hint="default" w:ascii="宋体" w:hAnsi="宋体" w:eastAsia="宋体" w:cs="宋体"/>
          <w:color w:val="auto"/>
          <w:sz w:val="32"/>
          <w:szCs w:val="32"/>
          <w:highlight w:val="none"/>
        </w:rPr>
      </w:pPr>
    </w:p>
    <w:p w14:paraId="6E42E9F3">
      <w:pPr>
        <w:spacing w:line="360" w:lineRule="auto"/>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本单位郑重声明，根据《财政部 民政部 中国残疾人联合会关于促进残疾人就业政府采购政策的通知》（财库〔2017〕141号）的规定，本单位为符合条件的残疾人福利性单位，且本单位参加</w:t>
      </w:r>
      <w:r>
        <w:rPr>
          <w:rFonts w:hint="default" w:ascii="宋体" w:hAnsi="宋体" w:eastAsia="宋体" w:cs="宋体"/>
          <w:color w:val="auto"/>
          <w:sz w:val="24"/>
          <w:szCs w:val="24"/>
          <w:highlight w:val="none"/>
          <w:u w:val="single"/>
        </w:rPr>
        <w:t xml:space="preserve"> 　　　　　　　　　</w:t>
      </w:r>
      <w:r>
        <w:rPr>
          <w:rFonts w:hint="default" w:ascii="宋体" w:hAnsi="宋体" w:eastAsia="宋体" w:cs="宋体"/>
          <w:color w:val="auto"/>
          <w:sz w:val="24"/>
          <w:szCs w:val="24"/>
          <w:highlight w:val="none"/>
        </w:rPr>
        <w:t>单位的</w:t>
      </w:r>
      <w:r>
        <w:rPr>
          <w:rFonts w:hint="default" w:ascii="宋体" w:hAnsi="宋体" w:eastAsia="宋体" w:cs="宋体"/>
          <w:color w:val="auto"/>
          <w:sz w:val="24"/>
          <w:szCs w:val="24"/>
          <w:highlight w:val="none"/>
          <w:u w:val="single"/>
        </w:rPr>
        <w:t xml:space="preserve"> 　　　　　　　　</w:t>
      </w:r>
      <w:r>
        <w:rPr>
          <w:rFonts w:hint="default" w:ascii="宋体" w:hAnsi="宋体" w:eastAsia="宋体" w:cs="宋体"/>
          <w:color w:val="auto"/>
          <w:sz w:val="24"/>
          <w:szCs w:val="24"/>
          <w:highlight w:val="none"/>
        </w:rPr>
        <w:t>项目采购活动由本单位提供服务。</w:t>
      </w:r>
    </w:p>
    <w:p w14:paraId="333447C1">
      <w:pPr>
        <w:spacing w:line="360" w:lineRule="auto"/>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本单位对上述声明的真实性负责。如有虚假，将依法承担相应责任。</w:t>
      </w:r>
    </w:p>
    <w:p w14:paraId="1C46AD9B">
      <w:pPr>
        <w:spacing w:line="360" w:lineRule="auto"/>
        <w:rPr>
          <w:rFonts w:hint="default" w:ascii="宋体" w:hAnsi="宋体" w:eastAsia="宋体" w:cs="宋体"/>
          <w:color w:val="auto"/>
          <w:sz w:val="24"/>
          <w:szCs w:val="24"/>
          <w:highlight w:val="none"/>
        </w:rPr>
      </w:pPr>
    </w:p>
    <w:p w14:paraId="0E015A04">
      <w:pPr>
        <w:spacing w:line="360" w:lineRule="auto"/>
        <w:rPr>
          <w:rFonts w:hint="default" w:ascii="宋体" w:hAnsi="宋体" w:eastAsia="宋体" w:cs="宋体"/>
          <w:color w:val="auto"/>
          <w:sz w:val="24"/>
          <w:szCs w:val="24"/>
          <w:highlight w:val="none"/>
        </w:rPr>
      </w:pPr>
    </w:p>
    <w:p w14:paraId="4BA21F89">
      <w:pPr>
        <w:spacing w:line="360" w:lineRule="auto"/>
        <w:rPr>
          <w:rFonts w:hint="default" w:ascii="宋体" w:hAnsi="宋体" w:eastAsia="宋体" w:cs="宋体"/>
          <w:color w:val="auto"/>
          <w:sz w:val="24"/>
          <w:szCs w:val="24"/>
          <w:highlight w:val="none"/>
        </w:rPr>
      </w:pPr>
    </w:p>
    <w:p w14:paraId="55FC18F4">
      <w:pPr>
        <w:spacing w:line="360" w:lineRule="auto"/>
        <w:ind w:firstLine="2400" w:firstLineChars="10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供应商名称（电子签章）：</w:t>
      </w:r>
    </w:p>
    <w:p w14:paraId="7BFCE273">
      <w:pPr>
        <w:spacing w:line="360" w:lineRule="auto"/>
        <w:ind w:firstLine="4320" w:firstLineChars="18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日  期：     年   月   日</w:t>
      </w:r>
    </w:p>
    <w:p w14:paraId="4F9A6C54">
      <w:pPr>
        <w:spacing w:line="360" w:lineRule="auto"/>
        <w:rPr>
          <w:rFonts w:hint="default" w:ascii="宋体" w:hAnsi="宋体" w:eastAsia="宋体" w:cs="宋体"/>
          <w:color w:val="auto"/>
          <w:sz w:val="24"/>
          <w:szCs w:val="24"/>
          <w:highlight w:val="none"/>
        </w:rPr>
      </w:pPr>
    </w:p>
    <w:p w14:paraId="48F6A08B">
      <w:pPr>
        <w:spacing w:line="360" w:lineRule="auto"/>
        <w:rPr>
          <w:rFonts w:hint="default" w:ascii="宋体" w:hAnsi="宋体" w:eastAsia="宋体" w:cs="宋体"/>
          <w:color w:val="auto"/>
          <w:sz w:val="24"/>
          <w:szCs w:val="24"/>
          <w:highlight w:val="none"/>
        </w:rPr>
      </w:pPr>
    </w:p>
    <w:p w14:paraId="20AC6839">
      <w:pPr>
        <w:spacing w:line="360" w:lineRule="auto"/>
        <w:rPr>
          <w:rFonts w:hint="default" w:ascii="宋体" w:hAnsi="宋体" w:eastAsia="宋体" w:cs="宋体"/>
          <w:color w:val="auto"/>
          <w:sz w:val="24"/>
          <w:szCs w:val="24"/>
          <w:highlight w:val="none"/>
        </w:rPr>
      </w:pPr>
    </w:p>
    <w:p w14:paraId="5FDF1C22">
      <w:pPr>
        <w:spacing w:line="360" w:lineRule="auto"/>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注：请根据自己的真实情况出具《残疾人福利性单位声明函》。依法享受中小企业优惠政策的，采购人或者采购代理机构在公告中标结果时，同时公告其《残疾人福利性单位声明函》，接受社会监督；根据《关于政府采购支持监狱企业发展有关问题的通知》（财库[2014]68号）的规定，投标人提供由省级以上监狱管理局、戒毒管理局（含新疆生产建设兵团）出具的属于监狱企业证明文件的，视同为小型和微型企业。</w:t>
      </w:r>
    </w:p>
    <w:p w14:paraId="2DECC3E9">
      <w:pPr>
        <w:spacing w:line="520" w:lineRule="exact"/>
        <w:jc w:val="center"/>
        <w:rPr>
          <w:rFonts w:hint="default" w:ascii="宋体" w:hAnsi="宋体" w:eastAsia="宋体" w:cs="宋体"/>
          <w:color w:val="auto"/>
          <w:sz w:val="24"/>
          <w:szCs w:val="24"/>
          <w:highlight w:val="none"/>
        </w:rPr>
      </w:pPr>
    </w:p>
    <w:p w14:paraId="7EAAD8AE">
      <w:pPr>
        <w:spacing w:line="520" w:lineRule="exact"/>
        <w:jc w:val="center"/>
        <w:rPr>
          <w:rFonts w:hint="default" w:ascii="宋体" w:hAnsi="宋体" w:eastAsia="宋体" w:cs="宋体"/>
          <w:color w:val="auto"/>
          <w:sz w:val="24"/>
          <w:szCs w:val="24"/>
          <w:highlight w:val="none"/>
        </w:rPr>
      </w:pPr>
    </w:p>
    <w:p w14:paraId="26FB0D54">
      <w:pPr>
        <w:spacing w:line="520" w:lineRule="exact"/>
        <w:jc w:val="center"/>
        <w:rPr>
          <w:rFonts w:hint="default" w:ascii="宋体" w:hAnsi="宋体" w:eastAsia="宋体" w:cs="宋体"/>
          <w:color w:val="auto"/>
          <w:sz w:val="24"/>
          <w:szCs w:val="24"/>
          <w:highlight w:val="none"/>
        </w:rPr>
      </w:pPr>
    </w:p>
    <w:p w14:paraId="3310130F">
      <w:pPr>
        <w:spacing w:line="520" w:lineRule="exact"/>
        <w:jc w:val="center"/>
        <w:rPr>
          <w:rFonts w:hint="default" w:ascii="宋体" w:hAnsi="宋体" w:eastAsia="宋体" w:cs="宋体"/>
          <w:color w:val="auto"/>
          <w:sz w:val="24"/>
          <w:szCs w:val="24"/>
          <w:highlight w:val="none"/>
        </w:rPr>
      </w:pPr>
    </w:p>
    <w:p w14:paraId="12F48B76">
      <w:pPr>
        <w:spacing w:line="520" w:lineRule="exact"/>
        <w:jc w:val="center"/>
        <w:rPr>
          <w:rFonts w:hint="default" w:ascii="宋体" w:hAnsi="宋体" w:eastAsia="宋体" w:cs="宋体"/>
          <w:color w:val="auto"/>
          <w:sz w:val="24"/>
          <w:szCs w:val="24"/>
          <w:highlight w:val="none"/>
        </w:rPr>
      </w:pPr>
    </w:p>
    <w:p w14:paraId="7B0EB28A">
      <w:pPr>
        <w:spacing w:line="520" w:lineRule="exact"/>
        <w:jc w:val="center"/>
        <w:rPr>
          <w:rFonts w:hint="default" w:ascii="宋体" w:hAnsi="宋体" w:eastAsia="宋体" w:cs="宋体"/>
          <w:color w:val="auto"/>
          <w:sz w:val="24"/>
          <w:szCs w:val="24"/>
          <w:highlight w:val="none"/>
        </w:rPr>
      </w:pPr>
    </w:p>
    <w:p w14:paraId="4ECE8E79">
      <w:pPr>
        <w:spacing w:line="520" w:lineRule="exact"/>
        <w:jc w:val="center"/>
        <w:rPr>
          <w:rFonts w:hint="default" w:ascii="宋体" w:hAnsi="宋体" w:eastAsia="宋体" w:cs="宋体"/>
          <w:color w:val="auto"/>
          <w:sz w:val="24"/>
          <w:szCs w:val="24"/>
          <w:highlight w:val="none"/>
        </w:rPr>
      </w:pPr>
    </w:p>
    <w:p w14:paraId="02F1A6AA">
      <w:pPr>
        <w:keepNext/>
        <w:keepLines/>
        <w:spacing w:before="340" w:after="330"/>
        <w:jc w:val="center"/>
        <w:outlineLvl w:val="0"/>
        <w:rPr>
          <w:rFonts w:hint="default" w:ascii="宋体" w:hAnsi="宋体" w:eastAsia="宋体" w:cs="宋体"/>
          <w:color w:val="auto"/>
          <w:kern w:val="44"/>
          <w:sz w:val="44"/>
          <w:szCs w:val="44"/>
          <w:highlight w:val="none"/>
        </w:rPr>
      </w:pPr>
      <w:bookmarkStart w:id="154" w:name="_Toc108030292"/>
      <w:bookmarkStart w:id="155" w:name="_Toc26077"/>
      <w:r>
        <w:rPr>
          <w:rFonts w:hint="default" w:ascii="宋体" w:hAnsi="宋体" w:eastAsia="宋体" w:cs="宋体"/>
          <w:color w:val="auto"/>
          <w:kern w:val="44"/>
          <w:sz w:val="44"/>
          <w:szCs w:val="44"/>
          <w:highlight w:val="none"/>
        </w:rPr>
        <w:t xml:space="preserve">第六章 </w:t>
      </w:r>
      <w:bookmarkEnd w:id="154"/>
      <w:bookmarkEnd w:id="155"/>
      <w:r>
        <w:rPr>
          <w:rFonts w:hint="default" w:ascii="宋体" w:hAnsi="宋体" w:eastAsia="宋体" w:cs="宋体"/>
          <w:color w:val="auto"/>
          <w:kern w:val="44"/>
          <w:sz w:val="44"/>
          <w:szCs w:val="44"/>
          <w:highlight w:val="none"/>
        </w:rPr>
        <w:t xml:space="preserve"> 图纸</w:t>
      </w:r>
      <w:r>
        <w:rPr>
          <w:rFonts w:hint="eastAsia" w:ascii="宋体" w:hAnsi="宋体" w:eastAsia="宋体" w:cs="宋体"/>
          <w:color w:val="auto"/>
          <w:kern w:val="44"/>
          <w:sz w:val="44"/>
          <w:szCs w:val="44"/>
          <w:highlight w:val="none"/>
          <w:lang w:eastAsia="zh-CN"/>
        </w:rPr>
        <w:t>、</w:t>
      </w:r>
      <w:r>
        <w:rPr>
          <w:rFonts w:hint="default" w:ascii="宋体" w:hAnsi="宋体" w:eastAsia="宋体" w:cs="宋体"/>
          <w:color w:val="auto"/>
          <w:kern w:val="44"/>
          <w:sz w:val="44"/>
          <w:szCs w:val="44"/>
          <w:highlight w:val="none"/>
        </w:rPr>
        <w:t>工程量清单</w:t>
      </w:r>
      <w:r>
        <w:rPr>
          <w:rFonts w:hint="eastAsia" w:ascii="宋体" w:hAnsi="宋体" w:eastAsia="宋体" w:cs="宋体"/>
          <w:color w:val="auto"/>
          <w:kern w:val="44"/>
          <w:sz w:val="44"/>
          <w:szCs w:val="44"/>
          <w:highlight w:val="none"/>
          <w:lang w:eastAsia="zh-CN"/>
        </w:rPr>
        <w:t>、</w:t>
      </w:r>
      <w:r>
        <w:rPr>
          <w:rFonts w:hint="eastAsia" w:ascii="宋体" w:hAnsi="宋体" w:eastAsia="宋体" w:cs="宋体"/>
          <w:color w:val="auto"/>
          <w:kern w:val="44"/>
          <w:sz w:val="44"/>
          <w:szCs w:val="44"/>
          <w:highlight w:val="none"/>
          <w:lang w:val="en-US" w:eastAsia="zh-CN"/>
        </w:rPr>
        <w:t>招标控制价</w:t>
      </w:r>
    </w:p>
    <w:p w14:paraId="3F64E8FA">
      <w:pPr>
        <w:jc w:val="center"/>
        <w:rPr>
          <w:rFonts w:hint="default" w:ascii="宋体" w:hAnsi="宋体" w:eastAsia="宋体" w:cs="宋体"/>
          <w:b/>
          <w:color w:val="auto"/>
          <w:sz w:val="30"/>
          <w:szCs w:val="30"/>
          <w:highlight w:val="none"/>
          <w:lang w:val="zh-CN"/>
        </w:rPr>
      </w:pPr>
      <w:r>
        <w:rPr>
          <w:rFonts w:hint="default" w:ascii="宋体" w:hAnsi="宋体" w:eastAsia="宋体" w:cs="宋体"/>
          <w:b/>
          <w:color w:val="auto"/>
          <w:sz w:val="30"/>
          <w:szCs w:val="30"/>
          <w:highlight w:val="none"/>
          <w:lang w:val="zh-CN"/>
        </w:rPr>
        <w:t>（以附件形式另册上传）</w:t>
      </w:r>
    </w:p>
    <w:p w14:paraId="5BA26BAA">
      <w:pPr>
        <w:spacing w:line="520" w:lineRule="exact"/>
        <w:jc w:val="left"/>
        <w:rPr>
          <w:rFonts w:hint="default" w:ascii="宋体" w:hAnsi="宋体" w:eastAsia="宋体" w:cs="宋体"/>
          <w:color w:val="auto"/>
          <w:sz w:val="24"/>
          <w:szCs w:val="24"/>
          <w:highlight w:val="none"/>
        </w:rPr>
      </w:pPr>
    </w:p>
    <w:p w14:paraId="7222AC9B">
      <w:pPr>
        <w:spacing w:line="520" w:lineRule="exact"/>
        <w:jc w:val="left"/>
        <w:rPr>
          <w:rFonts w:hint="default" w:ascii="宋体" w:hAnsi="宋体" w:eastAsia="宋体" w:cs="宋体"/>
          <w:color w:val="auto"/>
          <w:sz w:val="24"/>
          <w:szCs w:val="24"/>
          <w:highlight w:val="none"/>
        </w:rPr>
      </w:pPr>
    </w:p>
    <w:p w14:paraId="03D021DE">
      <w:pPr>
        <w:spacing w:line="520" w:lineRule="exact"/>
        <w:jc w:val="center"/>
        <w:rPr>
          <w:rFonts w:hint="default" w:ascii="宋体" w:hAnsi="宋体" w:eastAsia="宋体" w:cs="宋体"/>
          <w:color w:val="auto"/>
          <w:sz w:val="24"/>
          <w:szCs w:val="24"/>
          <w:highlight w:val="none"/>
        </w:rPr>
      </w:pPr>
    </w:p>
    <w:p w14:paraId="406DF82B">
      <w:pPr>
        <w:spacing w:line="520" w:lineRule="exact"/>
        <w:jc w:val="center"/>
        <w:rPr>
          <w:rFonts w:hint="default" w:ascii="宋体" w:hAnsi="宋体" w:eastAsia="宋体" w:cs="宋体"/>
          <w:color w:val="auto"/>
          <w:sz w:val="24"/>
          <w:szCs w:val="24"/>
          <w:highlight w:val="none"/>
        </w:rPr>
      </w:pPr>
    </w:p>
    <w:p w14:paraId="09B6AAFA">
      <w:pPr>
        <w:spacing w:line="520" w:lineRule="exact"/>
        <w:jc w:val="center"/>
        <w:rPr>
          <w:rFonts w:hint="default" w:ascii="宋体" w:hAnsi="宋体" w:eastAsia="宋体" w:cs="宋体"/>
          <w:color w:val="auto"/>
          <w:sz w:val="24"/>
          <w:szCs w:val="24"/>
          <w:highlight w:val="none"/>
        </w:rPr>
      </w:pPr>
    </w:p>
    <w:p w14:paraId="7B119785">
      <w:pPr>
        <w:spacing w:line="520" w:lineRule="exact"/>
        <w:jc w:val="center"/>
        <w:rPr>
          <w:rFonts w:hint="default" w:ascii="宋体" w:hAnsi="宋体" w:eastAsia="宋体" w:cs="宋体"/>
          <w:color w:val="auto"/>
          <w:sz w:val="24"/>
          <w:szCs w:val="24"/>
          <w:highlight w:val="none"/>
        </w:rPr>
      </w:pPr>
    </w:p>
    <w:p w14:paraId="6484F33B">
      <w:pPr>
        <w:spacing w:line="520" w:lineRule="exact"/>
        <w:jc w:val="center"/>
        <w:rPr>
          <w:rFonts w:hint="default" w:ascii="宋体" w:hAnsi="宋体" w:eastAsia="宋体" w:cs="宋体"/>
          <w:color w:val="auto"/>
          <w:sz w:val="24"/>
          <w:szCs w:val="24"/>
          <w:highlight w:val="none"/>
        </w:rPr>
      </w:pPr>
    </w:p>
    <w:p w14:paraId="3DD72286">
      <w:pPr>
        <w:spacing w:line="520" w:lineRule="exact"/>
        <w:jc w:val="center"/>
        <w:rPr>
          <w:rFonts w:hint="default" w:ascii="宋体" w:hAnsi="宋体" w:eastAsia="宋体" w:cs="宋体"/>
          <w:color w:val="auto"/>
          <w:sz w:val="24"/>
          <w:szCs w:val="24"/>
          <w:highlight w:val="none"/>
        </w:rPr>
      </w:pPr>
    </w:p>
    <w:p w14:paraId="24CD2D8B">
      <w:pPr>
        <w:spacing w:line="520" w:lineRule="exact"/>
        <w:jc w:val="center"/>
        <w:rPr>
          <w:rFonts w:hint="default" w:ascii="宋体" w:hAnsi="宋体" w:eastAsia="宋体" w:cs="宋体"/>
          <w:color w:val="auto"/>
          <w:sz w:val="24"/>
          <w:szCs w:val="24"/>
          <w:highlight w:val="none"/>
        </w:rPr>
      </w:pPr>
    </w:p>
    <w:p w14:paraId="0795EA2F">
      <w:pPr>
        <w:spacing w:line="520" w:lineRule="exact"/>
        <w:jc w:val="center"/>
        <w:rPr>
          <w:rFonts w:hint="default" w:ascii="宋体" w:hAnsi="宋体" w:eastAsia="宋体" w:cs="宋体"/>
          <w:color w:val="auto"/>
          <w:sz w:val="24"/>
          <w:szCs w:val="24"/>
          <w:highlight w:val="none"/>
        </w:rPr>
      </w:pPr>
    </w:p>
    <w:p w14:paraId="62FC6FFA">
      <w:pPr>
        <w:spacing w:line="520" w:lineRule="exact"/>
        <w:jc w:val="center"/>
        <w:rPr>
          <w:rFonts w:hint="default" w:ascii="宋体" w:hAnsi="宋体" w:eastAsia="宋体" w:cs="宋体"/>
          <w:color w:val="auto"/>
          <w:sz w:val="24"/>
          <w:szCs w:val="24"/>
          <w:highlight w:val="none"/>
        </w:rPr>
      </w:pPr>
    </w:p>
    <w:p w14:paraId="296BA68A">
      <w:pPr>
        <w:spacing w:line="520" w:lineRule="exact"/>
        <w:jc w:val="center"/>
        <w:rPr>
          <w:rFonts w:hint="default" w:ascii="宋体" w:hAnsi="宋体" w:eastAsia="宋体" w:cs="宋体"/>
          <w:color w:val="auto"/>
          <w:sz w:val="24"/>
          <w:szCs w:val="24"/>
          <w:highlight w:val="none"/>
        </w:rPr>
      </w:pPr>
    </w:p>
    <w:p w14:paraId="7B515C28">
      <w:pPr>
        <w:spacing w:line="520" w:lineRule="exact"/>
        <w:jc w:val="center"/>
        <w:rPr>
          <w:rFonts w:hint="default" w:ascii="宋体" w:hAnsi="宋体" w:eastAsia="宋体" w:cs="宋体"/>
          <w:color w:val="auto"/>
          <w:sz w:val="24"/>
          <w:szCs w:val="24"/>
          <w:highlight w:val="none"/>
        </w:rPr>
      </w:pPr>
    </w:p>
    <w:p w14:paraId="3D2C5E6E">
      <w:pPr>
        <w:spacing w:line="520" w:lineRule="exact"/>
        <w:jc w:val="center"/>
        <w:rPr>
          <w:rFonts w:hint="default" w:ascii="宋体" w:hAnsi="宋体" w:eastAsia="宋体" w:cs="宋体"/>
          <w:color w:val="auto"/>
          <w:sz w:val="24"/>
          <w:szCs w:val="24"/>
          <w:highlight w:val="none"/>
        </w:rPr>
      </w:pPr>
    </w:p>
    <w:p w14:paraId="63E8F930">
      <w:pPr>
        <w:spacing w:line="520" w:lineRule="exact"/>
        <w:jc w:val="center"/>
        <w:rPr>
          <w:rFonts w:hint="default" w:ascii="宋体" w:hAnsi="宋体" w:eastAsia="宋体" w:cs="宋体"/>
          <w:color w:val="auto"/>
          <w:sz w:val="24"/>
          <w:szCs w:val="24"/>
          <w:highlight w:val="none"/>
        </w:rPr>
      </w:pPr>
    </w:p>
    <w:p w14:paraId="178F5090">
      <w:pPr>
        <w:spacing w:line="520" w:lineRule="exact"/>
        <w:jc w:val="center"/>
        <w:rPr>
          <w:rFonts w:hint="default" w:ascii="宋体" w:hAnsi="宋体" w:eastAsia="宋体" w:cs="宋体"/>
          <w:color w:val="auto"/>
          <w:sz w:val="24"/>
          <w:szCs w:val="24"/>
          <w:highlight w:val="none"/>
        </w:rPr>
      </w:pPr>
    </w:p>
    <w:p w14:paraId="4874E6B3">
      <w:pPr>
        <w:keepNext/>
        <w:keepLines/>
        <w:pageBreakBefore/>
        <w:spacing w:before="340" w:after="330"/>
        <w:jc w:val="center"/>
        <w:outlineLvl w:val="0"/>
        <w:rPr>
          <w:rFonts w:hint="default" w:ascii="宋体" w:hAnsi="宋体" w:eastAsia="宋体" w:cs="宋体"/>
          <w:b/>
          <w:color w:val="auto"/>
          <w:kern w:val="44"/>
          <w:sz w:val="44"/>
          <w:szCs w:val="44"/>
          <w:highlight w:val="none"/>
        </w:rPr>
      </w:pPr>
      <w:bookmarkStart w:id="156" w:name="_Toc13870"/>
      <w:r>
        <w:rPr>
          <w:rFonts w:hint="default" w:ascii="宋体" w:hAnsi="宋体" w:eastAsia="宋体" w:cs="宋体"/>
          <w:color w:val="auto"/>
          <w:kern w:val="44"/>
          <w:sz w:val="44"/>
          <w:szCs w:val="44"/>
          <w:highlight w:val="none"/>
        </w:rPr>
        <w:t>第七章  合同文本</w:t>
      </w:r>
      <w:r>
        <w:rPr>
          <w:rFonts w:hint="default" w:ascii="宋体" w:hAnsi="宋体" w:eastAsia="宋体" w:cs="宋体"/>
          <w:color w:val="auto"/>
          <w:kern w:val="44"/>
          <w:sz w:val="44"/>
          <w:szCs w:val="44"/>
          <w:highlight w:val="none"/>
        </w:rPr>
        <w:br w:type="page"/>
      </w:r>
      <w:bookmarkEnd w:id="156"/>
    </w:p>
    <w:p w14:paraId="5CD91DCA">
      <w:pPr>
        <w:rPr>
          <w:rFonts w:hint="default" w:ascii="宋体" w:hAnsi="宋体" w:eastAsia="宋体" w:cs="宋体"/>
          <w:b/>
          <w:color w:val="auto"/>
          <w:sz w:val="21"/>
          <w:szCs w:val="24"/>
          <w:highlight w:val="none"/>
        </w:rPr>
      </w:pPr>
      <w:r>
        <w:rPr>
          <w:rFonts w:hint="default" w:ascii="宋体" w:hAnsi="宋体" w:eastAsia="宋体" w:cs="宋体"/>
          <w:color w:val="auto"/>
          <w:sz w:val="24"/>
          <w:szCs w:val="24"/>
          <w:highlight w:val="none"/>
        </w:rPr>
        <w:t>“广西政府采购云平台”平台合同编号：</w:t>
      </w:r>
    </w:p>
    <w:p w14:paraId="1E0E11D3">
      <w:pPr>
        <w:spacing w:line="360" w:lineRule="auto"/>
        <w:jc w:val="center"/>
        <w:rPr>
          <w:rFonts w:hint="default" w:ascii="宋体" w:hAnsi="宋体" w:eastAsia="宋体" w:cs="宋体"/>
          <w:b/>
          <w:color w:val="auto"/>
          <w:sz w:val="52"/>
          <w:szCs w:val="24"/>
          <w:highlight w:val="none"/>
        </w:rPr>
      </w:pPr>
    </w:p>
    <w:p w14:paraId="16C59654">
      <w:pPr>
        <w:spacing w:line="360" w:lineRule="auto"/>
        <w:jc w:val="center"/>
        <w:rPr>
          <w:rFonts w:hint="default" w:ascii="宋体" w:hAnsi="宋体" w:eastAsia="宋体" w:cs="宋体"/>
          <w:b/>
          <w:color w:val="auto"/>
          <w:sz w:val="52"/>
          <w:szCs w:val="24"/>
          <w:highlight w:val="none"/>
        </w:rPr>
      </w:pPr>
      <w:r>
        <w:rPr>
          <w:rFonts w:hint="default" w:ascii="宋体" w:eastAsia="宋体"/>
          <w:b/>
          <w:color w:val="auto"/>
          <w:sz w:val="52"/>
          <w:szCs w:val="24"/>
          <w:highlight w:val="none"/>
        </w:rPr>
        <w:t>南 宁 市</w:t>
      </w:r>
      <w:r>
        <w:rPr>
          <w:rFonts w:hint="default" w:ascii="宋体" w:hAnsi="宋体" w:eastAsia="宋体" w:cs="宋体"/>
          <w:b/>
          <w:color w:val="auto"/>
          <w:sz w:val="52"/>
          <w:szCs w:val="24"/>
          <w:highlight w:val="none"/>
        </w:rPr>
        <w:t xml:space="preserve"> 政 府 采 购</w:t>
      </w:r>
    </w:p>
    <w:p w14:paraId="5B8B5BA2">
      <w:pPr>
        <w:spacing w:line="360" w:lineRule="auto"/>
        <w:ind w:firstLine="420" w:firstLineChars="200"/>
        <w:rPr>
          <w:rFonts w:hint="default" w:ascii="宋体" w:hAnsi="宋体" w:eastAsia="宋体" w:cs="宋体"/>
          <w:color w:val="auto"/>
          <w:sz w:val="21"/>
          <w:szCs w:val="24"/>
          <w:highlight w:val="none"/>
        </w:rPr>
      </w:pPr>
    </w:p>
    <w:p w14:paraId="6BD33B38">
      <w:pPr>
        <w:spacing w:line="360" w:lineRule="auto"/>
        <w:ind w:firstLine="420" w:firstLineChars="200"/>
        <w:rPr>
          <w:rFonts w:hint="default" w:ascii="宋体" w:hAnsi="宋体" w:eastAsia="宋体" w:cs="宋体"/>
          <w:color w:val="auto"/>
          <w:sz w:val="21"/>
          <w:szCs w:val="24"/>
          <w:highlight w:val="none"/>
        </w:rPr>
      </w:pPr>
      <w:r>
        <w:rPr>
          <w:rFonts w:hint="default" w:ascii="宋体" w:hAnsi="宋体" w:eastAsia="宋体" w:cs="宋体"/>
          <w:color w:val="auto"/>
          <w:sz w:val="21"/>
          <w:szCs w:val="24"/>
          <w:highlight w:val="none"/>
        </w:rPr>
        <w:t xml:space="preserve">                                                 </w:t>
      </w:r>
    </w:p>
    <w:p w14:paraId="4F4D3428">
      <w:pPr>
        <w:spacing w:line="360" w:lineRule="auto"/>
        <w:jc w:val="center"/>
        <w:rPr>
          <w:rFonts w:hint="default" w:ascii="宋体" w:hAnsi="宋体" w:eastAsia="宋体" w:cs="宋体"/>
          <w:b/>
          <w:color w:val="auto"/>
          <w:sz w:val="44"/>
          <w:szCs w:val="24"/>
          <w:highlight w:val="none"/>
        </w:rPr>
      </w:pPr>
      <w:r>
        <w:rPr>
          <w:rFonts w:hint="default" w:ascii="宋体" w:hAnsi="宋体" w:eastAsia="宋体" w:cs="宋体"/>
          <w:b/>
          <w:color w:val="auto"/>
          <w:sz w:val="44"/>
          <w:szCs w:val="24"/>
          <w:highlight w:val="none"/>
          <w:u w:val="single"/>
        </w:rPr>
        <w:t xml:space="preserve"> 　　　　　　　　　</w:t>
      </w:r>
      <w:r>
        <w:rPr>
          <w:rFonts w:hint="default" w:ascii="宋体" w:hAnsi="宋体" w:eastAsia="宋体" w:cs="宋体"/>
          <w:b/>
          <w:color w:val="auto"/>
          <w:sz w:val="44"/>
          <w:szCs w:val="24"/>
          <w:highlight w:val="none"/>
        </w:rPr>
        <w:t>合同</w:t>
      </w:r>
    </w:p>
    <w:p w14:paraId="45DF572A">
      <w:pPr>
        <w:spacing w:line="360" w:lineRule="auto"/>
        <w:jc w:val="center"/>
        <w:rPr>
          <w:rFonts w:hint="default" w:ascii="宋体" w:hAnsi="宋体" w:eastAsia="宋体" w:cs="宋体"/>
          <w:b/>
          <w:color w:val="auto"/>
          <w:sz w:val="44"/>
          <w:szCs w:val="24"/>
          <w:highlight w:val="none"/>
        </w:rPr>
      </w:pPr>
    </w:p>
    <w:p w14:paraId="540CF059">
      <w:pPr>
        <w:spacing w:line="360" w:lineRule="auto"/>
        <w:ind w:firstLine="3507" w:firstLineChars="794"/>
        <w:rPr>
          <w:rFonts w:hint="default" w:ascii="宋体" w:hAnsi="宋体" w:eastAsia="宋体" w:cs="宋体"/>
          <w:b/>
          <w:color w:val="auto"/>
          <w:sz w:val="44"/>
          <w:szCs w:val="24"/>
          <w:highlight w:val="none"/>
        </w:rPr>
      </w:pPr>
    </w:p>
    <w:p w14:paraId="54A5027D">
      <w:pPr>
        <w:spacing w:line="580" w:lineRule="exact"/>
        <w:ind w:firstLine="1446" w:firstLineChars="400"/>
        <w:rPr>
          <w:rFonts w:hint="default" w:ascii="宋体" w:hAnsi="宋体" w:eastAsia="宋体" w:cs="宋体"/>
          <w:b/>
          <w:color w:val="auto"/>
          <w:sz w:val="36"/>
          <w:szCs w:val="36"/>
          <w:highlight w:val="none"/>
        </w:rPr>
      </w:pPr>
      <w:r>
        <w:rPr>
          <w:rFonts w:hint="default" w:ascii="宋体" w:hAnsi="宋体" w:eastAsia="宋体" w:cs="宋体"/>
          <w:b/>
          <w:color w:val="auto"/>
          <w:sz w:val="36"/>
          <w:szCs w:val="36"/>
          <w:highlight w:val="none"/>
        </w:rPr>
        <w:t>采购项目编号：</w:t>
      </w:r>
      <w:r>
        <w:rPr>
          <w:rFonts w:hint="default" w:ascii="宋体" w:hAnsi="宋体" w:eastAsia="宋体" w:cs="宋体"/>
          <w:b/>
          <w:color w:val="auto"/>
          <w:sz w:val="36"/>
          <w:szCs w:val="36"/>
          <w:highlight w:val="none"/>
          <w:u w:val="single"/>
        </w:rPr>
        <w:t xml:space="preserve">　　　　　　　　　 </w:t>
      </w:r>
    </w:p>
    <w:p w14:paraId="6605173C">
      <w:pPr>
        <w:spacing w:line="580" w:lineRule="exact"/>
        <w:ind w:firstLine="1446" w:firstLineChars="400"/>
        <w:rPr>
          <w:rFonts w:hint="default" w:ascii="宋体" w:hAnsi="宋体" w:eastAsia="宋体" w:cs="宋体"/>
          <w:b/>
          <w:color w:val="auto"/>
          <w:sz w:val="36"/>
          <w:szCs w:val="36"/>
          <w:highlight w:val="none"/>
          <w:u w:val="single"/>
        </w:rPr>
      </w:pPr>
      <w:r>
        <w:rPr>
          <w:rFonts w:hint="default" w:ascii="宋体" w:hAnsi="宋体" w:eastAsia="宋体" w:cs="宋体"/>
          <w:b/>
          <w:color w:val="auto"/>
          <w:sz w:val="36"/>
          <w:szCs w:val="36"/>
          <w:highlight w:val="none"/>
        </w:rPr>
        <w:t>采购计划编号：</w:t>
      </w:r>
      <w:r>
        <w:rPr>
          <w:rFonts w:hint="default" w:ascii="宋体" w:hAnsi="宋体" w:eastAsia="宋体" w:cs="宋体"/>
          <w:b/>
          <w:color w:val="auto"/>
          <w:sz w:val="36"/>
          <w:szCs w:val="36"/>
          <w:highlight w:val="none"/>
          <w:u w:val="single"/>
        </w:rPr>
        <w:t xml:space="preserve">                </w:t>
      </w:r>
      <w:r>
        <w:rPr>
          <w:rFonts w:hint="eastAsia" w:ascii="宋体" w:hAnsi="宋体" w:eastAsia="宋体" w:cs="宋体"/>
          <w:b/>
          <w:color w:val="auto"/>
          <w:sz w:val="36"/>
          <w:szCs w:val="36"/>
          <w:highlight w:val="none"/>
          <w:u w:val="single"/>
          <w:lang w:val="en-US" w:eastAsia="zh-CN"/>
        </w:rPr>
        <w:t xml:space="preserve"> </w:t>
      </w:r>
      <w:r>
        <w:rPr>
          <w:rFonts w:hint="default" w:ascii="宋体" w:hAnsi="宋体" w:eastAsia="宋体" w:cs="宋体"/>
          <w:b/>
          <w:color w:val="auto"/>
          <w:sz w:val="36"/>
          <w:szCs w:val="36"/>
          <w:highlight w:val="none"/>
          <w:u w:val="single"/>
        </w:rPr>
        <w:t xml:space="preserve">  </w:t>
      </w:r>
    </w:p>
    <w:p w14:paraId="642B2DEA">
      <w:pPr>
        <w:ind w:firstLine="1308" w:firstLineChars="545"/>
        <w:rPr>
          <w:rFonts w:hint="default" w:ascii="宋体" w:hAnsi="宋体" w:eastAsia="宋体" w:cs="宋体"/>
          <w:color w:val="auto"/>
          <w:sz w:val="24"/>
          <w:szCs w:val="24"/>
          <w:highlight w:val="none"/>
        </w:rPr>
      </w:pPr>
    </w:p>
    <w:p w14:paraId="19FF4EFE">
      <w:pPr>
        <w:ind w:firstLine="1995" w:firstLineChars="552"/>
        <w:rPr>
          <w:rFonts w:hint="default" w:ascii="宋体" w:hAnsi="宋体" w:eastAsia="宋体" w:cs="宋体"/>
          <w:b/>
          <w:color w:val="auto"/>
          <w:sz w:val="36"/>
          <w:szCs w:val="36"/>
          <w:highlight w:val="none"/>
          <w:u w:val="single"/>
        </w:rPr>
      </w:pPr>
    </w:p>
    <w:p w14:paraId="1E597F68">
      <w:pPr>
        <w:ind w:firstLine="1995" w:firstLineChars="552"/>
        <w:rPr>
          <w:rFonts w:hint="default" w:ascii="宋体" w:hAnsi="宋体" w:eastAsia="宋体" w:cs="宋体"/>
          <w:b/>
          <w:color w:val="auto"/>
          <w:sz w:val="36"/>
          <w:szCs w:val="36"/>
          <w:highlight w:val="none"/>
          <w:u w:val="single"/>
        </w:rPr>
      </w:pPr>
    </w:p>
    <w:p w14:paraId="08F22B76">
      <w:pPr>
        <w:ind w:firstLine="1995" w:firstLineChars="552"/>
        <w:rPr>
          <w:rFonts w:hint="default" w:ascii="宋体" w:hAnsi="宋体" w:eastAsia="宋体" w:cs="宋体"/>
          <w:b/>
          <w:color w:val="auto"/>
          <w:sz w:val="36"/>
          <w:szCs w:val="36"/>
          <w:highlight w:val="none"/>
          <w:u w:val="single"/>
        </w:rPr>
      </w:pPr>
    </w:p>
    <w:p w14:paraId="3AC023D4">
      <w:pPr>
        <w:ind w:firstLine="1995" w:firstLineChars="552"/>
        <w:rPr>
          <w:rFonts w:hint="default" w:ascii="宋体" w:hAnsi="宋体" w:eastAsia="宋体" w:cs="宋体"/>
          <w:b/>
          <w:color w:val="auto"/>
          <w:sz w:val="36"/>
          <w:szCs w:val="36"/>
          <w:highlight w:val="none"/>
          <w:u w:val="single"/>
        </w:rPr>
      </w:pPr>
    </w:p>
    <w:p w14:paraId="25F0EECB">
      <w:pPr>
        <w:tabs>
          <w:tab w:val="left" w:pos="7200"/>
        </w:tabs>
        <w:spacing w:line="360" w:lineRule="auto"/>
        <w:ind w:firstLine="1446" w:firstLineChars="400"/>
        <w:rPr>
          <w:rFonts w:hint="default" w:ascii="宋体" w:hAnsi="宋体" w:eastAsia="宋体" w:cs="宋体"/>
          <w:b/>
          <w:color w:val="auto"/>
          <w:sz w:val="36"/>
          <w:szCs w:val="36"/>
          <w:highlight w:val="none"/>
          <w:u w:val="single"/>
        </w:rPr>
      </w:pPr>
      <w:r>
        <w:rPr>
          <w:rFonts w:hint="default" w:ascii="宋体" w:hAnsi="宋体" w:eastAsia="宋体" w:cs="宋体"/>
          <w:b/>
          <w:color w:val="auto"/>
          <w:sz w:val="36"/>
          <w:szCs w:val="36"/>
          <w:highlight w:val="none"/>
        </w:rPr>
        <w:t>采购人：</w:t>
      </w:r>
      <w:r>
        <w:rPr>
          <w:rFonts w:hint="default" w:ascii="宋体" w:hAnsi="宋体" w:eastAsia="宋体" w:cs="宋体"/>
          <w:b/>
          <w:color w:val="auto"/>
          <w:sz w:val="36"/>
          <w:szCs w:val="36"/>
          <w:highlight w:val="none"/>
          <w:u w:val="single"/>
        </w:rPr>
        <w:t xml:space="preserve"> 　　　　</w:t>
      </w:r>
      <w:r>
        <w:rPr>
          <w:rFonts w:hint="eastAsia" w:ascii="宋体" w:hAnsi="宋体" w:eastAsia="宋体" w:cs="宋体"/>
          <w:b/>
          <w:color w:val="auto"/>
          <w:sz w:val="36"/>
          <w:szCs w:val="36"/>
          <w:highlight w:val="none"/>
          <w:u w:val="single"/>
          <w:lang w:val="en-US" w:eastAsia="zh-CN"/>
        </w:rPr>
        <w:t xml:space="preserve">      </w:t>
      </w:r>
      <w:r>
        <w:rPr>
          <w:rFonts w:hint="default" w:ascii="宋体" w:hAnsi="宋体" w:eastAsia="宋体" w:cs="宋体"/>
          <w:b/>
          <w:color w:val="auto"/>
          <w:sz w:val="36"/>
          <w:szCs w:val="36"/>
          <w:highlight w:val="none"/>
          <w:u w:val="single"/>
        </w:rPr>
        <w:t>　　</w:t>
      </w:r>
      <w:r>
        <w:rPr>
          <w:rFonts w:hint="eastAsia" w:ascii="宋体" w:hAnsi="宋体" w:eastAsia="宋体" w:cs="宋体"/>
          <w:b/>
          <w:color w:val="auto"/>
          <w:sz w:val="36"/>
          <w:szCs w:val="36"/>
          <w:highlight w:val="none"/>
          <w:u w:val="single"/>
          <w:lang w:val="en-US" w:eastAsia="zh-CN"/>
        </w:rPr>
        <w:t xml:space="preserve">  </w:t>
      </w:r>
      <w:r>
        <w:rPr>
          <w:rFonts w:hint="default" w:ascii="宋体" w:hAnsi="宋体" w:eastAsia="宋体" w:cs="宋体"/>
          <w:b/>
          <w:color w:val="auto"/>
          <w:sz w:val="36"/>
          <w:szCs w:val="36"/>
          <w:highlight w:val="none"/>
          <w:u w:val="single"/>
        </w:rPr>
        <w:t xml:space="preserve">  </w:t>
      </w:r>
    </w:p>
    <w:p w14:paraId="052F6148">
      <w:pPr>
        <w:tabs>
          <w:tab w:val="left" w:pos="7380"/>
        </w:tabs>
        <w:spacing w:line="360" w:lineRule="auto"/>
        <w:ind w:firstLine="1446" w:firstLineChars="400"/>
        <w:rPr>
          <w:rFonts w:hint="default" w:ascii="宋体" w:hAnsi="宋体" w:eastAsia="宋体" w:cs="宋体"/>
          <w:b/>
          <w:color w:val="auto"/>
          <w:sz w:val="44"/>
          <w:szCs w:val="24"/>
          <w:highlight w:val="none"/>
        </w:rPr>
      </w:pPr>
      <w:r>
        <w:rPr>
          <w:rFonts w:hint="eastAsia" w:ascii="宋体" w:hAnsi="宋体" w:eastAsia="宋体" w:cs="宋体"/>
          <w:b/>
          <w:color w:val="auto"/>
          <w:sz w:val="36"/>
          <w:szCs w:val="36"/>
          <w:highlight w:val="none"/>
          <w:lang w:val="en-US" w:eastAsia="zh-CN"/>
        </w:rPr>
        <w:t>成交</w:t>
      </w:r>
      <w:r>
        <w:rPr>
          <w:rFonts w:hint="default" w:ascii="宋体" w:hAnsi="宋体" w:eastAsia="宋体" w:cs="宋体"/>
          <w:b/>
          <w:color w:val="auto"/>
          <w:sz w:val="36"/>
          <w:szCs w:val="36"/>
          <w:highlight w:val="none"/>
        </w:rPr>
        <w:t>供应商：</w:t>
      </w:r>
      <w:r>
        <w:rPr>
          <w:rFonts w:hint="default" w:ascii="宋体" w:hAnsi="宋体" w:eastAsia="宋体" w:cs="宋体"/>
          <w:b/>
          <w:color w:val="auto"/>
          <w:sz w:val="36"/>
          <w:szCs w:val="36"/>
          <w:highlight w:val="none"/>
          <w:u w:val="single"/>
        </w:rPr>
        <w:t xml:space="preserve">                 </w:t>
      </w:r>
      <w:r>
        <w:rPr>
          <w:rFonts w:hint="eastAsia" w:ascii="宋体" w:hAnsi="宋体" w:eastAsia="宋体" w:cs="宋体"/>
          <w:b/>
          <w:color w:val="auto"/>
          <w:sz w:val="36"/>
          <w:szCs w:val="36"/>
          <w:highlight w:val="none"/>
          <w:u w:val="single"/>
          <w:lang w:val="en-US" w:eastAsia="zh-CN"/>
        </w:rPr>
        <w:t xml:space="preserve"> </w:t>
      </w:r>
      <w:r>
        <w:rPr>
          <w:rFonts w:hint="default" w:ascii="宋体" w:hAnsi="宋体" w:eastAsia="宋体" w:cs="宋体"/>
          <w:b/>
          <w:color w:val="auto"/>
          <w:sz w:val="36"/>
          <w:szCs w:val="36"/>
          <w:highlight w:val="none"/>
          <w:u w:val="single"/>
        </w:rPr>
        <w:t xml:space="preserve">  </w:t>
      </w:r>
    </w:p>
    <w:p w14:paraId="5BAB24EC">
      <w:pPr>
        <w:tabs>
          <w:tab w:val="left" w:pos="7380"/>
        </w:tabs>
        <w:spacing w:line="360" w:lineRule="auto"/>
        <w:rPr>
          <w:rFonts w:hint="default" w:ascii="宋体" w:hAnsi="宋体" w:eastAsia="宋体" w:cs="宋体"/>
          <w:b/>
          <w:color w:val="auto"/>
          <w:sz w:val="44"/>
          <w:szCs w:val="24"/>
          <w:highlight w:val="none"/>
        </w:rPr>
      </w:pPr>
    </w:p>
    <w:p w14:paraId="19A7D0BC">
      <w:pPr>
        <w:tabs>
          <w:tab w:val="left" w:pos="7380"/>
        </w:tabs>
        <w:spacing w:line="360" w:lineRule="auto"/>
        <w:ind w:firstLine="3360" w:firstLineChars="1400"/>
        <w:rPr>
          <w:rFonts w:hint="default" w:ascii="宋体" w:hAnsi="宋体" w:eastAsia="宋体" w:cs="宋体"/>
          <w:color w:val="auto"/>
          <w:sz w:val="24"/>
          <w:szCs w:val="24"/>
          <w:highlight w:val="none"/>
          <w:lang w:val="zh-CN"/>
        </w:rPr>
      </w:pPr>
      <w:r>
        <w:rPr>
          <w:rFonts w:hint="default" w:ascii="宋体" w:hAnsi="宋体" w:eastAsia="宋体" w:cs="宋体"/>
          <w:color w:val="auto"/>
          <w:sz w:val="24"/>
          <w:szCs w:val="24"/>
          <w:highlight w:val="none"/>
          <w:lang w:val="zh-CN"/>
        </w:rPr>
        <w:t>签订时间：</w:t>
      </w:r>
      <w:r>
        <w:rPr>
          <w:rFonts w:hint="default" w:ascii="宋体" w:hAnsi="宋体" w:eastAsia="宋体" w:cs="宋体"/>
          <w:color w:val="auto"/>
          <w:sz w:val="24"/>
          <w:szCs w:val="24"/>
          <w:highlight w:val="none"/>
          <w:u w:val="single"/>
          <w:lang w:val="zh-CN"/>
        </w:rPr>
        <w:t xml:space="preserve">     </w:t>
      </w:r>
      <w:r>
        <w:rPr>
          <w:rFonts w:hint="default" w:ascii="宋体" w:hAnsi="宋体" w:eastAsia="宋体" w:cs="宋体"/>
          <w:color w:val="auto"/>
          <w:sz w:val="24"/>
          <w:szCs w:val="24"/>
          <w:highlight w:val="none"/>
          <w:lang w:val="zh-CN"/>
        </w:rPr>
        <w:t>年</w:t>
      </w:r>
      <w:r>
        <w:rPr>
          <w:rFonts w:hint="default" w:ascii="宋体" w:hAnsi="宋体" w:eastAsia="宋体" w:cs="宋体"/>
          <w:color w:val="auto"/>
          <w:sz w:val="24"/>
          <w:szCs w:val="24"/>
          <w:highlight w:val="none"/>
          <w:u w:val="single"/>
          <w:lang w:val="zh-CN"/>
        </w:rPr>
        <w:t xml:space="preserve">    </w:t>
      </w:r>
      <w:r>
        <w:rPr>
          <w:rFonts w:hint="default" w:ascii="宋体" w:hAnsi="宋体" w:eastAsia="宋体" w:cs="宋体"/>
          <w:color w:val="auto"/>
          <w:sz w:val="24"/>
          <w:szCs w:val="24"/>
          <w:highlight w:val="none"/>
          <w:lang w:val="zh-CN"/>
        </w:rPr>
        <w:t>月</w:t>
      </w:r>
      <w:r>
        <w:rPr>
          <w:rFonts w:hint="default" w:ascii="宋体" w:hAnsi="宋体" w:eastAsia="宋体" w:cs="宋体"/>
          <w:color w:val="auto"/>
          <w:sz w:val="24"/>
          <w:szCs w:val="24"/>
          <w:highlight w:val="none"/>
          <w:u w:val="single"/>
          <w:lang w:val="zh-CN"/>
        </w:rPr>
        <w:t xml:space="preserve">    </w:t>
      </w:r>
      <w:r>
        <w:rPr>
          <w:rFonts w:hint="default" w:ascii="宋体" w:hAnsi="宋体" w:eastAsia="宋体" w:cs="宋体"/>
          <w:color w:val="auto"/>
          <w:sz w:val="24"/>
          <w:szCs w:val="24"/>
          <w:highlight w:val="none"/>
          <w:lang w:val="zh-CN"/>
        </w:rPr>
        <w:t>日</w:t>
      </w:r>
    </w:p>
    <w:p w14:paraId="3E2A3B69">
      <w:pPr>
        <w:pStyle w:val="27"/>
        <w:spacing w:beforeLines="0" w:afterLines="0"/>
        <w:rPr>
          <w:rStyle w:val="19"/>
          <w:rFonts w:hint="eastAsia" w:ascii="Times New Roman" w:hAnsi="Times New Roman" w:eastAsia="Times New Roman"/>
          <w:color w:val="auto"/>
          <w:sz w:val="32"/>
          <w:szCs w:val="21"/>
          <w:highlight w:val="none"/>
          <w:lang w:eastAsia="zh-CN"/>
        </w:rPr>
      </w:pPr>
      <w:r>
        <w:rPr>
          <w:rFonts w:hint="eastAsia" w:eastAsia="黑体"/>
          <w:b w:val="0"/>
          <w:color w:val="auto"/>
          <w:sz w:val="44"/>
          <w:szCs w:val="24"/>
          <w:highlight w:val="none"/>
        </w:rPr>
        <w:br w:type="page"/>
      </w:r>
      <w:bookmarkStart w:id="157" w:name="bookmark880"/>
      <w:bookmarkStart w:id="158" w:name="bookmark879"/>
      <w:bookmarkStart w:id="159" w:name="_Toc13447"/>
      <w:bookmarkStart w:id="160" w:name="_Toc30441"/>
      <w:bookmarkStart w:id="161" w:name="_Toc256000005"/>
      <w:bookmarkStart w:id="162" w:name="bookmark878"/>
      <w:r>
        <w:rPr>
          <w:rStyle w:val="19"/>
          <w:rFonts w:hint="default"/>
          <w:color w:val="auto"/>
          <w:sz w:val="32"/>
          <w:szCs w:val="21"/>
          <w:highlight w:val="none"/>
          <w:lang w:eastAsia="zh-CN"/>
        </w:rPr>
        <w:t>第一节</w:t>
      </w:r>
      <w:r>
        <w:rPr>
          <w:rStyle w:val="19"/>
          <w:rFonts w:hint="eastAsia" w:ascii="Times New Roman" w:hAnsi="Times New Roman" w:eastAsia="Times New Roman"/>
          <w:color w:val="auto"/>
          <w:sz w:val="32"/>
          <w:szCs w:val="21"/>
          <w:highlight w:val="none"/>
          <w:lang w:eastAsia="zh-CN"/>
        </w:rPr>
        <w:t xml:space="preserve"> </w:t>
      </w:r>
      <w:r>
        <w:rPr>
          <w:rStyle w:val="19"/>
          <w:rFonts w:hint="default"/>
          <w:color w:val="auto"/>
          <w:sz w:val="32"/>
          <w:szCs w:val="21"/>
          <w:highlight w:val="none"/>
          <w:lang w:eastAsia="zh-CN"/>
        </w:rPr>
        <w:t>通用合同条款</w:t>
      </w:r>
      <w:bookmarkEnd w:id="157"/>
      <w:bookmarkEnd w:id="158"/>
      <w:bookmarkEnd w:id="159"/>
      <w:bookmarkEnd w:id="160"/>
      <w:bookmarkEnd w:id="161"/>
      <w:bookmarkEnd w:id="162"/>
    </w:p>
    <w:p w14:paraId="2F99CDC4">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eastAsia"/>
          <w:color w:val="auto"/>
          <w:sz w:val="24"/>
          <w:szCs w:val="20"/>
          <w:highlight w:val="none"/>
          <w:lang w:eastAsia="zh-CN"/>
        </w:rPr>
      </w:pPr>
      <w:bookmarkStart w:id="163" w:name="bookmark882"/>
      <w:bookmarkStart w:id="164" w:name="bookmark881"/>
      <w:bookmarkStart w:id="165" w:name="bookmark883"/>
      <w:bookmarkStart w:id="166" w:name="_Toc256000006"/>
      <w:bookmarkStart w:id="167" w:name="_Toc19504"/>
      <w:bookmarkStart w:id="168" w:name="_Toc8348"/>
      <w:r>
        <w:rPr>
          <w:rStyle w:val="19"/>
          <w:rFonts w:hint="eastAsia"/>
          <w:color w:val="auto"/>
          <w:sz w:val="24"/>
          <w:szCs w:val="20"/>
          <w:highlight w:val="none"/>
          <w:lang w:eastAsia="zh-CN"/>
        </w:rPr>
        <w:t xml:space="preserve">1. </w:t>
      </w:r>
      <w:r>
        <w:rPr>
          <w:rStyle w:val="19"/>
          <w:rFonts w:hint="default" w:ascii="宋体" w:eastAsia="宋体"/>
          <w:color w:val="auto"/>
          <w:sz w:val="24"/>
          <w:szCs w:val="20"/>
          <w:highlight w:val="none"/>
          <w:lang w:eastAsia="zh-CN"/>
        </w:rPr>
        <w:t>一般约定</w:t>
      </w:r>
      <w:bookmarkEnd w:id="163"/>
      <w:bookmarkEnd w:id="164"/>
      <w:bookmarkEnd w:id="165"/>
      <w:bookmarkEnd w:id="166"/>
      <w:bookmarkEnd w:id="167"/>
      <w:bookmarkEnd w:id="168"/>
    </w:p>
    <w:p w14:paraId="53257CB9">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169" w:name="bookmark885"/>
      <w:bookmarkStart w:id="170" w:name="_Toc256000007"/>
      <w:bookmarkStart w:id="171" w:name="_Toc13265"/>
      <w:bookmarkStart w:id="172" w:name="_Toc5974"/>
      <w:bookmarkStart w:id="173" w:name="bookmark886"/>
      <w:bookmarkStart w:id="174" w:name="bookmark884"/>
      <w:r>
        <w:rPr>
          <w:rStyle w:val="19"/>
          <w:rFonts w:hint="default" w:ascii="宋体" w:hAnsi="宋体" w:eastAsia="宋体"/>
          <w:color w:val="auto"/>
          <w:sz w:val="24"/>
          <w:szCs w:val="20"/>
          <w:highlight w:val="none"/>
          <w:lang w:eastAsia="zh-CN"/>
        </w:rPr>
        <w:t>1.1词语定义</w:t>
      </w:r>
      <w:bookmarkEnd w:id="169"/>
      <w:bookmarkEnd w:id="170"/>
      <w:bookmarkEnd w:id="171"/>
      <w:bookmarkEnd w:id="172"/>
      <w:bookmarkEnd w:id="173"/>
      <w:bookmarkEnd w:id="174"/>
    </w:p>
    <w:p w14:paraId="6DCBB139">
      <w:pPr>
        <w:pStyle w:val="31"/>
        <w:pageBreakBefore w:val="0"/>
        <w:widowControl w:val="0"/>
        <w:kinsoku/>
        <w:wordWrap/>
        <w:overflowPunct/>
        <w:topLinePunct w:val="0"/>
        <w:autoSpaceDE/>
        <w:autoSpaceDN/>
        <w:bidi w:val="0"/>
        <w:adjustRightInd/>
        <w:snapToGrid/>
        <w:spacing w:beforeLines="0" w:after="100" w:afterLines="0" w:line="440" w:lineRule="exact"/>
        <w:ind w:firstLine="420"/>
        <w:textAlignment w:val="auto"/>
        <w:rPr>
          <w:rStyle w:val="19"/>
          <w:rFonts w:hint="default"/>
          <w:color w:val="auto"/>
          <w:sz w:val="24"/>
          <w:szCs w:val="20"/>
          <w:highlight w:val="none"/>
        </w:rPr>
      </w:pPr>
      <w:r>
        <w:rPr>
          <w:rStyle w:val="19"/>
          <w:rFonts w:hint="default"/>
          <w:color w:val="auto"/>
          <w:sz w:val="24"/>
          <w:szCs w:val="20"/>
          <w:highlight w:val="none"/>
        </w:rPr>
        <w:t>通用合同条款、专用合同条款中的下列词语应具有本款所赋予的含义。</w:t>
      </w:r>
    </w:p>
    <w:p w14:paraId="79E73D34">
      <w:pPr>
        <w:pStyle w:val="32"/>
        <w:pageBreakBefore w:val="0"/>
        <w:widowControl w:val="0"/>
        <w:kinsoku/>
        <w:wordWrap/>
        <w:overflowPunct/>
        <w:topLinePunct w:val="0"/>
        <w:autoSpaceDE/>
        <w:autoSpaceDN/>
        <w:bidi w:val="0"/>
        <w:adjustRightInd/>
        <w:snapToGrid/>
        <w:spacing w:beforeLines="0" w:after="0" w:afterLines="0" w:line="440" w:lineRule="exact"/>
        <w:jc w:val="both"/>
        <w:textAlignment w:val="auto"/>
        <w:rPr>
          <w:rStyle w:val="19"/>
          <w:rFonts w:hint="eastAsia"/>
          <w:color w:val="auto"/>
          <w:sz w:val="24"/>
          <w:szCs w:val="20"/>
          <w:highlight w:val="none"/>
          <w:lang w:eastAsia="zh-CN"/>
        </w:rPr>
      </w:pPr>
      <w:r>
        <w:rPr>
          <w:rStyle w:val="19"/>
          <w:rFonts w:hint="eastAsia"/>
          <w:color w:val="auto"/>
          <w:sz w:val="24"/>
          <w:szCs w:val="20"/>
          <w:highlight w:val="none"/>
          <w:lang w:eastAsia="zh-CN"/>
        </w:rPr>
        <w:t>1.1.</w:t>
      </w:r>
      <w:r>
        <w:rPr>
          <w:rStyle w:val="19"/>
          <w:rFonts w:hint="eastAsia"/>
          <w:color w:val="auto"/>
          <w:sz w:val="24"/>
          <w:szCs w:val="20"/>
          <w:highlight w:val="none"/>
          <w:lang w:val="zh-CN" w:eastAsia="zh-CN" w:bidi="zh-CN"/>
        </w:rPr>
        <w:t>1</w:t>
      </w:r>
      <w:r>
        <w:rPr>
          <w:rStyle w:val="19"/>
          <w:rFonts w:hint="default" w:ascii="宋体" w:hAnsi="宋体" w:eastAsia="宋体" w:cs="宋体"/>
          <w:color w:val="auto"/>
          <w:sz w:val="24"/>
          <w:szCs w:val="24"/>
          <w:highlight w:val="none"/>
          <w:lang w:val="zh-CN" w:eastAsia="zh-CN" w:bidi="zh-CN"/>
        </w:rPr>
        <w:t>合同</w:t>
      </w:r>
    </w:p>
    <w:p w14:paraId="00469616">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1.1.1.1</w:t>
      </w:r>
      <w:r>
        <w:rPr>
          <w:rStyle w:val="19"/>
          <w:rFonts w:hint="default"/>
          <w:color w:val="auto"/>
          <w:sz w:val="24"/>
          <w:szCs w:val="20"/>
          <w:highlight w:val="none"/>
        </w:rPr>
        <w:t>合同文件（或称合同）：指合同协议书、中标通知书、投标函及投标函附录、专用合同条款、通用合同条款、技术标准和要求、图纸、已标价工程量清单，以及其他合同文件。</w:t>
      </w:r>
    </w:p>
    <w:p w14:paraId="7477E8BC">
      <w:pPr>
        <w:pStyle w:val="31"/>
        <w:pageBreakBefore w:val="0"/>
        <w:widowControl w:val="0"/>
        <w:tabs>
          <w:tab w:val="left" w:pos="944"/>
        </w:tabs>
        <w:kinsoku/>
        <w:wordWrap/>
        <w:overflowPunct/>
        <w:topLinePunct w:val="0"/>
        <w:autoSpaceDE/>
        <w:autoSpaceDN/>
        <w:bidi w:val="0"/>
        <w:adjustRightInd/>
        <w:snapToGrid/>
        <w:spacing w:beforeLines="0" w:afterLines="0" w:line="440" w:lineRule="exact"/>
        <w:ind w:left="420" w:firstLine="0"/>
        <w:textAlignment w:val="auto"/>
        <w:rPr>
          <w:rStyle w:val="19"/>
          <w:rFonts w:hint="default"/>
          <w:color w:val="auto"/>
          <w:sz w:val="24"/>
          <w:szCs w:val="20"/>
          <w:highlight w:val="none"/>
        </w:rPr>
      </w:pPr>
      <w:bookmarkStart w:id="175" w:name="bookmark887"/>
      <w:bookmarkEnd w:id="175"/>
      <w:r>
        <w:rPr>
          <w:rStyle w:val="19"/>
          <w:rFonts w:hint="eastAsia" w:ascii="Times New Roman" w:hAnsi="Times New Roman" w:eastAsia="Times New Roman" w:cs="Times New Roman"/>
          <w:color w:val="auto"/>
          <w:sz w:val="24"/>
          <w:szCs w:val="24"/>
          <w:highlight w:val="none"/>
          <w:lang w:val="en-US" w:bidi="en-US"/>
        </w:rPr>
        <w:t>1.1.1.</w:t>
      </w:r>
      <w:r>
        <w:rPr>
          <w:rStyle w:val="19"/>
          <w:rFonts w:hint="eastAsia" w:ascii="Times New Roman" w:hAnsi="Times New Roman" w:eastAsia="Times New Roman" w:cs="Times New Roman"/>
          <w:color w:val="auto"/>
          <w:sz w:val="24"/>
          <w:szCs w:val="24"/>
          <w:highlight w:val="none"/>
        </w:rPr>
        <w:t>2</w:t>
      </w:r>
      <w:r>
        <w:rPr>
          <w:rStyle w:val="19"/>
          <w:rFonts w:hint="default"/>
          <w:color w:val="auto"/>
          <w:sz w:val="24"/>
          <w:szCs w:val="20"/>
          <w:highlight w:val="none"/>
        </w:rPr>
        <w:t>合同协议书：指第</w:t>
      </w:r>
      <w:r>
        <w:rPr>
          <w:rStyle w:val="19"/>
          <w:rFonts w:hint="eastAsia" w:ascii="Times New Roman" w:hAnsi="Times New Roman" w:eastAsia="Times New Roman" w:cs="Times New Roman"/>
          <w:color w:val="auto"/>
          <w:sz w:val="24"/>
          <w:szCs w:val="24"/>
          <w:highlight w:val="none"/>
          <w:lang w:val="en-US" w:bidi="en-US"/>
        </w:rPr>
        <w:t>1.5</w:t>
      </w:r>
      <w:r>
        <w:rPr>
          <w:rStyle w:val="19"/>
          <w:rFonts w:hint="default"/>
          <w:color w:val="auto"/>
          <w:sz w:val="24"/>
          <w:szCs w:val="20"/>
          <w:highlight w:val="none"/>
        </w:rPr>
        <w:t>款所指的合同协议书。</w:t>
      </w:r>
    </w:p>
    <w:p w14:paraId="344D135D">
      <w:pPr>
        <w:pStyle w:val="31"/>
        <w:pageBreakBefore w:val="0"/>
        <w:widowControl w:val="0"/>
        <w:kinsoku/>
        <w:wordWrap/>
        <w:overflowPunct/>
        <w:topLinePunct w:val="0"/>
        <w:autoSpaceDE/>
        <w:autoSpaceDN/>
        <w:bidi w:val="0"/>
        <w:adjustRightInd/>
        <w:snapToGrid/>
        <w:spacing w:beforeLines="0" w:afterLines="0" w:line="440" w:lineRule="exact"/>
        <w:ind w:firstLine="420"/>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1.1.1.</w:t>
      </w:r>
      <w:r>
        <w:rPr>
          <w:rStyle w:val="19"/>
          <w:rFonts w:hint="eastAsia" w:ascii="Times New Roman" w:hAnsi="Times New Roman" w:eastAsia="Times New Roman" w:cs="Times New Roman"/>
          <w:color w:val="auto"/>
          <w:sz w:val="24"/>
          <w:szCs w:val="24"/>
          <w:highlight w:val="none"/>
        </w:rPr>
        <w:t>3</w:t>
      </w:r>
      <w:r>
        <w:rPr>
          <w:rStyle w:val="19"/>
          <w:rFonts w:hint="default"/>
          <w:color w:val="auto"/>
          <w:sz w:val="24"/>
          <w:szCs w:val="20"/>
          <w:highlight w:val="none"/>
        </w:rPr>
        <w:t>中标通知书：指发包人通知承包人中标的函件。</w:t>
      </w:r>
    </w:p>
    <w:p w14:paraId="375EF1DF">
      <w:pPr>
        <w:pStyle w:val="31"/>
        <w:pageBreakBefore w:val="0"/>
        <w:widowControl w:val="0"/>
        <w:tabs>
          <w:tab w:val="left" w:pos="944"/>
        </w:tabs>
        <w:kinsoku/>
        <w:wordWrap/>
        <w:overflowPunct/>
        <w:topLinePunct w:val="0"/>
        <w:autoSpaceDE/>
        <w:autoSpaceDN/>
        <w:bidi w:val="0"/>
        <w:adjustRightInd/>
        <w:snapToGrid/>
        <w:spacing w:beforeLines="0" w:afterLines="0" w:line="440" w:lineRule="exact"/>
        <w:ind w:left="420" w:firstLine="0"/>
        <w:textAlignment w:val="auto"/>
        <w:rPr>
          <w:rStyle w:val="19"/>
          <w:rFonts w:hint="default"/>
          <w:color w:val="auto"/>
          <w:sz w:val="24"/>
          <w:szCs w:val="20"/>
          <w:highlight w:val="none"/>
        </w:rPr>
      </w:pPr>
      <w:bookmarkStart w:id="176" w:name="bookmark888"/>
      <w:bookmarkEnd w:id="176"/>
      <w:r>
        <w:rPr>
          <w:rStyle w:val="19"/>
          <w:rFonts w:hint="eastAsia" w:ascii="Times New Roman" w:hAnsi="Times New Roman" w:eastAsia="Times New Roman" w:cs="Times New Roman"/>
          <w:color w:val="auto"/>
          <w:sz w:val="24"/>
          <w:szCs w:val="24"/>
          <w:highlight w:val="none"/>
          <w:lang w:val="en-US" w:bidi="en-US"/>
        </w:rPr>
        <w:t>1.1.1.</w:t>
      </w:r>
      <w:r>
        <w:rPr>
          <w:rStyle w:val="19"/>
          <w:rFonts w:hint="eastAsia" w:ascii="Times New Roman" w:hAnsi="Times New Roman" w:eastAsia="Times New Roman" w:cs="Times New Roman"/>
          <w:color w:val="auto"/>
          <w:sz w:val="24"/>
          <w:szCs w:val="24"/>
          <w:highlight w:val="none"/>
        </w:rPr>
        <w:t>4</w:t>
      </w:r>
      <w:r>
        <w:rPr>
          <w:rStyle w:val="19"/>
          <w:rFonts w:hint="default"/>
          <w:color w:val="auto"/>
          <w:sz w:val="24"/>
          <w:szCs w:val="20"/>
          <w:highlight w:val="none"/>
        </w:rPr>
        <w:t>投标函：指构成合同文件组成部分的由承包人填写并签署的投标函。</w:t>
      </w:r>
    </w:p>
    <w:p w14:paraId="19BBE5BE">
      <w:pPr>
        <w:pStyle w:val="31"/>
        <w:pageBreakBefore w:val="0"/>
        <w:widowControl w:val="0"/>
        <w:kinsoku/>
        <w:wordWrap/>
        <w:overflowPunct/>
        <w:topLinePunct w:val="0"/>
        <w:autoSpaceDE/>
        <w:autoSpaceDN/>
        <w:bidi w:val="0"/>
        <w:adjustRightInd/>
        <w:snapToGrid/>
        <w:spacing w:beforeLines="0" w:afterLines="0" w:line="440" w:lineRule="exact"/>
        <w:ind w:firstLine="420"/>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1.1.1.</w:t>
      </w:r>
      <w:r>
        <w:rPr>
          <w:rStyle w:val="19"/>
          <w:rFonts w:hint="eastAsia" w:ascii="Times New Roman" w:hAnsi="Times New Roman" w:eastAsia="Times New Roman" w:cs="Times New Roman"/>
          <w:color w:val="auto"/>
          <w:sz w:val="24"/>
          <w:szCs w:val="24"/>
          <w:highlight w:val="none"/>
        </w:rPr>
        <w:t>5</w:t>
      </w:r>
      <w:r>
        <w:rPr>
          <w:rStyle w:val="19"/>
          <w:rFonts w:hint="default"/>
          <w:color w:val="auto"/>
          <w:sz w:val="24"/>
          <w:szCs w:val="20"/>
          <w:highlight w:val="none"/>
        </w:rPr>
        <w:t>投标函附录：指附在投标函后构成合同文件的投标函附录。</w:t>
      </w:r>
    </w:p>
    <w:p w14:paraId="07D108E6">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eastAsia" w:ascii="Times New Roman" w:hAnsi="Times New Roman" w:eastAsia="Times New Roman" w:cs="Times New Roman"/>
          <w:color w:val="auto"/>
          <w:sz w:val="24"/>
          <w:szCs w:val="24"/>
          <w:highlight w:val="none"/>
          <w:lang w:val="en-US" w:bidi="en-US"/>
        </w:rPr>
      </w:pPr>
      <w:bookmarkStart w:id="177" w:name="bookmark889"/>
      <w:bookmarkEnd w:id="177"/>
      <w:r>
        <w:rPr>
          <w:rStyle w:val="19"/>
          <w:rFonts w:hint="eastAsia" w:ascii="Times New Roman" w:hAnsi="Times New Roman" w:eastAsia="Times New Roman" w:cs="Times New Roman"/>
          <w:color w:val="auto"/>
          <w:sz w:val="24"/>
          <w:szCs w:val="24"/>
          <w:highlight w:val="none"/>
          <w:lang w:val="en-US" w:bidi="en-US"/>
        </w:rPr>
        <w:t>1.1.1.6技术标准和要求：指构成合同文件组成部分的名为技术标准和要求（合同技术条款）的文件，包括合同双方当事人约定对其所做的修改或补充。</w:t>
      </w:r>
    </w:p>
    <w:p w14:paraId="1A476FB8">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eastAsia" w:ascii="Times New Roman" w:hAnsi="Times New Roman" w:eastAsia="Times New Roman" w:cs="Times New Roman"/>
          <w:color w:val="auto"/>
          <w:sz w:val="24"/>
          <w:szCs w:val="24"/>
          <w:highlight w:val="none"/>
          <w:lang w:val="en-US" w:bidi="en-US"/>
        </w:rPr>
      </w:pPr>
      <w:bookmarkStart w:id="178" w:name="bookmark890"/>
      <w:bookmarkEnd w:id="178"/>
      <w:r>
        <w:rPr>
          <w:rStyle w:val="19"/>
          <w:rFonts w:hint="eastAsia" w:ascii="Times New Roman" w:hAnsi="Times New Roman" w:eastAsia="Times New Roman" w:cs="Times New Roman"/>
          <w:color w:val="auto"/>
          <w:sz w:val="24"/>
          <w:szCs w:val="24"/>
          <w:highlight w:val="none"/>
          <w:lang w:val="en-US" w:bidi="en-US"/>
        </w:rPr>
        <w:t>1.1.1.7图纸：指列入合同的招标图纸、投标图纸和发包人按合同约定向承包人提供 的施工图纸和其他图纸（包括配套说明和有关资料）。列入合同的招标图纸已成为合同文件的一部分，具有合同效力，主要用于在履行合同过程中作为衡量变更的依据，但不能直接用于施工。经发包人确认进入合同的投标图纸亦成为合同文件的一部分，用于在履行合同中检验承包人是否按其投标时承诺的条件进行施工的依据，亦不能直接用于施工。</w:t>
      </w:r>
    </w:p>
    <w:p w14:paraId="1B7E80CC">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1.1.1.</w:t>
      </w:r>
      <w:r>
        <w:rPr>
          <w:rStyle w:val="19"/>
          <w:rFonts w:hint="eastAsia" w:ascii="Times New Roman" w:hAnsi="Times New Roman" w:eastAsia="Times New Roman" w:cs="Times New Roman"/>
          <w:color w:val="auto"/>
          <w:sz w:val="24"/>
          <w:szCs w:val="24"/>
          <w:highlight w:val="none"/>
        </w:rPr>
        <w:t>8</w:t>
      </w:r>
      <w:r>
        <w:rPr>
          <w:rStyle w:val="19"/>
          <w:rFonts w:hint="default"/>
          <w:color w:val="auto"/>
          <w:sz w:val="24"/>
          <w:szCs w:val="20"/>
          <w:highlight w:val="none"/>
        </w:rPr>
        <w:t>已标价工程量清单：指构成合同文件组成部分的由承包人按照规定的格式和要求填写并标明价格的工程量清单。</w:t>
      </w:r>
    </w:p>
    <w:p w14:paraId="5D362C8A">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1.1.1.</w:t>
      </w:r>
      <w:r>
        <w:rPr>
          <w:rStyle w:val="19"/>
          <w:rFonts w:hint="eastAsia" w:ascii="Times New Roman" w:hAnsi="Times New Roman" w:eastAsia="Times New Roman" w:cs="Times New Roman"/>
          <w:color w:val="auto"/>
          <w:sz w:val="24"/>
          <w:szCs w:val="24"/>
          <w:highlight w:val="none"/>
        </w:rPr>
        <w:t>9</w:t>
      </w:r>
      <w:r>
        <w:rPr>
          <w:rStyle w:val="19"/>
          <w:rFonts w:hint="default"/>
          <w:color w:val="auto"/>
          <w:sz w:val="24"/>
          <w:szCs w:val="20"/>
          <w:highlight w:val="none"/>
        </w:rPr>
        <w:t>其他合同文件：指经合同双方当事人确认构成合同文件的其他文件。</w:t>
      </w:r>
    </w:p>
    <w:p w14:paraId="0D84E836">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1.1.2</w:t>
      </w:r>
      <w:r>
        <w:rPr>
          <w:rStyle w:val="19"/>
          <w:rFonts w:hint="default"/>
          <w:color w:val="auto"/>
          <w:sz w:val="24"/>
          <w:szCs w:val="20"/>
          <w:highlight w:val="none"/>
        </w:rPr>
        <w:t>合同当事人和人员。</w:t>
      </w:r>
    </w:p>
    <w:p w14:paraId="542C4356">
      <w:pPr>
        <w:pStyle w:val="31"/>
        <w:pageBreakBefore w:val="0"/>
        <w:widowControl w:val="0"/>
        <w:kinsoku/>
        <w:wordWrap/>
        <w:overflowPunct/>
        <w:topLinePunct w:val="0"/>
        <w:autoSpaceDE/>
        <w:autoSpaceDN/>
        <w:bidi w:val="0"/>
        <w:adjustRightInd/>
        <w:snapToGrid/>
        <w:spacing w:beforeLines="0" w:afterLines="0" w:line="440" w:lineRule="exact"/>
        <w:ind w:firstLine="420"/>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1.1.2.1</w:t>
      </w:r>
      <w:r>
        <w:rPr>
          <w:rStyle w:val="19"/>
          <w:rFonts w:hint="default"/>
          <w:color w:val="auto"/>
          <w:sz w:val="24"/>
          <w:szCs w:val="20"/>
          <w:highlight w:val="none"/>
        </w:rPr>
        <w:t>合同当事人：指发包人和（或）承包人。</w:t>
      </w:r>
    </w:p>
    <w:p w14:paraId="3A81746C">
      <w:pPr>
        <w:pStyle w:val="31"/>
        <w:pageBreakBefore w:val="0"/>
        <w:widowControl w:val="0"/>
        <w:tabs>
          <w:tab w:val="left" w:pos="944"/>
        </w:tabs>
        <w:kinsoku/>
        <w:wordWrap/>
        <w:overflowPunct/>
        <w:topLinePunct w:val="0"/>
        <w:autoSpaceDE/>
        <w:autoSpaceDN/>
        <w:bidi w:val="0"/>
        <w:adjustRightInd/>
        <w:snapToGrid/>
        <w:spacing w:beforeLines="0" w:afterLines="0" w:line="440" w:lineRule="exact"/>
        <w:ind w:left="420" w:firstLine="0"/>
        <w:textAlignment w:val="auto"/>
        <w:rPr>
          <w:rStyle w:val="19"/>
          <w:rFonts w:hint="default"/>
          <w:color w:val="auto"/>
          <w:sz w:val="24"/>
          <w:szCs w:val="20"/>
          <w:highlight w:val="none"/>
        </w:rPr>
      </w:pPr>
      <w:bookmarkStart w:id="179" w:name="bookmark891"/>
      <w:bookmarkEnd w:id="179"/>
      <w:r>
        <w:rPr>
          <w:rStyle w:val="19"/>
          <w:rFonts w:hint="eastAsia" w:ascii="Times New Roman" w:hAnsi="Times New Roman" w:eastAsia="Times New Roman" w:cs="Times New Roman"/>
          <w:color w:val="auto"/>
          <w:sz w:val="24"/>
          <w:szCs w:val="24"/>
          <w:highlight w:val="none"/>
          <w:lang w:val="en-US" w:bidi="en-US"/>
        </w:rPr>
        <w:t>1.1.2.2</w:t>
      </w:r>
      <w:r>
        <w:rPr>
          <w:rStyle w:val="19"/>
          <w:rFonts w:hint="default"/>
          <w:color w:val="auto"/>
          <w:sz w:val="24"/>
          <w:szCs w:val="20"/>
          <w:highlight w:val="none"/>
        </w:rPr>
        <w:t>发包人：指专用合同条款中指明并与承包人在合同协议书中签字的当事人。</w:t>
      </w:r>
    </w:p>
    <w:p w14:paraId="0EE5FBA8">
      <w:pPr>
        <w:pStyle w:val="31"/>
        <w:pageBreakBefore w:val="0"/>
        <w:widowControl w:val="0"/>
        <w:tabs>
          <w:tab w:val="left" w:pos="944"/>
        </w:tabs>
        <w:kinsoku/>
        <w:wordWrap/>
        <w:overflowPunct/>
        <w:topLinePunct w:val="0"/>
        <w:autoSpaceDE/>
        <w:autoSpaceDN/>
        <w:bidi w:val="0"/>
        <w:adjustRightInd/>
        <w:snapToGrid/>
        <w:spacing w:beforeLines="0" w:afterLines="0" w:line="440" w:lineRule="exact"/>
        <w:ind w:left="420" w:firstLine="0"/>
        <w:textAlignment w:val="auto"/>
        <w:rPr>
          <w:rStyle w:val="19"/>
          <w:rFonts w:hint="default"/>
          <w:color w:val="auto"/>
          <w:sz w:val="24"/>
          <w:szCs w:val="20"/>
          <w:highlight w:val="none"/>
        </w:rPr>
      </w:pPr>
      <w:bookmarkStart w:id="180" w:name="bookmark892"/>
      <w:bookmarkEnd w:id="180"/>
      <w:r>
        <w:rPr>
          <w:rStyle w:val="19"/>
          <w:rFonts w:hint="eastAsia" w:ascii="Times New Roman" w:hAnsi="Times New Roman" w:eastAsia="Times New Roman" w:cs="Times New Roman"/>
          <w:color w:val="auto"/>
          <w:sz w:val="24"/>
          <w:szCs w:val="24"/>
          <w:highlight w:val="none"/>
          <w:lang w:val="en-US" w:bidi="en-US"/>
        </w:rPr>
        <w:t>1.1.2.3</w:t>
      </w:r>
      <w:r>
        <w:rPr>
          <w:rStyle w:val="19"/>
          <w:rFonts w:hint="default"/>
          <w:color w:val="auto"/>
          <w:sz w:val="24"/>
          <w:szCs w:val="20"/>
          <w:highlight w:val="none"/>
        </w:rPr>
        <w:t>承包人：指专用合同条款中指明并与发包人在合同协议书中签字的当事人。</w:t>
      </w:r>
    </w:p>
    <w:p w14:paraId="272324A4">
      <w:pPr>
        <w:pStyle w:val="31"/>
        <w:pageBreakBefore w:val="0"/>
        <w:widowControl w:val="0"/>
        <w:kinsoku/>
        <w:wordWrap/>
        <w:overflowPunct/>
        <w:topLinePunct w:val="0"/>
        <w:autoSpaceDE/>
        <w:autoSpaceDN/>
        <w:bidi w:val="0"/>
        <w:adjustRightInd/>
        <w:snapToGrid/>
        <w:spacing w:beforeLines="0" w:afterLines="0" w:line="440" w:lineRule="exact"/>
        <w:ind w:firstLine="420"/>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1.1.2.4</w:t>
      </w:r>
      <w:r>
        <w:rPr>
          <w:rStyle w:val="19"/>
          <w:rFonts w:hint="default"/>
          <w:color w:val="auto"/>
          <w:sz w:val="24"/>
          <w:szCs w:val="20"/>
          <w:highlight w:val="none"/>
        </w:rPr>
        <w:t>承包人项目经理：指承包人派驻施工场地的全权负责人。</w:t>
      </w:r>
    </w:p>
    <w:p w14:paraId="4805A4ED">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1.1.2.5</w:t>
      </w:r>
      <w:r>
        <w:rPr>
          <w:rStyle w:val="19"/>
          <w:rFonts w:hint="default"/>
          <w:color w:val="auto"/>
          <w:sz w:val="24"/>
          <w:szCs w:val="20"/>
          <w:highlight w:val="none"/>
        </w:rPr>
        <w:t>分包人：指专用合同条款中指明的，从承包人处分包合同中某一部分工程, 并与其签订分包合同的分包人。</w:t>
      </w:r>
    </w:p>
    <w:p w14:paraId="1EB1720D">
      <w:pPr>
        <w:pStyle w:val="31"/>
        <w:pageBreakBefore w:val="0"/>
        <w:widowControl w:val="0"/>
        <w:tabs>
          <w:tab w:val="left" w:pos="951"/>
        </w:tabs>
        <w:kinsoku/>
        <w:wordWrap/>
        <w:overflowPunct/>
        <w:topLinePunct w:val="0"/>
        <w:autoSpaceDE/>
        <w:autoSpaceDN/>
        <w:bidi w:val="0"/>
        <w:adjustRightInd/>
        <w:snapToGrid/>
        <w:spacing w:beforeLines="0" w:afterLines="0" w:line="440" w:lineRule="exact"/>
        <w:ind w:left="420" w:firstLine="0"/>
        <w:jc w:val="both"/>
        <w:textAlignment w:val="auto"/>
        <w:rPr>
          <w:rStyle w:val="19"/>
          <w:rFonts w:hint="default"/>
          <w:color w:val="auto"/>
          <w:sz w:val="24"/>
          <w:szCs w:val="20"/>
          <w:highlight w:val="none"/>
        </w:rPr>
      </w:pPr>
      <w:bookmarkStart w:id="181" w:name="bookmark893"/>
      <w:bookmarkEnd w:id="181"/>
      <w:r>
        <w:rPr>
          <w:rStyle w:val="19"/>
          <w:rFonts w:hint="eastAsia" w:ascii="Times New Roman" w:hAnsi="Times New Roman" w:eastAsia="Times New Roman" w:cs="Times New Roman"/>
          <w:color w:val="auto"/>
          <w:sz w:val="24"/>
          <w:szCs w:val="24"/>
          <w:highlight w:val="none"/>
          <w:lang w:val="en-US" w:bidi="en-US"/>
        </w:rPr>
        <w:t xml:space="preserve">1.1.2.6  </w:t>
      </w:r>
      <w:r>
        <w:rPr>
          <w:rStyle w:val="19"/>
          <w:rFonts w:hint="default"/>
          <w:color w:val="auto"/>
          <w:sz w:val="24"/>
          <w:szCs w:val="20"/>
          <w:highlight w:val="none"/>
        </w:rPr>
        <w:t>监理人：指在专用合同条款中指明的，受发包人委托对合同履行实施管理的 法人或其他组织。</w:t>
      </w:r>
    </w:p>
    <w:p w14:paraId="3FB2ED19">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1.1.2.</w:t>
      </w:r>
      <w:r>
        <w:rPr>
          <w:rStyle w:val="19"/>
          <w:rFonts w:hint="eastAsia" w:ascii="Times New Roman" w:hAnsi="Times New Roman" w:eastAsia="Times New Roman" w:cs="Times New Roman"/>
          <w:color w:val="auto"/>
          <w:sz w:val="24"/>
          <w:szCs w:val="24"/>
          <w:highlight w:val="none"/>
        </w:rPr>
        <w:t>7</w:t>
      </w:r>
      <w:r>
        <w:rPr>
          <w:rStyle w:val="19"/>
          <w:rFonts w:hint="default"/>
          <w:color w:val="auto"/>
          <w:sz w:val="24"/>
          <w:szCs w:val="20"/>
          <w:highlight w:val="none"/>
        </w:rPr>
        <w:t>总监理工程师（总监）:指由监理人委派常驻施工场地对合同履行实施管理的全权负责人。</w:t>
      </w:r>
    </w:p>
    <w:p w14:paraId="341E730C">
      <w:pPr>
        <w:pStyle w:val="32"/>
        <w:pageBreakBefore w:val="0"/>
        <w:widowControl w:val="0"/>
        <w:kinsoku/>
        <w:wordWrap/>
        <w:overflowPunct/>
        <w:topLinePunct w:val="0"/>
        <w:autoSpaceDE/>
        <w:autoSpaceDN/>
        <w:bidi w:val="0"/>
        <w:adjustRightInd/>
        <w:snapToGrid/>
        <w:spacing w:beforeLines="0" w:after="0" w:afterLines="0" w:line="440" w:lineRule="exact"/>
        <w:jc w:val="both"/>
        <w:textAlignment w:val="auto"/>
        <w:rPr>
          <w:rStyle w:val="19"/>
          <w:rFonts w:hint="eastAsia"/>
          <w:color w:val="auto"/>
          <w:sz w:val="24"/>
          <w:szCs w:val="20"/>
          <w:highlight w:val="none"/>
          <w:lang w:eastAsia="zh-CN"/>
        </w:rPr>
      </w:pPr>
      <w:r>
        <w:rPr>
          <w:rStyle w:val="19"/>
          <w:rFonts w:hint="eastAsia"/>
          <w:color w:val="auto"/>
          <w:sz w:val="24"/>
          <w:szCs w:val="20"/>
          <w:highlight w:val="none"/>
          <w:lang w:eastAsia="zh-CN"/>
        </w:rPr>
        <w:t>1.1.</w:t>
      </w:r>
      <w:r>
        <w:rPr>
          <w:rStyle w:val="19"/>
          <w:rFonts w:hint="eastAsia"/>
          <w:color w:val="auto"/>
          <w:sz w:val="24"/>
          <w:szCs w:val="20"/>
          <w:highlight w:val="none"/>
          <w:lang w:val="zh-CN" w:eastAsia="zh-CN" w:bidi="zh-CN"/>
        </w:rPr>
        <w:t>3</w:t>
      </w:r>
      <w:r>
        <w:rPr>
          <w:rStyle w:val="19"/>
          <w:rFonts w:hint="default" w:ascii="宋体" w:hAnsi="宋体" w:eastAsia="宋体" w:cs="宋体"/>
          <w:color w:val="auto"/>
          <w:sz w:val="24"/>
          <w:szCs w:val="24"/>
          <w:highlight w:val="none"/>
          <w:lang w:val="zh-CN" w:eastAsia="zh-CN" w:bidi="zh-CN"/>
        </w:rPr>
        <w:t>工程和设备</w:t>
      </w:r>
    </w:p>
    <w:p w14:paraId="19A868D8">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1.1.3.</w:t>
      </w:r>
      <w:r>
        <w:rPr>
          <w:rStyle w:val="19"/>
          <w:rFonts w:hint="eastAsia" w:ascii="Times New Roman" w:hAnsi="Times New Roman" w:eastAsia="Times New Roman" w:cs="Times New Roman"/>
          <w:color w:val="auto"/>
          <w:sz w:val="24"/>
          <w:szCs w:val="24"/>
          <w:highlight w:val="none"/>
        </w:rPr>
        <w:t>1</w:t>
      </w:r>
      <w:r>
        <w:rPr>
          <w:rStyle w:val="19"/>
          <w:rFonts w:hint="default"/>
          <w:color w:val="auto"/>
          <w:sz w:val="24"/>
          <w:szCs w:val="20"/>
          <w:highlight w:val="none"/>
        </w:rPr>
        <w:t>工程：指永久工程和（或）临时工程。</w:t>
      </w:r>
    </w:p>
    <w:p w14:paraId="751CAECF">
      <w:pPr>
        <w:pStyle w:val="31"/>
        <w:pageBreakBefore w:val="0"/>
        <w:widowControl w:val="0"/>
        <w:tabs>
          <w:tab w:val="left" w:pos="944"/>
        </w:tabs>
        <w:kinsoku/>
        <w:wordWrap/>
        <w:overflowPunct/>
        <w:topLinePunct w:val="0"/>
        <w:autoSpaceDE/>
        <w:autoSpaceDN/>
        <w:bidi w:val="0"/>
        <w:adjustRightInd/>
        <w:snapToGrid/>
        <w:spacing w:beforeLines="0" w:afterLines="0" w:line="440" w:lineRule="exact"/>
        <w:ind w:left="420" w:firstLine="0"/>
        <w:jc w:val="both"/>
        <w:textAlignment w:val="auto"/>
        <w:rPr>
          <w:rStyle w:val="19"/>
          <w:rFonts w:hint="default"/>
          <w:color w:val="auto"/>
          <w:sz w:val="24"/>
          <w:szCs w:val="20"/>
          <w:highlight w:val="none"/>
        </w:rPr>
      </w:pPr>
      <w:bookmarkStart w:id="182" w:name="bookmark894"/>
      <w:bookmarkEnd w:id="182"/>
      <w:r>
        <w:rPr>
          <w:rStyle w:val="19"/>
          <w:rFonts w:hint="eastAsia" w:ascii="Times New Roman" w:hAnsi="Times New Roman" w:eastAsia="Times New Roman" w:cs="Times New Roman"/>
          <w:color w:val="auto"/>
          <w:sz w:val="24"/>
          <w:szCs w:val="24"/>
          <w:highlight w:val="none"/>
          <w:lang w:val="en-US" w:bidi="en-US"/>
        </w:rPr>
        <w:t>1.1.3.</w:t>
      </w:r>
      <w:r>
        <w:rPr>
          <w:rStyle w:val="19"/>
          <w:rFonts w:hint="eastAsia" w:ascii="Times New Roman" w:hAnsi="Times New Roman" w:eastAsia="Times New Roman" w:cs="Times New Roman"/>
          <w:color w:val="auto"/>
          <w:sz w:val="24"/>
          <w:szCs w:val="24"/>
          <w:highlight w:val="none"/>
        </w:rPr>
        <w:t>2</w:t>
      </w:r>
      <w:r>
        <w:rPr>
          <w:rStyle w:val="19"/>
          <w:rFonts w:hint="default"/>
          <w:color w:val="auto"/>
          <w:sz w:val="24"/>
          <w:szCs w:val="20"/>
          <w:highlight w:val="none"/>
        </w:rPr>
        <w:t>永久工程：指按合同约定建造并移交给发包人的工程，包括工程设备。</w:t>
      </w:r>
    </w:p>
    <w:p w14:paraId="3BEB7DA2">
      <w:pPr>
        <w:pStyle w:val="31"/>
        <w:pageBreakBefore w:val="0"/>
        <w:widowControl w:val="0"/>
        <w:tabs>
          <w:tab w:val="left" w:pos="954"/>
        </w:tabs>
        <w:kinsoku/>
        <w:wordWrap/>
        <w:overflowPunct/>
        <w:topLinePunct w:val="0"/>
        <w:autoSpaceDE/>
        <w:autoSpaceDN/>
        <w:bidi w:val="0"/>
        <w:adjustRightInd/>
        <w:snapToGrid/>
        <w:spacing w:beforeLines="0" w:afterLines="0" w:line="440" w:lineRule="exact"/>
        <w:ind w:firstLine="511" w:firstLineChars="213"/>
        <w:jc w:val="both"/>
        <w:textAlignment w:val="auto"/>
        <w:rPr>
          <w:rStyle w:val="19"/>
          <w:rFonts w:hint="default"/>
          <w:color w:val="auto"/>
          <w:sz w:val="24"/>
          <w:szCs w:val="20"/>
          <w:highlight w:val="none"/>
        </w:rPr>
      </w:pPr>
      <w:bookmarkStart w:id="183" w:name="bookmark895"/>
      <w:bookmarkEnd w:id="183"/>
      <w:r>
        <w:rPr>
          <w:rStyle w:val="19"/>
          <w:rFonts w:hint="eastAsia" w:ascii="Times New Roman" w:hAnsi="Times New Roman" w:eastAsia="Times New Roman" w:cs="Times New Roman"/>
          <w:color w:val="auto"/>
          <w:sz w:val="24"/>
          <w:szCs w:val="24"/>
          <w:highlight w:val="none"/>
          <w:lang w:val="en-US" w:bidi="en-US"/>
        </w:rPr>
        <w:t>1.1.3.</w:t>
      </w:r>
      <w:r>
        <w:rPr>
          <w:rStyle w:val="19"/>
          <w:rFonts w:hint="eastAsia" w:ascii="Times New Roman" w:hAnsi="Times New Roman" w:eastAsia="Times New Roman" w:cs="Times New Roman"/>
          <w:color w:val="auto"/>
          <w:sz w:val="24"/>
          <w:szCs w:val="24"/>
          <w:highlight w:val="none"/>
        </w:rPr>
        <w:t>3</w:t>
      </w:r>
      <w:r>
        <w:rPr>
          <w:rStyle w:val="19"/>
          <w:rFonts w:hint="default"/>
          <w:color w:val="auto"/>
          <w:sz w:val="24"/>
          <w:szCs w:val="20"/>
          <w:highlight w:val="none"/>
        </w:rPr>
        <w:t>临时工程：指为完成合同约定的永久工程所修建的各类临时性工程，不包括施工设备。</w:t>
      </w:r>
    </w:p>
    <w:p w14:paraId="209B8194">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1.1.3.</w:t>
      </w:r>
      <w:r>
        <w:rPr>
          <w:rStyle w:val="19"/>
          <w:rFonts w:hint="eastAsia" w:ascii="Times New Roman" w:hAnsi="Times New Roman" w:eastAsia="Times New Roman" w:cs="Times New Roman"/>
          <w:color w:val="auto"/>
          <w:sz w:val="24"/>
          <w:szCs w:val="24"/>
          <w:highlight w:val="none"/>
        </w:rPr>
        <w:t>4</w:t>
      </w:r>
      <w:r>
        <w:rPr>
          <w:rStyle w:val="19"/>
          <w:rFonts w:hint="default"/>
          <w:color w:val="auto"/>
          <w:sz w:val="24"/>
          <w:szCs w:val="20"/>
          <w:highlight w:val="none"/>
        </w:rPr>
        <w:t>单位工程：指专用合同条款中指明特定范围的永久工程。</w:t>
      </w:r>
    </w:p>
    <w:p w14:paraId="355B090C">
      <w:pPr>
        <w:pStyle w:val="31"/>
        <w:pageBreakBefore w:val="0"/>
        <w:widowControl w:val="0"/>
        <w:tabs>
          <w:tab w:val="left" w:pos="951"/>
        </w:tabs>
        <w:kinsoku/>
        <w:wordWrap/>
        <w:overflowPunct/>
        <w:topLinePunct w:val="0"/>
        <w:autoSpaceDE/>
        <w:autoSpaceDN/>
        <w:bidi w:val="0"/>
        <w:adjustRightInd/>
        <w:snapToGrid/>
        <w:spacing w:beforeLines="0" w:afterLines="0" w:line="440" w:lineRule="exact"/>
        <w:ind w:firstLine="511" w:firstLineChars="213"/>
        <w:jc w:val="both"/>
        <w:textAlignment w:val="auto"/>
        <w:rPr>
          <w:rStyle w:val="19"/>
          <w:rFonts w:hint="default"/>
          <w:color w:val="auto"/>
          <w:sz w:val="24"/>
          <w:szCs w:val="20"/>
          <w:highlight w:val="none"/>
        </w:rPr>
      </w:pPr>
      <w:bookmarkStart w:id="184" w:name="bookmark896"/>
      <w:bookmarkEnd w:id="184"/>
      <w:r>
        <w:rPr>
          <w:rStyle w:val="19"/>
          <w:rFonts w:hint="eastAsia" w:ascii="Times New Roman" w:hAnsi="Times New Roman" w:eastAsia="Times New Roman" w:cs="Times New Roman"/>
          <w:color w:val="auto"/>
          <w:sz w:val="24"/>
          <w:szCs w:val="24"/>
          <w:highlight w:val="none"/>
          <w:lang w:val="en-US" w:bidi="en-US"/>
        </w:rPr>
        <w:t>1.1.3.</w:t>
      </w:r>
      <w:r>
        <w:rPr>
          <w:rStyle w:val="19"/>
          <w:rFonts w:hint="eastAsia" w:ascii="Times New Roman" w:hAnsi="Times New Roman" w:eastAsia="Times New Roman" w:cs="Times New Roman"/>
          <w:color w:val="auto"/>
          <w:sz w:val="24"/>
          <w:szCs w:val="24"/>
          <w:highlight w:val="none"/>
        </w:rPr>
        <w:t>5</w:t>
      </w:r>
      <w:r>
        <w:rPr>
          <w:rStyle w:val="19"/>
          <w:rFonts w:hint="default"/>
          <w:color w:val="auto"/>
          <w:sz w:val="24"/>
          <w:szCs w:val="20"/>
          <w:highlight w:val="none"/>
        </w:rPr>
        <w:t>工程设备：指构成或计划构成永久工程一部分的机电设备、金属结构设备、仪器装置及其他类似的设备和装置。</w:t>
      </w:r>
    </w:p>
    <w:p w14:paraId="70E7ED2A">
      <w:pPr>
        <w:pStyle w:val="31"/>
        <w:pageBreakBefore w:val="0"/>
        <w:widowControl w:val="0"/>
        <w:tabs>
          <w:tab w:val="left" w:pos="954"/>
        </w:tabs>
        <w:kinsoku/>
        <w:wordWrap/>
        <w:overflowPunct/>
        <w:topLinePunct w:val="0"/>
        <w:autoSpaceDE/>
        <w:autoSpaceDN/>
        <w:bidi w:val="0"/>
        <w:adjustRightInd/>
        <w:snapToGrid/>
        <w:spacing w:beforeLines="0" w:afterLines="0" w:line="440" w:lineRule="exact"/>
        <w:ind w:firstLine="511" w:firstLineChars="213"/>
        <w:jc w:val="both"/>
        <w:textAlignment w:val="auto"/>
        <w:rPr>
          <w:rStyle w:val="19"/>
          <w:rFonts w:hint="default"/>
          <w:color w:val="auto"/>
          <w:sz w:val="24"/>
          <w:szCs w:val="20"/>
          <w:highlight w:val="none"/>
        </w:rPr>
      </w:pPr>
      <w:bookmarkStart w:id="185" w:name="bookmark897"/>
      <w:bookmarkEnd w:id="185"/>
      <w:r>
        <w:rPr>
          <w:rStyle w:val="19"/>
          <w:rFonts w:hint="eastAsia" w:ascii="Times New Roman" w:hAnsi="Times New Roman" w:eastAsia="Times New Roman" w:cs="Times New Roman"/>
          <w:color w:val="auto"/>
          <w:sz w:val="24"/>
          <w:szCs w:val="24"/>
          <w:highlight w:val="none"/>
          <w:lang w:val="en-US" w:bidi="en-US"/>
        </w:rPr>
        <w:t>1.1.3.</w:t>
      </w:r>
      <w:r>
        <w:rPr>
          <w:rStyle w:val="19"/>
          <w:rFonts w:hint="eastAsia" w:ascii="Times New Roman" w:hAnsi="Times New Roman" w:eastAsia="Times New Roman" w:cs="Times New Roman"/>
          <w:color w:val="auto"/>
          <w:sz w:val="24"/>
          <w:szCs w:val="24"/>
          <w:highlight w:val="none"/>
        </w:rPr>
        <w:t>6</w:t>
      </w:r>
      <w:r>
        <w:rPr>
          <w:rStyle w:val="19"/>
          <w:rFonts w:hint="default"/>
          <w:color w:val="auto"/>
          <w:sz w:val="24"/>
          <w:szCs w:val="20"/>
          <w:highlight w:val="none"/>
        </w:rPr>
        <w:t>施工设备：指为完成合同约定的各项工作所需的设备、器具和其他物品，不包括临时工程和材料。</w:t>
      </w:r>
    </w:p>
    <w:p w14:paraId="4A51E344">
      <w:pPr>
        <w:pStyle w:val="31"/>
        <w:pageBreakBefore w:val="0"/>
        <w:widowControl w:val="0"/>
        <w:tabs>
          <w:tab w:val="left" w:pos="944"/>
        </w:tabs>
        <w:kinsoku/>
        <w:wordWrap/>
        <w:overflowPunct/>
        <w:topLinePunct w:val="0"/>
        <w:autoSpaceDE/>
        <w:autoSpaceDN/>
        <w:bidi w:val="0"/>
        <w:adjustRightInd/>
        <w:snapToGrid/>
        <w:spacing w:beforeLines="0" w:afterLines="0" w:line="440" w:lineRule="exact"/>
        <w:ind w:left="420" w:firstLine="0"/>
        <w:jc w:val="both"/>
        <w:textAlignment w:val="auto"/>
        <w:rPr>
          <w:rStyle w:val="19"/>
          <w:rFonts w:hint="default"/>
          <w:color w:val="auto"/>
          <w:sz w:val="24"/>
          <w:szCs w:val="20"/>
          <w:highlight w:val="none"/>
        </w:rPr>
      </w:pPr>
      <w:bookmarkStart w:id="186" w:name="bookmark898"/>
      <w:bookmarkEnd w:id="186"/>
      <w:r>
        <w:rPr>
          <w:rStyle w:val="19"/>
          <w:rFonts w:hint="eastAsia" w:ascii="Times New Roman" w:hAnsi="Times New Roman" w:eastAsia="Times New Roman" w:cs="Times New Roman"/>
          <w:color w:val="auto"/>
          <w:sz w:val="24"/>
          <w:szCs w:val="24"/>
          <w:highlight w:val="none"/>
          <w:lang w:val="en-US" w:bidi="en-US"/>
        </w:rPr>
        <w:t>1.1.3.7</w:t>
      </w:r>
      <w:r>
        <w:rPr>
          <w:rStyle w:val="19"/>
          <w:rFonts w:hint="default"/>
          <w:color w:val="auto"/>
          <w:sz w:val="24"/>
          <w:szCs w:val="20"/>
          <w:highlight w:val="none"/>
        </w:rPr>
        <w:t>临时设施：指为完成合同约定的各项工作所服务的临时性生产和生活设施。</w:t>
      </w:r>
    </w:p>
    <w:p w14:paraId="0D120DFB">
      <w:pPr>
        <w:pStyle w:val="31"/>
        <w:pageBreakBefore w:val="0"/>
        <w:widowControl w:val="0"/>
        <w:tabs>
          <w:tab w:val="left" w:pos="954"/>
        </w:tabs>
        <w:kinsoku/>
        <w:wordWrap/>
        <w:overflowPunct/>
        <w:topLinePunct w:val="0"/>
        <w:autoSpaceDE/>
        <w:autoSpaceDN/>
        <w:bidi w:val="0"/>
        <w:adjustRightInd/>
        <w:snapToGrid/>
        <w:spacing w:beforeLines="0" w:afterLines="0" w:line="440" w:lineRule="exact"/>
        <w:ind w:left="420" w:firstLine="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1.1.3.8</w:t>
      </w:r>
      <w:r>
        <w:rPr>
          <w:rStyle w:val="19"/>
          <w:rFonts w:hint="default"/>
          <w:color w:val="auto"/>
          <w:sz w:val="24"/>
          <w:szCs w:val="20"/>
          <w:highlight w:val="none"/>
        </w:rPr>
        <w:t>承包人设备：指承包人自带的施工设备。</w:t>
      </w:r>
    </w:p>
    <w:p w14:paraId="78D21989">
      <w:pPr>
        <w:pStyle w:val="31"/>
        <w:pageBreakBefore w:val="0"/>
        <w:widowControl w:val="0"/>
        <w:tabs>
          <w:tab w:val="left" w:pos="954"/>
        </w:tabs>
        <w:kinsoku/>
        <w:wordWrap/>
        <w:overflowPunct/>
        <w:topLinePunct w:val="0"/>
        <w:autoSpaceDE/>
        <w:autoSpaceDN/>
        <w:bidi w:val="0"/>
        <w:adjustRightInd/>
        <w:snapToGrid/>
        <w:spacing w:beforeLines="0" w:afterLines="0" w:line="440" w:lineRule="exact"/>
        <w:ind w:firstLine="511" w:firstLineChars="213"/>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1.1.3.9</w:t>
      </w:r>
      <w:r>
        <w:rPr>
          <w:rStyle w:val="19"/>
          <w:rFonts w:hint="default"/>
          <w:color w:val="auto"/>
          <w:sz w:val="24"/>
          <w:szCs w:val="20"/>
          <w:highlight w:val="none"/>
        </w:rPr>
        <w:t>施工场地（或称工地、现场）：指用于合同工程施工的场所，以及在合同中指定作为施工场地组成部分的其他场所，包括永久占地和临时占地。</w:t>
      </w:r>
    </w:p>
    <w:p w14:paraId="61C005CB">
      <w:pPr>
        <w:pStyle w:val="31"/>
        <w:pageBreakBefore w:val="0"/>
        <w:widowControl w:val="0"/>
        <w:tabs>
          <w:tab w:val="left" w:pos="951"/>
        </w:tabs>
        <w:kinsoku/>
        <w:wordWrap/>
        <w:overflowPunct/>
        <w:topLinePunct w:val="0"/>
        <w:autoSpaceDE/>
        <w:autoSpaceDN/>
        <w:bidi w:val="0"/>
        <w:adjustRightInd/>
        <w:snapToGrid/>
        <w:spacing w:beforeLines="0" w:afterLines="0" w:line="440" w:lineRule="exact"/>
        <w:ind w:left="420" w:firstLine="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1.1.3.10</w:t>
      </w:r>
      <w:r>
        <w:rPr>
          <w:rStyle w:val="19"/>
          <w:rFonts w:hint="default"/>
          <w:color w:val="auto"/>
          <w:sz w:val="24"/>
          <w:szCs w:val="20"/>
          <w:highlight w:val="none"/>
        </w:rPr>
        <w:t>永久占地：指发包人为建设本合同工程永久征用的场地。</w:t>
      </w:r>
    </w:p>
    <w:p w14:paraId="19E6BA58">
      <w:pPr>
        <w:pStyle w:val="31"/>
        <w:pageBreakBefore w:val="0"/>
        <w:widowControl w:val="0"/>
        <w:tabs>
          <w:tab w:val="left" w:pos="951"/>
        </w:tabs>
        <w:kinsoku/>
        <w:wordWrap/>
        <w:overflowPunct/>
        <w:topLinePunct w:val="0"/>
        <w:autoSpaceDE/>
        <w:autoSpaceDN/>
        <w:bidi w:val="0"/>
        <w:adjustRightInd/>
        <w:snapToGrid/>
        <w:spacing w:beforeLines="0" w:afterLines="0" w:line="440" w:lineRule="exact"/>
        <w:ind w:firstLine="511" w:firstLineChars="213"/>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1.1.3.11</w:t>
      </w:r>
      <w:r>
        <w:rPr>
          <w:rStyle w:val="19"/>
          <w:rFonts w:hint="default"/>
          <w:color w:val="auto"/>
          <w:sz w:val="24"/>
          <w:szCs w:val="20"/>
          <w:highlight w:val="none"/>
        </w:rPr>
        <w:t>临时占地：指发包人为建设本合同工程临时征用，并应在完工后须按合同 要求退还的场地。</w:t>
      </w:r>
    </w:p>
    <w:p w14:paraId="14036938">
      <w:pPr>
        <w:pStyle w:val="32"/>
        <w:pageBreakBefore w:val="0"/>
        <w:widowControl w:val="0"/>
        <w:kinsoku/>
        <w:wordWrap/>
        <w:overflowPunct/>
        <w:topLinePunct w:val="0"/>
        <w:autoSpaceDE/>
        <w:autoSpaceDN/>
        <w:bidi w:val="0"/>
        <w:adjustRightInd/>
        <w:snapToGrid/>
        <w:spacing w:beforeLines="0" w:after="0" w:afterLines="0" w:line="440" w:lineRule="exact"/>
        <w:jc w:val="both"/>
        <w:textAlignment w:val="auto"/>
        <w:rPr>
          <w:rStyle w:val="19"/>
          <w:rFonts w:hint="eastAsia"/>
          <w:color w:val="auto"/>
          <w:sz w:val="24"/>
          <w:szCs w:val="20"/>
          <w:highlight w:val="none"/>
          <w:lang w:eastAsia="zh-CN"/>
        </w:rPr>
      </w:pPr>
      <w:r>
        <w:rPr>
          <w:rStyle w:val="19"/>
          <w:rFonts w:hint="eastAsia"/>
          <w:color w:val="auto"/>
          <w:sz w:val="24"/>
          <w:szCs w:val="20"/>
          <w:highlight w:val="none"/>
          <w:lang w:eastAsia="zh-CN"/>
        </w:rPr>
        <w:t>1.1.4</w:t>
      </w:r>
      <w:r>
        <w:rPr>
          <w:rStyle w:val="19"/>
          <w:rFonts w:hint="default" w:ascii="宋体" w:hAnsi="宋体" w:eastAsia="宋体" w:cs="宋体"/>
          <w:color w:val="auto"/>
          <w:sz w:val="24"/>
          <w:szCs w:val="24"/>
          <w:highlight w:val="none"/>
          <w:lang w:val="zh-CN" w:eastAsia="zh-CN" w:bidi="zh-CN"/>
        </w:rPr>
        <w:t>日期</w:t>
      </w:r>
    </w:p>
    <w:p w14:paraId="7F056984">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 xml:space="preserve">1.1.4. </w:t>
      </w:r>
      <w:r>
        <w:rPr>
          <w:rStyle w:val="19"/>
          <w:rFonts w:hint="eastAsia" w:ascii="Times New Roman" w:hAnsi="Times New Roman" w:eastAsia="Times New Roman" w:cs="Times New Roman"/>
          <w:color w:val="auto"/>
          <w:sz w:val="24"/>
          <w:szCs w:val="24"/>
          <w:highlight w:val="none"/>
        </w:rPr>
        <w:t>1</w:t>
      </w:r>
      <w:r>
        <w:rPr>
          <w:rStyle w:val="19"/>
          <w:rFonts w:hint="default"/>
          <w:color w:val="auto"/>
          <w:sz w:val="24"/>
          <w:szCs w:val="20"/>
          <w:highlight w:val="none"/>
        </w:rPr>
        <w:t>开工通知：指监理人按第</w:t>
      </w:r>
      <w:r>
        <w:rPr>
          <w:rStyle w:val="19"/>
          <w:rFonts w:hint="eastAsia" w:ascii="Times New Roman" w:hAnsi="Times New Roman" w:eastAsia="Times New Roman" w:cs="Times New Roman"/>
          <w:color w:val="auto"/>
          <w:sz w:val="24"/>
          <w:szCs w:val="24"/>
          <w:highlight w:val="none"/>
          <w:lang w:val="en-US" w:bidi="en-US"/>
        </w:rPr>
        <w:t xml:space="preserve">11. </w:t>
      </w:r>
      <w:r>
        <w:rPr>
          <w:rStyle w:val="19"/>
          <w:rFonts w:hint="eastAsia" w:ascii="Times New Roman" w:hAnsi="Times New Roman" w:eastAsia="Times New Roman" w:cs="Times New Roman"/>
          <w:color w:val="auto"/>
          <w:sz w:val="24"/>
          <w:szCs w:val="24"/>
          <w:highlight w:val="none"/>
        </w:rPr>
        <w:t>1</w:t>
      </w:r>
      <w:r>
        <w:rPr>
          <w:rStyle w:val="19"/>
          <w:rFonts w:hint="default"/>
          <w:color w:val="auto"/>
          <w:sz w:val="24"/>
          <w:szCs w:val="20"/>
          <w:highlight w:val="none"/>
        </w:rPr>
        <w:t>款通知承包人开工的函件。</w:t>
      </w:r>
    </w:p>
    <w:p w14:paraId="3226AAA2">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1.1.4.2</w:t>
      </w:r>
      <w:r>
        <w:rPr>
          <w:rStyle w:val="19"/>
          <w:rFonts w:hint="default"/>
          <w:color w:val="auto"/>
          <w:sz w:val="24"/>
          <w:szCs w:val="20"/>
          <w:highlight w:val="none"/>
        </w:rPr>
        <w:t>开工日期：指监理人按第</w:t>
      </w:r>
      <w:r>
        <w:rPr>
          <w:rStyle w:val="19"/>
          <w:rFonts w:hint="eastAsia" w:ascii="Times New Roman" w:hAnsi="Times New Roman" w:eastAsia="Times New Roman" w:cs="Times New Roman"/>
          <w:color w:val="auto"/>
          <w:sz w:val="24"/>
          <w:szCs w:val="24"/>
          <w:highlight w:val="none"/>
          <w:lang w:val="en-US" w:bidi="en-US"/>
        </w:rPr>
        <w:t xml:space="preserve">11. </w:t>
      </w:r>
      <w:r>
        <w:rPr>
          <w:rStyle w:val="19"/>
          <w:rFonts w:hint="eastAsia" w:ascii="Times New Roman" w:hAnsi="Times New Roman" w:eastAsia="Times New Roman" w:cs="Times New Roman"/>
          <w:color w:val="auto"/>
          <w:sz w:val="24"/>
          <w:szCs w:val="24"/>
          <w:highlight w:val="none"/>
        </w:rPr>
        <w:t>1</w:t>
      </w:r>
      <w:r>
        <w:rPr>
          <w:rStyle w:val="19"/>
          <w:rFonts w:hint="default"/>
          <w:color w:val="auto"/>
          <w:sz w:val="24"/>
          <w:szCs w:val="20"/>
          <w:highlight w:val="none"/>
        </w:rPr>
        <w:t>款发出的开工通知中写明的开工日期。</w:t>
      </w:r>
    </w:p>
    <w:p w14:paraId="49E117F3">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1.1.4.3</w:t>
      </w:r>
      <w:r>
        <w:rPr>
          <w:rStyle w:val="19"/>
          <w:rFonts w:hint="default"/>
          <w:color w:val="auto"/>
          <w:sz w:val="24"/>
          <w:szCs w:val="20"/>
          <w:highlight w:val="none"/>
        </w:rPr>
        <w:t>工期：指承包人在投标函中承诺的完成合同工程所需的期限，包括按第</w:t>
      </w:r>
      <w:r>
        <w:rPr>
          <w:rStyle w:val="19"/>
          <w:rFonts w:hint="eastAsia" w:ascii="Times New Roman" w:hAnsi="Times New Roman" w:eastAsia="Times New Roman" w:cs="Times New Roman"/>
          <w:color w:val="auto"/>
          <w:sz w:val="24"/>
          <w:szCs w:val="24"/>
          <w:highlight w:val="none"/>
          <w:lang w:val="en-US" w:bidi="en-US"/>
        </w:rPr>
        <w:t xml:space="preserve">11.3 </w:t>
      </w:r>
      <w:r>
        <w:rPr>
          <w:rStyle w:val="19"/>
          <w:rFonts w:hint="default"/>
          <w:color w:val="auto"/>
          <w:sz w:val="24"/>
          <w:szCs w:val="20"/>
          <w:highlight w:val="none"/>
        </w:rPr>
        <w:t>款、第</w:t>
      </w:r>
      <w:r>
        <w:rPr>
          <w:rStyle w:val="19"/>
          <w:rFonts w:hint="eastAsia" w:ascii="Times New Roman" w:hAnsi="Times New Roman" w:eastAsia="Times New Roman" w:cs="Times New Roman"/>
          <w:color w:val="auto"/>
          <w:sz w:val="24"/>
          <w:szCs w:val="24"/>
          <w:highlight w:val="none"/>
          <w:lang w:val="en-US" w:bidi="en-US"/>
        </w:rPr>
        <w:t xml:space="preserve">11. </w:t>
      </w:r>
      <w:r>
        <w:rPr>
          <w:rStyle w:val="19"/>
          <w:rFonts w:hint="eastAsia" w:ascii="Times New Roman" w:hAnsi="Times New Roman" w:eastAsia="Times New Roman" w:cs="Times New Roman"/>
          <w:color w:val="auto"/>
          <w:sz w:val="24"/>
          <w:szCs w:val="24"/>
          <w:highlight w:val="none"/>
        </w:rPr>
        <w:t>4</w:t>
      </w:r>
      <w:r>
        <w:rPr>
          <w:rStyle w:val="19"/>
          <w:rFonts w:hint="default"/>
          <w:color w:val="auto"/>
          <w:sz w:val="24"/>
          <w:szCs w:val="20"/>
          <w:highlight w:val="none"/>
        </w:rPr>
        <w:t>款和第</w:t>
      </w:r>
      <w:r>
        <w:rPr>
          <w:rStyle w:val="19"/>
          <w:rFonts w:hint="eastAsia" w:ascii="Times New Roman" w:hAnsi="Times New Roman" w:eastAsia="Times New Roman" w:cs="Times New Roman"/>
          <w:color w:val="auto"/>
          <w:sz w:val="24"/>
          <w:szCs w:val="24"/>
          <w:highlight w:val="none"/>
          <w:lang w:val="en-US" w:bidi="en-US"/>
        </w:rPr>
        <w:t xml:space="preserve">11. </w:t>
      </w:r>
      <w:r>
        <w:rPr>
          <w:rStyle w:val="19"/>
          <w:rFonts w:hint="eastAsia" w:ascii="Times New Roman" w:hAnsi="Times New Roman" w:eastAsia="Times New Roman" w:cs="Times New Roman"/>
          <w:color w:val="auto"/>
          <w:sz w:val="24"/>
          <w:szCs w:val="24"/>
          <w:highlight w:val="none"/>
        </w:rPr>
        <w:t>6</w:t>
      </w:r>
      <w:r>
        <w:rPr>
          <w:rStyle w:val="19"/>
          <w:rFonts w:hint="default"/>
          <w:color w:val="auto"/>
          <w:sz w:val="24"/>
          <w:szCs w:val="20"/>
          <w:highlight w:val="none"/>
        </w:rPr>
        <w:t>款约定所作的变更。</w:t>
      </w:r>
    </w:p>
    <w:p w14:paraId="7FAD7765">
      <w:pPr>
        <w:pStyle w:val="31"/>
        <w:pageBreakBefore w:val="0"/>
        <w:widowControl w:val="0"/>
        <w:tabs>
          <w:tab w:val="left" w:pos="949"/>
        </w:tabs>
        <w:kinsoku/>
        <w:wordWrap/>
        <w:overflowPunct/>
        <w:topLinePunct w:val="0"/>
        <w:autoSpaceDE/>
        <w:autoSpaceDN/>
        <w:bidi w:val="0"/>
        <w:adjustRightInd/>
        <w:snapToGrid/>
        <w:spacing w:beforeLines="0" w:afterLines="0" w:line="440" w:lineRule="exact"/>
        <w:ind w:firstLine="511" w:firstLineChars="213"/>
        <w:jc w:val="both"/>
        <w:textAlignment w:val="auto"/>
        <w:rPr>
          <w:rStyle w:val="19"/>
          <w:rFonts w:hint="default"/>
          <w:color w:val="auto"/>
          <w:sz w:val="24"/>
          <w:szCs w:val="20"/>
          <w:highlight w:val="none"/>
        </w:rPr>
      </w:pPr>
      <w:bookmarkStart w:id="187" w:name="bookmark899"/>
      <w:bookmarkEnd w:id="187"/>
      <w:r>
        <w:rPr>
          <w:rStyle w:val="19"/>
          <w:rFonts w:hint="eastAsia" w:ascii="Times New Roman" w:hAnsi="Times New Roman" w:eastAsia="Times New Roman" w:cs="Times New Roman"/>
          <w:color w:val="auto"/>
          <w:sz w:val="24"/>
          <w:szCs w:val="24"/>
          <w:highlight w:val="none"/>
          <w:lang w:val="en-US" w:bidi="en-US"/>
        </w:rPr>
        <w:t xml:space="preserve">1.1.4.4  </w:t>
      </w:r>
      <w:r>
        <w:rPr>
          <w:rStyle w:val="19"/>
          <w:rFonts w:hint="default"/>
          <w:color w:val="auto"/>
          <w:sz w:val="24"/>
          <w:szCs w:val="20"/>
          <w:highlight w:val="none"/>
        </w:rPr>
        <w:t>竣工日期：即合同工程完工日期，指第</w:t>
      </w:r>
      <w:r>
        <w:rPr>
          <w:rStyle w:val="19"/>
          <w:rFonts w:hint="eastAsia" w:ascii="Times New Roman" w:hAnsi="Times New Roman" w:eastAsia="Times New Roman" w:cs="Times New Roman"/>
          <w:color w:val="auto"/>
          <w:sz w:val="24"/>
          <w:szCs w:val="24"/>
          <w:highlight w:val="none"/>
          <w:lang w:val="en-US" w:bidi="en-US"/>
        </w:rPr>
        <w:t xml:space="preserve">1.1. 4. </w:t>
      </w:r>
      <w:r>
        <w:rPr>
          <w:rStyle w:val="19"/>
          <w:rFonts w:hint="eastAsia" w:ascii="Times New Roman" w:hAnsi="Times New Roman" w:eastAsia="Times New Roman" w:cs="Times New Roman"/>
          <w:color w:val="auto"/>
          <w:sz w:val="24"/>
          <w:szCs w:val="24"/>
          <w:highlight w:val="none"/>
        </w:rPr>
        <w:t>3</w:t>
      </w:r>
      <w:r>
        <w:rPr>
          <w:rStyle w:val="19"/>
          <w:rFonts w:hint="default"/>
          <w:color w:val="auto"/>
          <w:sz w:val="24"/>
          <w:szCs w:val="20"/>
          <w:highlight w:val="none"/>
        </w:rPr>
        <w:t>目约定工期届满时的日期。 实际完工时间以合同工程完工证书中写明的日期为准。</w:t>
      </w:r>
    </w:p>
    <w:p w14:paraId="54EA52B7">
      <w:pPr>
        <w:pStyle w:val="31"/>
        <w:pageBreakBefore w:val="0"/>
        <w:widowControl w:val="0"/>
        <w:tabs>
          <w:tab w:val="left" w:pos="954"/>
        </w:tabs>
        <w:kinsoku/>
        <w:wordWrap/>
        <w:overflowPunct/>
        <w:topLinePunct w:val="0"/>
        <w:autoSpaceDE/>
        <w:autoSpaceDN/>
        <w:bidi w:val="0"/>
        <w:adjustRightInd/>
        <w:snapToGrid/>
        <w:spacing w:beforeLines="0" w:afterLines="0" w:line="440" w:lineRule="exact"/>
        <w:ind w:firstLine="511" w:firstLineChars="213"/>
        <w:jc w:val="both"/>
        <w:textAlignment w:val="auto"/>
        <w:rPr>
          <w:rStyle w:val="19"/>
          <w:rFonts w:hint="default"/>
          <w:color w:val="auto"/>
          <w:sz w:val="24"/>
          <w:szCs w:val="20"/>
          <w:highlight w:val="none"/>
        </w:rPr>
      </w:pPr>
      <w:bookmarkStart w:id="188" w:name="bookmark900"/>
      <w:bookmarkEnd w:id="188"/>
      <w:r>
        <w:rPr>
          <w:rStyle w:val="19"/>
          <w:rFonts w:hint="eastAsia" w:ascii="Times New Roman" w:hAnsi="Times New Roman" w:eastAsia="Times New Roman" w:cs="Times New Roman"/>
          <w:color w:val="auto"/>
          <w:sz w:val="24"/>
          <w:szCs w:val="24"/>
          <w:highlight w:val="none"/>
          <w:lang w:val="en-US" w:bidi="en-US"/>
        </w:rPr>
        <w:t xml:space="preserve">1.1.4.5  </w:t>
      </w:r>
      <w:r>
        <w:rPr>
          <w:rStyle w:val="19"/>
          <w:rFonts w:hint="default"/>
          <w:color w:val="auto"/>
          <w:sz w:val="24"/>
          <w:szCs w:val="20"/>
          <w:highlight w:val="none"/>
        </w:rPr>
        <w:t>缺陷责任期：指履行第</w:t>
      </w:r>
      <w:r>
        <w:rPr>
          <w:rStyle w:val="19"/>
          <w:rFonts w:hint="eastAsia" w:ascii="Times New Roman" w:hAnsi="Times New Roman" w:eastAsia="Times New Roman" w:cs="Times New Roman"/>
          <w:color w:val="auto"/>
          <w:sz w:val="24"/>
          <w:szCs w:val="24"/>
          <w:highlight w:val="none"/>
          <w:lang w:val="en-US" w:bidi="en-US"/>
        </w:rPr>
        <w:t xml:space="preserve">19. </w:t>
      </w:r>
      <w:r>
        <w:rPr>
          <w:rStyle w:val="19"/>
          <w:rFonts w:hint="eastAsia" w:ascii="Times New Roman" w:hAnsi="Times New Roman" w:eastAsia="Times New Roman" w:cs="Times New Roman"/>
          <w:color w:val="auto"/>
          <w:sz w:val="24"/>
          <w:szCs w:val="24"/>
          <w:highlight w:val="none"/>
        </w:rPr>
        <w:t>2</w:t>
      </w:r>
      <w:r>
        <w:rPr>
          <w:rStyle w:val="19"/>
          <w:rFonts w:hint="default"/>
          <w:color w:val="auto"/>
          <w:sz w:val="24"/>
          <w:szCs w:val="20"/>
          <w:highlight w:val="none"/>
        </w:rPr>
        <w:t>款约定的缺陷责任的期限, 包括根据第</w:t>
      </w:r>
      <w:r>
        <w:rPr>
          <w:rStyle w:val="19"/>
          <w:rFonts w:hint="eastAsia" w:ascii="Times New Roman" w:hAnsi="Times New Roman" w:eastAsia="Times New Roman" w:cs="Times New Roman"/>
          <w:color w:val="auto"/>
          <w:sz w:val="24"/>
          <w:szCs w:val="24"/>
          <w:highlight w:val="none"/>
          <w:lang w:val="en-US" w:bidi="en-US"/>
        </w:rPr>
        <w:t xml:space="preserve">19. </w:t>
      </w:r>
      <w:r>
        <w:rPr>
          <w:rStyle w:val="19"/>
          <w:rFonts w:hint="eastAsia" w:ascii="Times New Roman" w:hAnsi="Times New Roman" w:eastAsia="Times New Roman" w:cs="Times New Roman"/>
          <w:color w:val="auto"/>
          <w:sz w:val="24"/>
          <w:szCs w:val="24"/>
          <w:highlight w:val="none"/>
        </w:rPr>
        <w:t>3</w:t>
      </w:r>
      <w:r>
        <w:rPr>
          <w:rStyle w:val="19"/>
          <w:rFonts w:hint="default"/>
          <w:color w:val="auto"/>
          <w:sz w:val="24"/>
          <w:szCs w:val="20"/>
          <w:highlight w:val="none"/>
        </w:rPr>
        <w:t>款约定所作的延长，具体期限由专用合同条款约定。</w:t>
      </w:r>
    </w:p>
    <w:p w14:paraId="48D62DED">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1.1.4.6</w:t>
      </w:r>
      <w:r>
        <w:rPr>
          <w:rStyle w:val="19"/>
          <w:rFonts w:hint="default"/>
          <w:color w:val="auto"/>
          <w:sz w:val="24"/>
          <w:szCs w:val="20"/>
          <w:highlight w:val="none"/>
        </w:rPr>
        <w:t>基准日期：指投标截止时间前</w:t>
      </w:r>
      <w:r>
        <w:rPr>
          <w:rStyle w:val="19"/>
          <w:rFonts w:hint="eastAsia" w:ascii="Times New Roman" w:hAnsi="Times New Roman" w:eastAsia="Times New Roman" w:cs="Times New Roman"/>
          <w:color w:val="auto"/>
          <w:sz w:val="24"/>
          <w:szCs w:val="24"/>
          <w:highlight w:val="none"/>
        </w:rPr>
        <w:t>28</w:t>
      </w:r>
      <w:r>
        <w:rPr>
          <w:rStyle w:val="19"/>
          <w:rFonts w:hint="default"/>
          <w:color w:val="auto"/>
          <w:sz w:val="24"/>
          <w:szCs w:val="20"/>
          <w:highlight w:val="none"/>
        </w:rPr>
        <w:t>天的日期。</w:t>
      </w:r>
    </w:p>
    <w:p w14:paraId="6BC48134">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1.1.4.7</w:t>
      </w:r>
      <w:r>
        <w:rPr>
          <w:rStyle w:val="19"/>
          <w:rFonts w:hint="default"/>
          <w:color w:val="auto"/>
          <w:sz w:val="24"/>
          <w:szCs w:val="20"/>
          <w:highlight w:val="none"/>
        </w:rPr>
        <w:t>天：除特别指明外，指日历天。合同中按天计算时间的，开始当天不计入, 从次日开始计算。期限最后一天的截止时间为当天</w:t>
      </w:r>
      <w:r>
        <w:rPr>
          <w:rStyle w:val="19"/>
          <w:rFonts w:hint="eastAsia" w:ascii="Times New Roman" w:hAnsi="Times New Roman" w:eastAsia="Times New Roman" w:cs="Times New Roman"/>
          <w:color w:val="auto"/>
          <w:sz w:val="24"/>
          <w:szCs w:val="24"/>
          <w:highlight w:val="none"/>
        </w:rPr>
        <w:t>24</w:t>
      </w:r>
      <w:r>
        <w:rPr>
          <w:rStyle w:val="19"/>
          <w:rFonts w:hint="default"/>
          <w:color w:val="auto"/>
          <w:sz w:val="24"/>
          <w:szCs w:val="20"/>
          <w:highlight w:val="none"/>
        </w:rPr>
        <w:t>：</w:t>
      </w:r>
      <w:r>
        <w:rPr>
          <w:rStyle w:val="19"/>
          <w:rFonts w:hint="eastAsia" w:ascii="Times New Roman" w:hAnsi="Times New Roman" w:eastAsia="Times New Roman" w:cs="Times New Roman"/>
          <w:color w:val="auto"/>
          <w:sz w:val="24"/>
          <w:szCs w:val="24"/>
          <w:highlight w:val="none"/>
          <w:lang w:val="en-US" w:bidi="en-US"/>
        </w:rPr>
        <w:t>00</w:t>
      </w:r>
      <w:r>
        <w:rPr>
          <w:rStyle w:val="19"/>
          <w:rFonts w:hint="eastAsia" w:ascii="Times New Roman" w:hAnsi="Times New Roman" w:eastAsia="Times New Roman" w:cs="Times New Roman"/>
          <w:color w:val="auto"/>
          <w:sz w:val="24"/>
          <w:szCs w:val="24"/>
          <w:highlight w:val="none"/>
          <w:vertAlign w:val="subscript"/>
          <w:lang w:val="en-US" w:bidi="en-US"/>
        </w:rPr>
        <w:t>o</w:t>
      </w:r>
    </w:p>
    <w:p w14:paraId="314F8A5B">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1.1.5</w:t>
      </w:r>
      <w:r>
        <w:rPr>
          <w:rStyle w:val="19"/>
          <w:rFonts w:hint="default"/>
          <w:color w:val="auto"/>
          <w:sz w:val="24"/>
          <w:szCs w:val="20"/>
          <w:highlight w:val="none"/>
        </w:rPr>
        <w:t>合同价格和费用</w:t>
      </w:r>
    </w:p>
    <w:p w14:paraId="5043B63E">
      <w:pPr>
        <w:pStyle w:val="31"/>
        <w:pageBreakBefore w:val="0"/>
        <w:widowControl w:val="0"/>
        <w:tabs>
          <w:tab w:val="left" w:pos="934"/>
        </w:tabs>
        <w:kinsoku/>
        <w:wordWrap/>
        <w:overflowPunct/>
        <w:topLinePunct w:val="0"/>
        <w:autoSpaceDE/>
        <w:autoSpaceDN/>
        <w:bidi w:val="0"/>
        <w:adjustRightInd/>
        <w:snapToGrid/>
        <w:spacing w:beforeLines="0" w:afterLines="0" w:line="440" w:lineRule="exact"/>
        <w:ind w:firstLine="511" w:firstLineChars="213"/>
        <w:jc w:val="both"/>
        <w:textAlignment w:val="auto"/>
        <w:rPr>
          <w:rStyle w:val="19"/>
          <w:rFonts w:hint="default"/>
          <w:color w:val="auto"/>
          <w:sz w:val="24"/>
          <w:szCs w:val="20"/>
          <w:highlight w:val="none"/>
        </w:rPr>
      </w:pPr>
      <w:bookmarkStart w:id="189" w:name="bookmark901"/>
      <w:bookmarkEnd w:id="189"/>
      <w:r>
        <w:rPr>
          <w:rStyle w:val="19"/>
          <w:rFonts w:hint="eastAsia" w:ascii="Times New Roman" w:hAnsi="Times New Roman" w:eastAsia="Times New Roman" w:cs="Times New Roman"/>
          <w:color w:val="auto"/>
          <w:sz w:val="24"/>
          <w:szCs w:val="24"/>
          <w:highlight w:val="none"/>
          <w:lang w:val="en-US" w:bidi="en-US"/>
        </w:rPr>
        <w:t>1.1.5.1</w:t>
      </w:r>
      <w:r>
        <w:rPr>
          <w:rStyle w:val="19"/>
          <w:rFonts w:hint="default"/>
          <w:color w:val="auto"/>
          <w:sz w:val="24"/>
          <w:szCs w:val="20"/>
          <w:highlight w:val="none"/>
        </w:rPr>
        <w:t>签约合同价：指签定合同时合同协议书中写明的，包括了暂列金额、暂估价的合同总金额。</w:t>
      </w:r>
    </w:p>
    <w:p w14:paraId="6249BC6D">
      <w:pPr>
        <w:pStyle w:val="31"/>
        <w:pageBreakBefore w:val="0"/>
        <w:widowControl w:val="0"/>
        <w:tabs>
          <w:tab w:val="left" w:pos="954"/>
        </w:tabs>
        <w:kinsoku/>
        <w:wordWrap/>
        <w:overflowPunct/>
        <w:topLinePunct w:val="0"/>
        <w:autoSpaceDE/>
        <w:autoSpaceDN/>
        <w:bidi w:val="0"/>
        <w:adjustRightInd/>
        <w:snapToGrid/>
        <w:spacing w:beforeLines="0" w:afterLines="0" w:line="440" w:lineRule="exact"/>
        <w:ind w:firstLine="511" w:firstLineChars="213"/>
        <w:jc w:val="both"/>
        <w:textAlignment w:val="auto"/>
        <w:rPr>
          <w:rStyle w:val="19"/>
          <w:rFonts w:hint="default"/>
          <w:color w:val="auto"/>
          <w:sz w:val="24"/>
          <w:szCs w:val="20"/>
          <w:highlight w:val="none"/>
        </w:rPr>
      </w:pPr>
      <w:bookmarkStart w:id="190" w:name="bookmark902"/>
      <w:bookmarkEnd w:id="190"/>
      <w:r>
        <w:rPr>
          <w:rStyle w:val="19"/>
          <w:rFonts w:hint="eastAsia" w:ascii="Times New Roman" w:hAnsi="Times New Roman" w:eastAsia="Times New Roman" w:cs="Times New Roman"/>
          <w:color w:val="auto"/>
          <w:sz w:val="24"/>
          <w:szCs w:val="24"/>
          <w:highlight w:val="none"/>
        </w:rPr>
        <w:t>1.1.5.2</w:t>
      </w:r>
      <w:r>
        <w:rPr>
          <w:rStyle w:val="19"/>
          <w:rFonts w:hint="default"/>
          <w:color w:val="auto"/>
          <w:sz w:val="24"/>
          <w:szCs w:val="20"/>
          <w:highlight w:val="none"/>
        </w:rPr>
        <w:t>合同价格：指承包人按合同约定完成了包括缺陷责任期内的全部承包工作后，发包人应付给承包人的金额，包括在履行合同过程中按合同约定进行的变更和调整。</w:t>
      </w:r>
    </w:p>
    <w:p w14:paraId="53995E5E">
      <w:pPr>
        <w:pStyle w:val="31"/>
        <w:pageBreakBefore w:val="0"/>
        <w:widowControl w:val="0"/>
        <w:tabs>
          <w:tab w:val="left" w:pos="954"/>
        </w:tabs>
        <w:kinsoku/>
        <w:wordWrap/>
        <w:overflowPunct/>
        <w:topLinePunct w:val="0"/>
        <w:autoSpaceDE/>
        <w:autoSpaceDN/>
        <w:bidi w:val="0"/>
        <w:adjustRightInd/>
        <w:snapToGrid/>
        <w:spacing w:beforeLines="0" w:afterLines="0" w:line="440" w:lineRule="exact"/>
        <w:ind w:firstLine="511" w:firstLineChars="213"/>
        <w:jc w:val="both"/>
        <w:textAlignment w:val="auto"/>
        <w:rPr>
          <w:rStyle w:val="19"/>
          <w:rFonts w:hint="default"/>
          <w:color w:val="auto"/>
          <w:sz w:val="24"/>
          <w:szCs w:val="20"/>
          <w:highlight w:val="none"/>
        </w:rPr>
      </w:pPr>
      <w:bookmarkStart w:id="191" w:name="bookmark903"/>
      <w:bookmarkEnd w:id="191"/>
      <w:r>
        <w:rPr>
          <w:rStyle w:val="19"/>
          <w:rFonts w:hint="eastAsia" w:ascii="Times New Roman" w:hAnsi="Times New Roman" w:eastAsia="Times New Roman" w:cs="Times New Roman"/>
          <w:color w:val="auto"/>
          <w:sz w:val="24"/>
          <w:szCs w:val="24"/>
          <w:highlight w:val="none"/>
        </w:rPr>
        <w:t>1.1.5.3</w:t>
      </w:r>
      <w:r>
        <w:rPr>
          <w:rStyle w:val="19"/>
          <w:rFonts w:hint="default"/>
          <w:color w:val="auto"/>
          <w:sz w:val="24"/>
          <w:szCs w:val="20"/>
          <w:highlight w:val="none"/>
        </w:rPr>
        <w:t>费用：指为履行合同所发生的或将要发生的所有合理开支，包括管理费和应分摊的其他费用，但不包括利润。</w:t>
      </w:r>
    </w:p>
    <w:p w14:paraId="0A304040">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1.1.5.4</w:t>
      </w:r>
      <w:r>
        <w:rPr>
          <w:rStyle w:val="19"/>
          <w:rFonts w:hint="default"/>
          <w:color w:val="auto"/>
          <w:sz w:val="24"/>
          <w:szCs w:val="20"/>
          <w:highlight w:val="none"/>
        </w:rPr>
        <w:t>暂列金额：指已标价工程量清单中所列的暂列金额，用于在签订协议书时尚 未确定或不可预见变更的施工及其所需材料、工程设备、服务等的金额，包括以计日工方式支付的金额。</w:t>
      </w:r>
    </w:p>
    <w:p w14:paraId="58C72822">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1. 1.5.5</w:t>
      </w:r>
      <w:r>
        <w:rPr>
          <w:rStyle w:val="19"/>
          <w:rFonts w:hint="default"/>
          <w:color w:val="auto"/>
          <w:sz w:val="24"/>
          <w:szCs w:val="20"/>
          <w:highlight w:val="none"/>
        </w:rPr>
        <w:t>暂估价：指发包人在工程量清单中给定的用于支付必然发生但暂时不能确定价格的材料、设备以及专业工程的金额。</w:t>
      </w:r>
    </w:p>
    <w:p w14:paraId="55C984A7">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bookmarkStart w:id="192" w:name="bookmark904"/>
      <w:bookmarkEnd w:id="192"/>
      <w:r>
        <w:rPr>
          <w:rStyle w:val="19"/>
          <w:rFonts w:hint="eastAsia" w:ascii="Times New Roman" w:hAnsi="Times New Roman" w:eastAsia="Times New Roman" w:cs="Times New Roman"/>
          <w:color w:val="auto"/>
          <w:sz w:val="24"/>
          <w:szCs w:val="24"/>
          <w:highlight w:val="none"/>
          <w:lang w:val="en-US" w:bidi="en-US"/>
        </w:rPr>
        <w:t>1.1.5. 6</w:t>
      </w:r>
      <w:r>
        <w:rPr>
          <w:rStyle w:val="19"/>
          <w:rFonts w:hint="default"/>
          <w:color w:val="auto"/>
          <w:sz w:val="24"/>
          <w:szCs w:val="20"/>
          <w:highlight w:val="none"/>
        </w:rPr>
        <w:t>计日工：指对零星工作采取的一种计价方式，按合同中的计日工子目及其单 价计价付款。</w:t>
      </w:r>
    </w:p>
    <w:p w14:paraId="6814D79C">
      <w:pPr>
        <w:pStyle w:val="31"/>
        <w:pageBreakBefore w:val="0"/>
        <w:widowControl w:val="0"/>
        <w:kinsoku/>
        <w:wordWrap/>
        <w:overflowPunct/>
        <w:topLinePunct w:val="0"/>
        <w:autoSpaceDE/>
        <w:autoSpaceDN/>
        <w:bidi w:val="0"/>
        <w:adjustRightInd/>
        <w:snapToGrid/>
        <w:spacing w:beforeLines="0" w:after="140" w:afterLines="0" w:line="440" w:lineRule="exact"/>
        <w:ind w:firstLine="44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1.1.5.7</w:t>
      </w:r>
      <w:r>
        <w:rPr>
          <w:rStyle w:val="19"/>
          <w:rFonts w:hint="default"/>
          <w:color w:val="auto"/>
          <w:sz w:val="24"/>
          <w:szCs w:val="20"/>
          <w:highlight w:val="none"/>
        </w:rPr>
        <w:t>质量保证金(或称保留金)：指按第</w:t>
      </w:r>
      <w:r>
        <w:rPr>
          <w:rStyle w:val="19"/>
          <w:rFonts w:hint="eastAsia" w:ascii="Times New Roman" w:hAnsi="Times New Roman" w:eastAsia="Times New Roman" w:cs="Times New Roman"/>
          <w:color w:val="auto"/>
          <w:sz w:val="24"/>
          <w:szCs w:val="24"/>
          <w:highlight w:val="none"/>
          <w:lang w:val="en-US" w:bidi="en-US"/>
        </w:rPr>
        <w:t>17.4.1</w:t>
      </w:r>
      <w:r>
        <w:rPr>
          <w:rStyle w:val="19"/>
          <w:rFonts w:hint="default"/>
          <w:color w:val="auto"/>
          <w:sz w:val="24"/>
          <w:szCs w:val="20"/>
          <w:highlight w:val="none"/>
        </w:rPr>
        <w:t>项约定用于保证在缺陷责任期内履行缺陷修复义务的金额。</w:t>
      </w:r>
    </w:p>
    <w:p w14:paraId="3DCA165F">
      <w:pPr>
        <w:pStyle w:val="32"/>
        <w:pageBreakBefore w:val="0"/>
        <w:widowControl w:val="0"/>
        <w:kinsoku/>
        <w:wordWrap/>
        <w:overflowPunct/>
        <w:topLinePunct w:val="0"/>
        <w:autoSpaceDE/>
        <w:autoSpaceDN/>
        <w:bidi w:val="0"/>
        <w:adjustRightInd/>
        <w:snapToGrid/>
        <w:spacing w:beforeLines="0" w:after="0" w:afterLines="0" w:line="440" w:lineRule="exact"/>
        <w:ind w:firstLine="440"/>
        <w:jc w:val="both"/>
        <w:textAlignment w:val="auto"/>
        <w:rPr>
          <w:rStyle w:val="19"/>
          <w:rFonts w:hint="eastAsia"/>
          <w:color w:val="auto"/>
          <w:sz w:val="24"/>
          <w:szCs w:val="20"/>
          <w:highlight w:val="none"/>
          <w:lang w:eastAsia="zh-CN"/>
        </w:rPr>
      </w:pPr>
      <w:r>
        <w:rPr>
          <w:rStyle w:val="19"/>
          <w:rFonts w:hint="eastAsia"/>
          <w:color w:val="auto"/>
          <w:sz w:val="24"/>
          <w:szCs w:val="20"/>
          <w:highlight w:val="none"/>
          <w:lang w:eastAsia="zh-CN"/>
        </w:rPr>
        <w:t>1.1.6</w:t>
      </w:r>
      <w:r>
        <w:rPr>
          <w:rStyle w:val="19"/>
          <w:rFonts w:hint="default" w:ascii="宋体" w:hAnsi="宋体" w:eastAsia="宋体" w:cs="宋体"/>
          <w:color w:val="auto"/>
          <w:sz w:val="24"/>
          <w:szCs w:val="24"/>
          <w:highlight w:val="none"/>
          <w:lang w:val="zh-CN" w:eastAsia="zh-CN" w:bidi="zh-CN"/>
        </w:rPr>
        <w:t>其他</w:t>
      </w:r>
    </w:p>
    <w:p w14:paraId="460DCE94">
      <w:pPr>
        <w:pStyle w:val="31"/>
        <w:pageBreakBefore w:val="0"/>
        <w:widowControl w:val="0"/>
        <w:tabs>
          <w:tab w:val="left" w:pos="954"/>
        </w:tabs>
        <w:kinsoku/>
        <w:wordWrap/>
        <w:overflowPunct/>
        <w:topLinePunct w:val="0"/>
        <w:autoSpaceDE/>
        <w:autoSpaceDN/>
        <w:bidi w:val="0"/>
        <w:adjustRightInd/>
        <w:snapToGrid/>
        <w:spacing w:beforeLines="0" w:after="140" w:afterLines="0" w:line="440" w:lineRule="exact"/>
        <w:ind w:left="440" w:firstLine="0"/>
        <w:jc w:val="both"/>
        <w:textAlignment w:val="auto"/>
        <w:rPr>
          <w:rStyle w:val="19"/>
          <w:rFonts w:hint="default"/>
          <w:color w:val="auto"/>
          <w:sz w:val="24"/>
          <w:szCs w:val="20"/>
          <w:highlight w:val="none"/>
        </w:rPr>
      </w:pPr>
      <w:bookmarkStart w:id="193" w:name="bookmark905"/>
      <w:bookmarkEnd w:id="193"/>
      <w:r>
        <w:rPr>
          <w:rStyle w:val="19"/>
          <w:rFonts w:hint="eastAsia" w:ascii="Times New Roman" w:hAnsi="Times New Roman" w:eastAsia="Times New Roman" w:cs="Times New Roman"/>
          <w:color w:val="auto"/>
          <w:sz w:val="24"/>
          <w:szCs w:val="24"/>
          <w:highlight w:val="none"/>
          <w:lang w:val="en-US" w:bidi="en-US"/>
        </w:rPr>
        <w:t>1.1.6.1</w:t>
      </w:r>
      <w:r>
        <w:rPr>
          <w:rStyle w:val="19"/>
          <w:rFonts w:hint="default"/>
          <w:color w:val="auto"/>
          <w:sz w:val="24"/>
          <w:szCs w:val="20"/>
          <w:highlight w:val="none"/>
        </w:rPr>
        <w:t>书面形式：指合同文件、信函、电报、传真等可以有形地表现所载内容的形式。</w:t>
      </w:r>
    </w:p>
    <w:p w14:paraId="4379055F">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8"/>
          <w:szCs w:val="20"/>
          <w:highlight w:val="none"/>
          <w:lang w:eastAsia="zh-CN"/>
        </w:rPr>
      </w:pPr>
      <w:bookmarkStart w:id="194" w:name="bookmark906"/>
      <w:bookmarkStart w:id="195" w:name="bookmark907"/>
      <w:bookmarkStart w:id="196" w:name="_Toc256000008"/>
      <w:bookmarkStart w:id="197" w:name="_Toc16626"/>
      <w:bookmarkStart w:id="198" w:name="bookmark908"/>
      <w:bookmarkStart w:id="199" w:name="_Toc6385"/>
      <w:r>
        <w:rPr>
          <w:rStyle w:val="19"/>
          <w:rFonts w:hint="default" w:ascii="宋体" w:hAnsi="宋体" w:eastAsia="宋体"/>
          <w:color w:val="auto"/>
          <w:sz w:val="24"/>
          <w:szCs w:val="20"/>
          <w:highlight w:val="none"/>
          <w:lang w:eastAsia="zh-CN"/>
        </w:rPr>
        <w:t>1.2语言文字</w:t>
      </w:r>
      <w:bookmarkEnd w:id="194"/>
      <w:bookmarkEnd w:id="195"/>
      <w:bookmarkEnd w:id="196"/>
      <w:bookmarkEnd w:id="197"/>
      <w:bookmarkEnd w:id="198"/>
      <w:bookmarkEnd w:id="199"/>
    </w:p>
    <w:p w14:paraId="04523D3A">
      <w:pPr>
        <w:pStyle w:val="31"/>
        <w:pageBreakBefore w:val="0"/>
        <w:widowControl w:val="0"/>
        <w:kinsoku/>
        <w:wordWrap/>
        <w:overflowPunct/>
        <w:topLinePunct w:val="0"/>
        <w:autoSpaceDE/>
        <w:autoSpaceDN/>
        <w:bidi w:val="0"/>
        <w:adjustRightInd/>
        <w:snapToGrid/>
        <w:spacing w:beforeLines="0" w:after="140" w:afterLines="0" w:line="440" w:lineRule="exact"/>
        <w:ind w:firstLine="420"/>
        <w:textAlignment w:val="auto"/>
        <w:rPr>
          <w:rStyle w:val="19"/>
          <w:rFonts w:hint="default"/>
          <w:color w:val="auto"/>
          <w:sz w:val="24"/>
          <w:szCs w:val="20"/>
          <w:highlight w:val="none"/>
        </w:rPr>
      </w:pPr>
      <w:r>
        <w:rPr>
          <w:rStyle w:val="19"/>
          <w:rFonts w:hint="default"/>
          <w:color w:val="auto"/>
          <w:sz w:val="24"/>
          <w:szCs w:val="20"/>
          <w:highlight w:val="none"/>
        </w:rPr>
        <w:t>除专用术语外，合同使用的语言文字为中文。必要时专用术语应附有中文注释。</w:t>
      </w:r>
    </w:p>
    <w:p w14:paraId="534FF40A">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200" w:name="_Toc7852"/>
      <w:bookmarkStart w:id="201" w:name="bookmark909"/>
      <w:bookmarkStart w:id="202" w:name="bookmark910"/>
      <w:bookmarkStart w:id="203" w:name="_Toc256000009"/>
      <w:bookmarkStart w:id="204" w:name="bookmark911"/>
      <w:bookmarkStart w:id="205" w:name="_Toc24132"/>
      <w:r>
        <w:rPr>
          <w:rStyle w:val="19"/>
          <w:rFonts w:hint="default" w:ascii="宋体" w:hAnsi="宋体" w:eastAsia="宋体"/>
          <w:color w:val="auto"/>
          <w:sz w:val="24"/>
          <w:szCs w:val="20"/>
          <w:highlight w:val="none"/>
          <w:lang w:eastAsia="zh-CN"/>
        </w:rPr>
        <w:t>1.3法律</w:t>
      </w:r>
      <w:bookmarkEnd w:id="200"/>
      <w:bookmarkEnd w:id="201"/>
      <w:bookmarkEnd w:id="202"/>
      <w:bookmarkEnd w:id="203"/>
      <w:bookmarkEnd w:id="204"/>
      <w:bookmarkEnd w:id="205"/>
    </w:p>
    <w:p w14:paraId="56C6C50D">
      <w:pPr>
        <w:pStyle w:val="31"/>
        <w:pageBreakBefore w:val="0"/>
        <w:widowControl w:val="0"/>
        <w:kinsoku/>
        <w:wordWrap/>
        <w:overflowPunct/>
        <w:topLinePunct w:val="0"/>
        <w:autoSpaceDE/>
        <w:autoSpaceDN/>
        <w:bidi w:val="0"/>
        <w:adjustRightInd/>
        <w:snapToGrid/>
        <w:spacing w:beforeLines="0" w:after="140" w:afterLines="0" w:line="440" w:lineRule="exact"/>
        <w:ind w:firstLine="440"/>
        <w:jc w:val="both"/>
        <w:textAlignment w:val="auto"/>
        <w:rPr>
          <w:rStyle w:val="19"/>
          <w:rFonts w:hint="default"/>
          <w:color w:val="auto"/>
          <w:sz w:val="24"/>
          <w:szCs w:val="20"/>
          <w:highlight w:val="none"/>
        </w:rPr>
      </w:pPr>
      <w:r>
        <w:rPr>
          <w:rStyle w:val="19"/>
          <w:rFonts w:hint="default"/>
          <w:color w:val="auto"/>
          <w:sz w:val="24"/>
          <w:szCs w:val="20"/>
          <w:highlight w:val="none"/>
        </w:rPr>
        <w:t>适用于合同的法律包括中华人民共和国法律、行政法规、部门规章，以及工程所在地的地方法规、自治条例、单行条例和地方政府规章。</w:t>
      </w:r>
    </w:p>
    <w:p w14:paraId="1135CA8D">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206" w:name="bookmark912"/>
      <w:bookmarkStart w:id="207" w:name="bookmark913"/>
      <w:bookmarkStart w:id="208" w:name="bookmark914"/>
      <w:bookmarkStart w:id="209" w:name="_Toc17089"/>
      <w:bookmarkStart w:id="210" w:name="_Toc256000010"/>
      <w:bookmarkStart w:id="211" w:name="_Toc32102"/>
      <w:r>
        <w:rPr>
          <w:rStyle w:val="19"/>
          <w:rFonts w:hint="default" w:ascii="宋体" w:hAnsi="宋体" w:eastAsia="宋体"/>
          <w:color w:val="auto"/>
          <w:sz w:val="24"/>
          <w:szCs w:val="20"/>
          <w:highlight w:val="none"/>
          <w:lang w:eastAsia="zh-CN"/>
        </w:rPr>
        <w:t>1.4合同文件的优先顺序</w:t>
      </w:r>
      <w:bookmarkEnd w:id="206"/>
      <w:bookmarkEnd w:id="207"/>
      <w:bookmarkEnd w:id="208"/>
      <w:bookmarkEnd w:id="209"/>
      <w:bookmarkEnd w:id="210"/>
      <w:bookmarkEnd w:id="211"/>
    </w:p>
    <w:p w14:paraId="41F58CBA">
      <w:pPr>
        <w:pStyle w:val="31"/>
        <w:pageBreakBefore w:val="0"/>
        <w:widowControl w:val="0"/>
        <w:kinsoku/>
        <w:wordWrap/>
        <w:overflowPunct/>
        <w:topLinePunct w:val="0"/>
        <w:autoSpaceDE/>
        <w:autoSpaceDN/>
        <w:bidi w:val="0"/>
        <w:adjustRightInd/>
        <w:snapToGrid/>
        <w:spacing w:beforeLines="0" w:after="140" w:afterLines="0" w:line="440" w:lineRule="exact"/>
        <w:ind w:firstLine="440"/>
        <w:jc w:val="both"/>
        <w:textAlignment w:val="auto"/>
        <w:rPr>
          <w:rStyle w:val="19"/>
          <w:rFonts w:hint="default"/>
          <w:color w:val="auto"/>
          <w:sz w:val="24"/>
          <w:szCs w:val="20"/>
          <w:highlight w:val="none"/>
        </w:rPr>
      </w:pPr>
      <w:r>
        <w:rPr>
          <w:rStyle w:val="19"/>
          <w:rFonts w:hint="default"/>
          <w:color w:val="auto"/>
          <w:sz w:val="24"/>
          <w:szCs w:val="20"/>
          <w:highlight w:val="none"/>
        </w:rPr>
        <w:t>组成合同的各项文件应互相解释，互为说明。除专用合同条款另有约定外，解释合同文件的优先顺序如下：</w:t>
      </w:r>
    </w:p>
    <w:p w14:paraId="620C39BF">
      <w:pPr>
        <w:pStyle w:val="31"/>
        <w:pageBreakBefore w:val="0"/>
        <w:widowControl w:val="0"/>
        <w:numPr>
          <w:ilvl w:val="0"/>
          <w:numId w:val="5"/>
        </w:numPr>
        <w:tabs>
          <w:tab w:val="left" w:pos="923"/>
        </w:tabs>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bookmarkStart w:id="212" w:name="bookmark915"/>
      <w:bookmarkEnd w:id="212"/>
      <w:r>
        <w:rPr>
          <w:rStyle w:val="19"/>
          <w:rFonts w:hint="default"/>
          <w:color w:val="auto"/>
          <w:sz w:val="24"/>
          <w:szCs w:val="20"/>
          <w:highlight w:val="none"/>
        </w:rPr>
        <w:t>合同协议书；</w:t>
      </w:r>
    </w:p>
    <w:p w14:paraId="1FAA8FBA">
      <w:pPr>
        <w:pStyle w:val="31"/>
        <w:pageBreakBefore w:val="0"/>
        <w:widowControl w:val="0"/>
        <w:numPr>
          <w:ilvl w:val="0"/>
          <w:numId w:val="5"/>
        </w:numPr>
        <w:tabs>
          <w:tab w:val="left" w:pos="923"/>
        </w:tabs>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bookmarkStart w:id="213" w:name="bookmark916"/>
      <w:bookmarkEnd w:id="213"/>
      <w:r>
        <w:rPr>
          <w:rStyle w:val="19"/>
          <w:rFonts w:hint="default"/>
          <w:color w:val="auto"/>
          <w:sz w:val="24"/>
          <w:szCs w:val="20"/>
          <w:highlight w:val="none"/>
        </w:rPr>
        <w:t>中标通知书；</w:t>
      </w:r>
    </w:p>
    <w:p w14:paraId="5BB74CBE">
      <w:pPr>
        <w:pStyle w:val="31"/>
        <w:pageBreakBefore w:val="0"/>
        <w:widowControl w:val="0"/>
        <w:numPr>
          <w:ilvl w:val="0"/>
          <w:numId w:val="5"/>
        </w:numPr>
        <w:tabs>
          <w:tab w:val="left" w:pos="903"/>
        </w:tabs>
        <w:kinsoku/>
        <w:wordWrap/>
        <w:overflowPunct/>
        <w:topLinePunct w:val="0"/>
        <w:autoSpaceDE/>
        <w:autoSpaceDN/>
        <w:bidi w:val="0"/>
        <w:adjustRightInd/>
        <w:snapToGrid/>
        <w:spacing w:beforeLines="0" w:afterLines="0" w:line="440" w:lineRule="exact"/>
        <w:ind w:firstLine="420"/>
        <w:textAlignment w:val="auto"/>
        <w:rPr>
          <w:rStyle w:val="19"/>
          <w:rFonts w:hint="default"/>
          <w:color w:val="auto"/>
          <w:sz w:val="24"/>
          <w:szCs w:val="20"/>
          <w:highlight w:val="none"/>
        </w:rPr>
      </w:pPr>
      <w:bookmarkStart w:id="214" w:name="bookmark917"/>
      <w:bookmarkEnd w:id="214"/>
      <w:r>
        <w:rPr>
          <w:rStyle w:val="19"/>
          <w:rFonts w:hint="default"/>
          <w:color w:val="auto"/>
          <w:sz w:val="24"/>
          <w:szCs w:val="20"/>
          <w:highlight w:val="none"/>
        </w:rPr>
        <w:t>投标函及投标函附录；</w:t>
      </w:r>
    </w:p>
    <w:p w14:paraId="0096E2B9">
      <w:pPr>
        <w:pStyle w:val="31"/>
        <w:pageBreakBefore w:val="0"/>
        <w:widowControl w:val="0"/>
        <w:numPr>
          <w:ilvl w:val="0"/>
          <w:numId w:val="5"/>
        </w:numPr>
        <w:tabs>
          <w:tab w:val="left" w:pos="903"/>
        </w:tabs>
        <w:kinsoku/>
        <w:wordWrap/>
        <w:overflowPunct/>
        <w:topLinePunct w:val="0"/>
        <w:autoSpaceDE/>
        <w:autoSpaceDN/>
        <w:bidi w:val="0"/>
        <w:adjustRightInd/>
        <w:snapToGrid/>
        <w:spacing w:beforeLines="0" w:afterLines="0" w:line="440" w:lineRule="exact"/>
        <w:ind w:firstLine="420"/>
        <w:textAlignment w:val="auto"/>
        <w:rPr>
          <w:rStyle w:val="19"/>
          <w:rFonts w:hint="default"/>
          <w:color w:val="auto"/>
          <w:sz w:val="24"/>
          <w:szCs w:val="20"/>
          <w:highlight w:val="none"/>
        </w:rPr>
      </w:pPr>
      <w:bookmarkStart w:id="215" w:name="bookmark918"/>
      <w:bookmarkEnd w:id="215"/>
      <w:r>
        <w:rPr>
          <w:rStyle w:val="19"/>
          <w:rFonts w:hint="default"/>
          <w:color w:val="auto"/>
          <w:sz w:val="24"/>
          <w:szCs w:val="20"/>
          <w:highlight w:val="none"/>
        </w:rPr>
        <w:t>专用合同条款；</w:t>
      </w:r>
    </w:p>
    <w:p w14:paraId="06DFDA5E">
      <w:pPr>
        <w:pStyle w:val="31"/>
        <w:pageBreakBefore w:val="0"/>
        <w:widowControl w:val="0"/>
        <w:numPr>
          <w:ilvl w:val="0"/>
          <w:numId w:val="5"/>
        </w:numPr>
        <w:tabs>
          <w:tab w:val="left" w:pos="903"/>
        </w:tabs>
        <w:kinsoku/>
        <w:wordWrap/>
        <w:overflowPunct/>
        <w:topLinePunct w:val="0"/>
        <w:autoSpaceDE/>
        <w:autoSpaceDN/>
        <w:bidi w:val="0"/>
        <w:adjustRightInd/>
        <w:snapToGrid/>
        <w:spacing w:beforeLines="0" w:afterLines="0" w:line="440" w:lineRule="exact"/>
        <w:ind w:firstLine="420"/>
        <w:textAlignment w:val="auto"/>
        <w:rPr>
          <w:rStyle w:val="19"/>
          <w:rFonts w:hint="default"/>
          <w:color w:val="auto"/>
          <w:sz w:val="24"/>
          <w:szCs w:val="20"/>
          <w:highlight w:val="none"/>
        </w:rPr>
      </w:pPr>
      <w:bookmarkStart w:id="216" w:name="bookmark919"/>
      <w:bookmarkEnd w:id="216"/>
      <w:r>
        <w:rPr>
          <w:rStyle w:val="19"/>
          <w:rFonts w:hint="default"/>
          <w:color w:val="auto"/>
          <w:sz w:val="24"/>
          <w:szCs w:val="20"/>
          <w:highlight w:val="none"/>
        </w:rPr>
        <w:t>通用合同条款；</w:t>
      </w:r>
    </w:p>
    <w:p w14:paraId="4B07F18D">
      <w:pPr>
        <w:pStyle w:val="31"/>
        <w:pageBreakBefore w:val="0"/>
        <w:widowControl w:val="0"/>
        <w:numPr>
          <w:ilvl w:val="0"/>
          <w:numId w:val="5"/>
        </w:numPr>
        <w:tabs>
          <w:tab w:val="left" w:pos="903"/>
        </w:tabs>
        <w:kinsoku/>
        <w:wordWrap/>
        <w:overflowPunct/>
        <w:topLinePunct w:val="0"/>
        <w:autoSpaceDE/>
        <w:autoSpaceDN/>
        <w:bidi w:val="0"/>
        <w:adjustRightInd/>
        <w:snapToGrid/>
        <w:spacing w:beforeLines="0" w:afterLines="0" w:line="440" w:lineRule="exact"/>
        <w:ind w:firstLine="420"/>
        <w:textAlignment w:val="auto"/>
        <w:rPr>
          <w:rStyle w:val="19"/>
          <w:rFonts w:hint="default"/>
          <w:color w:val="auto"/>
          <w:sz w:val="24"/>
          <w:szCs w:val="20"/>
          <w:highlight w:val="none"/>
        </w:rPr>
      </w:pPr>
      <w:bookmarkStart w:id="217" w:name="bookmark920"/>
      <w:bookmarkEnd w:id="217"/>
      <w:r>
        <w:rPr>
          <w:rStyle w:val="19"/>
          <w:rFonts w:hint="default"/>
          <w:color w:val="auto"/>
          <w:sz w:val="24"/>
          <w:szCs w:val="20"/>
          <w:highlight w:val="none"/>
        </w:rPr>
        <w:t>技术标准和要求；</w:t>
      </w:r>
    </w:p>
    <w:p w14:paraId="30D7DA13">
      <w:pPr>
        <w:pStyle w:val="31"/>
        <w:pageBreakBefore w:val="0"/>
        <w:widowControl w:val="0"/>
        <w:numPr>
          <w:ilvl w:val="0"/>
          <w:numId w:val="5"/>
        </w:numPr>
        <w:tabs>
          <w:tab w:val="left" w:pos="903"/>
        </w:tabs>
        <w:kinsoku/>
        <w:wordWrap/>
        <w:overflowPunct/>
        <w:topLinePunct w:val="0"/>
        <w:autoSpaceDE/>
        <w:autoSpaceDN/>
        <w:bidi w:val="0"/>
        <w:adjustRightInd/>
        <w:snapToGrid/>
        <w:spacing w:beforeLines="0" w:afterLines="0" w:line="440" w:lineRule="exact"/>
        <w:ind w:firstLine="420"/>
        <w:jc w:val="both"/>
        <w:textAlignment w:val="auto"/>
        <w:rPr>
          <w:rStyle w:val="19"/>
          <w:rFonts w:hint="default"/>
          <w:color w:val="auto"/>
          <w:sz w:val="24"/>
          <w:szCs w:val="20"/>
          <w:highlight w:val="none"/>
        </w:rPr>
      </w:pPr>
      <w:bookmarkStart w:id="218" w:name="bookmark921"/>
      <w:bookmarkEnd w:id="218"/>
      <w:r>
        <w:rPr>
          <w:rStyle w:val="19"/>
          <w:rFonts w:hint="default"/>
          <w:color w:val="auto"/>
          <w:sz w:val="24"/>
          <w:szCs w:val="20"/>
          <w:highlight w:val="none"/>
        </w:rPr>
        <w:t>图纸；</w:t>
      </w:r>
    </w:p>
    <w:p w14:paraId="1D2C3CC7">
      <w:pPr>
        <w:pStyle w:val="31"/>
        <w:pageBreakBefore w:val="0"/>
        <w:widowControl w:val="0"/>
        <w:numPr>
          <w:ilvl w:val="0"/>
          <w:numId w:val="5"/>
        </w:numPr>
        <w:tabs>
          <w:tab w:val="left" w:pos="903"/>
        </w:tabs>
        <w:kinsoku/>
        <w:wordWrap/>
        <w:overflowPunct/>
        <w:topLinePunct w:val="0"/>
        <w:autoSpaceDE/>
        <w:autoSpaceDN/>
        <w:bidi w:val="0"/>
        <w:adjustRightInd/>
        <w:snapToGrid/>
        <w:spacing w:beforeLines="0" w:afterLines="0" w:line="440" w:lineRule="exact"/>
        <w:ind w:firstLine="420"/>
        <w:jc w:val="both"/>
        <w:textAlignment w:val="auto"/>
        <w:rPr>
          <w:rStyle w:val="19"/>
          <w:rFonts w:hint="default"/>
          <w:color w:val="auto"/>
          <w:sz w:val="24"/>
          <w:szCs w:val="20"/>
          <w:highlight w:val="none"/>
        </w:rPr>
      </w:pPr>
      <w:bookmarkStart w:id="219" w:name="bookmark922"/>
      <w:bookmarkEnd w:id="219"/>
      <w:r>
        <w:rPr>
          <w:rStyle w:val="19"/>
          <w:rFonts w:hint="default"/>
          <w:color w:val="auto"/>
          <w:sz w:val="24"/>
          <w:szCs w:val="20"/>
          <w:highlight w:val="none"/>
        </w:rPr>
        <w:t>已标价工程量清单；</w:t>
      </w:r>
    </w:p>
    <w:p w14:paraId="4313C72A">
      <w:pPr>
        <w:pStyle w:val="31"/>
        <w:pageBreakBefore w:val="0"/>
        <w:widowControl w:val="0"/>
        <w:numPr>
          <w:ilvl w:val="0"/>
          <w:numId w:val="5"/>
        </w:numPr>
        <w:tabs>
          <w:tab w:val="left" w:pos="903"/>
        </w:tabs>
        <w:kinsoku/>
        <w:wordWrap/>
        <w:overflowPunct/>
        <w:topLinePunct w:val="0"/>
        <w:autoSpaceDE/>
        <w:autoSpaceDN/>
        <w:bidi w:val="0"/>
        <w:adjustRightInd/>
        <w:snapToGrid/>
        <w:spacing w:beforeLines="0" w:afterLines="0" w:line="440" w:lineRule="exact"/>
        <w:ind w:firstLine="420"/>
        <w:jc w:val="both"/>
        <w:textAlignment w:val="auto"/>
        <w:rPr>
          <w:rStyle w:val="19"/>
          <w:rFonts w:hint="default"/>
          <w:color w:val="auto"/>
          <w:sz w:val="24"/>
          <w:szCs w:val="20"/>
          <w:highlight w:val="none"/>
        </w:rPr>
      </w:pPr>
      <w:bookmarkStart w:id="220" w:name="bookmark923"/>
      <w:bookmarkEnd w:id="220"/>
      <w:r>
        <w:rPr>
          <w:rStyle w:val="19"/>
          <w:rFonts w:hint="default"/>
          <w:color w:val="auto"/>
          <w:sz w:val="24"/>
          <w:szCs w:val="20"/>
          <w:highlight w:val="none"/>
        </w:rPr>
        <w:t>其他合同文件。</w:t>
      </w:r>
    </w:p>
    <w:p w14:paraId="5D31BFB4">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221" w:name="bookmark926"/>
      <w:bookmarkStart w:id="222" w:name="_Toc30693"/>
      <w:bookmarkStart w:id="223" w:name="_Toc256000011"/>
      <w:bookmarkStart w:id="224" w:name="bookmark924"/>
      <w:bookmarkStart w:id="225" w:name="bookmark925"/>
      <w:bookmarkStart w:id="226" w:name="_Toc11037"/>
      <w:r>
        <w:rPr>
          <w:rStyle w:val="19"/>
          <w:rFonts w:hint="default" w:ascii="宋体" w:hAnsi="宋体" w:eastAsia="宋体"/>
          <w:color w:val="auto"/>
          <w:sz w:val="24"/>
          <w:szCs w:val="20"/>
          <w:highlight w:val="none"/>
          <w:lang w:eastAsia="zh-CN"/>
        </w:rPr>
        <w:t>1.5合同协议书</w:t>
      </w:r>
      <w:bookmarkEnd w:id="221"/>
      <w:bookmarkEnd w:id="222"/>
      <w:bookmarkEnd w:id="223"/>
      <w:bookmarkEnd w:id="224"/>
      <w:bookmarkEnd w:id="225"/>
      <w:bookmarkEnd w:id="226"/>
    </w:p>
    <w:p w14:paraId="44954E68">
      <w:pPr>
        <w:pStyle w:val="31"/>
        <w:pageBreakBefore w:val="0"/>
        <w:widowControl w:val="0"/>
        <w:kinsoku/>
        <w:wordWrap/>
        <w:overflowPunct/>
        <w:topLinePunct w:val="0"/>
        <w:autoSpaceDE/>
        <w:autoSpaceDN/>
        <w:bidi w:val="0"/>
        <w:adjustRightInd/>
        <w:snapToGrid/>
        <w:spacing w:beforeLines="0" w:after="140" w:afterLines="0" w:line="440" w:lineRule="exact"/>
        <w:ind w:firstLine="440"/>
        <w:jc w:val="both"/>
        <w:textAlignment w:val="auto"/>
        <w:rPr>
          <w:rStyle w:val="19"/>
          <w:rFonts w:hint="default"/>
          <w:color w:val="auto"/>
          <w:sz w:val="24"/>
          <w:szCs w:val="20"/>
          <w:highlight w:val="none"/>
        </w:rPr>
      </w:pPr>
      <w:r>
        <w:rPr>
          <w:rStyle w:val="19"/>
          <w:rFonts w:hint="default"/>
          <w:color w:val="auto"/>
          <w:sz w:val="24"/>
          <w:szCs w:val="20"/>
          <w:highlight w:val="none"/>
        </w:rPr>
        <w:t>承包人按中标通知书规定的时间与发包人签订合同协议书。除法律另有规定或合同另有约定外，发包人和承包人的法定代表人或其委托代理人在合同协议书上签字并盖单位电子公章后，合同生效。</w:t>
      </w:r>
    </w:p>
    <w:p w14:paraId="69AC015E">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227" w:name="_Toc10434"/>
      <w:bookmarkStart w:id="228" w:name="_Toc14160"/>
      <w:bookmarkStart w:id="229" w:name="bookmark928"/>
      <w:bookmarkStart w:id="230" w:name="_Toc256000012"/>
      <w:bookmarkStart w:id="231" w:name="bookmark927"/>
      <w:bookmarkStart w:id="232" w:name="bookmark929"/>
      <w:r>
        <w:rPr>
          <w:rStyle w:val="19"/>
          <w:rFonts w:hint="default" w:ascii="宋体" w:hAnsi="宋体" w:eastAsia="宋体"/>
          <w:color w:val="auto"/>
          <w:sz w:val="24"/>
          <w:szCs w:val="20"/>
          <w:highlight w:val="none"/>
          <w:lang w:eastAsia="zh-CN"/>
        </w:rPr>
        <w:t>1.6图纸和承包人文件</w:t>
      </w:r>
      <w:bookmarkEnd w:id="227"/>
      <w:bookmarkEnd w:id="228"/>
      <w:bookmarkEnd w:id="229"/>
      <w:bookmarkEnd w:id="230"/>
      <w:bookmarkEnd w:id="231"/>
      <w:bookmarkEnd w:id="232"/>
    </w:p>
    <w:p w14:paraId="403DE943">
      <w:pPr>
        <w:pStyle w:val="31"/>
        <w:pageBreakBefore w:val="0"/>
        <w:widowControl w:val="0"/>
        <w:kinsoku/>
        <w:wordWrap/>
        <w:overflowPunct/>
        <w:topLinePunct w:val="0"/>
        <w:autoSpaceDE/>
        <w:autoSpaceDN/>
        <w:bidi w:val="0"/>
        <w:adjustRightInd/>
        <w:snapToGrid/>
        <w:spacing w:beforeLines="0" w:afterLines="0" w:line="440" w:lineRule="exact"/>
        <w:ind w:firstLine="420"/>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1.6.1</w:t>
      </w:r>
      <w:r>
        <w:rPr>
          <w:rStyle w:val="19"/>
          <w:rFonts w:hint="default"/>
          <w:color w:val="auto"/>
          <w:sz w:val="24"/>
          <w:szCs w:val="20"/>
          <w:highlight w:val="none"/>
        </w:rPr>
        <w:t>图纸的提供</w:t>
      </w:r>
    </w:p>
    <w:p w14:paraId="16AB6478">
      <w:pPr>
        <w:pStyle w:val="31"/>
        <w:pageBreakBefore w:val="0"/>
        <w:widowControl w:val="0"/>
        <w:kinsoku/>
        <w:wordWrap/>
        <w:overflowPunct/>
        <w:topLinePunct w:val="0"/>
        <w:autoSpaceDE/>
        <w:autoSpaceDN/>
        <w:bidi w:val="0"/>
        <w:adjustRightInd/>
        <w:snapToGrid/>
        <w:spacing w:beforeLines="0" w:after="120" w:afterLines="0" w:line="440" w:lineRule="exact"/>
        <w:ind w:firstLine="420"/>
        <w:jc w:val="both"/>
        <w:textAlignment w:val="auto"/>
        <w:rPr>
          <w:rStyle w:val="19"/>
          <w:rFonts w:hint="eastAsia" w:ascii="Times New Roman" w:hAnsi="Times New Roman" w:eastAsia="Times New Roman" w:cs="Times New Roman"/>
          <w:color w:val="auto"/>
          <w:sz w:val="24"/>
          <w:szCs w:val="24"/>
          <w:highlight w:val="none"/>
        </w:rPr>
      </w:pPr>
      <w:r>
        <w:rPr>
          <w:rStyle w:val="19"/>
          <w:rFonts w:hint="default"/>
          <w:color w:val="auto"/>
          <w:sz w:val="24"/>
          <w:szCs w:val="20"/>
          <w:highlight w:val="none"/>
        </w:rPr>
        <w:t>发包人应按技术标准和要求(合同技术条款)约定的期限和数量将施工图纸以及其它图纸（包括配套说明和有关资料）提供给承包人。由于发包人未按时提供图纸造成工期延误的，按</w:t>
      </w:r>
      <w:r>
        <w:rPr>
          <w:rStyle w:val="19"/>
          <w:rFonts w:hint="default" w:hAnsi="Times New Roman" w:cs="Times New Roman"/>
          <w:color w:val="auto"/>
          <w:sz w:val="24"/>
          <w:szCs w:val="24"/>
          <w:highlight w:val="none"/>
        </w:rPr>
        <w:t>第</w:t>
      </w:r>
      <w:r>
        <w:rPr>
          <w:rStyle w:val="19"/>
          <w:rFonts w:hint="eastAsia" w:ascii="Times New Roman" w:hAnsi="Times New Roman" w:eastAsia="Times New Roman" w:cs="Times New Roman"/>
          <w:color w:val="auto"/>
          <w:sz w:val="24"/>
          <w:szCs w:val="24"/>
          <w:highlight w:val="none"/>
          <w:lang w:val="en-US" w:bidi="en-US"/>
        </w:rPr>
        <w:t xml:space="preserve">11. </w:t>
      </w:r>
      <w:r>
        <w:rPr>
          <w:rStyle w:val="19"/>
          <w:rFonts w:hint="eastAsia" w:ascii="Times New Roman" w:hAnsi="Times New Roman" w:eastAsia="Times New Roman" w:cs="Times New Roman"/>
          <w:color w:val="auto"/>
          <w:sz w:val="24"/>
          <w:szCs w:val="24"/>
          <w:highlight w:val="none"/>
        </w:rPr>
        <w:t>3</w:t>
      </w:r>
      <w:r>
        <w:rPr>
          <w:rStyle w:val="19"/>
          <w:rFonts w:hint="default" w:hAnsi="Times New Roman" w:cs="Times New Roman"/>
          <w:color w:val="auto"/>
          <w:sz w:val="24"/>
          <w:szCs w:val="24"/>
          <w:highlight w:val="none"/>
        </w:rPr>
        <w:t>款的约定办理。</w:t>
      </w:r>
    </w:p>
    <w:p w14:paraId="4211494B">
      <w:pPr>
        <w:pStyle w:val="31"/>
        <w:pageBreakBefore w:val="0"/>
        <w:widowControl w:val="0"/>
        <w:kinsoku/>
        <w:wordWrap/>
        <w:overflowPunct/>
        <w:topLinePunct w:val="0"/>
        <w:autoSpaceDE/>
        <w:autoSpaceDN/>
        <w:bidi w:val="0"/>
        <w:adjustRightInd/>
        <w:snapToGrid/>
        <w:spacing w:beforeLines="0" w:afterLines="0" w:line="440" w:lineRule="exact"/>
        <w:ind w:firstLine="420"/>
        <w:textAlignment w:val="auto"/>
        <w:rPr>
          <w:rStyle w:val="19"/>
          <w:rFonts w:hint="eastAsia" w:ascii="Times New Roman" w:hAnsi="Times New Roman" w:eastAsia="Times New Roman" w:cs="Times New Roman"/>
          <w:color w:val="auto"/>
          <w:sz w:val="24"/>
          <w:szCs w:val="24"/>
          <w:highlight w:val="none"/>
        </w:rPr>
      </w:pPr>
      <w:r>
        <w:rPr>
          <w:rStyle w:val="19"/>
          <w:rFonts w:hint="eastAsia" w:ascii="Times New Roman" w:hAnsi="Times New Roman" w:eastAsia="Times New Roman" w:cs="Times New Roman"/>
          <w:color w:val="auto"/>
          <w:sz w:val="24"/>
          <w:szCs w:val="24"/>
          <w:highlight w:val="none"/>
          <w:lang w:val="en-US"/>
        </w:rPr>
        <w:t>1.6.</w:t>
      </w:r>
      <w:r>
        <w:rPr>
          <w:rStyle w:val="19"/>
          <w:rFonts w:hint="eastAsia" w:ascii="Times New Roman" w:hAnsi="Times New Roman" w:eastAsia="Times New Roman" w:cs="Times New Roman"/>
          <w:color w:val="auto"/>
          <w:sz w:val="24"/>
          <w:szCs w:val="24"/>
          <w:highlight w:val="none"/>
        </w:rPr>
        <w:t>2</w:t>
      </w:r>
      <w:r>
        <w:rPr>
          <w:rStyle w:val="19"/>
          <w:rFonts w:hint="default" w:hAnsi="Times New Roman" w:cs="Times New Roman"/>
          <w:color w:val="auto"/>
          <w:sz w:val="24"/>
          <w:szCs w:val="24"/>
          <w:highlight w:val="none"/>
        </w:rPr>
        <w:t>承包人提供的文件</w:t>
      </w:r>
    </w:p>
    <w:p w14:paraId="46B8193F">
      <w:pPr>
        <w:pStyle w:val="31"/>
        <w:pageBreakBefore w:val="0"/>
        <w:widowControl w:val="0"/>
        <w:kinsoku/>
        <w:wordWrap/>
        <w:overflowPunct/>
        <w:topLinePunct w:val="0"/>
        <w:autoSpaceDE/>
        <w:autoSpaceDN/>
        <w:bidi w:val="0"/>
        <w:adjustRightInd/>
        <w:snapToGrid/>
        <w:spacing w:beforeLines="0" w:after="120" w:afterLines="0" w:line="440" w:lineRule="exact"/>
        <w:ind w:firstLine="440"/>
        <w:jc w:val="both"/>
        <w:textAlignment w:val="auto"/>
        <w:rPr>
          <w:rStyle w:val="19"/>
          <w:rFonts w:hint="eastAsia" w:ascii="Times New Roman" w:hAnsi="Times New Roman" w:eastAsia="Times New Roman" w:cs="Times New Roman"/>
          <w:color w:val="auto"/>
          <w:sz w:val="24"/>
          <w:szCs w:val="24"/>
          <w:highlight w:val="none"/>
        </w:rPr>
      </w:pPr>
      <w:r>
        <w:rPr>
          <w:rStyle w:val="19"/>
          <w:rFonts w:hint="default" w:hAnsi="Times New Roman" w:cs="Times New Roman"/>
          <w:color w:val="auto"/>
          <w:sz w:val="24"/>
          <w:szCs w:val="24"/>
          <w:highlight w:val="none"/>
        </w:rPr>
        <w:t>承包人提供的文件应按技术标准和要求（合同技术条款）约定的期限和数量提供给监理人。监理人应按技术标准和要求（合同技术条款）约定的期限批复承包人。</w:t>
      </w:r>
    </w:p>
    <w:p w14:paraId="47AB7A77">
      <w:pPr>
        <w:pStyle w:val="31"/>
        <w:pageBreakBefore w:val="0"/>
        <w:widowControl w:val="0"/>
        <w:kinsoku/>
        <w:wordWrap/>
        <w:overflowPunct/>
        <w:topLinePunct w:val="0"/>
        <w:autoSpaceDE/>
        <w:autoSpaceDN/>
        <w:bidi w:val="0"/>
        <w:adjustRightInd/>
        <w:snapToGrid/>
        <w:spacing w:beforeLines="0" w:afterLines="0" w:line="440" w:lineRule="exact"/>
        <w:ind w:firstLine="420"/>
        <w:textAlignment w:val="auto"/>
        <w:rPr>
          <w:rStyle w:val="19"/>
          <w:rFonts w:hint="eastAsia" w:ascii="Times New Roman" w:hAnsi="Times New Roman" w:eastAsia="Times New Roman" w:cs="Times New Roman"/>
          <w:color w:val="auto"/>
          <w:sz w:val="24"/>
          <w:szCs w:val="24"/>
          <w:highlight w:val="none"/>
        </w:rPr>
      </w:pPr>
      <w:r>
        <w:rPr>
          <w:rStyle w:val="19"/>
          <w:rFonts w:hint="eastAsia" w:ascii="Times New Roman" w:hAnsi="Times New Roman" w:eastAsia="Times New Roman" w:cs="Times New Roman"/>
          <w:color w:val="auto"/>
          <w:sz w:val="24"/>
          <w:szCs w:val="24"/>
          <w:highlight w:val="none"/>
          <w:lang w:val="en-US"/>
        </w:rPr>
        <w:t>1.6.3</w:t>
      </w:r>
      <w:r>
        <w:rPr>
          <w:rStyle w:val="19"/>
          <w:rFonts w:hint="default" w:hAnsi="Times New Roman" w:cs="Times New Roman"/>
          <w:color w:val="auto"/>
          <w:sz w:val="24"/>
          <w:szCs w:val="24"/>
          <w:highlight w:val="none"/>
        </w:rPr>
        <w:t>图纸的修改</w:t>
      </w:r>
    </w:p>
    <w:p w14:paraId="00C8568D">
      <w:pPr>
        <w:pStyle w:val="31"/>
        <w:pageBreakBefore w:val="0"/>
        <w:widowControl w:val="0"/>
        <w:kinsoku/>
        <w:wordWrap/>
        <w:overflowPunct/>
        <w:topLinePunct w:val="0"/>
        <w:autoSpaceDE/>
        <w:autoSpaceDN/>
        <w:bidi w:val="0"/>
        <w:adjustRightInd/>
        <w:snapToGrid/>
        <w:spacing w:beforeLines="0" w:after="120" w:afterLines="0" w:line="440" w:lineRule="exact"/>
        <w:ind w:firstLine="440"/>
        <w:jc w:val="both"/>
        <w:textAlignment w:val="auto"/>
        <w:rPr>
          <w:rStyle w:val="19"/>
          <w:rFonts w:hint="eastAsia" w:ascii="Times New Roman" w:hAnsi="Times New Roman" w:eastAsia="Times New Roman" w:cs="Times New Roman"/>
          <w:color w:val="auto"/>
          <w:sz w:val="24"/>
          <w:szCs w:val="24"/>
          <w:highlight w:val="none"/>
        </w:rPr>
      </w:pPr>
      <w:r>
        <w:rPr>
          <w:rStyle w:val="19"/>
          <w:rFonts w:hint="default" w:hAnsi="Times New Roman" w:cs="Times New Roman"/>
          <w:color w:val="auto"/>
          <w:sz w:val="24"/>
          <w:szCs w:val="24"/>
          <w:highlight w:val="none"/>
        </w:rPr>
        <w:t>设计人需要对已发给承包人的施工图纸进行修改时，监理人应在技术标准和要求（合同技术条款）约定的期限内签发施工图纸的修改图给承包人。承包人应按技术标准和要求（合同技术条款）的约定编制一份承包人实施计划提交监理人批准后执行。</w:t>
      </w:r>
    </w:p>
    <w:p w14:paraId="388EFFF3">
      <w:pPr>
        <w:pStyle w:val="31"/>
        <w:pageBreakBefore w:val="0"/>
        <w:widowControl w:val="0"/>
        <w:kinsoku/>
        <w:wordWrap/>
        <w:overflowPunct/>
        <w:topLinePunct w:val="0"/>
        <w:autoSpaceDE/>
        <w:autoSpaceDN/>
        <w:bidi w:val="0"/>
        <w:adjustRightInd/>
        <w:snapToGrid/>
        <w:spacing w:beforeLines="0" w:afterLines="0" w:line="440" w:lineRule="exact"/>
        <w:ind w:firstLine="420"/>
        <w:textAlignment w:val="auto"/>
        <w:rPr>
          <w:rStyle w:val="19"/>
          <w:rFonts w:hint="eastAsia" w:ascii="Times New Roman" w:hAnsi="Times New Roman" w:eastAsia="Times New Roman" w:cs="Times New Roman"/>
          <w:color w:val="auto"/>
          <w:sz w:val="24"/>
          <w:szCs w:val="24"/>
          <w:highlight w:val="none"/>
        </w:rPr>
      </w:pPr>
      <w:r>
        <w:rPr>
          <w:rStyle w:val="19"/>
          <w:rFonts w:hint="eastAsia" w:ascii="Times New Roman" w:hAnsi="Times New Roman" w:eastAsia="Times New Roman" w:cs="Times New Roman"/>
          <w:color w:val="auto"/>
          <w:sz w:val="24"/>
          <w:szCs w:val="24"/>
          <w:highlight w:val="none"/>
          <w:lang w:val="en-US"/>
        </w:rPr>
        <w:t>1.6.4</w:t>
      </w:r>
      <w:r>
        <w:rPr>
          <w:rStyle w:val="19"/>
          <w:rFonts w:hint="default" w:hAnsi="Times New Roman" w:cs="Times New Roman"/>
          <w:color w:val="auto"/>
          <w:sz w:val="24"/>
          <w:szCs w:val="24"/>
          <w:highlight w:val="none"/>
        </w:rPr>
        <w:t>图纸的错误</w:t>
      </w:r>
    </w:p>
    <w:p w14:paraId="46FE9E8E">
      <w:pPr>
        <w:pStyle w:val="31"/>
        <w:pageBreakBefore w:val="0"/>
        <w:widowControl w:val="0"/>
        <w:kinsoku/>
        <w:wordWrap/>
        <w:overflowPunct/>
        <w:topLinePunct w:val="0"/>
        <w:autoSpaceDE/>
        <w:autoSpaceDN/>
        <w:bidi w:val="0"/>
        <w:adjustRightInd/>
        <w:snapToGrid/>
        <w:spacing w:beforeLines="0" w:after="120" w:afterLines="0" w:line="440" w:lineRule="exact"/>
        <w:ind w:firstLine="440"/>
        <w:jc w:val="both"/>
        <w:textAlignment w:val="auto"/>
        <w:rPr>
          <w:rStyle w:val="19"/>
          <w:rFonts w:hint="eastAsia" w:ascii="Times New Roman" w:hAnsi="Times New Roman" w:eastAsia="Times New Roman" w:cs="Times New Roman"/>
          <w:color w:val="auto"/>
          <w:sz w:val="24"/>
          <w:szCs w:val="24"/>
          <w:highlight w:val="none"/>
        </w:rPr>
      </w:pPr>
      <w:r>
        <w:rPr>
          <w:rStyle w:val="19"/>
          <w:rFonts w:hint="default" w:hAnsi="Times New Roman" w:cs="Times New Roman"/>
          <w:color w:val="auto"/>
          <w:sz w:val="24"/>
          <w:szCs w:val="24"/>
          <w:highlight w:val="none"/>
        </w:rPr>
        <w:t>承包人发现发包人提供的图纸存在明显错误或疏忽，应及时通知监理人。</w:t>
      </w:r>
    </w:p>
    <w:p w14:paraId="750E64EF">
      <w:pPr>
        <w:pStyle w:val="31"/>
        <w:pageBreakBefore w:val="0"/>
        <w:widowControl w:val="0"/>
        <w:kinsoku/>
        <w:wordWrap/>
        <w:overflowPunct/>
        <w:topLinePunct w:val="0"/>
        <w:autoSpaceDE/>
        <w:autoSpaceDN/>
        <w:bidi w:val="0"/>
        <w:adjustRightInd/>
        <w:snapToGrid/>
        <w:spacing w:beforeLines="0" w:afterLines="0" w:line="440" w:lineRule="exact"/>
        <w:ind w:firstLine="420"/>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rPr>
        <w:t>1.6.5</w:t>
      </w:r>
      <w:r>
        <w:rPr>
          <w:rStyle w:val="19"/>
          <w:rFonts w:hint="default" w:hAnsi="Times New Roman" w:cs="Times New Roman"/>
          <w:color w:val="auto"/>
          <w:sz w:val="24"/>
          <w:szCs w:val="24"/>
          <w:highlight w:val="none"/>
        </w:rPr>
        <w:t>图纸和承包人文件的保管</w:t>
      </w:r>
    </w:p>
    <w:p w14:paraId="7F04CD7B">
      <w:pPr>
        <w:pStyle w:val="31"/>
        <w:pageBreakBefore w:val="0"/>
        <w:widowControl w:val="0"/>
        <w:kinsoku/>
        <w:wordWrap/>
        <w:overflowPunct/>
        <w:topLinePunct w:val="0"/>
        <w:autoSpaceDE/>
        <w:autoSpaceDN/>
        <w:bidi w:val="0"/>
        <w:adjustRightInd/>
        <w:snapToGrid/>
        <w:spacing w:beforeLines="0" w:after="180" w:afterLines="0" w:line="440" w:lineRule="exact"/>
        <w:ind w:firstLine="440"/>
        <w:jc w:val="both"/>
        <w:textAlignment w:val="auto"/>
        <w:rPr>
          <w:rStyle w:val="19"/>
          <w:rFonts w:hint="default"/>
          <w:color w:val="auto"/>
          <w:sz w:val="24"/>
          <w:szCs w:val="20"/>
          <w:highlight w:val="none"/>
        </w:rPr>
      </w:pPr>
      <w:r>
        <w:rPr>
          <w:rStyle w:val="19"/>
          <w:rFonts w:hint="default"/>
          <w:color w:val="auto"/>
          <w:sz w:val="24"/>
          <w:szCs w:val="20"/>
          <w:highlight w:val="none"/>
        </w:rPr>
        <w:t>监理人和承包人均应在施工场地各保存一套完整的包含第</w:t>
      </w:r>
      <w:r>
        <w:rPr>
          <w:rStyle w:val="19"/>
          <w:rFonts w:hint="eastAsia" w:ascii="Times New Roman" w:hAnsi="Times New Roman" w:eastAsia="Times New Roman" w:cs="Times New Roman"/>
          <w:color w:val="auto"/>
          <w:sz w:val="24"/>
          <w:szCs w:val="24"/>
          <w:highlight w:val="none"/>
          <w:lang w:val="en-US" w:bidi="en-US"/>
        </w:rPr>
        <w:t xml:space="preserve">1. 6. </w:t>
      </w:r>
      <w:r>
        <w:rPr>
          <w:rStyle w:val="19"/>
          <w:rFonts w:hint="eastAsia" w:ascii="Times New Roman" w:hAnsi="Times New Roman" w:eastAsia="Times New Roman" w:cs="Times New Roman"/>
          <w:color w:val="auto"/>
          <w:sz w:val="24"/>
          <w:szCs w:val="24"/>
          <w:highlight w:val="none"/>
        </w:rPr>
        <w:t>1</w:t>
      </w:r>
      <w:r>
        <w:rPr>
          <w:rStyle w:val="19"/>
          <w:rFonts w:hint="default"/>
          <w:color w:val="auto"/>
          <w:sz w:val="24"/>
          <w:szCs w:val="20"/>
          <w:highlight w:val="none"/>
        </w:rPr>
        <w:t>项、第</w:t>
      </w:r>
      <w:r>
        <w:rPr>
          <w:rStyle w:val="19"/>
          <w:rFonts w:hint="eastAsia" w:ascii="Times New Roman" w:hAnsi="Times New Roman" w:eastAsia="Times New Roman" w:cs="Times New Roman"/>
          <w:color w:val="auto"/>
          <w:sz w:val="24"/>
          <w:szCs w:val="24"/>
          <w:highlight w:val="none"/>
          <w:lang w:val="en-US" w:bidi="en-US"/>
        </w:rPr>
        <w:t>1.6.2</w:t>
      </w:r>
      <w:r>
        <w:rPr>
          <w:rStyle w:val="19"/>
          <w:rFonts w:hint="default"/>
          <w:color w:val="auto"/>
          <w:sz w:val="24"/>
          <w:szCs w:val="20"/>
          <w:highlight w:val="none"/>
        </w:rPr>
        <w:t xml:space="preserve">项、第 </w:t>
      </w:r>
      <w:r>
        <w:rPr>
          <w:rStyle w:val="19"/>
          <w:rFonts w:hint="eastAsia" w:ascii="Times New Roman" w:hAnsi="Times New Roman" w:eastAsia="Times New Roman" w:cs="Times New Roman"/>
          <w:color w:val="auto"/>
          <w:sz w:val="24"/>
          <w:szCs w:val="24"/>
          <w:highlight w:val="none"/>
          <w:lang w:val="en-US" w:bidi="en-US"/>
        </w:rPr>
        <w:t xml:space="preserve">1.6. </w:t>
      </w:r>
      <w:r>
        <w:rPr>
          <w:rStyle w:val="19"/>
          <w:rFonts w:hint="eastAsia" w:ascii="Times New Roman" w:hAnsi="Times New Roman" w:eastAsia="Times New Roman" w:cs="Times New Roman"/>
          <w:color w:val="auto"/>
          <w:sz w:val="24"/>
          <w:szCs w:val="24"/>
          <w:highlight w:val="none"/>
        </w:rPr>
        <w:t>3</w:t>
      </w:r>
      <w:r>
        <w:rPr>
          <w:rStyle w:val="19"/>
          <w:rFonts w:hint="default"/>
          <w:color w:val="auto"/>
          <w:sz w:val="24"/>
          <w:szCs w:val="20"/>
          <w:highlight w:val="none"/>
        </w:rPr>
        <w:t>项约定内容的图纸和承包人文件。</w:t>
      </w:r>
    </w:p>
    <w:p w14:paraId="23B57675">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233" w:name="_Toc18431"/>
      <w:bookmarkStart w:id="234" w:name="_Toc28325"/>
      <w:bookmarkStart w:id="235" w:name="bookmark931"/>
      <w:bookmarkStart w:id="236" w:name="bookmark930"/>
      <w:bookmarkStart w:id="237" w:name="_Toc256000013"/>
      <w:bookmarkStart w:id="238" w:name="bookmark932"/>
      <w:r>
        <w:rPr>
          <w:rStyle w:val="19"/>
          <w:rFonts w:hint="default" w:ascii="宋体" w:hAnsi="宋体" w:eastAsia="宋体"/>
          <w:color w:val="auto"/>
          <w:sz w:val="24"/>
          <w:szCs w:val="20"/>
          <w:highlight w:val="none"/>
          <w:lang w:eastAsia="zh-CN"/>
        </w:rPr>
        <w:t>1.7联络</w:t>
      </w:r>
      <w:bookmarkEnd w:id="233"/>
      <w:bookmarkEnd w:id="234"/>
      <w:bookmarkEnd w:id="235"/>
      <w:bookmarkEnd w:id="236"/>
      <w:bookmarkEnd w:id="237"/>
      <w:bookmarkEnd w:id="238"/>
    </w:p>
    <w:p w14:paraId="72D11EE3">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eastAsia" w:ascii="Times New Roman" w:hAnsi="Times New Roman" w:eastAsia="Times New Roman" w:cs="Times New Roman"/>
          <w:color w:val="auto"/>
          <w:sz w:val="24"/>
          <w:szCs w:val="24"/>
          <w:highlight w:val="none"/>
        </w:rPr>
      </w:pPr>
      <w:r>
        <w:rPr>
          <w:rStyle w:val="19"/>
          <w:rFonts w:hint="eastAsia" w:ascii="Times New Roman" w:hAnsi="Times New Roman" w:eastAsia="Times New Roman" w:cs="Times New Roman"/>
          <w:color w:val="auto"/>
          <w:sz w:val="24"/>
          <w:szCs w:val="24"/>
          <w:highlight w:val="none"/>
          <w:lang w:val="en-US" w:bidi="en-US"/>
        </w:rPr>
        <w:t>1.7.1</w:t>
      </w:r>
      <w:r>
        <w:rPr>
          <w:rStyle w:val="19"/>
          <w:rFonts w:hint="default" w:hAnsi="Times New Roman" w:cs="Times New Roman"/>
          <w:color w:val="auto"/>
          <w:sz w:val="24"/>
          <w:szCs w:val="24"/>
          <w:highlight w:val="none"/>
        </w:rPr>
        <w:t>与合同有关的通知、批准、证明、证书、指示、要求、请求、同意、意见、确 定和决定等，均应采用书面形式。</w:t>
      </w:r>
    </w:p>
    <w:p w14:paraId="10D66C7D">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eastAsia" w:ascii="Times New Roman" w:hAnsi="Times New Roman" w:eastAsia="Times New Roman" w:cs="Times New Roman"/>
          <w:color w:val="auto"/>
          <w:sz w:val="24"/>
          <w:szCs w:val="24"/>
          <w:highlight w:val="none"/>
        </w:rPr>
      </w:pPr>
      <w:r>
        <w:rPr>
          <w:rStyle w:val="19"/>
          <w:rFonts w:hint="eastAsia" w:ascii="Times New Roman" w:hAnsi="Times New Roman" w:eastAsia="Times New Roman" w:cs="Times New Roman"/>
          <w:color w:val="auto"/>
          <w:sz w:val="24"/>
          <w:szCs w:val="24"/>
          <w:highlight w:val="none"/>
          <w:lang w:val="en-US" w:bidi="en-US"/>
        </w:rPr>
        <w:t>1.7.2</w:t>
      </w:r>
      <w:r>
        <w:rPr>
          <w:rStyle w:val="19"/>
          <w:rFonts w:hint="default" w:hAnsi="Times New Roman" w:cs="Times New Roman"/>
          <w:color w:val="auto"/>
          <w:sz w:val="24"/>
          <w:szCs w:val="24"/>
          <w:highlight w:val="none"/>
        </w:rPr>
        <w:t>第</w:t>
      </w:r>
      <w:r>
        <w:rPr>
          <w:rStyle w:val="19"/>
          <w:rFonts w:hint="eastAsia" w:ascii="Times New Roman" w:hAnsi="Times New Roman" w:eastAsia="Times New Roman" w:cs="Times New Roman"/>
          <w:color w:val="auto"/>
          <w:sz w:val="24"/>
          <w:szCs w:val="24"/>
          <w:highlight w:val="none"/>
          <w:lang w:val="en-US" w:bidi="en-US"/>
        </w:rPr>
        <w:t>1.7.1</w:t>
      </w:r>
      <w:r>
        <w:rPr>
          <w:rStyle w:val="19"/>
          <w:rFonts w:hint="default" w:hAnsi="Times New Roman" w:cs="Times New Roman"/>
          <w:color w:val="auto"/>
          <w:sz w:val="24"/>
          <w:szCs w:val="24"/>
          <w:highlight w:val="none"/>
        </w:rPr>
        <w:t>项中的通知、批准、证明、证书、指示、要求、请求、同意、意见、 确定和决定等来往函件，均应在合同约定的期限内送达指定地点和接收人，并办理签收手续。来往函件的送达期限在技术标准和要求（合同技术条款）中约定，送达地点在专用合同条款中约定。</w:t>
      </w:r>
    </w:p>
    <w:p w14:paraId="602E1EF3">
      <w:pPr>
        <w:pStyle w:val="31"/>
        <w:pageBreakBefore w:val="0"/>
        <w:widowControl w:val="0"/>
        <w:kinsoku/>
        <w:wordWrap/>
        <w:overflowPunct/>
        <w:topLinePunct w:val="0"/>
        <w:autoSpaceDE/>
        <w:autoSpaceDN/>
        <w:bidi w:val="0"/>
        <w:adjustRightInd/>
        <w:snapToGrid/>
        <w:spacing w:beforeLines="0" w:after="180" w:afterLines="0" w:line="440" w:lineRule="exact"/>
        <w:ind w:firstLine="44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1.7.3</w:t>
      </w:r>
      <w:r>
        <w:rPr>
          <w:rStyle w:val="19"/>
          <w:rFonts w:hint="default" w:hAnsi="Times New Roman" w:cs="Times New Roman"/>
          <w:color w:val="auto"/>
          <w:sz w:val="24"/>
          <w:szCs w:val="24"/>
          <w:highlight w:val="none"/>
        </w:rPr>
        <w:t>来往</w:t>
      </w:r>
      <w:r>
        <w:rPr>
          <w:rStyle w:val="19"/>
          <w:rFonts w:hint="default"/>
          <w:color w:val="auto"/>
          <w:sz w:val="24"/>
          <w:szCs w:val="20"/>
          <w:highlight w:val="none"/>
        </w:rPr>
        <w:t>函件均应按合同约定的期限及时发出和答复，不得无故扣压和拖延，亦不得拒收。否则，由此造成的后果由责任方负责。</w:t>
      </w:r>
    </w:p>
    <w:p w14:paraId="2844B34A">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239" w:name="bookmark933"/>
      <w:bookmarkStart w:id="240" w:name="_Toc31757"/>
      <w:bookmarkStart w:id="241" w:name="_Toc256000014"/>
      <w:bookmarkStart w:id="242" w:name="_Toc11450"/>
      <w:bookmarkStart w:id="243" w:name="bookmark935"/>
      <w:bookmarkStart w:id="244" w:name="bookmark934"/>
      <w:r>
        <w:rPr>
          <w:rStyle w:val="19"/>
          <w:rFonts w:hint="default" w:ascii="宋体" w:hAnsi="宋体" w:eastAsia="宋体"/>
          <w:color w:val="auto"/>
          <w:sz w:val="24"/>
          <w:szCs w:val="20"/>
          <w:highlight w:val="none"/>
          <w:lang w:eastAsia="zh-CN"/>
        </w:rPr>
        <w:t>1.8转让</w:t>
      </w:r>
      <w:bookmarkEnd w:id="239"/>
      <w:bookmarkEnd w:id="240"/>
      <w:bookmarkEnd w:id="241"/>
      <w:bookmarkEnd w:id="242"/>
      <w:bookmarkEnd w:id="243"/>
      <w:bookmarkEnd w:id="244"/>
    </w:p>
    <w:p w14:paraId="1DB03B5C">
      <w:pPr>
        <w:pStyle w:val="31"/>
        <w:pageBreakBefore w:val="0"/>
        <w:widowControl w:val="0"/>
        <w:kinsoku/>
        <w:wordWrap/>
        <w:overflowPunct/>
        <w:topLinePunct w:val="0"/>
        <w:autoSpaceDE/>
        <w:autoSpaceDN/>
        <w:bidi w:val="0"/>
        <w:adjustRightInd/>
        <w:snapToGrid/>
        <w:spacing w:beforeLines="0" w:after="180" w:afterLines="0" w:line="440" w:lineRule="exact"/>
        <w:ind w:firstLine="440"/>
        <w:jc w:val="both"/>
        <w:textAlignment w:val="auto"/>
        <w:rPr>
          <w:rStyle w:val="19"/>
          <w:rFonts w:hint="default"/>
          <w:color w:val="auto"/>
          <w:sz w:val="24"/>
          <w:szCs w:val="20"/>
          <w:highlight w:val="none"/>
        </w:rPr>
      </w:pPr>
      <w:r>
        <w:rPr>
          <w:rStyle w:val="19"/>
          <w:rFonts w:hint="default"/>
          <w:color w:val="auto"/>
          <w:sz w:val="24"/>
          <w:szCs w:val="20"/>
          <w:highlight w:val="none"/>
        </w:rPr>
        <w:t>除合同另有约定外，未经对方当事人同意，一方当事人不得将合同权利全部或部分转让给第三人，也不得全部或部分转移合同义务。</w:t>
      </w:r>
    </w:p>
    <w:p w14:paraId="3FCD8BC0">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245" w:name="bookmark938"/>
      <w:bookmarkStart w:id="246" w:name="bookmark937"/>
      <w:bookmarkStart w:id="247" w:name="_Toc25110"/>
      <w:bookmarkStart w:id="248" w:name="_Toc256000015"/>
      <w:bookmarkStart w:id="249" w:name="_Toc28520"/>
      <w:bookmarkStart w:id="250" w:name="bookmark936"/>
      <w:r>
        <w:rPr>
          <w:rStyle w:val="19"/>
          <w:rFonts w:hint="default" w:ascii="宋体" w:hAnsi="宋体" w:eastAsia="宋体"/>
          <w:color w:val="auto"/>
          <w:sz w:val="24"/>
          <w:szCs w:val="20"/>
          <w:highlight w:val="none"/>
          <w:lang w:eastAsia="zh-CN"/>
        </w:rPr>
        <w:t>1.9严禁贿赂</w:t>
      </w:r>
      <w:bookmarkEnd w:id="245"/>
      <w:bookmarkEnd w:id="246"/>
      <w:bookmarkEnd w:id="247"/>
      <w:bookmarkEnd w:id="248"/>
      <w:bookmarkEnd w:id="249"/>
      <w:bookmarkEnd w:id="250"/>
    </w:p>
    <w:p w14:paraId="747EBCEC">
      <w:pPr>
        <w:pStyle w:val="31"/>
        <w:pageBreakBefore w:val="0"/>
        <w:widowControl w:val="0"/>
        <w:kinsoku/>
        <w:wordWrap/>
        <w:overflowPunct/>
        <w:topLinePunct w:val="0"/>
        <w:autoSpaceDE/>
        <w:autoSpaceDN/>
        <w:bidi w:val="0"/>
        <w:adjustRightInd/>
        <w:snapToGrid/>
        <w:spacing w:beforeLines="0" w:after="180" w:afterLines="0" w:line="440" w:lineRule="exact"/>
        <w:ind w:firstLine="440"/>
        <w:jc w:val="both"/>
        <w:textAlignment w:val="auto"/>
        <w:rPr>
          <w:rStyle w:val="19"/>
          <w:rFonts w:hint="default"/>
          <w:color w:val="auto"/>
          <w:sz w:val="24"/>
          <w:szCs w:val="20"/>
          <w:highlight w:val="none"/>
        </w:rPr>
      </w:pPr>
      <w:r>
        <w:rPr>
          <w:rStyle w:val="19"/>
          <w:rFonts w:hint="default"/>
          <w:color w:val="auto"/>
          <w:sz w:val="24"/>
          <w:szCs w:val="20"/>
          <w:highlight w:val="none"/>
        </w:rPr>
        <w:t>合同双方当事人不得以贿赂或变相贿赂的方式，谋取不当利益或损害对方权益。因贿赂造成对方损失的，行为人应赔偿损失，并承担相应的法律责任。</w:t>
      </w:r>
    </w:p>
    <w:p w14:paraId="30EDFF88">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251" w:name="_Toc256000016"/>
      <w:bookmarkStart w:id="252" w:name="_Toc18518"/>
      <w:bookmarkStart w:id="253" w:name="bookmark940"/>
      <w:bookmarkStart w:id="254" w:name="_Toc27697"/>
      <w:bookmarkStart w:id="255" w:name="bookmark941"/>
      <w:bookmarkStart w:id="256" w:name="bookmark939"/>
      <w:r>
        <w:rPr>
          <w:rStyle w:val="19"/>
          <w:rFonts w:hint="default" w:ascii="宋体" w:hAnsi="宋体" w:eastAsia="宋体"/>
          <w:color w:val="auto"/>
          <w:sz w:val="24"/>
          <w:szCs w:val="20"/>
          <w:highlight w:val="none"/>
          <w:lang w:eastAsia="zh-CN"/>
        </w:rPr>
        <w:t>1.10化石、文物</w:t>
      </w:r>
      <w:bookmarkEnd w:id="251"/>
      <w:bookmarkEnd w:id="252"/>
      <w:bookmarkEnd w:id="253"/>
      <w:bookmarkEnd w:id="254"/>
      <w:bookmarkEnd w:id="255"/>
      <w:bookmarkEnd w:id="256"/>
    </w:p>
    <w:p w14:paraId="1A79401B">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 xml:space="preserve">1.10. </w:t>
      </w:r>
      <w:r>
        <w:rPr>
          <w:rStyle w:val="19"/>
          <w:rFonts w:hint="eastAsia" w:ascii="Times New Roman" w:hAnsi="Times New Roman" w:eastAsia="Times New Roman" w:cs="Times New Roman"/>
          <w:color w:val="auto"/>
          <w:sz w:val="24"/>
          <w:szCs w:val="24"/>
          <w:highlight w:val="none"/>
        </w:rPr>
        <w:t>1</w:t>
      </w:r>
      <w:r>
        <w:rPr>
          <w:rStyle w:val="19"/>
          <w:rFonts w:hint="default"/>
          <w:color w:val="auto"/>
          <w:sz w:val="24"/>
          <w:szCs w:val="20"/>
          <w:highlight w:val="none"/>
        </w:rPr>
        <w:t>在施工场地发掘的所有文物、古迹以及具有地质研究或考古价值的其他遗迹、 化石、钱币或物品属于国家所有。一旦发现上述文物，承包人应采取有效合理的保护措施, 防止任何人员移动或损坏上述物品，并立即报告当地文物行政部门，同时通知监理人。发包人、监理人和承包人应按文物行政部门要求采取妥善保护措施，由此导致费用增加和（或）工期延误由发包人承担。</w:t>
      </w:r>
    </w:p>
    <w:p w14:paraId="33E9F3BC">
      <w:pPr>
        <w:pStyle w:val="31"/>
        <w:pageBreakBefore w:val="0"/>
        <w:widowControl w:val="0"/>
        <w:kinsoku/>
        <w:wordWrap/>
        <w:overflowPunct/>
        <w:topLinePunct w:val="0"/>
        <w:autoSpaceDE/>
        <w:autoSpaceDN/>
        <w:bidi w:val="0"/>
        <w:adjustRightInd/>
        <w:snapToGrid/>
        <w:spacing w:beforeLines="0" w:after="120" w:afterLines="0" w:line="440" w:lineRule="exact"/>
        <w:ind w:firstLine="44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1.10.</w:t>
      </w:r>
      <w:r>
        <w:rPr>
          <w:rStyle w:val="19"/>
          <w:rFonts w:hint="eastAsia" w:ascii="Times New Roman" w:hAnsi="Times New Roman" w:eastAsia="Times New Roman" w:cs="Times New Roman"/>
          <w:color w:val="auto"/>
          <w:sz w:val="24"/>
          <w:szCs w:val="24"/>
          <w:highlight w:val="none"/>
        </w:rPr>
        <w:t>2</w:t>
      </w:r>
      <w:r>
        <w:rPr>
          <w:rStyle w:val="19"/>
          <w:rFonts w:hint="default"/>
          <w:color w:val="auto"/>
          <w:sz w:val="24"/>
          <w:szCs w:val="20"/>
          <w:highlight w:val="none"/>
        </w:rPr>
        <w:t>承包人发现文物后不及时报告或隐瞒不报，致使文物丢失或损坏的，应赔偿损失，并承担相应的法律责任。</w:t>
      </w:r>
    </w:p>
    <w:p w14:paraId="5BFD9673">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257" w:name="bookmark944"/>
      <w:bookmarkStart w:id="258" w:name="_Toc256000017"/>
      <w:bookmarkStart w:id="259" w:name="bookmark943"/>
      <w:bookmarkStart w:id="260" w:name="bookmark942"/>
      <w:bookmarkStart w:id="261" w:name="_Toc8461"/>
      <w:bookmarkStart w:id="262" w:name="_Toc12830"/>
      <w:r>
        <w:rPr>
          <w:rStyle w:val="19"/>
          <w:rFonts w:hint="default" w:ascii="宋体" w:hAnsi="宋体" w:eastAsia="宋体"/>
          <w:color w:val="auto"/>
          <w:sz w:val="24"/>
          <w:szCs w:val="20"/>
          <w:highlight w:val="none"/>
          <w:lang w:eastAsia="zh-CN"/>
        </w:rPr>
        <w:t>1.11专利技术</w:t>
      </w:r>
      <w:bookmarkEnd w:id="257"/>
      <w:bookmarkEnd w:id="258"/>
      <w:bookmarkEnd w:id="259"/>
      <w:bookmarkEnd w:id="260"/>
      <w:bookmarkEnd w:id="261"/>
      <w:bookmarkEnd w:id="262"/>
    </w:p>
    <w:p w14:paraId="5B9C14C5">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1.11.1</w:t>
      </w:r>
      <w:r>
        <w:rPr>
          <w:rStyle w:val="19"/>
          <w:rFonts w:hint="default"/>
          <w:color w:val="auto"/>
          <w:sz w:val="24"/>
          <w:szCs w:val="20"/>
          <w:highlight w:val="none"/>
        </w:rPr>
        <w:t>承包人在使用任何材料、承包人设备、工程设备或采用施工工艺时，因侵犯专利权或其他知识产权所引起的责任，由承包人承担，但由于遵照发包人提供的设计或技术标准和要求引起的除外。</w:t>
      </w:r>
    </w:p>
    <w:p w14:paraId="3D0FAF46">
      <w:pPr>
        <w:pStyle w:val="31"/>
        <w:pageBreakBefore w:val="0"/>
        <w:widowControl w:val="0"/>
        <w:kinsoku/>
        <w:wordWrap/>
        <w:overflowPunct/>
        <w:topLinePunct w:val="0"/>
        <w:autoSpaceDE/>
        <w:autoSpaceDN/>
        <w:bidi w:val="0"/>
        <w:adjustRightInd/>
        <w:snapToGrid/>
        <w:spacing w:beforeLines="0" w:afterLines="0" w:line="440" w:lineRule="exact"/>
        <w:ind w:firstLine="420"/>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1.11.2</w:t>
      </w:r>
      <w:r>
        <w:rPr>
          <w:rStyle w:val="19"/>
          <w:rFonts w:hint="default"/>
          <w:color w:val="auto"/>
          <w:sz w:val="24"/>
          <w:szCs w:val="20"/>
          <w:highlight w:val="none"/>
        </w:rPr>
        <w:t>承包人在投标文件中采用专利技术的，专利技术的使用费包含在投标报价内。</w:t>
      </w:r>
    </w:p>
    <w:p w14:paraId="524F1E15">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1.11.3</w:t>
      </w:r>
      <w:r>
        <w:rPr>
          <w:rStyle w:val="19"/>
          <w:rFonts w:hint="default"/>
          <w:color w:val="auto"/>
          <w:sz w:val="24"/>
          <w:szCs w:val="20"/>
          <w:highlight w:val="none"/>
        </w:rPr>
        <w:t>承包人的技术秘密和声明需要保密的资料和信息，发包人和监理人不得为合同以外的目的泄露给他人。</w:t>
      </w:r>
    </w:p>
    <w:p w14:paraId="4FD3C3B6">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1.11.4</w:t>
      </w:r>
      <w:r>
        <w:rPr>
          <w:rStyle w:val="19"/>
          <w:rFonts w:hint="default"/>
          <w:color w:val="auto"/>
          <w:sz w:val="24"/>
          <w:szCs w:val="20"/>
          <w:highlight w:val="none"/>
        </w:rPr>
        <w:t>合同实施过程中，发包人要求承包人采用专利技术的，发包人应办理相应的使用手续，承包人应按发包人约定的条件使用，并承担使用专利技术的相关试验工作。所需的费用由发包人承担。</w:t>
      </w:r>
    </w:p>
    <w:p w14:paraId="7A591F54">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263" w:name="_Toc256000018"/>
      <w:bookmarkStart w:id="264" w:name="bookmark946"/>
      <w:bookmarkStart w:id="265" w:name="bookmark947"/>
      <w:bookmarkStart w:id="266" w:name="_Toc29021"/>
      <w:bookmarkStart w:id="267" w:name="_Toc21439"/>
      <w:bookmarkStart w:id="268" w:name="bookmark945"/>
      <w:r>
        <w:rPr>
          <w:rStyle w:val="19"/>
          <w:rFonts w:hint="default" w:ascii="宋体" w:hAnsi="宋体" w:eastAsia="宋体"/>
          <w:color w:val="auto"/>
          <w:sz w:val="24"/>
          <w:szCs w:val="20"/>
          <w:highlight w:val="none"/>
          <w:lang w:eastAsia="zh-CN"/>
        </w:rPr>
        <w:t>1.12图纸和文件的保密</w:t>
      </w:r>
      <w:bookmarkEnd w:id="263"/>
      <w:bookmarkEnd w:id="264"/>
      <w:bookmarkEnd w:id="265"/>
      <w:bookmarkEnd w:id="266"/>
      <w:bookmarkEnd w:id="267"/>
      <w:bookmarkEnd w:id="268"/>
    </w:p>
    <w:p w14:paraId="49DF7907">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1.12.1</w:t>
      </w:r>
      <w:r>
        <w:rPr>
          <w:rStyle w:val="19"/>
          <w:rFonts w:hint="default"/>
          <w:color w:val="auto"/>
          <w:sz w:val="24"/>
          <w:szCs w:val="20"/>
          <w:highlight w:val="none"/>
        </w:rPr>
        <w:t>发包人提供的图纸和文件，未经发包人同意，承包人不得为合同以外的目的泄露给他人或公开发表与引用。</w:t>
      </w:r>
    </w:p>
    <w:p w14:paraId="2810FB52">
      <w:pPr>
        <w:pStyle w:val="31"/>
        <w:pageBreakBefore w:val="0"/>
        <w:widowControl w:val="0"/>
        <w:kinsoku/>
        <w:wordWrap/>
        <w:overflowPunct/>
        <w:topLinePunct w:val="0"/>
        <w:autoSpaceDE/>
        <w:autoSpaceDN/>
        <w:bidi w:val="0"/>
        <w:adjustRightInd/>
        <w:snapToGrid/>
        <w:spacing w:beforeLines="0" w:after="200" w:afterLines="0" w:line="440" w:lineRule="exact"/>
        <w:ind w:firstLine="44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1.12.2</w:t>
      </w:r>
      <w:r>
        <w:rPr>
          <w:rStyle w:val="19"/>
          <w:rFonts w:hint="default"/>
          <w:color w:val="auto"/>
          <w:sz w:val="24"/>
          <w:szCs w:val="20"/>
          <w:highlight w:val="none"/>
        </w:rPr>
        <w:t>承包人提供的文件，未经承包人同意，发包人和监理人不得为合同以外的目的泄露给他人或公开发表与引用。</w:t>
      </w:r>
    </w:p>
    <w:p w14:paraId="3322D335">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eastAsia"/>
          <w:color w:val="auto"/>
          <w:sz w:val="24"/>
          <w:szCs w:val="20"/>
          <w:highlight w:val="none"/>
          <w:lang w:eastAsia="zh-CN"/>
        </w:rPr>
      </w:pPr>
      <w:bookmarkStart w:id="269" w:name="bookmark950"/>
      <w:bookmarkEnd w:id="269"/>
      <w:bookmarkStart w:id="270" w:name="bookmark949"/>
      <w:bookmarkStart w:id="271" w:name="bookmark948"/>
      <w:bookmarkStart w:id="272" w:name="_Toc256000019"/>
      <w:bookmarkStart w:id="273" w:name="_Toc3842"/>
      <w:bookmarkStart w:id="274" w:name="_Toc16330"/>
      <w:bookmarkStart w:id="275" w:name="bookmark951"/>
      <w:r>
        <w:rPr>
          <w:rStyle w:val="19"/>
          <w:rFonts w:hint="eastAsia"/>
          <w:color w:val="auto"/>
          <w:sz w:val="24"/>
          <w:szCs w:val="20"/>
          <w:highlight w:val="none"/>
          <w:lang w:eastAsia="zh-CN"/>
        </w:rPr>
        <w:t>2.</w:t>
      </w:r>
      <w:r>
        <w:rPr>
          <w:rStyle w:val="19"/>
          <w:rFonts w:hint="default" w:ascii="宋体" w:eastAsia="宋体"/>
          <w:color w:val="auto"/>
          <w:sz w:val="24"/>
          <w:szCs w:val="20"/>
          <w:highlight w:val="none"/>
          <w:lang w:eastAsia="zh-CN"/>
        </w:rPr>
        <w:t>发包人义务</w:t>
      </w:r>
      <w:bookmarkEnd w:id="270"/>
      <w:bookmarkEnd w:id="271"/>
      <w:bookmarkEnd w:id="272"/>
      <w:bookmarkEnd w:id="273"/>
      <w:bookmarkEnd w:id="274"/>
      <w:bookmarkEnd w:id="275"/>
    </w:p>
    <w:p w14:paraId="1940CB20">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276" w:name="bookmark953"/>
      <w:bookmarkStart w:id="277" w:name="_Toc256000020"/>
      <w:bookmarkStart w:id="278" w:name="_Toc19875"/>
      <w:bookmarkStart w:id="279" w:name="bookmark954"/>
      <w:bookmarkStart w:id="280" w:name="bookmark952"/>
      <w:bookmarkStart w:id="281" w:name="_Toc27192"/>
      <w:r>
        <w:rPr>
          <w:rStyle w:val="19"/>
          <w:rFonts w:hint="default" w:ascii="宋体" w:hAnsi="宋体" w:eastAsia="宋体"/>
          <w:color w:val="auto"/>
          <w:sz w:val="24"/>
          <w:szCs w:val="20"/>
          <w:highlight w:val="none"/>
          <w:lang w:eastAsia="zh-CN"/>
        </w:rPr>
        <w:t>2.1遵守法律</w:t>
      </w:r>
      <w:bookmarkEnd w:id="276"/>
      <w:bookmarkEnd w:id="277"/>
      <w:bookmarkEnd w:id="278"/>
      <w:bookmarkEnd w:id="279"/>
      <w:bookmarkEnd w:id="280"/>
      <w:bookmarkEnd w:id="281"/>
    </w:p>
    <w:p w14:paraId="3AF1E267">
      <w:pPr>
        <w:pStyle w:val="31"/>
        <w:pageBreakBefore w:val="0"/>
        <w:widowControl w:val="0"/>
        <w:kinsoku/>
        <w:wordWrap/>
        <w:overflowPunct/>
        <w:topLinePunct w:val="0"/>
        <w:autoSpaceDE/>
        <w:autoSpaceDN/>
        <w:bidi w:val="0"/>
        <w:adjustRightInd/>
        <w:snapToGrid/>
        <w:spacing w:beforeLines="0" w:after="240" w:afterLines="0" w:line="440" w:lineRule="exact"/>
        <w:ind w:firstLine="440"/>
        <w:jc w:val="both"/>
        <w:textAlignment w:val="auto"/>
        <w:rPr>
          <w:rStyle w:val="19"/>
          <w:rFonts w:hint="default"/>
          <w:color w:val="auto"/>
          <w:sz w:val="24"/>
          <w:szCs w:val="20"/>
          <w:highlight w:val="none"/>
        </w:rPr>
      </w:pPr>
      <w:r>
        <w:rPr>
          <w:rStyle w:val="19"/>
          <w:rFonts w:hint="default"/>
          <w:color w:val="auto"/>
          <w:sz w:val="24"/>
          <w:szCs w:val="20"/>
          <w:highlight w:val="none"/>
        </w:rPr>
        <w:t>发包人在履行合同过程中应遵守法律，并保证承包人免于承担因发包人违反法律而引 起的任何责任。</w:t>
      </w:r>
    </w:p>
    <w:p w14:paraId="4D3B41E9">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282" w:name="bookmark955"/>
      <w:bookmarkStart w:id="283" w:name="bookmark957"/>
      <w:bookmarkStart w:id="284" w:name="_Toc15166"/>
      <w:bookmarkStart w:id="285" w:name="bookmark956"/>
      <w:bookmarkStart w:id="286" w:name="_Toc16693"/>
      <w:bookmarkStart w:id="287" w:name="_Toc256000021"/>
      <w:r>
        <w:rPr>
          <w:rStyle w:val="19"/>
          <w:rFonts w:hint="default" w:ascii="宋体" w:hAnsi="宋体" w:eastAsia="宋体"/>
          <w:color w:val="auto"/>
          <w:sz w:val="24"/>
          <w:szCs w:val="20"/>
          <w:highlight w:val="none"/>
          <w:lang w:eastAsia="zh-CN"/>
        </w:rPr>
        <w:t>2.2发出开工通知</w:t>
      </w:r>
      <w:bookmarkEnd w:id="282"/>
      <w:bookmarkEnd w:id="283"/>
      <w:bookmarkEnd w:id="284"/>
      <w:bookmarkEnd w:id="285"/>
      <w:bookmarkEnd w:id="286"/>
      <w:bookmarkEnd w:id="287"/>
    </w:p>
    <w:p w14:paraId="6C6D7FC9">
      <w:pPr>
        <w:pStyle w:val="31"/>
        <w:pageBreakBefore w:val="0"/>
        <w:widowControl w:val="0"/>
        <w:kinsoku/>
        <w:wordWrap/>
        <w:overflowPunct/>
        <w:topLinePunct w:val="0"/>
        <w:autoSpaceDE/>
        <w:autoSpaceDN/>
        <w:bidi w:val="0"/>
        <w:adjustRightInd/>
        <w:snapToGrid/>
        <w:spacing w:beforeLines="0" w:after="240" w:afterLines="0" w:line="440" w:lineRule="exact"/>
        <w:ind w:firstLine="420"/>
        <w:textAlignment w:val="auto"/>
        <w:rPr>
          <w:rStyle w:val="19"/>
          <w:rFonts w:hint="default"/>
          <w:color w:val="auto"/>
          <w:sz w:val="24"/>
          <w:szCs w:val="20"/>
          <w:highlight w:val="none"/>
        </w:rPr>
      </w:pPr>
      <w:r>
        <w:rPr>
          <w:rStyle w:val="19"/>
          <w:rFonts w:hint="default"/>
          <w:color w:val="auto"/>
          <w:sz w:val="24"/>
          <w:szCs w:val="20"/>
          <w:highlight w:val="none"/>
        </w:rPr>
        <w:t>发包人应委托监理人按第</w:t>
      </w:r>
      <w:r>
        <w:rPr>
          <w:rStyle w:val="19"/>
          <w:rFonts w:hint="eastAsia" w:ascii="Times New Roman" w:hAnsi="Times New Roman" w:eastAsia="Times New Roman" w:cs="Times New Roman"/>
          <w:color w:val="auto"/>
          <w:sz w:val="24"/>
          <w:szCs w:val="24"/>
          <w:highlight w:val="none"/>
          <w:lang w:val="en-US" w:bidi="en-US"/>
        </w:rPr>
        <w:t xml:space="preserve">H. </w:t>
      </w:r>
      <w:r>
        <w:rPr>
          <w:rStyle w:val="19"/>
          <w:rFonts w:hint="eastAsia" w:ascii="Times New Roman" w:hAnsi="Times New Roman" w:eastAsia="Times New Roman" w:cs="Times New Roman"/>
          <w:color w:val="auto"/>
          <w:sz w:val="24"/>
          <w:szCs w:val="24"/>
          <w:highlight w:val="none"/>
        </w:rPr>
        <w:t>1</w:t>
      </w:r>
      <w:r>
        <w:rPr>
          <w:rStyle w:val="19"/>
          <w:rFonts w:hint="default"/>
          <w:color w:val="auto"/>
          <w:sz w:val="24"/>
          <w:szCs w:val="20"/>
          <w:highlight w:val="none"/>
        </w:rPr>
        <w:t>款的约定向承包人发出开工通知。</w:t>
      </w:r>
    </w:p>
    <w:p w14:paraId="47826A20">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288" w:name="bookmark960"/>
      <w:bookmarkStart w:id="289" w:name="_Toc25325"/>
      <w:bookmarkStart w:id="290" w:name="bookmark959"/>
      <w:bookmarkStart w:id="291" w:name="_Toc5643"/>
      <w:bookmarkStart w:id="292" w:name="bookmark958"/>
      <w:bookmarkStart w:id="293" w:name="_Toc256000022"/>
      <w:r>
        <w:rPr>
          <w:rStyle w:val="19"/>
          <w:rFonts w:hint="default" w:ascii="宋体" w:hAnsi="宋体" w:eastAsia="宋体"/>
          <w:color w:val="auto"/>
          <w:sz w:val="24"/>
          <w:szCs w:val="20"/>
          <w:highlight w:val="none"/>
          <w:lang w:eastAsia="zh-CN"/>
        </w:rPr>
        <w:t>2.3提供施工场地</w:t>
      </w:r>
      <w:bookmarkEnd w:id="288"/>
      <w:bookmarkEnd w:id="289"/>
      <w:bookmarkEnd w:id="290"/>
      <w:bookmarkEnd w:id="291"/>
      <w:bookmarkEnd w:id="292"/>
      <w:bookmarkEnd w:id="293"/>
    </w:p>
    <w:p w14:paraId="399657C3">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2.3.1</w:t>
      </w:r>
      <w:r>
        <w:rPr>
          <w:rStyle w:val="19"/>
          <w:rFonts w:hint="default"/>
          <w:color w:val="auto"/>
          <w:sz w:val="24"/>
          <w:szCs w:val="20"/>
          <w:highlight w:val="none"/>
        </w:rPr>
        <w:t>发包人应在合同双方签定合同协议书后的</w:t>
      </w:r>
      <w:r>
        <w:rPr>
          <w:rStyle w:val="19"/>
          <w:rFonts w:hint="eastAsia" w:ascii="Times New Roman" w:hAnsi="Times New Roman" w:eastAsia="Times New Roman" w:cs="Times New Roman"/>
          <w:color w:val="auto"/>
          <w:sz w:val="24"/>
          <w:szCs w:val="24"/>
          <w:highlight w:val="none"/>
        </w:rPr>
        <w:t>14</w:t>
      </w:r>
      <w:r>
        <w:rPr>
          <w:rStyle w:val="19"/>
          <w:rFonts w:hint="default"/>
          <w:color w:val="auto"/>
          <w:sz w:val="24"/>
          <w:szCs w:val="20"/>
          <w:highlight w:val="none"/>
        </w:rPr>
        <w:t>天内，将本合同工程的施工场地范围图提交给承包人。发包人提供的施工用地范围图应标明用地范围内永久占地与临时占地的范围和界限，以及指明提供给承包人用于施工场地布置的范围和界限及其有关资料。</w:t>
      </w:r>
    </w:p>
    <w:p w14:paraId="7FC5AC23">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2.3.2</w:t>
      </w:r>
      <w:r>
        <w:rPr>
          <w:rStyle w:val="19"/>
          <w:rFonts w:hint="default"/>
          <w:color w:val="auto"/>
          <w:sz w:val="24"/>
          <w:szCs w:val="20"/>
          <w:highlight w:val="none"/>
        </w:rPr>
        <w:t>发包人提供的施工用地范围在专用合同条款中约定。</w:t>
      </w:r>
    </w:p>
    <w:p w14:paraId="7852FACC">
      <w:pPr>
        <w:pStyle w:val="31"/>
        <w:pageBreakBefore w:val="0"/>
        <w:widowControl w:val="0"/>
        <w:kinsoku/>
        <w:wordWrap/>
        <w:overflowPunct/>
        <w:topLinePunct w:val="0"/>
        <w:autoSpaceDE/>
        <w:autoSpaceDN/>
        <w:bidi w:val="0"/>
        <w:adjustRightInd/>
        <w:snapToGrid/>
        <w:spacing w:beforeLines="0" w:after="240" w:afterLines="0" w:line="440" w:lineRule="exact"/>
        <w:ind w:firstLine="44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2.3.3</w:t>
      </w:r>
      <w:r>
        <w:rPr>
          <w:rStyle w:val="19"/>
          <w:rFonts w:hint="default"/>
          <w:color w:val="auto"/>
          <w:sz w:val="24"/>
          <w:szCs w:val="20"/>
          <w:highlight w:val="none"/>
        </w:rPr>
        <w:t>除专用合同条款另有约定外，发包人应按技术标准和要求（合同技术条款）的约定，向承包人提供施工场地内的工程地质图纸和报告，以及地下障碍物图纸等施工场地有关资料，并保证资料的真实、准确、完整。</w:t>
      </w:r>
    </w:p>
    <w:p w14:paraId="357D6089">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294" w:name="_Toc14473"/>
      <w:bookmarkStart w:id="295" w:name="_Toc3862"/>
      <w:bookmarkStart w:id="296" w:name="bookmark961"/>
      <w:bookmarkStart w:id="297" w:name="_Toc256000023"/>
      <w:bookmarkStart w:id="298" w:name="bookmark963"/>
      <w:bookmarkStart w:id="299" w:name="bookmark962"/>
      <w:r>
        <w:rPr>
          <w:rStyle w:val="19"/>
          <w:rFonts w:hint="default" w:ascii="宋体" w:hAnsi="宋体" w:eastAsia="宋体"/>
          <w:color w:val="auto"/>
          <w:sz w:val="24"/>
          <w:szCs w:val="20"/>
          <w:highlight w:val="none"/>
          <w:lang w:eastAsia="zh-CN"/>
        </w:rPr>
        <w:t>2.4协助承包人办理证件和批件</w:t>
      </w:r>
      <w:bookmarkEnd w:id="294"/>
      <w:bookmarkEnd w:id="295"/>
      <w:bookmarkEnd w:id="296"/>
      <w:bookmarkEnd w:id="297"/>
      <w:bookmarkEnd w:id="298"/>
      <w:bookmarkEnd w:id="299"/>
    </w:p>
    <w:p w14:paraId="2694D770">
      <w:pPr>
        <w:pStyle w:val="31"/>
        <w:pageBreakBefore w:val="0"/>
        <w:widowControl w:val="0"/>
        <w:kinsoku/>
        <w:wordWrap/>
        <w:overflowPunct/>
        <w:topLinePunct w:val="0"/>
        <w:autoSpaceDE/>
        <w:autoSpaceDN/>
        <w:bidi w:val="0"/>
        <w:adjustRightInd/>
        <w:snapToGrid/>
        <w:spacing w:beforeLines="0" w:after="240" w:afterLines="0" w:line="440" w:lineRule="exact"/>
        <w:ind w:firstLine="420"/>
        <w:textAlignment w:val="auto"/>
        <w:rPr>
          <w:rStyle w:val="19"/>
          <w:rFonts w:hint="default"/>
          <w:color w:val="auto"/>
          <w:sz w:val="24"/>
          <w:szCs w:val="20"/>
          <w:highlight w:val="none"/>
        </w:rPr>
      </w:pPr>
      <w:r>
        <w:rPr>
          <w:rStyle w:val="19"/>
          <w:rFonts w:hint="default"/>
          <w:color w:val="auto"/>
          <w:sz w:val="24"/>
          <w:szCs w:val="20"/>
          <w:highlight w:val="none"/>
        </w:rPr>
        <w:t>发包人应协助承包人办理法律规定的有关施工证件和批件。</w:t>
      </w:r>
    </w:p>
    <w:p w14:paraId="6BDEAC58">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300" w:name="_Toc27327"/>
      <w:bookmarkStart w:id="301" w:name="bookmark964"/>
      <w:bookmarkStart w:id="302" w:name="bookmark965"/>
      <w:bookmarkStart w:id="303" w:name="bookmark966"/>
      <w:bookmarkStart w:id="304" w:name="_Toc15085"/>
      <w:bookmarkStart w:id="305" w:name="_Toc256000024"/>
      <w:r>
        <w:rPr>
          <w:rStyle w:val="19"/>
          <w:rFonts w:hint="default" w:ascii="宋体" w:hAnsi="宋体" w:eastAsia="宋体"/>
          <w:color w:val="auto"/>
          <w:sz w:val="24"/>
          <w:szCs w:val="20"/>
          <w:highlight w:val="none"/>
          <w:lang w:eastAsia="zh-CN"/>
        </w:rPr>
        <w:t>2.5组织设计交底</w:t>
      </w:r>
      <w:bookmarkEnd w:id="300"/>
      <w:bookmarkEnd w:id="301"/>
      <w:bookmarkEnd w:id="302"/>
      <w:bookmarkEnd w:id="303"/>
      <w:bookmarkEnd w:id="304"/>
      <w:bookmarkEnd w:id="305"/>
    </w:p>
    <w:p w14:paraId="21B3FE4C">
      <w:pPr>
        <w:pStyle w:val="31"/>
        <w:pageBreakBefore w:val="0"/>
        <w:widowControl w:val="0"/>
        <w:kinsoku/>
        <w:wordWrap/>
        <w:overflowPunct/>
        <w:topLinePunct w:val="0"/>
        <w:autoSpaceDE/>
        <w:autoSpaceDN/>
        <w:bidi w:val="0"/>
        <w:adjustRightInd/>
        <w:snapToGrid/>
        <w:spacing w:beforeLines="0" w:after="240" w:afterLines="0" w:line="440" w:lineRule="exact"/>
        <w:ind w:firstLine="420"/>
        <w:textAlignment w:val="auto"/>
        <w:rPr>
          <w:rStyle w:val="19"/>
          <w:rFonts w:hint="default"/>
          <w:color w:val="auto"/>
          <w:sz w:val="24"/>
          <w:szCs w:val="20"/>
          <w:highlight w:val="none"/>
        </w:rPr>
      </w:pPr>
      <w:r>
        <w:rPr>
          <w:rStyle w:val="19"/>
          <w:rFonts w:hint="default"/>
          <w:color w:val="auto"/>
          <w:sz w:val="24"/>
          <w:szCs w:val="20"/>
          <w:highlight w:val="none"/>
        </w:rPr>
        <w:t>发包人应根据合同进度计划，组织设计单位向承包人进行设计交底。</w:t>
      </w:r>
    </w:p>
    <w:p w14:paraId="7B819088">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306" w:name="_Toc256000025"/>
      <w:bookmarkStart w:id="307" w:name="bookmark969"/>
      <w:bookmarkStart w:id="308" w:name="bookmark967"/>
      <w:bookmarkStart w:id="309" w:name="_Toc11916"/>
      <w:bookmarkStart w:id="310" w:name="bookmark968"/>
      <w:r>
        <w:rPr>
          <w:rStyle w:val="19"/>
          <w:rFonts w:hint="default" w:ascii="宋体" w:hAnsi="宋体" w:eastAsia="宋体"/>
          <w:color w:val="auto"/>
          <w:sz w:val="24"/>
          <w:szCs w:val="20"/>
          <w:highlight w:val="none"/>
          <w:lang w:eastAsia="zh-CN"/>
        </w:rPr>
        <w:t>2.6支付合同价款</w:t>
      </w:r>
      <w:bookmarkEnd w:id="306"/>
      <w:bookmarkEnd w:id="307"/>
      <w:bookmarkEnd w:id="308"/>
      <w:bookmarkEnd w:id="309"/>
      <w:bookmarkEnd w:id="310"/>
    </w:p>
    <w:p w14:paraId="0E815719">
      <w:pPr>
        <w:pStyle w:val="31"/>
        <w:pageBreakBefore w:val="0"/>
        <w:widowControl w:val="0"/>
        <w:kinsoku/>
        <w:wordWrap/>
        <w:overflowPunct/>
        <w:topLinePunct w:val="0"/>
        <w:autoSpaceDE/>
        <w:autoSpaceDN/>
        <w:bidi w:val="0"/>
        <w:adjustRightInd/>
        <w:snapToGrid/>
        <w:spacing w:beforeLines="0" w:after="240" w:afterLines="0" w:line="440" w:lineRule="exact"/>
        <w:ind w:firstLine="420"/>
        <w:textAlignment w:val="auto"/>
        <w:rPr>
          <w:rStyle w:val="19"/>
          <w:rFonts w:hint="default"/>
          <w:color w:val="auto"/>
          <w:sz w:val="24"/>
          <w:szCs w:val="20"/>
          <w:highlight w:val="none"/>
        </w:rPr>
      </w:pPr>
      <w:r>
        <w:rPr>
          <w:rStyle w:val="19"/>
          <w:rFonts w:hint="default"/>
          <w:color w:val="auto"/>
          <w:sz w:val="24"/>
          <w:szCs w:val="20"/>
          <w:highlight w:val="none"/>
        </w:rPr>
        <w:t>发包人应按合同约定向承包人及时支付合同价款。</w:t>
      </w:r>
    </w:p>
    <w:p w14:paraId="113DA5BF">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311" w:name="_Toc256000026"/>
      <w:bookmarkStart w:id="312" w:name="_Toc14608"/>
      <w:bookmarkStart w:id="313" w:name="_Toc5624"/>
      <w:bookmarkStart w:id="314" w:name="bookmark970"/>
      <w:bookmarkStart w:id="315" w:name="bookmark971"/>
      <w:bookmarkStart w:id="316" w:name="bookmark972"/>
      <w:r>
        <w:rPr>
          <w:rStyle w:val="19"/>
          <w:rFonts w:hint="default" w:ascii="宋体" w:hAnsi="宋体" w:eastAsia="宋体"/>
          <w:color w:val="auto"/>
          <w:sz w:val="24"/>
          <w:szCs w:val="20"/>
          <w:highlight w:val="none"/>
          <w:lang w:eastAsia="zh-CN"/>
        </w:rPr>
        <w:t>2.7组织竣工验收（组织法人验收）</w:t>
      </w:r>
      <w:bookmarkEnd w:id="311"/>
      <w:bookmarkEnd w:id="312"/>
      <w:bookmarkEnd w:id="313"/>
      <w:bookmarkEnd w:id="314"/>
      <w:bookmarkEnd w:id="315"/>
      <w:bookmarkEnd w:id="316"/>
    </w:p>
    <w:p w14:paraId="4E8A779B">
      <w:pPr>
        <w:pStyle w:val="31"/>
        <w:pageBreakBefore w:val="0"/>
        <w:widowControl w:val="0"/>
        <w:kinsoku/>
        <w:wordWrap/>
        <w:overflowPunct/>
        <w:topLinePunct w:val="0"/>
        <w:autoSpaceDE/>
        <w:autoSpaceDN/>
        <w:bidi w:val="0"/>
        <w:adjustRightInd/>
        <w:snapToGrid/>
        <w:spacing w:beforeLines="0" w:after="120" w:afterLines="0" w:line="440" w:lineRule="exact"/>
        <w:ind w:firstLine="420"/>
        <w:textAlignment w:val="auto"/>
        <w:rPr>
          <w:rStyle w:val="19"/>
          <w:rFonts w:hint="default"/>
          <w:color w:val="auto"/>
          <w:sz w:val="24"/>
          <w:szCs w:val="20"/>
          <w:highlight w:val="none"/>
        </w:rPr>
      </w:pPr>
      <w:r>
        <w:rPr>
          <w:rStyle w:val="19"/>
          <w:rFonts w:hint="default"/>
          <w:color w:val="auto"/>
          <w:sz w:val="24"/>
          <w:szCs w:val="20"/>
          <w:highlight w:val="none"/>
        </w:rPr>
        <w:t>发包人应按合同约定及时组织法人验收。</w:t>
      </w:r>
    </w:p>
    <w:p w14:paraId="195E3896">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317" w:name="bookmark973"/>
      <w:bookmarkStart w:id="318" w:name="_Toc26461"/>
      <w:bookmarkStart w:id="319" w:name="bookmark974"/>
      <w:bookmarkStart w:id="320" w:name="_Toc256000027"/>
      <w:bookmarkStart w:id="321" w:name="bookmark975"/>
      <w:bookmarkStart w:id="322" w:name="_Toc16585"/>
      <w:r>
        <w:rPr>
          <w:rStyle w:val="19"/>
          <w:rFonts w:hint="default" w:ascii="宋体" w:hAnsi="宋体" w:eastAsia="宋体"/>
          <w:color w:val="auto"/>
          <w:sz w:val="24"/>
          <w:szCs w:val="20"/>
          <w:highlight w:val="none"/>
          <w:lang w:eastAsia="zh-CN"/>
        </w:rPr>
        <w:t>2.8其它义务</w:t>
      </w:r>
      <w:bookmarkEnd w:id="317"/>
      <w:bookmarkEnd w:id="318"/>
      <w:bookmarkEnd w:id="319"/>
      <w:bookmarkEnd w:id="320"/>
      <w:bookmarkEnd w:id="321"/>
      <w:bookmarkEnd w:id="322"/>
    </w:p>
    <w:p w14:paraId="44C65C59">
      <w:pPr>
        <w:pStyle w:val="31"/>
        <w:pageBreakBefore w:val="0"/>
        <w:widowControl w:val="0"/>
        <w:kinsoku/>
        <w:wordWrap/>
        <w:overflowPunct/>
        <w:topLinePunct w:val="0"/>
        <w:autoSpaceDE/>
        <w:autoSpaceDN/>
        <w:bidi w:val="0"/>
        <w:adjustRightInd/>
        <w:snapToGrid/>
        <w:spacing w:beforeLines="0" w:after="280" w:afterLines="0" w:line="440" w:lineRule="exact"/>
        <w:ind w:firstLine="420"/>
        <w:textAlignment w:val="auto"/>
        <w:rPr>
          <w:rStyle w:val="19"/>
          <w:rFonts w:hint="default"/>
          <w:color w:val="auto"/>
          <w:sz w:val="24"/>
          <w:szCs w:val="20"/>
          <w:highlight w:val="none"/>
        </w:rPr>
      </w:pPr>
      <w:r>
        <w:rPr>
          <w:rStyle w:val="19"/>
          <w:rFonts w:hint="default"/>
          <w:color w:val="auto"/>
          <w:sz w:val="24"/>
          <w:szCs w:val="20"/>
          <w:highlight w:val="none"/>
        </w:rPr>
        <w:t>其它义务在专用合同条款中补充约定。</w:t>
      </w:r>
    </w:p>
    <w:p w14:paraId="611974C6">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eastAsia"/>
          <w:color w:val="auto"/>
          <w:sz w:val="24"/>
          <w:szCs w:val="20"/>
          <w:highlight w:val="none"/>
          <w:lang w:eastAsia="zh-CN"/>
        </w:rPr>
      </w:pPr>
      <w:bookmarkStart w:id="323" w:name="bookmark976"/>
      <w:bookmarkStart w:id="324" w:name="bookmark977"/>
      <w:bookmarkStart w:id="325" w:name="_Toc17454"/>
      <w:bookmarkStart w:id="326" w:name="_Toc256000028"/>
      <w:bookmarkStart w:id="327" w:name="bookmark978"/>
      <w:bookmarkStart w:id="328" w:name="_Toc25929"/>
      <w:r>
        <w:rPr>
          <w:rStyle w:val="19"/>
          <w:rFonts w:hint="eastAsia"/>
          <w:color w:val="auto"/>
          <w:sz w:val="24"/>
          <w:szCs w:val="20"/>
          <w:highlight w:val="none"/>
          <w:lang w:eastAsia="zh-CN"/>
        </w:rPr>
        <w:t>3.</w:t>
      </w:r>
      <w:r>
        <w:rPr>
          <w:rStyle w:val="19"/>
          <w:rFonts w:hint="default" w:ascii="宋体" w:eastAsia="宋体"/>
          <w:color w:val="auto"/>
          <w:sz w:val="24"/>
          <w:szCs w:val="20"/>
          <w:highlight w:val="none"/>
          <w:lang w:eastAsia="zh-CN"/>
        </w:rPr>
        <w:t>监理人</w:t>
      </w:r>
      <w:bookmarkEnd w:id="323"/>
      <w:bookmarkEnd w:id="324"/>
      <w:bookmarkEnd w:id="325"/>
      <w:bookmarkEnd w:id="326"/>
      <w:bookmarkEnd w:id="327"/>
      <w:bookmarkEnd w:id="328"/>
    </w:p>
    <w:p w14:paraId="4D58B396">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329" w:name="bookmark979"/>
      <w:bookmarkStart w:id="330" w:name="bookmark981"/>
      <w:bookmarkStart w:id="331" w:name="_Toc28768"/>
      <w:bookmarkStart w:id="332" w:name="_Toc5442"/>
      <w:bookmarkStart w:id="333" w:name="bookmark980"/>
      <w:bookmarkStart w:id="334" w:name="_Toc256000029"/>
      <w:r>
        <w:rPr>
          <w:rStyle w:val="19"/>
          <w:rFonts w:hint="default" w:ascii="宋体" w:hAnsi="宋体" w:eastAsia="宋体"/>
          <w:color w:val="auto"/>
          <w:sz w:val="24"/>
          <w:szCs w:val="20"/>
          <w:highlight w:val="none"/>
          <w:lang w:eastAsia="zh-CN"/>
        </w:rPr>
        <w:t>3.1监理人的职责和权利</w:t>
      </w:r>
      <w:bookmarkEnd w:id="329"/>
      <w:bookmarkEnd w:id="330"/>
      <w:bookmarkEnd w:id="331"/>
      <w:bookmarkEnd w:id="332"/>
      <w:bookmarkEnd w:id="333"/>
      <w:bookmarkEnd w:id="334"/>
    </w:p>
    <w:p w14:paraId="3004539E">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3.1.1</w:t>
      </w:r>
      <w:r>
        <w:rPr>
          <w:rStyle w:val="19"/>
          <w:rFonts w:hint="default"/>
          <w:color w:val="auto"/>
          <w:sz w:val="24"/>
          <w:szCs w:val="20"/>
          <w:highlight w:val="none"/>
        </w:rPr>
        <w:t>监理人受发包人的委托，享有合同约定的权力。监理人的权力范围在专用合同条款中约定。当监理人认为出现了危及生命、工程或毗邻财产等安全的紧急事件时，在不免除合同约定的承包人责任的情况下，监理人可以指示承包人实施为消除或减少这种危险 所必须进行的工作，即使没有发包人的事先批准，承包人也应立即遵照执行。监理人应按 第</w:t>
      </w:r>
      <w:r>
        <w:rPr>
          <w:rStyle w:val="19"/>
          <w:rFonts w:hint="eastAsia" w:ascii="Times New Roman" w:hAnsi="Times New Roman" w:eastAsia="Times New Roman" w:cs="Times New Roman"/>
          <w:color w:val="auto"/>
          <w:sz w:val="24"/>
          <w:szCs w:val="24"/>
          <w:highlight w:val="none"/>
        </w:rPr>
        <w:t>15</w:t>
      </w:r>
      <w:r>
        <w:rPr>
          <w:rStyle w:val="19"/>
          <w:rFonts w:hint="default"/>
          <w:color w:val="auto"/>
          <w:sz w:val="24"/>
          <w:szCs w:val="20"/>
          <w:highlight w:val="none"/>
        </w:rPr>
        <w:t>条的约定增加相应的费用，并通知承包人。</w:t>
      </w:r>
    </w:p>
    <w:p w14:paraId="731CEA7E">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3.1.2</w:t>
      </w:r>
      <w:r>
        <w:rPr>
          <w:rStyle w:val="19"/>
          <w:rFonts w:hint="default"/>
          <w:color w:val="auto"/>
          <w:sz w:val="24"/>
          <w:szCs w:val="20"/>
          <w:highlight w:val="none"/>
        </w:rPr>
        <w:t>监理人发出的任何指示应视为已得到发包人的批准，但监理人无权免除或变更合同约定的发包人和承包人的权利、义务和责任。</w:t>
      </w:r>
    </w:p>
    <w:p w14:paraId="2C61205C">
      <w:pPr>
        <w:pStyle w:val="31"/>
        <w:pageBreakBefore w:val="0"/>
        <w:widowControl w:val="0"/>
        <w:kinsoku/>
        <w:wordWrap/>
        <w:overflowPunct/>
        <w:topLinePunct w:val="0"/>
        <w:autoSpaceDE/>
        <w:autoSpaceDN/>
        <w:bidi w:val="0"/>
        <w:adjustRightInd/>
        <w:snapToGrid/>
        <w:spacing w:beforeLines="0" w:after="12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3.1.3</w:t>
      </w:r>
      <w:r>
        <w:rPr>
          <w:rStyle w:val="19"/>
          <w:rFonts w:hint="default"/>
          <w:color w:val="auto"/>
          <w:sz w:val="24"/>
          <w:szCs w:val="20"/>
          <w:highlight w:val="none"/>
        </w:rPr>
        <w:t>合同约定应由承包人承担的义务和责任，不因监理人对承包人提交文件的审查或批准，对工程、材料和设备的检查和检验，以及为实施监理作出的指示等职务行为而减轻或解除。</w:t>
      </w:r>
    </w:p>
    <w:p w14:paraId="54FB0652">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335" w:name="bookmark983"/>
      <w:bookmarkStart w:id="336" w:name="bookmark982"/>
      <w:bookmarkStart w:id="337" w:name="_Toc28424"/>
      <w:bookmarkStart w:id="338" w:name="bookmark984"/>
      <w:bookmarkStart w:id="339" w:name="_Toc20317"/>
      <w:bookmarkStart w:id="340" w:name="_Toc256000030"/>
      <w:r>
        <w:rPr>
          <w:rStyle w:val="19"/>
          <w:rFonts w:hint="default" w:ascii="宋体" w:hAnsi="宋体" w:eastAsia="宋体"/>
          <w:color w:val="auto"/>
          <w:sz w:val="24"/>
          <w:szCs w:val="20"/>
          <w:highlight w:val="none"/>
          <w:lang w:eastAsia="zh-CN"/>
        </w:rPr>
        <w:t>3.2总监理工程师</w:t>
      </w:r>
      <w:bookmarkEnd w:id="335"/>
      <w:bookmarkEnd w:id="336"/>
      <w:bookmarkEnd w:id="337"/>
      <w:bookmarkEnd w:id="338"/>
      <w:bookmarkEnd w:id="339"/>
      <w:bookmarkEnd w:id="340"/>
    </w:p>
    <w:p w14:paraId="0C86E5C9">
      <w:pPr>
        <w:pStyle w:val="31"/>
        <w:pageBreakBefore w:val="0"/>
        <w:widowControl w:val="0"/>
        <w:kinsoku/>
        <w:wordWrap/>
        <w:overflowPunct/>
        <w:topLinePunct w:val="0"/>
        <w:autoSpaceDE/>
        <w:autoSpaceDN/>
        <w:bidi w:val="0"/>
        <w:adjustRightInd/>
        <w:snapToGrid/>
        <w:spacing w:beforeLines="0" w:after="120" w:afterLines="0" w:line="440" w:lineRule="exact"/>
        <w:ind w:firstLine="420"/>
        <w:jc w:val="both"/>
        <w:textAlignment w:val="auto"/>
        <w:rPr>
          <w:rStyle w:val="19"/>
          <w:rFonts w:hint="default"/>
          <w:color w:val="auto"/>
          <w:sz w:val="24"/>
          <w:szCs w:val="20"/>
          <w:highlight w:val="none"/>
        </w:rPr>
      </w:pPr>
      <w:r>
        <w:rPr>
          <w:rStyle w:val="19"/>
          <w:rFonts w:hint="default"/>
          <w:color w:val="auto"/>
          <w:sz w:val="24"/>
          <w:szCs w:val="20"/>
          <w:highlight w:val="none"/>
        </w:rPr>
        <w:t>发包人应在发出开工通知前将总监理工程师的任命通知承包人。总监理工程师更换时, 应在调离</w:t>
      </w:r>
      <w:r>
        <w:rPr>
          <w:rStyle w:val="19"/>
          <w:rFonts w:hint="eastAsia" w:ascii="Times New Roman" w:hAnsi="Times New Roman" w:eastAsia="Times New Roman" w:cs="Times New Roman"/>
          <w:color w:val="auto"/>
          <w:sz w:val="24"/>
          <w:szCs w:val="24"/>
          <w:highlight w:val="none"/>
        </w:rPr>
        <w:t>14</w:t>
      </w:r>
      <w:r>
        <w:rPr>
          <w:rStyle w:val="19"/>
          <w:rFonts w:hint="default"/>
          <w:color w:val="auto"/>
          <w:sz w:val="24"/>
          <w:szCs w:val="20"/>
          <w:highlight w:val="none"/>
        </w:rPr>
        <w:t>天前通知承包人。总监理工程师短期离开施工场地的，应委派代表代行其职 责，并通知承包人。</w:t>
      </w:r>
    </w:p>
    <w:p w14:paraId="20BDC901">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341" w:name="_Toc13884"/>
      <w:bookmarkStart w:id="342" w:name="bookmark985"/>
      <w:bookmarkStart w:id="343" w:name="bookmark986"/>
      <w:bookmarkStart w:id="344" w:name="_Toc256000031"/>
      <w:bookmarkStart w:id="345" w:name="_Toc11573"/>
      <w:bookmarkStart w:id="346" w:name="bookmark987"/>
      <w:r>
        <w:rPr>
          <w:rStyle w:val="19"/>
          <w:rFonts w:hint="default" w:ascii="宋体" w:hAnsi="宋体" w:eastAsia="宋体"/>
          <w:color w:val="auto"/>
          <w:sz w:val="24"/>
          <w:szCs w:val="20"/>
          <w:highlight w:val="none"/>
          <w:lang w:eastAsia="zh-CN"/>
        </w:rPr>
        <w:t>3.3监理人员</w:t>
      </w:r>
      <w:bookmarkEnd w:id="341"/>
      <w:bookmarkEnd w:id="342"/>
      <w:bookmarkEnd w:id="343"/>
      <w:bookmarkEnd w:id="344"/>
      <w:bookmarkEnd w:id="345"/>
      <w:bookmarkEnd w:id="346"/>
    </w:p>
    <w:p w14:paraId="0DE417AE">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default"/>
          <w:color w:val="auto"/>
          <w:sz w:val="24"/>
          <w:szCs w:val="20"/>
          <w:highlight w:val="none"/>
        </w:rPr>
      </w:pPr>
      <w:bookmarkStart w:id="347" w:name="bookmark988"/>
      <w:bookmarkEnd w:id="347"/>
      <w:r>
        <w:rPr>
          <w:rStyle w:val="19"/>
          <w:rFonts w:hint="eastAsia" w:ascii="Times New Roman" w:hAnsi="Times New Roman" w:eastAsia="Times New Roman" w:cs="Times New Roman"/>
          <w:color w:val="auto"/>
          <w:sz w:val="24"/>
          <w:szCs w:val="24"/>
          <w:highlight w:val="none"/>
        </w:rPr>
        <w:t>3.3.1</w:t>
      </w:r>
      <w:r>
        <w:rPr>
          <w:rStyle w:val="19"/>
          <w:rFonts w:hint="default"/>
          <w:color w:val="auto"/>
          <w:sz w:val="24"/>
          <w:szCs w:val="20"/>
          <w:highlight w:val="none"/>
        </w:rPr>
        <w:t>总监理工程师可以授权其他监理人员负责执行其指派的一项或多项监理工作。总监理工程师应将被授权监理人员的姓名及其授权范围通知承包人。被授权的监理人员在授权范围内发出的指示视为已得到总监理工程师的同意，与总监理工程师发出的指示具有同等效力。总监理工程师撤销某项授权时，应将撤销授权的决定及时通知承包人。</w:t>
      </w:r>
    </w:p>
    <w:p w14:paraId="411C10E0">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3.3.2</w:t>
      </w:r>
      <w:r>
        <w:rPr>
          <w:rStyle w:val="19"/>
          <w:rFonts w:hint="default"/>
          <w:color w:val="auto"/>
          <w:sz w:val="24"/>
          <w:szCs w:val="20"/>
          <w:highlight w:val="none"/>
        </w:rPr>
        <w:t>监理人员对承包人的任何工作、工程或其采用的材料和工程设备未在约定的或合理的期限内提出否定意见的，视为已获批准，但不影响监理人在以后拒绝该项工作、工程、材料或工程设备的权利。</w:t>
      </w:r>
    </w:p>
    <w:p w14:paraId="193F45BD">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3.3.3</w:t>
      </w:r>
      <w:r>
        <w:rPr>
          <w:rStyle w:val="19"/>
          <w:rFonts w:hint="default"/>
          <w:color w:val="auto"/>
          <w:sz w:val="24"/>
          <w:szCs w:val="20"/>
          <w:highlight w:val="none"/>
        </w:rPr>
        <w:t>承包人对总监理工程师授权的监理人员发出的指示有疑问的，可向总监理工程师提出书面异议，总监理工程师应在</w:t>
      </w:r>
      <w:r>
        <w:rPr>
          <w:rStyle w:val="19"/>
          <w:rFonts w:hint="eastAsia" w:ascii="Times New Roman" w:hAnsi="Times New Roman" w:eastAsia="Times New Roman" w:cs="Times New Roman"/>
          <w:color w:val="auto"/>
          <w:sz w:val="24"/>
          <w:szCs w:val="24"/>
          <w:highlight w:val="none"/>
        </w:rPr>
        <w:t>48</w:t>
      </w:r>
      <w:r>
        <w:rPr>
          <w:rStyle w:val="19"/>
          <w:rFonts w:hint="default"/>
          <w:color w:val="auto"/>
          <w:sz w:val="24"/>
          <w:szCs w:val="20"/>
          <w:highlight w:val="none"/>
        </w:rPr>
        <w:t>小时内对该指示予以确认、更改或撤销。</w:t>
      </w:r>
    </w:p>
    <w:p w14:paraId="4067EE24">
      <w:pPr>
        <w:pStyle w:val="31"/>
        <w:pageBreakBefore w:val="0"/>
        <w:widowControl w:val="0"/>
        <w:kinsoku/>
        <w:wordWrap/>
        <w:overflowPunct/>
        <w:topLinePunct w:val="0"/>
        <w:autoSpaceDE/>
        <w:autoSpaceDN/>
        <w:bidi w:val="0"/>
        <w:adjustRightInd/>
        <w:snapToGrid/>
        <w:spacing w:beforeLines="0" w:after="240" w:afterLines="0" w:line="440" w:lineRule="exact"/>
        <w:ind w:firstLine="420"/>
        <w:jc w:val="both"/>
        <w:textAlignment w:val="auto"/>
        <w:rPr>
          <w:rStyle w:val="19"/>
          <w:rFonts w:hint="default"/>
          <w:color w:val="auto"/>
          <w:sz w:val="24"/>
          <w:szCs w:val="20"/>
          <w:highlight w:val="none"/>
        </w:rPr>
      </w:pPr>
      <w:bookmarkStart w:id="348" w:name="bookmark989"/>
      <w:bookmarkEnd w:id="348"/>
      <w:r>
        <w:rPr>
          <w:rStyle w:val="19"/>
          <w:rFonts w:hint="eastAsia" w:ascii="Times New Roman" w:hAnsi="Times New Roman" w:eastAsia="Times New Roman" w:cs="Times New Roman"/>
          <w:color w:val="auto"/>
          <w:sz w:val="24"/>
          <w:szCs w:val="24"/>
          <w:highlight w:val="none"/>
        </w:rPr>
        <w:t>3.3.4</w:t>
      </w:r>
      <w:r>
        <w:rPr>
          <w:rStyle w:val="19"/>
          <w:rFonts w:hint="default"/>
          <w:color w:val="auto"/>
          <w:sz w:val="24"/>
          <w:szCs w:val="20"/>
          <w:highlight w:val="none"/>
        </w:rPr>
        <w:t>除专用合同条款另有约定外，总监理工程师不应将第3. 5款约定应由总监理工程师作出确定的权力授权或委托给其他监理人员。</w:t>
      </w:r>
    </w:p>
    <w:p w14:paraId="731B4C97">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349" w:name="_Toc28235"/>
      <w:bookmarkStart w:id="350" w:name="_Toc29343"/>
      <w:bookmarkStart w:id="351" w:name="_Toc256000032"/>
      <w:bookmarkStart w:id="352" w:name="bookmark990"/>
      <w:bookmarkStart w:id="353" w:name="bookmark992"/>
      <w:bookmarkStart w:id="354" w:name="bookmark991"/>
      <w:r>
        <w:rPr>
          <w:rStyle w:val="19"/>
          <w:rFonts w:hint="default" w:ascii="宋体" w:hAnsi="宋体" w:eastAsia="宋体"/>
          <w:color w:val="auto"/>
          <w:sz w:val="24"/>
          <w:szCs w:val="20"/>
          <w:highlight w:val="none"/>
          <w:lang w:eastAsia="zh-CN"/>
        </w:rPr>
        <w:t>3.4监理人的指示</w:t>
      </w:r>
      <w:bookmarkEnd w:id="349"/>
      <w:bookmarkEnd w:id="350"/>
      <w:bookmarkEnd w:id="351"/>
      <w:bookmarkEnd w:id="352"/>
      <w:bookmarkEnd w:id="353"/>
      <w:bookmarkEnd w:id="354"/>
    </w:p>
    <w:p w14:paraId="410C1443">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3.4.</w:t>
      </w:r>
      <w:r>
        <w:rPr>
          <w:rStyle w:val="19"/>
          <w:rFonts w:hint="eastAsia" w:ascii="Times New Roman" w:hAnsi="Times New Roman" w:eastAsia="Times New Roman" w:cs="Times New Roman"/>
          <w:color w:val="auto"/>
          <w:sz w:val="24"/>
          <w:szCs w:val="24"/>
          <w:highlight w:val="none"/>
        </w:rPr>
        <w:t>1</w:t>
      </w:r>
      <w:r>
        <w:rPr>
          <w:rStyle w:val="19"/>
          <w:rFonts w:hint="default"/>
          <w:color w:val="auto"/>
          <w:sz w:val="24"/>
          <w:szCs w:val="20"/>
          <w:highlight w:val="none"/>
        </w:rPr>
        <w:t>监理人应按第</w:t>
      </w:r>
      <w:r>
        <w:rPr>
          <w:rStyle w:val="19"/>
          <w:rFonts w:hint="eastAsia" w:ascii="Times New Roman" w:hAnsi="Times New Roman" w:eastAsia="Times New Roman" w:cs="Times New Roman"/>
          <w:color w:val="auto"/>
          <w:sz w:val="24"/>
          <w:szCs w:val="24"/>
          <w:highlight w:val="none"/>
          <w:lang w:val="en-US" w:bidi="en-US"/>
        </w:rPr>
        <w:t xml:space="preserve">3. </w:t>
      </w:r>
      <w:r>
        <w:rPr>
          <w:rStyle w:val="19"/>
          <w:rFonts w:hint="eastAsia" w:ascii="Times New Roman" w:hAnsi="Times New Roman" w:eastAsia="Times New Roman" w:cs="Times New Roman"/>
          <w:color w:val="auto"/>
          <w:sz w:val="24"/>
          <w:szCs w:val="24"/>
          <w:highlight w:val="none"/>
        </w:rPr>
        <w:t>1</w:t>
      </w:r>
      <w:r>
        <w:rPr>
          <w:rStyle w:val="19"/>
          <w:rFonts w:hint="default"/>
          <w:color w:val="auto"/>
          <w:sz w:val="24"/>
          <w:szCs w:val="20"/>
          <w:highlight w:val="none"/>
        </w:rPr>
        <w:t>款的约定向承包人发出指示，监理人的指示应盖有监理人授权的施工场地机构章，并由总监理工程师或总监理工程师按第</w:t>
      </w:r>
      <w:r>
        <w:rPr>
          <w:rStyle w:val="19"/>
          <w:rFonts w:hint="eastAsia" w:ascii="Times New Roman" w:hAnsi="Times New Roman" w:eastAsia="Times New Roman" w:cs="Times New Roman"/>
          <w:color w:val="auto"/>
          <w:sz w:val="24"/>
          <w:szCs w:val="24"/>
          <w:highlight w:val="none"/>
          <w:lang w:val="en-US" w:bidi="en-US"/>
        </w:rPr>
        <w:t xml:space="preserve">3. 3. </w:t>
      </w:r>
      <w:r>
        <w:rPr>
          <w:rStyle w:val="19"/>
          <w:rFonts w:hint="eastAsia" w:ascii="Times New Roman" w:hAnsi="Times New Roman" w:eastAsia="Times New Roman" w:cs="Times New Roman"/>
          <w:color w:val="auto"/>
          <w:sz w:val="24"/>
          <w:szCs w:val="24"/>
          <w:highlight w:val="none"/>
        </w:rPr>
        <w:t>1</w:t>
      </w:r>
      <w:r>
        <w:rPr>
          <w:rStyle w:val="19"/>
          <w:rFonts w:hint="default"/>
          <w:color w:val="auto"/>
          <w:sz w:val="24"/>
          <w:szCs w:val="20"/>
          <w:highlight w:val="none"/>
        </w:rPr>
        <w:t>项约定授权的监理人员签字</w:t>
      </w:r>
      <w:r>
        <w:rPr>
          <w:rStyle w:val="19"/>
          <w:rFonts w:hint="default"/>
          <w:color w:val="auto"/>
          <w:sz w:val="24"/>
          <w:szCs w:val="20"/>
          <w:highlight w:val="none"/>
          <w:lang w:val="en-US" w:bidi="en-US"/>
        </w:rPr>
        <w:t>。</w:t>
      </w:r>
    </w:p>
    <w:p w14:paraId="26B5223D">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3.4.2</w:t>
      </w:r>
      <w:r>
        <w:rPr>
          <w:rStyle w:val="19"/>
          <w:rFonts w:hint="default"/>
          <w:color w:val="auto"/>
          <w:sz w:val="24"/>
          <w:szCs w:val="20"/>
          <w:highlight w:val="none"/>
        </w:rPr>
        <w:t>承包人收到监理人按第</w:t>
      </w:r>
      <w:r>
        <w:rPr>
          <w:rStyle w:val="19"/>
          <w:rFonts w:hint="eastAsia" w:ascii="Times New Roman" w:hAnsi="Times New Roman" w:eastAsia="Times New Roman" w:cs="Times New Roman"/>
          <w:color w:val="auto"/>
          <w:sz w:val="24"/>
          <w:szCs w:val="24"/>
          <w:highlight w:val="none"/>
          <w:lang w:val="en-US" w:bidi="en-US"/>
        </w:rPr>
        <w:t>3. 4.1</w:t>
      </w:r>
      <w:r>
        <w:rPr>
          <w:rStyle w:val="19"/>
          <w:rFonts w:hint="default"/>
          <w:color w:val="auto"/>
          <w:sz w:val="24"/>
          <w:szCs w:val="20"/>
          <w:highlight w:val="none"/>
        </w:rPr>
        <w:t>项作出的指示后应遵照执行。指示构成变更的，应按第</w:t>
      </w:r>
      <w:r>
        <w:rPr>
          <w:rStyle w:val="19"/>
          <w:rFonts w:hint="eastAsia" w:ascii="Times New Roman" w:hAnsi="Times New Roman" w:eastAsia="Times New Roman" w:cs="Times New Roman"/>
          <w:color w:val="auto"/>
          <w:sz w:val="24"/>
          <w:szCs w:val="24"/>
          <w:highlight w:val="none"/>
        </w:rPr>
        <w:t>15</w:t>
      </w:r>
      <w:r>
        <w:rPr>
          <w:rStyle w:val="19"/>
          <w:rFonts w:hint="default"/>
          <w:color w:val="auto"/>
          <w:sz w:val="24"/>
          <w:szCs w:val="20"/>
          <w:highlight w:val="none"/>
        </w:rPr>
        <w:t>条处理。</w:t>
      </w:r>
    </w:p>
    <w:p w14:paraId="36E11E2B">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3.4.3</w:t>
      </w:r>
      <w:r>
        <w:rPr>
          <w:rStyle w:val="19"/>
          <w:rFonts w:hint="default"/>
          <w:color w:val="auto"/>
          <w:sz w:val="24"/>
          <w:szCs w:val="20"/>
          <w:highlight w:val="none"/>
        </w:rPr>
        <w:t>在紧急情况下，总监理工程师或被授权的监理人员可以当场签发临时书面指示，承包人应遵照执行。承包人应在收到上述临时书面指示后</w:t>
      </w:r>
      <w:r>
        <w:rPr>
          <w:rStyle w:val="19"/>
          <w:rFonts w:hint="eastAsia" w:ascii="Times New Roman" w:hAnsi="Times New Roman" w:eastAsia="Times New Roman" w:cs="Times New Roman"/>
          <w:color w:val="auto"/>
          <w:sz w:val="24"/>
          <w:szCs w:val="24"/>
          <w:highlight w:val="none"/>
        </w:rPr>
        <w:t>24</w:t>
      </w:r>
      <w:r>
        <w:rPr>
          <w:rStyle w:val="19"/>
          <w:rFonts w:hint="default"/>
          <w:color w:val="auto"/>
          <w:sz w:val="24"/>
          <w:szCs w:val="20"/>
          <w:highlight w:val="none"/>
        </w:rPr>
        <w:t>小时内，向监理人发出书 面确认函。监理人在收到书面确认函后</w:t>
      </w:r>
      <w:r>
        <w:rPr>
          <w:rStyle w:val="19"/>
          <w:rFonts w:hint="eastAsia" w:ascii="Times New Roman" w:hAnsi="Times New Roman" w:eastAsia="Times New Roman" w:cs="Times New Roman"/>
          <w:color w:val="auto"/>
          <w:sz w:val="24"/>
          <w:szCs w:val="24"/>
          <w:highlight w:val="none"/>
        </w:rPr>
        <w:t>24</w:t>
      </w:r>
      <w:r>
        <w:rPr>
          <w:rStyle w:val="19"/>
          <w:rFonts w:hint="default"/>
          <w:color w:val="auto"/>
          <w:sz w:val="24"/>
          <w:szCs w:val="20"/>
          <w:highlight w:val="none"/>
        </w:rPr>
        <w:t>小时内未予答复的，该书面确认函应被视为监理人的正式指示。</w:t>
      </w:r>
    </w:p>
    <w:p w14:paraId="1DD70203">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3.4.4</w:t>
      </w:r>
      <w:r>
        <w:rPr>
          <w:rStyle w:val="19"/>
          <w:rFonts w:hint="default"/>
          <w:color w:val="auto"/>
          <w:sz w:val="24"/>
          <w:szCs w:val="20"/>
          <w:highlight w:val="none"/>
        </w:rPr>
        <w:t>除合同另有约定外，承包人只从总监理工程师或按第</w:t>
      </w:r>
      <w:r>
        <w:rPr>
          <w:rStyle w:val="19"/>
          <w:rFonts w:hint="eastAsia" w:ascii="Times New Roman" w:hAnsi="Times New Roman" w:eastAsia="Times New Roman" w:cs="Times New Roman"/>
          <w:color w:val="auto"/>
          <w:sz w:val="24"/>
          <w:szCs w:val="24"/>
          <w:highlight w:val="none"/>
          <w:lang w:val="en-US" w:bidi="en-US"/>
        </w:rPr>
        <w:t xml:space="preserve">3. 3. </w:t>
      </w:r>
      <w:r>
        <w:rPr>
          <w:rStyle w:val="19"/>
          <w:rFonts w:hint="eastAsia" w:ascii="Times New Roman" w:hAnsi="Times New Roman" w:eastAsia="Times New Roman" w:cs="Times New Roman"/>
          <w:color w:val="auto"/>
          <w:sz w:val="24"/>
          <w:szCs w:val="24"/>
          <w:highlight w:val="none"/>
        </w:rPr>
        <w:t>1</w:t>
      </w:r>
      <w:r>
        <w:rPr>
          <w:rStyle w:val="19"/>
          <w:rFonts w:hint="default"/>
          <w:color w:val="auto"/>
          <w:sz w:val="24"/>
          <w:szCs w:val="20"/>
          <w:highlight w:val="none"/>
        </w:rPr>
        <w:t>项被授权的监理人员处取得指示。</w:t>
      </w:r>
    </w:p>
    <w:p w14:paraId="620AFF95">
      <w:pPr>
        <w:pStyle w:val="31"/>
        <w:pageBreakBefore w:val="0"/>
        <w:widowControl w:val="0"/>
        <w:kinsoku/>
        <w:wordWrap/>
        <w:overflowPunct/>
        <w:topLinePunct w:val="0"/>
        <w:autoSpaceDE/>
        <w:autoSpaceDN/>
        <w:bidi w:val="0"/>
        <w:adjustRightInd/>
        <w:snapToGrid/>
        <w:spacing w:beforeLines="0" w:after="12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3.4.5</w:t>
      </w:r>
      <w:r>
        <w:rPr>
          <w:rStyle w:val="19"/>
          <w:rFonts w:hint="default"/>
          <w:color w:val="auto"/>
          <w:sz w:val="24"/>
          <w:szCs w:val="20"/>
          <w:highlight w:val="none"/>
        </w:rPr>
        <w:t>由于监理人未能按合同约定发出指示、指示延误或指示错误而导致承包人费用增加和（或）工期延误的，由发包人承担赔偿责任。</w:t>
      </w:r>
    </w:p>
    <w:p w14:paraId="53170350">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355" w:name="bookmark993"/>
      <w:bookmarkStart w:id="356" w:name="bookmark995"/>
      <w:bookmarkStart w:id="357" w:name="_Toc22411"/>
      <w:bookmarkStart w:id="358" w:name="bookmark994"/>
      <w:bookmarkStart w:id="359" w:name="_Toc256000033"/>
      <w:bookmarkStart w:id="360" w:name="_Toc15164"/>
      <w:r>
        <w:rPr>
          <w:rStyle w:val="19"/>
          <w:rFonts w:hint="default" w:ascii="宋体" w:hAnsi="宋体" w:eastAsia="宋体"/>
          <w:color w:val="auto"/>
          <w:sz w:val="24"/>
          <w:szCs w:val="20"/>
          <w:highlight w:val="none"/>
          <w:lang w:eastAsia="zh-CN"/>
        </w:rPr>
        <w:t>3.5商定或确定</w:t>
      </w:r>
      <w:bookmarkEnd w:id="355"/>
      <w:bookmarkEnd w:id="356"/>
      <w:bookmarkEnd w:id="357"/>
      <w:bookmarkEnd w:id="358"/>
      <w:bookmarkEnd w:id="359"/>
      <w:bookmarkEnd w:id="360"/>
    </w:p>
    <w:p w14:paraId="754E3EEB">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3.5.1</w:t>
      </w:r>
      <w:r>
        <w:rPr>
          <w:rStyle w:val="19"/>
          <w:rFonts w:hint="default"/>
          <w:color w:val="auto"/>
          <w:sz w:val="24"/>
          <w:szCs w:val="20"/>
          <w:highlight w:val="none"/>
        </w:rPr>
        <w:t>合同约定总监理工程师应按照本款对任何事项进行商定或确定时，总监理工程师应与合同当事人协商，尽量达成一致。不能达成一致的，总监理工程师应认真研究后审慎确定。</w:t>
      </w:r>
    </w:p>
    <w:p w14:paraId="19A281B1">
      <w:pPr>
        <w:pStyle w:val="31"/>
        <w:pageBreakBefore w:val="0"/>
        <w:widowControl w:val="0"/>
        <w:kinsoku/>
        <w:wordWrap/>
        <w:overflowPunct/>
        <w:topLinePunct w:val="0"/>
        <w:autoSpaceDE/>
        <w:autoSpaceDN/>
        <w:bidi w:val="0"/>
        <w:adjustRightInd/>
        <w:snapToGrid/>
        <w:spacing w:beforeLines="0" w:after="28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3.5.2</w:t>
      </w:r>
      <w:r>
        <w:rPr>
          <w:rStyle w:val="19"/>
          <w:rFonts w:hint="default"/>
          <w:color w:val="auto"/>
          <w:sz w:val="24"/>
          <w:szCs w:val="20"/>
          <w:highlight w:val="none"/>
        </w:rPr>
        <w:t>总监理工程师应将商定或确定的事项通知合同当事人，并附详细依据。对总监理工程师的确定有异议的，构成争议，按照第</w:t>
      </w:r>
      <w:r>
        <w:rPr>
          <w:rStyle w:val="19"/>
          <w:rFonts w:hint="eastAsia" w:ascii="Times New Roman" w:hAnsi="Times New Roman" w:eastAsia="Times New Roman" w:cs="Times New Roman"/>
          <w:color w:val="auto"/>
          <w:sz w:val="24"/>
          <w:szCs w:val="24"/>
          <w:highlight w:val="none"/>
        </w:rPr>
        <w:t>24</w:t>
      </w:r>
      <w:r>
        <w:rPr>
          <w:rStyle w:val="19"/>
          <w:rFonts w:hint="default"/>
          <w:color w:val="auto"/>
          <w:sz w:val="24"/>
          <w:szCs w:val="20"/>
          <w:highlight w:val="none"/>
        </w:rPr>
        <w:t>条的约定处理。在争议解决前，双方应暂按总监理工程师的确定执行，按照第</w:t>
      </w:r>
      <w:r>
        <w:rPr>
          <w:rStyle w:val="19"/>
          <w:rFonts w:hint="eastAsia" w:ascii="Times New Roman" w:hAnsi="Times New Roman" w:eastAsia="Times New Roman" w:cs="Times New Roman"/>
          <w:color w:val="auto"/>
          <w:sz w:val="24"/>
          <w:szCs w:val="24"/>
          <w:highlight w:val="none"/>
        </w:rPr>
        <w:t>24</w:t>
      </w:r>
      <w:r>
        <w:rPr>
          <w:rStyle w:val="19"/>
          <w:rFonts w:hint="default"/>
          <w:color w:val="auto"/>
          <w:sz w:val="24"/>
          <w:szCs w:val="20"/>
          <w:highlight w:val="none"/>
        </w:rPr>
        <w:t>条的约定对总监理工程师的确定作出修改的，按修 改后的结果执行</w:t>
      </w:r>
      <w:r>
        <w:rPr>
          <w:rStyle w:val="19"/>
          <w:rFonts w:hint="default"/>
          <w:color w:val="auto"/>
          <w:sz w:val="24"/>
          <w:szCs w:val="20"/>
          <w:highlight w:val="none"/>
          <w:lang w:val="en-US" w:bidi="en-US"/>
        </w:rPr>
        <w:t>。</w:t>
      </w:r>
    </w:p>
    <w:p w14:paraId="59F20357">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eastAsia"/>
          <w:color w:val="auto"/>
          <w:sz w:val="24"/>
          <w:szCs w:val="20"/>
          <w:highlight w:val="none"/>
          <w:lang w:eastAsia="zh-CN"/>
        </w:rPr>
      </w:pPr>
      <w:bookmarkStart w:id="361" w:name="bookmark996"/>
      <w:bookmarkStart w:id="362" w:name="bookmark997"/>
      <w:bookmarkStart w:id="363" w:name="bookmark998"/>
      <w:bookmarkStart w:id="364" w:name="_Toc13765"/>
      <w:bookmarkStart w:id="365" w:name="_Toc30773"/>
      <w:bookmarkStart w:id="366" w:name="_Toc256000034"/>
      <w:r>
        <w:rPr>
          <w:rStyle w:val="19"/>
          <w:rFonts w:hint="eastAsia"/>
          <w:color w:val="auto"/>
          <w:sz w:val="24"/>
          <w:szCs w:val="20"/>
          <w:highlight w:val="none"/>
          <w:lang w:eastAsia="zh-CN"/>
        </w:rPr>
        <w:t>4.</w:t>
      </w:r>
      <w:r>
        <w:rPr>
          <w:rStyle w:val="19"/>
          <w:rFonts w:hint="default" w:ascii="宋体" w:eastAsia="宋体"/>
          <w:color w:val="auto"/>
          <w:sz w:val="24"/>
          <w:szCs w:val="20"/>
          <w:highlight w:val="none"/>
          <w:lang w:eastAsia="zh-CN"/>
        </w:rPr>
        <w:t>承包人</w:t>
      </w:r>
      <w:bookmarkEnd w:id="361"/>
      <w:bookmarkEnd w:id="362"/>
      <w:bookmarkEnd w:id="363"/>
      <w:bookmarkEnd w:id="364"/>
      <w:bookmarkEnd w:id="365"/>
      <w:bookmarkEnd w:id="366"/>
    </w:p>
    <w:p w14:paraId="426036C7">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367" w:name="_Toc256000035"/>
      <w:bookmarkStart w:id="368" w:name="_Toc11324"/>
      <w:bookmarkStart w:id="369" w:name="bookmark1001"/>
      <w:bookmarkStart w:id="370" w:name="_Toc3815"/>
      <w:bookmarkStart w:id="371" w:name="bookmark1000"/>
      <w:bookmarkStart w:id="372" w:name="bookmark999"/>
      <w:r>
        <w:rPr>
          <w:rStyle w:val="19"/>
          <w:rFonts w:hint="default" w:ascii="宋体" w:hAnsi="宋体" w:eastAsia="宋体"/>
          <w:color w:val="auto"/>
          <w:sz w:val="24"/>
          <w:szCs w:val="20"/>
          <w:highlight w:val="none"/>
          <w:lang w:eastAsia="zh-CN"/>
        </w:rPr>
        <w:t>4.1承包人的一般义务</w:t>
      </w:r>
      <w:bookmarkEnd w:id="367"/>
      <w:bookmarkEnd w:id="368"/>
      <w:bookmarkEnd w:id="369"/>
      <w:bookmarkEnd w:id="370"/>
      <w:bookmarkEnd w:id="371"/>
      <w:bookmarkEnd w:id="372"/>
    </w:p>
    <w:p w14:paraId="007267D1">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eastAsia" w:ascii="Times New Roman" w:hAnsi="Times New Roman" w:eastAsia="Times New Roman" w:cs="Times New Roman"/>
          <w:color w:val="auto"/>
          <w:sz w:val="24"/>
          <w:szCs w:val="24"/>
          <w:highlight w:val="none"/>
        </w:rPr>
      </w:pPr>
      <w:r>
        <w:rPr>
          <w:rStyle w:val="19"/>
          <w:rFonts w:hint="eastAsia" w:ascii="Times New Roman" w:hAnsi="Times New Roman" w:eastAsia="Times New Roman" w:cs="Times New Roman"/>
          <w:color w:val="auto"/>
          <w:sz w:val="24"/>
          <w:szCs w:val="24"/>
          <w:highlight w:val="none"/>
          <w:lang w:val="en-US" w:bidi="en-US"/>
        </w:rPr>
        <w:t>4.1.1</w:t>
      </w:r>
      <w:r>
        <w:rPr>
          <w:rStyle w:val="19"/>
          <w:rFonts w:hint="default" w:hAnsi="Times New Roman" w:cs="Times New Roman"/>
          <w:color w:val="auto"/>
          <w:sz w:val="24"/>
          <w:szCs w:val="24"/>
          <w:highlight w:val="none"/>
        </w:rPr>
        <w:t>遵守法律</w:t>
      </w:r>
    </w:p>
    <w:p w14:paraId="4DC3F81F">
      <w:pPr>
        <w:pStyle w:val="31"/>
        <w:pageBreakBefore w:val="0"/>
        <w:widowControl w:val="0"/>
        <w:kinsoku/>
        <w:wordWrap/>
        <w:overflowPunct/>
        <w:topLinePunct w:val="0"/>
        <w:autoSpaceDE/>
        <w:autoSpaceDN/>
        <w:bidi w:val="0"/>
        <w:adjustRightInd/>
        <w:snapToGrid/>
        <w:spacing w:beforeLines="0" w:after="120" w:afterLines="0" w:line="440" w:lineRule="exact"/>
        <w:ind w:firstLine="420"/>
        <w:jc w:val="both"/>
        <w:textAlignment w:val="auto"/>
        <w:rPr>
          <w:rStyle w:val="19"/>
          <w:rFonts w:hint="eastAsia" w:ascii="Times New Roman" w:hAnsi="Times New Roman" w:eastAsia="Times New Roman" w:cs="Times New Roman"/>
          <w:color w:val="auto"/>
          <w:sz w:val="24"/>
          <w:szCs w:val="24"/>
          <w:highlight w:val="none"/>
        </w:rPr>
      </w:pPr>
      <w:r>
        <w:rPr>
          <w:rStyle w:val="19"/>
          <w:rFonts w:hint="default" w:hAnsi="Times New Roman" w:cs="Times New Roman"/>
          <w:color w:val="auto"/>
          <w:sz w:val="24"/>
          <w:szCs w:val="24"/>
          <w:highlight w:val="none"/>
        </w:rPr>
        <w:t>承包人在履行合同过程中应遵守法律，并保证发包人免于承担因承包人违反法律而引起的任何责任。</w:t>
      </w:r>
    </w:p>
    <w:p w14:paraId="6DCA0FC8">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eastAsia" w:ascii="Times New Roman" w:hAnsi="Times New Roman" w:eastAsia="Times New Roman" w:cs="Times New Roman"/>
          <w:color w:val="auto"/>
          <w:sz w:val="24"/>
          <w:szCs w:val="24"/>
          <w:highlight w:val="none"/>
        </w:rPr>
      </w:pPr>
      <w:bookmarkStart w:id="373" w:name="bookmark1002"/>
      <w:bookmarkEnd w:id="373"/>
      <w:r>
        <w:rPr>
          <w:rStyle w:val="19"/>
          <w:rFonts w:hint="eastAsia" w:ascii="Times New Roman" w:hAnsi="Times New Roman" w:eastAsia="Times New Roman" w:cs="Times New Roman"/>
          <w:color w:val="auto"/>
          <w:sz w:val="24"/>
          <w:szCs w:val="24"/>
          <w:highlight w:val="none"/>
          <w:lang w:val="en-US"/>
        </w:rPr>
        <w:t>4.1.2</w:t>
      </w:r>
      <w:r>
        <w:rPr>
          <w:rStyle w:val="19"/>
          <w:rFonts w:hint="default" w:hAnsi="Times New Roman" w:cs="Times New Roman"/>
          <w:color w:val="auto"/>
          <w:sz w:val="24"/>
          <w:szCs w:val="24"/>
          <w:highlight w:val="none"/>
        </w:rPr>
        <w:t>依法纳税</w:t>
      </w:r>
    </w:p>
    <w:p w14:paraId="7F15DC97">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eastAsia" w:ascii="Times New Roman" w:hAnsi="Times New Roman" w:eastAsia="Times New Roman" w:cs="Times New Roman"/>
          <w:color w:val="auto"/>
          <w:sz w:val="24"/>
          <w:szCs w:val="24"/>
          <w:highlight w:val="none"/>
        </w:rPr>
      </w:pPr>
      <w:r>
        <w:rPr>
          <w:rStyle w:val="19"/>
          <w:rFonts w:hint="default" w:hAnsi="Times New Roman" w:cs="Times New Roman"/>
          <w:color w:val="auto"/>
          <w:sz w:val="24"/>
          <w:szCs w:val="24"/>
          <w:highlight w:val="none"/>
        </w:rPr>
        <w:t>承包人应按有关法律规定纳税，应缴纳的税金包括在合同价格内。</w:t>
      </w:r>
    </w:p>
    <w:p w14:paraId="664F741F">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eastAsia" w:ascii="Times New Roman" w:hAnsi="Times New Roman" w:eastAsia="Times New Roman" w:cs="Times New Roman"/>
          <w:color w:val="auto"/>
          <w:sz w:val="24"/>
          <w:szCs w:val="24"/>
          <w:highlight w:val="none"/>
        </w:rPr>
      </w:pPr>
      <w:r>
        <w:rPr>
          <w:rStyle w:val="19"/>
          <w:rFonts w:hint="eastAsia" w:ascii="Times New Roman" w:hAnsi="Times New Roman" w:eastAsia="Times New Roman" w:cs="Times New Roman"/>
          <w:color w:val="auto"/>
          <w:sz w:val="24"/>
          <w:szCs w:val="24"/>
          <w:highlight w:val="none"/>
          <w:lang w:val="en-US"/>
        </w:rPr>
        <w:t>4.1.3</w:t>
      </w:r>
      <w:r>
        <w:rPr>
          <w:rStyle w:val="19"/>
          <w:rFonts w:hint="default" w:hAnsi="Times New Roman" w:cs="Times New Roman"/>
          <w:color w:val="auto"/>
          <w:sz w:val="24"/>
          <w:szCs w:val="24"/>
          <w:highlight w:val="none"/>
        </w:rPr>
        <w:t>完成各项承包工作</w:t>
      </w:r>
    </w:p>
    <w:p w14:paraId="04EDFC43">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default"/>
          <w:color w:val="auto"/>
          <w:sz w:val="24"/>
          <w:szCs w:val="20"/>
          <w:highlight w:val="none"/>
        </w:rPr>
      </w:pPr>
      <w:r>
        <w:rPr>
          <w:rStyle w:val="19"/>
          <w:rFonts w:hint="default" w:hAnsi="Times New Roman" w:cs="Times New Roman"/>
          <w:color w:val="auto"/>
          <w:sz w:val="24"/>
          <w:szCs w:val="24"/>
          <w:highlight w:val="none"/>
        </w:rPr>
        <w:t>承包人应按合同约定以及监理人根据第</w:t>
      </w:r>
      <w:r>
        <w:rPr>
          <w:rStyle w:val="19"/>
          <w:rFonts w:hint="eastAsia" w:ascii="Times New Roman" w:hAnsi="Times New Roman" w:eastAsia="Times New Roman" w:cs="Times New Roman"/>
          <w:color w:val="auto"/>
          <w:sz w:val="24"/>
          <w:szCs w:val="24"/>
          <w:highlight w:val="none"/>
          <w:lang w:val="en-US" w:bidi="en-US"/>
        </w:rPr>
        <w:t>3.4</w:t>
      </w:r>
      <w:r>
        <w:rPr>
          <w:rStyle w:val="19"/>
          <w:rFonts w:hint="default" w:hAnsi="Times New Roman" w:cs="Times New Roman"/>
          <w:color w:val="auto"/>
          <w:sz w:val="24"/>
          <w:szCs w:val="24"/>
          <w:highlight w:val="none"/>
        </w:rPr>
        <w:t>款作出的指示，实施、完成全部工程，并修补工程中的任何缺陷。除第</w:t>
      </w:r>
      <w:r>
        <w:rPr>
          <w:rStyle w:val="19"/>
          <w:rFonts w:hint="eastAsia" w:ascii="Times New Roman" w:hAnsi="Times New Roman" w:eastAsia="Times New Roman" w:cs="Times New Roman"/>
          <w:color w:val="auto"/>
          <w:sz w:val="24"/>
          <w:szCs w:val="24"/>
          <w:highlight w:val="none"/>
          <w:lang w:val="en-US" w:bidi="en-US"/>
        </w:rPr>
        <w:t xml:space="preserve">5. </w:t>
      </w:r>
      <w:r>
        <w:rPr>
          <w:rStyle w:val="19"/>
          <w:rFonts w:hint="eastAsia" w:ascii="Times New Roman" w:hAnsi="Times New Roman" w:eastAsia="Times New Roman" w:cs="Times New Roman"/>
          <w:color w:val="auto"/>
          <w:sz w:val="24"/>
          <w:szCs w:val="24"/>
          <w:highlight w:val="none"/>
        </w:rPr>
        <w:t>2</w:t>
      </w:r>
      <w:r>
        <w:rPr>
          <w:rStyle w:val="19"/>
          <w:rFonts w:hint="default" w:hAnsi="Times New Roman" w:cs="Times New Roman"/>
          <w:color w:val="auto"/>
          <w:sz w:val="24"/>
          <w:szCs w:val="24"/>
          <w:highlight w:val="none"/>
        </w:rPr>
        <w:t>款、第</w:t>
      </w:r>
      <w:r>
        <w:rPr>
          <w:rStyle w:val="19"/>
          <w:rFonts w:hint="eastAsia" w:ascii="Times New Roman" w:hAnsi="Times New Roman" w:eastAsia="Times New Roman" w:cs="Times New Roman"/>
          <w:color w:val="auto"/>
          <w:sz w:val="24"/>
          <w:szCs w:val="24"/>
          <w:highlight w:val="none"/>
          <w:lang w:val="en-US" w:bidi="en-US"/>
        </w:rPr>
        <w:t xml:space="preserve">6. </w:t>
      </w:r>
      <w:r>
        <w:rPr>
          <w:rStyle w:val="19"/>
          <w:rFonts w:hint="eastAsia" w:ascii="Times New Roman" w:hAnsi="Times New Roman" w:eastAsia="Times New Roman" w:cs="Times New Roman"/>
          <w:color w:val="auto"/>
          <w:sz w:val="24"/>
          <w:szCs w:val="24"/>
          <w:highlight w:val="none"/>
        </w:rPr>
        <w:t>2</w:t>
      </w:r>
      <w:r>
        <w:rPr>
          <w:rStyle w:val="19"/>
          <w:rFonts w:hint="default" w:hAnsi="Times New Roman" w:cs="Times New Roman"/>
          <w:color w:val="auto"/>
          <w:sz w:val="24"/>
          <w:szCs w:val="24"/>
          <w:highlight w:val="none"/>
        </w:rPr>
        <w:t>款另</w:t>
      </w:r>
      <w:r>
        <w:rPr>
          <w:rStyle w:val="19"/>
          <w:rFonts w:hint="default"/>
          <w:color w:val="auto"/>
          <w:sz w:val="24"/>
          <w:szCs w:val="20"/>
          <w:highlight w:val="none"/>
        </w:rPr>
        <w:t>有约定外，承包人应提供为完成合同工作所需的劳务、材料、施工设备、工程设备和其它物品，并按合同约定负责临时设施的设计、建造、运行、维护、管理和拆除。</w:t>
      </w:r>
    </w:p>
    <w:p w14:paraId="65AA4188">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eastAsia" w:ascii="Times New Roman" w:hAnsi="Times New Roman" w:eastAsia="Times New Roman" w:cs="Times New Roman"/>
          <w:color w:val="auto"/>
          <w:sz w:val="24"/>
          <w:szCs w:val="24"/>
          <w:highlight w:val="none"/>
        </w:rPr>
      </w:pPr>
      <w:r>
        <w:rPr>
          <w:rStyle w:val="19"/>
          <w:rFonts w:hint="eastAsia" w:ascii="Times New Roman" w:hAnsi="Times New Roman" w:eastAsia="Times New Roman" w:cs="Times New Roman"/>
          <w:color w:val="auto"/>
          <w:sz w:val="24"/>
          <w:szCs w:val="24"/>
          <w:highlight w:val="none"/>
          <w:lang w:val="en-US"/>
        </w:rPr>
        <w:t>4.1.4</w:t>
      </w:r>
      <w:r>
        <w:rPr>
          <w:rStyle w:val="19"/>
          <w:rFonts w:hint="default" w:hAnsi="Times New Roman" w:cs="Times New Roman"/>
          <w:color w:val="auto"/>
          <w:sz w:val="24"/>
          <w:szCs w:val="24"/>
          <w:highlight w:val="none"/>
        </w:rPr>
        <w:t>对施工作业和施工方法的完备性负责</w:t>
      </w:r>
    </w:p>
    <w:p w14:paraId="43FABEE9">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eastAsia" w:ascii="Times New Roman" w:hAnsi="Times New Roman" w:eastAsia="Times New Roman" w:cs="Times New Roman"/>
          <w:color w:val="auto"/>
          <w:sz w:val="24"/>
          <w:szCs w:val="24"/>
          <w:highlight w:val="none"/>
        </w:rPr>
      </w:pPr>
      <w:r>
        <w:rPr>
          <w:rStyle w:val="19"/>
          <w:rFonts w:hint="default" w:hAnsi="Times New Roman" w:cs="Times New Roman"/>
          <w:color w:val="auto"/>
          <w:sz w:val="24"/>
          <w:szCs w:val="24"/>
          <w:highlight w:val="none"/>
        </w:rPr>
        <w:t>承包人应按合同约定的工作内容和施工进度要求，编制施工组织设计和施工措施计划，并对所有施工作业和施工方法的完备性和安全可靠性负责。</w:t>
      </w:r>
    </w:p>
    <w:p w14:paraId="118EFF1D">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eastAsia" w:ascii="Times New Roman" w:hAnsi="Times New Roman" w:eastAsia="Times New Roman" w:cs="Times New Roman"/>
          <w:color w:val="auto"/>
          <w:sz w:val="24"/>
          <w:szCs w:val="24"/>
          <w:highlight w:val="none"/>
        </w:rPr>
      </w:pPr>
      <w:r>
        <w:rPr>
          <w:rStyle w:val="19"/>
          <w:rFonts w:hint="eastAsia" w:ascii="Times New Roman" w:hAnsi="Times New Roman" w:eastAsia="Times New Roman" w:cs="Times New Roman"/>
          <w:color w:val="auto"/>
          <w:sz w:val="24"/>
          <w:szCs w:val="24"/>
          <w:highlight w:val="none"/>
          <w:lang w:val="en-US"/>
        </w:rPr>
        <w:t>4.1.5</w:t>
      </w:r>
      <w:r>
        <w:rPr>
          <w:rStyle w:val="19"/>
          <w:rFonts w:hint="default" w:hAnsi="Times New Roman" w:cs="Times New Roman"/>
          <w:color w:val="auto"/>
          <w:sz w:val="24"/>
          <w:szCs w:val="24"/>
          <w:highlight w:val="none"/>
        </w:rPr>
        <w:t>保证工程施工和人员的安全</w:t>
      </w:r>
    </w:p>
    <w:p w14:paraId="03E3757A">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eastAsia" w:ascii="Times New Roman" w:hAnsi="Times New Roman" w:eastAsia="Times New Roman" w:cs="Times New Roman"/>
          <w:color w:val="auto"/>
          <w:sz w:val="24"/>
          <w:szCs w:val="24"/>
          <w:highlight w:val="none"/>
        </w:rPr>
      </w:pPr>
      <w:r>
        <w:rPr>
          <w:rStyle w:val="19"/>
          <w:rFonts w:hint="default" w:hAnsi="Times New Roman" w:cs="Times New Roman"/>
          <w:color w:val="auto"/>
          <w:sz w:val="24"/>
          <w:szCs w:val="24"/>
          <w:highlight w:val="none"/>
        </w:rPr>
        <w:t>承包人应按第</w:t>
      </w:r>
      <w:r>
        <w:rPr>
          <w:rStyle w:val="19"/>
          <w:rFonts w:hint="eastAsia" w:ascii="Times New Roman" w:hAnsi="Times New Roman" w:eastAsia="Times New Roman" w:cs="Times New Roman"/>
          <w:color w:val="auto"/>
          <w:sz w:val="24"/>
          <w:szCs w:val="24"/>
          <w:highlight w:val="none"/>
          <w:lang w:val="en-US" w:bidi="en-US"/>
        </w:rPr>
        <w:t xml:space="preserve">9. </w:t>
      </w:r>
      <w:r>
        <w:rPr>
          <w:rStyle w:val="19"/>
          <w:rFonts w:hint="eastAsia" w:ascii="Times New Roman" w:hAnsi="Times New Roman" w:eastAsia="Times New Roman" w:cs="Times New Roman"/>
          <w:color w:val="auto"/>
          <w:sz w:val="24"/>
          <w:szCs w:val="24"/>
          <w:highlight w:val="none"/>
        </w:rPr>
        <w:t>2</w:t>
      </w:r>
      <w:r>
        <w:rPr>
          <w:rStyle w:val="19"/>
          <w:rFonts w:hint="default" w:hAnsi="Times New Roman" w:cs="Times New Roman"/>
          <w:color w:val="auto"/>
          <w:sz w:val="24"/>
          <w:szCs w:val="24"/>
          <w:highlight w:val="none"/>
        </w:rPr>
        <w:t>款约定采取施工安全措施，确保工程及其人员、材料、设备和设施的安全，防止因工程施工造成的人身伤害和财产损失。</w:t>
      </w:r>
    </w:p>
    <w:p w14:paraId="7AD5573D">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eastAsia" w:ascii="Times New Roman" w:hAnsi="Times New Roman" w:eastAsia="Times New Roman" w:cs="Times New Roman"/>
          <w:color w:val="auto"/>
          <w:sz w:val="24"/>
          <w:szCs w:val="24"/>
          <w:highlight w:val="none"/>
        </w:rPr>
      </w:pPr>
      <w:bookmarkStart w:id="374" w:name="bookmark1003"/>
      <w:bookmarkEnd w:id="374"/>
      <w:r>
        <w:rPr>
          <w:rStyle w:val="19"/>
          <w:rFonts w:hint="eastAsia" w:ascii="Times New Roman" w:hAnsi="Times New Roman" w:eastAsia="Times New Roman" w:cs="Times New Roman"/>
          <w:color w:val="auto"/>
          <w:sz w:val="24"/>
          <w:szCs w:val="24"/>
          <w:highlight w:val="none"/>
          <w:lang w:val="en-US"/>
        </w:rPr>
        <w:t>4.1.6</w:t>
      </w:r>
      <w:r>
        <w:rPr>
          <w:rStyle w:val="19"/>
          <w:rFonts w:hint="default" w:hAnsi="Times New Roman" w:cs="Times New Roman"/>
          <w:color w:val="auto"/>
          <w:sz w:val="24"/>
          <w:szCs w:val="24"/>
          <w:highlight w:val="none"/>
        </w:rPr>
        <w:t>负责施工场地及其周边环境与生态的保护工作</w:t>
      </w:r>
    </w:p>
    <w:p w14:paraId="60DDEE5C">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eastAsia" w:ascii="Times New Roman" w:hAnsi="Times New Roman" w:eastAsia="Times New Roman" w:cs="Times New Roman"/>
          <w:color w:val="auto"/>
          <w:sz w:val="24"/>
          <w:szCs w:val="24"/>
          <w:highlight w:val="none"/>
        </w:rPr>
      </w:pPr>
      <w:r>
        <w:rPr>
          <w:rStyle w:val="19"/>
          <w:rFonts w:hint="default" w:hAnsi="Times New Roman" w:cs="Times New Roman"/>
          <w:color w:val="auto"/>
          <w:sz w:val="24"/>
          <w:szCs w:val="24"/>
          <w:highlight w:val="none"/>
        </w:rPr>
        <w:t>承包人应按照第</w:t>
      </w:r>
      <w:r>
        <w:rPr>
          <w:rStyle w:val="19"/>
          <w:rFonts w:hint="eastAsia" w:ascii="Times New Roman" w:hAnsi="Times New Roman" w:eastAsia="Times New Roman" w:cs="Times New Roman"/>
          <w:color w:val="auto"/>
          <w:sz w:val="24"/>
          <w:szCs w:val="24"/>
          <w:highlight w:val="none"/>
          <w:lang w:val="en-US" w:bidi="en-US"/>
        </w:rPr>
        <w:t>9.4</w:t>
      </w:r>
      <w:r>
        <w:rPr>
          <w:rStyle w:val="19"/>
          <w:rFonts w:hint="default" w:hAnsi="Times New Roman" w:cs="Times New Roman"/>
          <w:color w:val="auto"/>
          <w:sz w:val="24"/>
          <w:szCs w:val="24"/>
          <w:highlight w:val="none"/>
        </w:rPr>
        <w:t>款约定负责施工场地及其周边环境与生态的保护工作。</w:t>
      </w:r>
    </w:p>
    <w:p w14:paraId="1D5C031E">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eastAsia" w:ascii="Times New Roman" w:hAnsi="Times New Roman" w:eastAsia="Times New Roman" w:cs="Times New Roman"/>
          <w:color w:val="auto"/>
          <w:sz w:val="24"/>
          <w:szCs w:val="24"/>
          <w:highlight w:val="none"/>
        </w:rPr>
      </w:pPr>
      <w:r>
        <w:rPr>
          <w:rStyle w:val="19"/>
          <w:rFonts w:hint="eastAsia" w:ascii="Times New Roman" w:hAnsi="Times New Roman" w:eastAsia="Times New Roman" w:cs="Times New Roman"/>
          <w:color w:val="auto"/>
          <w:sz w:val="24"/>
          <w:szCs w:val="24"/>
          <w:highlight w:val="none"/>
          <w:lang w:val="en-US"/>
        </w:rPr>
        <w:t xml:space="preserve">4. 1. </w:t>
      </w:r>
      <w:r>
        <w:rPr>
          <w:rStyle w:val="19"/>
          <w:rFonts w:hint="eastAsia" w:ascii="Times New Roman" w:hAnsi="Times New Roman" w:eastAsia="Times New Roman" w:cs="Times New Roman"/>
          <w:color w:val="auto"/>
          <w:sz w:val="24"/>
          <w:szCs w:val="24"/>
          <w:highlight w:val="none"/>
        </w:rPr>
        <w:t>7</w:t>
      </w:r>
      <w:r>
        <w:rPr>
          <w:rStyle w:val="19"/>
          <w:rFonts w:hint="default" w:hAnsi="Times New Roman" w:cs="Times New Roman"/>
          <w:color w:val="auto"/>
          <w:sz w:val="24"/>
          <w:szCs w:val="24"/>
          <w:highlight w:val="none"/>
        </w:rPr>
        <w:t>避免施工对公众与他人的利益造成损害</w:t>
      </w:r>
    </w:p>
    <w:p w14:paraId="096EA89D">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eastAsia" w:ascii="Times New Roman" w:hAnsi="Times New Roman" w:eastAsia="Times New Roman" w:cs="Times New Roman"/>
          <w:color w:val="auto"/>
          <w:sz w:val="24"/>
          <w:szCs w:val="24"/>
          <w:highlight w:val="none"/>
        </w:rPr>
      </w:pPr>
      <w:r>
        <w:rPr>
          <w:rStyle w:val="19"/>
          <w:rFonts w:hint="default" w:hAnsi="Times New Roman" w:cs="Times New Roman"/>
          <w:color w:val="auto"/>
          <w:sz w:val="24"/>
          <w:szCs w:val="24"/>
          <w:highlight w:val="none"/>
        </w:rPr>
        <w:t>承包人在进行合同约定的各项工作时，不得侵害发包人与他人使用公用道路、水源、 市政管网等公共设施的权利，避免对邻近的公共设施产生干扰。承包人占用或使用他人的施工场地，影响他人作业或生活的，应承担相应责任。</w:t>
      </w:r>
    </w:p>
    <w:p w14:paraId="61F82F02">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eastAsia" w:ascii="Times New Roman" w:hAnsi="Times New Roman" w:eastAsia="Times New Roman" w:cs="Times New Roman"/>
          <w:color w:val="auto"/>
          <w:sz w:val="24"/>
          <w:szCs w:val="24"/>
          <w:highlight w:val="none"/>
        </w:rPr>
      </w:pPr>
      <w:r>
        <w:rPr>
          <w:rStyle w:val="19"/>
          <w:rFonts w:hint="eastAsia" w:ascii="Times New Roman" w:hAnsi="Times New Roman" w:eastAsia="Times New Roman" w:cs="Times New Roman"/>
          <w:color w:val="auto"/>
          <w:sz w:val="24"/>
          <w:szCs w:val="24"/>
          <w:highlight w:val="none"/>
          <w:lang w:val="en-US"/>
        </w:rPr>
        <w:t>4. 1.8</w:t>
      </w:r>
      <w:r>
        <w:rPr>
          <w:rStyle w:val="19"/>
          <w:rFonts w:hint="default" w:hAnsi="Times New Roman" w:cs="Times New Roman"/>
          <w:color w:val="auto"/>
          <w:sz w:val="24"/>
          <w:szCs w:val="24"/>
          <w:highlight w:val="none"/>
        </w:rPr>
        <w:t>为他人提供方便</w:t>
      </w:r>
    </w:p>
    <w:p w14:paraId="005E8303">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eastAsia" w:ascii="Times New Roman" w:hAnsi="Times New Roman" w:eastAsia="Times New Roman" w:cs="Times New Roman"/>
          <w:color w:val="auto"/>
          <w:sz w:val="24"/>
          <w:szCs w:val="24"/>
          <w:highlight w:val="none"/>
        </w:rPr>
      </w:pPr>
      <w:r>
        <w:rPr>
          <w:rStyle w:val="19"/>
          <w:rFonts w:hint="default" w:hAnsi="Times New Roman" w:cs="Times New Roman"/>
          <w:color w:val="auto"/>
          <w:sz w:val="24"/>
          <w:szCs w:val="24"/>
          <w:highlight w:val="none"/>
        </w:rPr>
        <w:t>承包人应按监理人的指示为他人在施工场地或附近实施与工程有关的其他各项工作提供可能的条件。除合同另有约定外，提供有关条件的内容和可能发生的费用，由监理人按 第</w:t>
      </w:r>
      <w:r>
        <w:rPr>
          <w:rStyle w:val="19"/>
          <w:rFonts w:hint="eastAsia" w:ascii="Times New Roman" w:hAnsi="Times New Roman" w:eastAsia="Times New Roman" w:cs="Times New Roman"/>
          <w:color w:val="auto"/>
          <w:sz w:val="24"/>
          <w:szCs w:val="24"/>
          <w:highlight w:val="none"/>
          <w:lang w:val="en-US" w:bidi="en-US"/>
        </w:rPr>
        <w:t xml:space="preserve">3. </w:t>
      </w:r>
      <w:r>
        <w:rPr>
          <w:rStyle w:val="19"/>
          <w:rFonts w:hint="eastAsia" w:ascii="Times New Roman" w:hAnsi="Times New Roman" w:eastAsia="Times New Roman" w:cs="Times New Roman"/>
          <w:color w:val="auto"/>
          <w:sz w:val="24"/>
          <w:szCs w:val="24"/>
          <w:highlight w:val="none"/>
        </w:rPr>
        <w:t>5</w:t>
      </w:r>
      <w:r>
        <w:rPr>
          <w:rStyle w:val="19"/>
          <w:rFonts w:hint="default" w:hAnsi="Times New Roman" w:cs="Times New Roman"/>
          <w:color w:val="auto"/>
          <w:sz w:val="24"/>
          <w:szCs w:val="24"/>
          <w:highlight w:val="none"/>
        </w:rPr>
        <w:t>款商定或确定。</w:t>
      </w:r>
    </w:p>
    <w:p w14:paraId="0F08C095">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eastAsia" w:ascii="Times New Roman" w:hAnsi="Times New Roman" w:eastAsia="Times New Roman" w:cs="Times New Roman"/>
          <w:color w:val="auto"/>
          <w:sz w:val="24"/>
          <w:szCs w:val="24"/>
          <w:highlight w:val="none"/>
        </w:rPr>
      </w:pPr>
      <w:r>
        <w:rPr>
          <w:rStyle w:val="19"/>
          <w:rFonts w:hint="eastAsia" w:ascii="Times New Roman" w:hAnsi="Times New Roman" w:eastAsia="Times New Roman" w:cs="Times New Roman"/>
          <w:color w:val="auto"/>
          <w:sz w:val="24"/>
          <w:szCs w:val="24"/>
          <w:highlight w:val="none"/>
          <w:lang w:val="en-US"/>
        </w:rPr>
        <w:t>4.1.9</w:t>
      </w:r>
      <w:r>
        <w:rPr>
          <w:rStyle w:val="19"/>
          <w:rFonts w:hint="default" w:hAnsi="Times New Roman" w:cs="Times New Roman"/>
          <w:color w:val="auto"/>
          <w:sz w:val="24"/>
          <w:szCs w:val="24"/>
          <w:highlight w:val="none"/>
        </w:rPr>
        <w:t>工程的维护和照管</w:t>
      </w:r>
    </w:p>
    <w:p w14:paraId="67E58964">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eastAsia" w:ascii="Times New Roman" w:hAnsi="Times New Roman" w:eastAsia="Times New Roman" w:cs="Times New Roman"/>
          <w:color w:val="auto"/>
          <w:sz w:val="24"/>
          <w:szCs w:val="24"/>
          <w:highlight w:val="none"/>
        </w:rPr>
      </w:pPr>
      <w:r>
        <w:rPr>
          <w:rStyle w:val="19"/>
          <w:rFonts w:hint="default" w:hAnsi="Times New Roman" w:cs="Times New Roman"/>
          <w:color w:val="auto"/>
          <w:sz w:val="24"/>
          <w:szCs w:val="24"/>
          <w:highlight w:val="none"/>
        </w:rPr>
        <w:t>除合同另有约定外，合同工程完工证书颁发前，承包人应负责照管和维护工程。合同工程完工证书颁发时尚有部分未完工程的，承包人还应负责该未完工程的照管和维护工作，直至完工后移交给发包人为止。</w:t>
      </w:r>
    </w:p>
    <w:p w14:paraId="16E928FD">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eastAsia" w:ascii="Times New Roman" w:hAnsi="Times New Roman" w:eastAsia="Times New Roman" w:cs="Times New Roman"/>
          <w:color w:val="auto"/>
          <w:sz w:val="24"/>
          <w:szCs w:val="24"/>
          <w:highlight w:val="none"/>
        </w:rPr>
      </w:pPr>
      <w:r>
        <w:rPr>
          <w:rStyle w:val="19"/>
          <w:rFonts w:hint="eastAsia" w:ascii="Times New Roman" w:hAnsi="Times New Roman" w:eastAsia="Times New Roman" w:cs="Times New Roman"/>
          <w:color w:val="auto"/>
          <w:sz w:val="24"/>
          <w:szCs w:val="24"/>
          <w:highlight w:val="none"/>
        </w:rPr>
        <w:t>4.1.10</w:t>
      </w:r>
      <w:r>
        <w:rPr>
          <w:rStyle w:val="19"/>
          <w:rFonts w:hint="default" w:hAnsi="Times New Roman" w:cs="Times New Roman"/>
          <w:color w:val="auto"/>
          <w:sz w:val="24"/>
          <w:szCs w:val="24"/>
          <w:highlight w:val="none"/>
        </w:rPr>
        <w:t>其它义务</w:t>
      </w:r>
    </w:p>
    <w:p w14:paraId="044AE72E">
      <w:pPr>
        <w:pStyle w:val="31"/>
        <w:pageBreakBefore w:val="0"/>
        <w:widowControl w:val="0"/>
        <w:kinsoku/>
        <w:wordWrap/>
        <w:overflowPunct/>
        <w:topLinePunct w:val="0"/>
        <w:autoSpaceDE/>
        <w:autoSpaceDN/>
        <w:bidi w:val="0"/>
        <w:adjustRightInd/>
        <w:snapToGrid/>
        <w:spacing w:beforeLines="0" w:after="120" w:afterLines="0" w:line="440" w:lineRule="exact"/>
        <w:ind w:firstLine="420"/>
        <w:jc w:val="both"/>
        <w:textAlignment w:val="auto"/>
        <w:rPr>
          <w:rStyle w:val="19"/>
          <w:rFonts w:hint="default"/>
          <w:color w:val="auto"/>
          <w:sz w:val="24"/>
          <w:szCs w:val="20"/>
          <w:highlight w:val="none"/>
        </w:rPr>
      </w:pPr>
      <w:r>
        <w:rPr>
          <w:rStyle w:val="19"/>
          <w:rFonts w:hint="default"/>
          <w:color w:val="auto"/>
          <w:sz w:val="24"/>
          <w:szCs w:val="20"/>
          <w:highlight w:val="none"/>
        </w:rPr>
        <w:t>其它义务在专用合同条款中补充约定。</w:t>
      </w:r>
    </w:p>
    <w:p w14:paraId="0601BFD0">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375" w:name="_Toc256000036"/>
      <w:bookmarkStart w:id="376" w:name="_Toc11535"/>
      <w:bookmarkStart w:id="377" w:name="_Toc30450"/>
      <w:bookmarkStart w:id="378" w:name="bookmark1006"/>
      <w:bookmarkStart w:id="379" w:name="bookmark1005"/>
      <w:bookmarkStart w:id="380" w:name="bookmark1004"/>
      <w:r>
        <w:rPr>
          <w:rStyle w:val="19"/>
          <w:rFonts w:hint="default" w:ascii="宋体" w:hAnsi="宋体" w:eastAsia="宋体"/>
          <w:color w:val="auto"/>
          <w:sz w:val="24"/>
          <w:szCs w:val="20"/>
          <w:highlight w:val="none"/>
          <w:lang w:eastAsia="zh-CN"/>
        </w:rPr>
        <w:t>4.2履约担保</w:t>
      </w:r>
      <w:bookmarkEnd w:id="375"/>
      <w:bookmarkEnd w:id="376"/>
      <w:bookmarkEnd w:id="377"/>
      <w:bookmarkEnd w:id="378"/>
      <w:bookmarkEnd w:id="379"/>
      <w:bookmarkEnd w:id="380"/>
    </w:p>
    <w:p w14:paraId="60B19E23">
      <w:pPr>
        <w:pStyle w:val="31"/>
        <w:pageBreakBefore w:val="0"/>
        <w:widowControl w:val="0"/>
        <w:kinsoku/>
        <w:wordWrap/>
        <w:overflowPunct/>
        <w:topLinePunct w:val="0"/>
        <w:autoSpaceDE/>
        <w:autoSpaceDN/>
        <w:bidi w:val="0"/>
        <w:adjustRightInd/>
        <w:snapToGrid/>
        <w:spacing w:beforeLines="0" w:after="160" w:afterLines="0" w:line="440" w:lineRule="exact"/>
        <w:ind w:firstLine="420"/>
        <w:jc w:val="both"/>
        <w:textAlignment w:val="auto"/>
        <w:rPr>
          <w:rStyle w:val="19"/>
          <w:rFonts w:hint="default"/>
          <w:color w:val="auto"/>
          <w:sz w:val="24"/>
          <w:szCs w:val="20"/>
          <w:highlight w:val="none"/>
        </w:rPr>
      </w:pPr>
      <w:r>
        <w:rPr>
          <w:rStyle w:val="19"/>
          <w:rFonts w:hint="default"/>
          <w:color w:val="auto"/>
          <w:sz w:val="24"/>
          <w:szCs w:val="20"/>
          <w:highlight w:val="none"/>
        </w:rPr>
        <w:t>承包人应保证其履约担保在发包人颁发合同工程完工证书前一直有效。发包人应在合同工程完工证书颁发后</w:t>
      </w:r>
      <w:r>
        <w:rPr>
          <w:rStyle w:val="19"/>
          <w:rFonts w:hint="eastAsia" w:ascii="Times New Roman" w:hAnsi="Times New Roman" w:eastAsia="Times New Roman" w:cs="Times New Roman"/>
          <w:color w:val="auto"/>
          <w:sz w:val="24"/>
          <w:szCs w:val="24"/>
          <w:highlight w:val="none"/>
        </w:rPr>
        <w:t>28</w:t>
      </w:r>
      <w:r>
        <w:rPr>
          <w:rStyle w:val="19"/>
          <w:rFonts w:hint="default"/>
          <w:color w:val="auto"/>
          <w:sz w:val="24"/>
          <w:szCs w:val="20"/>
          <w:highlight w:val="none"/>
        </w:rPr>
        <w:t>天内将履约担保退还给承包人。</w:t>
      </w:r>
    </w:p>
    <w:p w14:paraId="6301E35C">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381" w:name="bookmark1008"/>
      <w:bookmarkStart w:id="382" w:name="bookmark1007"/>
      <w:bookmarkStart w:id="383" w:name="bookmark1009"/>
      <w:bookmarkStart w:id="384" w:name="_Toc31393"/>
      <w:bookmarkStart w:id="385" w:name="_Toc256000037"/>
      <w:bookmarkStart w:id="386" w:name="_Toc14304"/>
      <w:r>
        <w:rPr>
          <w:rStyle w:val="19"/>
          <w:rFonts w:hint="default" w:ascii="宋体" w:hAnsi="宋体" w:eastAsia="宋体"/>
          <w:color w:val="auto"/>
          <w:sz w:val="24"/>
          <w:szCs w:val="20"/>
          <w:highlight w:val="none"/>
          <w:lang w:eastAsia="zh-CN"/>
        </w:rPr>
        <w:t>4.3分包</w:t>
      </w:r>
      <w:bookmarkEnd w:id="381"/>
      <w:bookmarkEnd w:id="382"/>
      <w:bookmarkEnd w:id="383"/>
      <w:bookmarkEnd w:id="384"/>
      <w:bookmarkEnd w:id="385"/>
      <w:bookmarkEnd w:id="386"/>
    </w:p>
    <w:p w14:paraId="7563BEA5">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4.3.1</w:t>
      </w:r>
      <w:r>
        <w:rPr>
          <w:rStyle w:val="19"/>
          <w:rFonts w:hint="default"/>
          <w:color w:val="auto"/>
          <w:sz w:val="24"/>
          <w:szCs w:val="20"/>
          <w:highlight w:val="none"/>
        </w:rPr>
        <w:t>承包人不得将其承包的全部工程转包给第三人，或将其承包的全部工程肢解后以分包的名义转包给第三人。</w:t>
      </w:r>
    </w:p>
    <w:p w14:paraId="2063C314">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4.3.2</w:t>
      </w:r>
      <w:r>
        <w:rPr>
          <w:rStyle w:val="19"/>
          <w:rFonts w:hint="default"/>
          <w:color w:val="auto"/>
          <w:sz w:val="24"/>
          <w:szCs w:val="20"/>
          <w:highlight w:val="none"/>
        </w:rPr>
        <w:t>承包人不得将工程主体、关键性工作分包给第三人。除专用合同条款另有约定外，未经发包人同意，承包人不得将工程的其他部分或工作分包给第三人。</w:t>
      </w:r>
    </w:p>
    <w:p w14:paraId="30434FEA">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4.3.</w:t>
      </w:r>
      <w:r>
        <w:rPr>
          <w:rStyle w:val="19"/>
          <w:rFonts w:hint="eastAsia" w:ascii="Times New Roman" w:hAnsi="Times New Roman" w:eastAsia="Times New Roman" w:cs="Times New Roman"/>
          <w:color w:val="auto"/>
          <w:sz w:val="24"/>
          <w:szCs w:val="24"/>
          <w:highlight w:val="none"/>
        </w:rPr>
        <w:t>3</w:t>
      </w:r>
      <w:r>
        <w:rPr>
          <w:rStyle w:val="19"/>
          <w:rFonts w:hint="default"/>
          <w:color w:val="auto"/>
          <w:sz w:val="24"/>
          <w:szCs w:val="20"/>
          <w:highlight w:val="none"/>
        </w:rPr>
        <w:t>分包人的资格能力应与其分包工程的标准和规模相适应。</w:t>
      </w:r>
    </w:p>
    <w:p w14:paraId="7DD25060">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4.3.4</w:t>
      </w:r>
      <w:r>
        <w:rPr>
          <w:rStyle w:val="19"/>
          <w:rFonts w:hint="default"/>
          <w:color w:val="auto"/>
          <w:sz w:val="24"/>
          <w:szCs w:val="20"/>
          <w:highlight w:val="none"/>
        </w:rPr>
        <w:t>按投标函附录约定分包工程的，承包人应向发包人和监理人提交分包合同 副本。</w:t>
      </w:r>
    </w:p>
    <w:p w14:paraId="1CE42642">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4.3.5</w:t>
      </w:r>
      <w:r>
        <w:rPr>
          <w:rStyle w:val="19"/>
          <w:rFonts w:hint="default"/>
          <w:color w:val="auto"/>
          <w:sz w:val="24"/>
          <w:szCs w:val="20"/>
          <w:highlight w:val="none"/>
        </w:rPr>
        <w:t>承包人应与分包人就分包工程向发包人承担连带责任。</w:t>
      </w:r>
    </w:p>
    <w:p w14:paraId="2D8A3534">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4.3.6</w:t>
      </w:r>
      <w:r>
        <w:rPr>
          <w:rStyle w:val="19"/>
          <w:rFonts w:hint="default"/>
          <w:color w:val="auto"/>
          <w:sz w:val="24"/>
          <w:szCs w:val="20"/>
          <w:highlight w:val="none"/>
        </w:rPr>
        <w:t>分包分为工程分包和劳务作业分包。工程分包应遵循合同约定或者经发包人书面认可。禁止承包人将本合同工程进行违法分包。分包人应具备与分包工程规模和标准相适应的资质和业绩，在人力、设备、资金等方面具有承担分包工程施工的能力。分包人应自行完成所承包的任务。</w:t>
      </w:r>
    </w:p>
    <w:p w14:paraId="77014F97">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4.3.7</w:t>
      </w:r>
      <w:r>
        <w:rPr>
          <w:rStyle w:val="19"/>
          <w:rFonts w:hint="default"/>
          <w:color w:val="auto"/>
          <w:sz w:val="24"/>
          <w:szCs w:val="20"/>
          <w:highlight w:val="none"/>
        </w:rPr>
        <w:t>在合同实施过程中，如承包人无力在合同规定的期限内完成合同中的应急防 汛、抢险等危及公共安全和工程安全的项目，发包人可对该应急防汛、抢险等项目的部分工程指定分包人。因非承包人原因形成指定分包条件的，发包人的指定分包不得增加承包人的额外费用；因承包人原因形成指定分包条件的，承包人应承担指定分包所增加的费用。由指定分包人造成的与其分包工作有关的一切索赔、诉讼和损失赔偿由指定分包人直接对发包人负责，承包人不对此承担责任。</w:t>
      </w:r>
    </w:p>
    <w:p w14:paraId="27BDB1F6">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4.3.8</w:t>
      </w:r>
      <w:r>
        <w:rPr>
          <w:rStyle w:val="19"/>
          <w:rFonts w:hint="default"/>
          <w:color w:val="auto"/>
          <w:sz w:val="24"/>
          <w:szCs w:val="20"/>
          <w:highlight w:val="none"/>
        </w:rPr>
        <w:t>承包人和发包人应当签订分包合同，并履行合同约定的义务。分包合同必须遵循承包合同的各项原则，满足相应条款的要求。发包人可以对分包合同实施情况进行监督检查。承包人应将分包合同副本提交发包人和监理人。</w:t>
      </w:r>
    </w:p>
    <w:p w14:paraId="1BA53FD8">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4.3.9</w:t>
      </w:r>
      <w:r>
        <w:rPr>
          <w:rStyle w:val="19"/>
          <w:rFonts w:hint="default"/>
          <w:color w:val="auto"/>
          <w:sz w:val="24"/>
          <w:szCs w:val="20"/>
          <w:highlight w:val="none"/>
        </w:rPr>
        <w:t>除第</w:t>
      </w:r>
      <w:r>
        <w:rPr>
          <w:rStyle w:val="19"/>
          <w:rFonts w:hint="eastAsia" w:ascii="Times New Roman" w:hAnsi="Times New Roman" w:eastAsia="Times New Roman" w:cs="Times New Roman"/>
          <w:color w:val="auto"/>
          <w:sz w:val="24"/>
          <w:szCs w:val="24"/>
          <w:highlight w:val="none"/>
          <w:lang w:val="en-US" w:bidi="en-US"/>
        </w:rPr>
        <w:t xml:space="preserve">4. 3. </w:t>
      </w:r>
      <w:r>
        <w:rPr>
          <w:rStyle w:val="19"/>
          <w:rFonts w:hint="eastAsia" w:ascii="Times New Roman" w:hAnsi="Times New Roman" w:eastAsia="Times New Roman" w:cs="Times New Roman"/>
          <w:color w:val="auto"/>
          <w:sz w:val="24"/>
          <w:szCs w:val="24"/>
          <w:highlight w:val="none"/>
        </w:rPr>
        <w:t>7</w:t>
      </w:r>
      <w:r>
        <w:rPr>
          <w:rStyle w:val="19"/>
          <w:rFonts w:hint="default"/>
          <w:color w:val="auto"/>
          <w:sz w:val="24"/>
          <w:szCs w:val="20"/>
          <w:highlight w:val="none"/>
        </w:rPr>
        <w:t>项规定的指定分包外，承包人对其分包项目的实施以及分包人的行为向发包人负全部责任。承包人应对分包项目的工程进度、质量、安全、计量和验收等实施监督和管理。</w:t>
      </w:r>
    </w:p>
    <w:p w14:paraId="7E984CBE">
      <w:pPr>
        <w:pStyle w:val="31"/>
        <w:pageBreakBefore w:val="0"/>
        <w:widowControl w:val="0"/>
        <w:tabs>
          <w:tab w:val="left" w:pos="736"/>
        </w:tabs>
        <w:kinsoku/>
        <w:wordWrap/>
        <w:overflowPunct/>
        <w:topLinePunct w:val="0"/>
        <w:autoSpaceDE/>
        <w:autoSpaceDN/>
        <w:bidi w:val="0"/>
        <w:adjustRightInd/>
        <w:snapToGrid/>
        <w:spacing w:beforeLines="0" w:after="140" w:afterLines="0" w:line="440" w:lineRule="exact"/>
        <w:ind w:left="420" w:firstLine="0"/>
        <w:jc w:val="both"/>
        <w:textAlignment w:val="auto"/>
        <w:rPr>
          <w:rStyle w:val="19"/>
          <w:rFonts w:hint="default"/>
          <w:color w:val="auto"/>
          <w:sz w:val="24"/>
          <w:szCs w:val="20"/>
          <w:highlight w:val="none"/>
        </w:rPr>
      </w:pPr>
      <w:bookmarkStart w:id="387" w:name="bookmark1010"/>
      <w:bookmarkEnd w:id="387"/>
      <w:r>
        <w:rPr>
          <w:rStyle w:val="19"/>
          <w:rFonts w:hint="eastAsia" w:ascii="Times New Roman" w:hAnsi="Times New Roman" w:eastAsia="Times New Roman" w:cs="Times New Roman"/>
          <w:color w:val="auto"/>
          <w:sz w:val="24"/>
          <w:szCs w:val="24"/>
          <w:highlight w:val="none"/>
          <w:lang w:val="en-US" w:bidi="en-US"/>
        </w:rPr>
        <w:t>4.3.</w:t>
      </w:r>
      <w:r>
        <w:rPr>
          <w:rStyle w:val="19"/>
          <w:rFonts w:hint="eastAsia" w:ascii="Times New Roman" w:hAnsi="Times New Roman" w:eastAsia="Times New Roman" w:cs="Times New Roman"/>
          <w:color w:val="auto"/>
          <w:sz w:val="24"/>
          <w:szCs w:val="24"/>
          <w:highlight w:val="none"/>
        </w:rPr>
        <w:t>10</w:t>
      </w:r>
      <w:r>
        <w:rPr>
          <w:rStyle w:val="19"/>
          <w:rFonts w:hint="default"/>
          <w:color w:val="auto"/>
          <w:sz w:val="24"/>
          <w:szCs w:val="20"/>
          <w:highlight w:val="none"/>
        </w:rPr>
        <w:t>分包人应按专用合同条款的约定设立项目管理机构组织管理分包工程的施工 活动。</w:t>
      </w:r>
    </w:p>
    <w:p w14:paraId="37EFBA4E">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388" w:name="_Toc20891"/>
      <w:bookmarkStart w:id="389" w:name="bookmark1012"/>
      <w:bookmarkStart w:id="390" w:name="bookmark1013"/>
      <w:bookmarkStart w:id="391" w:name="_Toc27582"/>
      <w:bookmarkStart w:id="392" w:name="bookmark1011"/>
      <w:bookmarkStart w:id="393" w:name="_Toc256000038"/>
      <w:r>
        <w:rPr>
          <w:rStyle w:val="19"/>
          <w:rFonts w:hint="default" w:ascii="宋体" w:hAnsi="宋体" w:eastAsia="宋体"/>
          <w:color w:val="auto"/>
          <w:sz w:val="24"/>
          <w:szCs w:val="20"/>
          <w:highlight w:val="none"/>
          <w:lang w:eastAsia="zh-CN"/>
        </w:rPr>
        <w:t>4.4联合体</w:t>
      </w:r>
      <w:bookmarkEnd w:id="388"/>
      <w:bookmarkEnd w:id="389"/>
      <w:bookmarkEnd w:id="390"/>
      <w:bookmarkEnd w:id="391"/>
      <w:bookmarkEnd w:id="392"/>
      <w:bookmarkEnd w:id="393"/>
    </w:p>
    <w:p w14:paraId="0796EC89">
      <w:pPr>
        <w:pStyle w:val="31"/>
        <w:pageBreakBefore w:val="0"/>
        <w:widowControl w:val="0"/>
        <w:tabs>
          <w:tab w:val="left" w:pos="738"/>
        </w:tabs>
        <w:kinsoku/>
        <w:wordWrap/>
        <w:overflowPunct/>
        <w:topLinePunct w:val="0"/>
        <w:autoSpaceDE/>
        <w:autoSpaceDN/>
        <w:bidi w:val="0"/>
        <w:adjustRightInd/>
        <w:snapToGrid/>
        <w:spacing w:beforeLines="0" w:afterLines="0" w:line="440" w:lineRule="exact"/>
        <w:ind w:firstLine="480" w:firstLineChars="200"/>
        <w:jc w:val="both"/>
        <w:textAlignment w:val="auto"/>
        <w:rPr>
          <w:rStyle w:val="19"/>
          <w:rFonts w:hint="default"/>
          <w:color w:val="auto"/>
          <w:sz w:val="24"/>
          <w:szCs w:val="20"/>
          <w:highlight w:val="none"/>
        </w:rPr>
      </w:pPr>
      <w:bookmarkStart w:id="394" w:name="bookmark1014"/>
      <w:bookmarkEnd w:id="394"/>
      <w:r>
        <w:rPr>
          <w:rStyle w:val="19"/>
          <w:rFonts w:hint="eastAsia" w:ascii="Times New Roman" w:hAnsi="Times New Roman" w:eastAsia="Times New Roman" w:cs="Times New Roman"/>
          <w:color w:val="auto"/>
          <w:sz w:val="24"/>
          <w:szCs w:val="24"/>
          <w:highlight w:val="none"/>
          <w:lang w:val="en-US" w:bidi="en-US"/>
        </w:rPr>
        <w:t>4.4.1</w:t>
      </w:r>
      <w:r>
        <w:rPr>
          <w:rStyle w:val="19"/>
          <w:rFonts w:hint="default"/>
          <w:color w:val="auto"/>
          <w:sz w:val="24"/>
          <w:szCs w:val="20"/>
          <w:highlight w:val="none"/>
        </w:rPr>
        <w:t>联合体各方应共同与发包人签订合同协议书。联合体各方应为履行合同承担连带责任。</w:t>
      </w:r>
    </w:p>
    <w:p w14:paraId="2D1D6C1C">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4.4.2</w:t>
      </w:r>
      <w:r>
        <w:rPr>
          <w:rStyle w:val="19"/>
          <w:rFonts w:hint="default"/>
          <w:color w:val="auto"/>
          <w:sz w:val="24"/>
          <w:szCs w:val="20"/>
          <w:highlight w:val="none"/>
        </w:rPr>
        <w:t>联合体协议经发包人确认后作为合同附件。在履行合同过程中，未经发包人同意，不得修改联合体协议。</w:t>
      </w:r>
    </w:p>
    <w:p w14:paraId="517C6D6F">
      <w:pPr>
        <w:pStyle w:val="31"/>
        <w:pageBreakBefore w:val="0"/>
        <w:widowControl w:val="0"/>
        <w:kinsoku/>
        <w:wordWrap/>
        <w:overflowPunct/>
        <w:topLinePunct w:val="0"/>
        <w:autoSpaceDE/>
        <w:autoSpaceDN/>
        <w:bidi w:val="0"/>
        <w:adjustRightInd/>
        <w:snapToGrid/>
        <w:spacing w:beforeLines="0" w:after="14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4.4.3</w:t>
      </w:r>
      <w:r>
        <w:rPr>
          <w:rStyle w:val="19"/>
          <w:rFonts w:hint="default"/>
          <w:color w:val="auto"/>
          <w:sz w:val="24"/>
          <w:szCs w:val="20"/>
          <w:highlight w:val="none"/>
        </w:rPr>
        <w:t>联合体牵头人负责与发包人和监理人联系，并接受指示，负责组织联合体各成员全面履行合同。</w:t>
      </w:r>
    </w:p>
    <w:p w14:paraId="3CDFEC2A">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395" w:name="_Toc27934"/>
      <w:bookmarkStart w:id="396" w:name="bookmark1016"/>
      <w:bookmarkStart w:id="397" w:name="bookmark1017"/>
      <w:bookmarkStart w:id="398" w:name="_Toc22472"/>
      <w:bookmarkStart w:id="399" w:name="_Toc256000039"/>
      <w:bookmarkStart w:id="400" w:name="bookmark1015"/>
      <w:r>
        <w:rPr>
          <w:rStyle w:val="19"/>
          <w:rFonts w:hint="default" w:ascii="宋体" w:hAnsi="宋体" w:eastAsia="宋体"/>
          <w:color w:val="auto"/>
          <w:sz w:val="24"/>
          <w:szCs w:val="20"/>
          <w:highlight w:val="none"/>
          <w:lang w:eastAsia="zh-CN"/>
        </w:rPr>
        <w:t>4.5承包人项目经理</w:t>
      </w:r>
      <w:bookmarkEnd w:id="395"/>
      <w:bookmarkEnd w:id="396"/>
      <w:bookmarkEnd w:id="397"/>
      <w:bookmarkEnd w:id="398"/>
      <w:bookmarkEnd w:id="399"/>
      <w:bookmarkEnd w:id="400"/>
    </w:p>
    <w:p w14:paraId="1C2D952F">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4.5.1</w:t>
      </w:r>
      <w:r>
        <w:rPr>
          <w:rStyle w:val="19"/>
          <w:rFonts w:hint="default"/>
          <w:color w:val="auto"/>
          <w:sz w:val="24"/>
          <w:szCs w:val="20"/>
          <w:highlight w:val="none"/>
        </w:rPr>
        <w:t>承包人应按合同约定指派项目经理，并在约定的期限内到职。承包人更换项目经理应事先征得发包人同意，并应在更换</w:t>
      </w:r>
      <w:r>
        <w:rPr>
          <w:rStyle w:val="19"/>
          <w:rFonts w:hint="eastAsia" w:ascii="Times New Roman" w:hAnsi="Times New Roman" w:eastAsia="Times New Roman" w:cs="Times New Roman"/>
          <w:color w:val="auto"/>
          <w:sz w:val="24"/>
          <w:szCs w:val="24"/>
          <w:highlight w:val="none"/>
        </w:rPr>
        <w:t>14</w:t>
      </w:r>
      <w:r>
        <w:rPr>
          <w:rStyle w:val="19"/>
          <w:rFonts w:hint="default"/>
          <w:color w:val="auto"/>
          <w:sz w:val="24"/>
          <w:szCs w:val="20"/>
          <w:highlight w:val="none"/>
        </w:rPr>
        <w:t>天前通知发包人和监理人。承包人项目经理短 期离开施工场地，应事先征得监理人同意，并委派代表代行其职责。</w:t>
      </w:r>
    </w:p>
    <w:p w14:paraId="18CDB99E">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4.5.2</w:t>
      </w:r>
      <w:r>
        <w:rPr>
          <w:rStyle w:val="19"/>
          <w:rFonts w:hint="default"/>
          <w:color w:val="auto"/>
          <w:sz w:val="24"/>
          <w:szCs w:val="20"/>
          <w:highlight w:val="none"/>
        </w:rPr>
        <w:t>承包人项目经理应按合同约定以及监理人按第</w:t>
      </w:r>
      <w:r>
        <w:rPr>
          <w:rStyle w:val="19"/>
          <w:rFonts w:hint="eastAsia" w:ascii="Times New Roman" w:hAnsi="Times New Roman" w:eastAsia="Times New Roman" w:cs="Times New Roman"/>
          <w:color w:val="auto"/>
          <w:sz w:val="24"/>
          <w:szCs w:val="24"/>
          <w:highlight w:val="none"/>
          <w:lang w:val="en-US" w:bidi="en-US"/>
        </w:rPr>
        <w:t xml:space="preserve">3. </w:t>
      </w:r>
      <w:r>
        <w:rPr>
          <w:rStyle w:val="19"/>
          <w:rFonts w:hint="eastAsia" w:ascii="Times New Roman" w:hAnsi="Times New Roman" w:eastAsia="Times New Roman" w:cs="Times New Roman"/>
          <w:color w:val="auto"/>
          <w:sz w:val="24"/>
          <w:szCs w:val="24"/>
          <w:highlight w:val="none"/>
        </w:rPr>
        <w:t>4</w:t>
      </w:r>
      <w:r>
        <w:rPr>
          <w:rStyle w:val="19"/>
          <w:rFonts w:hint="default"/>
          <w:color w:val="auto"/>
          <w:sz w:val="24"/>
          <w:szCs w:val="20"/>
          <w:highlight w:val="none"/>
        </w:rPr>
        <w:t>款作出的指示，负责组织合同工程的实施。在情况紧急且无法与监理人取得联系时，可采取保证工程和人员生命财产 安全的紧急措施，并在采取措施后</w:t>
      </w:r>
      <w:r>
        <w:rPr>
          <w:rStyle w:val="19"/>
          <w:rFonts w:hint="eastAsia" w:ascii="Times New Roman" w:hAnsi="Times New Roman" w:eastAsia="Times New Roman" w:cs="Times New Roman"/>
          <w:color w:val="auto"/>
          <w:sz w:val="24"/>
          <w:szCs w:val="24"/>
          <w:highlight w:val="none"/>
        </w:rPr>
        <w:t>24</w:t>
      </w:r>
      <w:r>
        <w:rPr>
          <w:rStyle w:val="19"/>
          <w:rFonts w:hint="default"/>
          <w:color w:val="auto"/>
          <w:sz w:val="24"/>
          <w:szCs w:val="20"/>
          <w:highlight w:val="none"/>
        </w:rPr>
        <w:t>小时内向监理人提交书面报告。</w:t>
      </w:r>
    </w:p>
    <w:p w14:paraId="6126E65A">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4.5.</w:t>
      </w:r>
      <w:r>
        <w:rPr>
          <w:rStyle w:val="19"/>
          <w:rFonts w:hint="eastAsia" w:ascii="Times New Roman" w:hAnsi="Times New Roman" w:eastAsia="Times New Roman" w:cs="Times New Roman"/>
          <w:color w:val="auto"/>
          <w:sz w:val="24"/>
          <w:szCs w:val="24"/>
          <w:highlight w:val="none"/>
        </w:rPr>
        <w:t>3</w:t>
      </w:r>
      <w:r>
        <w:rPr>
          <w:rStyle w:val="19"/>
          <w:rFonts w:hint="default"/>
          <w:color w:val="auto"/>
          <w:sz w:val="24"/>
          <w:szCs w:val="20"/>
          <w:highlight w:val="none"/>
        </w:rPr>
        <w:t>承包人为履行合同发出的一切函件均应盖有承包人授权的施工场地管理机构章，并由承包人项目经理或其授权代表签字。</w:t>
      </w:r>
    </w:p>
    <w:p w14:paraId="7A02D2D3">
      <w:pPr>
        <w:pStyle w:val="31"/>
        <w:pageBreakBefore w:val="0"/>
        <w:widowControl w:val="0"/>
        <w:kinsoku/>
        <w:wordWrap/>
        <w:overflowPunct/>
        <w:topLinePunct w:val="0"/>
        <w:autoSpaceDE/>
        <w:autoSpaceDN/>
        <w:bidi w:val="0"/>
        <w:adjustRightInd/>
        <w:snapToGrid/>
        <w:spacing w:beforeLines="0" w:after="14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4.5.4</w:t>
      </w:r>
      <w:r>
        <w:rPr>
          <w:rStyle w:val="19"/>
          <w:rFonts w:hint="default"/>
          <w:color w:val="auto"/>
          <w:sz w:val="24"/>
          <w:szCs w:val="20"/>
          <w:highlight w:val="none"/>
        </w:rPr>
        <w:t>承包人项目经理可以授权其下属人员履行其某项职责，但事先应将这些人员的姓名和授权范围通知监理人。</w:t>
      </w:r>
    </w:p>
    <w:p w14:paraId="4BE5191C">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401" w:name="bookmark1019"/>
      <w:bookmarkStart w:id="402" w:name="_Toc20561"/>
      <w:bookmarkStart w:id="403" w:name="_Toc1095"/>
      <w:bookmarkStart w:id="404" w:name="_Toc256000040"/>
      <w:bookmarkStart w:id="405" w:name="bookmark1020"/>
      <w:bookmarkStart w:id="406" w:name="bookmark1018"/>
      <w:r>
        <w:rPr>
          <w:rStyle w:val="19"/>
          <w:rFonts w:hint="default" w:ascii="宋体" w:hAnsi="宋体" w:eastAsia="宋体"/>
          <w:color w:val="auto"/>
          <w:sz w:val="24"/>
          <w:szCs w:val="20"/>
          <w:highlight w:val="none"/>
          <w:lang w:eastAsia="zh-CN"/>
        </w:rPr>
        <w:t>4.6承包人人员的管理</w:t>
      </w:r>
      <w:bookmarkEnd w:id="401"/>
      <w:bookmarkEnd w:id="402"/>
      <w:bookmarkEnd w:id="403"/>
      <w:bookmarkEnd w:id="404"/>
      <w:bookmarkEnd w:id="405"/>
      <w:bookmarkEnd w:id="406"/>
    </w:p>
    <w:p w14:paraId="086DB3E3">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4.6.1</w:t>
      </w:r>
      <w:r>
        <w:rPr>
          <w:rStyle w:val="19"/>
          <w:rFonts w:hint="default"/>
          <w:color w:val="auto"/>
          <w:sz w:val="24"/>
          <w:szCs w:val="20"/>
          <w:highlight w:val="none"/>
        </w:rPr>
        <w:t>承包人应在接到开工通知后</w:t>
      </w:r>
      <w:r>
        <w:rPr>
          <w:rStyle w:val="19"/>
          <w:rFonts w:hint="eastAsia" w:ascii="Times New Roman" w:hAnsi="Times New Roman" w:eastAsia="Times New Roman" w:cs="Times New Roman"/>
          <w:color w:val="auto"/>
          <w:sz w:val="24"/>
          <w:szCs w:val="24"/>
          <w:highlight w:val="none"/>
        </w:rPr>
        <w:t>28</w:t>
      </w:r>
      <w:r>
        <w:rPr>
          <w:rStyle w:val="19"/>
          <w:rFonts w:hint="default"/>
          <w:color w:val="auto"/>
          <w:sz w:val="24"/>
          <w:szCs w:val="20"/>
          <w:highlight w:val="none"/>
        </w:rPr>
        <w:t>天内，向监理人提交承包人在施工场地的管理机构以及人员安排的报告，其内容应包括管理机构的设置、各主要岗位的技术和管理人员名单及其资格，以及各工种技术工人的安排状况。承包人应向监理人提交施工场地人员变动情况的报告。</w:t>
      </w:r>
    </w:p>
    <w:p w14:paraId="2D1B5811">
      <w:pPr>
        <w:pStyle w:val="31"/>
        <w:pageBreakBefore w:val="0"/>
        <w:widowControl w:val="0"/>
        <w:kinsoku/>
        <w:wordWrap/>
        <w:overflowPunct/>
        <w:topLinePunct w:val="0"/>
        <w:autoSpaceDE/>
        <w:autoSpaceDN/>
        <w:bidi w:val="0"/>
        <w:adjustRightInd/>
        <w:snapToGrid/>
        <w:spacing w:beforeLines="0" w:after="14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4.6.2</w:t>
      </w:r>
      <w:r>
        <w:rPr>
          <w:rStyle w:val="19"/>
          <w:rFonts w:hint="default"/>
          <w:color w:val="auto"/>
          <w:sz w:val="24"/>
          <w:szCs w:val="20"/>
          <w:highlight w:val="none"/>
        </w:rPr>
        <w:t>为完成合同约定的各项工作，承包人应向施工场地派遣或雇佣足够数量的下列 人员：</w:t>
      </w:r>
    </w:p>
    <w:p w14:paraId="1D067E7F">
      <w:pPr>
        <w:pStyle w:val="31"/>
        <w:pageBreakBefore w:val="0"/>
        <w:widowControl w:val="0"/>
        <w:numPr>
          <w:ilvl w:val="0"/>
          <w:numId w:val="6"/>
        </w:numPr>
        <w:tabs>
          <w:tab w:val="left" w:pos="899"/>
        </w:tabs>
        <w:kinsoku/>
        <w:wordWrap/>
        <w:overflowPunct/>
        <w:topLinePunct w:val="0"/>
        <w:autoSpaceDE/>
        <w:autoSpaceDN/>
        <w:bidi w:val="0"/>
        <w:adjustRightInd/>
        <w:snapToGrid/>
        <w:spacing w:beforeLines="0" w:afterLines="0" w:line="440" w:lineRule="exact"/>
        <w:ind w:firstLine="420"/>
        <w:jc w:val="both"/>
        <w:textAlignment w:val="auto"/>
        <w:rPr>
          <w:rStyle w:val="19"/>
          <w:rFonts w:hint="default"/>
          <w:color w:val="auto"/>
          <w:sz w:val="24"/>
          <w:szCs w:val="20"/>
          <w:highlight w:val="none"/>
        </w:rPr>
      </w:pPr>
      <w:bookmarkStart w:id="407" w:name="bookmark1021"/>
      <w:bookmarkEnd w:id="407"/>
      <w:r>
        <w:rPr>
          <w:rStyle w:val="19"/>
          <w:rFonts w:hint="default"/>
          <w:color w:val="auto"/>
          <w:sz w:val="24"/>
          <w:szCs w:val="20"/>
          <w:highlight w:val="none"/>
        </w:rPr>
        <w:t>具有相应资格的专业技工和合格的普工；</w:t>
      </w:r>
    </w:p>
    <w:p w14:paraId="2D5796B8">
      <w:pPr>
        <w:pStyle w:val="31"/>
        <w:pageBreakBefore w:val="0"/>
        <w:widowControl w:val="0"/>
        <w:numPr>
          <w:ilvl w:val="0"/>
          <w:numId w:val="6"/>
        </w:numPr>
        <w:tabs>
          <w:tab w:val="left" w:pos="899"/>
        </w:tabs>
        <w:kinsoku/>
        <w:wordWrap/>
        <w:overflowPunct/>
        <w:topLinePunct w:val="0"/>
        <w:autoSpaceDE/>
        <w:autoSpaceDN/>
        <w:bidi w:val="0"/>
        <w:adjustRightInd/>
        <w:snapToGrid/>
        <w:spacing w:beforeLines="0" w:afterLines="0" w:line="440" w:lineRule="exact"/>
        <w:ind w:firstLine="420"/>
        <w:jc w:val="both"/>
        <w:textAlignment w:val="auto"/>
        <w:rPr>
          <w:rStyle w:val="19"/>
          <w:rFonts w:hint="default"/>
          <w:color w:val="auto"/>
          <w:sz w:val="24"/>
          <w:szCs w:val="20"/>
          <w:highlight w:val="none"/>
        </w:rPr>
      </w:pPr>
      <w:bookmarkStart w:id="408" w:name="bookmark1022"/>
      <w:bookmarkEnd w:id="408"/>
      <w:r>
        <w:rPr>
          <w:rStyle w:val="19"/>
          <w:rFonts w:hint="default"/>
          <w:color w:val="auto"/>
          <w:sz w:val="24"/>
          <w:szCs w:val="20"/>
          <w:highlight w:val="none"/>
        </w:rPr>
        <w:t>具有相应施工经验的技术人员；</w:t>
      </w:r>
    </w:p>
    <w:p w14:paraId="3A028864">
      <w:pPr>
        <w:pStyle w:val="31"/>
        <w:pageBreakBefore w:val="0"/>
        <w:widowControl w:val="0"/>
        <w:numPr>
          <w:ilvl w:val="0"/>
          <w:numId w:val="6"/>
        </w:numPr>
        <w:tabs>
          <w:tab w:val="left" w:pos="899"/>
        </w:tabs>
        <w:kinsoku/>
        <w:wordWrap/>
        <w:overflowPunct/>
        <w:topLinePunct w:val="0"/>
        <w:autoSpaceDE/>
        <w:autoSpaceDN/>
        <w:bidi w:val="0"/>
        <w:adjustRightInd/>
        <w:snapToGrid/>
        <w:spacing w:beforeLines="0" w:afterLines="0" w:line="440" w:lineRule="exact"/>
        <w:ind w:firstLine="420"/>
        <w:jc w:val="both"/>
        <w:textAlignment w:val="auto"/>
        <w:rPr>
          <w:rStyle w:val="19"/>
          <w:rFonts w:hint="default"/>
          <w:color w:val="auto"/>
          <w:sz w:val="24"/>
          <w:szCs w:val="20"/>
          <w:highlight w:val="none"/>
        </w:rPr>
      </w:pPr>
      <w:bookmarkStart w:id="409" w:name="bookmark1023"/>
      <w:bookmarkEnd w:id="409"/>
      <w:r>
        <w:rPr>
          <w:rStyle w:val="19"/>
          <w:rFonts w:hint="default"/>
          <w:color w:val="auto"/>
          <w:sz w:val="24"/>
          <w:szCs w:val="20"/>
          <w:highlight w:val="none"/>
        </w:rPr>
        <w:t>具有相应岗位资格的各级管理人员。</w:t>
      </w:r>
    </w:p>
    <w:p w14:paraId="03A89FF4">
      <w:pPr>
        <w:pStyle w:val="31"/>
        <w:pageBreakBefore w:val="0"/>
        <w:widowControl w:val="0"/>
        <w:kinsoku/>
        <w:wordWrap/>
        <w:overflowPunct/>
        <w:topLinePunct w:val="0"/>
        <w:autoSpaceDE/>
        <w:autoSpaceDN/>
        <w:bidi w:val="0"/>
        <w:adjustRightInd/>
        <w:snapToGrid/>
        <w:spacing w:beforeLines="0" w:after="14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4.6.3</w:t>
      </w:r>
      <w:r>
        <w:rPr>
          <w:rStyle w:val="19"/>
          <w:rFonts w:hint="default"/>
          <w:color w:val="auto"/>
          <w:sz w:val="24"/>
          <w:szCs w:val="20"/>
          <w:highlight w:val="none"/>
        </w:rPr>
        <w:t>承包人安排在施工场地的主要管理人员和技术骨干应相对稳定。承包人更换主要管理人员和技术骨干时，应取得监理人的同意。</w:t>
      </w:r>
    </w:p>
    <w:p w14:paraId="7C47F6D4">
      <w:pPr>
        <w:pStyle w:val="31"/>
        <w:pageBreakBefore w:val="0"/>
        <w:widowControl w:val="0"/>
        <w:kinsoku/>
        <w:wordWrap/>
        <w:overflowPunct/>
        <w:topLinePunct w:val="0"/>
        <w:autoSpaceDE/>
        <w:autoSpaceDN/>
        <w:bidi w:val="0"/>
        <w:adjustRightInd/>
        <w:snapToGrid/>
        <w:spacing w:beforeLines="0" w:after="4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4. 6.4</w:t>
      </w:r>
      <w:r>
        <w:rPr>
          <w:rStyle w:val="19"/>
          <w:rFonts w:hint="default"/>
          <w:color w:val="auto"/>
          <w:sz w:val="24"/>
          <w:szCs w:val="20"/>
          <w:highlight w:val="none"/>
        </w:rPr>
        <w:t>特殊岗位的工作人员均应持有相应的资格证明，监理人有权随时检查。监理人认为有必要时，可进行现场考核。</w:t>
      </w:r>
    </w:p>
    <w:p w14:paraId="2B037D68">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410" w:name="bookmark1026"/>
      <w:bookmarkStart w:id="411" w:name="bookmark1025"/>
      <w:bookmarkStart w:id="412" w:name="_Toc256000041"/>
      <w:bookmarkStart w:id="413" w:name="_Toc24736"/>
      <w:bookmarkStart w:id="414" w:name="bookmark1024"/>
      <w:bookmarkStart w:id="415" w:name="_Toc30195"/>
      <w:r>
        <w:rPr>
          <w:rStyle w:val="19"/>
          <w:rFonts w:hint="default" w:ascii="宋体" w:hAnsi="宋体" w:eastAsia="宋体"/>
          <w:color w:val="auto"/>
          <w:sz w:val="24"/>
          <w:szCs w:val="20"/>
          <w:highlight w:val="none"/>
          <w:lang w:eastAsia="zh-CN"/>
        </w:rPr>
        <w:t>4.7撤换承包人项目经理和其他人员</w:t>
      </w:r>
      <w:bookmarkEnd w:id="410"/>
      <w:bookmarkEnd w:id="411"/>
      <w:bookmarkEnd w:id="412"/>
      <w:bookmarkEnd w:id="413"/>
      <w:bookmarkEnd w:id="414"/>
      <w:bookmarkEnd w:id="415"/>
    </w:p>
    <w:p w14:paraId="6F707150">
      <w:pPr>
        <w:pStyle w:val="31"/>
        <w:pageBreakBefore w:val="0"/>
        <w:widowControl w:val="0"/>
        <w:kinsoku/>
        <w:wordWrap/>
        <w:overflowPunct/>
        <w:topLinePunct w:val="0"/>
        <w:autoSpaceDE/>
        <w:autoSpaceDN/>
        <w:bidi w:val="0"/>
        <w:adjustRightInd/>
        <w:snapToGrid/>
        <w:spacing w:beforeLines="0" w:after="160" w:afterLines="0" w:line="440" w:lineRule="exact"/>
        <w:ind w:firstLine="420"/>
        <w:jc w:val="both"/>
        <w:textAlignment w:val="auto"/>
        <w:rPr>
          <w:rStyle w:val="19"/>
          <w:rFonts w:hint="default"/>
          <w:color w:val="auto"/>
          <w:sz w:val="24"/>
          <w:szCs w:val="20"/>
          <w:highlight w:val="none"/>
        </w:rPr>
      </w:pPr>
      <w:r>
        <w:rPr>
          <w:rStyle w:val="19"/>
          <w:rFonts w:hint="default"/>
          <w:color w:val="auto"/>
          <w:sz w:val="24"/>
          <w:szCs w:val="20"/>
          <w:highlight w:val="none"/>
        </w:rPr>
        <w:t>承包人应对其项目经理和其他人员进行有效管理。监理人要求撤换不能胜任本职工作、 行为不端或玩忽职守的承包人项目经理和其他人员的，承包人应予以撤换。</w:t>
      </w:r>
    </w:p>
    <w:p w14:paraId="111B74A2">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416" w:name="bookmark1027"/>
      <w:bookmarkStart w:id="417" w:name="_Toc19207"/>
      <w:bookmarkStart w:id="418" w:name="bookmark1028"/>
      <w:bookmarkStart w:id="419" w:name="_Toc256000042"/>
      <w:bookmarkStart w:id="420" w:name="bookmark1029"/>
      <w:bookmarkStart w:id="421" w:name="_Toc1547"/>
      <w:r>
        <w:rPr>
          <w:rStyle w:val="19"/>
          <w:rFonts w:hint="default" w:ascii="宋体" w:hAnsi="宋体" w:eastAsia="宋体"/>
          <w:color w:val="auto"/>
          <w:sz w:val="24"/>
          <w:szCs w:val="20"/>
          <w:highlight w:val="none"/>
          <w:lang w:eastAsia="zh-CN"/>
        </w:rPr>
        <w:t>4.8保障承包人人员的合法权益</w:t>
      </w:r>
      <w:bookmarkEnd w:id="416"/>
      <w:bookmarkEnd w:id="417"/>
      <w:bookmarkEnd w:id="418"/>
      <w:bookmarkEnd w:id="419"/>
      <w:bookmarkEnd w:id="420"/>
      <w:bookmarkEnd w:id="421"/>
    </w:p>
    <w:p w14:paraId="0B9C0B7F">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4.8.</w:t>
      </w:r>
      <w:r>
        <w:rPr>
          <w:rStyle w:val="19"/>
          <w:rFonts w:hint="eastAsia" w:ascii="Times New Roman" w:hAnsi="Times New Roman" w:eastAsia="Times New Roman" w:cs="Times New Roman"/>
          <w:color w:val="auto"/>
          <w:sz w:val="24"/>
          <w:szCs w:val="24"/>
          <w:highlight w:val="none"/>
        </w:rPr>
        <w:t>1</w:t>
      </w:r>
      <w:r>
        <w:rPr>
          <w:rStyle w:val="19"/>
          <w:rFonts w:hint="default"/>
          <w:color w:val="auto"/>
          <w:sz w:val="24"/>
          <w:szCs w:val="20"/>
          <w:highlight w:val="none"/>
        </w:rPr>
        <w:t>承包人应与其雇佣的人员签订劳动合同，并按时发放工资。</w:t>
      </w:r>
    </w:p>
    <w:p w14:paraId="3D255474">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4.8.</w:t>
      </w:r>
      <w:r>
        <w:rPr>
          <w:rStyle w:val="19"/>
          <w:rFonts w:hint="eastAsia" w:ascii="Times New Roman" w:hAnsi="Times New Roman" w:eastAsia="Times New Roman" w:cs="Times New Roman"/>
          <w:color w:val="auto"/>
          <w:sz w:val="24"/>
          <w:szCs w:val="24"/>
          <w:highlight w:val="none"/>
        </w:rPr>
        <w:t>2</w:t>
      </w:r>
      <w:r>
        <w:rPr>
          <w:rStyle w:val="19"/>
          <w:rFonts w:hint="default"/>
          <w:color w:val="auto"/>
          <w:sz w:val="24"/>
          <w:szCs w:val="20"/>
          <w:highlight w:val="none"/>
        </w:rPr>
        <w:t>承包人应按劳动法的规定安排工作时间，保证其雇佣人员享有休息和休假的权利。因工程施工的特殊需要占用休假日或延长工作时间的，应不超过法律规定的限度，并按法律规定给予补休或付酬。</w:t>
      </w:r>
    </w:p>
    <w:p w14:paraId="7DB116D7">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4.8.3</w:t>
      </w:r>
      <w:r>
        <w:rPr>
          <w:rStyle w:val="19"/>
          <w:rFonts w:hint="default"/>
          <w:color w:val="auto"/>
          <w:sz w:val="24"/>
          <w:szCs w:val="20"/>
          <w:highlight w:val="none"/>
        </w:rPr>
        <w:t>承包人应为其雇佣人员提供必要的食宿条件，以及符合环境保护和卫生要求的生活环境，在远离城镇的施工场地，还应配备必要的伤病防治和急救的医务人员与医疗设施。</w:t>
      </w:r>
    </w:p>
    <w:p w14:paraId="45732862">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4. 8.4</w:t>
      </w:r>
      <w:r>
        <w:rPr>
          <w:rStyle w:val="19"/>
          <w:rFonts w:hint="default"/>
          <w:color w:val="auto"/>
          <w:sz w:val="24"/>
          <w:szCs w:val="20"/>
          <w:highlight w:val="none"/>
        </w:rPr>
        <w:t>承包人应按国家有关劳动保护的规定，采取有效的防止粉尘、降低噪声、控制有害气体和保障高温、高寒、高空作业安全等劳动保护措施。其雇佣人员在施工中受到伤害的，承包人应立即采取有效措施进行抢救和治疗。</w:t>
      </w:r>
    </w:p>
    <w:p w14:paraId="2E31834F">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4.8.5</w:t>
      </w:r>
      <w:r>
        <w:rPr>
          <w:rStyle w:val="19"/>
          <w:rFonts w:hint="default"/>
          <w:color w:val="auto"/>
          <w:sz w:val="24"/>
          <w:szCs w:val="20"/>
          <w:highlight w:val="none"/>
        </w:rPr>
        <w:t>承包人应按有关法律规定和合同约定，为其雇佣人员办理保险。</w:t>
      </w:r>
    </w:p>
    <w:p w14:paraId="006FB096">
      <w:pPr>
        <w:pStyle w:val="31"/>
        <w:pageBreakBefore w:val="0"/>
        <w:widowControl w:val="0"/>
        <w:kinsoku/>
        <w:wordWrap/>
        <w:overflowPunct/>
        <w:topLinePunct w:val="0"/>
        <w:autoSpaceDE/>
        <w:autoSpaceDN/>
        <w:bidi w:val="0"/>
        <w:adjustRightInd/>
        <w:snapToGrid/>
        <w:spacing w:beforeLines="0" w:after="16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4.8.6</w:t>
      </w:r>
      <w:r>
        <w:rPr>
          <w:rStyle w:val="19"/>
          <w:rFonts w:hint="default"/>
          <w:color w:val="auto"/>
          <w:sz w:val="24"/>
          <w:szCs w:val="20"/>
          <w:highlight w:val="none"/>
        </w:rPr>
        <w:t>承包人应负责处理其雇佣人员因工伤亡事故的善后事宜。</w:t>
      </w:r>
    </w:p>
    <w:p w14:paraId="0F748383">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422" w:name="_Toc256000043"/>
      <w:bookmarkStart w:id="423" w:name="_Toc7851"/>
      <w:bookmarkStart w:id="424" w:name="_Toc1725"/>
      <w:bookmarkStart w:id="425" w:name="bookmark1031"/>
      <w:bookmarkStart w:id="426" w:name="bookmark1030"/>
      <w:bookmarkStart w:id="427" w:name="bookmark1032"/>
      <w:r>
        <w:rPr>
          <w:rStyle w:val="19"/>
          <w:rFonts w:hint="default" w:ascii="宋体" w:hAnsi="宋体" w:eastAsia="宋体"/>
          <w:color w:val="auto"/>
          <w:sz w:val="24"/>
          <w:szCs w:val="20"/>
          <w:highlight w:val="none"/>
          <w:lang w:eastAsia="zh-CN"/>
        </w:rPr>
        <w:t>4.9工程价款应专款专用</w:t>
      </w:r>
      <w:bookmarkEnd w:id="422"/>
      <w:bookmarkEnd w:id="423"/>
      <w:bookmarkEnd w:id="424"/>
      <w:bookmarkEnd w:id="425"/>
      <w:bookmarkEnd w:id="426"/>
      <w:bookmarkEnd w:id="427"/>
    </w:p>
    <w:p w14:paraId="103B7136">
      <w:pPr>
        <w:pStyle w:val="31"/>
        <w:pageBreakBefore w:val="0"/>
        <w:widowControl w:val="0"/>
        <w:kinsoku/>
        <w:wordWrap/>
        <w:overflowPunct/>
        <w:topLinePunct w:val="0"/>
        <w:autoSpaceDE/>
        <w:autoSpaceDN/>
        <w:bidi w:val="0"/>
        <w:adjustRightInd/>
        <w:snapToGrid/>
        <w:spacing w:beforeLines="0" w:after="160" w:afterLines="0" w:line="440" w:lineRule="exact"/>
        <w:ind w:firstLine="420"/>
        <w:textAlignment w:val="auto"/>
        <w:rPr>
          <w:rStyle w:val="19"/>
          <w:rFonts w:hint="default"/>
          <w:color w:val="auto"/>
          <w:sz w:val="24"/>
          <w:szCs w:val="20"/>
          <w:highlight w:val="none"/>
        </w:rPr>
      </w:pPr>
      <w:r>
        <w:rPr>
          <w:rStyle w:val="19"/>
          <w:rFonts w:hint="default"/>
          <w:color w:val="auto"/>
          <w:sz w:val="24"/>
          <w:szCs w:val="20"/>
          <w:highlight w:val="none"/>
        </w:rPr>
        <w:t>发包人按合同约定支付给承包人的各项价款应专用于合同工程。</w:t>
      </w:r>
    </w:p>
    <w:p w14:paraId="0AF115E7">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428" w:name="bookmark1034"/>
      <w:bookmarkStart w:id="429" w:name="_Toc256000044"/>
      <w:bookmarkStart w:id="430" w:name="bookmark1035"/>
      <w:bookmarkStart w:id="431" w:name="bookmark1033"/>
      <w:bookmarkStart w:id="432" w:name="_Toc30630"/>
      <w:bookmarkStart w:id="433" w:name="_Toc5606"/>
      <w:r>
        <w:rPr>
          <w:rStyle w:val="19"/>
          <w:rFonts w:hint="default" w:ascii="宋体" w:hAnsi="宋体" w:eastAsia="宋体"/>
          <w:color w:val="auto"/>
          <w:sz w:val="24"/>
          <w:szCs w:val="20"/>
          <w:highlight w:val="none"/>
          <w:lang w:eastAsia="zh-CN"/>
        </w:rPr>
        <w:t>4.10承包人现场查勘</w:t>
      </w:r>
      <w:bookmarkEnd w:id="428"/>
      <w:bookmarkEnd w:id="429"/>
      <w:bookmarkEnd w:id="430"/>
      <w:bookmarkEnd w:id="431"/>
      <w:bookmarkEnd w:id="432"/>
      <w:bookmarkEnd w:id="433"/>
    </w:p>
    <w:p w14:paraId="3581F3F5">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eastAsia" w:ascii="Times New Roman" w:hAnsi="Times New Roman" w:eastAsia="Times New Roman" w:cs="Times New Roman"/>
          <w:color w:val="auto"/>
          <w:sz w:val="24"/>
          <w:szCs w:val="24"/>
          <w:highlight w:val="none"/>
        </w:rPr>
      </w:pPr>
      <w:r>
        <w:rPr>
          <w:rStyle w:val="19"/>
          <w:rFonts w:hint="eastAsia" w:ascii="Times New Roman" w:hAnsi="Times New Roman" w:eastAsia="Times New Roman" w:cs="Times New Roman"/>
          <w:color w:val="auto"/>
          <w:sz w:val="24"/>
          <w:szCs w:val="24"/>
          <w:highlight w:val="none"/>
          <w:lang w:val="en-US" w:bidi="en-US"/>
        </w:rPr>
        <w:t>4.10.</w:t>
      </w:r>
      <w:r>
        <w:rPr>
          <w:rStyle w:val="19"/>
          <w:rFonts w:hint="eastAsia" w:ascii="Times New Roman" w:hAnsi="Times New Roman" w:eastAsia="Times New Roman" w:cs="Times New Roman"/>
          <w:color w:val="auto"/>
          <w:sz w:val="24"/>
          <w:szCs w:val="24"/>
          <w:highlight w:val="none"/>
        </w:rPr>
        <w:t>1</w:t>
      </w:r>
      <w:r>
        <w:rPr>
          <w:rStyle w:val="19"/>
          <w:rFonts w:hint="default" w:hAnsi="Times New Roman" w:cs="Times New Roman"/>
          <w:color w:val="auto"/>
          <w:sz w:val="24"/>
          <w:szCs w:val="24"/>
          <w:highlight w:val="none"/>
        </w:rPr>
        <w:t>发包人应将其持有的现场地质勘探资料、水文气象资料提供给承包人，并对其准确性负责。但承包人应对其阅读上述有关资料后所作出的解释和推断负责。</w:t>
      </w:r>
    </w:p>
    <w:p w14:paraId="47D466A0">
      <w:pPr>
        <w:pStyle w:val="31"/>
        <w:pageBreakBefore w:val="0"/>
        <w:widowControl w:val="0"/>
        <w:kinsoku/>
        <w:wordWrap/>
        <w:overflowPunct/>
        <w:topLinePunct w:val="0"/>
        <w:autoSpaceDE/>
        <w:autoSpaceDN/>
        <w:bidi w:val="0"/>
        <w:adjustRightInd/>
        <w:snapToGrid/>
        <w:spacing w:beforeLines="0" w:after="240" w:afterLines="0" w:line="440" w:lineRule="exact"/>
        <w:ind w:firstLine="420"/>
        <w:jc w:val="both"/>
        <w:textAlignment w:val="auto"/>
        <w:rPr>
          <w:rStyle w:val="19"/>
          <w:rFonts w:hint="default"/>
          <w:color w:val="auto"/>
          <w:sz w:val="24"/>
          <w:szCs w:val="20"/>
          <w:highlight w:val="none"/>
        </w:rPr>
      </w:pPr>
      <w:bookmarkStart w:id="434" w:name="bookmark1036"/>
      <w:bookmarkEnd w:id="434"/>
      <w:r>
        <w:rPr>
          <w:rStyle w:val="19"/>
          <w:rFonts w:hint="eastAsia" w:ascii="Times New Roman" w:hAnsi="Times New Roman" w:eastAsia="Times New Roman" w:cs="Times New Roman"/>
          <w:color w:val="auto"/>
          <w:sz w:val="24"/>
          <w:szCs w:val="24"/>
          <w:highlight w:val="none"/>
        </w:rPr>
        <w:t>4.10.2</w:t>
      </w:r>
      <w:r>
        <w:rPr>
          <w:rStyle w:val="19"/>
          <w:rFonts w:hint="default" w:hAnsi="Times New Roman" w:cs="Times New Roman"/>
          <w:color w:val="auto"/>
          <w:sz w:val="24"/>
          <w:szCs w:val="24"/>
          <w:highlight w:val="none"/>
        </w:rPr>
        <w:t>承包</w:t>
      </w:r>
      <w:r>
        <w:rPr>
          <w:rStyle w:val="19"/>
          <w:rFonts w:hint="default"/>
          <w:color w:val="auto"/>
          <w:sz w:val="24"/>
          <w:szCs w:val="20"/>
          <w:highlight w:val="none"/>
        </w:rPr>
        <w:t>人应对施工场地和周围环境进行查勘，并收集有关地质、水文、气象条件、交通条件、风俗习惯以及其他为完成合同工作有关的当地资料。在全部合同工作中，应视为承包人已充分估计了应承担的责任和风险。</w:t>
      </w:r>
    </w:p>
    <w:p w14:paraId="58640AE9">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435" w:name="bookmark1037"/>
      <w:bookmarkStart w:id="436" w:name="bookmark1038"/>
      <w:bookmarkStart w:id="437" w:name="_Toc2080"/>
      <w:bookmarkStart w:id="438" w:name="bookmark1039"/>
      <w:bookmarkStart w:id="439" w:name="_Toc2993"/>
      <w:bookmarkStart w:id="440" w:name="_Toc256000045"/>
      <w:r>
        <w:rPr>
          <w:rStyle w:val="19"/>
          <w:rFonts w:hint="default" w:ascii="宋体" w:hAnsi="宋体" w:eastAsia="宋体"/>
          <w:color w:val="auto"/>
          <w:sz w:val="24"/>
          <w:szCs w:val="20"/>
          <w:highlight w:val="none"/>
          <w:lang w:eastAsia="zh-CN"/>
        </w:rPr>
        <w:t>4.11不利物质条件</w:t>
      </w:r>
      <w:bookmarkEnd w:id="435"/>
      <w:bookmarkEnd w:id="436"/>
      <w:bookmarkEnd w:id="437"/>
      <w:bookmarkEnd w:id="438"/>
      <w:bookmarkEnd w:id="439"/>
      <w:bookmarkEnd w:id="440"/>
    </w:p>
    <w:p w14:paraId="65269533">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4.11.1</w:t>
      </w:r>
      <w:r>
        <w:rPr>
          <w:rStyle w:val="19"/>
          <w:rFonts w:hint="default"/>
          <w:color w:val="auto"/>
          <w:sz w:val="24"/>
          <w:szCs w:val="20"/>
          <w:highlight w:val="none"/>
        </w:rPr>
        <w:t>除专用合同条款另有约定外，不利的物质条件是指在施工中遭遇不可预见的外界障碍或自然条件造成施工受阻。</w:t>
      </w:r>
    </w:p>
    <w:p w14:paraId="5D86169E">
      <w:pPr>
        <w:pStyle w:val="31"/>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eastAsia" w:ascii="Times New Roman" w:hAnsi="Times New Roman" w:eastAsia="Times New Roman" w:cs="Times New Roman"/>
          <w:color w:val="auto"/>
          <w:sz w:val="24"/>
          <w:szCs w:val="24"/>
          <w:highlight w:val="none"/>
        </w:rPr>
      </w:pPr>
      <w:r>
        <w:rPr>
          <w:rStyle w:val="19"/>
          <w:rFonts w:hint="eastAsia" w:ascii="Times New Roman" w:hAnsi="Times New Roman" w:eastAsia="Times New Roman" w:cs="Times New Roman"/>
          <w:color w:val="auto"/>
          <w:sz w:val="24"/>
          <w:szCs w:val="24"/>
          <w:highlight w:val="none"/>
          <w:lang w:val="en-US" w:bidi="en-US"/>
        </w:rPr>
        <w:t>4.11.2</w:t>
      </w:r>
      <w:r>
        <w:rPr>
          <w:rStyle w:val="19"/>
          <w:rFonts w:hint="default" w:hAnsi="Times New Roman" w:cs="Times New Roman"/>
          <w:color w:val="auto"/>
          <w:sz w:val="24"/>
          <w:szCs w:val="24"/>
          <w:highlight w:val="none"/>
        </w:rPr>
        <w:t>承包人遇到不利物质条件时，应采取适应不利物质条件的合理措施继续施工, 并及时通知监理人。承包人应有权根据第</w:t>
      </w:r>
      <w:r>
        <w:rPr>
          <w:rStyle w:val="19"/>
          <w:rFonts w:hint="eastAsia" w:ascii="Times New Roman" w:hAnsi="Times New Roman" w:eastAsia="Times New Roman" w:cs="Times New Roman"/>
          <w:color w:val="auto"/>
          <w:sz w:val="24"/>
          <w:szCs w:val="24"/>
          <w:highlight w:val="none"/>
          <w:lang w:val="en-US" w:bidi="en-US"/>
        </w:rPr>
        <w:t>23.1</w:t>
      </w:r>
      <w:r>
        <w:rPr>
          <w:rStyle w:val="19"/>
          <w:rFonts w:hint="default" w:hAnsi="Times New Roman" w:cs="Times New Roman"/>
          <w:color w:val="auto"/>
          <w:sz w:val="24"/>
          <w:szCs w:val="24"/>
          <w:highlight w:val="none"/>
        </w:rPr>
        <w:t>款的约定，要求延长工期及增加费用。监理人收到此类要求后，应在分析上述外界障碍或自然条件是否不可预见及不可预见程度的基础上，按照通用合同条款第</w:t>
      </w:r>
      <w:r>
        <w:rPr>
          <w:rStyle w:val="19"/>
          <w:rFonts w:hint="eastAsia" w:ascii="Times New Roman" w:hAnsi="Times New Roman" w:eastAsia="Times New Roman" w:cs="Times New Roman"/>
          <w:color w:val="auto"/>
          <w:sz w:val="24"/>
          <w:szCs w:val="24"/>
          <w:highlight w:val="none"/>
        </w:rPr>
        <w:t>15</w:t>
      </w:r>
      <w:r>
        <w:rPr>
          <w:rStyle w:val="19"/>
          <w:rFonts w:hint="default" w:hAnsi="Times New Roman" w:cs="Times New Roman"/>
          <w:color w:val="auto"/>
          <w:sz w:val="24"/>
          <w:szCs w:val="24"/>
          <w:highlight w:val="none"/>
        </w:rPr>
        <w:t>条的约定办理。</w:t>
      </w:r>
    </w:p>
    <w:p w14:paraId="0C251FD0">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eastAsia"/>
          <w:color w:val="auto"/>
          <w:sz w:val="24"/>
          <w:szCs w:val="20"/>
          <w:highlight w:val="none"/>
          <w:lang w:eastAsia="zh-CN"/>
        </w:rPr>
      </w:pPr>
      <w:bookmarkStart w:id="441" w:name="bookmark1042"/>
      <w:bookmarkEnd w:id="441"/>
      <w:bookmarkStart w:id="442" w:name="_Toc6145"/>
      <w:bookmarkStart w:id="443" w:name="bookmark1040"/>
      <w:bookmarkStart w:id="444" w:name="bookmark1043"/>
      <w:bookmarkStart w:id="445" w:name="bookmark1041"/>
      <w:bookmarkStart w:id="446" w:name="_Toc256000046"/>
      <w:bookmarkStart w:id="447" w:name="_Toc25230"/>
      <w:r>
        <w:rPr>
          <w:rStyle w:val="19"/>
          <w:rFonts w:hint="eastAsia"/>
          <w:color w:val="auto"/>
          <w:sz w:val="24"/>
          <w:szCs w:val="20"/>
          <w:highlight w:val="none"/>
          <w:lang w:eastAsia="zh-CN"/>
        </w:rPr>
        <w:t>5.</w:t>
      </w:r>
      <w:r>
        <w:rPr>
          <w:rStyle w:val="19"/>
          <w:rFonts w:hint="default" w:ascii="宋体" w:eastAsia="宋体"/>
          <w:color w:val="auto"/>
          <w:sz w:val="24"/>
          <w:szCs w:val="20"/>
          <w:highlight w:val="none"/>
          <w:lang w:eastAsia="zh-CN"/>
        </w:rPr>
        <w:t>材料和工程设备</w:t>
      </w:r>
      <w:bookmarkEnd w:id="442"/>
      <w:bookmarkEnd w:id="443"/>
      <w:bookmarkEnd w:id="444"/>
      <w:bookmarkEnd w:id="445"/>
      <w:bookmarkEnd w:id="446"/>
      <w:bookmarkEnd w:id="447"/>
    </w:p>
    <w:p w14:paraId="3B3D5084">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448" w:name="bookmark1045"/>
      <w:bookmarkStart w:id="449" w:name="_Toc9121"/>
      <w:bookmarkStart w:id="450" w:name="_Toc256000047"/>
      <w:bookmarkStart w:id="451" w:name="bookmark1046"/>
      <w:bookmarkStart w:id="452" w:name="bookmark1044"/>
      <w:bookmarkStart w:id="453" w:name="_Toc5421"/>
      <w:r>
        <w:rPr>
          <w:rStyle w:val="19"/>
          <w:rFonts w:hint="default" w:ascii="宋体" w:hAnsi="宋体" w:eastAsia="宋体"/>
          <w:color w:val="auto"/>
          <w:sz w:val="24"/>
          <w:szCs w:val="20"/>
          <w:highlight w:val="none"/>
          <w:lang w:eastAsia="zh-CN"/>
        </w:rPr>
        <w:t>5.1承包人提供的材料和工程设备</w:t>
      </w:r>
      <w:bookmarkEnd w:id="448"/>
      <w:bookmarkEnd w:id="449"/>
      <w:bookmarkEnd w:id="450"/>
      <w:bookmarkEnd w:id="451"/>
      <w:bookmarkEnd w:id="452"/>
      <w:bookmarkEnd w:id="453"/>
    </w:p>
    <w:p w14:paraId="18D6771D">
      <w:pPr>
        <w:pStyle w:val="31"/>
        <w:pageBreakBefore w:val="0"/>
        <w:widowControl w:val="0"/>
        <w:kinsoku/>
        <w:wordWrap/>
        <w:overflowPunct/>
        <w:topLinePunct w:val="0"/>
        <w:autoSpaceDE/>
        <w:autoSpaceDN/>
        <w:bidi w:val="0"/>
        <w:adjustRightInd/>
        <w:snapToGrid/>
        <w:spacing w:beforeLines="0" w:after="280" w:afterLines="0" w:line="440" w:lineRule="exact"/>
        <w:ind w:firstLine="420"/>
        <w:jc w:val="both"/>
        <w:textAlignment w:val="auto"/>
        <w:rPr>
          <w:rStyle w:val="19"/>
          <w:rFonts w:hint="eastAsia" w:ascii="Times New Roman" w:hAnsi="Times New Roman" w:eastAsia="Times New Roman" w:cs="Times New Roman"/>
          <w:color w:val="auto"/>
          <w:sz w:val="24"/>
          <w:szCs w:val="24"/>
          <w:highlight w:val="none"/>
          <w:lang w:val="en-US" w:bidi="en-US"/>
        </w:rPr>
      </w:pPr>
      <w:bookmarkStart w:id="454" w:name="bookmark1047"/>
      <w:bookmarkEnd w:id="454"/>
      <w:r>
        <w:rPr>
          <w:rStyle w:val="19"/>
          <w:rFonts w:hint="eastAsia" w:ascii="Times New Roman" w:hAnsi="Times New Roman" w:eastAsia="Times New Roman" w:cs="Times New Roman"/>
          <w:color w:val="auto"/>
          <w:sz w:val="24"/>
          <w:szCs w:val="24"/>
          <w:highlight w:val="none"/>
          <w:lang w:val="en-US" w:bidi="en-US"/>
        </w:rPr>
        <w:t>5.1.1</w:t>
      </w:r>
      <w:r>
        <w:rPr>
          <w:rStyle w:val="19"/>
          <w:rFonts w:hint="default" w:hAnsi="Times New Roman" w:cs="Times New Roman"/>
          <w:color w:val="auto"/>
          <w:sz w:val="24"/>
          <w:szCs w:val="24"/>
          <w:highlight w:val="none"/>
          <w:lang w:val="en-US" w:bidi="en-US"/>
        </w:rPr>
        <w:t>除第5.2款约定由发包人提供的材料和工程设备外，承包人负责采购、运输和保管完成本合同工作所需的材料和工程设备。承包人应对其采购的材料和工程设备负责。</w:t>
      </w:r>
    </w:p>
    <w:p w14:paraId="4FBD64E2">
      <w:pPr>
        <w:pStyle w:val="31"/>
        <w:pageBreakBefore w:val="0"/>
        <w:widowControl w:val="0"/>
        <w:kinsoku/>
        <w:wordWrap/>
        <w:overflowPunct/>
        <w:topLinePunct w:val="0"/>
        <w:autoSpaceDE/>
        <w:autoSpaceDN/>
        <w:bidi w:val="0"/>
        <w:adjustRightInd/>
        <w:snapToGrid/>
        <w:spacing w:beforeLines="0" w:after="280" w:afterLines="0" w:line="440" w:lineRule="exact"/>
        <w:ind w:firstLine="420"/>
        <w:jc w:val="both"/>
        <w:textAlignment w:val="auto"/>
        <w:rPr>
          <w:rStyle w:val="19"/>
          <w:rFonts w:hint="eastAsia" w:ascii="Times New Roman" w:hAnsi="Times New Roman" w:eastAsia="Times New Roman" w:cs="Times New Roman"/>
          <w:color w:val="auto"/>
          <w:sz w:val="24"/>
          <w:szCs w:val="24"/>
          <w:highlight w:val="none"/>
          <w:lang w:val="en-US" w:bidi="en-US"/>
        </w:rPr>
      </w:pPr>
      <w:r>
        <w:rPr>
          <w:rStyle w:val="19"/>
          <w:rFonts w:hint="eastAsia" w:ascii="Times New Roman" w:hAnsi="Times New Roman" w:eastAsia="Times New Roman" w:cs="Times New Roman"/>
          <w:color w:val="auto"/>
          <w:sz w:val="24"/>
          <w:szCs w:val="24"/>
          <w:highlight w:val="none"/>
          <w:lang w:val="en-US" w:bidi="en-US"/>
        </w:rPr>
        <w:t>5.1.2</w:t>
      </w:r>
      <w:r>
        <w:rPr>
          <w:rStyle w:val="19"/>
          <w:rFonts w:hint="default" w:hAnsi="Times New Roman" w:cs="Times New Roman"/>
          <w:color w:val="auto"/>
          <w:sz w:val="24"/>
          <w:szCs w:val="24"/>
          <w:highlight w:val="none"/>
          <w:lang w:val="en-US" w:bidi="en-US"/>
        </w:rPr>
        <w:t>承包人应按专用合同条款的约定，将各项材料和工程设备的供货人及品种、规格、数量和供货时间等报送监理人审批。承包人应向监理人提交其负责提供的材料和工程 设备的质量证明文件，并满足合同约定的质量标准。</w:t>
      </w:r>
    </w:p>
    <w:p w14:paraId="4555C17C">
      <w:pPr>
        <w:pStyle w:val="31"/>
        <w:pageBreakBefore w:val="0"/>
        <w:widowControl w:val="0"/>
        <w:kinsoku/>
        <w:wordWrap/>
        <w:overflowPunct/>
        <w:topLinePunct w:val="0"/>
        <w:autoSpaceDE/>
        <w:autoSpaceDN/>
        <w:bidi w:val="0"/>
        <w:adjustRightInd/>
        <w:snapToGrid/>
        <w:spacing w:beforeLines="0" w:after="280" w:afterLines="0" w:line="440" w:lineRule="exact"/>
        <w:ind w:firstLine="420"/>
        <w:jc w:val="both"/>
        <w:textAlignment w:val="auto"/>
        <w:rPr>
          <w:rStyle w:val="19"/>
          <w:rFonts w:hint="eastAsia" w:ascii="Times New Roman" w:hAnsi="Times New Roman" w:eastAsia="Times New Roman" w:cs="Times New Roman"/>
          <w:color w:val="auto"/>
          <w:sz w:val="24"/>
          <w:szCs w:val="24"/>
          <w:highlight w:val="none"/>
          <w:lang w:val="en-US" w:bidi="en-US"/>
        </w:rPr>
      </w:pPr>
      <w:r>
        <w:rPr>
          <w:rStyle w:val="19"/>
          <w:rFonts w:hint="eastAsia" w:ascii="Times New Roman" w:hAnsi="Times New Roman" w:eastAsia="Times New Roman" w:cs="Times New Roman"/>
          <w:color w:val="auto"/>
          <w:sz w:val="24"/>
          <w:szCs w:val="24"/>
          <w:highlight w:val="none"/>
          <w:lang w:val="en-US" w:bidi="en-US"/>
        </w:rPr>
        <w:t>5.1.3</w:t>
      </w:r>
      <w:r>
        <w:rPr>
          <w:rStyle w:val="19"/>
          <w:rFonts w:hint="default" w:hAnsi="Times New Roman" w:cs="Times New Roman"/>
          <w:color w:val="auto"/>
          <w:sz w:val="24"/>
          <w:szCs w:val="24"/>
          <w:highlight w:val="none"/>
          <w:lang w:val="en-US" w:bidi="en-US"/>
        </w:rPr>
        <w:t>对承包人提供的材料和工程设备，承包人应会同监理人进行检验和交货验收,查验材料合格证明和产品合格证书，并按合同约定和监理人指示，进行材料的抽样检验和工程设备的检验测试，检验和测试结果应提交监理人，所需费用由承包人承担。</w:t>
      </w:r>
    </w:p>
    <w:p w14:paraId="56E2EAB5">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455" w:name="bookmark1048"/>
      <w:bookmarkStart w:id="456" w:name="_Toc16936"/>
      <w:bookmarkStart w:id="457" w:name="_Toc256000048"/>
      <w:bookmarkStart w:id="458" w:name="bookmark1050"/>
      <w:bookmarkStart w:id="459" w:name="bookmark1049"/>
      <w:bookmarkStart w:id="460" w:name="_Toc18208"/>
      <w:r>
        <w:rPr>
          <w:rStyle w:val="19"/>
          <w:rFonts w:hint="default" w:ascii="宋体" w:hAnsi="宋体" w:eastAsia="宋体"/>
          <w:color w:val="auto"/>
          <w:sz w:val="24"/>
          <w:szCs w:val="20"/>
          <w:highlight w:val="none"/>
          <w:lang w:eastAsia="zh-CN"/>
        </w:rPr>
        <w:t>5.2发包人提供的材料和工程设备</w:t>
      </w:r>
      <w:bookmarkEnd w:id="455"/>
      <w:bookmarkEnd w:id="456"/>
      <w:bookmarkEnd w:id="457"/>
      <w:bookmarkEnd w:id="458"/>
      <w:bookmarkEnd w:id="459"/>
      <w:bookmarkEnd w:id="460"/>
    </w:p>
    <w:p w14:paraId="1FEF2849">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eastAsia" w:ascii="Times New Roman" w:hAnsi="Times New Roman" w:eastAsia="Times New Roman" w:cs="Times New Roman"/>
          <w:color w:val="auto"/>
          <w:sz w:val="24"/>
          <w:szCs w:val="24"/>
          <w:highlight w:val="none"/>
        </w:rPr>
      </w:pPr>
      <w:bookmarkStart w:id="461" w:name="bookmark1051"/>
      <w:bookmarkEnd w:id="461"/>
      <w:r>
        <w:rPr>
          <w:rStyle w:val="19"/>
          <w:rFonts w:hint="eastAsia" w:ascii="Times New Roman" w:hAnsi="Times New Roman" w:eastAsia="Times New Roman" w:cs="Times New Roman"/>
          <w:color w:val="auto"/>
          <w:sz w:val="24"/>
          <w:szCs w:val="24"/>
          <w:highlight w:val="none"/>
        </w:rPr>
        <w:t>5.2.1</w:t>
      </w:r>
      <w:r>
        <w:rPr>
          <w:rStyle w:val="19"/>
          <w:rFonts w:hint="default" w:hAnsi="Times New Roman" w:cs="Times New Roman"/>
          <w:color w:val="auto"/>
          <w:sz w:val="24"/>
          <w:szCs w:val="24"/>
          <w:highlight w:val="none"/>
        </w:rPr>
        <w:t>发包人提供的材料和工程设备，应在专用合同条款中写明材料和工程设备的名称、规格、数量、价格、交货方式、交货地点和计划交货日期等。</w:t>
      </w:r>
    </w:p>
    <w:p w14:paraId="38980F02">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eastAsia" w:ascii="Times New Roman" w:hAnsi="Times New Roman" w:eastAsia="Times New Roman" w:cs="Times New Roman"/>
          <w:color w:val="auto"/>
          <w:sz w:val="24"/>
          <w:szCs w:val="24"/>
          <w:highlight w:val="none"/>
        </w:rPr>
      </w:pPr>
      <w:r>
        <w:rPr>
          <w:rStyle w:val="19"/>
          <w:rFonts w:hint="eastAsia" w:ascii="Times New Roman" w:hAnsi="Times New Roman" w:eastAsia="Times New Roman" w:cs="Times New Roman"/>
          <w:color w:val="auto"/>
          <w:sz w:val="24"/>
          <w:szCs w:val="24"/>
          <w:highlight w:val="none"/>
          <w:lang w:val="en-US" w:bidi="en-US"/>
        </w:rPr>
        <w:t>5.2.2</w:t>
      </w:r>
      <w:r>
        <w:rPr>
          <w:rStyle w:val="19"/>
          <w:rFonts w:hint="default" w:hAnsi="Times New Roman" w:cs="Times New Roman"/>
          <w:color w:val="auto"/>
          <w:sz w:val="24"/>
          <w:szCs w:val="24"/>
          <w:highlight w:val="none"/>
        </w:rPr>
        <w:t>承包人应根据合同进度计划的安排，向监理人报送要求发包人交货的日期计划。发包人应按照监理人与合同双方当事人商定的交货日期，向承包人提交材料和工程设备。</w:t>
      </w:r>
    </w:p>
    <w:p w14:paraId="79FD339D">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eastAsia" w:ascii="Times New Roman" w:hAnsi="Times New Roman" w:eastAsia="Times New Roman" w:cs="Times New Roman"/>
          <w:color w:val="auto"/>
          <w:sz w:val="24"/>
          <w:szCs w:val="24"/>
          <w:highlight w:val="none"/>
        </w:rPr>
      </w:pPr>
      <w:r>
        <w:rPr>
          <w:rStyle w:val="19"/>
          <w:rFonts w:hint="eastAsia" w:ascii="Times New Roman" w:hAnsi="Times New Roman" w:eastAsia="Times New Roman" w:cs="Times New Roman"/>
          <w:color w:val="auto"/>
          <w:sz w:val="24"/>
          <w:szCs w:val="24"/>
          <w:highlight w:val="none"/>
          <w:lang w:val="en-US" w:bidi="en-US"/>
        </w:rPr>
        <w:t>5.2.3</w:t>
      </w:r>
      <w:r>
        <w:rPr>
          <w:rStyle w:val="19"/>
          <w:rFonts w:hint="default" w:hAnsi="Times New Roman" w:cs="Times New Roman"/>
          <w:color w:val="auto"/>
          <w:sz w:val="24"/>
          <w:szCs w:val="24"/>
          <w:highlight w:val="none"/>
        </w:rPr>
        <w:t>发包人应在材料和工程设备到货</w:t>
      </w:r>
      <w:r>
        <w:rPr>
          <w:rStyle w:val="19"/>
          <w:rFonts w:hint="eastAsia" w:ascii="Times New Roman" w:hAnsi="Times New Roman" w:eastAsia="Times New Roman" w:cs="Times New Roman"/>
          <w:color w:val="auto"/>
          <w:sz w:val="24"/>
          <w:szCs w:val="24"/>
          <w:highlight w:val="none"/>
        </w:rPr>
        <w:t>7</w:t>
      </w:r>
      <w:r>
        <w:rPr>
          <w:rStyle w:val="19"/>
          <w:rFonts w:hint="default" w:hAnsi="Times New Roman" w:cs="Times New Roman"/>
          <w:color w:val="auto"/>
          <w:sz w:val="24"/>
          <w:szCs w:val="24"/>
          <w:highlight w:val="none"/>
        </w:rPr>
        <w:t>天前通知承包人，承包人应会同监理人在约定的时间内，赴交货地点共同进行验收。发包人提供的材料和工程设备运至交货地点验收后，由承包人负责接收、卸货、运输和保管。</w:t>
      </w:r>
    </w:p>
    <w:p w14:paraId="48A830B4">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5. 2.4</w:t>
      </w:r>
      <w:r>
        <w:rPr>
          <w:rStyle w:val="19"/>
          <w:rFonts w:hint="default" w:hAnsi="Times New Roman" w:cs="Times New Roman"/>
          <w:color w:val="auto"/>
          <w:sz w:val="24"/>
          <w:szCs w:val="24"/>
          <w:highlight w:val="none"/>
        </w:rPr>
        <w:t>发</w:t>
      </w:r>
      <w:r>
        <w:rPr>
          <w:rStyle w:val="19"/>
          <w:rFonts w:hint="default"/>
          <w:color w:val="auto"/>
          <w:sz w:val="24"/>
          <w:szCs w:val="20"/>
          <w:highlight w:val="none"/>
        </w:rPr>
        <w:t>包人要求向承包人提前交货的，承包人不得拒绝，但发包人应承担承包人由此增加的费用。</w:t>
      </w:r>
    </w:p>
    <w:p w14:paraId="511B0AA7">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5.2.5</w:t>
      </w:r>
      <w:r>
        <w:rPr>
          <w:rStyle w:val="19"/>
          <w:rFonts w:hint="default"/>
          <w:color w:val="auto"/>
          <w:sz w:val="24"/>
          <w:szCs w:val="20"/>
          <w:highlight w:val="none"/>
        </w:rPr>
        <w:t>承包人要求更改交货日期或地点的，应事先报请监理人批准。由于承包人要求更改交货时间或地点所增加的费用和（或）工期延误由承包人承担。</w:t>
      </w:r>
    </w:p>
    <w:p w14:paraId="65D28E28">
      <w:pPr>
        <w:pStyle w:val="31"/>
        <w:pageBreakBefore w:val="0"/>
        <w:widowControl w:val="0"/>
        <w:kinsoku/>
        <w:wordWrap/>
        <w:overflowPunct/>
        <w:topLinePunct w:val="0"/>
        <w:autoSpaceDE/>
        <w:autoSpaceDN/>
        <w:bidi w:val="0"/>
        <w:adjustRightInd/>
        <w:snapToGrid/>
        <w:spacing w:beforeLines="0" w:after="12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5.2.6</w:t>
      </w:r>
      <w:r>
        <w:rPr>
          <w:rStyle w:val="19"/>
          <w:rFonts w:hint="default"/>
          <w:color w:val="auto"/>
          <w:sz w:val="24"/>
          <w:szCs w:val="20"/>
          <w:highlight w:val="none"/>
        </w:rPr>
        <w:t>发包人提供的材料和工程设备的规格、数量或质量不符合合同要求，或由于发包人原因发生交货日期延误及交货地点变更等情况的，发包人应承担由此增加的费用和（或）工期延误，并向承包人支付合理利润。</w:t>
      </w:r>
    </w:p>
    <w:p w14:paraId="36E83773">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462" w:name="bookmark1054"/>
      <w:bookmarkStart w:id="463" w:name="bookmark1052"/>
      <w:bookmarkStart w:id="464" w:name="bookmark1053"/>
      <w:bookmarkStart w:id="465" w:name="_Toc256000049"/>
      <w:bookmarkStart w:id="466" w:name="_Toc17795"/>
      <w:bookmarkStart w:id="467" w:name="_Toc2255"/>
      <w:r>
        <w:rPr>
          <w:rStyle w:val="19"/>
          <w:rFonts w:hint="default" w:ascii="宋体" w:hAnsi="宋体" w:eastAsia="宋体"/>
          <w:color w:val="auto"/>
          <w:sz w:val="24"/>
          <w:szCs w:val="20"/>
          <w:highlight w:val="none"/>
          <w:lang w:eastAsia="zh-CN"/>
        </w:rPr>
        <w:t>5.3材料和工程设备专用于合同工程</w:t>
      </w:r>
      <w:bookmarkEnd w:id="462"/>
      <w:bookmarkEnd w:id="463"/>
      <w:bookmarkEnd w:id="464"/>
      <w:bookmarkEnd w:id="465"/>
      <w:bookmarkEnd w:id="466"/>
      <w:bookmarkEnd w:id="467"/>
    </w:p>
    <w:p w14:paraId="7A726DD6">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5.3.1</w:t>
      </w:r>
      <w:r>
        <w:rPr>
          <w:rStyle w:val="19"/>
          <w:rFonts w:hint="default"/>
          <w:color w:val="auto"/>
          <w:sz w:val="24"/>
          <w:szCs w:val="20"/>
          <w:highlight w:val="none"/>
        </w:rPr>
        <w:t>运入施工场地的材料、工程设备，包括备品备件、安装专用工器具与随机资料，必须专用于合同工程，未经监理人同意，承包人不得运出施工场地或挪作他用。</w:t>
      </w:r>
    </w:p>
    <w:p w14:paraId="43D07D31">
      <w:pPr>
        <w:pStyle w:val="31"/>
        <w:pageBreakBefore w:val="0"/>
        <w:widowControl w:val="0"/>
        <w:kinsoku/>
        <w:wordWrap/>
        <w:overflowPunct/>
        <w:topLinePunct w:val="0"/>
        <w:autoSpaceDE/>
        <w:autoSpaceDN/>
        <w:bidi w:val="0"/>
        <w:adjustRightInd/>
        <w:snapToGrid/>
        <w:spacing w:beforeLines="0" w:after="12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5.3.2</w:t>
      </w:r>
      <w:r>
        <w:rPr>
          <w:rStyle w:val="19"/>
          <w:rFonts w:hint="default"/>
          <w:color w:val="auto"/>
          <w:sz w:val="24"/>
          <w:szCs w:val="20"/>
          <w:highlight w:val="none"/>
        </w:rPr>
        <w:t>随同工程设备运入施工场地的备品备件、专用工器具与随机资料，应由承包人会同监理人按供货人的装箱单清点后共同封存，未经监理人同意不得启用。承包人因合同工作需要使用上述物品时，应向监理人提出申请。</w:t>
      </w:r>
    </w:p>
    <w:p w14:paraId="1C1385D9">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468" w:name="bookmark1056"/>
      <w:bookmarkStart w:id="469" w:name="_Toc30864"/>
      <w:bookmarkStart w:id="470" w:name="bookmark1055"/>
      <w:bookmarkStart w:id="471" w:name="_Toc23254"/>
      <w:bookmarkStart w:id="472" w:name="bookmark1057"/>
      <w:bookmarkStart w:id="473" w:name="_Toc256000050"/>
      <w:r>
        <w:rPr>
          <w:rStyle w:val="19"/>
          <w:rFonts w:hint="default" w:ascii="宋体" w:hAnsi="宋体" w:eastAsia="宋体"/>
          <w:color w:val="auto"/>
          <w:sz w:val="24"/>
          <w:szCs w:val="20"/>
          <w:highlight w:val="none"/>
          <w:lang w:eastAsia="zh-CN"/>
        </w:rPr>
        <w:t>5.4禁止使用不合格的材料和工程设备</w:t>
      </w:r>
      <w:bookmarkEnd w:id="468"/>
      <w:bookmarkEnd w:id="469"/>
      <w:bookmarkEnd w:id="470"/>
      <w:bookmarkEnd w:id="471"/>
      <w:bookmarkEnd w:id="472"/>
      <w:bookmarkEnd w:id="473"/>
    </w:p>
    <w:p w14:paraId="0B164BF5">
      <w:pPr>
        <w:pStyle w:val="31"/>
        <w:pageBreakBefore w:val="0"/>
        <w:widowControl w:val="0"/>
        <w:kinsoku/>
        <w:wordWrap/>
        <w:overflowPunct/>
        <w:topLinePunct w:val="0"/>
        <w:autoSpaceDE/>
        <w:autoSpaceDN/>
        <w:bidi w:val="0"/>
        <w:adjustRightInd/>
        <w:snapToGrid/>
        <w:spacing w:beforeLines="0" w:after="80" w:afterLines="0" w:line="440" w:lineRule="exact"/>
        <w:ind w:firstLine="420"/>
        <w:jc w:val="both"/>
        <w:textAlignment w:val="auto"/>
        <w:rPr>
          <w:rStyle w:val="19"/>
          <w:rFonts w:hint="eastAsia" w:ascii="Times New Roman" w:hAnsi="Times New Roman" w:eastAsia="Times New Roman" w:cs="Times New Roman"/>
          <w:color w:val="auto"/>
          <w:sz w:val="24"/>
          <w:szCs w:val="24"/>
          <w:highlight w:val="none"/>
        </w:rPr>
      </w:pPr>
      <w:bookmarkStart w:id="474" w:name="bookmark1058"/>
      <w:bookmarkEnd w:id="474"/>
      <w:r>
        <w:rPr>
          <w:rStyle w:val="19"/>
          <w:rFonts w:hint="eastAsia" w:ascii="Times New Roman" w:hAnsi="Times New Roman" w:eastAsia="Times New Roman" w:cs="Times New Roman"/>
          <w:color w:val="auto"/>
          <w:sz w:val="24"/>
          <w:szCs w:val="24"/>
          <w:highlight w:val="none"/>
        </w:rPr>
        <w:t>5.4.1</w:t>
      </w:r>
      <w:r>
        <w:rPr>
          <w:rStyle w:val="19"/>
          <w:rFonts w:hint="default" w:hAnsi="Times New Roman" w:cs="Times New Roman"/>
          <w:color w:val="auto"/>
          <w:sz w:val="24"/>
          <w:szCs w:val="24"/>
          <w:highlight w:val="none"/>
        </w:rPr>
        <w:t>监理人有权拒绝承包人提供的不合格材料或工程设备，并要求承包人立即进行更换。监理人应在更换后再次进行检查和检验，由此增加的费用和（或）工期延误由承包 人承担。</w:t>
      </w:r>
    </w:p>
    <w:p w14:paraId="6204C2A5">
      <w:pPr>
        <w:pStyle w:val="31"/>
        <w:pageBreakBefore w:val="0"/>
        <w:widowControl w:val="0"/>
        <w:kinsoku/>
        <w:wordWrap/>
        <w:overflowPunct/>
        <w:topLinePunct w:val="0"/>
        <w:autoSpaceDE/>
        <w:autoSpaceDN/>
        <w:bidi w:val="0"/>
        <w:adjustRightInd/>
        <w:snapToGrid/>
        <w:spacing w:beforeLines="0" w:after="80" w:afterLines="0" w:line="440" w:lineRule="exact"/>
        <w:ind w:firstLine="420"/>
        <w:jc w:val="both"/>
        <w:textAlignment w:val="auto"/>
        <w:rPr>
          <w:rStyle w:val="19"/>
          <w:rFonts w:hint="eastAsia" w:ascii="Times New Roman" w:hAnsi="Times New Roman" w:eastAsia="Times New Roman" w:cs="Times New Roman"/>
          <w:color w:val="auto"/>
          <w:sz w:val="24"/>
          <w:szCs w:val="24"/>
          <w:highlight w:val="none"/>
        </w:rPr>
      </w:pPr>
      <w:bookmarkStart w:id="475" w:name="bookmark1059"/>
      <w:bookmarkEnd w:id="475"/>
      <w:r>
        <w:rPr>
          <w:rStyle w:val="19"/>
          <w:rFonts w:hint="eastAsia" w:ascii="Times New Roman" w:hAnsi="Times New Roman" w:eastAsia="Times New Roman" w:cs="Times New Roman"/>
          <w:color w:val="auto"/>
          <w:sz w:val="24"/>
          <w:szCs w:val="24"/>
          <w:highlight w:val="none"/>
        </w:rPr>
        <w:t>5.4.2</w:t>
      </w:r>
      <w:r>
        <w:rPr>
          <w:rStyle w:val="19"/>
          <w:rFonts w:hint="default" w:hAnsi="Times New Roman" w:cs="Times New Roman"/>
          <w:color w:val="auto"/>
          <w:sz w:val="24"/>
          <w:szCs w:val="24"/>
          <w:highlight w:val="none"/>
        </w:rPr>
        <w:t>监理人发现承包人使用了不合格的材料和工程设备，应即时发出指示要求承包人立即改正，并禁止在工程中继续使用不合格的材料和工程设备。</w:t>
      </w:r>
    </w:p>
    <w:p w14:paraId="5A444545">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5.4.3</w:t>
      </w:r>
      <w:r>
        <w:rPr>
          <w:rStyle w:val="19"/>
          <w:rFonts w:hint="default" w:hAnsi="Times New Roman" w:cs="Times New Roman"/>
          <w:color w:val="auto"/>
          <w:sz w:val="24"/>
          <w:szCs w:val="24"/>
          <w:highlight w:val="none"/>
        </w:rPr>
        <w:t>发</w:t>
      </w:r>
      <w:r>
        <w:rPr>
          <w:rStyle w:val="19"/>
          <w:rFonts w:hint="default"/>
          <w:color w:val="auto"/>
          <w:sz w:val="24"/>
          <w:szCs w:val="20"/>
          <w:highlight w:val="none"/>
        </w:rPr>
        <w:t>包人提供的材料或工程设备不符合合同要求的，承包人有权拒绝，并可要求发包人更换，由此增加的费用和（或）工期延误由发包人承担。</w:t>
      </w:r>
    </w:p>
    <w:p w14:paraId="5DAB836F">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eastAsia"/>
          <w:color w:val="auto"/>
          <w:sz w:val="24"/>
          <w:szCs w:val="20"/>
          <w:highlight w:val="none"/>
          <w:lang w:eastAsia="zh-CN"/>
        </w:rPr>
      </w:pPr>
      <w:bookmarkStart w:id="476" w:name="bookmark1062"/>
      <w:bookmarkEnd w:id="476"/>
      <w:bookmarkStart w:id="477" w:name="_Toc3256"/>
      <w:bookmarkStart w:id="478" w:name="_Toc21496"/>
      <w:bookmarkStart w:id="479" w:name="bookmark1063"/>
      <w:bookmarkStart w:id="480" w:name="bookmark1061"/>
      <w:bookmarkStart w:id="481" w:name="bookmark1060"/>
      <w:bookmarkStart w:id="482" w:name="_Toc256000051"/>
      <w:r>
        <w:rPr>
          <w:rStyle w:val="19"/>
          <w:rFonts w:hint="eastAsia"/>
          <w:color w:val="auto"/>
          <w:sz w:val="24"/>
          <w:szCs w:val="20"/>
          <w:highlight w:val="none"/>
          <w:lang w:eastAsia="zh-CN"/>
        </w:rPr>
        <w:t>6.</w:t>
      </w:r>
      <w:r>
        <w:rPr>
          <w:rStyle w:val="19"/>
          <w:rFonts w:hint="default" w:ascii="宋体" w:eastAsia="宋体"/>
          <w:color w:val="auto"/>
          <w:sz w:val="24"/>
          <w:szCs w:val="20"/>
          <w:highlight w:val="none"/>
          <w:lang w:eastAsia="zh-CN"/>
        </w:rPr>
        <w:t>施工设备和临时设施</w:t>
      </w:r>
      <w:bookmarkEnd w:id="477"/>
      <w:bookmarkEnd w:id="478"/>
      <w:bookmarkEnd w:id="479"/>
      <w:bookmarkEnd w:id="480"/>
      <w:bookmarkEnd w:id="481"/>
      <w:bookmarkEnd w:id="482"/>
    </w:p>
    <w:p w14:paraId="60960348">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483" w:name="_Toc29023"/>
      <w:bookmarkStart w:id="484" w:name="bookmark1064"/>
      <w:bookmarkStart w:id="485" w:name="bookmark1065"/>
      <w:bookmarkStart w:id="486" w:name="_Toc256000052"/>
      <w:bookmarkStart w:id="487" w:name="bookmark1066"/>
      <w:bookmarkStart w:id="488" w:name="_Toc9863"/>
      <w:r>
        <w:rPr>
          <w:rStyle w:val="19"/>
          <w:rFonts w:hint="default" w:ascii="宋体" w:hAnsi="宋体" w:eastAsia="宋体"/>
          <w:color w:val="auto"/>
          <w:sz w:val="24"/>
          <w:szCs w:val="20"/>
          <w:highlight w:val="none"/>
          <w:lang w:eastAsia="zh-CN"/>
        </w:rPr>
        <w:t>6.1承包人提供的施工设备和临时设施</w:t>
      </w:r>
      <w:bookmarkEnd w:id="483"/>
      <w:bookmarkEnd w:id="484"/>
      <w:bookmarkEnd w:id="485"/>
      <w:bookmarkEnd w:id="486"/>
      <w:bookmarkEnd w:id="487"/>
      <w:bookmarkEnd w:id="488"/>
    </w:p>
    <w:p w14:paraId="6671491F">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6.1.1</w:t>
      </w:r>
      <w:r>
        <w:rPr>
          <w:rStyle w:val="19"/>
          <w:rFonts w:hint="default"/>
          <w:color w:val="auto"/>
          <w:sz w:val="24"/>
          <w:szCs w:val="20"/>
          <w:highlight w:val="none"/>
        </w:rPr>
        <w:t>承包人应按合同进度计划的要求，及时配置施工设备和修建临时设施。进入施工场地的承包人设备需经监理人核查后才能投入使用。承包人更换合同约定的承包人设备的，应报监理人批准。</w:t>
      </w:r>
    </w:p>
    <w:p w14:paraId="319A1D0E">
      <w:pPr>
        <w:pStyle w:val="31"/>
        <w:pageBreakBefore w:val="0"/>
        <w:widowControl w:val="0"/>
        <w:kinsoku/>
        <w:wordWrap/>
        <w:overflowPunct/>
        <w:topLinePunct w:val="0"/>
        <w:autoSpaceDE/>
        <w:autoSpaceDN/>
        <w:bidi w:val="0"/>
        <w:adjustRightInd/>
        <w:snapToGrid/>
        <w:spacing w:beforeLines="0" w:after="14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6.1.2</w:t>
      </w:r>
      <w:r>
        <w:rPr>
          <w:rStyle w:val="19"/>
          <w:rFonts w:hint="default"/>
          <w:color w:val="auto"/>
          <w:sz w:val="24"/>
          <w:szCs w:val="20"/>
          <w:highlight w:val="none"/>
        </w:rPr>
        <w:t>除专用合同条款另有约定外，承包人应自行承担修建临时设施的费用，需要临时占地的，应由发包人办理申请手续并承担相应费用。</w:t>
      </w:r>
    </w:p>
    <w:p w14:paraId="25B44560">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489" w:name="bookmark1068"/>
      <w:bookmarkStart w:id="490" w:name="_Toc256000053"/>
      <w:bookmarkStart w:id="491" w:name="bookmark1069"/>
      <w:bookmarkStart w:id="492" w:name="_Toc15863"/>
      <w:bookmarkStart w:id="493" w:name="_Toc31030"/>
      <w:bookmarkStart w:id="494" w:name="bookmark1067"/>
      <w:r>
        <w:rPr>
          <w:rStyle w:val="19"/>
          <w:rFonts w:hint="default" w:ascii="宋体" w:hAnsi="宋体" w:eastAsia="宋体"/>
          <w:color w:val="auto"/>
          <w:sz w:val="24"/>
          <w:szCs w:val="20"/>
          <w:highlight w:val="none"/>
          <w:lang w:eastAsia="zh-CN"/>
        </w:rPr>
        <w:t>6.2发包人提供的施工设备和临时设施</w:t>
      </w:r>
      <w:bookmarkEnd w:id="489"/>
      <w:bookmarkEnd w:id="490"/>
      <w:bookmarkEnd w:id="491"/>
      <w:bookmarkEnd w:id="492"/>
      <w:bookmarkEnd w:id="493"/>
      <w:bookmarkEnd w:id="494"/>
    </w:p>
    <w:p w14:paraId="7B17CDB1">
      <w:pPr>
        <w:pStyle w:val="31"/>
        <w:pageBreakBefore w:val="0"/>
        <w:widowControl w:val="0"/>
        <w:kinsoku/>
        <w:wordWrap/>
        <w:overflowPunct/>
        <w:topLinePunct w:val="0"/>
        <w:autoSpaceDE/>
        <w:autoSpaceDN/>
        <w:bidi w:val="0"/>
        <w:adjustRightInd/>
        <w:snapToGrid/>
        <w:spacing w:beforeLines="0" w:after="140" w:afterLines="0" w:line="440" w:lineRule="exact"/>
        <w:ind w:firstLine="420"/>
        <w:jc w:val="both"/>
        <w:textAlignment w:val="auto"/>
        <w:rPr>
          <w:rStyle w:val="19"/>
          <w:rFonts w:hint="default"/>
          <w:color w:val="auto"/>
          <w:sz w:val="24"/>
          <w:szCs w:val="20"/>
          <w:highlight w:val="none"/>
        </w:rPr>
      </w:pPr>
      <w:r>
        <w:rPr>
          <w:rStyle w:val="19"/>
          <w:rFonts w:hint="default"/>
          <w:color w:val="auto"/>
          <w:sz w:val="24"/>
          <w:szCs w:val="20"/>
          <w:highlight w:val="none"/>
        </w:rPr>
        <w:t>发包人提供的施工设备或临时设施在专用合同条款中约定。</w:t>
      </w:r>
    </w:p>
    <w:p w14:paraId="35325E6C">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495" w:name="_Toc256000054"/>
      <w:bookmarkStart w:id="496" w:name="_Toc30722"/>
      <w:bookmarkStart w:id="497" w:name="bookmark1070"/>
      <w:bookmarkStart w:id="498" w:name="_Toc27703"/>
      <w:bookmarkStart w:id="499" w:name="bookmark1072"/>
      <w:bookmarkStart w:id="500" w:name="bookmark1071"/>
      <w:r>
        <w:rPr>
          <w:rStyle w:val="19"/>
          <w:rFonts w:hint="default" w:ascii="宋体" w:hAnsi="宋体" w:eastAsia="宋体"/>
          <w:color w:val="auto"/>
          <w:sz w:val="24"/>
          <w:szCs w:val="20"/>
          <w:highlight w:val="none"/>
          <w:lang w:eastAsia="zh-CN"/>
        </w:rPr>
        <w:t>6.3要求承包人增加或更换施工设备</w:t>
      </w:r>
      <w:bookmarkEnd w:id="495"/>
      <w:bookmarkEnd w:id="496"/>
      <w:bookmarkEnd w:id="497"/>
      <w:bookmarkEnd w:id="498"/>
      <w:bookmarkEnd w:id="499"/>
      <w:bookmarkEnd w:id="500"/>
    </w:p>
    <w:p w14:paraId="40D5D78B">
      <w:pPr>
        <w:pStyle w:val="31"/>
        <w:pageBreakBefore w:val="0"/>
        <w:widowControl w:val="0"/>
        <w:kinsoku/>
        <w:wordWrap/>
        <w:overflowPunct/>
        <w:topLinePunct w:val="0"/>
        <w:autoSpaceDE/>
        <w:autoSpaceDN/>
        <w:bidi w:val="0"/>
        <w:adjustRightInd/>
        <w:snapToGrid/>
        <w:spacing w:beforeLines="0" w:after="140" w:afterLines="0" w:line="440" w:lineRule="exact"/>
        <w:ind w:firstLine="420"/>
        <w:jc w:val="both"/>
        <w:textAlignment w:val="auto"/>
        <w:rPr>
          <w:rStyle w:val="19"/>
          <w:rFonts w:hint="default"/>
          <w:color w:val="auto"/>
          <w:sz w:val="24"/>
          <w:szCs w:val="20"/>
          <w:highlight w:val="none"/>
        </w:rPr>
      </w:pPr>
      <w:r>
        <w:rPr>
          <w:rStyle w:val="19"/>
          <w:rFonts w:hint="default"/>
          <w:color w:val="auto"/>
          <w:sz w:val="24"/>
          <w:szCs w:val="20"/>
          <w:highlight w:val="none"/>
        </w:rPr>
        <w:t>承包人使用的施工设备不能满足合同进度计划和（或）质量要求时，监理人有权要求承包人增加或更换施工设备，承包人应及时增加或更换，由此增加的费用和（或）工期延误由承包人承担。</w:t>
      </w:r>
    </w:p>
    <w:p w14:paraId="0F5E963D">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501" w:name="bookmark1073"/>
      <w:bookmarkStart w:id="502" w:name="bookmark1075"/>
      <w:bookmarkStart w:id="503" w:name="_Toc21826"/>
      <w:bookmarkStart w:id="504" w:name="_Toc256000055"/>
      <w:bookmarkStart w:id="505" w:name="_Toc23117"/>
      <w:bookmarkStart w:id="506" w:name="bookmark1074"/>
      <w:r>
        <w:rPr>
          <w:rStyle w:val="19"/>
          <w:rFonts w:hint="default" w:ascii="宋体" w:hAnsi="宋体" w:eastAsia="宋体"/>
          <w:color w:val="auto"/>
          <w:sz w:val="24"/>
          <w:szCs w:val="20"/>
          <w:highlight w:val="none"/>
          <w:lang w:eastAsia="zh-CN"/>
        </w:rPr>
        <w:t>6.4施工设备和临时设施专用于合同工程</w:t>
      </w:r>
      <w:bookmarkEnd w:id="501"/>
      <w:bookmarkEnd w:id="502"/>
      <w:bookmarkEnd w:id="503"/>
      <w:bookmarkEnd w:id="504"/>
      <w:bookmarkEnd w:id="505"/>
      <w:bookmarkEnd w:id="506"/>
    </w:p>
    <w:p w14:paraId="36C02007">
      <w:pPr>
        <w:pStyle w:val="31"/>
        <w:pageBreakBefore w:val="0"/>
        <w:widowControl w:val="0"/>
        <w:kinsoku/>
        <w:wordWrap/>
        <w:overflowPunct/>
        <w:topLinePunct w:val="0"/>
        <w:autoSpaceDE/>
        <w:autoSpaceDN/>
        <w:bidi w:val="0"/>
        <w:adjustRightInd/>
        <w:snapToGrid/>
        <w:spacing w:beforeLines="0" w:after="140" w:afterLines="0" w:line="440" w:lineRule="exact"/>
        <w:ind w:firstLine="420"/>
        <w:jc w:val="both"/>
        <w:textAlignment w:val="auto"/>
        <w:rPr>
          <w:rStyle w:val="19"/>
          <w:rFonts w:hint="default"/>
          <w:color w:val="auto"/>
          <w:sz w:val="24"/>
          <w:szCs w:val="20"/>
          <w:highlight w:val="none"/>
        </w:rPr>
      </w:pPr>
      <w:bookmarkStart w:id="507" w:name="bookmark1076"/>
      <w:bookmarkEnd w:id="507"/>
      <w:r>
        <w:rPr>
          <w:rStyle w:val="19"/>
          <w:rFonts w:hint="eastAsia" w:ascii="Times New Roman" w:hAnsi="Times New Roman" w:eastAsia="Times New Roman" w:cs="Times New Roman"/>
          <w:color w:val="auto"/>
          <w:sz w:val="24"/>
          <w:szCs w:val="24"/>
          <w:highlight w:val="none"/>
        </w:rPr>
        <w:t>6.4.1</w:t>
      </w:r>
      <w:r>
        <w:rPr>
          <w:rStyle w:val="19"/>
          <w:rFonts w:hint="default"/>
          <w:color w:val="auto"/>
          <w:sz w:val="24"/>
          <w:szCs w:val="20"/>
          <w:highlight w:val="none"/>
        </w:rPr>
        <w:t>除合同另有约定外，运入施工场地的所有施工设备以及在施工场地建设的临时设施应专用于合同工程。未经监理人同意，不得将上述施工设备和临时设施中的任何部分运出施工场地或挪作他用。</w:t>
      </w:r>
    </w:p>
    <w:p w14:paraId="13A72F67">
      <w:pPr>
        <w:pStyle w:val="31"/>
        <w:pageBreakBefore w:val="0"/>
        <w:widowControl w:val="0"/>
        <w:tabs>
          <w:tab w:val="left" w:pos="754"/>
        </w:tabs>
        <w:kinsoku/>
        <w:wordWrap/>
        <w:overflowPunct/>
        <w:topLinePunct w:val="0"/>
        <w:autoSpaceDE/>
        <w:autoSpaceDN/>
        <w:bidi w:val="0"/>
        <w:adjustRightInd/>
        <w:snapToGrid/>
        <w:spacing w:beforeLines="0" w:after="300" w:afterLines="0" w:line="440" w:lineRule="exact"/>
        <w:ind w:left="420" w:firstLine="0"/>
        <w:textAlignment w:val="auto"/>
        <w:rPr>
          <w:rStyle w:val="19"/>
          <w:rFonts w:hint="default"/>
          <w:color w:val="auto"/>
          <w:sz w:val="24"/>
          <w:szCs w:val="20"/>
          <w:highlight w:val="none"/>
        </w:rPr>
      </w:pPr>
      <w:bookmarkStart w:id="508" w:name="bookmark1077"/>
      <w:bookmarkEnd w:id="508"/>
      <w:r>
        <w:rPr>
          <w:rStyle w:val="19"/>
          <w:rFonts w:hint="eastAsia" w:ascii="Times New Roman" w:hAnsi="Times New Roman" w:eastAsia="Times New Roman" w:cs="Times New Roman"/>
          <w:color w:val="auto"/>
          <w:sz w:val="24"/>
          <w:szCs w:val="24"/>
          <w:highlight w:val="none"/>
          <w:lang w:val="en-US" w:bidi="en-US"/>
        </w:rPr>
        <w:t>6.4.2</w:t>
      </w:r>
      <w:r>
        <w:rPr>
          <w:rStyle w:val="19"/>
          <w:rFonts w:hint="default"/>
          <w:color w:val="auto"/>
          <w:sz w:val="24"/>
          <w:szCs w:val="20"/>
          <w:highlight w:val="none"/>
        </w:rPr>
        <w:t>经监理人同意，承包人可根据合同进度计划撤走闲置的施工设备。</w:t>
      </w:r>
    </w:p>
    <w:p w14:paraId="04432E3D">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eastAsia"/>
          <w:color w:val="auto"/>
          <w:sz w:val="24"/>
          <w:szCs w:val="20"/>
          <w:highlight w:val="none"/>
          <w:lang w:eastAsia="zh-CN"/>
        </w:rPr>
      </w:pPr>
      <w:bookmarkStart w:id="509" w:name="bookmark1080"/>
      <w:bookmarkEnd w:id="509"/>
      <w:bookmarkStart w:id="510" w:name="_Toc256000056"/>
      <w:bookmarkStart w:id="511" w:name="bookmark1079"/>
      <w:bookmarkStart w:id="512" w:name="_Toc13833"/>
      <w:bookmarkStart w:id="513" w:name="bookmark1078"/>
      <w:bookmarkStart w:id="514" w:name="_Toc18104"/>
      <w:bookmarkStart w:id="515" w:name="bookmark1081"/>
      <w:r>
        <w:rPr>
          <w:rStyle w:val="19"/>
          <w:rFonts w:hint="eastAsia"/>
          <w:color w:val="auto"/>
          <w:sz w:val="24"/>
          <w:szCs w:val="20"/>
          <w:highlight w:val="none"/>
          <w:lang w:eastAsia="zh-CN"/>
        </w:rPr>
        <w:t>7.</w:t>
      </w:r>
      <w:r>
        <w:rPr>
          <w:rStyle w:val="19"/>
          <w:rFonts w:hint="default" w:ascii="宋体" w:eastAsia="宋体"/>
          <w:color w:val="auto"/>
          <w:sz w:val="24"/>
          <w:szCs w:val="20"/>
          <w:highlight w:val="none"/>
          <w:lang w:eastAsia="zh-CN"/>
        </w:rPr>
        <w:t>交通运输</w:t>
      </w:r>
      <w:bookmarkEnd w:id="510"/>
      <w:bookmarkEnd w:id="511"/>
      <w:bookmarkEnd w:id="512"/>
      <w:bookmarkEnd w:id="513"/>
      <w:bookmarkEnd w:id="514"/>
      <w:bookmarkEnd w:id="515"/>
    </w:p>
    <w:p w14:paraId="29E3277B">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516" w:name="bookmark1084"/>
      <w:bookmarkStart w:id="517" w:name="_Toc256000057"/>
      <w:bookmarkStart w:id="518" w:name="_Toc14817"/>
      <w:bookmarkStart w:id="519" w:name="_Toc22987"/>
      <w:bookmarkStart w:id="520" w:name="bookmark1083"/>
      <w:bookmarkStart w:id="521" w:name="bookmark1082"/>
      <w:r>
        <w:rPr>
          <w:rStyle w:val="19"/>
          <w:rFonts w:hint="default" w:ascii="宋体" w:hAnsi="宋体" w:eastAsia="宋体"/>
          <w:color w:val="auto"/>
          <w:sz w:val="24"/>
          <w:szCs w:val="20"/>
          <w:highlight w:val="none"/>
          <w:lang w:eastAsia="zh-CN"/>
        </w:rPr>
        <w:t>7.1道路通行权和场外设施</w:t>
      </w:r>
      <w:bookmarkEnd w:id="516"/>
      <w:bookmarkEnd w:id="517"/>
      <w:bookmarkEnd w:id="518"/>
      <w:bookmarkEnd w:id="519"/>
      <w:bookmarkEnd w:id="520"/>
      <w:bookmarkEnd w:id="521"/>
    </w:p>
    <w:p w14:paraId="328F0635">
      <w:pPr>
        <w:pStyle w:val="31"/>
        <w:pageBreakBefore w:val="0"/>
        <w:widowControl w:val="0"/>
        <w:kinsoku/>
        <w:wordWrap/>
        <w:overflowPunct/>
        <w:topLinePunct w:val="0"/>
        <w:autoSpaceDE/>
        <w:autoSpaceDN/>
        <w:bidi w:val="0"/>
        <w:adjustRightInd/>
        <w:snapToGrid/>
        <w:spacing w:beforeLines="0" w:after="140" w:afterLines="0" w:line="440" w:lineRule="exact"/>
        <w:ind w:firstLine="420"/>
        <w:jc w:val="both"/>
        <w:textAlignment w:val="auto"/>
        <w:rPr>
          <w:rStyle w:val="19"/>
          <w:rFonts w:hint="default"/>
          <w:color w:val="auto"/>
          <w:sz w:val="24"/>
          <w:szCs w:val="20"/>
          <w:highlight w:val="none"/>
        </w:rPr>
      </w:pPr>
      <w:r>
        <w:rPr>
          <w:rStyle w:val="19"/>
          <w:rFonts w:hint="default"/>
          <w:color w:val="auto"/>
          <w:sz w:val="24"/>
          <w:szCs w:val="20"/>
          <w:highlight w:val="none"/>
        </w:rPr>
        <w:t>除专用合同条款另有约定外，承包人应根据合同工程的施工需要，负责办理取得出入施工场地的专用和临时道路的通行权，以及取得为工程建设所需修建场外设施的权利，并承担相关费用。发包人应协助承包人办理上述手续。</w:t>
      </w:r>
    </w:p>
    <w:p w14:paraId="0AEA81F6">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522" w:name="_Toc256000058"/>
      <w:bookmarkStart w:id="523" w:name="_Toc19760"/>
      <w:bookmarkStart w:id="524" w:name="_Toc25046"/>
      <w:bookmarkStart w:id="525" w:name="bookmark1087"/>
      <w:bookmarkStart w:id="526" w:name="bookmark1086"/>
      <w:bookmarkStart w:id="527" w:name="bookmark1085"/>
      <w:r>
        <w:rPr>
          <w:rStyle w:val="19"/>
          <w:rFonts w:hint="default" w:ascii="宋体" w:hAnsi="宋体" w:eastAsia="宋体"/>
          <w:color w:val="auto"/>
          <w:sz w:val="24"/>
          <w:szCs w:val="20"/>
          <w:highlight w:val="none"/>
          <w:lang w:eastAsia="zh-CN"/>
        </w:rPr>
        <w:t>7.2场内施工道路</w:t>
      </w:r>
      <w:bookmarkEnd w:id="522"/>
      <w:bookmarkEnd w:id="523"/>
      <w:bookmarkEnd w:id="524"/>
      <w:bookmarkEnd w:id="525"/>
      <w:bookmarkEnd w:id="526"/>
      <w:bookmarkEnd w:id="527"/>
    </w:p>
    <w:p w14:paraId="6A96155B">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7.2.1</w:t>
      </w:r>
      <w:r>
        <w:rPr>
          <w:rStyle w:val="19"/>
          <w:rFonts w:hint="default"/>
          <w:color w:val="auto"/>
          <w:sz w:val="24"/>
          <w:szCs w:val="20"/>
          <w:highlight w:val="none"/>
        </w:rPr>
        <w:t>除本合同约定由发包人提供的部分道路和交通设施外，承包人应负责修建、维 修、养护和管理其施工所需的全部临时道路和交通设施（包括合同约定由发包人提供的部 分道路和交通设施维修、养护和管理），并承担相应费用。</w:t>
      </w:r>
    </w:p>
    <w:p w14:paraId="1F62A416">
      <w:pPr>
        <w:pStyle w:val="31"/>
        <w:pageBreakBefore w:val="0"/>
        <w:widowControl w:val="0"/>
        <w:kinsoku/>
        <w:wordWrap/>
        <w:overflowPunct/>
        <w:topLinePunct w:val="0"/>
        <w:autoSpaceDE/>
        <w:autoSpaceDN/>
        <w:bidi w:val="0"/>
        <w:adjustRightInd/>
        <w:snapToGrid/>
        <w:spacing w:beforeLines="0" w:after="14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7.2.2</w:t>
      </w:r>
      <w:r>
        <w:rPr>
          <w:rStyle w:val="19"/>
          <w:rFonts w:hint="default"/>
          <w:color w:val="auto"/>
          <w:sz w:val="24"/>
          <w:szCs w:val="20"/>
          <w:highlight w:val="none"/>
        </w:rPr>
        <w:t>承包人修建的临时道路和交通设施，应免费提供发包人、监理人，以及与本合 同有关的其他承包人使用。</w:t>
      </w:r>
    </w:p>
    <w:p w14:paraId="74538667">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528" w:name="_Toc9625"/>
      <w:bookmarkStart w:id="529" w:name="_Toc1077"/>
      <w:bookmarkStart w:id="530" w:name="bookmark1088"/>
      <w:bookmarkStart w:id="531" w:name="_Toc256000059"/>
      <w:bookmarkStart w:id="532" w:name="bookmark1089"/>
      <w:bookmarkStart w:id="533" w:name="bookmark1090"/>
      <w:r>
        <w:rPr>
          <w:rStyle w:val="19"/>
          <w:rFonts w:hint="default" w:ascii="宋体" w:hAnsi="宋体" w:eastAsia="宋体"/>
          <w:color w:val="auto"/>
          <w:sz w:val="24"/>
          <w:szCs w:val="20"/>
          <w:highlight w:val="none"/>
          <w:lang w:eastAsia="zh-CN"/>
        </w:rPr>
        <w:t>7.3场外交通</w:t>
      </w:r>
      <w:bookmarkEnd w:id="528"/>
      <w:bookmarkEnd w:id="529"/>
      <w:bookmarkEnd w:id="530"/>
      <w:bookmarkEnd w:id="531"/>
      <w:bookmarkEnd w:id="532"/>
      <w:bookmarkEnd w:id="533"/>
    </w:p>
    <w:p w14:paraId="1AB89C5F">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7.3.1</w:t>
      </w:r>
      <w:r>
        <w:rPr>
          <w:rStyle w:val="19"/>
          <w:rFonts w:hint="default"/>
          <w:color w:val="auto"/>
          <w:sz w:val="24"/>
          <w:szCs w:val="20"/>
          <w:highlight w:val="none"/>
        </w:rPr>
        <w:t>承包人车辆外出行驶所需的场外公共道路的通行费、养路费和税款等由承包人承担。</w:t>
      </w:r>
    </w:p>
    <w:p w14:paraId="608B9807">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rPr>
        <w:t>7.3.2</w:t>
      </w:r>
      <w:r>
        <w:rPr>
          <w:rStyle w:val="19"/>
          <w:rFonts w:hint="default"/>
          <w:color w:val="auto"/>
          <w:sz w:val="24"/>
          <w:szCs w:val="20"/>
          <w:highlight w:val="none"/>
        </w:rPr>
        <w:t>承包人应遵守有关交通法规，严格按照道路和桥梁的限制荷重安全行驶，并服从交通管理部门的检查和监督</w:t>
      </w:r>
      <w:r>
        <w:rPr>
          <w:rStyle w:val="19"/>
          <w:rFonts w:hint="default"/>
          <w:color w:val="auto"/>
          <w:sz w:val="24"/>
          <w:szCs w:val="20"/>
          <w:highlight w:val="none"/>
          <w:lang w:val="en-US"/>
        </w:rPr>
        <w:t>。</w:t>
      </w:r>
    </w:p>
    <w:p w14:paraId="46C8C1FD">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534" w:name="_Toc25595"/>
      <w:bookmarkStart w:id="535" w:name="_Toc256000060"/>
      <w:bookmarkStart w:id="536" w:name="bookmark1091"/>
      <w:bookmarkStart w:id="537" w:name="bookmark1092"/>
      <w:bookmarkStart w:id="538" w:name="bookmark1093"/>
      <w:bookmarkStart w:id="539" w:name="_Toc10137"/>
      <w:r>
        <w:rPr>
          <w:rStyle w:val="19"/>
          <w:rFonts w:hint="default" w:ascii="宋体" w:hAnsi="宋体" w:eastAsia="宋体"/>
          <w:color w:val="auto"/>
          <w:sz w:val="24"/>
          <w:szCs w:val="20"/>
          <w:highlight w:val="none"/>
          <w:lang w:eastAsia="zh-CN"/>
        </w:rPr>
        <w:t>7.4超大件和超重件的运输</w:t>
      </w:r>
      <w:bookmarkEnd w:id="534"/>
      <w:bookmarkEnd w:id="535"/>
      <w:bookmarkEnd w:id="536"/>
      <w:bookmarkEnd w:id="537"/>
      <w:bookmarkEnd w:id="538"/>
      <w:bookmarkEnd w:id="539"/>
    </w:p>
    <w:p w14:paraId="1C49E114">
      <w:pPr>
        <w:pStyle w:val="31"/>
        <w:pageBreakBefore w:val="0"/>
        <w:widowControl w:val="0"/>
        <w:kinsoku/>
        <w:wordWrap/>
        <w:overflowPunct/>
        <w:topLinePunct w:val="0"/>
        <w:autoSpaceDE/>
        <w:autoSpaceDN/>
        <w:bidi w:val="0"/>
        <w:adjustRightInd/>
        <w:snapToGrid/>
        <w:spacing w:beforeLines="0" w:after="120" w:afterLines="0" w:line="440" w:lineRule="exact"/>
        <w:ind w:firstLine="440"/>
        <w:jc w:val="both"/>
        <w:textAlignment w:val="auto"/>
        <w:rPr>
          <w:rStyle w:val="19"/>
          <w:rFonts w:hint="default"/>
          <w:color w:val="auto"/>
          <w:sz w:val="24"/>
          <w:szCs w:val="20"/>
          <w:highlight w:val="none"/>
        </w:rPr>
      </w:pPr>
      <w:r>
        <w:rPr>
          <w:rStyle w:val="19"/>
          <w:rFonts w:hint="default"/>
          <w:color w:val="auto"/>
          <w:sz w:val="24"/>
          <w:szCs w:val="20"/>
          <w:highlight w:val="none"/>
        </w:rPr>
        <w:t>由承包人负责运输的超大件或超重件，应由承包人负责向交通管理部门办理申请手续, 发包人给予协助。运输超大件或超重件所需的道路和桥梁临时加固改造费用和其他有关费用，由承包人承担，但专用合同条款另有约定除外。</w:t>
      </w:r>
    </w:p>
    <w:p w14:paraId="3CD663BF">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540" w:name="bookmark1095"/>
      <w:bookmarkStart w:id="541" w:name="_Toc256000061"/>
      <w:bookmarkStart w:id="542" w:name="_Toc31023"/>
      <w:bookmarkStart w:id="543" w:name="bookmark1096"/>
      <w:bookmarkStart w:id="544" w:name="_Toc19673"/>
      <w:bookmarkStart w:id="545" w:name="bookmark1094"/>
      <w:r>
        <w:rPr>
          <w:rStyle w:val="19"/>
          <w:rFonts w:hint="default" w:ascii="宋体" w:hAnsi="宋体" w:eastAsia="宋体"/>
          <w:color w:val="auto"/>
          <w:sz w:val="24"/>
          <w:szCs w:val="20"/>
          <w:highlight w:val="none"/>
          <w:lang w:eastAsia="zh-CN"/>
        </w:rPr>
        <w:t>7.5道路和桥梁的损坏责任</w:t>
      </w:r>
      <w:bookmarkEnd w:id="540"/>
      <w:bookmarkEnd w:id="541"/>
      <w:bookmarkEnd w:id="542"/>
      <w:bookmarkEnd w:id="543"/>
      <w:bookmarkEnd w:id="544"/>
      <w:bookmarkEnd w:id="545"/>
    </w:p>
    <w:p w14:paraId="0D4E0A42">
      <w:pPr>
        <w:pStyle w:val="31"/>
        <w:pageBreakBefore w:val="0"/>
        <w:widowControl w:val="0"/>
        <w:kinsoku/>
        <w:wordWrap/>
        <w:overflowPunct/>
        <w:topLinePunct w:val="0"/>
        <w:autoSpaceDE/>
        <w:autoSpaceDN/>
        <w:bidi w:val="0"/>
        <w:adjustRightInd/>
        <w:snapToGrid/>
        <w:spacing w:beforeLines="0" w:after="120" w:afterLines="0" w:line="440" w:lineRule="exact"/>
        <w:ind w:firstLine="440"/>
        <w:jc w:val="both"/>
        <w:textAlignment w:val="auto"/>
        <w:rPr>
          <w:rStyle w:val="19"/>
          <w:rFonts w:hint="default"/>
          <w:color w:val="auto"/>
          <w:sz w:val="24"/>
          <w:szCs w:val="20"/>
          <w:highlight w:val="none"/>
        </w:rPr>
      </w:pPr>
      <w:r>
        <w:rPr>
          <w:rStyle w:val="19"/>
          <w:rFonts w:hint="default"/>
          <w:color w:val="auto"/>
          <w:sz w:val="24"/>
          <w:szCs w:val="20"/>
          <w:highlight w:val="none"/>
        </w:rPr>
        <w:t>因承包人运输造成施工场地内外公共道路和桥梁损坏的，由承包人承担修复损坏的全部费用和可能引起的赔偿。</w:t>
      </w:r>
    </w:p>
    <w:p w14:paraId="683B2286">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546" w:name="bookmark1098"/>
      <w:bookmarkStart w:id="547" w:name="bookmark1099"/>
      <w:bookmarkStart w:id="548" w:name="_Toc256000062"/>
      <w:bookmarkStart w:id="549" w:name="_Toc32607"/>
      <w:bookmarkStart w:id="550" w:name="bookmark1097"/>
      <w:bookmarkStart w:id="551" w:name="_Toc30116"/>
      <w:r>
        <w:rPr>
          <w:rStyle w:val="19"/>
          <w:rFonts w:hint="default" w:ascii="宋体" w:hAnsi="宋体" w:eastAsia="宋体"/>
          <w:color w:val="auto"/>
          <w:sz w:val="24"/>
          <w:szCs w:val="20"/>
          <w:highlight w:val="none"/>
          <w:lang w:eastAsia="zh-CN"/>
        </w:rPr>
        <w:t>7.6水路和航空运输</w:t>
      </w:r>
      <w:bookmarkEnd w:id="546"/>
      <w:bookmarkEnd w:id="547"/>
      <w:bookmarkEnd w:id="548"/>
      <w:bookmarkEnd w:id="549"/>
      <w:bookmarkEnd w:id="550"/>
      <w:bookmarkEnd w:id="551"/>
    </w:p>
    <w:p w14:paraId="19145C47">
      <w:pPr>
        <w:pStyle w:val="31"/>
        <w:pageBreakBefore w:val="0"/>
        <w:widowControl w:val="0"/>
        <w:kinsoku/>
        <w:wordWrap/>
        <w:overflowPunct/>
        <w:topLinePunct w:val="0"/>
        <w:autoSpaceDE/>
        <w:autoSpaceDN/>
        <w:bidi w:val="0"/>
        <w:adjustRightInd/>
        <w:snapToGrid/>
        <w:spacing w:beforeLines="0" w:after="260" w:afterLines="0" w:line="440" w:lineRule="exact"/>
        <w:ind w:firstLine="440"/>
        <w:jc w:val="both"/>
        <w:textAlignment w:val="auto"/>
        <w:rPr>
          <w:rStyle w:val="19"/>
          <w:rFonts w:hint="default"/>
          <w:color w:val="auto"/>
          <w:sz w:val="24"/>
          <w:szCs w:val="20"/>
          <w:highlight w:val="none"/>
        </w:rPr>
      </w:pPr>
      <w:r>
        <w:rPr>
          <w:rStyle w:val="19"/>
          <w:rFonts w:hint="default"/>
          <w:color w:val="auto"/>
          <w:sz w:val="24"/>
          <w:szCs w:val="20"/>
          <w:highlight w:val="none"/>
        </w:rPr>
        <w:t>本条上述各款的内容适用于水路运输和航空运输，其中“道路” 一词的涵义包括河道、 航线、船闸、机场、码头、堤防以及水路或航空运输中其他相似结构物；“车辆” 一词的涵义包括船舶和飞机等。</w:t>
      </w:r>
    </w:p>
    <w:p w14:paraId="274D1D0D">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eastAsia"/>
          <w:color w:val="auto"/>
          <w:sz w:val="24"/>
          <w:szCs w:val="20"/>
          <w:highlight w:val="none"/>
          <w:lang w:eastAsia="zh-CN"/>
        </w:rPr>
      </w:pPr>
      <w:bookmarkStart w:id="552" w:name="bookmark1102"/>
      <w:bookmarkEnd w:id="552"/>
      <w:bookmarkStart w:id="553" w:name="_Toc256000063"/>
      <w:bookmarkStart w:id="554" w:name="_Toc7491"/>
      <w:bookmarkStart w:id="555" w:name="bookmark1101"/>
      <w:bookmarkStart w:id="556" w:name="bookmark1103"/>
      <w:bookmarkStart w:id="557" w:name="bookmark1100"/>
      <w:bookmarkStart w:id="558" w:name="_Toc14055"/>
      <w:r>
        <w:rPr>
          <w:rStyle w:val="19"/>
          <w:rFonts w:hint="eastAsia"/>
          <w:color w:val="auto"/>
          <w:sz w:val="24"/>
          <w:szCs w:val="20"/>
          <w:highlight w:val="none"/>
          <w:lang w:eastAsia="zh-CN"/>
        </w:rPr>
        <w:t>8.</w:t>
      </w:r>
      <w:r>
        <w:rPr>
          <w:rStyle w:val="19"/>
          <w:rFonts w:hint="default" w:ascii="宋体" w:eastAsia="宋体"/>
          <w:color w:val="auto"/>
          <w:sz w:val="24"/>
          <w:szCs w:val="20"/>
          <w:highlight w:val="none"/>
          <w:lang w:eastAsia="zh-CN"/>
        </w:rPr>
        <w:t>测量放线</w:t>
      </w:r>
      <w:bookmarkEnd w:id="553"/>
      <w:bookmarkEnd w:id="554"/>
      <w:bookmarkEnd w:id="555"/>
      <w:bookmarkEnd w:id="556"/>
      <w:bookmarkEnd w:id="557"/>
      <w:bookmarkEnd w:id="558"/>
    </w:p>
    <w:p w14:paraId="1568A78D">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559" w:name="bookmark1104"/>
      <w:bookmarkStart w:id="560" w:name="bookmark1106"/>
      <w:bookmarkStart w:id="561" w:name="_Toc256000064"/>
      <w:bookmarkStart w:id="562" w:name="_Toc16690"/>
      <w:bookmarkStart w:id="563" w:name="_Toc7125"/>
      <w:bookmarkStart w:id="564" w:name="bookmark1105"/>
      <w:r>
        <w:rPr>
          <w:rStyle w:val="19"/>
          <w:rFonts w:hint="default" w:ascii="宋体" w:hAnsi="宋体" w:eastAsia="宋体"/>
          <w:color w:val="auto"/>
          <w:sz w:val="24"/>
          <w:szCs w:val="20"/>
          <w:highlight w:val="none"/>
          <w:lang w:eastAsia="zh-CN"/>
        </w:rPr>
        <w:t>8.1施工控制网</w:t>
      </w:r>
      <w:bookmarkEnd w:id="559"/>
      <w:bookmarkEnd w:id="560"/>
      <w:bookmarkEnd w:id="561"/>
      <w:bookmarkEnd w:id="562"/>
      <w:bookmarkEnd w:id="563"/>
      <w:bookmarkEnd w:id="564"/>
    </w:p>
    <w:p w14:paraId="732792DA">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8.1.1</w:t>
      </w:r>
      <w:r>
        <w:rPr>
          <w:rStyle w:val="19"/>
          <w:rFonts w:hint="default"/>
          <w:color w:val="auto"/>
          <w:sz w:val="24"/>
          <w:szCs w:val="20"/>
          <w:highlight w:val="none"/>
        </w:rPr>
        <w:t>除专用条款另有约定外，施工控制网由承包人负责测设，发包人应在本合同协议书签订后的</w:t>
      </w:r>
      <w:r>
        <w:rPr>
          <w:rStyle w:val="19"/>
          <w:rFonts w:hint="eastAsia" w:ascii="Times New Roman" w:hAnsi="Times New Roman" w:eastAsia="Times New Roman" w:cs="Times New Roman"/>
          <w:color w:val="auto"/>
          <w:sz w:val="24"/>
          <w:szCs w:val="24"/>
          <w:highlight w:val="none"/>
        </w:rPr>
        <w:t>14</w:t>
      </w:r>
      <w:r>
        <w:rPr>
          <w:rStyle w:val="19"/>
          <w:rFonts w:hint="default"/>
          <w:color w:val="auto"/>
          <w:sz w:val="24"/>
          <w:szCs w:val="20"/>
          <w:highlight w:val="none"/>
        </w:rPr>
        <w:t>天内，向承包人提供测量基准点、基准线和水准点及其相关资料。承包人应在收到上述资料后的</w:t>
      </w:r>
      <w:r>
        <w:rPr>
          <w:rStyle w:val="19"/>
          <w:rFonts w:hint="eastAsia" w:ascii="Times New Roman" w:hAnsi="Times New Roman" w:eastAsia="Times New Roman" w:cs="Times New Roman"/>
          <w:color w:val="auto"/>
          <w:sz w:val="24"/>
          <w:szCs w:val="24"/>
          <w:highlight w:val="none"/>
        </w:rPr>
        <w:t>28</w:t>
      </w:r>
      <w:r>
        <w:rPr>
          <w:rStyle w:val="19"/>
          <w:rFonts w:hint="default"/>
          <w:color w:val="auto"/>
          <w:sz w:val="24"/>
          <w:szCs w:val="20"/>
          <w:highlight w:val="none"/>
        </w:rPr>
        <w:t>天内，将施测的施工控制网资料提交监理人审批。监理人应在收到报批件后的</w:t>
      </w:r>
      <w:r>
        <w:rPr>
          <w:rStyle w:val="19"/>
          <w:rFonts w:hint="eastAsia" w:ascii="Times New Roman" w:hAnsi="Times New Roman" w:eastAsia="Times New Roman" w:cs="Times New Roman"/>
          <w:color w:val="auto"/>
          <w:sz w:val="24"/>
          <w:szCs w:val="24"/>
          <w:highlight w:val="none"/>
        </w:rPr>
        <w:t>14</w:t>
      </w:r>
      <w:r>
        <w:rPr>
          <w:rStyle w:val="19"/>
          <w:rFonts w:hint="default"/>
          <w:color w:val="auto"/>
          <w:sz w:val="24"/>
          <w:szCs w:val="20"/>
          <w:highlight w:val="none"/>
        </w:rPr>
        <w:t>天内批复承包人。</w:t>
      </w:r>
    </w:p>
    <w:p w14:paraId="5FD3C25B">
      <w:pPr>
        <w:pStyle w:val="31"/>
        <w:pageBreakBefore w:val="0"/>
        <w:widowControl w:val="0"/>
        <w:kinsoku/>
        <w:wordWrap/>
        <w:overflowPunct/>
        <w:topLinePunct w:val="0"/>
        <w:autoSpaceDE/>
        <w:autoSpaceDN/>
        <w:bidi w:val="0"/>
        <w:adjustRightInd/>
        <w:snapToGrid/>
        <w:spacing w:beforeLines="0" w:after="120" w:afterLines="0" w:line="440" w:lineRule="exact"/>
        <w:ind w:firstLine="44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8.1.2</w:t>
      </w:r>
      <w:r>
        <w:rPr>
          <w:rStyle w:val="19"/>
          <w:rFonts w:hint="default"/>
          <w:color w:val="auto"/>
          <w:sz w:val="24"/>
          <w:szCs w:val="20"/>
          <w:highlight w:val="none"/>
        </w:rPr>
        <w:t>承包人应负责管理施工控制网点。施工控制网点丢失或损坏的，承包人应及时修复。承包人应承担施工控制网点的管理与修复费用，并在工程竣工后将施工控制网点移交发包人。</w:t>
      </w:r>
    </w:p>
    <w:p w14:paraId="7FCA30D3">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565" w:name="_Toc256000065"/>
      <w:bookmarkStart w:id="566" w:name="_Toc28033"/>
      <w:bookmarkStart w:id="567" w:name="bookmark1108"/>
      <w:bookmarkStart w:id="568" w:name="bookmark1107"/>
      <w:bookmarkStart w:id="569" w:name="bookmark1109"/>
      <w:bookmarkStart w:id="570" w:name="_Toc8732"/>
      <w:r>
        <w:rPr>
          <w:rStyle w:val="19"/>
          <w:rFonts w:hint="default" w:ascii="宋体" w:hAnsi="宋体" w:eastAsia="宋体"/>
          <w:color w:val="auto"/>
          <w:sz w:val="24"/>
          <w:szCs w:val="20"/>
          <w:highlight w:val="none"/>
          <w:lang w:eastAsia="zh-CN"/>
        </w:rPr>
        <w:t>8.2施工测量</w:t>
      </w:r>
      <w:bookmarkEnd w:id="565"/>
      <w:bookmarkEnd w:id="566"/>
      <w:bookmarkEnd w:id="567"/>
      <w:bookmarkEnd w:id="568"/>
      <w:bookmarkEnd w:id="569"/>
      <w:bookmarkEnd w:id="570"/>
    </w:p>
    <w:p w14:paraId="06126B68">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8.2.1</w:t>
      </w:r>
      <w:r>
        <w:rPr>
          <w:rStyle w:val="19"/>
          <w:rFonts w:hint="default"/>
          <w:color w:val="auto"/>
          <w:sz w:val="24"/>
          <w:szCs w:val="20"/>
          <w:highlight w:val="none"/>
        </w:rPr>
        <w:t>承包人应负责施工过程中的全部施工测量放线工作，并配置合格的人员、仪 器、设备和其他物品。</w:t>
      </w:r>
    </w:p>
    <w:p w14:paraId="214C78E1">
      <w:pPr>
        <w:pStyle w:val="31"/>
        <w:pageBreakBefore w:val="0"/>
        <w:widowControl w:val="0"/>
        <w:kinsoku/>
        <w:wordWrap/>
        <w:overflowPunct/>
        <w:topLinePunct w:val="0"/>
        <w:autoSpaceDE/>
        <w:autoSpaceDN/>
        <w:bidi w:val="0"/>
        <w:adjustRightInd/>
        <w:snapToGrid/>
        <w:spacing w:beforeLines="0" w:after="120" w:afterLines="0" w:line="440" w:lineRule="exact"/>
        <w:ind w:firstLine="44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8.2.2</w:t>
      </w:r>
      <w:r>
        <w:rPr>
          <w:rStyle w:val="19"/>
          <w:rFonts w:hint="default"/>
          <w:color w:val="auto"/>
          <w:sz w:val="24"/>
          <w:szCs w:val="20"/>
          <w:highlight w:val="none"/>
        </w:rPr>
        <w:t>监理人可以指示承包人进行抽样复测，当复测中发现错误或出现超过合同约定的误差时，承包人应按监理人指示进行修正或补测，并承担相应的复测费用。</w:t>
      </w:r>
    </w:p>
    <w:p w14:paraId="28B3EBD2">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571" w:name="_Toc2222"/>
      <w:bookmarkStart w:id="572" w:name="_Toc18249"/>
      <w:bookmarkStart w:id="573" w:name="bookmark1111"/>
      <w:bookmarkStart w:id="574" w:name="_Toc256000066"/>
      <w:bookmarkStart w:id="575" w:name="bookmark1110"/>
      <w:bookmarkStart w:id="576" w:name="bookmark1112"/>
      <w:r>
        <w:rPr>
          <w:rStyle w:val="19"/>
          <w:rFonts w:hint="default" w:ascii="宋体" w:hAnsi="宋体" w:eastAsia="宋体"/>
          <w:color w:val="auto"/>
          <w:sz w:val="24"/>
          <w:szCs w:val="20"/>
          <w:highlight w:val="none"/>
          <w:lang w:eastAsia="zh-CN"/>
        </w:rPr>
        <w:t>8.3基准资料错误的责任</w:t>
      </w:r>
      <w:bookmarkEnd w:id="571"/>
      <w:bookmarkEnd w:id="572"/>
      <w:bookmarkEnd w:id="573"/>
      <w:bookmarkEnd w:id="574"/>
      <w:bookmarkEnd w:id="575"/>
      <w:bookmarkEnd w:id="576"/>
    </w:p>
    <w:p w14:paraId="572FCE35">
      <w:pPr>
        <w:pStyle w:val="31"/>
        <w:pageBreakBefore w:val="0"/>
        <w:widowControl w:val="0"/>
        <w:kinsoku/>
        <w:wordWrap/>
        <w:overflowPunct/>
        <w:topLinePunct w:val="0"/>
        <w:autoSpaceDE/>
        <w:autoSpaceDN/>
        <w:bidi w:val="0"/>
        <w:adjustRightInd/>
        <w:snapToGrid/>
        <w:spacing w:beforeLines="0" w:after="120" w:afterLines="0" w:line="440" w:lineRule="exact"/>
        <w:ind w:firstLine="440"/>
        <w:jc w:val="both"/>
        <w:textAlignment w:val="auto"/>
        <w:rPr>
          <w:rStyle w:val="19"/>
          <w:rFonts w:hint="default"/>
          <w:color w:val="auto"/>
          <w:sz w:val="24"/>
          <w:szCs w:val="20"/>
          <w:highlight w:val="none"/>
        </w:rPr>
      </w:pPr>
      <w:r>
        <w:rPr>
          <w:rStyle w:val="19"/>
          <w:rFonts w:hint="default"/>
          <w:color w:val="auto"/>
          <w:sz w:val="24"/>
          <w:szCs w:val="20"/>
          <w:highlight w:val="none"/>
        </w:rPr>
        <w:t>发包人应对其提供的测量基准点、基准线和水准点及其书面资料的真实性、准确性和完整性负责。发包人提供上述基准资料错误导致承包人测量放线工作的返工或造成工程损失的，发包人应当承担由此增加的费用和（或）工期延误，并向承包人支付合理利润。承包人发现发包人提供的上述基准资料存在明显错误或疏忽的，应及时通知监理人。</w:t>
      </w:r>
    </w:p>
    <w:p w14:paraId="0DC0A9B2">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577" w:name="bookmark1115"/>
      <w:bookmarkStart w:id="578" w:name="bookmark1113"/>
      <w:bookmarkStart w:id="579" w:name="_Toc256000067"/>
      <w:bookmarkStart w:id="580" w:name="_Toc24310"/>
      <w:bookmarkStart w:id="581" w:name="bookmark1114"/>
      <w:bookmarkStart w:id="582" w:name="_Toc26810"/>
      <w:r>
        <w:rPr>
          <w:rStyle w:val="19"/>
          <w:rFonts w:hint="default" w:ascii="宋体" w:hAnsi="宋体" w:eastAsia="宋体"/>
          <w:color w:val="auto"/>
          <w:sz w:val="24"/>
          <w:szCs w:val="20"/>
          <w:highlight w:val="none"/>
          <w:lang w:eastAsia="zh-CN"/>
        </w:rPr>
        <w:t>8.4监理人使用施工控制网</w:t>
      </w:r>
      <w:bookmarkEnd w:id="577"/>
      <w:bookmarkEnd w:id="578"/>
      <w:bookmarkEnd w:id="579"/>
      <w:bookmarkEnd w:id="580"/>
      <w:bookmarkEnd w:id="581"/>
      <w:bookmarkEnd w:id="582"/>
    </w:p>
    <w:p w14:paraId="6B0A13BA">
      <w:pPr>
        <w:pStyle w:val="31"/>
        <w:pageBreakBefore w:val="0"/>
        <w:widowControl w:val="0"/>
        <w:kinsoku/>
        <w:wordWrap/>
        <w:overflowPunct/>
        <w:topLinePunct w:val="0"/>
        <w:autoSpaceDE/>
        <w:autoSpaceDN/>
        <w:bidi w:val="0"/>
        <w:adjustRightInd/>
        <w:snapToGrid/>
        <w:spacing w:beforeLines="0" w:after="120" w:afterLines="0" w:line="440" w:lineRule="exact"/>
        <w:ind w:firstLine="440"/>
        <w:jc w:val="both"/>
        <w:textAlignment w:val="auto"/>
        <w:rPr>
          <w:rStyle w:val="19"/>
          <w:rFonts w:hint="default"/>
          <w:color w:val="auto"/>
          <w:sz w:val="24"/>
          <w:szCs w:val="20"/>
          <w:highlight w:val="none"/>
        </w:rPr>
      </w:pPr>
      <w:r>
        <w:rPr>
          <w:rStyle w:val="19"/>
          <w:rFonts w:hint="default"/>
          <w:color w:val="auto"/>
          <w:sz w:val="24"/>
          <w:szCs w:val="20"/>
          <w:highlight w:val="none"/>
        </w:rPr>
        <w:t>监理人需要使用施工控制网的，承包人应提供必要的协助，发包人不再为此支付费用。</w:t>
      </w:r>
    </w:p>
    <w:p w14:paraId="06C8B29F">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583" w:name="_Toc256000068"/>
      <w:bookmarkStart w:id="584" w:name="_Toc3157"/>
      <w:bookmarkStart w:id="585" w:name="bookmark1116"/>
      <w:bookmarkStart w:id="586" w:name="bookmark1117"/>
      <w:bookmarkStart w:id="587" w:name="bookmark1118"/>
      <w:bookmarkStart w:id="588" w:name="_Toc26237"/>
      <w:r>
        <w:rPr>
          <w:rStyle w:val="19"/>
          <w:rFonts w:hint="default" w:ascii="宋体" w:hAnsi="宋体" w:eastAsia="宋体"/>
          <w:color w:val="auto"/>
          <w:sz w:val="24"/>
          <w:szCs w:val="20"/>
          <w:highlight w:val="none"/>
          <w:lang w:eastAsia="zh-CN"/>
        </w:rPr>
        <w:t>8.5补充地质勘探</w:t>
      </w:r>
      <w:bookmarkEnd w:id="583"/>
      <w:bookmarkEnd w:id="584"/>
      <w:bookmarkEnd w:id="585"/>
      <w:bookmarkEnd w:id="586"/>
      <w:bookmarkEnd w:id="587"/>
      <w:bookmarkEnd w:id="588"/>
    </w:p>
    <w:p w14:paraId="43C63B96">
      <w:pPr>
        <w:pStyle w:val="31"/>
        <w:pageBreakBefore w:val="0"/>
        <w:widowControl w:val="0"/>
        <w:kinsoku/>
        <w:wordWrap/>
        <w:overflowPunct/>
        <w:topLinePunct w:val="0"/>
        <w:autoSpaceDE/>
        <w:autoSpaceDN/>
        <w:bidi w:val="0"/>
        <w:adjustRightInd/>
        <w:snapToGrid/>
        <w:spacing w:beforeLines="0" w:after="300" w:afterLines="0" w:line="440" w:lineRule="exact"/>
        <w:ind w:firstLine="440"/>
        <w:jc w:val="both"/>
        <w:textAlignment w:val="auto"/>
        <w:rPr>
          <w:rStyle w:val="19"/>
          <w:rFonts w:hint="default"/>
          <w:color w:val="auto"/>
          <w:sz w:val="24"/>
          <w:szCs w:val="20"/>
          <w:highlight w:val="none"/>
        </w:rPr>
      </w:pPr>
      <w:r>
        <w:rPr>
          <w:rStyle w:val="19"/>
          <w:rFonts w:hint="default"/>
          <w:color w:val="auto"/>
          <w:sz w:val="24"/>
          <w:szCs w:val="20"/>
          <w:highlight w:val="none"/>
        </w:rPr>
        <w:t>在合同实施期间，监理人可以指示承包人进行必要的补充地质勘探和提供有关资料; 承包人为本合同永久工程施工的需要进行补充地质勘探时，须经监理人批准，并应向监理人提交有关资料，上述补充勘探的费用由发包人承担。承包人为其临时工程所需进行的补 充地质勘探，其费用由承包人承担。</w:t>
      </w:r>
    </w:p>
    <w:p w14:paraId="4626B24A">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eastAsia"/>
          <w:color w:val="auto"/>
          <w:sz w:val="24"/>
          <w:szCs w:val="20"/>
          <w:highlight w:val="none"/>
          <w:lang w:eastAsia="zh-CN"/>
        </w:rPr>
      </w:pPr>
      <w:bookmarkStart w:id="589" w:name="bookmark1121"/>
      <w:bookmarkEnd w:id="589"/>
      <w:bookmarkStart w:id="590" w:name="_Toc15267"/>
      <w:bookmarkStart w:id="591" w:name="_Toc256000069"/>
      <w:bookmarkStart w:id="592" w:name="bookmark1122"/>
      <w:bookmarkStart w:id="593" w:name="bookmark1120"/>
      <w:bookmarkStart w:id="594" w:name="_Toc18693"/>
      <w:bookmarkStart w:id="595" w:name="bookmark1119"/>
      <w:r>
        <w:rPr>
          <w:rStyle w:val="19"/>
          <w:rFonts w:hint="eastAsia"/>
          <w:color w:val="auto"/>
          <w:sz w:val="24"/>
          <w:szCs w:val="20"/>
          <w:highlight w:val="none"/>
          <w:lang w:eastAsia="zh-CN"/>
        </w:rPr>
        <w:t>9.</w:t>
      </w:r>
      <w:r>
        <w:rPr>
          <w:rStyle w:val="19"/>
          <w:rFonts w:hint="default" w:ascii="宋体" w:eastAsia="宋体"/>
          <w:color w:val="auto"/>
          <w:sz w:val="24"/>
          <w:szCs w:val="20"/>
          <w:highlight w:val="none"/>
          <w:lang w:eastAsia="zh-CN"/>
        </w:rPr>
        <w:t>施工安全、治安保卫和环境保护</w:t>
      </w:r>
      <w:bookmarkEnd w:id="590"/>
      <w:bookmarkEnd w:id="591"/>
      <w:bookmarkEnd w:id="592"/>
      <w:bookmarkEnd w:id="593"/>
      <w:bookmarkEnd w:id="594"/>
      <w:bookmarkEnd w:id="595"/>
    </w:p>
    <w:p w14:paraId="2F4EED33">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596" w:name="_Toc1087"/>
      <w:bookmarkStart w:id="597" w:name="_Toc256000070"/>
      <w:bookmarkStart w:id="598" w:name="bookmark1125"/>
      <w:bookmarkStart w:id="599" w:name="_Toc13008"/>
      <w:bookmarkStart w:id="600" w:name="bookmark1123"/>
      <w:bookmarkStart w:id="601" w:name="bookmark1124"/>
      <w:r>
        <w:rPr>
          <w:rStyle w:val="19"/>
          <w:rFonts w:hint="default" w:ascii="宋体" w:hAnsi="宋体" w:eastAsia="宋体"/>
          <w:color w:val="auto"/>
          <w:sz w:val="24"/>
          <w:szCs w:val="20"/>
          <w:highlight w:val="none"/>
          <w:lang w:eastAsia="zh-CN"/>
        </w:rPr>
        <w:t>9.1发包人的施工安全责任</w:t>
      </w:r>
      <w:bookmarkEnd w:id="596"/>
      <w:bookmarkEnd w:id="597"/>
      <w:bookmarkEnd w:id="598"/>
      <w:bookmarkEnd w:id="599"/>
      <w:bookmarkEnd w:id="600"/>
      <w:bookmarkEnd w:id="601"/>
    </w:p>
    <w:p w14:paraId="2EF0FFB9">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eastAsia" w:ascii="Times New Roman" w:hAnsi="Times New Roman" w:eastAsia="Times New Roman" w:cs="Times New Roman"/>
          <w:color w:val="auto"/>
          <w:sz w:val="24"/>
          <w:szCs w:val="24"/>
          <w:highlight w:val="none"/>
        </w:rPr>
      </w:pPr>
      <w:r>
        <w:rPr>
          <w:rStyle w:val="19"/>
          <w:rFonts w:hint="eastAsia" w:ascii="Times New Roman" w:hAnsi="Times New Roman" w:eastAsia="Times New Roman" w:cs="Times New Roman"/>
          <w:color w:val="auto"/>
          <w:sz w:val="24"/>
          <w:szCs w:val="24"/>
          <w:highlight w:val="none"/>
          <w:lang w:val="en-US" w:bidi="en-US"/>
        </w:rPr>
        <w:t>9.1.1</w:t>
      </w:r>
      <w:r>
        <w:rPr>
          <w:rStyle w:val="19"/>
          <w:rFonts w:hint="default" w:hAnsi="Times New Roman" w:cs="Times New Roman"/>
          <w:color w:val="auto"/>
          <w:sz w:val="24"/>
          <w:szCs w:val="24"/>
          <w:highlight w:val="none"/>
        </w:rPr>
        <w:t>发包人应按合同约定履行安全职责，发包人委托监理人根据国家有关安全的法律、法规、强制性标准以及部门规章，对承包人的安全责任履行情况进行监督和检查。监理人的监督检查不减轻承包人应负的安全责任。</w:t>
      </w:r>
    </w:p>
    <w:p w14:paraId="3E57B3BB">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eastAsia" w:ascii="Times New Roman" w:hAnsi="Times New Roman" w:eastAsia="Times New Roman" w:cs="Times New Roman"/>
          <w:color w:val="auto"/>
          <w:sz w:val="24"/>
          <w:szCs w:val="24"/>
          <w:highlight w:val="none"/>
        </w:rPr>
      </w:pPr>
      <w:r>
        <w:rPr>
          <w:rStyle w:val="19"/>
          <w:rFonts w:hint="eastAsia" w:ascii="Times New Roman" w:hAnsi="Times New Roman" w:eastAsia="Times New Roman" w:cs="Times New Roman"/>
          <w:color w:val="auto"/>
          <w:sz w:val="24"/>
          <w:szCs w:val="24"/>
          <w:highlight w:val="none"/>
          <w:lang w:val="en-US" w:bidi="en-US"/>
        </w:rPr>
        <w:t>9.1.2</w:t>
      </w:r>
      <w:r>
        <w:rPr>
          <w:rStyle w:val="19"/>
          <w:rFonts w:hint="default" w:hAnsi="Times New Roman" w:cs="Times New Roman"/>
          <w:color w:val="auto"/>
          <w:sz w:val="24"/>
          <w:szCs w:val="24"/>
          <w:highlight w:val="none"/>
        </w:rPr>
        <w:t>发包人应对其现场机构雇佣的全部人员的工伤事故承担责任，但由于承包人原因造成发包人人员工伤的，应由承包人承担责任。</w:t>
      </w:r>
    </w:p>
    <w:p w14:paraId="5473DE32">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eastAsia" w:ascii="Times New Roman" w:hAnsi="Times New Roman" w:eastAsia="Times New Roman" w:cs="Times New Roman"/>
          <w:color w:val="auto"/>
          <w:sz w:val="24"/>
          <w:szCs w:val="24"/>
          <w:highlight w:val="none"/>
        </w:rPr>
      </w:pPr>
      <w:r>
        <w:rPr>
          <w:rStyle w:val="19"/>
          <w:rFonts w:hint="eastAsia" w:ascii="Times New Roman" w:hAnsi="Times New Roman" w:eastAsia="Times New Roman" w:cs="Times New Roman"/>
          <w:color w:val="auto"/>
          <w:sz w:val="24"/>
          <w:szCs w:val="24"/>
          <w:highlight w:val="none"/>
          <w:lang w:val="en-US" w:bidi="en-US"/>
        </w:rPr>
        <w:t xml:space="preserve">9. 1. </w:t>
      </w:r>
      <w:r>
        <w:rPr>
          <w:rStyle w:val="19"/>
          <w:rFonts w:hint="eastAsia" w:ascii="Times New Roman" w:hAnsi="Times New Roman" w:eastAsia="Times New Roman" w:cs="Times New Roman"/>
          <w:color w:val="auto"/>
          <w:sz w:val="24"/>
          <w:szCs w:val="24"/>
          <w:highlight w:val="none"/>
        </w:rPr>
        <w:t>3</w:t>
      </w:r>
      <w:r>
        <w:rPr>
          <w:rStyle w:val="19"/>
          <w:rFonts w:hint="default" w:hAnsi="Times New Roman" w:cs="Times New Roman"/>
          <w:color w:val="auto"/>
          <w:sz w:val="24"/>
          <w:szCs w:val="24"/>
          <w:highlight w:val="none"/>
        </w:rPr>
        <w:t>发包人应负责赔偿以下各种情况造成的第三者人身伤亡和财产损失：</w:t>
      </w:r>
    </w:p>
    <w:p w14:paraId="35CD0ABE">
      <w:pPr>
        <w:pStyle w:val="31"/>
        <w:pageBreakBefore w:val="0"/>
        <w:widowControl w:val="0"/>
        <w:numPr>
          <w:ilvl w:val="0"/>
          <w:numId w:val="7"/>
        </w:numPr>
        <w:tabs>
          <w:tab w:val="left" w:pos="898"/>
        </w:tabs>
        <w:kinsoku/>
        <w:wordWrap/>
        <w:overflowPunct/>
        <w:topLinePunct w:val="0"/>
        <w:autoSpaceDE/>
        <w:autoSpaceDN/>
        <w:bidi w:val="0"/>
        <w:adjustRightInd/>
        <w:snapToGrid/>
        <w:spacing w:beforeLines="0" w:afterLines="0" w:line="440" w:lineRule="exact"/>
        <w:ind w:firstLine="420"/>
        <w:jc w:val="both"/>
        <w:textAlignment w:val="auto"/>
        <w:rPr>
          <w:rStyle w:val="19"/>
          <w:rFonts w:hint="eastAsia" w:ascii="Times New Roman" w:hAnsi="Times New Roman" w:eastAsia="Times New Roman" w:cs="Times New Roman"/>
          <w:color w:val="auto"/>
          <w:sz w:val="24"/>
          <w:szCs w:val="24"/>
          <w:highlight w:val="none"/>
        </w:rPr>
      </w:pPr>
      <w:bookmarkStart w:id="602" w:name="bookmark1126"/>
      <w:bookmarkEnd w:id="602"/>
      <w:r>
        <w:rPr>
          <w:rStyle w:val="19"/>
          <w:rFonts w:hint="default" w:hAnsi="Times New Roman" w:cs="Times New Roman"/>
          <w:color w:val="auto"/>
          <w:sz w:val="24"/>
          <w:szCs w:val="24"/>
          <w:highlight w:val="none"/>
        </w:rPr>
        <w:t>工程或工程的任何部分对土地的占用所造成的第三者财产损失；</w:t>
      </w:r>
    </w:p>
    <w:p w14:paraId="6CC08FC4">
      <w:pPr>
        <w:pStyle w:val="31"/>
        <w:pageBreakBefore w:val="0"/>
        <w:widowControl w:val="0"/>
        <w:numPr>
          <w:ilvl w:val="0"/>
          <w:numId w:val="7"/>
        </w:numPr>
        <w:tabs>
          <w:tab w:val="left" w:pos="898"/>
        </w:tabs>
        <w:kinsoku/>
        <w:wordWrap/>
        <w:overflowPunct/>
        <w:topLinePunct w:val="0"/>
        <w:autoSpaceDE/>
        <w:autoSpaceDN/>
        <w:bidi w:val="0"/>
        <w:adjustRightInd/>
        <w:snapToGrid/>
        <w:spacing w:beforeLines="0" w:afterLines="0" w:line="440" w:lineRule="exact"/>
        <w:ind w:firstLine="420"/>
        <w:jc w:val="both"/>
        <w:textAlignment w:val="auto"/>
        <w:rPr>
          <w:rStyle w:val="19"/>
          <w:rFonts w:hint="eastAsia" w:ascii="Times New Roman" w:hAnsi="Times New Roman" w:eastAsia="Times New Roman" w:cs="Times New Roman"/>
          <w:color w:val="auto"/>
          <w:sz w:val="24"/>
          <w:szCs w:val="24"/>
          <w:highlight w:val="none"/>
        </w:rPr>
      </w:pPr>
      <w:bookmarkStart w:id="603" w:name="bookmark1127"/>
      <w:bookmarkEnd w:id="603"/>
      <w:r>
        <w:rPr>
          <w:rStyle w:val="19"/>
          <w:rFonts w:hint="default" w:hAnsi="Times New Roman" w:cs="Times New Roman"/>
          <w:color w:val="auto"/>
          <w:sz w:val="24"/>
          <w:szCs w:val="24"/>
          <w:highlight w:val="none"/>
        </w:rPr>
        <w:t>由于发包人原因在施工场地及其毗邻地带造成的第三者人身伤亡和财产损失。</w:t>
      </w:r>
    </w:p>
    <w:p w14:paraId="5E32A936">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9.1.4</w:t>
      </w:r>
      <w:r>
        <w:rPr>
          <w:rStyle w:val="19"/>
          <w:rFonts w:hint="default"/>
          <w:color w:val="auto"/>
          <w:sz w:val="24"/>
          <w:szCs w:val="20"/>
          <w:highlight w:val="none"/>
        </w:rPr>
        <w:t>除专用合同条款另有约定外，发包人负责向承包人提供施工现场及施工可能影响的毗邻区域内供水、排水、供电、供气、供热、通信、广播电视等地下管线资料，气象 和水文观测资料，拟建工程可能影响的相邻建筑物地下工程的有关资料，并保证有关资料的真实、准确、完整，满足有关技术规程的要求。</w:t>
      </w:r>
    </w:p>
    <w:p w14:paraId="0BF72645">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9.1.5</w:t>
      </w:r>
      <w:r>
        <w:rPr>
          <w:rStyle w:val="19"/>
          <w:rFonts w:hint="default"/>
          <w:color w:val="auto"/>
          <w:sz w:val="24"/>
          <w:szCs w:val="20"/>
          <w:highlight w:val="none"/>
        </w:rPr>
        <w:t>发包人按照已标价工程量清单所列金额和合同约定的计量支付规定，支付安全作业环境及安全施工措施所需费用。</w:t>
      </w:r>
    </w:p>
    <w:p w14:paraId="6325E43A">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9.1.6</w:t>
      </w:r>
      <w:r>
        <w:rPr>
          <w:rStyle w:val="19"/>
          <w:rFonts w:hint="default"/>
          <w:color w:val="auto"/>
          <w:sz w:val="24"/>
          <w:szCs w:val="20"/>
          <w:highlight w:val="none"/>
        </w:rPr>
        <w:t>发包人负责组织工程参建单位编制保证安全生产的措施方案。工程开工前，就 落实安全生产的措施进行全面系统的布置，进一步明确承包人的安全生产责任。</w:t>
      </w:r>
    </w:p>
    <w:p w14:paraId="09B6FBA3">
      <w:pPr>
        <w:pStyle w:val="31"/>
        <w:pageBreakBefore w:val="0"/>
        <w:widowControl w:val="0"/>
        <w:kinsoku/>
        <w:wordWrap/>
        <w:overflowPunct/>
        <w:topLinePunct w:val="0"/>
        <w:autoSpaceDE/>
        <w:autoSpaceDN/>
        <w:bidi w:val="0"/>
        <w:adjustRightInd/>
        <w:snapToGrid/>
        <w:spacing w:beforeLines="0" w:after="16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9.1.7</w:t>
      </w:r>
      <w:r>
        <w:rPr>
          <w:rStyle w:val="19"/>
          <w:rFonts w:hint="default"/>
          <w:color w:val="auto"/>
          <w:sz w:val="24"/>
          <w:szCs w:val="20"/>
          <w:highlight w:val="none"/>
        </w:rPr>
        <w:t>发包人负责在拆除工程和爆破工程施工</w:t>
      </w:r>
      <w:r>
        <w:rPr>
          <w:rStyle w:val="19"/>
          <w:rFonts w:hint="eastAsia" w:ascii="Times New Roman" w:hAnsi="Times New Roman" w:eastAsia="Times New Roman" w:cs="Times New Roman"/>
          <w:color w:val="auto"/>
          <w:sz w:val="24"/>
          <w:szCs w:val="24"/>
          <w:highlight w:val="none"/>
        </w:rPr>
        <w:t>14</w:t>
      </w:r>
      <w:r>
        <w:rPr>
          <w:rStyle w:val="19"/>
          <w:rFonts w:hint="default"/>
          <w:color w:val="auto"/>
          <w:sz w:val="24"/>
          <w:szCs w:val="20"/>
          <w:highlight w:val="none"/>
        </w:rPr>
        <w:t>天前向有关部门或机构报送相关备案资料。</w:t>
      </w:r>
    </w:p>
    <w:p w14:paraId="6B8075BB">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604" w:name="_Toc256000071"/>
      <w:bookmarkStart w:id="605" w:name="bookmark1130"/>
      <w:bookmarkStart w:id="606" w:name="_Toc32671"/>
      <w:bookmarkStart w:id="607" w:name="bookmark1129"/>
      <w:bookmarkStart w:id="608" w:name="_Toc920"/>
      <w:bookmarkStart w:id="609" w:name="bookmark1128"/>
      <w:r>
        <w:rPr>
          <w:rStyle w:val="19"/>
          <w:rFonts w:hint="default" w:ascii="宋体" w:hAnsi="宋体" w:eastAsia="宋体"/>
          <w:color w:val="auto"/>
          <w:sz w:val="24"/>
          <w:szCs w:val="20"/>
          <w:highlight w:val="none"/>
          <w:lang w:eastAsia="zh-CN"/>
        </w:rPr>
        <w:t>9.2承包人的施工安全责任</w:t>
      </w:r>
      <w:bookmarkEnd w:id="604"/>
      <w:bookmarkEnd w:id="605"/>
      <w:bookmarkEnd w:id="606"/>
      <w:bookmarkEnd w:id="607"/>
      <w:bookmarkEnd w:id="608"/>
      <w:bookmarkEnd w:id="609"/>
    </w:p>
    <w:p w14:paraId="395E969A">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9.2.1</w:t>
      </w:r>
      <w:r>
        <w:rPr>
          <w:rStyle w:val="19"/>
          <w:rFonts w:hint="default"/>
          <w:color w:val="auto"/>
          <w:sz w:val="24"/>
          <w:szCs w:val="20"/>
          <w:highlight w:val="none"/>
        </w:rPr>
        <w:t>承包人应按合同约定履行安全职责，执行监理人有关安全工作的指示。承包人应按技术标准和要求(合同技术条款)约定的内容和期限，以及监理人的指示，编制施工安全技术措施提交监理人审批。监理人应技术标准和要求(合同技术条款)约定的期限内 批复承包人。</w:t>
      </w:r>
    </w:p>
    <w:p w14:paraId="10E21E30">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9.2.2</w:t>
      </w:r>
      <w:r>
        <w:rPr>
          <w:rStyle w:val="19"/>
          <w:rFonts w:hint="default"/>
          <w:color w:val="auto"/>
          <w:sz w:val="24"/>
          <w:szCs w:val="20"/>
          <w:highlight w:val="none"/>
        </w:rPr>
        <w:t>承包人应加强施工作业安全管理，特别应加强易燃、易爆材料、火工器材、有毒与腐蚀性材料和其他危险品的管理，以及对爆破作业和地下工程施工等危险作业的管理。</w:t>
      </w:r>
    </w:p>
    <w:p w14:paraId="51E86BFD">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9.2.3</w:t>
      </w:r>
      <w:r>
        <w:rPr>
          <w:rStyle w:val="19"/>
          <w:rFonts w:hint="default"/>
          <w:color w:val="auto"/>
          <w:sz w:val="24"/>
          <w:szCs w:val="20"/>
          <w:highlight w:val="none"/>
        </w:rPr>
        <w:t>承包人应严格按照国家安全标准制定施工安全操作规程，配备必要的安全生产 和劳动保护设施，加强对承包人人员的安全教育，并发放安全工作手册和劳动保护用具。</w:t>
      </w:r>
    </w:p>
    <w:p w14:paraId="54935113">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9. 2.4</w:t>
      </w:r>
      <w:r>
        <w:rPr>
          <w:rStyle w:val="19"/>
          <w:rFonts w:hint="default"/>
          <w:color w:val="auto"/>
          <w:sz w:val="24"/>
          <w:szCs w:val="20"/>
          <w:highlight w:val="none"/>
        </w:rPr>
        <w:t>承包人应按监理人的指示制定应对灾害的紧急预案，报送监理人审批。承包人还应按预案做好安全检查，配置必要的救助物资和器材，切实保护好有关人员的人身和财产安全。</w:t>
      </w:r>
    </w:p>
    <w:p w14:paraId="686F9090">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9.2.5</w:t>
      </w:r>
      <w:r>
        <w:rPr>
          <w:rStyle w:val="19"/>
          <w:rFonts w:hint="default"/>
          <w:color w:val="auto"/>
          <w:sz w:val="24"/>
          <w:szCs w:val="20"/>
          <w:highlight w:val="none"/>
        </w:rPr>
        <w:t>合同约定的安全作业环境及安全施工措施所需费用应遵守有关规定，并包括在相关工作的合同价格中。因采取合同未约定的安全作业环境及安全施工措施增加的费用，由监理人按第</w:t>
      </w:r>
      <w:r>
        <w:rPr>
          <w:rStyle w:val="19"/>
          <w:rFonts w:hint="eastAsia" w:ascii="Times New Roman" w:hAnsi="Times New Roman" w:eastAsia="Times New Roman" w:cs="Times New Roman"/>
          <w:color w:val="auto"/>
          <w:sz w:val="24"/>
          <w:szCs w:val="24"/>
          <w:highlight w:val="none"/>
          <w:lang w:val="en-US" w:bidi="en-US"/>
        </w:rPr>
        <w:t xml:space="preserve">3. </w:t>
      </w:r>
      <w:r>
        <w:rPr>
          <w:rStyle w:val="19"/>
          <w:rFonts w:hint="eastAsia" w:ascii="Times New Roman" w:hAnsi="Times New Roman" w:eastAsia="Times New Roman" w:cs="Times New Roman"/>
          <w:color w:val="auto"/>
          <w:sz w:val="24"/>
          <w:szCs w:val="24"/>
          <w:highlight w:val="none"/>
        </w:rPr>
        <w:t>5</w:t>
      </w:r>
      <w:r>
        <w:rPr>
          <w:rStyle w:val="19"/>
          <w:rFonts w:hint="default"/>
          <w:color w:val="auto"/>
          <w:sz w:val="24"/>
          <w:szCs w:val="20"/>
          <w:highlight w:val="none"/>
        </w:rPr>
        <w:t>款商定或确定。</w:t>
      </w:r>
    </w:p>
    <w:p w14:paraId="3B06542A">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9.2.6</w:t>
      </w:r>
      <w:r>
        <w:rPr>
          <w:rStyle w:val="19"/>
          <w:rFonts w:hint="default"/>
          <w:color w:val="auto"/>
          <w:sz w:val="24"/>
          <w:szCs w:val="20"/>
          <w:highlight w:val="none"/>
        </w:rPr>
        <w:t>承包人应对其履行合同所雇佣的全部人员，包括分包人人员的工伤事故承担责任，但由于发包人原因造成承包人人员工伤事故的，应由发包人承担责任。</w:t>
      </w:r>
    </w:p>
    <w:p w14:paraId="7ED8C53C">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9.2.</w:t>
      </w:r>
      <w:r>
        <w:rPr>
          <w:rStyle w:val="19"/>
          <w:rFonts w:hint="eastAsia" w:ascii="Times New Roman" w:hAnsi="Times New Roman" w:eastAsia="Times New Roman" w:cs="Times New Roman"/>
          <w:color w:val="auto"/>
          <w:sz w:val="24"/>
          <w:szCs w:val="24"/>
          <w:highlight w:val="none"/>
        </w:rPr>
        <w:t>7</w:t>
      </w:r>
      <w:r>
        <w:rPr>
          <w:rStyle w:val="19"/>
          <w:rFonts w:hint="default"/>
          <w:color w:val="auto"/>
          <w:sz w:val="24"/>
          <w:szCs w:val="20"/>
          <w:highlight w:val="none"/>
        </w:rPr>
        <w:t>由于承包人原因在施工场地内及其毗邻地带造成的第三者人员伤亡和财产损失，由承包人负责赔偿。</w:t>
      </w:r>
    </w:p>
    <w:p w14:paraId="3AEEFCCA">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9.2.</w:t>
      </w:r>
      <w:r>
        <w:rPr>
          <w:rStyle w:val="19"/>
          <w:rFonts w:hint="eastAsia" w:ascii="Times New Roman" w:hAnsi="Times New Roman" w:eastAsia="Times New Roman" w:cs="Times New Roman"/>
          <w:color w:val="auto"/>
          <w:sz w:val="24"/>
          <w:szCs w:val="24"/>
          <w:highlight w:val="none"/>
        </w:rPr>
        <w:t>8</w:t>
      </w:r>
      <w:r>
        <w:rPr>
          <w:rStyle w:val="19"/>
          <w:rFonts w:hint="default"/>
          <w:color w:val="auto"/>
          <w:sz w:val="24"/>
          <w:szCs w:val="20"/>
          <w:highlight w:val="none"/>
        </w:rPr>
        <w:t>承包人已标价工程量清单应包含工程安全作业环境及安全施工措施所需费用。</w:t>
      </w:r>
    </w:p>
    <w:p w14:paraId="005B74A6">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9.2.9</w:t>
      </w:r>
      <w:r>
        <w:rPr>
          <w:rStyle w:val="19"/>
          <w:rFonts w:hint="default"/>
          <w:color w:val="auto"/>
          <w:sz w:val="24"/>
          <w:szCs w:val="20"/>
          <w:highlight w:val="none"/>
        </w:rPr>
        <w:t>承包人应建立健全安全生产责任制度和安全生产教育培训制度，制定安全生产 规章制度和操作规程，保证本单位建立和完善安全生产条件所需资金的投入，对本工程进行定期和专项安全检查，并做好安全检查记录。</w:t>
      </w:r>
    </w:p>
    <w:p w14:paraId="711C55C7">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 xml:space="preserve">9. 2. </w:t>
      </w:r>
      <w:r>
        <w:rPr>
          <w:rStyle w:val="19"/>
          <w:rFonts w:hint="eastAsia" w:ascii="Times New Roman" w:hAnsi="Times New Roman" w:eastAsia="Times New Roman" w:cs="Times New Roman"/>
          <w:color w:val="auto"/>
          <w:sz w:val="24"/>
          <w:szCs w:val="24"/>
          <w:highlight w:val="none"/>
        </w:rPr>
        <w:t>10</w:t>
      </w:r>
      <w:r>
        <w:rPr>
          <w:rStyle w:val="19"/>
          <w:rFonts w:hint="default"/>
          <w:color w:val="auto"/>
          <w:sz w:val="24"/>
          <w:szCs w:val="20"/>
          <w:highlight w:val="none"/>
        </w:rPr>
        <w:t>承包人应设立安全生产管理机构，施工现场应有专职安全生产管理人员。</w:t>
      </w:r>
    </w:p>
    <w:p w14:paraId="7A6C0608">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9. 2.11</w:t>
      </w:r>
      <w:r>
        <w:rPr>
          <w:rStyle w:val="19"/>
          <w:rFonts w:hint="default"/>
          <w:color w:val="auto"/>
          <w:sz w:val="24"/>
          <w:szCs w:val="20"/>
          <w:highlight w:val="none"/>
        </w:rPr>
        <w:t>承包人应负责对特种作业人员进行专门的安全作业培训，并保证特种作业人员持证上岗。</w:t>
      </w:r>
    </w:p>
    <w:p w14:paraId="540A3545">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 xml:space="preserve">9. 2. </w:t>
      </w:r>
      <w:r>
        <w:rPr>
          <w:rStyle w:val="19"/>
          <w:rFonts w:hint="eastAsia" w:ascii="Times New Roman" w:hAnsi="Times New Roman" w:eastAsia="Times New Roman" w:cs="Times New Roman"/>
          <w:color w:val="auto"/>
          <w:sz w:val="24"/>
          <w:szCs w:val="24"/>
          <w:highlight w:val="none"/>
        </w:rPr>
        <w:t>12</w:t>
      </w:r>
      <w:r>
        <w:rPr>
          <w:rStyle w:val="19"/>
          <w:rFonts w:hint="default"/>
          <w:color w:val="auto"/>
          <w:sz w:val="24"/>
          <w:szCs w:val="20"/>
          <w:highlight w:val="none"/>
        </w:rPr>
        <w:t>承包人应在施工组织设计中编制安全技术措施和施工现场临时用电方案。对专用合同条款约定的工程，应编制专项施工方案报监理人批准。对专用合同条款约定的专项施工方案，还应组织专家进行论证、审查，其中专家</w:t>
      </w:r>
      <w:r>
        <w:rPr>
          <w:rStyle w:val="19"/>
          <w:rFonts w:hint="eastAsia" w:ascii="Times New Roman" w:hAnsi="Times New Roman" w:eastAsia="Times New Roman" w:cs="Times New Roman"/>
          <w:color w:val="auto"/>
          <w:sz w:val="24"/>
          <w:szCs w:val="24"/>
          <w:highlight w:val="none"/>
        </w:rPr>
        <w:t>1/2</w:t>
      </w:r>
      <w:r>
        <w:rPr>
          <w:rStyle w:val="19"/>
          <w:rFonts w:hint="default"/>
          <w:color w:val="auto"/>
          <w:sz w:val="24"/>
          <w:szCs w:val="20"/>
          <w:highlight w:val="none"/>
        </w:rPr>
        <w:t>人员应经发包人同意。</w:t>
      </w:r>
    </w:p>
    <w:p w14:paraId="5936B230">
      <w:pPr>
        <w:pStyle w:val="31"/>
        <w:pageBreakBefore w:val="0"/>
        <w:widowControl w:val="0"/>
        <w:kinsoku/>
        <w:wordWrap/>
        <w:overflowPunct/>
        <w:topLinePunct w:val="0"/>
        <w:autoSpaceDE/>
        <w:autoSpaceDN/>
        <w:bidi w:val="0"/>
        <w:adjustRightInd/>
        <w:snapToGrid/>
        <w:spacing w:beforeLines="0" w:after="14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 xml:space="preserve">9. 2. </w:t>
      </w:r>
      <w:r>
        <w:rPr>
          <w:rStyle w:val="19"/>
          <w:rFonts w:hint="eastAsia" w:ascii="Times New Roman" w:hAnsi="Times New Roman" w:eastAsia="Times New Roman" w:cs="Times New Roman"/>
          <w:color w:val="auto"/>
          <w:sz w:val="24"/>
          <w:szCs w:val="24"/>
          <w:highlight w:val="none"/>
        </w:rPr>
        <w:t>13</w:t>
      </w:r>
      <w:r>
        <w:rPr>
          <w:rStyle w:val="19"/>
          <w:rFonts w:hint="default"/>
          <w:color w:val="auto"/>
          <w:sz w:val="24"/>
          <w:szCs w:val="20"/>
          <w:highlight w:val="none"/>
        </w:rPr>
        <w:t>承包人在使用施工起重机构和整体提升脚手架、模板等自升式架设设施前, 应组织有关单位进行验收。</w:t>
      </w:r>
    </w:p>
    <w:p w14:paraId="198E00EA">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610" w:name="_Toc17287"/>
      <w:bookmarkStart w:id="611" w:name="bookmark1133"/>
      <w:bookmarkStart w:id="612" w:name="bookmark1132"/>
      <w:bookmarkStart w:id="613" w:name="bookmark1131"/>
      <w:bookmarkStart w:id="614" w:name="_Toc24520"/>
      <w:bookmarkStart w:id="615" w:name="_Toc256000072"/>
      <w:r>
        <w:rPr>
          <w:rStyle w:val="19"/>
          <w:rFonts w:hint="default" w:ascii="宋体" w:hAnsi="宋体" w:eastAsia="宋体"/>
          <w:color w:val="auto"/>
          <w:sz w:val="24"/>
          <w:szCs w:val="20"/>
          <w:highlight w:val="none"/>
          <w:lang w:eastAsia="zh-CN"/>
        </w:rPr>
        <w:t>9.3治安保卫</w:t>
      </w:r>
      <w:bookmarkEnd w:id="610"/>
      <w:bookmarkEnd w:id="611"/>
      <w:bookmarkEnd w:id="612"/>
      <w:bookmarkEnd w:id="613"/>
      <w:bookmarkEnd w:id="614"/>
      <w:bookmarkEnd w:id="615"/>
    </w:p>
    <w:p w14:paraId="1DAF770F">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9.3.1</w:t>
      </w:r>
      <w:r>
        <w:rPr>
          <w:rStyle w:val="19"/>
          <w:rFonts w:hint="default"/>
          <w:color w:val="auto"/>
          <w:sz w:val="24"/>
          <w:szCs w:val="20"/>
          <w:highlight w:val="none"/>
        </w:rPr>
        <w:t>除合同另有约定外，发包人应与当地公安部门协商，在现场建立治安管理机构或联防组织，统一管理施工场地的治安保卫事项，履行合同工程的治安保卫职责。</w:t>
      </w:r>
    </w:p>
    <w:p w14:paraId="7FAC8F2F">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9.3.</w:t>
      </w:r>
      <w:r>
        <w:rPr>
          <w:rStyle w:val="19"/>
          <w:rFonts w:hint="eastAsia" w:ascii="Times New Roman" w:hAnsi="Times New Roman" w:eastAsia="Times New Roman" w:cs="Times New Roman"/>
          <w:color w:val="auto"/>
          <w:sz w:val="24"/>
          <w:szCs w:val="24"/>
          <w:highlight w:val="none"/>
        </w:rPr>
        <w:t>2</w:t>
      </w:r>
      <w:r>
        <w:rPr>
          <w:rStyle w:val="19"/>
          <w:rFonts w:hint="default"/>
          <w:color w:val="auto"/>
          <w:sz w:val="24"/>
          <w:szCs w:val="20"/>
          <w:highlight w:val="none"/>
        </w:rPr>
        <w:t>发包人和承包人除应协助现场治安管理机构或联防组织维护施工场地的社会治安外，还应做好包括生活区在内的各自管辖区的治安保卫工作。</w:t>
      </w:r>
    </w:p>
    <w:p w14:paraId="78C44488">
      <w:pPr>
        <w:pStyle w:val="31"/>
        <w:pageBreakBefore w:val="0"/>
        <w:widowControl w:val="0"/>
        <w:kinsoku/>
        <w:wordWrap/>
        <w:overflowPunct/>
        <w:topLinePunct w:val="0"/>
        <w:autoSpaceDE/>
        <w:autoSpaceDN/>
        <w:bidi w:val="0"/>
        <w:adjustRightInd/>
        <w:snapToGrid/>
        <w:spacing w:beforeLines="0" w:after="14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9.3.3</w:t>
      </w:r>
      <w:r>
        <w:rPr>
          <w:rStyle w:val="19"/>
          <w:rFonts w:hint="default"/>
          <w:color w:val="auto"/>
          <w:sz w:val="24"/>
          <w:szCs w:val="20"/>
          <w:highlight w:val="none"/>
        </w:rPr>
        <w:t>除合同另有约定外，发包人和承包人应在工程开工后，共同编制施工场地治安管理计划，并制定应对突发治安事件的紧急预案。在工程施工过程中，发生暴乱、爆炸等恐怖事件，以及群殴、械斗等群体性突发治安事件的，发包人和承包人应立即向当地政府报告。发包人和承包人应积极协助当地有关部门采取措施平息事态，防止事态扩大，尽量减少财产损失和避免人员伤亡。</w:t>
      </w:r>
    </w:p>
    <w:p w14:paraId="578588F3">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616" w:name="_Toc19282"/>
      <w:bookmarkStart w:id="617" w:name="bookmark1135"/>
      <w:bookmarkStart w:id="618" w:name="_Toc24105"/>
      <w:bookmarkStart w:id="619" w:name="bookmark1136"/>
      <w:bookmarkStart w:id="620" w:name="_Toc256000073"/>
      <w:bookmarkStart w:id="621" w:name="bookmark1134"/>
      <w:r>
        <w:rPr>
          <w:rStyle w:val="19"/>
          <w:rFonts w:hint="default" w:ascii="宋体" w:hAnsi="宋体" w:eastAsia="宋体"/>
          <w:color w:val="auto"/>
          <w:sz w:val="24"/>
          <w:szCs w:val="20"/>
          <w:highlight w:val="none"/>
          <w:lang w:eastAsia="zh-CN"/>
        </w:rPr>
        <w:t>9.4环境保护</w:t>
      </w:r>
      <w:bookmarkEnd w:id="616"/>
      <w:bookmarkEnd w:id="617"/>
      <w:bookmarkEnd w:id="618"/>
      <w:bookmarkEnd w:id="619"/>
      <w:bookmarkEnd w:id="620"/>
      <w:bookmarkEnd w:id="621"/>
    </w:p>
    <w:p w14:paraId="33C14E7E">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9.4.1</w:t>
      </w:r>
      <w:r>
        <w:rPr>
          <w:rStyle w:val="19"/>
          <w:rFonts w:hint="default"/>
          <w:color w:val="auto"/>
          <w:sz w:val="24"/>
          <w:szCs w:val="20"/>
          <w:highlight w:val="none"/>
        </w:rPr>
        <w:t>承包人在施工过程中，应遵守有关环境保护的法律，履行合同约定的环境保护义务，并对违反法律和合同约定义务所造成的环境破坏、人身伤害和财产损失负责。</w:t>
      </w:r>
    </w:p>
    <w:p w14:paraId="1A0FCF43">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9.4.2</w:t>
      </w:r>
      <w:r>
        <w:rPr>
          <w:rStyle w:val="19"/>
          <w:rFonts w:hint="default"/>
          <w:color w:val="auto"/>
          <w:sz w:val="24"/>
          <w:szCs w:val="20"/>
          <w:highlight w:val="none"/>
        </w:rPr>
        <w:t>承包人应按合同约定的环保工作内容，编制施工环保措施计划，报送监理人审批。</w:t>
      </w:r>
    </w:p>
    <w:p w14:paraId="6BA9AAFB">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9.4.3</w:t>
      </w:r>
      <w:r>
        <w:rPr>
          <w:rStyle w:val="19"/>
          <w:rFonts w:hint="default"/>
          <w:color w:val="auto"/>
          <w:sz w:val="24"/>
          <w:szCs w:val="20"/>
          <w:highlight w:val="none"/>
        </w:rPr>
        <w:t>承包人应按照批准的施工环保措施计划有序地堆放和处理施工废弃物，避免对环境造成破坏。因承包人任意堆放或弃置施工废弃物造成妨碍公共交通、影响城镇居民生活、降低河流行洪能力、危及居民安全、破坏周边环境，或者影响其他承包人施工等后果的，承包人应承担责任。</w:t>
      </w:r>
    </w:p>
    <w:p w14:paraId="68C679F3">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9.4.4</w:t>
      </w:r>
      <w:r>
        <w:rPr>
          <w:rStyle w:val="19"/>
          <w:rFonts w:hint="default"/>
          <w:color w:val="auto"/>
          <w:sz w:val="24"/>
          <w:szCs w:val="20"/>
          <w:highlight w:val="none"/>
        </w:rPr>
        <w:t>承包人应按合同约定采取有效措施，对施工开挖的边坡及时进行支护，维护排 水设施，并进行水土保护，避免因施工造成的地质灾害。</w:t>
      </w:r>
    </w:p>
    <w:p w14:paraId="2BED3865">
      <w:pPr>
        <w:pStyle w:val="31"/>
        <w:pageBreakBefore w:val="0"/>
        <w:widowControl w:val="0"/>
        <w:kinsoku/>
        <w:wordWrap/>
        <w:overflowPunct/>
        <w:topLinePunct w:val="0"/>
        <w:autoSpaceDE/>
        <w:autoSpaceDN/>
        <w:bidi w:val="0"/>
        <w:adjustRightInd/>
        <w:snapToGrid/>
        <w:spacing w:beforeLines="0" w:afterLines="0" w:line="440" w:lineRule="exact"/>
        <w:ind w:firstLine="420"/>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9.4.5</w:t>
      </w:r>
      <w:r>
        <w:rPr>
          <w:rStyle w:val="19"/>
          <w:rFonts w:hint="default"/>
          <w:color w:val="auto"/>
          <w:sz w:val="24"/>
          <w:szCs w:val="20"/>
          <w:highlight w:val="none"/>
        </w:rPr>
        <w:t>承包人应按国家饮用水管理标准定期对饮用水源进行监测，防止施工活动污染饮用水源。</w:t>
      </w:r>
    </w:p>
    <w:p w14:paraId="797D57B3">
      <w:pPr>
        <w:pStyle w:val="31"/>
        <w:pageBreakBefore w:val="0"/>
        <w:widowControl w:val="0"/>
        <w:kinsoku/>
        <w:wordWrap/>
        <w:overflowPunct/>
        <w:topLinePunct w:val="0"/>
        <w:autoSpaceDE/>
        <w:autoSpaceDN/>
        <w:bidi w:val="0"/>
        <w:adjustRightInd/>
        <w:snapToGrid/>
        <w:spacing w:beforeLines="0" w:after="12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9.4.6</w:t>
      </w:r>
      <w:r>
        <w:rPr>
          <w:rStyle w:val="19"/>
          <w:rFonts w:hint="default"/>
          <w:color w:val="auto"/>
          <w:sz w:val="24"/>
          <w:szCs w:val="20"/>
          <w:highlight w:val="none"/>
        </w:rPr>
        <w:t>承包人应按合同约定，加强对噪声、粉尘、废气、废水和废油的控制，努力降低噪声，控制粉尘和废气浓度，做好废水和废油的治理和排放。</w:t>
      </w:r>
    </w:p>
    <w:p w14:paraId="00CDAB31">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622" w:name="bookmark1139"/>
      <w:bookmarkStart w:id="623" w:name="bookmark1138"/>
      <w:bookmarkStart w:id="624" w:name="bookmark1137"/>
      <w:bookmarkStart w:id="625" w:name="_Toc486"/>
      <w:bookmarkStart w:id="626" w:name="_Toc256000074"/>
      <w:bookmarkStart w:id="627" w:name="_Toc1363"/>
      <w:r>
        <w:rPr>
          <w:rStyle w:val="19"/>
          <w:rFonts w:hint="default" w:ascii="宋体" w:hAnsi="宋体" w:eastAsia="宋体"/>
          <w:color w:val="auto"/>
          <w:sz w:val="24"/>
          <w:szCs w:val="20"/>
          <w:highlight w:val="none"/>
          <w:lang w:eastAsia="zh-CN"/>
        </w:rPr>
        <w:t>9.5事故处理</w:t>
      </w:r>
      <w:bookmarkEnd w:id="622"/>
      <w:bookmarkEnd w:id="623"/>
      <w:bookmarkEnd w:id="624"/>
      <w:bookmarkEnd w:id="625"/>
      <w:bookmarkEnd w:id="626"/>
      <w:bookmarkEnd w:id="627"/>
    </w:p>
    <w:p w14:paraId="64A49AF5">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9.5.1</w:t>
      </w:r>
      <w:r>
        <w:rPr>
          <w:rStyle w:val="19"/>
          <w:rFonts w:hint="default"/>
          <w:color w:val="auto"/>
          <w:sz w:val="24"/>
          <w:szCs w:val="20"/>
          <w:highlight w:val="none"/>
        </w:rPr>
        <w:t>发包人负责组织参建单位制定本工程的质量与安全事故应急预案，建立质量与安全事故应急处置指挥部。</w:t>
      </w:r>
    </w:p>
    <w:p w14:paraId="64C82E16">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9.5.2</w:t>
      </w:r>
      <w:r>
        <w:rPr>
          <w:rStyle w:val="19"/>
          <w:rFonts w:hint="default"/>
          <w:color w:val="auto"/>
          <w:sz w:val="24"/>
          <w:szCs w:val="20"/>
          <w:highlight w:val="none"/>
        </w:rPr>
        <w:t>承包人应对施工现场易发生重大事故的部位、环节的进行监控，配备救援器材、设备，并定期组织演练。</w:t>
      </w:r>
    </w:p>
    <w:p w14:paraId="407B2BB9">
      <w:pPr>
        <w:pStyle w:val="31"/>
        <w:pageBreakBefore w:val="0"/>
        <w:widowControl w:val="0"/>
        <w:kinsoku/>
        <w:wordWrap/>
        <w:overflowPunct/>
        <w:topLinePunct w:val="0"/>
        <w:autoSpaceDE/>
        <w:autoSpaceDN/>
        <w:bidi w:val="0"/>
        <w:adjustRightInd/>
        <w:snapToGrid/>
        <w:spacing w:beforeLines="0" w:after="12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9.5.3</w:t>
      </w:r>
      <w:r>
        <w:rPr>
          <w:rStyle w:val="19"/>
          <w:rFonts w:hint="default"/>
          <w:color w:val="auto"/>
          <w:sz w:val="24"/>
          <w:szCs w:val="20"/>
          <w:highlight w:val="none"/>
        </w:rPr>
        <w:t>工程开工前，承包人应根据本工程特点制定施工现场施工质量与安全事故应急预案，并报发包人备案。</w:t>
      </w:r>
    </w:p>
    <w:p w14:paraId="1516AD9D">
      <w:pPr>
        <w:pStyle w:val="31"/>
        <w:pageBreakBefore w:val="0"/>
        <w:widowControl w:val="0"/>
        <w:kinsoku/>
        <w:wordWrap/>
        <w:overflowPunct/>
        <w:topLinePunct w:val="0"/>
        <w:autoSpaceDE/>
        <w:autoSpaceDN/>
        <w:bidi w:val="0"/>
        <w:adjustRightInd/>
        <w:snapToGrid/>
        <w:spacing w:beforeLines="0" w:afterLines="0" w:line="440" w:lineRule="exact"/>
        <w:ind w:firstLine="420"/>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9.5.4</w:t>
      </w:r>
      <w:r>
        <w:rPr>
          <w:rStyle w:val="19"/>
          <w:rFonts w:hint="default"/>
          <w:color w:val="auto"/>
          <w:sz w:val="24"/>
          <w:szCs w:val="20"/>
          <w:highlight w:val="none"/>
        </w:rPr>
        <w:t>施工过程中发生事故时，发包人、承包人应立即启动应急预案。</w:t>
      </w:r>
    </w:p>
    <w:p w14:paraId="277E3E47">
      <w:pPr>
        <w:pStyle w:val="31"/>
        <w:pageBreakBefore w:val="0"/>
        <w:widowControl w:val="0"/>
        <w:kinsoku/>
        <w:wordWrap/>
        <w:overflowPunct/>
        <w:topLinePunct w:val="0"/>
        <w:autoSpaceDE/>
        <w:autoSpaceDN/>
        <w:bidi w:val="0"/>
        <w:adjustRightInd/>
        <w:snapToGrid/>
        <w:spacing w:beforeLines="0" w:after="120" w:afterLines="0" w:line="440" w:lineRule="exact"/>
        <w:ind w:firstLine="420"/>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9.5.5</w:t>
      </w:r>
      <w:r>
        <w:rPr>
          <w:rStyle w:val="19"/>
          <w:rFonts w:hint="default"/>
          <w:color w:val="auto"/>
          <w:sz w:val="24"/>
          <w:szCs w:val="20"/>
          <w:highlight w:val="none"/>
        </w:rPr>
        <w:t>事故调查处理由发包人按相关规定履行手续，承包人应配合。</w:t>
      </w:r>
    </w:p>
    <w:p w14:paraId="5B0149A9">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628" w:name="_Toc256000075"/>
      <w:bookmarkStart w:id="629" w:name="bookmark1142"/>
      <w:bookmarkStart w:id="630" w:name="bookmark1140"/>
      <w:bookmarkStart w:id="631" w:name="_Toc10912"/>
      <w:bookmarkStart w:id="632" w:name="bookmark1141"/>
      <w:bookmarkStart w:id="633" w:name="_Toc1975"/>
      <w:r>
        <w:rPr>
          <w:rStyle w:val="19"/>
          <w:rFonts w:hint="default" w:ascii="宋体" w:hAnsi="宋体" w:eastAsia="宋体"/>
          <w:color w:val="auto"/>
          <w:sz w:val="24"/>
          <w:szCs w:val="20"/>
          <w:highlight w:val="none"/>
          <w:lang w:eastAsia="zh-CN"/>
        </w:rPr>
        <w:t>9.6水土保持</w:t>
      </w:r>
      <w:bookmarkEnd w:id="628"/>
      <w:bookmarkEnd w:id="629"/>
      <w:bookmarkEnd w:id="630"/>
      <w:bookmarkEnd w:id="631"/>
      <w:bookmarkEnd w:id="632"/>
      <w:bookmarkEnd w:id="633"/>
    </w:p>
    <w:p w14:paraId="26DFD2F7">
      <w:pPr>
        <w:pStyle w:val="31"/>
        <w:pageBreakBefore w:val="0"/>
        <w:widowControl w:val="0"/>
        <w:kinsoku/>
        <w:wordWrap/>
        <w:overflowPunct/>
        <w:topLinePunct w:val="0"/>
        <w:autoSpaceDE/>
        <w:autoSpaceDN/>
        <w:bidi w:val="0"/>
        <w:adjustRightInd/>
        <w:snapToGrid/>
        <w:spacing w:beforeLines="0" w:afterLines="0" w:line="440" w:lineRule="exact"/>
        <w:ind w:firstLine="420"/>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9.6.</w:t>
      </w:r>
      <w:r>
        <w:rPr>
          <w:rStyle w:val="19"/>
          <w:rFonts w:hint="eastAsia" w:ascii="Times New Roman" w:hAnsi="Times New Roman" w:eastAsia="Times New Roman" w:cs="Times New Roman"/>
          <w:color w:val="auto"/>
          <w:sz w:val="24"/>
          <w:szCs w:val="24"/>
          <w:highlight w:val="none"/>
        </w:rPr>
        <w:t>1</w:t>
      </w:r>
      <w:r>
        <w:rPr>
          <w:rStyle w:val="19"/>
          <w:rFonts w:hint="default"/>
          <w:color w:val="auto"/>
          <w:sz w:val="24"/>
          <w:szCs w:val="20"/>
          <w:highlight w:val="none"/>
        </w:rPr>
        <w:t>发包人应及时向承包人提供水土保持方案。</w:t>
      </w:r>
    </w:p>
    <w:p w14:paraId="2BC83CA6">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9.6.2</w:t>
      </w:r>
      <w:r>
        <w:rPr>
          <w:rStyle w:val="19"/>
          <w:rFonts w:hint="default"/>
          <w:color w:val="auto"/>
          <w:sz w:val="24"/>
          <w:szCs w:val="20"/>
          <w:highlight w:val="none"/>
        </w:rPr>
        <w:t>承包人在施工过程中，应遵守有关水土保持的法律法规和规章，履行合同约定的水土保持义务，并对其违反法律和合同约定义务所造成的水土流失灾害、人身伤害和财 产损失负责。</w:t>
      </w:r>
    </w:p>
    <w:p w14:paraId="331E6E36">
      <w:pPr>
        <w:pStyle w:val="31"/>
        <w:pageBreakBefore w:val="0"/>
        <w:widowControl w:val="0"/>
        <w:kinsoku/>
        <w:wordWrap/>
        <w:overflowPunct/>
        <w:topLinePunct w:val="0"/>
        <w:autoSpaceDE/>
        <w:autoSpaceDN/>
        <w:bidi w:val="0"/>
        <w:adjustRightInd/>
        <w:snapToGrid/>
        <w:spacing w:beforeLines="0" w:after="12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9.6.3</w:t>
      </w:r>
      <w:r>
        <w:rPr>
          <w:rStyle w:val="19"/>
          <w:rFonts w:hint="default"/>
          <w:color w:val="auto"/>
          <w:sz w:val="24"/>
          <w:szCs w:val="20"/>
          <w:highlight w:val="none"/>
        </w:rPr>
        <w:t>承包人的水土保持措施计划，应满足技术标准和要求（合同技术条款）约定的要求。</w:t>
      </w:r>
    </w:p>
    <w:p w14:paraId="547892C7">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634" w:name="_Toc9534"/>
      <w:bookmarkStart w:id="635" w:name="bookmark1144"/>
      <w:bookmarkStart w:id="636" w:name="_Toc32599"/>
      <w:bookmarkStart w:id="637" w:name="bookmark1145"/>
      <w:bookmarkStart w:id="638" w:name="bookmark1143"/>
      <w:bookmarkStart w:id="639" w:name="_Toc256000076"/>
      <w:r>
        <w:rPr>
          <w:rStyle w:val="19"/>
          <w:rFonts w:hint="default" w:ascii="宋体" w:hAnsi="宋体" w:eastAsia="宋体"/>
          <w:color w:val="auto"/>
          <w:sz w:val="24"/>
          <w:szCs w:val="20"/>
          <w:highlight w:val="none"/>
          <w:lang w:eastAsia="zh-CN"/>
        </w:rPr>
        <w:t>9.7文明工地</w:t>
      </w:r>
      <w:bookmarkEnd w:id="634"/>
      <w:bookmarkEnd w:id="635"/>
      <w:bookmarkEnd w:id="636"/>
      <w:bookmarkEnd w:id="637"/>
      <w:bookmarkEnd w:id="638"/>
      <w:bookmarkEnd w:id="639"/>
    </w:p>
    <w:p w14:paraId="081071A1">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9.7.1</w:t>
      </w:r>
      <w:r>
        <w:rPr>
          <w:rStyle w:val="19"/>
          <w:rFonts w:hint="default"/>
          <w:color w:val="auto"/>
          <w:sz w:val="24"/>
          <w:szCs w:val="20"/>
          <w:highlight w:val="none"/>
        </w:rPr>
        <w:t>发包人应按专用合同条款的约定，负责建立创建文明建设工地的组织机构，制定创建文明建设工地的规划和办法。</w:t>
      </w:r>
    </w:p>
    <w:p w14:paraId="117C41EA">
      <w:pPr>
        <w:pStyle w:val="31"/>
        <w:pageBreakBefore w:val="0"/>
        <w:widowControl w:val="0"/>
        <w:kinsoku/>
        <w:wordWrap/>
        <w:overflowPunct/>
        <w:topLinePunct w:val="0"/>
        <w:autoSpaceDE/>
        <w:autoSpaceDN/>
        <w:bidi w:val="0"/>
        <w:adjustRightInd/>
        <w:snapToGrid/>
        <w:spacing w:beforeLines="0" w:after="12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9.7.2</w:t>
      </w:r>
      <w:r>
        <w:rPr>
          <w:rStyle w:val="19"/>
          <w:rFonts w:hint="default"/>
          <w:color w:val="auto"/>
          <w:sz w:val="24"/>
          <w:szCs w:val="20"/>
          <w:highlight w:val="none"/>
        </w:rPr>
        <w:t>承包人应按创建文明建设工地的规划和办法，履行职责，承担相应责任。所需费用应含在已标价工程量清单中。</w:t>
      </w:r>
    </w:p>
    <w:p w14:paraId="153DBE4D">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640" w:name="_Toc10413"/>
      <w:bookmarkStart w:id="641" w:name="_Toc2182"/>
      <w:bookmarkStart w:id="642" w:name="bookmark1147"/>
      <w:bookmarkStart w:id="643" w:name="_Toc256000077"/>
      <w:bookmarkStart w:id="644" w:name="bookmark1148"/>
      <w:bookmarkStart w:id="645" w:name="bookmark1146"/>
      <w:r>
        <w:rPr>
          <w:rStyle w:val="19"/>
          <w:rFonts w:hint="default" w:ascii="宋体" w:hAnsi="宋体" w:eastAsia="宋体"/>
          <w:color w:val="auto"/>
          <w:sz w:val="24"/>
          <w:szCs w:val="20"/>
          <w:highlight w:val="none"/>
          <w:lang w:eastAsia="zh-CN"/>
        </w:rPr>
        <w:t>9.8防汛度汛</w:t>
      </w:r>
      <w:bookmarkEnd w:id="640"/>
      <w:bookmarkEnd w:id="641"/>
      <w:bookmarkEnd w:id="642"/>
      <w:bookmarkEnd w:id="643"/>
      <w:bookmarkEnd w:id="644"/>
      <w:bookmarkEnd w:id="645"/>
    </w:p>
    <w:p w14:paraId="2205442F">
      <w:pPr>
        <w:pStyle w:val="31"/>
        <w:pageBreakBefore w:val="0"/>
        <w:widowControl w:val="0"/>
        <w:kinsoku/>
        <w:wordWrap/>
        <w:overflowPunct/>
        <w:topLinePunct w:val="0"/>
        <w:autoSpaceDE/>
        <w:autoSpaceDN/>
        <w:bidi w:val="0"/>
        <w:adjustRightInd/>
        <w:snapToGrid/>
        <w:spacing w:beforeLines="0" w:afterLines="0" w:line="440" w:lineRule="exact"/>
        <w:ind w:firstLine="420"/>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9.8.</w:t>
      </w:r>
      <w:r>
        <w:rPr>
          <w:rStyle w:val="19"/>
          <w:rFonts w:hint="eastAsia" w:ascii="Times New Roman" w:hAnsi="Times New Roman" w:eastAsia="Times New Roman" w:cs="Times New Roman"/>
          <w:color w:val="auto"/>
          <w:sz w:val="24"/>
          <w:szCs w:val="24"/>
          <w:highlight w:val="none"/>
        </w:rPr>
        <w:t>1</w:t>
      </w:r>
      <w:r>
        <w:rPr>
          <w:rStyle w:val="19"/>
          <w:rFonts w:hint="default"/>
          <w:color w:val="auto"/>
          <w:sz w:val="24"/>
          <w:szCs w:val="20"/>
          <w:highlight w:val="none"/>
        </w:rPr>
        <w:t>发包人负责组织工程参建单位编制本工程的度汛方案和措施。</w:t>
      </w:r>
    </w:p>
    <w:p w14:paraId="7604D687">
      <w:pPr>
        <w:pStyle w:val="31"/>
        <w:pageBreakBefore w:val="0"/>
        <w:widowControl w:val="0"/>
        <w:kinsoku/>
        <w:wordWrap/>
        <w:overflowPunct/>
        <w:topLinePunct w:val="0"/>
        <w:autoSpaceDE/>
        <w:autoSpaceDN/>
        <w:bidi w:val="0"/>
        <w:adjustRightInd/>
        <w:snapToGrid/>
        <w:spacing w:beforeLines="0" w:after="28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9.8.2</w:t>
      </w:r>
      <w:r>
        <w:rPr>
          <w:rStyle w:val="19"/>
          <w:rFonts w:hint="default"/>
          <w:color w:val="auto"/>
          <w:sz w:val="24"/>
          <w:szCs w:val="20"/>
          <w:highlight w:val="none"/>
        </w:rPr>
        <w:t>承包人应根据发包人编制的本工程度汛方案和措施，制定相应的度汛方案，报发包人批准后实施。</w:t>
      </w:r>
    </w:p>
    <w:p w14:paraId="61CD8ABC">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eastAsia"/>
          <w:color w:val="auto"/>
          <w:sz w:val="24"/>
          <w:szCs w:val="20"/>
          <w:highlight w:val="none"/>
          <w:lang w:eastAsia="zh-CN"/>
        </w:rPr>
      </w:pPr>
      <w:bookmarkStart w:id="646" w:name="bookmark1149"/>
      <w:bookmarkStart w:id="647" w:name="bookmark1151"/>
      <w:bookmarkStart w:id="648" w:name="_Toc256000078"/>
      <w:bookmarkStart w:id="649" w:name="bookmark1150"/>
      <w:bookmarkStart w:id="650" w:name="_Toc27960"/>
      <w:bookmarkStart w:id="651" w:name="_Toc14784"/>
      <w:r>
        <w:rPr>
          <w:rStyle w:val="19"/>
          <w:rFonts w:hint="eastAsia"/>
          <w:color w:val="auto"/>
          <w:sz w:val="24"/>
          <w:szCs w:val="20"/>
          <w:highlight w:val="none"/>
          <w:lang w:eastAsia="zh-CN"/>
        </w:rPr>
        <w:t>10.</w:t>
      </w:r>
      <w:r>
        <w:rPr>
          <w:rStyle w:val="19"/>
          <w:rFonts w:hint="default" w:ascii="宋体" w:eastAsia="宋体"/>
          <w:color w:val="auto"/>
          <w:sz w:val="24"/>
          <w:szCs w:val="20"/>
          <w:highlight w:val="none"/>
          <w:lang w:eastAsia="zh-CN"/>
        </w:rPr>
        <w:t>进度计划</w:t>
      </w:r>
      <w:bookmarkEnd w:id="646"/>
      <w:bookmarkEnd w:id="647"/>
      <w:bookmarkEnd w:id="648"/>
      <w:bookmarkEnd w:id="649"/>
      <w:bookmarkEnd w:id="650"/>
      <w:bookmarkEnd w:id="651"/>
    </w:p>
    <w:p w14:paraId="2615DAE6">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652" w:name="_Toc256000079"/>
      <w:bookmarkStart w:id="653" w:name="_Toc15277"/>
      <w:bookmarkStart w:id="654" w:name="bookmark1152"/>
      <w:bookmarkStart w:id="655" w:name="bookmark1153"/>
      <w:bookmarkStart w:id="656" w:name="bookmark1154"/>
      <w:bookmarkStart w:id="657" w:name="_Toc26167"/>
      <w:r>
        <w:rPr>
          <w:rStyle w:val="19"/>
          <w:rFonts w:hint="default" w:ascii="宋体" w:hAnsi="宋体" w:eastAsia="宋体"/>
          <w:color w:val="auto"/>
          <w:sz w:val="24"/>
          <w:szCs w:val="20"/>
          <w:highlight w:val="none"/>
          <w:lang w:eastAsia="zh-CN"/>
        </w:rPr>
        <w:t>10.1合同进度计划</w:t>
      </w:r>
      <w:bookmarkEnd w:id="652"/>
      <w:bookmarkEnd w:id="653"/>
      <w:bookmarkEnd w:id="654"/>
      <w:bookmarkEnd w:id="655"/>
      <w:bookmarkEnd w:id="656"/>
      <w:bookmarkEnd w:id="657"/>
    </w:p>
    <w:p w14:paraId="158D4FC8">
      <w:pPr>
        <w:pStyle w:val="31"/>
        <w:pageBreakBefore w:val="0"/>
        <w:widowControl w:val="0"/>
        <w:kinsoku/>
        <w:wordWrap/>
        <w:overflowPunct/>
        <w:topLinePunct w:val="0"/>
        <w:autoSpaceDE/>
        <w:autoSpaceDN/>
        <w:bidi w:val="0"/>
        <w:adjustRightInd/>
        <w:snapToGrid/>
        <w:spacing w:beforeLines="0" w:after="120" w:afterLines="0" w:line="440" w:lineRule="exact"/>
        <w:ind w:firstLine="420"/>
        <w:jc w:val="both"/>
        <w:textAlignment w:val="auto"/>
        <w:rPr>
          <w:rStyle w:val="19"/>
          <w:rFonts w:hint="default"/>
          <w:color w:val="auto"/>
          <w:sz w:val="24"/>
          <w:szCs w:val="20"/>
          <w:highlight w:val="none"/>
        </w:rPr>
      </w:pPr>
      <w:r>
        <w:rPr>
          <w:rStyle w:val="19"/>
          <w:rFonts w:hint="default"/>
          <w:color w:val="auto"/>
          <w:sz w:val="24"/>
          <w:szCs w:val="20"/>
          <w:highlight w:val="none"/>
        </w:rPr>
        <w:t>承包人应按技术标准和要求（合同技术条款）约定的内容和期限以及监理人的指示, 编制详细的施工总进度计划及其说明提交监理人审批。监理人应在技术标准和要求（合同 技术条款）约定的期限内批复承包人，否则该进度计划视为已得到批准。经监理人批准的 施工进度计划称为合同进度计划，是控制合同工程进度的依据。承包人还应根据合同进度计划，编制更为详细的分阶段或单位工程或分部工程进度计划，报监理人审批。</w:t>
      </w:r>
    </w:p>
    <w:p w14:paraId="6CC82C3B">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658" w:name="_Toc27886"/>
      <w:bookmarkStart w:id="659" w:name="bookmark1156"/>
      <w:bookmarkStart w:id="660" w:name="_Toc256000080"/>
      <w:bookmarkStart w:id="661" w:name="bookmark1155"/>
      <w:bookmarkStart w:id="662" w:name="_Toc8733"/>
      <w:bookmarkStart w:id="663" w:name="bookmark1157"/>
      <w:r>
        <w:rPr>
          <w:rStyle w:val="19"/>
          <w:rFonts w:hint="default" w:ascii="宋体" w:hAnsi="宋体" w:eastAsia="宋体"/>
          <w:color w:val="auto"/>
          <w:sz w:val="24"/>
          <w:szCs w:val="20"/>
          <w:highlight w:val="none"/>
          <w:lang w:eastAsia="zh-CN"/>
        </w:rPr>
        <w:t>10.2合同进度计划的修订</w:t>
      </w:r>
      <w:bookmarkEnd w:id="658"/>
      <w:bookmarkEnd w:id="659"/>
      <w:bookmarkEnd w:id="660"/>
      <w:bookmarkEnd w:id="661"/>
      <w:bookmarkEnd w:id="662"/>
      <w:bookmarkEnd w:id="663"/>
    </w:p>
    <w:p w14:paraId="37F0409D">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default"/>
          <w:color w:val="auto"/>
          <w:sz w:val="24"/>
          <w:szCs w:val="20"/>
          <w:highlight w:val="none"/>
        </w:rPr>
      </w:pPr>
      <w:r>
        <w:rPr>
          <w:rStyle w:val="19"/>
          <w:rFonts w:hint="default"/>
          <w:color w:val="auto"/>
          <w:sz w:val="24"/>
          <w:szCs w:val="20"/>
          <w:highlight w:val="none"/>
        </w:rPr>
        <w:t>不论何种原因造成工程的实际进度与第</w:t>
      </w:r>
      <w:r>
        <w:rPr>
          <w:rStyle w:val="19"/>
          <w:rFonts w:hint="eastAsia" w:ascii="Times New Roman" w:hAnsi="Times New Roman" w:eastAsia="Times New Roman" w:cs="Times New Roman"/>
          <w:color w:val="auto"/>
          <w:sz w:val="24"/>
          <w:szCs w:val="24"/>
          <w:highlight w:val="none"/>
          <w:lang w:val="en-US" w:bidi="en-US"/>
        </w:rPr>
        <w:t xml:space="preserve">10. </w:t>
      </w:r>
      <w:r>
        <w:rPr>
          <w:rStyle w:val="19"/>
          <w:rFonts w:hint="eastAsia" w:ascii="Times New Roman" w:hAnsi="Times New Roman" w:eastAsia="Times New Roman" w:cs="Times New Roman"/>
          <w:color w:val="auto"/>
          <w:sz w:val="24"/>
          <w:szCs w:val="24"/>
          <w:highlight w:val="none"/>
        </w:rPr>
        <w:t>1</w:t>
      </w:r>
      <w:r>
        <w:rPr>
          <w:rStyle w:val="19"/>
          <w:rFonts w:hint="default"/>
          <w:color w:val="auto"/>
          <w:sz w:val="24"/>
          <w:szCs w:val="20"/>
          <w:highlight w:val="none"/>
        </w:rPr>
        <w:t xml:space="preserve">款的合同进度计划不符时，承包人均应在 </w:t>
      </w:r>
      <w:r>
        <w:rPr>
          <w:rStyle w:val="19"/>
          <w:rFonts w:hint="eastAsia" w:ascii="Times New Roman" w:hAnsi="Times New Roman" w:eastAsia="Times New Roman" w:cs="Times New Roman"/>
          <w:color w:val="auto"/>
          <w:sz w:val="24"/>
          <w:szCs w:val="24"/>
          <w:highlight w:val="none"/>
        </w:rPr>
        <w:t>14</w:t>
      </w:r>
      <w:r>
        <w:rPr>
          <w:rStyle w:val="19"/>
          <w:rFonts w:hint="default"/>
          <w:color w:val="auto"/>
          <w:sz w:val="24"/>
          <w:szCs w:val="20"/>
          <w:highlight w:val="none"/>
        </w:rPr>
        <w:t>天内向监理人提交修订合同进度计划的申请报告，并附有关措施和相关资料，报监理人审批；监理人应在收到申请报告后的</w:t>
      </w:r>
      <w:r>
        <w:rPr>
          <w:rStyle w:val="19"/>
          <w:rFonts w:hint="eastAsia" w:ascii="Times New Roman" w:hAnsi="Times New Roman" w:eastAsia="Times New Roman" w:cs="Times New Roman"/>
          <w:color w:val="auto"/>
          <w:sz w:val="24"/>
          <w:szCs w:val="24"/>
          <w:highlight w:val="none"/>
        </w:rPr>
        <w:t>14</w:t>
      </w:r>
      <w:r>
        <w:rPr>
          <w:rStyle w:val="19"/>
          <w:rFonts w:hint="default"/>
          <w:color w:val="auto"/>
          <w:sz w:val="24"/>
          <w:szCs w:val="20"/>
          <w:highlight w:val="none"/>
        </w:rPr>
        <w:t>天内批复。当监理人认为需要修订合同进度计划 时，承包人应按监理人的指示，在</w:t>
      </w:r>
      <w:r>
        <w:rPr>
          <w:rStyle w:val="19"/>
          <w:rFonts w:hint="eastAsia" w:ascii="Times New Roman" w:hAnsi="Times New Roman" w:eastAsia="Times New Roman" w:cs="Times New Roman"/>
          <w:color w:val="auto"/>
          <w:sz w:val="24"/>
          <w:szCs w:val="24"/>
          <w:highlight w:val="none"/>
        </w:rPr>
        <w:t>14</w:t>
      </w:r>
      <w:r>
        <w:rPr>
          <w:rStyle w:val="19"/>
          <w:rFonts w:hint="default"/>
          <w:color w:val="auto"/>
          <w:sz w:val="24"/>
          <w:szCs w:val="20"/>
          <w:highlight w:val="none"/>
        </w:rPr>
        <w:t>天内向监理人提交修订的合同进度计划，并附调整计 划的相关资料，提交监理人审批。监理人应在收到进度计划后的</w:t>
      </w:r>
      <w:r>
        <w:rPr>
          <w:rStyle w:val="19"/>
          <w:rFonts w:hint="eastAsia" w:ascii="Times New Roman" w:hAnsi="Times New Roman" w:eastAsia="Times New Roman" w:cs="Times New Roman"/>
          <w:color w:val="auto"/>
          <w:sz w:val="24"/>
          <w:szCs w:val="24"/>
          <w:highlight w:val="none"/>
        </w:rPr>
        <w:t>14</w:t>
      </w:r>
      <w:r>
        <w:rPr>
          <w:rStyle w:val="19"/>
          <w:rFonts w:hint="default"/>
          <w:color w:val="auto"/>
          <w:sz w:val="24"/>
          <w:szCs w:val="20"/>
          <w:highlight w:val="none"/>
        </w:rPr>
        <w:t>天内批复。</w:t>
      </w:r>
    </w:p>
    <w:p w14:paraId="4812618C">
      <w:pPr>
        <w:pStyle w:val="31"/>
        <w:pageBreakBefore w:val="0"/>
        <w:widowControl w:val="0"/>
        <w:kinsoku/>
        <w:wordWrap/>
        <w:overflowPunct/>
        <w:topLinePunct w:val="0"/>
        <w:autoSpaceDE/>
        <w:autoSpaceDN/>
        <w:bidi w:val="0"/>
        <w:adjustRightInd/>
        <w:snapToGrid/>
        <w:spacing w:beforeLines="0" w:after="160" w:afterLines="0" w:line="440" w:lineRule="exact"/>
        <w:ind w:firstLine="420"/>
        <w:jc w:val="both"/>
        <w:textAlignment w:val="auto"/>
        <w:rPr>
          <w:rStyle w:val="19"/>
          <w:rFonts w:hint="default"/>
          <w:color w:val="auto"/>
          <w:sz w:val="24"/>
          <w:szCs w:val="20"/>
          <w:highlight w:val="none"/>
        </w:rPr>
      </w:pPr>
      <w:r>
        <w:rPr>
          <w:rStyle w:val="19"/>
          <w:rFonts w:hint="default"/>
          <w:color w:val="auto"/>
          <w:sz w:val="24"/>
          <w:szCs w:val="20"/>
          <w:highlight w:val="none"/>
        </w:rPr>
        <w:t>不论何种原因造成施工进度延迟，承包人均应按监理人的指示，采取有效措施赶上进度。承包人应在向监理人提交修订合同进度计划的同时，编制一份赶工措施报告提交监理人审批。由于发包人原因造成施工进度延迟，应按第</w:t>
      </w:r>
      <w:r>
        <w:rPr>
          <w:rStyle w:val="19"/>
          <w:rFonts w:hint="eastAsia" w:ascii="Times New Roman" w:hAnsi="Times New Roman" w:eastAsia="Times New Roman" w:cs="Times New Roman"/>
          <w:color w:val="auto"/>
          <w:sz w:val="24"/>
          <w:szCs w:val="24"/>
          <w:highlight w:val="none"/>
          <w:lang w:val="en-US" w:bidi="en-US"/>
        </w:rPr>
        <w:t xml:space="preserve">11. </w:t>
      </w:r>
      <w:r>
        <w:rPr>
          <w:rStyle w:val="19"/>
          <w:rFonts w:hint="eastAsia" w:ascii="Times New Roman" w:hAnsi="Times New Roman" w:eastAsia="Times New Roman" w:cs="Times New Roman"/>
          <w:color w:val="auto"/>
          <w:sz w:val="24"/>
          <w:szCs w:val="24"/>
          <w:highlight w:val="none"/>
        </w:rPr>
        <w:t>3</w:t>
      </w:r>
      <w:r>
        <w:rPr>
          <w:rStyle w:val="19"/>
          <w:rFonts w:hint="default"/>
          <w:color w:val="auto"/>
          <w:sz w:val="24"/>
          <w:szCs w:val="20"/>
          <w:highlight w:val="none"/>
        </w:rPr>
        <w:t>款的约定办理；由于承包人原因造成施工进度延迟，应按第</w:t>
      </w:r>
      <w:r>
        <w:rPr>
          <w:rStyle w:val="19"/>
          <w:rFonts w:hint="eastAsia" w:ascii="Times New Roman" w:hAnsi="Times New Roman" w:eastAsia="Times New Roman" w:cs="Times New Roman"/>
          <w:color w:val="auto"/>
          <w:sz w:val="24"/>
          <w:szCs w:val="24"/>
          <w:highlight w:val="none"/>
          <w:lang w:val="en-US" w:bidi="en-US"/>
        </w:rPr>
        <w:t xml:space="preserve">11. </w:t>
      </w:r>
      <w:r>
        <w:rPr>
          <w:rStyle w:val="19"/>
          <w:rFonts w:hint="eastAsia" w:ascii="Times New Roman" w:hAnsi="Times New Roman" w:eastAsia="Times New Roman" w:cs="Times New Roman"/>
          <w:color w:val="auto"/>
          <w:sz w:val="24"/>
          <w:szCs w:val="24"/>
          <w:highlight w:val="none"/>
        </w:rPr>
        <w:t>5</w:t>
      </w:r>
      <w:r>
        <w:rPr>
          <w:rStyle w:val="19"/>
          <w:rFonts w:hint="default"/>
          <w:color w:val="auto"/>
          <w:sz w:val="24"/>
          <w:szCs w:val="20"/>
          <w:highlight w:val="none"/>
        </w:rPr>
        <w:t>款的约定办理。</w:t>
      </w:r>
    </w:p>
    <w:p w14:paraId="39D9998B">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664" w:name="bookmark1160"/>
      <w:bookmarkStart w:id="665" w:name="_Toc256000081"/>
      <w:bookmarkStart w:id="666" w:name="_Toc25361"/>
      <w:bookmarkStart w:id="667" w:name="bookmark1158"/>
      <w:bookmarkStart w:id="668" w:name="bookmark1159"/>
      <w:bookmarkStart w:id="669" w:name="_Toc29411"/>
      <w:r>
        <w:rPr>
          <w:rStyle w:val="19"/>
          <w:rFonts w:hint="default" w:ascii="宋体" w:hAnsi="宋体" w:eastAsia="宋体"/>
          <w:color w:val="auto"/>
          <w:sz w:val="24"/>
          <w:szCs w:val="20"/>
          <w:highlight w:val="none"/>
          <w:lang w:eastAsia="zh-CN"/>
        </w:rPr>
        <w:t>10.3单位工程进度计划</w:t>
      </w:r>
      <w:bookmarkEnd w:id="664"/>
      <w:bookmarkEnd w:id="665"/>
      <w:bookmarkEnd w:id="666"/>
      <w:bookmarkEnd w:id="667"/>
      <w:bookmarkEnd w:id="668"/>
      <w:bookmarkEnd w:id="669"/>
    </w:p>
    <w:p w14:paraId="45C042A6">
      <w:pPr>
        <w:pStyle w:val="31"/>
        <w:pageBreakBefore w:val="0"/>
        <w:widowControl w:val="0"/>
        <w:kinsoku/>
        <w:wordWrap/>
        <w:overflowPunct/>
        <w:topLinePunct w:val="0"/>
        <w:autoSpaceDE/>
        <w:autoSpaceDN/>
        <w:bidi w:val="0"/>
        <w:adjustRightInd/>
        <w:snapToGrid/>
        <w:spacing w:beforeLines="0" w:after="160" w:afterLines="0" w:line="440" w:lineRule="exact"/>
        <w:ind w:firstLine="420"/>
        <w:jc w:val="both"/>
        <w:textAlignment w:val="auto"/>
        <w:rPr>
          <w:rStyle w:val="19"/>
          <w:rFonts w:hint="default"/>
          <w:color w:val="auto"/>
          <w:sz w:val="24"/>
          <w:szCs w:val="20"/>
          <w:highlight w:val="none"/>
        </w:rPr>
      </w:pPr>
      <w:r>
        <w:rPr>
          <w:rStyle w:val="19"/>
          <w:rFonts w:hint="default"/>
          <w:color w:val="auto"/>
          <w:sz w:val="24"/>
          <w:szCs w:val="20"/>
          <w:highlight w:val="none"/>
        </w:rPr>
        <w:t>监理人认为有必要时，承包人应按监理人指示的内容和期限，并根据合同进度计划的进度控制要求，编制单位工程进度计划，提交监理人审批。</w:t>
      </w:r>
    </w:p>
    <w:p w14:paraId="7061C760">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670" w:name="bookmark1162"/>
      <w:bookmarkStart w:id="671" w:name="_Toc18009"/>
      <w:bookmarkStart w:id="672" w:name="_Toc5993"/>
      <w:bookmarkStart w:id="673" w:name="bookmark1163"/>
      <w:bookmarkStart w:id="674" w:name="bookmark1161"/>
      <w:bookmarkStart w:id="675" w:name="_Toc256000082"/>
      <w:r>
        <w:rPr>
          <w:rStyle w:val="19"/>
          <w:rFonts w:hint="default" w:ascii="宋体" w:hAnsi="宋体" w:eastAsia="宋体"/>
          <w:color w:val="auto"/>
          <w:sz w:val="24"/>
          <w:szCs w:val="20"/>
          <w:highlight w:val="none"/>
          <w:lang w:eastAsia="zh-CN"/>
        </w:rPr>
        <w:t>10.4提交资金流估算表</w:t>
      </w:r>
      <w:bookmarkEnd w:id="670"/>
      <w:bookmarkEnd w:id="671"/>
      <w:bookmarkEnd w:id="672"/>
      <w:bookmarkEnd w:id="673"/>
      <w:bookmarkEnd w:id="674"/>
      <w:bookmarkEnd w:id="675"/>
    </w:p>
    <w:p w14:paraId="107635CD">
      <w:pPr>
        <w:pStyle w:val="31"/>
        <w:pageBreakBefore w:val="0"/>
        <w:widowControl w:val="0"/>
        <w:kinsoku/>
        <w:wordWrap/>
        <w:overflowPunct/>
        <w:topLinePunct w:val="0"/>
        <w:autoSpaceDE/>
        <w:autoSpaceDN/>
        <w:bidi w:val="0"/>
        <w:adjustRightInd/>
        <w:snapToGrid/>
        <w:spacing w:beforeLines="0" w:after="340" w:afterLines="0" w:line="440" w:lineRule="exact"/>
        <w:ind w:firstLine="420"/>
        <w:jc w:val="both"/>
        <w:textAlignment w:val="auto"/>
        <w:rPr>
          <w:rStyle w:val="19"/>
          <w:rFonts w:hint="default"/>
          <w:color w:val="auto"/>
          <w:sz w:val="24"/>
          <w:szCs w:val="20"/>
          <w:highlight w:val="none"/>
        </w:rPr>
      </w:pPr>
      <w:r>
        <w:rPr>
          <w:rStyle w:val="19"/>
          <w:rFonts w:hint="default"/>
          <w:color w:val="auto"/>
          <w:sz w:val="24"/>
          <w:szCs w:val="20"/>
          <w:highlight w:val="none"/>
        </w:rPr>
        <w:t>承包人应在按第</w:t>
      </w:r>
      <w:r>
        <w:rPr>
          <w:rStyle w:val="19"/>
          <w:rFonts w:hint="eastAsia" w:ascii="Times New Roman" w:hAnsi="Times New Roman" w:eastAsia="Times New Roman" w:cs="Times New Roman"/>
          <w:color w:val="auto"/>
          <w:sz w:val="24"/>
          <w:szCs w:val="24"/>
          <w:highlight w:val="none"/>
          <w:lang w:val="en-US" w:bidi="en-US"/>
        </w:rPr>
        <w:t xml:space="preserve">10. </w:t>
      </w:r>
      <w:r>
        <w:rPr>
          <w:rStyle w:val="19"/>
          <w:rFonts w:hint="eastAsia" w:ascii="Times New Roman" w:hAnsi="Times New Roman" w:eastAsia="Times New Roman" w:cs="Times New Roman"/>
          <w:color w:val="auto"/>
          <w:sz w:val="24"/>
          <w:szCs w:val="24"/>
          <w:highlight w:val="none"/>
        </w:rPr>
        <w:t>1</w:t>
      </w:r>
      <w:r>
        <w:rPr>
          <w:rStyle w:val="19"/>
          <w:rFonts w:hint="default"/>
          <w:color w:val="auto"/>
          <w:sz w:val="24"/>
          <w:szCs w:val="20"/>
          <w:highlight w:val="none"/>
        </w:rPr>
        <w:t>款约定向监理人提交施工总进度计划的同时，按下表约定的格式，向监理人提交按月的资金流估算表。估算表应包括承包人计划可从发包人处得到的全部款额，以供发包人参考。此后，当监理人提出要求时，承包人应在监理人指定的期限内提交修订的资金流估算表。</w:t>
      </w:r>
    </w:p>
    <w:p w14:paraId="10EB408F">
      <w:pPr>
        <w:pStyle w:val="31"/>
        <w:pageBreakBefore w:val="0"/>
        <w:widowControl w:val="0"/>
        <w:tabs>
          <w:tab w:val="left" w:pos="3329"/>
        </w:tabs>
        <w:kinsoku/>
        <w:wordWrap/>
        <w:overflowPunct/>
        <w:topLinePunct w:val="0"/>
        <w:autoSpaceDE/>
        <w:autoSpaceDN/>
        <w:bidi w:val="0"/>
        <w:adjustRightInd/>
        <w:snapToGrid/>
        <w:spacing w:beforeLines="0" w:after="100" w:afterLines="0" w:line="440" w:lineRule="exact"/>
        <w:ind w:firstLine="0"/>
        <w:jc w:val="center"/>
        <w:textAlignment w:val="auto"/>
        <w:rPr>
          <w:rStyle w:val="19"/>
          <w:rFonts w:hint="default"/>
          <w:color w:val="auto"/>
          <w:sz w:val="24"/>
          <w:szCs w:val="20"/>
          <w:highlight w:val="none"/>
        </w:rPr>
      </w:pPr>
      <w:r>
        <w:rPr>
          <w:rStyle w:val="19"/>
          <w:rFonts w:hint="default"/>
          <w:color w:val="auto"/>
          <w:sz w:val="24"/>
          <w:szCs w:val="20"/>
          <w:highlight w:val="none"/>
          <w:lang w:val="en-US"/>
        </w:rPr>
        <w:t xml:space="preserve">                          </w:t>
      </w:r>
      <w:r>
        <w:rPr>
          <w:rStyle w:val="19"/>
          <w:rFonts w:hint="default"/>
          <w:color w:val="auto"/>
          <w:sz w:val="24"/>
          <w:szCs w:val="20"/>
          <w:highlight w:val="none"/>
        </w:rPr>
        <w:t>资金流估算表（参考格式）</w:t>
      </w:r>
      <w:r>
        <w:rPr>
          <w:rStyle w:val="19"/>
          <w:rFonts w:hint="default"/>
          <w:color w:val="auto"/>
          <w:sz w:val="24"/>
          <w:szCs w:val="20"/>
          <w:highlight w:val="none"/>
          <w:lang w:val="en-US"/>
        </w:rPr>
        <w:t xml:space="preserve">                   </w:t>
      </w:r>
      <w:r>
        <w:rPr>
          <w:rStyle w:val="19"/>
          <w:rFonts w:hint="default"/>
          <w:color w:val="auto"/>
          <w:sz w:val="24"/>
          <w:szCs w:val="20"/>
          <w:highlight w:val="none"/>
        </w:rPr>
        <w:t>金额单位：</w:t>
      </w:r>
    </w:p>
    <w:tbl>
      <w:tblPr>
        <w:tblStyle w:val="1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 w:type="dxa"/>
          <w:bottom w:w="0" w:type="dxa"/>
          <w:right w:w="10" w:type="dxa"/>
        </w:tblCellMar>
      </w:tblPr>
      <w:tblGrid>
        <w:gridCol w:w="293"/>
        <w:gridCol w:w="283"/>
        <w:gridCol w:w="1022"/>
        <w:gridCol w:w="1416"/>
        <w:gridCol w:w="1022"/>
        <w:gridCol w:w="1018"/>
        <w:gridCol w:w="1022"/>
        <w:gridCol w:w="451"/>
        <w:gridCol w:w="682"/>
        <w:gridCol w:w="1142"/>
      </w:tblGrid>
      <w:tr w14:paraId="54C0CA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456" w:hRule="exact"/>
          <w:jc w:val="center"/>
        </w:trPr>
        <w:tc>
          <w:tcPr>
            <w:tcW w:w="293" w:type="dxa"/>
            <w:tcBorders>
              <w:top w:val="single" w:color="auto" w:sz="4" w:space="0"/>
              <w:left w:val="single" w:color="auto" w:sz="4" w:space="0"/>
              <w:bottom w:val="nil"/>
              <w:right w:val="nil"/>
              <w:tl2br w:val="nil"/>
              <w:tr2bl w:val="nil"/>
            </w:tcBorders>
            <w:shd w:val="clear" w:color="auto" w:fill="FFFFFF"/>
            <w:noWrap w:val="0"/>
            <w:vAlign w:val="center"/>
          </w:tcPr>
          <w:p w14:paraId="6263A8AA">
            <w:pPr>
              <w:pStyle w:val="33"/>
              <w:pageBreakBefore w:val="0"/>
              <w:widowControl w:val="0"/>
              <w:kinsoku/>
              <w:wordWrap/>
              <w:overflowPunct/>
              <w:topLinePunct w:val="0"/>
              <w:autoSpaceDE/>
              <w:autoSpaceDN/>
              <w:bidi w:val="0"/>
              <w:adjustRightInd/>
              <w:snapToGrid/>
              <w:spacing w:beforeLines="0" w:afterLines="0" w:line="440" w:lineRule="exact"/>
              <w:ind w:firstLine="0"/>
              <w:textAlignment w:val="auto"/>
              <w:rPr>
                <w:rStyle w:val="19"/>
                <w:rFonts w:hint="default"/>
                <w:color w:val="auto"/>
                <w:sz w:val="18"/>
                <w:szCs w:val="20"/>
                <w:highlight w:val="none"/>
              </w:rPr>
            </w:pPr>
            <w:r>
              <w:rPr>
                <w:rStyle w:val="19"/>
                <w:rFonts w:hint="default"/>
                <w:color w:val="auto"/>
                <w:sz w:val="18"/>
                <w:szCs w:val="20"/>
                <w:highlight w:val="none"/>
              </w:rPr>
              <w:t>年</w:t>
            </w:r>
          </w:p>
        </w:tc>
        <w:tc>
          <w:tcPr>
            <w:tcW w:w="283" w:type="dxa"/>
            <w:tcBorders>
              <w:top w:val="single" w:color="auto" w:sz="4" w:space="0"/>
              <w:left w:val="single" w:color="auto" w:sz="4" w:space="0"/>
              <w:bottom w:val="nil"/>
              <w:right w:val="nil"/>
              <w:tl2br w:val="nil"/>
              <w:tr2bl w:val="nil"/>
            </w:tcBorders>
            <w:shd w:val="clear" w:color="auto" w:fill="FFFFFF"/>
            <w:noWrap w:val="0"/>
            <w:vAlign w:val="center"/>
          </w:tcPr>
          <w:p w14:paraId="1374300A">
            <w:pPr>
              <w:pStyle w:val="33"/>
              <w:pageBreakBefore w:val="0"/>
              <w:widowControl w:val="0"/>
              <w:kinsoku/>
              <w:wordWrap/>
              <w:overflowPunct/>
              <w:topLinePunct w:val="0"/>
              <w:autoSpaceDE/>
              <w:autoSpaceDN/>
              <w:bidi w:val="0"/>
              <w:adjustRightInd/>
              <w:snapToGrid/>
              <w:spacing w:beforeLines="0" w:afterLines="0" w:line="440" w:lineRule="exact"/>
              <w:ind w:firstLine="0"/>
              <w:textAlignment w:val="auto"/>
              <w:rPr>
                <w:rStyle w:val="19"/>
                <w:rFonts w:hint="default"/>
                <w:color w:val="auto"/>
                <w:sz w:val="18"/>
                <w:szCs w:val="20"/>
                <w:highlight w:val="none"/>
              </w:rPr>
            </w:pPr>
            <w:r>
              <w:rPr>
                <w:rStyle w:val="19"/>
                <w:rFonts w:hint="default"/>
                <w:color w:val="auto"/>
                <w:sz w:val="18"/>
                <w:szCs w:val="20"/>
                <w:highlight w:val="none"/>
              </w:rPr>
              <w:t>月</w:t>
            </w:r>
          </w:p>
        </w:tc>
        <w:tc>
          <w:tcPr>
            <w:tcW w:w="1022" w:type="dxa"/>
            <w:tcBorders>
              <w:top w:val="single" w:color="auto" w:sz="4" w:space="0"/>
              <w:left w:val="single" w:color="auto" w:sz="4" w:space="0"/>
              <w:bottom w:val="nil"/>
              <w:right w:val="nil"/>
              <w:tl2br w:val="nil"/>
              <w:tr2bl w:val="nil"/>
            </w:tcBorders>
            <w:shd w:val="clear" w:color="auto" w:fill="FFFFFF"/>
            <w:noWrap w:val="0"/>
            <w:vAlign w:val="center"/>
          </w:tcPr>
          <w:p w14:paraId="79816355">
            <w:pPr>
              <w:pStyle w:val="33"/>
              <w:pageBreakBefore w:val="0"/>
              <w:widowControl w:val="0"/>
              <w:kinsoku/>
              <w:wordWrap/>
              <w:overflowPunct/>
              <w:topLinePunct w:val="0"/>
              <w:autoSpaceDE/>
              <w:autoSpaceDN/>
              <w:bidi w:val="0"/>
              <w:adjustRightInd/>
              <w:snapToGrid/>
              <w:spacing w:beforeLines="0" w:afterLines="0" w:line="440" w:lineRule="exact"/>
              <w:ind w:firstLine="0"/>
              <w:textAlignment w:val="auto"/>
              <w:rPr>
                <w:rStyle w:val="19"/>
                <w:rFonts w:hint="default"/>
                <w:color w:val="auto"/>
                <w:sz w:val="18"/>
                <w:szCs w:val="20"/>
                <w:highlight w:val="none"/>
              </w:rPr>
            </w:pPr>
            <w:r>
              <w:rPr>
                <w:rStyle w:val="19"/>
                <w:rFonts w:hint="default"/>
                <w:color w:val="auto"/>
                <w:sz w:val="18"/>
                <w:szCs w:val="20"/>
                <w:highlight w:val="none"/>
              </w:rPr>
              <w:t>工程预付款</w:t>
            </w:r>
          </w:p>
        </w:tc>
        <w:tc>
          <w:tcPr>
            <w:tcW w:w="1416" w:type="dxa"/>
            <w:tcBorders>
              <w:top w:val="single" w:color="auto" w:sz="4" w:space="0"/>
              <w:left w:val="single" w:color="auto" w:sz="4" w:space="0"/>
              <w:bottom w:val="nil"/>
              <w:right w:val="nil"/>
              <w:tl2br w:val="nil"/>
              <w:tr2bl w:val="nil"/>
            </w:tcBorders>
            <w:shd w:val="clear" w:color="auto" w:fill="FFFFFF"/>
            <w:noWrap w:val="0"/>
            <w:vAlign w:val="center"/>
          </w:tcPr>
          <w:p w14:paraId="17918772">
            <w:pPr>
              <w:pStyle w:val="33"/>
              <w:pageBreakBefore w:val="0"/>
              <w:widowControl w:val="0"/>
              <w:kinsoku/>
              <w:wordWrap/>
              <w:overflowPunct/>
              <w:topLinePunct w:val="0"/>
              <w:autoSpaceDE/>
              <w:autoSpaceDN/>
              <w:bidi w:val="0"/>
              <w:adjustRightInd/>
              <w:snapToGrid/>
              <w:spacing w:beforeLines="0" w:afterLines="0" w:line="440" w:lineRule="exact"/>
              <w:ind w:firstLine="0"/>
              <w:textAlignment w:val="auto"/>
              <w:rPr>
                <w:rStyle w:val="19"/>
                <w:rFonts w:hint="default"/>
                <w:color w:val="auto"/>
                <w:sz w:val="18"/>
                <w:szCs w:val="20"/>
                <w:highlight w:val="none"/>
              </w:rPr>
            </w:pPr>
            <w:r>
              <w:rPr>
                <w:rStyle w:val="19"/>
                <w:rFonts w:hint="default"/>
                <w:color w:val="auto"/>
                <w:sz w:val="18"/>
                <w:szCs w:val="20"/>
                <w:highlight w:val="none"/>
              </w:rPr>
              <w:t>完成工作量付款</w:t>
            </w:r>
          </w:p>
        </w:tc>
        <w:tc>
          <w:tcPr>
            <w:tcW w:w="1022" w:type="dxa"/>
            <w:tcBorders>
              <w:top w:val="single" w:color="auto" w:sz="4" w:space="0"/>
              <w:left w:val="single" w:color="auto" w:sz="4" w:space="0"/>
              <w:bottom w:val="nil"/>
              <w:right w:val="nil"/>
              <w:tl2br w:val="nil"/>
              <w:tr2bl w:val="nil"/>
            </w:tcBorders>
            <w:shd w:val="clear" w:color="auto" w:fill="FFFFFF"/>
            <w:noWrap w:val="0"/>
            <w:vAlign w:val="center"/>
          </w:tcPr>
          <w:p w14:paraId="3BE113E2">
            <w:pPr>
              <w:pStyle w:val="33"/>
              <w:pageBreakBefore w:val="0"/>
              <w:widowControl w:val="0"/>
              <w:kinsoku/>
              <w:wordWrap/>
              <w:overflowPunct/>
              <w:topLinePunct w:val="0"/>
              <w:autoSpaceDE/>
              <w:autoSpaceDN/>
              <w:bidi w:val="0"/>
              <w:adjustRightInd/>
              <w:snapToGrid/>
              <w:spacing w:beforeLines="0" w:afterLines="0" w:line="440" w:lineRule="exact"/>
              <w:ind w:firstLine="0"/>
              <w:textAlignment w:val="auto"/>
              <w:rPr>
                <w:rStyle w:val="19"/>
                <w:rFonts w:hint="default"/>
                <w:color w:val="auto"/>
                <w:sz w:val="18"/>
                <w:szCs w:val="20"/>
                <w:highlight w:val="none"/>
              </w:rPr>
            </w:pPr>
            <w:r>
              <w:rPr>
                <w:rStyle w:val="19"/>
                <w:rFonts w:hint="default"/>
                <w:color w:val="auto"/>
                <w:sz w:val="18"/>
                <w:szCs w:val="20"/>
                <w:highlight w:val="none"/>
              </w:rPr>
              <w:t>保留金扣留</w:t>
            </w:r>
          </w:p>
        </w:tc>
        <w:tc>
          <w:tcPr>
            <w:tcW w:w="1018" w:type="dxa"/>
            <w:tcBorders>
              <w:top w:val="single" w:color="auto" w:sz="4" w:space="0"/>
              <w:left w:val="single" w:color="auto" w:sz="4" w:space="0"/>
              <w:bottom w:val="nil"/>
              <w:right w:val="nil"/>
              <w:tl2br w:val="nil"/>
              <w:tr2bl w:val="nil"/>
            </w:tcBorders>
            <w:shd w:val="clear" w:color="auto" w:fill="FFFFFF"/>
            <w:noWrap w:val="0"/>
            <w:vAlign w:val="center"/>
          </w:tcPr>
          <w:p w14:paraId="5ECCDED4">
            <w:pPr>
              <w:pStyle w:val="33"/>
              <w:pageBreakBefore w:val="0"/>
              <w:widowControl w:val="0"/>
              <w:kinsoku/>
              <w:wordWrap/>
              <w:overflowPunct/>
              <w:topLinePunct w:val="0"/>
              <w:autoSpaceDE/>
              <w:autoSpaceDN/>
              <w:bidi w:val="0"/>
              <w:adjustRightInd/>
              <w:snapToGrid/>
              <w:spacing w:beforeLines="0" w:afterLines="0" w:line="440" w:lineRule="exact"/>
              <w:ind w:firstLine="0"/>
              <w:jc w:val="right"/>
              <w:textAlignment w:val="auto"/>
              <w:rPr>
                <w:rStyle w:val="19"/>
                <w:rFonts w:hint="default"/>
                <w:color w:val="auto"/>
                <w:sz w:val="18"/>
                <w:szCs w:val="20"/>
                <w:highlight w:val="none"/>
              </w:rPr>
            </w:pPr>
            <w:r>
              <w:rPr>
                <w:rStyle w:val="19"/>
                <w:rFonts w:hint="default"/>
                <w:color w:val="auto"/>
                <w:sz w:val="18"/>
                <w:szCs w:val="20"/>
                <w:highlight w:val="none"/>
              </w:rPr>
              <w:t>材料款扣除</w:t>
            </w:r>
          </w:p>
        </w:tc>
        <w:tc>
          <w:tcPr>
            <w:tcW w:w="1022" w:type="dxa"/>
            <w:tcBorders>
              <w:top w:val="single" w:color="auto" w:sz="4" w:space="0"/>
              <w:left w:val="single" w:color="auto" w:sz="4" w:space="0"/>
              <w:bottom w:val="nil"/>
              <w:right w:val="nil"/>
              <w:tl2br w:val="nil"/>
              <w:tr2bl w:val="nil"/>
            </w:tcBorders>
            <w:shd w:val="clear" w:color="auto" w:fill="FFFFFF"/>
            <w:noWrap w:val="0"/>
            <w:vAlign w:val="center"/>
          </w:tcPr>
          <w:p w14:paraId="5903B898">
            <w:pPr>
              <w:pStyle w:val="33"/>
              <w:pageBreakBefore w:val="0"/>
              <w:widowControl w:val="0"/>
              <w:kinsoku/>
              <w:wordWrap/>
              <w:overflowPunct/>
              <w:topLinePunct w:val="0"/>
              <w:autoSpaceDE/>
              <w:autoSpaceDN/>
              <w:bidi w:val="0"/>
              <w:adjustRightInd/>
              <w:snapToGrid/>
              <w:spacing w:beforeLines="0" w:afterLines="0" w:line="440" w:lineRule="exact"/>
              <w:ind w:firstLine="0"/>
              <w:jc w:val="right"/>
              <w:textAlignment w:val="auto"/>
              <w:rPr>
                <w:rStyle w:val="19"/>
                <w:rFonts w:hint="default"/>
                <w:color w:val="auto"/>
                <w:sz w:val="18"/>
                <w:szCs w:val="20"/>
                <w:highlight w:val="none"/>
              </w:rPr>
            </w:pPr>
            <w:r>
              <w:rPr>
                <w:rStyle w:val="19"/>
                <w:rFonts w:hint="default"/>
                <w:color w:val="auto"/>
                <w:sz w:val="18"/>
                <w:szCs w:val="20"/>
                <w:highlight w:val="none"/>
              </w:rPr>
              <w:t>预付款扣还</w:t>
            </w:r>
          </w:p>
        </w:tc>
        <w:tc>
          <w:tcPr>
            <w:tcW w:w="451" w:type="dxa"/>
            <w:tcBorders>
              <w:top w:val="single" w:color="auto" w:sz="4" w:space="0"/>
              <w:left w:val="single" w:color="auto" w:sz="4" w:space="0"/>
              <w:bottom w:val="nil"/>
              <w:right w:val="nil"/>
              <w:tl2br w:val="nil"/>
              <w:tr2bl w:val="nil"/>
            </w:tcBorders>
            <w:shd w:val="clear" w:color="auto" w:fill="FFFFFF"/>
            <w:noWrap w:val="0"/>
            <w:vAlign w:val="center"/>
          </w:tcPr>
          <w:p w14:paraId="184BCC10">
            <w:pPr>
              <w:pStyle w:val="33"/>
              <w:pageBreakBefore w:val="0"/>
              <w:widowControl w:val="0"/>
              <w:kinsoku/>
              <w:wordWrap/>
              <w:overflowPunct/>
              <w:topLinePunct w:val="0"/>
              <w:autoSpaceDE/>
              <w:autoSpaceDN/>
              <w:bidi w:val="0"/>
              <w:adjustRightInd/>
              <w:snapToGrid/>
              <w:spacing w:beforeLines="0" w:afterLines="0" w:line="440" w:lineRule="exact"/>
              <w:ind w:firstLine="0"/>
              <w:jc w:val="right"/>
              <w:textAlignment w:val="auto"/>
              <w:rPr>
                <w:rStyle w:val="19"/>
                <w:rFonts w:hint="default"/>
                <w:color w:val="auto"/>
                <w:sz w:val="18"/>
                <w:szCs w:val="20"/>
                <w:highlight w:val="none"/>
              </w:rPr>
            </w:pPr>
            <w:r>
              <w:rPr>
                <w:rStyle w:val="19"/>
                <w:rFonts w:hint="default"/>
                <w:color w:val="auto"/>
                <w:sz w:val="18"/>
                <w:szCs w:val="20"/>
                <w:highlight w:val="none"/>
              </w:rPr>
              <w:t>其他</w:t>
            </w:r>
          </w:p>
        </w:tc>
        <w:tc>
          <w:tcPr>
            <w:tcW w:w="682" w:type="dxa"/>
            <w:tcBorders>
              <w:top w:val="single" w:color="auto" w:sz="4" w:space="0"/>
              <w:left w:val="single" w:color="auto" w:sz="4" w:space="0"/>
              <w:bottom w:val="nil"/>
              <w:right w:val="nil"/>
              <w:tl2br w:val="nil"/>
              <w:tr2bl w:val="nil"/>
            </w:tcBorders>
            <w:shd w:val="clear" w:color="auto" w:fill="FFFFFF"/>
            <w:noWrap w:val="0"/>
            <w:vAlign w:val="center"/>
          </w:tcPr>
          <w:p w14:paraId="1EDF1803">
            <w:pPr>
              <w:pStyle w:val="33"/>
              <w:pageBreakBefore w:val="0"/>
              <w:widowControl w:val="0"/>
              <w:kinsoku/>
              <w:wordWrap/>
              <w:overflowPunct/>
              <w:topLinePunct w:val="0"/>
              <w:autoSpaceDE/>
              <w:autoSpaceDN/>
              <w:bidi w:val="0"/>
              <w:adjustRightInd/>
              <w:snapToGrid/>
              <w:spacing w:beforeLines="0" w:afterLines="0" w:line="440" w:lineRule="exact"/>
              <w:ind w:firstLine="0"/>
              <w:jc w:val="right"/>
              <w:textAlignment w:val="auto"/>
              <w:rPr>
                <w:rStyle w:val="19"/>
                <w:rFonts w:hint="default"/>
                <w:color w:val="auto"/>
                <w:sz w:val="18"/>
                <w:szCs w:val="20"/>
                <w:highlight w:val="none"/>
              </w:rPr>
            </w:pPr>
            <w:r>
              <w:rPr>
                <w:rStyle w:val="19"/>
                <w:rFonts w:hint="default"/>
                <w:color w:val="auto"/>
                <w:sz w:val="18"/>
                <w:szCs w:val="20"/>
                <w:highlight w:val="none"/>
              </w:rPr>
              <w:t>应收款</w:t>
            </w:r>
          </w:p>
        </w:tc>
        <w:tc>
          <w:tcPr>
            <w:tcW w:w="1142" w:type="dxa"/>
            <w:tcBorders>
              <w:top w:val="single" w:color="auto" w:sz="4" w:space="0"/>
              <w:left w:val="single" w:color="auto" w:sz="4" w:space="0"/>
              <w:bottom w:val="nil"/>
              <w:right w:val="single" w:color="auto" w:sz="4" w:space="0"/>
              <w:tl2br w:val="nil"/>
              <w:tr2bl w:val="nil"/>
            </w:tcBorders>
            <w:shd w:val="clear" w:color="auto" w:fill="FFFFFF"/>
            <w:noWrap w:val="0"/>
            <w:vAlign w:val="center"/>
          </w:tcPr>
          <w:p w14:paraId="21ACADEC">
            <w:pPr>
              <w:pStyle w:val="33"/>
              <w:pageBreakBefore w:val="0"/>
              <w:widowControl w:val="0"/>
              <w:kinsoku/>
              <w:wordWrap/>
              <w:overflowPunct/>
              <w:topLinePunct w:val="0"/>
              <w:autoSpaceDE/>
              <w:autoSpaceDN/>
              <w:bidi w:val="0"/>
              <w:adjustRightInd/>
              <w:snapToGrid/>
              <w:spacing w:beforeLines="0" w:afterLines="0" w:line="440" w:lineRule="exact"/>
              <w:ind w:firstLine="0"/>
              <w:jc w:val="center"/>
              <w:textAlignment w:val="auto"/>
              <w:rPr>
                <w:rStyle w:val="19"/>
                <w:rFonts w:hint="default"/>
                <w:color w:val="auto"/>
                <w:sz w:val="18"/>
                <w:szCs w:val="20"/>
                <w:highlight w:val="none"/>
              </w:rPr>
            </w:pPr>
            <w:r>
              <w:rPr>
                <w:rStyle w:val="19"/>
                <w:rFonts w:hint="default"/>
                <w:color w:val="auto"/>
                <w:sz w:val="18"/>
                <w:szCs w:val="20"/>
                <w:highlight w:val="none"/>
              </w:rPr>
              <w:t>累计应收款</w:t>
            </w:r>
          </w:p>
        </w:tc>
      </w:tr>
      <w:tr w14:paraId="120D9A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456" w:hRule="exact"/>
          <w:jc w:val="center"/>
        </w:trPr>
        <w:tc>
          <w:tcPr>
            <w:tcW w:w="293" w:type="dxa"/>
            <w:tcBorders>
              <w:top w:val="single" w:color="auto" w:sz="4" w:space="0"/>
              <w:left w:val="single" w:color="auto" w:sz="4" w:space="0"/>
              <w:bottom w:val="nil"/>
              <w:right w:val="nil"/>
              <w:tl2br w:val="nil"/>
              <w:tr2bl w:val="nil"/>
            </w:tcBorders>
            <w:shd w:val="clear" w:color="auto" w:fill="FFFFFF"/>
            <w:noWrap w:val="0"/>
            <w:vAlign w:val="top"/>
          </w:tcPr>
          <w:p w14:paraId="76FF3E75">
            <w:pPr>
              <w:pStyle w:val="28"/>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color w:val="auto"/>
                <w:sz w:val="18"/>
                <w:szCs w:val="24"/>
                <w:highlight w:val="none"/>
              </w:rPr>
            </w:pPr>
          </w:p>
        </w:tc>
        <w:tc>
          <w:tcPr>
            <w:tcW w:w="283" w:type="dxa"/>
            <w:tcBorders>
              <w:top w:val="single" w:color="auto" w:sz="4" w:space="0"/>
              <w:left w:val="single" w:color="auto" w:sz="4" w:space="0"/>
              <w:bottom w:val="nil"/>
              <w:right w:val="nil"/>
              <w:tl2br w:val="nil"/>
              <w:tr2bl w:val="nil"/>
            </w:tcBorders>
            <w:shd w:val="clear" w:color="auto" w:fill="FFFFFF"/>
            <w:noWrap w:val="0"/>
            <w:vAlign w:val="top"/>
          </w:tcPr>
          <w:p w14:paraId="36B3377E">
            <w:pPr>
              <w:pStyle w:val="28"/>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color w:val="auto"/>
                <w:sz w:val="18"/>
                <w:szCs w:val="24"/>
                <w:highlight w:val="none"/>
              </w:rPr>
            </w:pPr>
          </w:p>
        </w:tc>
        <w:tc>
          <w:tcPr>
            <w:tcW w:w="1022" w:type="dxa"/>
            <w:tcBorders>
              <w:top w:val="single" w:color="auto" w:sz="4" w:space="0"/>
              <w:left w:val="single" w:color="auto" w:sz="4" w:space="0"/>
              <w:bottom w:val="nil"/>
              <w:right w:val="nil"/>
              <w:tl2br w:val="nil"/>
              <w:tr2bl w:val="nil"/>
            </w:tcBorders>
            <w:shd w:val="clear" w:color="auto" w:fill="FFFFFF"/>
            <w:noWrap w:val="0"/>
            <w:vAlign w:val="top"/>
          </w:tcPr>
          <w:p w14:paraId="033BD303">
            <w:pPr>
              <w:pStyle w:val="28"/>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color w:val="auto"/>
                <w:sz w:val="18"/>
                <w:szCs w:val="24"/>
                <w:highlight w:val="none"/>
              </w:rPr>
            </w:pPr>
          </w:p>
        </w:tc>
        <w:tc>
          <w:tcPr>
            <w:tcW w:w="1416" w:type="dxa"/>
            <w:tcBorders>
              <w:top w:val="single" w:color="auto" w:sz="4" w:space="0"/>
              <w:left w:val="single" w:color="auto" w:sz="4" w:space="0"/>
              <w:bottom w:val="nil"/>
              <w:right w:val="nil"/>
              <w:tl2br w:val="nil"/>
              <w:tr2bl w:val="nil"/>
            </w:tcBorders>
            <w:shd w:val="clear" w:color="auto" w:fill="FFFFFF"/>
            <w:noWrap w:val="0"/>
            <w:vAlign w:val="top"/>
          </w:tcPr>
          <w:p w14:paraId="358CD9E9">
            <w:pPr>
              <w:pStyle w:val="28"/>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color w:val="auto"/>
                <w:sz w:val="18"/>
                <w:szCs w:val="24"/>
                <w:highlight w:val="none"/>
              </w:rPr>
            </w:pPr>
          </w:p>
        </w:tc>
        <w:tc>
          <w:tcPr>
            <w:tcW w:w="1022" w:type="dxa"/>
            <w:tcBorders>
              <w:top w:val="single" w:color="auto" w:sz="4" w:space="0"/>
              <w:left w:val="single" w:color="auto" w:sz="4" w:space="0"/>
              <w:bottom w:val="nil"/>
              <w:right w:val="nil"/>
              <w:tl2br w:val="nil"/>
              <w:tr2bl w:val="nil"/>
            </w:tcBorders>
            <w:shd w:val="clear" w:color="auto" w:fill="FFFFFF"/>
            <w:noWrap w:val="0"/>
            <w:vAlign w:val="top"/>
          </w:tcPr>
          <w:p w14:paraId="28FE78B3">
            <w:pPr>
              <w:pStyle w:val="28"/>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color w:val="auto"/>
                <w:sz w:val="18"/>
                <w:szCs w:val="24"/>
                <w:highlight w:val="none"/>
              </w:rPr>
            </w:pPr>
          </w:p>
        </w:tc>
        <w:tc>
          <w:tcPr>
            <w:tcW w:w="1018" w:type="dxa"/>
            <w:tcBorders>
              <w:top w:val="single" w:color="auto" w:sz="4" w:space="0"/>
              <w:left w:val="single" w:color="auto" w:sz="4" w:space="0"/>
              <w:bottom w:val="nil"/>
              <w:right w:val="nil"/>
              <w:tl2br w:val="nil"/>
              <w:tr2bl w:val="nil"/>
            </w:tcBorders>
            <w:shd w:val="clear" w:color="auto" w:fill="FFFFFF"/>
            <w:noWrap w:val="0"/>
            <w:vAlign w:val="top"/>
          </w:tcPr>
          <w:p w14:paraId="3D35251C">
            <w:pPr>
              <w:pStyle w:val="28"/>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color w:val="auto"/>
                <w:sz w:val="18"/>
                <w:szCs w:val="24"/>
                <w:highlight w:val="none"/>
              </w:rPr>
            </w:pPr>
          </w:p>
        </w:tc>
        <w:tc>
          <w:tcPr>
            <w:tcW w:w="1022" w:type="dxa"/>
            <w:tcBorders>
              <w:top w:val="single" w:color="auto" w:sz="4" w:space="0"/>
              <w:left w:val="single" w:color="auto" w:sz="4" w:space="0"/>
              <w:bottom w:val="nil"/>
              <w:right w:val="nil"/>
              <w:tl2br w:val="nil"/>
              <w:tr2bl w:val="nil"/>
            </w:tcBorders>
            <w:shd w:val="clear" w:color="auto" w:fill="FFFFFF"/>
            <w:noWrap w:val="0"/>
            <w:vAlign w:val="top"/>
          </w:tcPr>
          <w:p w14:paraId="61E450F4">
            <w:pPr>
              <w:pStyle w:val="28"/>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color w:val="auto"/>
                <w:sz w:val="18"/>
                <w:szCs w:val="24"/>
                <w:highlight w:val="none"/>
              </w:rPr>
            </w:pPr>
          </w:p>
        </w:tc>
        <w:tc>
          <w:tcPr>
            <w:tcW w:w="451" w:type="dxa"/>
            <w:tcBorders>
              <w:top w:val="single" w:color="auto" w:sz="4" w:space="0"/>
              <w:left w:val="single" w:color="auto" w:sz="4" w:space="0"/>
              <w:bottom w:val="nil"/>
              <w:right w:val="nil"/>
              <w:tl2br w:val="nil"/>
              <w:tr2bl w:val="nil"/>
            </w:tcBorders>
            <w:shd w:val="clear" w:color="auto" w:fill="FFFFFF"/>
            <w:noWrap w:val="0"/>
            <w:vAlign w:val="top"/>
          </w:tcPr>
          <w:p w14:paraId="6ED0A1E5">
            <w:pPr>
              <w:pStyle w:val="28"/>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color w:val="auto"/>
                <w:sz w:val="18"/>
                <w:szCs w:val="24"/>
                <w:highlight w:val="none"/>
              </w:rPr>
            </w:pPr>
          </w:p>
        </w:tc>
        <w:tc>
          <w:tcPr>
            <w:tcW w:w="682" w:type="dxa"/>
            <w:tcBorders>
              <w:top w:val="single" w:color="auto" w:sz="4" w:space="0"/>
              <w:left w:val="single" w:color="auto" w:sz="4" w:space="0"/>
              <w:bottom w:val="nil"/>
              <w:right w:val="nil"/>
              <w:tl2br w:val="nil"/>
              <w:tr2bl w:val="nil"/>
            </w:tcBorders>
            <w:shd w:val="clear" w:color="auto" w:fill="FFFFFF"/>
            <w:noWrap w:val="0"/>
            <w:vAlign w:val="top"/>
          </w:tcPr>
          <w:p w14:paraId="3567D876">
            <w:pPr>
              <w:pStyle w:val="28"/>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color w:val="auto"/>
                <w:sz w:val="18"/>
                <w:szCs w:val="24"/>
                <w:highlight w:val="none"/>
              </w:rPr>
            </w:pPr>
          </w:p>
        </w:tc>
        <w:tc>
          <w:tcPr>
            <w:tcW w:w="1142" w:type="dxa"/>
            <w:tcBorders>
              <w:top w:val="single" w:color="auto" w:sz="4" w:space="0"/>
              <w:left w:val="single" w:color="auto" w:sz="4" w:space="0"/>
              <w:bottom w:val="nil"/>
              <w:right w:val="single" w:color="auto" w:sz="4" w:space="0"/>
              <w:tl2br w:val="nil"/>
              <w:tr2bl w:val="nil"/>
            </w:tcBorders>
            <w:shd w:val="clear" w:color="auto" w:fill="FFFFFF"/>
            <w:noWrap w:val="0"/>
            <w:vAlign w:val="top"/>
          </w:tcPr>
          <w:p w14:paraId="21F735C5">
            <w:pPr>
              <w:pStyle w:val="28"/>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color w:val="auto"/>
                <w:sz w:val="18"/>
                <w:szCs w:val="24"/>
                <w:highlight w:val="none"/>
              </w:rPr>
            </w:pPr>
          </w:p>
        </w:tc>
      </w:tr>
      <w:tr w14:paraId="24B719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456" w:hRule="exact"/>
          <w:jc w:val="center"/>
        </w:trPr>
        <w:tc>
          <w:tcPr>
            <w:tcW w:w="293" w:type="dxa"/>
            <w:tcBorders>
              <w:top w:val="single" w:color="auto" w:sz="4" w:space="0"/>
              <w:left w:val="single" w:color="auto" w:sz="4" w:space="0"/>
              <w:bottom w:val="nil"/>
              <w:right w:val="nil"/>
              <w:tl2br w:val="nil"/>
              <w:tr2bl w:val="nil"/>
            </w:tcBorders>
            <w:shd w:val="clear" w:color="auto" w:fill="FFFFFF"/>
            <w:noWrap w:val="0"/>
            <w:vAlign w:val="top"/>
          </w:tcPr>
          <w:p w14:paraId="2B6185F3">
            <w:pPr>
              <w:pStyle w:val="28"/>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color w:val="auto"/>
                <w:sz w:val="18"/>
                <w:szCs w:val="24"/>
                <w:highlight w:val="none"/>
              </w:rPr>
            </w:pPr>
          </w:p>
        </w:tc>
        <w:tc>
          <w:tcPr>
            <w:tcW w:w="283" w:type="dxa"/>
            <w:tcBorders>
              <w:top w:val="single" w:color="auto" w:sz="4" w:space="0"/>
              <w:left w:val="single" w:color="auto" w:sz="4" w:space="0"/>
              <w:bottom w:val="nil"/>
              <w:right w:val="nil"/>
              <w:tl2br w:val="nil"/>
              <w:tr2bl w:val="nil"/>
            </w:tcBorders>
            <w:shd w:val="clear" w:color="auto" w:fill="FFFFFF"/>
            <w:noWrap w:val="0"/>
            <w:vAlign w:val="top"/>
          </w:tcPr>
          <w:p w14:paraId="0CB84905">
            <w:pPr>
              <w:pStyle w:val="28"/>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color w:val="auto"/>
                <w:sz w:val="18"/>
                <w:szCs w:val="24"/>
                <w:highlight w:val="none"/>
              </w:rPr>
            </w:pPr>
          </w:p>
        </w:tc>
        <w:tc>
          <w:tcPr>
            <w:tcW w:w="1022" w:type="dxa"/>
            <w:tcBorders>
              <w:top w:val="single" w:color="auto" w:sz="4" w:space="0"/>
              <w:left w:val="single" w:color="auto" w:sz="4" w:space="0"/>
              <w:bottom w:val="nil"/>
              <w:right w:val="nil"/>
              <w:tl2br w:val="nil"/>
              <w:tr2bl w:val="nil"/>
            </w:tcBorders>
            <w:shd w:val="clear" w:color="auto" w:fill="FFFFFF"/>
            <w:noWrap w:val="0"/>
            <w:vAlign w:val="top"/>
          </w:tcPr>
          <w:p w14:paraId="2221BA45">
            <w:pPr>
              <w:pStyle w:val="28"/>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color w:val="auto"/>
                <w:sz w:val="18"/>
                <w:szCs w:val="24"/>
                <w:highlight w:val="none"/>
              </w:rPr>
            </w:pPr>
          </w:p>
        </w:tc>
        <w:tc>
          <w:tcPr>
            <w:tcW w:w="1416" w:type="dxa"/>
            <w:tcBorders>
              <w:top w:val="single" w:color="auto" w:sz="4" w:space="0"/>
              <w:left w:val="single" w:color="auto" w:sz="4" w:space="0"/>
              <w:bottom w:val="nil"/>
              <w:right w:val="nil"/>
              <w:tl2br w:val="nil"/>
              <w:tr2bl w:val="nil"/>
            </w:tcBorders>
            <w:shd w:val="clear" w:color="auto" w:fill="FFFFFF"/>
            <w:noWrap w:val="0"/>
            <w:vAlign w:val="top"/>
          </w:tcPr>
          <w:p w14:paraId="675F306E">
            <w:pPr>
              <w:pStyle w:val="28"/>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color w:val="auto"/>
                <w:sz w:val="18"/>
                <w:szCs w:val="24"/>
                <w:highlight w:val="none"/>
              </w:rPr>
            </w:pPr>
          </w:p>
        </w:tc>
        <w:tc>
          <w:tcPr>
            <w:tcW w:w="1022" w:type="dxa"/>
            <w:tcBorders>
              <w:top w:val="single" w:color="auto" w:sz="4" w:space="0"/>
              <w:left w:val="single" w:color="auto" w:sz="4" w:space="0"/>
              <w:bottom w:val="nil"/>
              <w:right w:val="nil"/>
              <w:tl2br w:val="nil"/>
              <w:tr2bl w:val="nil"/>
            </w:tcBorders>
            <w:shd w:val="clear" w:color="auto" w:fill="FFFFFF"/>
            <w:noWrap w:val="0"/>
            <w:vAlign w:val="top"/>
          </w:tcPr>
          <w:p w14:paraId="1A095CF7">
            <w:pPr>
              <w:pStyle w:val="28"/>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color w:val="auto"/>
                <w:sz w:val="18"/>
                <w:szCs w:val="24"/>
                <w:highlight w:val="none"/>
              </w:rPr>
            </w:pPr>
          </w:p>
        </w:tc>
        <w:tc>
          <w:tcPr>
            <w:tcW w:w="1018" w:type="dxa"/>
            <w:tcBorders>
              <w:top w:val="single" w:color="auto" w:sz="4" w:space="0"/>
              <w:left w:val="single" w:color="auto" w:sz="4" w:space="0"/>
              <w:bottom w:val="nil"/>
              <w:right w:val="nil"/>
              <w:tl2br w:val="nil"/>
              <w:tr2bl w:val="nil"/>
            </w:tcBorders>
            <w:shd w:val="clear" w:color="auto" w:fill="FFFFFF"/>
            <w:noWrap w:val="0"/>
            <w:vAlign w:val="top"/>
          </w:tcPr>
          <w:p w14:paraId="614CC0B4">
            <w:pPr>
              <w:pStyle w:val="28"/>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color w:val="auto"/>
                <w:sz w:val="18"/>
                <w:szCs w:val="24"/>
                <w:highlight w:val="none"/>
              </w:rPr>
            </w:pPr>
          </w:p>
        </w:tc>
        <w:tc>
          <w:tcPr>
            <w:tcW w:w="1022" w:type="dxa"/>
            <w:tcBorders>
              <w:top w:val="single" w:color="auto" w:sz="4" w:space="0"/>
              <w:left w:val="single" w:color="auto" w:sz="4" w:space="0"/>
              <w:bottom w:val="nil"/>
              <w:right w:val="nil"/>
              <w:tl2br w:val="nil"/>
              <w:tr2bl w:val="nil"/>
            </w:tcBorders>
            <w:shd w:val="clear" w:color="auto" w:fill="FFFFFF"/>
            <w:noWrap w:val="0"/>
            <w:vAlign w:val="top"/>
          </w:tcPr>
          <w:p w14:paraId="670CAAE5">
            <w:pPr>
              <w:pStyle w:val="28"/>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color w:val="auto"/>
                <w:sz w:val="18"/>
                <w:szCs w:val="24"/>
                <w:highlight w:val="none"/>
              </w:rPr>
            </w:pPr>
          </w:p>
        </w:tc>
        <w:tc>
          <w:tcPr>
            <w:tcW w:w="451" w:type="dxa"/>
            <w:tcBorders>
              <w:top w:val="single" w:color="auto" w:sz="4" w:space="0"/>
              <w:left w:val="single" w:color="auto" w:sz="4" w:space="0"/>
              <w:bottom w:val="nil"/>
              <w:right w:val="nil"/>
              <w:tl2br w:val="nil"/>
              <w:tr2bl w:val="nil"/>
            </w:tcBorders>
            <w:shd w:val="clear" w:color="auto" w:fill="FFFFFF"/>
            <w:noWrap w:val="0"/>
            <w:vAlign w:val="top"/>
          </w:tcPr>
          <w:p w14:paraId="5A92B98E">
            <w:pPr>
              <w:pStyle w:val="28"/>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color w:val="auto"/>
                <w:sz w:val="18"/>
                <w:szCs w:val="24"/>
                <w:highlight w:val="none"/>
              </w:rPr>
            </w:pPr>
          </w:p>
        </w:tc>
        <w:tc>
          <w:tcPr>
            <w:tcW w:w="682" w:type="dxa"/>
            <w:tcBorders>
              <w:top w:val="single" w:color="auto" w:sz="4" w:space="0"/>
              <w:left w:val="single" w:color="auto" w:sz="4" w:space="0"/>
              <w:bottom w:val="nil"/>
              <w:right w:val="nil"/>
              <w:tl2br w:val="nil"/>
              <w:tr2bl w:val="nil"/>
            </w:tcBorders>
            <w:shd w:val="clear" w:color="auto" w:fill="FFFFFF"/>
            <w:noWrap w:val="0"/>
            <w:vAlign w:val="top"/>
          </w:tcPr>
          <w:p w14:paraId="0B5FD4B1">
            <w:pPr>
              <w:pStyle w:val="28"/>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color w:val="auto"/>
                <w:sz w:val="18"/>
                <w:szCs w:val="24"/>
                <w:highlight w:val="none"/>
              </w:rPr>
            </w:pPr>
          </w:p>
        </w:tc>
        <w:tc>
          <w:tcPr>
            <w:tcW w:w="1142" w:type="dxa"/>
            <w:tcBorders>
              <w:top w:val="single" w:color="auto" w:sz="4" w:space="0"/>
              <w:left w:val="single" w:color="auto" w:sz="4" w:space="0"/>
              <w:bottom w:val="nil"/>
              <w:right w:val="single" w:color="auto" w:sz="4" w:space="0"/>
              <w:tl2br w:val="nil"/>
              <w:tr2bl w:val="nil"/>
            </w:tcBorders>
            <w:shd w:val="clear" w:color="auto" w:fill="FFFFFF"/>
            <w:noWrap w:val="0"/>
            <w:vAlign w:val="top"/>
          </w:tcPr>
          <w:p w14:paraId="1846FB26">
            <w:pPr>
              <w:pStyle w:val="28"/>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color w:val="auto"/>
                <w:sz w:val="18"/>
                <w:szCs w:val="24"/>
                <w:highlight w:val="none"/>
              </w:rPr>
            </w:pPr>
          </w:p>
        </w:tc>
      </w:tr>
      <w:tr w14:paraId="31F84D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461" w:hRule="exact"/>
          <w:jc w:val="center"/>
        </w:trPr>
        <w:tc>
          <w:tcPr>
            <w:tcW w:w="293" w:type="dxa"/>
            <w:tcBorders>
              <w:top w:val="single" w:color="auto" w:sz="4" w:space="0"/>
              <w:left w:val="single" w:color="auto" w:sz="4" w:space="0"/>
              <w:bottom w:val="single" w:color="auto" w:sz="4" w:space="0"/>
              <w:right w:val="nil"/>
              <w:tl2br w:val="nil"/>
              <w:tr2bl w:val="nil"/>
            </w:tcBorders>
            <w:shd w:val="clear" w:color="auto" w:fill="FFFFFF"/>
            <w:noWrap w:val="0"/>
            <w:vAlign w:val="top"/>
          </w:tcPr>
          <w:p w14:paraId="22B78020">
            <w:pPr>
              <w:pStyle w:val="28"/>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color w:val="auto"/>
                <w:sz w:val="18"/>
                <w:szCs w:val="24"/>
                <w:highlight w:val="none"/>
              </w:rPr>
            </w:pPr>
          </w:p>
        </w:tc>
        <w:tc>
          <w:tcPr>
            <w:tcW w:w="283" w:type="dxa"/>
            <w:tcBorders>
              <w:top w:val="single" w:color="auto" w:sz="4" w:space="0"/>
              <w:left w:val="single" w:color="auto" w:sz="4" w:space="0"/>
              <w:bottom w:val="single" w:color="auto" w:sz="4" w:space="0"/>
              <w:right w:val="nil"/>
              <w:tl2br w:val="nil"/>
              <w:tr2bl w:val="nil"/>
            </w:tcBorders>
            <w:shd w:val="clear" w:color="auto" w:fill="FFFFFF"/>
            <w:noWrap w:val="0"/>
            <w:vAlign w:val="top"/>
          </w:tcPr>
          <w:p w14:paraId="1E47A32F">
            <w:pPr>
              <w:pStyle w:val="28"/>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color w:val="auto"/>
                <w:sz w:val="18"/>
                <w:szCs w:val="24"/>
                <w:highlight w:val="none"/>
              </w:rPr>
            </w:pPr>
          </w:p>
        </w:tc>
        <w:tc>
          <w:tcPr>
            <w:tcW w:w="1022" w:type="dxa"/>
            <w:tcBorders>
              <w:top w:val="single" w:color="auto" w:sz="4" w:space="0"/>
              <w:left w:val="single" w:color="auto" w:sz="4" w:space="0"/>
              <w:bottom w:val="single" w:color="auto" w:sz="4" w:space="0"/>
              <w:right w:val="nil"/>
              <w:tl2br w:val="nil"/>
              <w:tr2bl w:val="nil"/>
            </w:tcBorders>
            <w:shd w:val="clear" w:color="auto" w:fill="FFFFFF"/>
            <w:noWrap w:val="0"/>
            <w:vAlign w:val="top"/>
          </w:tcPr>
          <w:p w14:paraId="493002D3">
            <w:pPr>
              <w:pStyle w:val="28"/>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color w:val="auto"/>
                <w:sz w:val="18"/>
                <w:szCs w:val="24"/>
                <w:highlight w:val="none"/>
              </w:rPr>
            </w:pPr>
          </w:p>
        </w:tc>
        <w:tc>
          <w:tcPr>
            <w:tcW w:w="1416" w:type="dxa"/>
            <w:tcBorders>
              <w:top w:val="single" w:color="auto" w:sz="4" w:space="0"/>
              <w:left w:val="single" w:color="auto" w:sz="4" w:space="0"/>
              <w:bottom w:val="single" w:color="auto" w:sz="4" w:space="0"/>
              <w:right w:val="nil"/>
              <w:tl2br w:val="nil"/>
              <w:tr2bl w:val="nil"/>
            </w:tcBorders>
            <w:shd w:val="clear" w:color="auto" w:fill="FFFFFF"/>
            <w:noWrap w:val="0"/>
            <w:vAlign w:val="top"/>
          </w:tcPr>
          <w:p w14:paraId="34ECB306">
            <w:pPr>
              <w:pStyle w:val="28"/>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color w:val="auto"/>
                <w:sz w:val="18"/>
                <w:szCs w:val="24"/>
                <w:highlight w:val="none"/>
              </w:rPr>
            </w:pPr>
          </w:p>
        </w:tc>
        <w:tc>
          <w:tcPr>
            <w:tcW w:w="1022" w:type="dxa"/>
            <w:tcBorders>
              <w:top w:val="single" w:color="auto" w:sz="4" w:space="0"/>
              <w:left w:val="single" w:color="auto" w:sz="4" w:space="0"/>
              <w:bottom w:val="single" w:color="auto" w:sz="4" w:space="0"/>
              <w:right w:val="nil"/>
              <w:tl2br w:val="nil"/>
              <w:tr2bl w:val="nil"/>
            </w:tcBorders>
            <w:shd w:val="clear" w:color="auto" w:fill="FFFFFF"/>
            <w:noWrap w:val="0"/>
            <w:vAlign w:val="top"/>
          </w:tcPr>
          <w:p w14:paraId="6E403C2C">
            <w:pPr>
              <w:pStyle w:val="28"/>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color w:val="auto"/>
                <w:sz w:val="18"/>
                <w:szCs w:val="24"/>
                <w:highlight w:val="none"/>
              </w:rPr>
            </w:pPr>
          </w:p>
        </w:tc>
        <w:tc>
          <w:tcPr>
            <w:tcW w:w="1018" w:type="dxa"/>
            <w:tcBorders>
              <w:top w:val="single" w:color="auto" w:sz="4" w:space="0"/>
              <w:left w:val="single" w:color="auto" w:sz="4" w:space="0"/>
              <w:bottom w:val="single" w:color="auto" w:sz="4" w:space="0"/>
              <w:right w:val="nil"/>
              <w:tl2br w:val="nil"/>
              <w:tr2bl w:val="nil"/>
            </w:tcBorders>
            <w:shd w:val="clear" w:color="auto" w:fill="FFFFFF"/>
            <w:noWrap w:val="0"/>
            <w:vAlign w:val="top"/>
          </w:tcPr>
          <w:p w14:paraId="4C7FABAE">
            <w:pPr>
              <w:pStyle w:val="28"/>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color w:val="auto"/>
                <w:sz w:val="18"/>
                <w:szCs w:val="24"/>
                <w:highlight w:val="none"/>
              </w:rPr>
            </w:pPr>
          </w:p>
        </w:tc>
        <w:tc>
          <w:tcPr>
            <w:tcW w:w="1022" w:type="dxa"/>
            <w:tcBorders>
              <w:top w:val="single" w:color="auto" w:sz="4" w:space="0"/>
              <w:left w:val="single" w:color="auto" w:sz="4" w:space="0"/>
              <w:bottom w:val="single" w:color="auto" w:sz="4" w:space="0"/>
              <w:right w:val="nil"/>
              <w:tl2br w:val="nil"/>
              <w:tr2bl w:val="nil"/>
            </w:tcBorders>
            <w:shd w:val="clear" w:color="auto" w:fill="FFFFFF"/>
            <w:noWrap w:val="0"/>
            <w:vAlign w:val="top"/>
          </w:tcPr>
          <w:p w14:paraId="4A6D6D3F">
            <w:pPr>
              <w:pStyle w:val="28"/>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color w:val="auto"/>
                <w:sz w:val="18"/>
                <w:szCs w:val="24"/>
                <w:highlight w:val="none"/>
              </w:rPr>
            </w:pPr>
          </w:p>
        </w:tc>
        <w:tc>
          <w:tcPr>
            <w:tcW w:w="451" w:type="dxa"/>
            <w:tcBorders>
              <w:top w:val="single" w:color="auto" w:sz="4" w:space="0"/>
              <w:left w:val="single" w:color="auto" w:sz="4" w:space="0"/>
              <w:bottom w:val="single" w:color="auto" w:sz="4" w:space="0"/>
              <w:right w:val="nil"/>
              <w:tl2br w:val="nil"/>
              <w:tr2bl w:val="nil"/>
            </w:tcBorders>
            <w:shd w:val="clear" w:color="auto" w:fill="FFFFFF"/>
            <w:noWrap w:val="0"/>
            <w:vAlign w:val="top"/>
          </w:tcPr>
          <w:p w14:paraId="2DF407A3">
            <w:pPr>
              <w:pStyle w:val="28"/>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color w:val="auto"/>
                <w:sz w:val="18"/>
                <w:szCs w:val="24"/>
                <w:highlight w:val="none"/>
              </w:rPr>
            </w:pPr>
          </w:p>
        </w:tc>
        <w:tc>
          <w:tcPr>
            <w:tcW w:w="682" w:type="dxa"/>
            <w:tcBorders>
              <w:top w:val="single" w:color="auto" w:sz="4" w:space="0"/>
              <w:left w:val="single" w:color="auto" w:sz="4" w:space="0"/>
              <w:bottom w:val="single" w:color="auto" w:sz="4" w:space="0"/>
              <w:right w:val="nil"/>
              <w:tl2br w:val="nil"/>
              <w:tr2bl w:val="nil"/>
            </w:tcBorders>
            <w:shd w:val="clear" w:color="auto" w:fill="FFFFFF"/>
            <w:noWrap w:val="0"/>
            <w:vAlign w:val="top"/>
          </w:tcPr>
          <w:p w14:paraId="18C3B147">
            <w:pPr>
              <w:pStyle w:val="28"/>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color w:val="auto"/>
                <w:sz w:val="18"/>
                <w:szCs w:val="24"/>
                <w:highlight w:val="none"/>
              </w:rPr>
            </w:pPr>
          </w:p>
        </w:tc>
        <w:tc>
          <w:tcPr>
            <w:tcW w:w="1142" w:type="dxa"/>
            <w:tcBorders>
              <w:top w:val="single" w:color="auto" w:sz="4" w:space="0"/>
              <w:left w:val="single" w:color="auto" w:sz="4" w:space="0"/>
              <w:bottom w:val="single" w:color="auto" w:sz="4" w:space="0"/>
              <w:right w:val="single" w:color="auto" w:sz="4" w:space="0"/>
              <w:tl2br w:val="nil"/>
              <w:tr2bl w:val="nil"/>
            </w:tcBorders>
            <w:shd w:val="clear" w:color="auto" w:fill="FFFFFF"/>
            <w:noWrap w:val="0"/>
            <w:vAlign w:val="top"/>
          </w:tcPr>
          <w:p w14:paraId="6D723677">
            <w:pPr>
              <w:pStyle w:val="28"/>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color w:val="auto"/>
                <w:sz w:val="18"/>
                <w:szCs w:val="24"/>
                <w:highlight w:val="none"/>
              </w:rPr>
            </w:pPr>
          </w:p>
        </w:tc>
      </w:tr>
    </w:tbl>
    <w:p w14:paraId="25A394CD">
      <w:pPr>
        <w:pStyle w:val="28"/>
        <w:pageBreakBefore w:val="0"/>
        <w:widowControl w:val="0"/>
        <w:kinsoku/>
        <w:wordWrap/>
        <w:overflowPunct/>
        <w:topLinePunct w:val="0"/>
        <w:autoSpaceDE/>
        <w:autoSpaceDN/>
        <w:bidi w:val="0"/>
        <w:adjustRightInd/>
        <w:snapToGrid/>
        <w:spacing w:beforeLines="0" w:after="579" w:afterLines="0" w:line="440" w:lineRule="exact"/>
        <w:textAlignment w:val="auto"/>
        <w:rPr>
          <w:rStyle w:val="19"/>
          <w:rFonts w:hint="default"/>
          <w:color w:val="auto"/>
          <w:sz w:val="24"/>
          <w:szCs w:val="24"/>
          <w:highlight w:val="none"/>
        </w:rPr>
      </w:pPr>
    </w:p>
    <w:p w14:paraId="2A0F84E4">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eastAsia"/>
          <w:color w:val="auto"/>
          <w:sz w:val="24"/>
          <w:szCs w:val="20"/>
          <w:highlight w:val="none"/>
          <w:lang w:eastAsia="zh-CN"/>
        </w:rPr>
      </w:pPr>
      <w:bookmarkStart w:id="676" w:name="bookmark1166"/>
      <w:bookmarkEnd w:id="676"/>
      <w:bookmarkStart w:id="677" w:name="_Toc14490"/>
      <w:bookmarkStart w:id="678" w:name="bookmark1164"/>
      <w:bookmarkStart w:id="679" w:name="_Toc24903"/>
      <w:bookmarkStart w:id="680" w:name="_Toc256000083"/>
      <w:bookmarkStart w:id="681" w:name="bookmark1165"/>
      <w:bookmarkStart w:id="682" w:name="bookmark1167"/>
      <w:r>
        <w:rPr>
          <w:rStyle w:val="19"/>
          <w:rFonts w:hint="eastAsia"/>
          <w:color w:val="auto"/>
          <w:sz w:val="24"/>
          <w:szCs w:val="20"/>
          <w:highlight w:val="none"/>
          <w:lang w:eastAsia="zh-CN"/>
        </w:rPr>
        <w:t xml:space="preserve">11. </w:t>
      </w:r>
      <w:r>
        <w:rPr>
          <w:rStyle w:val="19"/>
          <w:rFonts w:hint="default" w:ascii="宋体" w:eastAsia="宋体"/>
          <w:color w:val="auto"/>
          <w:sz w:val="24"/>
          <w:szCs w:val="20"/>
          <w:highlight w:val="none"/>
          <w:lang w:eastAsia="zh-CN"/>
        </w:rPr>
        <w:t>开工和竣工（完工）</w:t>
      </w:r>
      <w:bookmarkEnd w:id="677"/>
      <w:bookmarkEnd w:id="678"/>
      <w:bookmarkEnd w:id="679"/>
      <w:bookmarkEnd w:id="680"/>
      <w:bookmarkEnd w:id="681"/>
      <w:bookmarkEnd w:id="682"/>
    </w:p>
    <w:p w14:paraId="76858C2A">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683" w:name="bookmark1168"/>
      <w:bookmarkStart w:id="684" w:name="_Toc21224"/>
      <w:bookmarkStart w:id="685" w:name="_Toc23713"/>
      <w:bookmarkStart w:id="686" w:name="bookmark1169"/>
      <w:bookmarkStart w:id="687" w:name="bookmark1170"/>
      <w:bookmarkStart w:id="688" w:name="_Toc256000084"/>
      <w:r>
        <w:rPr>
          <w:rStyle w:val="19"/>
          <w:rFonts w:hint="default" w:ascii="宋体" w:hAnsi="宋体" w:eastAsia="宋体"/>
          <w:color w:val="auto"/>
          <w:sz w:val="24"/>
          <w:szCs w:val="20"/>
          <w:highlight w:val="none"/>
          <w:lang w:eastAsia="zh-CN"/>
        </w:rPr>
        <w:t>11.1 开工</w:t>
      </w:r>
      <w:bookmarkEnd w:id="683"/>
      <w:bookmarkEnd w:id="684"/>
      <w:bookmarkEnd w:id="685"/>
      <w:bookmarkEnd w:id="686"/>
      <w:bookmarkEnd w:id="687"/>
      <w:bookmarkEnd w:id="688"/>
    </w:p>
    <w:p w14:paraId="02325CA0">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11.1.1</w:t>
      </w:r>
      <w:r>
        <w:rPr>
          <w:rStyle w:val="19"/>
          <w:rFonts w:hint="default"/>
          <w:color w:val="auto"/>
          <w:sz w:val="24"/>
          <w:szCs w:val="20"/>
          <w:highlight w:val="none"/>
        </w:rPr>
        <w:t>监理人应在开工日期</w:t>
      </w:r>
      <w:r>
        <w:rPr>
          <w:rStyle w:val="19"/>
          <w:rFonts w:hint="eastAsia" w:ascii="Times New Roman" w:hAnsi="Times New Roman" w:eastAsia="Times New Roman" w:cs="Times New Roman"/>
          <w:color w:val="auto"/>
          <w:sz w:val="24"/>
          <w:szCs w:val="24"/>
          <w:highlight w:val="none"/>
        </w:rPr>
        <w:t>7</w:t>
      </w:r>
      <w:r>
        <w:rPr>
          <w:rStyle w:val="19"/>
          <w:rFonts w:hint="default"/>
          <w:color w:val="auto"/>
          <w:sz w:val="24"/>
          <w:szCs w:val="20"/>
          <w:highlight w:val="none"/>
        </w:rPr>
        <w:t>天前向承包人发出开工通知。监理人在发出开工通知前应获得发包人同意。工期自监理人发出的开工通知中载明的开工日期起计算。承包人应 在开工日期后尽快施工。</w:t>
      </w:r>
    </w:p>
    <w:p w14:paraId="3AE61668">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11.1.</w:t>
      </w:r>
      <w:r>
        <w:rPr>
          <w:rStyle w:val="19"/>
          <w:rFonts w:hint="eastAsia" w:ascii="Times New Roman" w:hAnsi="Times New Roman" w:eastAsia="Times New Roman" w:cs="Times New Roman"/>
          <w:color w:val="auto"/>
          <w:sz w:val="24"/>
          <w:szCs w:val="24"/>
          <w:highlight w:val="none"/>
        </w:rPr>
        <w:t>2</w:t>
      </w:r>
      <w:r>
        <w:rPr>
          <w:rStyle w:val="19"/>
          <w:rFonts w:hint="default"/>
          <w:color w:val="auto"/>
          <w:sz w:val="24"/>
          <w:szCs w:val="20"/>
          <w:highlight w:val="none"/>
        </w:rPr>
        <w:t>承包人应按第</w:t>
      </w:r>
      <w:r>
        <w:rPr>
          <w:rStyle w:val="19"/>
          <w:rFonts w:hint="eastAsia" w:ascii="Times New Roman" w:hAnsi="Times New Roman" w:eastAsia="Times New Roman" w:cs="Times New Roman"/>
          <w:color w:val="auto"/>
          <w:sz w:val="24"/>
          <w:szCs w:val="24"/>
          <w:highlight w:val="none"/>
          <w:lang w:val="en-US" w:bidi="en-US"/>
        </w:rPr>
        <w:t xml:space="preserve">10. </w:t>
      </w:r>
      <w:r>
        <w:rPr>
          <w:rStyle w:val="19"/>
          <w:rFonts w:hint="eastAsia" w:ascii="Times New Roman" w:hAnsi="Times New Roman" w:eastAsia="Times New Roman" w:cs="Times New Roman"/>
          <w:color w:val="auto"/>
          <w:sz w:val="24"/>
          <w:szCs w:val="24"/>
          <w:highlight w:val="none"/>
        </w:rPr>
        <w:t>1</w:t>
      </w:r>
      <w:r>
        <w:rPr>
          <w:rStyle w:val="19"/>
          <w:rFonts w:hint="default"/>
          <w:color w:val="auto"/>
          <w:sz w:val="24"/>
          <w:szCs w:val="20"/>
          <w:highlight w:val="none"/>
        </w:rPr>
        <w:t>款约定的合同进度计划，向监理人提交工程开工报审表, 经监理人审批后执行。开工报审表应详细说明按合同进度计划正常施工所需的施工道路、临时设施、材料设备、施工人员等施工组织措施的落实情况以及工程的进度安排。</w:t>
      </w:r>
    </w:p>
    <w:p w14:paraId="7ED687BC">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11.1.3</w:t>
      </w:r>
      <w:r>
        <w:rPr>
          <w:rStyle w:val="19"/>
          <w:rFonts w:hint="default"/>
          <w:color w:val="auto"/>
          <w:sz w:val="24"/>
          <w:szCs w:val="20"/>
          <w:highlight w:val="none"/>
        </w:rPr>
        <w:t>若发包人未能按合同约定向承包人提供开工的必要条件，承包人有权要求延长工期。监理人应在收到承包人的书面要求后，按第</w:t>
      </w:r>
      <w:r>
        <w:rPr>
          <w:rStyle w:val="19"/>
          <w:rFonts w:hint="eastAsia" w:ascii="Times New Roman" w:hAnsi="Times New Roman" w:eastAsia="Times New Roman" w:cs="Times New Roman"/>
          <w:color w:val="auto"/>
          <w:sz w:val="24"/>
          <w:szCs w:val="24"/>
          <w:highlight w:val="none"/>
          <w:lang w:val="en-US" w:bidi="en-US"/>
        </w:rPr>
        <w:t xml:space="preserve">3. </w:t>
      </w:r>
      <w:r>
        <w:rPr>
          <w:rStyle w:val="19"/>
          <w:rFonts w:hint="eastAsia" w:ascii="Times New Roman" w:hAnsi="Times New Roman" w:eastAsia="Times New Roman" w:cs="Times New Roman"/>
          <w:color w:val="auto"/>
          <w:sz w:val="24"/>
          <w:szCs w:val="24"/>
          <w:highlight w:val="none"/>
        </w:rPr>
        <w:t>5</w:t>
      </w:r>
      <w:r>
        <w:rPr>
          <w:rStyle w:val="19"/>
          <w:rFonts w:hint="default"/>
          <w:color w:val="auto"/>
          <w:sz w:val="24"/>
          <w:szCs w:val="20"/>
          <w:highlight w:val="none"/>
        </w:rPr>
        <w:t>款的约定，与合同双方商定或确定增加的费用和延长的工期。</w:t>
      </w:r>
    </w:p>
    <w:p w14:paraId="0C70FCD4">
      <w:pPr>
        <w:pStyle w:val="31"/>
        <w:pageBreakBefore w:val="0"/>
        <w:widowControl w:val="0"/>
        <w:kinsoku/>
        <w:wordWrap/>
        <w:overflowPunct/>
        <w:topLinePunct w:val="0"/>
        <w:autoSpaceDE/>
        <w:autoSpaceDN/>
        <w:bidi w:val="0"/>
        <w:adjustRightInd/>
        <w:snapToGrid/>
        <w:spacing w:beforeLines="0" w:after="14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11.1.4</w:t>
      </w:r>
      <w:r>
        <w:rPr>
          <w:rStyle w:val="19"/>
          <w:rFonts w:hint="default"/>
          <w:color w:val="auto"/>
          <w:sz w:val="24"/>
          <w:szCs w:val="20"/>
          <w:highlight w:val="none"/>
        </w:rPr>
        <w:t>承包人在接到开工通知后</w:t>
      </w:r>
      <w:r>
        <w:rPr>
          <w:rStyle w:val="19"/>
          <w:rFonts w:hint="eastAsia" w:ascii="Times New Roman" w:hAnsi="Times New Roman" w:eastAsia="Times New Roman" w:cs="Times New Roman"/>
          <w:color w:val="auto"/>
          <w:sz w:val="24"/>
          <w:szCs w:val="24"/>
          <w:highlight w:val="none"/>
        </w:rPr>
        <w:t>14</w:t>
      </w:r>
      <w:r>
        <w:rPr>
          <w:rStyle w:val="19"/>
          <w:rFonts w:hint="default"/>
          <w:color w:val="auto"/>
          <w:sz w:val="24"/>
          <w:szCs w:val="20"/>
          <w:highlight w:val="none"/>
        </w:rPr>
        <w:t>天内未按进度计划要求及时进场组织施工，监理人可通知承包人在接到通知后</w:t>
      </w:r>
      <w:r>
        <w:rPr>
          <w:rStyle w:val="19"/>
          <w:rFonts w:hint="eastAsia" w:ascii="Times New Roman" w:hAnsi="Times New Roman" w:eastAsia="Times New Roman" w:cs="Times New Roman"/>
          <w:color w:val="auto"/>
          <w:sz w:val="24"/>
          <w:szCs w:val="24"/>
          <w:highlight w:val="none"/>
        </w:rPr>
        <w:t>7</w:t>
      </w:r>
      <w:r>
        <w:rPr>
          <w:rStyle w:val="19"/>
          <w:rFonts w:hint="default"/>
          <w:color w:val="auto"/>
          <w:sz w:val="24"/>
          <w:szCs w:val="20"/>
          <w:highlight w:val="none"/>
        </w:rPr>
        <w:t>天内提交一份说明其进场延误的书面报告，报送监理人。书面报告应说明不能及时进场的原因和补救措施，由此增加的费用和工期延误责任由承包人承担。</w:t>
      </w:r>
    </w:p>
    <w:p w14:paraId="61994920">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689" w:name="bookmark1171"/>
      <w:bookmarkStart w:id="690" w:name="bookmark1172"/>
      <w:bookmarkStart w:id="691" w:name="bookmark1173"/>
      <w:bookmarkStart w:id="692" w:name="_Toc29025"/>
      <w:bookmarkStart w:id="693" w:name="_Toc19403"/>
      <w:bookmarkStart w:id="694" w:name="_Toc256000085"/>
      <w:r>
        <w:rPr>
          <w:rStyle w:val="19"/>
          <w:rFonts w:hint="default" w:ascii="宋体" w:hAnsi="宋体" w:eastAsia="宋体"/>
          <w:color w:val="auto"/>
          <w:sz w:val="24"/>
          <w:szCs w:val="20"/>
          <w:highlight w:val="none"/>
          <w:lang w:eastAsia="zh-CN"/>
        </w:rPr>
        <w:t>11.2竣工(完工)</w:t>
      </w:r>
      <w:bookmarkEnd w:id="689"/>
      <w:bookmarkEnd w:id="690"/>
      <w:bookmarkEnd w:id="691"/>
      <w:bookmarkEnd w:id="692"/>
      <w:bookmarkEnd w:id="693"/>
      <w:bookmarkEnd w:id="694"/>
    </w:p>
    <w:p w14:paraId="4757CE64">
      <w:pPr>
        <w:pStyle w:val="31"/>
        <w:pageBreakBefore w:val="0"/>
        <w:widowControl w:val="0"/>
        <w:kinsoku/>
        <w:wordWrap/>
        <w:overflowPunct/>
        <w:topLinePunct w:val="0"/>
        <w:autoSpaceDE/>
        <w:autoSpaceDN/>
        <w:bidi w:val="0"/>
        <w:adjustRightInd/>
        <w:snapToGrid/>
        <w:spacing w:beforeLines="0" w:after="140" w:afterLines="0" w:line="440" w:lineRule="exact"/>
        <w:ind w:firstLine="440"/>
        <w:jc w:val="both"/>
        <w:textAlignment w:val="auto"/>
        <w:rPr>
          <w:rStyle w:val="19"/>
          <w:rFonts w:hint="default"/>
          <w:color w:val="auto"/>
          <w:sz w:val="24"/>
          <w:szCs w:val="20"/>
          <w:highlight w:val="none"/>
        </w:rPr>
      </w:pPr>
      <w:r>
        <w:rPr>
          <w:rStyle w:val="19"/>
          <w:rFonts w:hint="default"/>
          <w:color w:val="auto"/>
          <w:sz w:val="24"/>
          <w:szCs w:val="20"/>
          <w:highlight w:val="none"/>
        </w:rPr>
        <w:t>承包人应在第</w:t>
      </w:r>
      <w:r>
        <w:rPr>
          <w:rStyle w:val="19"/>
          <w:rFonts w:hint="eastAsia" w:ascii="Times New Roman" w:hAnsi="Times New Roman" w:eastAsia="Times New Roman" w:cs="Times New Roman"/>
          <w:color w:val="auto"/>
          <w:sz w:val="24"/>
          <w:szCs w:val="24"/>
          <w:highlight w:val="none"/>
          <w:lang w:val="en-US" w:bidi="en-US"/>
        </w:rPr>
        <w:t xml:space="preserve">1.1. 4. </w:t>
      </w:r>
      <w:r>
        <w:rPr>
          <w:rStyle w:val="19"/>
          <w:rFonts w:hint="eastAsia" w:ascii="Times New Roman" w:hAnsi="Times New Roman" w:eastAsia="Times New Roman" w:cs="Times New Roman"/>
          <w:color w:val="auto"/>
          <w:sz w:val="24"/>
          <w:szCs w:val="24"/>
          <w:highlight w:val="none"/>
        </w:rPr>
        <w:t>3</w:t>
      </w:r>
      <w:r>
        <w:rPr>
          <w:rStyle w:val="19"/>
          <w:rFonts w:hint="default"/>
          <w:color w:val="auto"/>
          <w:sz w:val="24"/>
          <w:szCs w:val="20"/>
          <w:highlight w:val="none"/>
        </w:rPr>
        <w:t>目约定的期限内完成合同工程。合同工程实际完工时间在合同工程完工证书中明确（以完工验收鉴定书或竣工验收鉴定书标明的验收日期为准，没有标明验收日期的则以印发鉴定书的日期为准）</w:t>
      </w:r>
      <w:r>
        <w:rPr>
          <w:rStyle w:val="19"/>
          <w:rFonts w:hint="default" w:hAnsi="Times New Roman" w:cs="Times New Roman"/>
          <w:color w:val="auto"/>
          <w:sz w:val="24"/>
          <w:szCs w:val="24"/>
          <w:highlight w:val="none"/>
          <w:lang w:val="en-US" w:bidi="en-US"/>
        </w:rPr>
        <w:t>。</w:t>
      </w:r>
    </w:p>
    <w:p w14:paraId="4322BE27">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695" w:name="_Toc7284"/>
      <w:bookmarkStart w:id="696" w:name="_Toc1391"/>
      <w:bookmarkStart w:id="697" w:name="bookmark1174"/>
      <w:bookmarkStart w:id="698" w:name="bookmark1176"/>
      <w:bookmarkStart w:id="699" w:name="_Toc256000086"/>
      <w:bookmarkStart w:id="700" w:name="bookmark1175"/>
      <w:r>
        <w:rPr>
          <w:rStyle w:val="19"/>
          <w:rFonts w:hint="default" w:ascii="宋体" w:hAnsi="宋体" w:eastAsia="宋体"/>
          <w:color w:val="auto"/>
          <w:sz w:val="24"/>
          <w:szCs w:val="20"/>
          <w:highlight w:val="none"/>
          <w:lang w:eastAsia="zh-CN"/>
        </w:rPr>
        <w:t>11.3发包人的工期延误</w:t>
      </w:r>
      <w:bookmarkEnd w:id="695"/>
      <w:bookmarkEnd w:id="696"/>
      <w:bookmarkEnd w:id="697"/>
      <w:bookmarkEnd w:id="698"/>
      <w:bookmarkEnd w:id="699"/>
      <w:bookmarkEnd w:id="700"/>
    </w:p>
    <w:p w14:paraId="534052BA">
      <w:pPr>
        <w:pStyle w:val="31"/>
        <w:pageBreakBefore w:val="0"/>
        <w:widowControl w:val="0"/>
        <w:kinsoku/>
        <w:wordWrap/>
        <w:overflowPunct/>
        <w:topLinePunct w:val="0"/>
        <w:autoSpaceDE/>
        <w:autoSpaceDN/>
        <w:bidi w:val="0"/>
        <w:adjustRightInd/>
        <w:snapToGrid/>
        <w:spacing w:beforeLines="0" w:after="140" w:afterLines="0" w:line="440" w:lineRule="exact"/>
        <w:ind w:firstLine="440"/>
        <w:jc w:val="both"/>
        <w:textAlignment w:val="auto"/>
        <w:rPr>
          <w:rStyle w:val="19"/>
          <w:rFonts w:hint="default"/>
          <w:color w:val="auto"/>
          <w:sz w:val="24"/>
          <w:szCs w:val="20"/>
          <w:highlight w:val="none"/>
        </w:rPr>
      </w:pPr>
      <w:r>
        <w:rPr>
          <w:rStyle w:val="19"/>
          <w:rFonts w:hint="default"/>
          <w:color w:val="auto"/>
          <w:sz w:val="24"/>
          <w:szCs w:val="20"/>
          <w:highlight w:val="none"/>
        </w:rPr>
        <w:t>在履行合同过程中，由于发包人的下列原因造成工期延误的，承包人有权要求发包人延长工期和(或)增加费用，并支付合理利润。需要修订合同进度计划的，按照第</w:t>
      </w:r>
      <w:r>
        <w:rPr>
          <w:rStyle w:val="19"/>
          <w:rFonts w:hint="eastAsia" w:ascii="Times New Roman" w:hAnsi="Times New Roman" w:eastAsia="Times New Roman" w:cs="Times New Roman"/>
          <w:color w:val="auto"/>
          <w:sz w:val="24"/>
          <w:szCs w:val="24"/>
          <w:highlight w:val="none"/>
          <w:lang w:val="en-US" w:bidi="en-US"/>
        </w:rPr>
        <w:t xml:space="preserve">10. </w:t>
      </w:r>
      <w:r>
        <w:rPr>
          <w:rStyle w:val="19"/>
          <w:rFonts w:hint="eastAsia" w:ascii="Times New Roman" w:hAnsi="Times New Roman" w:eastAsia="Times New Roman" w:cs="Times New Roman"/>
          <w:color w:val="auto"/>
          <w:sz w:val="24"/>
          <w:szCs w:val="24"/>
          <w:highlight w:val="none"/>
        </w:rPr>
        <w:t>2</w:t>
      </w:r>
      <w:r>
        <w:rPr>
          <w:rStyle w:val="19"/>
          <w:rFonts w:hint="default"/>
          <w:color w:val="auto"/>
          <w:sz w:val="24"/>
          <w:szCs w:val="20"/>
          <w:highlight w:val="none"/>
        </w:rPr>
        <w:t>款的约定办理。</w:t>
      </w:r>
    </w:p>
    <w:p w14:paraId="3BAEA63C">
      <w:pPr>
        <w:pStyle w:val="31"/>
        <w:pageBreakBefore w:val="0"/>
        <w:widowControl w:val="0"/>
        <w:numPr>
          <w:ilvl w:val="0"/>
          <w:numId w:val="8"/>
        </w:numPr>
        <w:tabs>
          <w:tab w:val="left" w:pos="923"/>
        </w:tabs>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bookmarkStart w:id="701" w:name="bookmark1177"/>
      <w:bookmarkEnd w:id="701"/>
      <w:r>
        <w:rPr>
          <w:rStyle w:val="19"/>
          <w:rFonts w:hint="default"/>
          <w:color w:val="auto"/>
          <w:sz w:val="24"/>
          <w:szCs w:val="20"/>
          <w:highlight w:val="none"/>
        </w:rPr>
        <w:t>增加合同工作内容；</w:t>
      </w:r>
    </w:p>
    <w:p w14:paraId="5B96C503">
      <w:pPr>
        <w:pStyle w:val="31"/>
        <w:pageBreakBefore w:val="0"/>
        <w:widowControl w:val="0"/>
        <w:numPr>
          <w:ilvl w:val="0"/>
          <w:numId w:val="8"/>
        </w:numPr>
        <w:tabs>
          <w:tab w:val="left" w:pos="903"/>
        </w:tabs>
        <w:kinsoku/>
        <w:wordWrap/>
        <w:overflowPunct/>
        <w:topLinePunct w:val="0"/>
        <w:autoSpaceDE/>
        <w:autoSpaceDN/>
        <w:bidi w:val="0"/>
        <w:adjustRightInd/>
        <w:snapToGrid/>
        <w:spacing w:beforeLines="0" w:afterLines="0" w:line="440" w:lineRule="exact"/>
        <w:ind w:firstLine="420"/>
        <w:textAlignment w:val="auto"/>
        <w:rPr>
          <w:rStyle w:val="19"/>
          <w:rFonts w:hint="default"/>
          <w:color w:val="auto"/>
          <w:sz w:val="24"/>
          <w:szCs w:val="20"/>
          <w:highlight w:val="none"/>
        </w:rPr>
      </w:pPr>
      <w:bookmarkStart w:id="702" w:name="bookmark1178"/>
      <w:bookmarkEnd w:id="702"/>
      <w:r>
        <w:rPr>
          <w:rStyle w:val="19"/>
          <w:rFonts w:hint="default"/>
          <w:color w:val="auto"/>
          <w:sz w:val="24"/>
          <w:szCs w:val="20"/>
          <w:highlight w:val="none"/>
        </w:rPr>
        <w:t>改变合同中任何一项工作的质量要求或其他特性；</w:t>
      </w:r>
    </w:p>
    <w:p w14:paraId="6EEEB903">
      <w:pPr>
        <w:pStyle w:val="31"/>
        <w:pageBreakBefore w:val="0"/>
        <w:widowControl w:val="0"/>
        <w:numPr>
          <w:ilvl w:val="0"/>
          <w:numId w:val="8"/>
        </w:numPr>
        <w:tabs>
          <w:tab w:val="left" w:pos="903"/>
        </w:tabs>
        <w:kinsoku/>
        <w:wordWrap/>
        <w:overflowPunct/>
        <w:topLinePunct w:val="0"/>
        <w:autoSpaceDE/>
        <w:autoSpaceDN/>
        <w:bidi w:val="0"/>
        <w:adjustRightInd/>
        <w:snapToGrid/>
        <w:spacing w:beforeLines="0" w:afterLines="0" w:line="440" w:lineRule="exact"/>
        <w:ind w:firstLine="420"/>
        <w:textAlignment w:val="auto"/>
        <w:rPr>
          <w:rStyle w:val="19"/>
          <w:rFonts w:hint="default"/>
          <w:color w:val="auto"/>
          <w:sz w:val="24"/>
          <w:szCs w:val="20"/>
          <w:highlight w:val="none"/>
        </w:rPr>
      </w:pPr>
      <w:bookmarkStart w:id="703" w:name="bookmark1179"/>
      <w:bookmarkEnd w:id="703"/>
      <w:r>
        <w:rPr>
          <w:rStyle w:val="19"/>
          <w:rFonts w:hint="default"/>
          <w:color w:val="auto"/>
          <w:sz w:val="24"/>
          <w:szCs w:val="20"/>
          <w:highlight w:val="none"/>
        </w:rPr>
        <w:t>发包人迟延提供材料、工程设备或变更交货地点的；</w:t>
      </w:r>
    </w:p>
    <w:p w14:paraId="1352BFCE">
      <w:pPr>
        <w:pStyle w:val="31"/>
        <w:pageBreakBefore w:val="0"/>
        <w:widowControl w:val="0"/>
        <w:numPr>
          <w:ilvl w:val="0"/>
          <w:numId w:val="8"/>
        </w:numPr>
        <w:tabs>
          <w:tab w:val="left" w:pos="903"/>
        </w:tabs>
        <w:kinsoku/>
        <w:wordWrap/>
        <w:overflowPunct/>
        <w:topLinePunct w:val="0"/>
        <w:autoSpaceDE/>
        <w:autoSpaceDN/>
        <w:bidi w:val="0"/>
        <w:adjustRightInd/>
        <w:snapToGrid/>
        <w:spacing w:beforeLines="0" w:afterLines="0" w:line="440" w:lineRule="exact"/>
        <w:ind w:firstLine="420"/>
        <w:textAlignment w:val="auto"/>
        <w:rPr>
          <w:rStyle w:val="19"/>
          <w:rFonts w:hint="default"/>
          <w:color w:val="auto"/>
          <w:sz w:val="24"/>
          <w:szCs w:val="20"/>
          <w:highlight w:val="none"/>
        </w:rPr>
      </w:pPr>
      <w:bookmarkStart w:id="704" w:name="bookmark1180"/>
      <w:bookmarkEnd w:id="704"/>
      <w:r>
        <w:rPr>
          <w:rStyle w:val="19"/>
          <w:rFonts w:hint="default"/>
          <w:color w:val="auto"/>
          <w:sz w:val="24"/>
          <w:szCs w:val="20"/>
          <w:highlight w:val="none"/>
        </w:rPr>
        <w:t>因发包人原因导致的暂停施工；</w:t>
      </w:r>
    </w:p>
    <w:p w14:paraId="46DC690E">
      <w:pPr>
        <w:pStyle w:val="31"/>
        <w:pageBreakBefore w:val="0"/>
        <w:widowControl w:val="0"/>
        <w:numPr>
          <w:ilvl w:val="0"/>
          <w:numId w:val="8"/>
        </w:numPr>
        <w:tabs>
          <w:tab w:val="left" w:pos="903"/>
        </w:tabs>
        <w:kinsoku/>
        <w:wordWrap/>
        <w:overflowPunct/>
        <w:topLinePunct w:val="0"/>
        <w:autoSpaceDE/>
        <w:autoSpaceDN/>
        <w:bidi w:val="0"/>
        <w:adjustRightInd/>
        <w:snapToGrid/>
        <w:spacing w:beforeLines="0" w:afterLines="0" w:line="440" w:lineRule="exact"/>
        <w:ind w:firstLine="420"/>
        <w:textAlignment w:val="auto"/>
        <w:rPr>
          <w:rStyle w:val="19"/>
          <w:rFonts w:hint="default"/>
          <w:color w:val="auto"/>
          <w:sz w:val="24"/>
          <w:szCs w:val="20"/>
          <w:highlight w:val="none"/>
        </w:rPr>
      </w:pPr>
      <w:bookmarkStart w:id="705" w:name="bookmark1181"/>
      <w:bookmarkEnd w:id="705"/>
      <w:r>
        <w:rPr>
          <w:rStyle w:val="19"/>
          <w:rFonts w:hint="default"/>
          <w:color w:val="auto"/>
          <w:sz w:val="24"/>
          <w:szCs w:val="20"/>
          <w:highlight w:val="none"/>
        </w:rPr>
        <w:t>提供图纸延误；</w:t>
      </w:r>
    </w:p>
    <w:p w14:paraId="2A06B6C7">
      <w:pPr>
        <w:pStyle w:val="31"/>
        <w:pageBreakBefore w:val="0"/>
        <w:widowControl w:val="0"/>
        <w:numPr>
          <w:ilvl w:val="0"/>
          <w:numId w:val="8"/>
        </w:numPr>
        <w:tabs>
          <w:tab w:val="left" w:pos="903"/>
        </w:tabs>
        <w:kinsoku/>
        <w:wordWrap/>
        <w:overflowPunct/>
        <w:topLinePunct w:val="0"/>
        <w:autoSpaceDE/>
        <w:autoSpaceDN/>
        <w:bidi w:val="0"/>
        <w:adjustRightInd/>
        <w:snapToGrid/>
        <w:spacing w:beforeLines="0" w:afterLines="0" w:line="440" w:lineRule="exact"/>
        <w:ind w:firstLine="420"/>
        <w:textAlignment w:val="auto"/>
        <w:rPr>
          <w:rStyle w:val="19"/>
          <w:rFonts w:hint="default"/>
          <w:color w:val="auto"/>
          <w:sz w:val="24"/>
          <w:szCs w:val="20"/>
          <w:highlight w:val="none"/>
        </w:rPr>
      </w:pPr>
      <w:bookmarkStart w:id="706" w:name="bookmark1182"/>
      <w:bookmarkEnd w:id="706"/>
      <w:r>
        <w:rPr>
          <w:rStyle w:val="19"/>
          <w:rFonts w:hint="default"/>
          <w:color w:val="auto"/>
          <w:sz w:val="24"/>
          <w:szCs w:val="20"/>
          <w:highlight w:val="none"/>
        </w:rPr>
        <w:t>未按合同约定及时支付预付款、进度款；</w:t>
      </w:r>
    </w:p>
    <w:p w14:paraId="4C689079">
      <w:pPr>
        <w:pStyle w:val="31"/>
        <w:pageBreakBefore w:val="0"/>
        <w:widowControl w:val="0"/>
        <w:numPr>
          <w:ilvl w:val="0"/>
          <w:numId w:val="8"/>
        </w:numPr>
        <w:tabs>
          <w:tab w:val="left" w:pos="903"/>
        </w:tabs>
        <w:kinsoku/>
        <w:wordWrap/>
        <w:overflowPunct/>
        <w:topLinePunct w:val="0"/>
        <w:autoSpaceDE/>
        <w:autoSpaceDN/>
        <w:bidi w:val="0"/>
        <w:adjustRightInd/>
        <w:snapToGrid/>
        <w:spacing w:beforeLines="0" w:afterLines="0" w:line="440" w:lineRule="exact"/>
        <w:ind w:firstLine="420"/>
        <w:textAlignment w:val="auto"/>
        <w:rPr>
          <w:rStyle w:val="19"/>
          <w:rFonts w:hint="default"/>
          <w:color w:val="auto"/>
          <w:sz w:val="24"/>
          <w:szCs w:val="20"/>
          <w:highlight w:val="none"/>
        </w:rPr>
      </w:pPr>
      <w:bookmarkStart w:id="707" w:name="bookmark1183"/>
      <w:bookmarkEnd w:id="707"/>
      <w:r>
        <w:rPr>
          <w:rStyle w:val="19"/>
          <w:rFonts w:hint="default"/>
          <w:color w:val="auto"/>
          <w:sz w:val="24"/>
          <w:szCs w:val="20"/>
          <w:highlight w:val="none"/>
        </w:rPr>
        <w:t>发包人造成工期延误的其他原因。</w:t>
      </w:r>
    </w:p>
    <w:p w14:paraId="340B7ADF">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708" w:name="_Toc10371"/>
      <w:bookmarkStart w:id="709" w:name="bookmark1185"/>
      <w:bookmarkStart w:id="710" w:name="bookmark1184"/>
      <w:bookmarkStart w:id="711" w:name="bookmark1186"/>
      <w:bookmarkStart w:id="712" w:name="_Toc256000087"/>
      <w:bookmarkStart w:id="713" w:name="_Toc14471"/>
      <w:r>
        <w:rPr>
          <w:rStyle w:val="19"/>
          <w:rFonts w:hint="default" w:ascii="宋体" w:hAnsi="宋体" w:eastAsia="宋体"/>
          <w:color w:val="auto"/>
          <w:sz w:val="24"/>
          <w:szCs w:val="20"/>
          <w:highlight w:val="none"/>
          <w:lang w:eastAsia="zh-CN"/>
        </w:rPr>
        <w:t>11.4异常恶劣的气候条件</w:t>
      </w:r>
      <w:bookmarkEnd w:id="708"/>
      <w:bookmarkEnd w:id="709"/>
      <w:bookmarkEnd w:id="710"/>
      <w:bookmarkEnd w:id="711"/>
      <w:bookmarkEnd w:id="712"/>
      <w:bookmarkEnd w:id="713"/>
    </w:p>
    <w:p w14:paraId="72A47E4A">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11.4.1</w:t>
      </w:r>
      <w:r>
        <w:rPr>
          <w:rStyle w:val="19"/>
          <w:rFonts w:hint="default"/>
          <w:color w:val="auto"/>
          <w:sz w:val="24"/>
          <w:szCs w:val="20"/>
          <w:highlight w:val="none"/>
        </w:rPr>
        <w:t>当工程所在地发生危及施工安全的异常恶劣气候时，发包人和承包人应按本合同通用合同条款第</w:t>
      </w:r>
      <w:r>
        <w:rPr>
          <w:rStyle w:val="19"/>
          <w:rFonts w:hint="eastAsia" w:ascii="Times New Roman" w:hAnsi="Times New Roman" w:eastAsia="Times New Roman" w:cs="Times New Roman"/>
          <w:color w:val="auto"/>
          <w:sz w:val="24"/>
          <w:szCs w:val="24"/>
          <w:highlight w:val="none"/>
        </w:rPr>
        <w:t>12</w:t>
      </w:r>
      <w:r>
        <w:rPr>
          <w:rStyle w:val="19"/>
          <w:rFonts w:hint="default"/>
          <w:color w:val="auto"/>
          <w:sz w:val="24"/>
          <w:szCs w:val="20"/>
          <w:highlight w:val="none"/>
        </w:rPr>
        <w:t>条的约定，及时采取暂停施工或部分暂停施工措施。异常恶劣气候条件解除后，承包人应及时安排复工。</w:t>
      </w:r>
    </w:p>
    <w:p w14:paraId="4A755184">
      <w:pPr>
        <w:pStyle w:val="31"/>
        <w:pageBreakBefore w:val="0"/>
        <w:widowControl w:val="0"/>
        <w:kinsoku/>
        <w:wordWrap/>
        <w:overflowPunct/>
        <w:topLinePunct w:val="0"/>
        <w:autoSpaceDE/>
        <w:autoSpaceDN/>
        <w:bidi w:val="0"/>
        <w:adjustRightInd/>
        <w:snapToGrid/>
        <w:spacing w:beforeLines="0" w:after="140" w:afterLines="0" w:line="440" w:lineRule="exact"/>
        <w:ind w:firstLine="44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11.4.2</w:t>
      </w:r>
      <w:r>
        <w:rPr>
          <w:rStyle w:val="19"/>
          <w:rFonts w:hint="default"/>
          <w:color w:val="auto"/>
          <w:sz w:val="24"/>
          <w:szCs w:val="20"/>
          <w:highlight w:val="none"/>
        </w:rPr>
        <w:t>异常恶劣气候条件造成的工期延误和工程损坏，应由发包人与承包人参照本合同通用合同条款第</w:t>
      </w:r>
      <w:r>
        <w:rPr>
          <w:rStyle w:val="19"/>
          <w:rFonts w:hint="eastAsia" w:ascii="Times New Roman" w:hAnsi="Times New Roman" w:eastAsia="Times New Roman" w:cs="Times New Roman"/>
          <w:color w:val="auto"/>
          <w:sz w:val="24"/>
          <w:szCs w:val="24"/>
          <w:highlight w:val="none"/>
          <w:lang w:val="en-US" w:bidi="en-US"/>
        </w:rPr>
        <w:t xml:space="preserve">21. </w:t>
      </w:r>
      <w:r>
        <w:rPr>
          <w:rStyle w:val="19"/>
          <w:rFonts w:hint="eastAsia" w:ascii="Times New Roman" w:hAnsi="Times New Roman" w:eastAsia="Times New Roman" w:cs="Times New Roman"/>
          <w:color w:val="auto"/>
          <w:sz w:val="24"/>
          <w:szCs w:val="24"/>
          <w:highlight w:val="none"/>
        </w:rPr>
        <w:t>3</w:t>
      </w:r>
      <w:r>
        <w:rPr>
          <w:rStyle w:val="19"/>
          <w:rFonts w:hint="default"/>
          <w:color w:val="auto"/>
          <w:sz w:val="24"/>
          <w:szCs w:val="20"/>
          <w:highlight w:val="none"/>
        </w:rPr>
        <w:t>款的约定共同协商处理。</w:t>
      </w:r>
    </w:p>
    <w:p w14:paraId="33C7C2F5">
      <w:pPr>
        <w:pStyle w:val="31"/>
        <w:pageBreakBefore w:val="0"/>
        <w:widowControl w:val="0"/>
        <w:kinsoku/>
        <w:wordWrap/>
        <w:overflowPunct/>
        <w:topLinePunct w:val="0"/>
        <w:autoSpaceDE/>
        <w:autoSpaceDN/>
        <w:bidi w:val="0"/>
        <w:adjustRightInd/>
        <w:snapToGrid/>
        <w:spacing w:beforeLines="0" w:afterLines="0" w:line="440" w:lineRule="exact"/>
        <w:ind w:firstLine="420"/>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11.4.</w:t>
      </w:r>
      <w:r>
        <w:rPr>
          <w:rStyle w:val="19"/>
          <w:rFonts w:hint="eastAsia" w:ascii="Times New Roman" w:hAnsi="Times New Roman" w:eastAsia="Times New Roman" w:cs="Times New Roman"/>
          <w:color w:val="auto"/>
          <w:sz w:val="24"/>
          <w:szCs w:val="24"/>
          <w:highlight w:val="none"/>
        </w:rPr>
        <w:t>3</w:t>
      </w:r>
      <w:r>
        <w:rPr>
          <w:rStyle w:val="19"/>
          <w:rFonts w:hint="default"/>
          <w:color w:val="auto"/>
          <w:sz w:val="24"/>
          <w:szCs w:val="20"/>
          <w:highlight w:val="none"/>
        </w:rPr>
        <w:t>本合同工程界定异常恶劣气候条件的范围在专用合同条款中约定。</w:t>
      </w:r>
    </w:p>
    <w:p w14:paraId="49771716">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714" w:name="bookmark1187"/>
      <w:bookmarkStart w:id="715" w:name="_Toc1075"/>
      <w:bookmarkStart w:id="716" w:name="bookmark1188"/>
      <w:bookmarkStart w:id="717" w:name="_Toc22626"/>
      <w:bookmarkStart w:id="718" w:name="_Toc256000088"/>
      <w:bookmarkStart w:id="719" w:name="bookmark1189"/>
      <w:r>
        <w:rPr>
          <w:rStyle w:val="19"/>
          <w:rFonts w:hint="default" w:ascii="宋体" w:hAnsi="宋体" w:eastAsia="宋体"/>
          <w:color w:val="auto"/>
          <w:sz w:val="24"/>
          <w:szCs w:val="20"/>
          <w:highlight w:val="none"/>
          <w:lang w:eastAsia="zh-CN"/>
        </w:rPr>
        <w:t>11.5承包人工期延误</w:t>
      </w:r>
      <w:bookmarkEnd w:id="714"/>
      <w:bookmarkEnd w:id="715"/>
      <w:bookmarkEnd w:id="716"/>
      <w:bookmarkEnd w:id="717"/>
      <w:bookmarkEnd w:id="718"/>
      <w:bookmarkEnd w:id="719"/>
    </w:p>
    <w:p w14:paraId="12845E9C">
      <w:pPr>
        <w:pStyle w:val="31"/>
        <w:pageBreakBefore w:val="0"/>
        <w:widowControl w:val="0"/>
        <w:kinsoku/>
        <w:wordWrap/>
        <w:overflowPunct/>
        <w:topLinePunct w:val="0"/>
        <w:autoSpaceDE/>
        <w:autoSpaceDN/>
        <w:bidi w:val="0"/>
        <w:adjustRightInd/>
        <w:snapToGrid/>
        <w:spacing w:beforeLines="0" w:after="140" w:afterLines="0" w:line="440" w:lineRule="exact"/>
        <w:ind w:firstLine="440"/>
        <w:jc w:val="both"/>
        <w:textAlignment w:val="auto"/>
        <w:rPr>
          <w:rStyle w:val="19"/>
          <w:rFonts w:hint="default"/>
          <w:color w:val="auto"/>
          <w:sz w:val="24"/>
          <w:szCs w:val="20"/>
          <w:highlight w:val="none"/>
        </w:rPr>
      </w:pPr>
      <w:r>
        <w:rPr>
          <w:rStyle w:val="19"/>
          <w:rFonts w:hint="default"/>
          <w:color w:val="auto"/>
          <w:sz w:val="24"/>
          <w:szCs w:val="20"/>
          <w:highlight w:val="none"/>
        </w:rPr>
        <w:t>由于承包人原因，未能按合同进度计划完成工作，或监理人认为承包人施工进度不能满足合同工期要求的，承包人应采取措施加快进度，并承担加快进度所增加的费用。由于承包人原因造成工期延误，承包人应支付逾期竣工违约金。逾期竣工违约金的计算方法在专用合同条款中约定。承包人支付逾期竣工违约金，不免除承包人完成工程及修补缺陷的义务。</w:t>
      </w:r>
    </w:p>
    <w:p w14:paraId="58F1D931">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720" w:name="bookmark1192"/>
      <w:bookmarkStart w:id="721" w:name="bookmark1190"/>
      <w:bookmarkStart w:id="722" w:name="bookmark1191"/>
      <w:bookmarkStart w:id="723" w:name="_Toc14969"/>
      <w:bookmarkStart w:id="724" w:name="_Toc256000089"/>
      <w:bookmarkStart w:id="725" w:name="_Toc474"/>
      <w:r>
        <w:rPr>
          <w:rStyle w:val="19"/>
          <w:rFonts w:hint="default" w:ascii="宋体" w:hAnsi="宋体" w:eastAsia="宋体"/>
          <w:color w:val="auto"/>
          <w:sz w:val="24"/>
          <w:szCs w:val="20"/>
          <w:highlight w:val="none"/>
          <w:lang w:eastAsia="zh-CN"/>
        </w:rPr>
        <w:t>11.6工期提前</w:t>
      </w:r>
      <w:bookmarkEnd w:id="720"/>
      <w:bookmarkEnd w:id="721"/>
      <w:bookmarkEnd w:id="722"/>
      <w:bookmarkEnd w:id="723"/>
      <w:bookmarkEnd w:id="724"/>
      <w:bookmarkEnd w:id="725"/>
    </w:p>
    <w:p w14:paraId="78BAD090">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r>
        <w:rPr>
          <w:rStyle w:val="19"/>
          <w:rFonts w:hint="default"/>
          <w:color w:val="auto"/>
          <w:sz w:val="24"/>
          <w:szCs w:val="20"/>
          <w:highlight w:val="none"/>
        </w:rPr>
        <w:t>发包人要求承包人提前完工，或承包人提出提前完工的建议能够给发包人带来效益的， 应由监理人与承包人共同协商采取加快工程进度的措施和修订合同进度计划。发包人应承担承包人由此增加的费用，并向承包人支付专用合同条款约定的相应奖金。</w:t>
      </w:r>
    </w:p>
    <w:p w14:paraId="7978ED5D">
      <w:pPr>
        <w:pStyle w:val="31"/>
        <w:pageBreakBefore w:val="0"/>
        <w:widowControl w:val="0"/>
        <w:kinsoku/>
        <w:wordWrap/>
        <w:overflowPunct/>
        <w:topLinePunct w:val="0"/>
        <w:autoSpaceDE/>
        <w:autoSpaceDN/>
        <w:bidi w:val="0"/>
        <w:adjustRightInd/>
        <w:snapToGrid/>
        <w:spacing w:beforeLines="0" w:after="140" w:afterLines="0" w:line="440" w:lineRule="exact"/>
        <w:ind w:firstLine="420"/>
        <w:textAlignment w:val="auto"/>
        <w:rPr>
          <w:rStyle w:val="19"/>
          <w:rFonts w:hint="default"/>
          <w:color w:val="auto"/>
          <w:sz w:val="24"/>
          <w:szCs w:val="20"/>
          <w:highlight w:val="none"/>
        </w:rPr>
      </w:pPr>
      <w:r>
        <w:rPr>
          <w:rStyle w:val="19"/>
          <w:rFonts w:hint="default"/>
          <w:color w:val="auto"/>
          <w:sz w:val="24"/>
          <w:szCs w:val="20"/>
          <w:highlight w:val="none"/>
        </w:rPr>
        <w:t>发包人要求提前完工的，双方协商一致后应签订提前完工协议，协议内容包括：</w:t>
      </w:r>
    </w:p>
    <w:p w14:paraId="32FC4B9C">
      <w:pPr>
        <w:pStyle w:val="31"/>
        <w:pageBreakBefore w:val="0"/>
        <w:widowControl w:val="0"/>
        <w:numPr>
          <w:ilvl w:val="0"/>
          <w:numId w:val="9"/>
        </w:numPr>
        <w:tabs>
          <w:tab w:val="left" w:pos="903"/>
        </w:tabs>
        <w:kinsoku/>
        <w:wordWrap/>
        <w:overflowPunct/>
        <w:topLinePunct w:val="0"/>
        <w:autoSpaceDE/>
        <w:autoSpaceDN/>
        <w:bidi w:val="0"/>
        <w:adjustRightInd/>
        <w:snapToGrid/>
        <w:spacing w:beforeLines="0" w:afterLines="0" w:line="440" w:lineRule="exact"/>
        <w:ind w:firstLine="420"/>
        <w:textAlignment w:val="auto"/>
        <w:rPr>
          <w:rStyle w:val="19"/>
          <w:rFonts w:hint="default"/>
          <w:color w:val="auto"/>
          <w:sz w:val="24"/>
          <w:szCs w:val="20"/>
          <w:highlight w:val="none"/>
        </w:rPr>
      </w:pPr>
      <w:bookmarkStart w:id="726" w:name="bookmark1193"/>
      <w:bookmarkEnd w:id="726"/>
      <w:r>
        <w:rPr>
          <w:rStyle w:val="19"/>
          <w:rFonts w:hint="default"/>
          <w:color w:val="auto"/>
          <w:sz w:val="24"/>
          <w:szCs w:val="20"/>
          <w:highlight w:val="none"/>
        </w:rPr>
        <w:t>提前的时间和修订后的进度计划。</w:t>
      </w:r>
    </w:p>
    <w:p w14:paraId="3FFD9C9B">
      <w:pPr>
        <w:pStyle w:val="31"/>
        <w:pageBreakBefore w:val="0"/>
        <w:widowControl w:val="0"/>
        <w:numPr>
          <w:ilvl w:val="0"/>
          <w:numId w:val="9"/>
        </w:numPr>
        <w:tabs>
          <w:tab w:val="left" w:pos="903"/>
        </w:tabs>
        <w:kinsoku/>
        <w:wordWrap/>
        <w:overflowPunct/>
        <w:topLinePunct w:val="0"/>
        <w:autoSpaceDE/>
        <w:autoSpaceDN/>
        <w:bidi w:val="0"/>
        <w:adjustRightInd/>
        <w:snapToGrid/>
        <w:spacing w:beforeLines="0" w:afterLines="0" w:line="440" w:lineRule="exact"/>
        <w:ind w:firstLine="420"/>
        <w:textAlignment w:val="auto"/>
        <w:rPr>
          <w:rStyle w:val="19"/>
          <w:rFonts w:hint="default"/>
          <w:color w:val="auto"/>
          <w:sz w:val="24"/>
          <w:szCs w:val="20"/>
          <w:highlight w:val="none"/>
        </w:rPr>
      </w:pPr>
      <w:bookmarkStart w:id="727" w:name="bookmark1194"/>
      <w:bookmarkEnd w:id="727"/>
      <w:r>
        <w:rPr>
          <w:rStyle w:val="19"/>
          <w:rFonts w:hint="default"/>
          <w:color w:val="auto"/>
          <w:sz w:val="24"/>
          <w:szCs w:val="20"/>
          <w:highlight w:val="none"/>
        </w:rPr>
        <w:t>承包人的赶工措施。</w:t>
      </w:r>
    </w:p>
    <w:p w14:paraId="6E92773A">
      <w:pPr>
        <w:pStyle w:val="31"/>
        <w:pageBreakBefore w:val="0"/>
        <w:widowControl w:val="0"/>
        <w:numPr>
          <w:ilvl w:val="0"/>
          <w:numId w:val="9"/>
        </w:numPr>
        <w:tabs>
          <w:tab w:val="left" w:pos="923"/>
        </w:tabs>
        <w:kinsoku/>
        <w:wordWrap/>
        <w:overflowPunct/>
        <w:topLinePunct w:val="0"/>
        <w:autoSpaceDE/>
        <w:autoSpaceDN/>
        <w:bidi w:val="0"/>
        <w:adjustRightInd/>
        <w:snapToGrid/>
        <w:spacing w:beforeLines="0" w:afterLines="0" w:line="440" w:lineRule="exact"/>
        <w:ind w:firstLine="440"/>
        <w:textAlignment w:val="auto"/>
        <w:rPr>
          <w:rStyle w:val="19"/>
          <w:rFonts w:hint="default"/>
          <w:color w:val="auto"/>
          <w:sz w:val="24"/>
          <w:szCs w:val="20"/>
          <w:highlight w:val="none"/>
        </w:rPr>
      </w:pPr>
      <w:r>
        <w:rPr>
          <w:rStyle w:val="19"/>
          <w:rFonts w:hint="default"/>
          <w:color w:val="auto"/>
          <w:sz w:val="24"/>
          <w:szCs w:val="20"/>
          <w:highlight w:val="none"/>
        </w:rPr>
        <w:t>发包人为赶工提供的条件。</w:t>
      </w:r>
    </w:p>
    <w:p w14:paraId="5EEC40D1">
      <w:pPr>
        <w:pStyle w:val="31"/>
        <w:pageBreakBefore w:val="0"/>
        <w:widowControl w:val="0"/>
        <w:numPr>
          <w:ilvl w:val="0"/>
          <w:numId w:val="9"/>
        </w:numPr>
        <w:tabs>
          <w:tab w:val="left" w:pos="923"/>
        </w:tabs>
        <w:kinsoku/>
        <w:wordWrap/>
        <w:overflowPunct/>
        <w:topLinePunct w:val="0"/>
        <w:autoSpaceDE/>
        <w:autoSpaceDN/>
        <w:bidi w:val="0"/>
        <w:adjustRightInd/>
        <w:snapToGrid/>
        <w:spacing w:beforeLines="0" w:after="280" w:afterLines="0" w:line="440" w:lineRule="exact"/>
        <w:ind w:firstLine="440"/>
        <w:textAlignment w:val="auto"/>
        <w:rPr>
          <w:rStyle w:val="19"/>
          <w:rFonts w:hint="default"/>
          <w:color w:val="auto"/>
          <w:sz w:val="24"/>
          <w:szCs w:val="20"/>
          <w:highlight w:val="none"/>
        </w:rPr>
      </w:pPr>
      <w:bookmarkStart w:id="728" w:name="bookmark1196"/>
      <w:bookmarkEnd w:id="728"/>
      <w:r>
        <w:rPr>
          <w:rStyle w:val="19"/>
          <w:rFonts w:hint="default"/>
          <w:color w:val="auto"/>
          <w:sz w:val="24"/>
          <w:szCs w:val="20"/>
          <w:highlight w:val="none"/>
        </w:rPr>
        <w:t>赶工费用(包括利润和奖金)</w:t>
      </w:r>
    </w:p>
    <w:p w14:paraId="295A0288">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eastAsia"/>
          <w:color w:val="auto"/>
          <w:sz w:val="24"/>
          <w:szCs w:val="20"/>
          <w:highlight w:val="none"/>
          <w:lang w:eastAsia="zh-CN"/>
        </w:rPr>
      </w:pPr>
      <w:bookmarkStart w:id="729" w:name="bookmark1198"/>
      <w:bookmarkStart w:id="730" w:name="_Toc8400"/>
      <w:bookmarkStart w:id="731" w:name="bookmark1199"/>
      <w:bookmarkStart w:id="732" w:name="bookmark1197"/>
      <w:bookmarkStart w:id="733" w:name="_Toc3335"/>
      <w:bookmarkStart w:id="734" w:name="_Toc256000090"/>
      <w:r>
        <w:rPr>
          <w:rStyle w:val="19"/>
          <w:rFonts w:hint="eastAsia"/>
          <w:color w:val="auto"/>
          <w:sz w:val="24"/>
          <w:szCs w:val="20"/>
          <w:highlight w:val="none"/>
          <w:lang w:eastAsia="zh-CN"/>
        </w:rPr>
        <w:t>12.</w:t>
      </w:r>
      <w:r>
        <w:rPr>
          <w:rStyle w:val="19"/>
          <w:rFonts w:hint="default" w:ascii="宋体" w:eastAsia="宋体"/>
          <w:color w:val="auto"/>
          <w:sz w:val="24"/>
          <w:szCs w:val="20"/>
          <w:highlight w:val="none"/>
          <w:lang w:eastAsia="zh-CN"/>
        </w:rPr>
        <w:t>暂停施工</w:t>
      </w:r>
      <w:bookmarkEnd w:id="729"/>
      <w:bookmarkEnd w:id="730"/>
      <w:bookmarkEnd w:id="731"/>
      <w:bookmarkEnd w:id="732"/>
      <w:bookmarkEnd w:id="733"/>
      <w:bookmarkEnd w:id="734"/>
    </w:p>
    <w:p w14:paraId="719EDF7E">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735" w:name="bookmark1200"/>
      <w:bookmarkStart w:id="736" w:name="bookmark1201"/>
      <w:bookmarkStart w:id="737" w:name="bookmark1202"/>
      <w:bookmarkStart w:id="738" w:name="_Toc25279"/>
      <w:bookmarkStart w:id="739" w:name="_Toc11440"/>
      <w:bookmarkStart w:id="740" w:name="_Toc256000091"/>
      <w:r>
        <w:rPr>
          <w:rStyle w:val="19"/>
          <w:rFonts w:hint="default" w:ascii="宋体" w:hAnsi="宋体" w:eastAsia="宋体"/>
          <w:color w:val="auto"/>
          <w:sz w:val="24"/>
          <w:szCs w:val="20"/>
          <w:highlight w:val="none"/>
          <w:lang w:eastAsia="zh-CN"/>
        </w:rPr>
        <w:t>12.1承包人暂停施工的责任</w:t>
      </w:r>
      <w:bookmarkEnd w:id="735"/>
      <w:bookmarkEnd w:id="736"/>
      <w:bookmarkEnd w:id="737"/>
      <w:bookmarkEnd w:id="738"/>
      <w:bookmarkEnd w:id="739"/>
      <w:bookmarkEnd w:id="740"/>
    </w:p>
    <w:p w14:paraId="69144B2B">
      <w:pPr>
        <w:pStyle w:val="31"/>
        <w:pageBreakBefore w:val="0"/>
        <w:widowControl w:val="0"/>
        <w:kinsoku/>
        <w:wordWrap/>
        <w:overflowPunct/>
        <w:topLinePunct w:val="0"/>
        <w:autoSpaceDE/>
        <w:autoSpaceDN/>
        <w:bidi w:val="0"/>
        <w:adjustRightInd/>
        <w:snapToGrid/>
        <w:spacing w:beforeLines="0" w:afterLines="0" w:line="440" w:lineRule="exact"/>
        <w:ind w:firstLine="442"/>
        <w:textAlignment w:val="auto"/>
        <w:rPr>
          <w:rStyle w:val="19"/>
          <w:rFonts w:hint="default"/>
          <w:color w:val="auto"/>
          <w:sz w:val="24"/>
          <w:szCs w:val="20"/>
          <w:highlight w:val="none"/>
        </w:rPr>
      </w:pPr>
      <w:r>
        <w:rPr>
          <w:rStyle w:val="19"/>
          <w:rFonts w:hint="default"/>
          <w:color w:val="auto"/>
          <w:sz w:val="24"/>
          <w:szCs w:val="20"/>
          <w:highlight w:val="none"/>
        </w:rPr>
        <w:t>因下列暂停施工增加的费用和(或)工期延误由承包人承担：</w:t>
      </w:r>
    </w:p>
    <w:p w14:paraId="085B04A9">
      <w:pPr>
        <w:pStyle w:val="31"/>
        <w:pageBreakBefore w:val="0"/>
        <w:widowControl w:val="0"/>
        <w:numPr>
          <w:ilvl w:val="0"/>
          <w:numId w:val="10"/>
        </w:numPr>
        <w:tabs>
          <w:tab w:val="left" w:pos="923"/>
        </w:tabs>
        <w:kinsoku/>
        <w:wordWrap/>
        <w:overflowPunct/>
        <w:topLinePunct w:val="0"/>
        <w:autoSpaceDE/>
        <w:autoSpaceDN/>
        <w:bidi w:val="0"/>
        <w:adjustRightInd/>
        <w:snapToGrid/>
        <w:spacing w:beforeLines="0" w:afterLines="0" w:line="440" w:lineRule="exact"/>
        <w:ind w:firstLine="442"/>
        <w:textAlignment w:val="auto"/>
        <w:rPr>
          <w:rStyle w:val="19"/>
          <w:rFonts w:hint="default"/>
          <w:color w:val="auto"/>
          <w:sz w:val="24"/>
          <w:szCs w:val="20"/>
          <w:highlight w:val="none"/>
        </w:rPr>
      </w:pPr>
      <w:bookmarkStart w:id="741" w:name="bookmark1203"/>
      <w:bookmarkEnd w:id="741"/>
      <w:r>
        <w:rPr>
          <w:rStyle w:val="19"/>
          <w:rFonts w:hint="default"/>
          <w:color w:val="auto"/>
          <w:sz w:val="24"/>
          <w:szCs w:val="20"/>
          <w:highlight w:val="none"/>
        </w:rPr>
        <w:t>承包人违约引起的暂停施工；</w:t>
      </w:r>
    </w:p>
    <w:p w14:paraId="08AF2868">
      <w:pPr>
        <w:pStyle w:val="31"/>
        <w:pageBreakBefore w:val="0"/>
        <w:widowControl w:val="0"/>
        <w:numPr>
          <w:ilvl w:val="0"/>
          <w:numId w:val="10"/>
        </w:numPr>
        <w:tabs>
          <w:tab w:val="left" w:pos="923"/>
        </w:tabs>
        <w:kinsoku/>
        <w:wordWrap/>
        <w:overflowPunct/>
        <w:topLinePunct w:val="0"/>
        <w:autoSpaceDE/>
        <w:autoSpaceDN/>
        <w:bidi w:val="0"/>
        <w:adjustRightInd/>
        <w:snapToGrid/>
        <w:spacing w:beforeLines="0" w:afterLines="0" w:line="440" w:lineRule="exact"/>
        <w:ind w:firstLine="442"/>
        <w:textAlignment w:val="auto"/>
        <w:rPr>
          <w:rStyle w:val="19"/>
          <w:rFonts w:hint="default"/>
          <w:color w:val="auto"/>
          <w:sz w:val="24"/>
          <w:szCs w:val="20"/>
          <w:highlight w:val="none"/>
        </w:rPr>
      </w:pPr>
      <w:bookmarkStart w:id="742" w:name="bookmark1204"/>
      <w:bookmarkEnd w:id="742"/>
      <w:r>
        <w:rPr>
          <w:rStyle w:val="19"/>
          <w:rFonts w:hint="default"/>
          <w:color w:val="auto"/>
          <w:sz w:val="24"/>
          <w:szCs w:val="20"/>
          <w:highlight w:val="none"/>
        </w:rPr>
        <w:t>由于承包人原因为工程合理施工和安全保障所必需的暂停施工；</w:t>
      </w:r>
    </w:p>
    <w:p w14:paraId="1C657DF6">
      <w:pPr>
        <w:pStyle w:val="31"/>
        <w:pageBreakBefore w:val="0"/>
        <w:widowControl w:val="0"/>
        <w:numPr>
          <w:ilvl w:val="0"/>
          <w:numId w:val="10"/>
        </w:numPr>
        <w:tabs>
          <w:tab w:val="left" w:pos="923"/>
        </w:tabs>
        <w:kinsoku/>
        <w:wordWrap/>
        <w:overflowPunct/>
        <w:topLinePunct w:val="0"/>
        <w:autoSpaceDE/>
        <w:autoSpaceDN/>
        <w:bidi w:val="0"/>
        <w:adjustRightInd/>
        <w:snapToGrid/>
        <w:spacing w:beforeLines="0" w:afterLines="0" w:line="440" w:lineRule="exact"/>
        <w:ind w:firstLine="442"/>
        <w:textAlignment w:val="auto"/>
        <w:rPr>
          <w:rStyle w:val="19"/>
          <w:rFonts w:hint="default"/>
          <w:color w:val="auto"/>
          <w:sz w:val="24"/>
          <w:szCs w:val="20"/>
          <w:highlight w:val="none"/>
        </w:rPr>
      </w:pPr>
      <w:bookmarkStart w:id="743" w:name="bookmark1205"/>
      <w:bookmarkEnd w:id="743"/>
      <w:r>
        <w:rPr>
          <w:rStyle w:val="19"/>
          <w:rFonts w:hint="default"/>
          <w:color w:val="auto"/>
          <w:sz w:val="24"/>
          <w:szCs w:val="20"/>
          <w:highlight w:val="none"/>
        </w:rPr>
        <w:t>承包人擅自暂停施工；</w:t>
      </w:r>
    </w:p>
    <w:p w14:paraId="29ADF443">
      <w:pPr>
        <w:pStyle w:val="31"/>
        <w:pageBreakBefore w:val="0"/>
        <w:widowControl w:val="0"/>
        <w:numPr>
          <w:ilvl w:val="0"/>
          <w:numId w:val="10"/>
        </w:numPr>
        <w:tabs>
          <w:tab w:val="left" w:pos="923"/>
        </w:tabs>
        <w:kinsoku/>
        <w:wordWrap/>
        <w:overflowPunct/>
        <w:topLinePunct w:val="0"/>
        <w:autoSpaceDE/>
        <w:autoSpaceDN/>
        <w:bidi w:val="0"/>
        <w:adjustRightInd/>
        <w:snapToGrid/>
        <w:spacing w:beforeLines="0" w:afterLines="0" w:line="440" w:lineRule="exact"/>
        <w:ind w:firstLine="442"/>
        <w:textAlignment w:val="auto"/>
        <w:rPr>
          <w:rStyle w:val="19"/>
          <w:rFonts w:hint="default"/>
          <w:color w:val="auto"/>
          <w:sz w:val="24"/>
          <w:szCs w:val="20"/>
          <w:highlight w:val="none"/>
        </w:rPr>
      </w:pPr>
      <w:bookmarkStart w:id="744" w:name="bookmark1206"/>
      <w:bookmarkEnd w:id="744"/>
      <w:r>
        <w:rPr>
          <w:rStyle w:val="19"/>
          <w:rFonts w:hint="default"/>
          <w:color w:val="auto"/>
          <w:sz w:val="24"/>
          <w:szCs w:val="20"/>
          <w:highlight w:val="none"/>
        </w:rPr>
        <w:t>承包人其他原因引起的暂停施工；</w:t>
      </w:r>
    </w:p>
    <w:p w14:paraId="1EC4ED21">
      <w:pPr>
        <w:pStyle w:val="31"/>
        <w:pageBreakBefore w:val="0"/>
        <w:widowControl w:val="0"/>
        <w:numPr>
          <w:ilvl w:val="0"/>
          <w:numId w:val="10"/>
        </w:numPr>
        <w:tabs>
          <w:tab w:val="left" w:pos="923"/>
        </w:tabs>
        <w:kinsoku/>
        <w:wordWrap/>
        <w:overflowPunct/>
        <w:topLinePunct w:val="0"/>
        <w:autoSpaceDE/>
        <w:autoSpaceDN/>
        <w:bidi w:val="0"/>
        <w:adjustRightInd/>
        <w:snapToGrid/>
        <w:spacing w:beforeLines="0" w:after="120" w:afterLines="0" w:line="440" w:lineRule="exact"/>
        <w:ind w:firstLine="442"/>
        <w:textAlignment w:val="auto"/>
        <w:rPr>
          <w:rStyle w:val="19"/>
          <w:rFonts w:hint="default"/>
          <w:color w:val="auto"/>
          <w:sz w:val="24"/>
          <w:szCs w:val="20"/>
          <w:highlight w:val="none"/>
        </w:rPr>
      </w:pPr>
      <w:bookmarkStart w:id="745" w:name="bookmark1207"/>
      <w:bookmarkEnd w:id="745"/>
      <w:r>
        <w:rPr>
          <w:rStyle w:val="19"/>
          <w:rFonts w:hint="default"/>
          <w:color w:val="auto"/>
          <w:sz w:val="24"/>
          <w:szCs w:val="20"/>
          <w:highlight w:val="none"/>
        </w:rPr>
        <w:t>专用合同条款约定由承包人承担的其他暂停施工。</w:t>
      </w:r>
    </w:p>
    <w:p w14:paraId="1FC067D7">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746" w:name="_Toc19655"/>
      <w:bookmarkStart w:id="747" w:name="bookmark1208"/>
      <w:bookmarkStart w:id="748" w:name="bookmark1210"/>
      <w:bookmarkStart w:id="749" w:name="_Toc16980"/>
      <w:bookmarkStart w:id="750" w:name="bookmark1209"/>
      <w:bookmarkStart w:id="751" w:name="_Toc256000092"/>
      <w:r>
        <w:rPr>
          <w:rStyle w:val="19"/>
          <w:rFonts w:hint="default" w:ascii="宋体" w:hAnsi="宋体" w:eastAsia="宋体"/>
          <w:color w:val="auto"/>
          <w:sz w:val="24"/>
          <w:szCs w:val="20"/>
          <w:highlight w:val="none"/>
          <w:lang w:eastAsia="zh-CN"/>
        </w:rPr>
        <w:t>12.2发包人暂停施工的责任</w:t>
      </w:r>
      <w:bookmarkEnd w:id="746"/>
      <w:bookmarkEnd w:id="747"/>
      <w:bookmarkEnd w:id="748"/>
      <w:bookmarkEnd w:id="749"/>
      <w:bookmarkEnd w:id="750"/>
      <w:bookmarkEnd w:id="751"/>
    </w:p>
    <w:p w14:paraId="67484567">
      <w:pPr>
        <w:pStyle w:val="31"/>
        <w:pageBreakBefore w:val="0"/>
        <w:widowControl w:val="0"/>
        <w:kinsoku/>
        <w:wordWrap/>
        <w:overflowPunct/>
        <w:topLinePunct w:val="0"/>
        <w:autoSpaceDE/>
        <w:autoSpaceDN/>
        <w:bidi w:val="0"/>
        <w:adjustRightInd/>
        <w:snapToGrid/>
        <w:spacing w:beforeLines="0" w:afterLines="0" w:line="440" w:lineRule="exact"/>
        <w:ind w:firstLine="442"/>
        <w:jc w:val="both"/>
        <w:textAlignment w:val="auto"/>
        <w:rPr>
          <w:rStyle w:val="19"/>
          <w:rFonts w:hint="default"/>
          <w:color w:val="auto"/>
          <w:sz w:val="24"/>
          <w:szCs w:val="20"/>
          <w:highlight w:val="none"/>
        </w:rPr>
      </w:pPr>
      <w:r>
        <w:rPr>
          <w:rStyle w:val="19"/>
          <w:rFonts w:hint="default"/>
          <w:color w:val="auto"/>
          <w:sz w:val="24"/>
          <w:szCs w:val="20"/>
          <w:highlight w:val="none"/>
        </w:rPr>
        <w:t>由于发包人原因引起的暂停施工造成工期延误的，承包人有权要求发包人延长工期和 (或)增加费用，并支付合理利润。属于下列任何一种情况引起的暂停施工，均为发包人的责任：</w:t>
      </w:r>
    </w:p>
    <w:p w14:paraId="71F0F552">
      <w:pPr>
        <w:pStyle w:val="31"/>
        <w:pageBreakBefore w:val="0"/>
        <w:widowControl w:val="0"/>
        <w:numPr>
          <w:ilvl w:val="0"/>
          <w:numId w:val="11"/>
        </w:numPr>
        <w:tabs>
          <w:tab w:val="left" w:pos="923"/>
        </w:tabs>
        <w:kinsoku/>
        <w:wordWrap/>
        <w:overflowPunct/>
        <w:topLinePunct w:val="0"/>
        <w:autoSpaceDE/>
        <w:autoSpaceDN/>
        <w:bidi w:val="0"/>
        <w:adjustRightInd/>
        <w:snapToGrid/>
        <w:spacing w:beforeLines="0" w:afterLines="0" w:line="440" w:lineRule="exact"/>
        <w:ind w:firstLine="442"/>
        <w:jc w:val="both"/>
        <w:textAlignment w:val="auto"/>
        <w:rPr>
          <w:rStyle w:val="19"/>
          <w:rFonts w:hint="default"/>
          <w:color w:val="auto"/>
          <w:sz w:val="24"/>
          <w:szCs w:val="20"/>
          <w:highlight w:val="none"/>
        </w:rPr>
      </w:pPr>
      <w:bookmarkStart w:id="752" w:name="bookmark1211"/>
      <w:bookmarkEnd w:id="752"/>
      <w:r>
        <w:rPr>
          <w:rStyle w:val="19"/>
          <w:rFonts w:hint="default"/>
          <w:color w:val="auto"/>
          <w:sz w:val="24"/>
          <w:szCs w:val="20"/>
          <w:highlight w:val="none"/>
        </w:rPr>
        <w:t>由于发包人违约引起的暂停施工。</w:t>
      </w:r>
    </w:p>
    <w:p w14:paraId="67D3C815">
      <w:pPr>
        <w:pStyle w:val="31"/>
        <w:pageBreakBefore w:val="0"/>
        <w:widowControl w:val="0"/>
        <w:numPr>
          <w:ilvl w:val="0"/>
          <w:numId w:val="11"/>
        </w:numPr>
        <w:tabs>
          <w:tab w:val="left" w:pos="923"/>
        </w:tabs>
        <w:kinsoku/>
        <w:wordWrap/>
        <w:overflowPunct/>
        <w:topLinePunct w:val="0"/>
        <w:autoSpaceDE/>
        <w:autoSpaceDN/>
        <w:bidi w:val="0"/>
        <w:adjustRightInd/>
        <w:snapToGrid/>
        <w:spacing w:beforeLines="0" w:afterLines="0" w:line="440" w:lineRule="exact"/>
        <w:ind w:firstLine="442"/>
        <w:textAlignment w:val="auto"/>
        <w:rPr>
          <w:rStyle w:val="19"/>
          <w:rFonts w:hint="default"/>
          <w:color w:val="auto"/>
          <w:sz w:val="24"/>
          <w:szCs w:val="20"/>
          <w:highlight w:val="none"/>
        </w:rPr>
      </w:pPr>
      <w:bookmarkStart w:id="753" w:name="bookmark1212"/>
      <w:bookmarkEnd w:id="753"/>
      <w:r>
        <w:rPr>
          <w:rStyle w:val="19"/>
          <w:rFonts w:hint="default"/>
          <w:color w:val="auto"/>
          <w:sz w:val="24"/>
          <w:szCs w:val="20"/>
          <w:highlight w:val="none"/>
        </w:rPr>
        <w:t>由于不可抗力的自然或社会因素引起的暂停施工。</w:t>
      </w:r>
    </w:p>
    <w:p w14:paraId="51E5FEFA">
      <w:pPr>
        <w:pStyle w:val="31"/>
        <w:pageBreakBefore w:val="0"/>
        <w:widowControl w:val="0"/>
        <w:numPr>
          <w:ilvl w:val="0"/>
          <w:numId w:val="11"/>
        </w:numPr>
        <w:tabs>
          <w:tab w:val="left" w:pos="923"/>
        </w:tabs>
        <w:kinsoku/>
        <w:wordWrap/>
        <w:overflowPunct/>
        <w:topLinePunct w:val="0"/>
        <w:autoSpaceDE/>
        <w:autoSpaceDN/>
        <w:bidi w:val="0"/>
        <w:adjustRightInd/>
        <w:snapToGrid/>
        <w:spacing w:beforeLines="0" w:after="120" w:afterLines="0" w:line="440" w:lineRule="exact"/>
        <w:ind w:firstLine="442"/>
        <w:textAlignment w:val="auto"/>
        <w:rPr>
          <w:rStyle w:val="19"/>
          <w:rFonts w:hint="default"/>
          <w:color w:val="auto"/>
          <w:sz w:val="24"/>
          <w:szCs w:val="20"/>
          <w:highlight w:val="none"/>
        </w:rPr>
      </w:pPr>
      <w:bookmarkStart w:id="754" w:name="bookmark1213"/>
      <w:bookmarkEnd w:id="754"/>
      <w:r>
        <w:rPr>
          <w:rStyle w:val="19"/>
          <w:rFonts w:hint="default"/>
          <w:color w:val="auto"/>
          <w:sz w:val="24"/>
          <w:szCs w:val="20"/>
          <w:highlight w:val="none"/>
        </w:rPr>
        <w:t>专用合同条款中约定的其它由于发包人原因引起的暂停施工。</w:t>
      </w:r>
    </w:p>
    <w:p w14:paraId="446D823B">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755" w:name="_Toc15099"/>
      <w:bookmarkStart w:id="756" w:name="bookmark1215"/>
      <w:bookmarkStart w:id="757" w:name="bookmark1214"/>
      <w:bookmarkStart w:id="758" w:name="bookmark1216"/>
      <w:bookmarkStart w:id="759" w:name="_Toc256000093"/>
      <w:bookmarkStart w:id="760" w:name="_Toc4901"/>
      <w:r>
        <w:rPr>
          <w:rStyle w:val="19"/>
          <w:rFonts w:hint="default" w:ascii="宋体" w:hAnsi="宋体" w:eastAsia="宋体"/>
          <w:color w:val="auto"/>
          <w:sz w:val="24"/>
          <w:szCs w:val="20"/>
          <w:highlight w:val="none"/>
          <w:lang w:eastAsia="zh-CN"/>
        </w:rPr>
        <w:t>12.3监理人暂停施工指示</w:t>
      </w:r>
      <w:bookmarkEnd w:id="755"/>
      <w:bookmarkEnd w:id="756"/>
      <w:bookmarkEnd w:id="757"/>
      <w:bookmarkEnd w:id="758"/>
      <w:bookmarkEnd w:id="759"/>
      <w:bookmarkEnd w:id="760"/>
    </w:p>
    <w:p w14:paraId="2285CB89">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12.3.1</w:t>
      </w:r>
      <w:r>
        <w:rPr>
          <w:rStyle w:val="19"/>
          <w:rFonts w:hint="default"/>
          <w:color w:val="auto"/>
          <w:sz w:val="24"/>
          <w:szCs w:val="20"/>
          <w:highlight w:val="none"/>
        </w:rPr>
        <w:t>监理人认为有必要时，可向承包人作出暂停施工的指示，承包人应按监理人指示暂停施工。不论由于何种原因引起的暂停施工，暂停施工期间承包人应负责妥善保护工程并提供安全保障。</w:t>
      </w:r>
    </w:p>
    <w:p w14:paraId="2818C686">
      <w:pPr>
        <w:pStyle w:val="31"/>
        <w:pageBreakBefore w:val="0"/>
        <w:widowControl w:val="0"/>
        <w:kinsoku/>
        <w:wordWrap/>
        <w:overflowPunct/>
        <w:topLinePunct w:val="0"/>
        <w:autoSpaceDE/>
        <w:autoSpaceDN/>
        <w:bidi w:val="0"/>
        <w:adjustRightInd/>
        <w:snapToGrid/>
        <w:spacing w:beforeLines="0" w:after="120" w:afterLines="0" w:line="440" w:lineRule="exact"/>
        <w:ind w:firstLine="44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12.3.2</w:t>
      </w:r>
      <w:r>
        <w:rPr>
          <w:rStyle w:val="19"/>
          <w:rFonts w:hint="default"/>
          <w:color w:val="auto"/>
          <w:sz w:val="24"/>
          <w:szCs w:val="20"/>
          <w:highlight w:val="none"/>
        </w:rPr>
        <w:t>由于发包人的原因发生暂停施工的紧急情况，且监理人未及时下达暂停施工指示的，承包人可先暂停施工，并及时向监理人提出暂停施工的书面请求。监理人应在接到书面请求后的</w:t>
      </w:r>
      <w:r>
        <w:rPr>
          <w:rStyle w:val="19"/>
          <w:rFonts w:hint="eastAsia" w:ascii="Times New Roman" w:hAnsi="Times New Roman" w:eastAsia="Times New Roman" w:cs="Times New Roman"/>
          <w:color w:val="auto"/>
          <w:sz w:val="24"/>
          <w:szCs w:val="24"/>
          <w:highlight w:val="none"/>
        </w:rPr>
        <w:t>24</w:t>
      </w:r>
      <w:r>
        <w:rPr>
          <w:rStyle w:val="19"/>
          <w:rFonts w:hint="default"/>
          <w:color w:val="auto"/>
          <w:sz w:val="24"/>
          <w:szCs w:val="20"/>
          <w:highlight w:val="none"/>
        </w:rPr>
        <w:t>小时内予以答复，逾期未答复的，视为同意承包人的暂停施工请求。</w:t>
      </w:r>
    </w:p>
    <w:p w14:paraId="778B88A7">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761" w:name="bookmark1217"/>
      <w:bookmarkStart w:id="762" w:name="_Toc256000094"/>
      <w:bookmarkStart w:id="763" w:name="bookmark1219"/>
      <w:bookmarkStart w:id="764" w:name="_Toc14048"/>
      <w:bookmarkStart w:id="765" w:name="bookmark1218"/>
      <w:bookmarkStart w:id="766" w:name="_Toc7679"/>
      <w:r>
        <w:rPr>
          <w:rStyle w:val="19"/>
          <w:rFonts w:hint="default" w:ascii="宋体" w:hAnsi="宋体" w:eastAsia="宋体"/>
          <w:color w:val="auto"/>
          <w:sz w:val="24"/>
          <w:szCs w:val="20"/>
          <w:highlight w:val="none"/>
          <w:lang w:eastAsia="zh-CN"/>
        </w:rPr>
        <w:t>12.4暂停施工后的复工</w:t>
      </w:r>
      <w:bookmarkEnd w:id="761"/>
      <w:bookmarkEnd w:id="762"/>
      <w:bookmarkEnd w:id="763"/>
      <w:bookmarkEnd w:id="764"/>
      <w:bookmarkEnd w:id="765"/>
      <w:bookmarkEnd w:id="766"/>
    </w:p>
    <w:p w14:paraId="4BFBECDC">
      <w:pPr>
        <w:pStyle w:val="31"/>
        <w:pageBreakBefore w:val="0"/>
        <w:widowControl w:val="0"/>
        <w:kinsoku/>
        <w:wordWrap/>
        <w:overflowPunct/>
        <w:topLinePunct w:val="0"/>
        <w:autoSpaceDE/>
        <w:autoSpaceDN/>
        <w:bidi w:val="0"/>
        <w:adjustRightInd/>
        <w:snapToGrid/>
        <w:spacing w:beforeLines="0" w:after="120" w:afterLines="0" w:line="440" w:lineRule="exact"/>
        <w:ind w:firstLine="440"/>
        <w:jc w:val="both"/>
        <w:textAlignment w:val="auto"/>
        <w:rPr>
          <w:rStyle w:val="19"/>
          <w:rFonts w:hint="eastAsia" w:ascii="Times New Roman" w:hAnsi="Times New Roman" w:eastAsia="Times New Roman" w:cs="Times New Roman"/>
          <w:color w:val="auto"/>
          <w:sz w:val="24"/>
          <w:szCs w:val="24"/>
          <w:highlight w:val="none"/>
        </w:rPr>
      </w:pPr>
      <w:bookmarkStart w:id="767" w:name="bookmark1220"/>
      <w:bookmarkEnd w:id="767"/>
      <w:r>
        <w:rPr>
          <w:rStyle w:val="19"/>
          <w:rFonts w:hint="eastAsia" w:ascii="Times New Roman" w:hAnsi="Times New Roman" w:eastAsia="Times New Roman" w:cs="Times New Roman"/>
          <w:color w:val="auto"/>
          <w:sz w:val="24"/>
          <w:szCs w:val="24"/>
          <w:highlight w:val="none"/>
        </w:rPr>
        <w:t>12.4.1</w:t>
      </w:r>
      <w:r>
        <w:rPr>
          <w:rStyle w:val="19"/>
          <w:rFonts w:hint="default" w:hAnsi="Times New Roman" w:cs="Times New Roman"/>
          <w:color w:val="auto"/>
          <w:sz w:val="24"/>
          <w:szCs w:val="24"/>
          <w:highlight w:val="none"/>
        </w:rPr>
        <w:t>暂停施工后，监理人应与发包人和承包人协商，采取有效措施积极消除暂停施工的影响。当工程具备复工条件时，监理人应立即向承包人发出复工通知。承包人收到复工通知后，应在监理人指定的期限内复工。</w:t>
      </w:r>
    </w:p>
    <w:p w14:paraId="7811B1E3">
      <w:pPr>
        <w:pStyle w:val="31"/>
        <w:pageBreakBefore w:val="0"/>
        <w:widowControl w:val="0"/>
        <w:kinsoku/>
        <w:wordWrap/>
        <w:overflowPunct/>
        <w:topLinePunct w:val="0"/>
        <w:autoSpaceDE/>
        <w:autoSpaceDN/>
        <w:bidi w:val="0"/>
        <w:adjustRightInd/>
        <w:snapToGrid/>
        <w:spacing w:beforeLines="0" w:after="120" w:afterLines="0" w:line="440" w:lineRule="exact"/>
        <w:ind w:firstLine="440"/>
        <w:jc w:val="both"/>
        <w:textAlignment w:val="auto"/>
        <w:rPr>
          <w:rStyle w:val="19"/>
          <w:rFonts w:hint="default"/>
          <w:color w:val="auto"/>
          <w:sz w:val="24"/>
          <w:szCs w:val="20"/>
          <w:highlight w:val="none"/>
        </w:rPr>
      </w:pPr>
      <w:bookmarkStart w:id="768" w:name="bookmark1221"/>
      <w:bookmarkEnd w:id="768"/>
      <w:r>
        <w:rPr>
          <w:rStyle w:val="19"/>
          <w:rFonts w:hint="eastAsia" w:ascii="Times New Roman" w:hAnsi="Times New Roman" w:eastAsia="Times New Roman" w:cs="Times New Roman"/>
          <w:color w:val="auto"/>
          <w:sz w:val="24"/>
          <w:szCs w:val="24"/>
          <w:highlight w:val="none"/>
        </w:rPr>
        <w:t>12</w:t>
      </w:r>
      <w:r>
        <w:rPr>
          <w:rStyle w:val="19"/>
          <w:rFonts w:hint="eastAsia" w:ascii="Times New Roman" w:hAnsi="Times New Roman" w:eastAsia="Times New Roman" w:cs="Times New Roman"/>
          <w:color w:val="auto"/>
          <w:sz w:val="24"/>
          <w:szCs w:val="24"/>
          <w:highlight w:val="none"/>
          <w:lang w:val="en-US"/>
        </w:rPr>
        <w:t>.4.</w:t>
      </w:r>
      <w:r>
        <w:rPr>
          <w:rStyle w:val="19"/>
          <w:rFonts w:hint="eastAsia" w:ascii="Times New Roman" w:hAnsi="Times New Roman" w:eastAsia="Times New Roman" w:cs="Times New Roman"/>
          <w:color w:val="auto"/>
          <w:sz w:val="24"/>
          <w:szCs w:val="24"/>
          <w:highlight w:val="none"/>
        </w:rPr>
        <w:t>2</w:t>
      </w:r>
      <w:r>
        <w:rPr>
          <w:rStyle w:val="19"/>
          <w:rFonts w:hint="default" w:hAnsi="Times New Roman" w:cs="Times New Roman"/>
          <w:color w:val="auto"/>
          <w:sz w:val="24"/>
          <w:szCs w:val="24"/>
          <w:highlight w:val="none"/>
        </w:rPr>
        <w:t>承</w:t>
      </w:r>
      <w:r>
        <w:rPr>
          <w:rStyle w:val="19"/>
          <w:rFonts w:hint="default"/>
          <w:color w:val="auto"/>
          <w:sz w:val="24"/>
          <w:szCs w:val="20"/>
          <w:highlight w:val="none"/>
        </w:rPr>
        <w:t>包人无故拖延和拒绝复工的，由此增加的费用和工期延误由承包人承担；因发包人原因无法按时复工的，承包人有权要求发包人延长工期和(或)增加费用，并支付合理利润。</w:t>
      </w:r>
    </w:p>
    <w:p w14:paraId="304B4ACE">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769" w:name="bookmark1195"/>
      <w:bookmarkEnd w:id="769"/>
      <w:bookmarkStart w:id="770" w:name="_Toc24826"/>
      <w:bookmarkStart w:id="771" w:name="bookmark1222"/>
      <w:bookmarkStart w:id="772" w:name="_Toc256000095"/>
      <w:bookmarkStart w:id="773" w:name="_Toc6811"/>
      <w:bookmarkStart w:id="774" w:name="bookmark1223"/>
      <w:bookmarkStart w:id="775" w:name="bookmark1224"/>
      <w:r>
        <w:rPr>
          <w:rStyle w:val="19"/>
          <w:rFonts w:hint="default" w:ascii="宋体" w:hAnsi="宋体" w:eastAsia="宋体"/>
          <w:color w:val="auto"/>
          <w:sz w:val="24"/>
          <w:szCs w:val="20"/>
          <w:highlight w:val="none"/>
          <w:lang w:eastAsia="zh-CN"/>
        </w:rPr>
        <w:t>12.5暂停施工持续56天以上</w:t>
      </w:r>
      <w:bookmarkEnd w:id="770"/>
      <w:bookmarkEnd w:id="771"/>
      <w:bookmarkEnd w:id="772"/>
      <w:bookmarkEnd w:id="773"/>
      <w:bookmarkEnd w:id="774"/>
      <w:bookmarkEnd w:id="775"/>
    </w:p>
    <w:p w14:paraId="4D9BFDF8">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12.5.1</w:t>
      </w:r>
      <w:r>
        <w:rPr>
          <w:rStyle w:val="19"/>
          <w:rFonts w:hint="default"/>
          <w:color w:val="auto"/>
          <w:sz w:val="24"/>
          <w:szCs w:val="20"/>
          <w:highlight w:val="none"/>
        </w:rPr>
        <w:t>监理人发出暂停施工指示后</w:t>
      </w:r>
      <w:r>
        <w:rPr>
          <w:rStyle w:val="19"/>
          <w:rFonts w:hint="eastAsia" w:ascii="Times New Roman" w:hAnsi="Times New Roman" w:eastAsia="Times New Roman" w:cs="Times New Roman"/>
          <w:color w:val="auto"/>
          <w:sz w:val="24"/>
          <w:szCs w:val="24"/>
          <w:highlight w:val="none"/>
        </w:rPr>
        <w:t>56</w:t>
      </w:r>
      <w:r>
        <w:rPr>
          <w:rStyle w:val="19"/>
          <w:rFonts w:hint="default"/>
          <w:color w:val="auto"/>
          <w:sz w:val="24"/>
          <w:szCs w:val="20"/>
          <w:highlight w:val="none"/>
        </w:rPr>
        <w:t>天内未向承包人发出复工通知，除了该项停工属于第</w:t>
      </w:r>
      <w:r>
        <w:rPr>
          <w:rStyle w:val="19"/>
          <w:rFonts w:hint="eastAsia" w:ascii="Times New Roman" w:hAnsi="Times New Roman" w:eastAsia="Times New Roman" w:cs="Times New Roman"/>
          <w:color w:val="auto"/>
          <w:sz w:val="24"/>
          <w:szCs w:val="24"/>
          <w:highlight w:val="none"/>
          <w:lang w:val="en-US" w:bidi="en-US"/>
        </w:rPr>
        <w:t>12.1</w:t>
      </w:r>
      <w:r>
        <w:rPr>
          <w:rStyle w:val="19"/>
          <w:rFonts w:hint="default"/>
          <w:color w:val="auto"/>
          <w:sz w:val="24"/>
          <w:szCs w:val="20"/>
          <w:highlight w:val="none"/>
        </w:rPr>
        <w:t xml:space="preserve">款的情况外，承包人可向监理人提交书面通知，要求监理人在收到书面通知后 </w:t>
      </w:r>
      <w:r>
        <w:rPr>
          <w:rStyle w:val="19"/>
          <w:rFonts w:hint="eastAsia" w:ascii="Times New Roman" w:hAnsi="Times New Roman" w:eastAsia="Times New Roman" w:cs="Times New Roman"/>
          <w:color w:val="auto"/>
          <w:sz w:val="24"/>
          <w:szCs w:val="24"/>
          <w:highlight w:val="none"/>
        </w:rPr>
        <w:t>28</w:t>
      </w:r>
      <w:r>
        <w:rPr>
          <w:rStyle w:val="19"/>
          <w:rFonts w:hint="default"/>
          <w:color w:val="auto"/>
          <w:sz w:val="24"/>
          <w:szCs w:val="20"/>
          <w:highlight w:val="none"/>
        </w:rPr>
        <w:t>天内准许已暂停施工的工程或其中一部分工程继续施工。如监理人逾期不予批准，则承包人可以通知监理人，将工程受影响的部分视为按第</w:t>
      </w:r>
      <w:r>
        <w:rPr>
          <w:rStyle w:val="19"/>
          <w:rFonts w:hint="eastAsia" w:ascii="Times New Roman" w:hAnsi="Times New Roman" w:eastAsia="Times New Roman" w:cs="Times New Roman"/>
          <w:color w:val="auto"/>
          <w:sz w:val="24"/>
          <w:szCs w:val="24"/>
          <w:highlight w:val="none"/>
          <w:lang w:val="en-US" w:bidi="en-US"/>
        </w:rPr>
        <w:t xml:space="preserve">15.1 </w:t>
      </w:r>
      <w:r>
        <w:rPr>
          <w:rStyle w:val="19"/>
          <w:rFonts w:hint="eastAsia" w:ascii="Times New Roman" w:hAnsi="Times New Roman" w:eastAsia="Times New Roman" w:cs="Times New Roman"/>
          <w:color w:val="auto"/>
          <w:sz w:val="24"/>
          <w:szCs w:val="24"/>
          <w:highlight w:val="none"/>
        </w:rPr>
        <w:t>(1)</w:t>
      </w:r>
      <w:r>
        <w:rPr>
          <w:rStyle w:val="19"/>
          <w:rFonts w:hint="default"/>
          <w:color w:val="auto"/>
          <w:sz w:val="24"/>
          <w:szCs w:val="20"/>
          <w:highlight w:val="none"/>
        </w:rPr>
        <w:t>项的可取消工作。如暂停 施工影响到整个工程，可视为发包人违约，应按第</w:t>
      </w:r>
      <w:r>
        <w:rPr>
          <w:rStyle w:val="19"/>
          <w:rFonts w:hint="eastAsia" w:ascii="Times New Roman" w:hAnsi="Times New Roman" w:eastAsia="Times New Roman" w:cs="Times New Roman"/>
          <w:color w:val="auto"/>
          <w:sz w:val="24"/>
          <w:szCs w:val="24"/>
          <w:highlight w:val="none"/>
          <w:lang w:val="en-US" w:bidi="en-US"/>
        </w:rPr>
        <w:t xml:space="preserve">22. </w:t>
      </w:r>
      <w:r>
        <w:rPr>
          <w:rStyle w:val="19"/>
          <w:rFonts w:hint="eastAsia" w:ascii="Times New Roman" w:hAnsi="Times New Roman" w:eastAsia="Times New Roman" w:cs="Times New Roman"/>
          <w:color w:val="auto"/>
          <w:sz w:val="24"/>
          <w:szCs w:val="24"/>
          <w:highlight w:val="none"/>
        </w:rPr>
        <w:t>2</w:t>
      </w:r>
      <w:r>
        <w:rPr>
          <w:rStyle w:val="19"/>
          <w:rFonts w:hint="default"/>
          <w:color w:val="auto"/>
          <w:sz w:val="24"/>
          <w:szCs w:val="20"/>
          <w:highlight w:val="none"/>
        </w:rPr>
        <w:t>款的约定办理。</w:t>
      </w:r>
    </w:p>
    <w:p w14:paraId="453673AF">
      <w:pPr>
        <w:pStyle w:val="31"/>
        <w:pageBreakBefore w:val="0"/>
        <w:widowControl w:val="0"/>
        <w:kinsoku/>
        <w:wordWrap/>
        <w:overflowPunct/>
        <w:topLinePunct w:val="0"/>
        <w:autoSpaceDE/>
        <w:autoSpaceDN/>
        <w:bidi w:val="0"/>
        <w:adjustRightInd/>
        <w:snapToGrid/>
        <w:spacing w:beforeLines="0" w:after="280" w:afterLines="0" w:line="440" w:lineRule="exact"/>
        <w:ind w:firstLine="44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12.5.2</w:t>
      </w:r>
      <w:r>
        <w:rPr>
          <w:rStyle w:val="19"/>
          <w:rFonts w:hint="default"/>
          <w:color w:val="auto"/>
          <w:sz w:val="24"/>
          <w:szCs w:val="20"/>
          <w:highlight w:val="none"/>
        </w:rPr>
        <w:t>由于承包人责任引起的暂停施工，如承包人在收到监理人暂停施工指示后</w:t>
      </w:r>
      <w:r>
        <w:rPr>
          <w:rStyle w:val="19"/>
          <w:rFonts w:hint="eastAsia" w:ascii="Times New Roman" w:hAnsi="Times New Roman" w:eastAsia="Times New Roman" w:cs="Times New Roman"/>
          <w:color w:val="auto"/>
          <w:sz w:val="24"/>
          <w:szCs w:val="24"/>
          <w:highlight w:val="none"/>
        </w:rPr>
        <w:t xml:space="preserve">56 </w:t>
      </w:r>
      <w:r>
        <w:rPr>
          <w:rStyle w:val="19"/>
          <w:rFonts w:hint="default"/>
          <w:color w:val="auto"/>
          <w:sz w:val="24"/>
          <w:szCs w:val="20"/>
          <w:highlight w:val="none"/>
        </w:rPr>
        <w:t>天内不认真采取有效的复工措施，造成工期延误，可视为承包人违约，应按第</w:t>
      </w:r>
      <w:r>
        <w:rPr>
          <w:rStyle w:val="19"/>
          <w:rFonts w:hint="eastAsia" w:ascii="Times New Roman" w:hAnsi="Times New Roman" w:eastAsia="Times New Roman" w:cs="Times New Roman"/>
          <w:color w:val="auto"/>
          <w:sz w:val="24"/>
          <w:szCs w:val="24"/>
          <w:highlight w:val="none"/>
          <w:lang w:val="en-US" w:bidi="en-US"/>
        </w:rPr>
        <w:t>22.1</w:t>
      </w:r>
      <w:r>
        <w:rPr>
          <w:rStyle w:val="19"/>
          <w:rFonts w:hint="default"/>
          <w:color w:val="auto"/>
          <w:sz w:val="24"/>
          <w:szCs w:val="20"/>
          <w:highlight w:val="none"/>
        </w:rPr>
        <w:t>款的约定办理。</w:t>
      </w:r>
    </w:p>
    <w:p w14:paraId="3DEB2077">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eastAsia"/>
          <w:color w:val="auto"/>
          <w:sz w:val="24"/>
          <w:szCs w:val="20"/>
          <w:highlight w:val="none"/>
          <w:lang w:eastAsia="zh-CN"/>
        </w:rPr>
      </w:pPr>
      <w:bookmarkStart w:id="776" w:name="bookmark1225"/>
      <w:bookmarkStart w:id="777" w:name="_Toc256000096"/>
      <w:bookmarkStart w:id="778" w:name="_Toc6946"/>
      <w:bookmarkStart w:id="779" w:name="bookmark1226"/>
      <w:bookmarkStart w:id="780" w:name="bookmark1227"/>
      <w:bookmarkStart w:id="781" w:name="_Toc10322"/>
      <w:r>
        <w:rPr>
          <w:rStyle w:val="19"/>
          <w:rFonts w:hint="eastAsia"/>
          <w:color w:val="auto"/>
          <w:sz w:val="24"/>
          <w:szCs w:val="20"/>
          <w:highlight w:val="none"/>
          <w:lang w:eastAsia="zh-CN"/>
        </w:rPr>
        <w:t>13.</w:t>
      </w:r>
      <w:r>
        <w:rPr>
          <w:rStyle w:val="19"/>
          <w:rFonts w:hint="default" w:ascii="宋体" w:eastAsia="宋体"/>
          <w:color w:val="auto"/>
          <w:sz w:val="24"/>
          <w:szCs w:val="20"/>
          <w:highlight w:val="none"/>
          <w:lang w:eastAsia="zh-CN"/>
        </w:rPr>
        <w:t>工程质量</w:t>
      </w:r>
      <w:bookmarkEnd w:id="776"/>
      <w:bookmarkEnd w:id="777"/>
      <w:bookmarkEnd w:id="778"/>
      <w:bookmarkEnd w:id="779"/>
      <w:bookmarkEnd w:id="780"/>
      <w:bookmarkEnd w:id="781"/>
    </w:p>
    <w:p w14:paraId="444AE5FB">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782" w:name="bookmark1230"/>
      <w:bookmarkStart w:id="783" w:name="_Toc19924"/>
      <w:bookmarkStart w:id="784" w:name="_Toc256000097"/>
      <w:bookmarkStart w:id="785" w:name="bookmark1228"/>
      <w:bookmarkStart w:id="786" w:name="bookmark1229"/>
      <w:bookmarkStart w:id="787" w:name="_Toc9064"/>
      <w:r>
        <w:rPr>
          <w:rStyle w:val="19"/>
          <w:rFonts w:hint="default" w:ascii="宋体" w:hAnsi="宋体" w:eastAsia="宋体"/>
          <w:color w:val="auto"/>
          <w:sz w:val="24"/>
          <w:szCs w:val="20"/>
          <w:highlight w:val="none"/>
          <w:lang w:eastAsia="zh-CN"/>
        </w:rPr>
        <w:t>13.1工程质量要求</w:t>
      </w:r>
      <w:bookmarkEnd w:id="782"/>
      <w:bookmarkEnd w:id="783"/>
      <w:bookmarkEnd w:id="784"/>
      <w:bookmarkEnd w:id="785"/>
      <w:bookmarkEnd w:id="786"/>
      <w:bookmarkEnd w:id="787"/>
    </w:p>
    <w:p w14:paraId="40B4A5AA">
      <w:pPr>
        <w:pStyle w:val="31"/>
        <w:pageBreakBefore w:val="0"/>
        <w:widowControl w:val="0"/>
        <w:tabs>
          <w:tab w:val="left" w:pos="820"/>
        </w:tabs>
        <w:kinsoku/>
        <w:wordWrap/>
        <w:overflowPunct/>
        <w:topLinePunct w:val="0"/>
        <w:autoSpaceDE/>
        <w:autoSpaceDN/>
        <w:bidi w:val="0"/>
        <w:adjustRightInd/>
        <w:snapToGrid/>
        <w:spacing w:beforeLines="0" w:afterLines="0" w:line="440" w:lineRule="exact"/>
        <w:ind w:left="420" w:firstLine="0"/>
        <w:jc w:val="both"/>
        <w:textAlignment w:val="auto"/>
        <w:rPr>
          <w:rStyle w:val="19"/>
          <w:rFonts w:hint="default"/>
          <w:color w:val="auto"/>
          <w:sz w:val="24"/>
          <w:szCs w:val="20"/>
          <w:highlight w:val="none"/>
        </w:rPr>
      </w:pPr>
      <w:bookmarkStart w:id="788" w:name="bookmark1231"/>
      <w:bookmarkEnd w:id="788"/>
      <w:r>
        <w:rPr>
          <w:rStyle w:val="19"/>
          <w:rFonts w:hint="eastAsia" w:ascii="Times New Roman" w:hAnsi="Times New Roman" w:eastAsia="Times New Roman" w:cs="Times New Roman"/>
          <w:color w:val="auto"/>
          <w:sz w:val="24"/>
          <w:szCs w:val="24"/>
          <w:highlight w:val="none"/>
          <w:lang w:val="en-US" w:bidi="en-US"/>
        </w:rPr>
        <w:t xml:space="preserve">13.1. </w:t>
      </w:r>
      <w:r>
        <w:rPr>
          <w:rStyle w:val="19"/>
          <w:rFonts w:hint="eastAsia" w:ascii="Times New Roman" w:hAnsi="Times New Roman" w:eastAsia="Times New Roman" w:cs="Times New Roman"/>
          <w:color w:val="auto"/>
          <w:sz w:val="24"/>
          <w:szCs w:val="24"/>
          <w:highlight w:val="none"/>
        </w:rPr>
        <w:t>1</w:t>
      </w:r>
      <w:r>
        <w:rPr>
          <w:rStyle w:val="19"/>
          <w:rFonts w:hint="default"/>
          <w:color w:val="auto"/>
          <w:sz w:val="24"/>
          <w:szCs w:val="20"/>
          <w:highlight w:val="none"/>
        </w:rPr>
        <w:t>工程质量验收按合同约定验收标准执行。</w:t>
      </w:r>
    </w:p>
    <w:p w14:paraId="107CEDEB">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13.1.2</w:t>
      </w:r>
      <w:r>
        <w:rPr>
          <w:rStyle w:val="19"/>
          <w:rFonts w:hint="default"/>
          <w:color w:val="auto"/>
          <w:sz w:val="24"/>
          <w:szCs w:val="20"/>
          <w:highlight w:val="none"/>
        </w:rPr>
        <w:t>因承包人原因造成工程质量达不到合同约定验收标准的，监理人有权要求承包人返工直至符合合同要求为止，由此造成的费用增加和（或）工期延误由承包人承担。</w:t>
      </w:r>
    </w:p>
    <w:p w14:paraId="0E540D77">
      <w:pPr>
        <w:pStyle w:val="31"/>
        <w:pageBreakBefore w:val="0"/>
        <w:widowControl w:val="0"/>
        <w:kinsoku/>
        <w:wordWrap/>
        <w:overflowPunct/>
        <w:topLinePunct w:val="0"/>
        <w:autoSpaceDE/>
        <w:autoSpaceDN/>
        <w:bidi w:val="0"/>
        <w:adjustRightInd/>
        <w:snapToGrid/>
        <w:spacing w:beforeLines="0" w:after="160" w:afterLines="0" w:line="440" w:lineRule="exact"/>
        <w:ind w:firstLine="44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13.1.3</w:t>
      </w:r>
      <w:r>
        <w:rPr>
          <w:rStyle w:val="19"/>
          <w:rFonts w:hint="default"/>
          <w:color w:val="auto"/>
          <w:sz w:val="24"/>
          <w:szCs w:val="20"/>
          <w:highlight w:val="none"/>
        </w:rPr>
        <w:t>因发包人原因造成工程质量达不到合同约定验收标准的，发包人应承担由于承包人返工造成的费用增加和（或）工期延误，并支付承包人合理利润。</w:t>
      </w:r>
    </w:p>
    <w:p w14:paraId="3A5D5909">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789" w:name="bookmark1233"/>
      <w:bookmarkStart w:id="790" w:name="bookmark1234"/>
      <w:bookmarkStart w:id="791" w:name="_Toc4852"/>
      <w:bookmarkStart w:id="792" w:name="_Toc6308"/>
      <w:bookmarkStart w:id="793" w:name="_Toc256000098"/>
      <w:bookmarkStart w:id="794" w:name="bookmark1232"/>
      <w:r>
        <w:rPr>
          <w:rStyle w:val="19"/>
          <w:rFonts w:hint="default" w:ascii="宋体" w:hAnsi="宋体" w:eastAsia="宋体"/>
          <w:color w:val="auto"/>
          <w:sz w:val="24"/>
          <w:szCs w:val="20"/>
          <w:highlight w:val="none"/>
          <w:lang w:eastAsia="zh-CN"/>
        </w:rPr>
        <w:t>13.2承包人的质量管理</w:t>
      </w:r>
      <w:bookmarkEnd w:id="789"/>
      <w:bookmarkEnd w:id="790"/>
      <w:bookmarkEnd w:id="791"/>
      <w:bookmarkEnd w:id="792"/>
      <w:bookmarkEnd w:id="793"/>
      <w:bookmarkEnd w:id="794"/>
    </w:p>
    <w:p w14:paraId="10AD198C">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13.2.1</w:t>
      </w:r>
      <w:r>
        <w:rPr>
          <w:rStyle w:val="19"/>
          <w:rFonts w:hint="default"/>
          <w:color w:val="auto"/>
          <w:sz w:val="24"/>
          <w:szCs w:val="20"/>
          <w:highlight w:val="none"/>
        </w:rPr>
        <w:t>承包人应在施工场地设置专门的质量检查机构，配备专职质量检查人员，建立完善的质量检查制度。承包人应按技术标准和要求（合同技术条款）约定的内容和期限, 编制工程质量保证措施文件，包括质量检查机构的组织和岗位责任、质量检查人员的组成、质量检查程序和实施细则等，提交监理人监批。监理人应在技术标准和要求（合同技术条 款）约定期限内批复承包人。</w:t>
      </w:r>
    </w:p>
    <w:p w14:paraId="00EAD81D">
      <w:pPr>
        <w:pStyle w:val="31"/>
        <w:pageBreakBefore w:val="0"/>
        <w:widowControl w:val="0"/>
        <w:kinsoku/>
        <w:wordWrap/>
        <w:overflowPunct/>
        <w:topLinePunct w:val="0"/>
        <w:autoSpaceDE/>
        <w:autoSpaceDN/>
        <w:bidi w:val="0"/>
        <w:adjustRightInd/>
        <w:snapToGrid/>
        <w:spacing w:beforeLines="0" w:after="240" w:afterLines="0" w:line="440" w:lineRule="exact"/>
        <w:ind w:firstLine="440"/>
        <w:jc w:val="both"/>
        <w:textAlignment w:val="auto"/>
        <w:rPr>
          <w:rStyle w:val="19"/>
          <w:rFonts w:hint="default"/>
          <w:color w:val="auto"/>
          <w:sz w:val="24"/>
          <w:szCs w:val="20"/>
          <w:highlight w:val="none"/>
        </w:rPr>
      </w:pPr>
      <w:bookmarkStart w:id="795" w:name="bookmark1235"/>
      <w:bookmarkEnd w:id="795"/>
      <w:r>
        <w:rPr>
          <w:rStyle w:val="19"/>
          <w:rFonts w:hint="eastAsia" w:ascii="Times New Roman" w:hAnsi="Times New Roman" w:eastAsia="Times New Roman" w:cs="Times New Roman"/>
          <w:color w:val="auto"/>
          <w:sz w:val="24"/>
          <w:szCs w:val="24"/>
          <w:highlight w:val="none"/>
        </w:rPr>
        <w:t>13.2. 2</w:t>
      </w:r>
      <w:r>
        <w:rPr>
          <w:rStyle w:val="19"/>
          <w:rFonts w:hint="default" w:hAnsi="Times New Roman" w:cs="Times New Roman"/>
          <w:color w:val="auto"/>
          <w:sz w:val="24"/>
          <w:szCs w:val="24"/>
          <w:highlight w:val="none"/>
        </w:rPr>
        <w:t>承包人应加强对施工人员的质量教育和技术培训，定期考核施工人员的劳动 技能，严格执行规范和操作规程</w:t>
      </w:r>
      <w:r>
        <w:rPr>
          <w:rStyle w:val="19"/>
          <w:rFonts w:hint="default"/>
          <w:color w:val="auto"/>
          <w:sz w:val="24"/>
          <w:szCs w:val="20"/>
          <w:highlight w:val="none"/>
        </w:rPr>
        <w:t>。</w:t>
      </w:r>
    </w:p>
    <w:p w14:paraId="7CF933FF">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796" w:name="_Toc256000099"/>
      <w:bookmarkStart w:id="797" w:name="bookmark1238"/>
      <w:bookmarkStart w:id="798" w:name="bookmark1237"/>
      <w:bookmarkStart w:id="799" w:name="_Toc27102"/>
      <w:bookmarkStart w:id="800" w:name="_Toc19429"/>
      <w:bookmarkStart w:id="801" w:name="bookmark1236"/>
      <w:r>
        <w:rPr>
          <w:rStyle w:val="19"/>
          <w:rFonts w:hint="default" w:ascii="宋体" w:hAnsi="宋体" w:eastAsia="宋体"/>
          <w:color w:val="auto"/>
          <w:sz w:val="24"/>
          <w:szCs w:val="20"/>
          <w:highlight w:val="none"/>
          <w:lang w:eastAsia="zh-CN"/>
        </w:rPr>
        <w:t>13.3承包人的质量检查</w:t>
      </w:r>
      <w:bookmarkEnd w:id="796"/>
      <w:bookmarkEnd w:id="797"/>
      <w:bookmarkEnd w:id="798"/>
      <w:bookmarkEnd w:id="799"/>
      <w:bookmarkEnd w:id="800"/>
      <w:bookmarkEnd w:id="801"/>
    </w:p>
    <w:p w14:paraId="6CB5BBA9">
      <w:pPr>
        <w:pStyle w:val="31"/>
        <w:pageBreakBefore w:val="0"/>
        <w:widowControl w:val="0"/>
        <w:kinsoku/>
        <w:wordWrap/>
        <w:overflowPunct/>
        <w:topLinePunct w:val="0"/>
        <w:autoSpaceDE/>
        <w:autoSpaceDN/>
        <w:bidi w:val="0"/>
        <w:adjustRightInd/>
        <w:snapToGrid/>
        <w:spacing w:beforeLines="0" w:after="160" w:afterLines="0" w:line="440" w:lineRule="exact"/>
        <w:ind w:firstLine="440"/>
        <w:jc w:val="both"/>
        <w:textAlignment w:val="auto"/>
        <w:rPr>
          <w:rStyle w:val="19"/>
          <w:rFonts w:hint="default"/>
          <w:color w:val="auto"/>
          <w:sz w:val="24"/>
          <w:szCs w:val="20"/>
          <w:highlight w:val="none"/>
        </w:rPr>
      </w:pPr>
      <w:r>
        <w:rPr>
          <w:rStyle w:val="19"/>
          <w:rFonts w:hint="default"/>
          <w:color w:val="auto"/>
          <w:sz w:val="24"/>
          <w:szCs w:val="20"/>
          <w:highlight w:val="none"/>
        </w:rPr>
        <w:t>承包人应按合同约定对材料、工程设备以及工程的所有部位及其施工工艺进行全过程的质量检查和检验，并作详细记录，编制工程质量报表，报送监理人审查。</w:t>
      </w:r>
    </w:p>
    <w:p w14:paraId="1F3064E8">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802" w:name="bookmark1239"/>
      <w:bookmarkStart w:id="803" w:name="bookmark1240"/>
      <w:bookmarkStart w:id="804" w:name="bookmark1241"/>
      <w:bookmarkStart w:id="805" w:name="_Toc30829"/>
      <w:bookmarkStart w:id="806" w:name="_Toc26103"/>
      <w:bookmarkStart w:id="807" w:name="_Toc256000100"/>
      <w:r>
        <w:rPr>
          <w:rStyle w:val="19"/>
          <w:rFonts w:hint="default" w:ascii="宋体" w:hAnsi="宋体" w:eastAsia="宋体"/>
          <w:color w:val="auto"/>
          <w:sz w:val="24"/>
          <w:szCs w:val="20"/>
          <w:highlight w:val="none"/>
          <w:lang w:eastAsia="zh-CN"/>
        </w:rPr>
        <w:t>13.4监理人的质量检查</w:t>
      </w:r>
      <w:bookmarkEnd w:id="802"/>
      <w:bookmarkEnd w:id="803"/>
      <w:bookmarkEnd w:id="804"/>
      <w:bookmarkEnd w:id="805"/>
      <w:bookmarkEnd w:id="806"/>
      <w:bookmarkEnd w:id="807"/>
    </w:p>
    <w:p w14:paraId="1C224FAA">
      <w:pPr>
        <w:pStyle w:val="31"/>
        <w:pageBreakBefore w:val="0"/>
        <w:widowControl w:val="0"/>
        <w:kinsoku/>
        <w:wordWrap/>
        <w:overflowPunct/>
        <w:topLinePunct w:val="0"/>
        <w:autoSpaceDE/>
        <w:autoSpaceDN/>
        <w:bidi w:val="0"/>
        <w:adjustRightInd/>
        <w:snapToGrid/>
        <w:spacing w:beforeLines="0" w:after="160" w:afterLines="0" w:line="440" w:lineRule="exact"/>
        <w:ind w:firstLine="440"/>
        <w:jc w:val="both"/>
        <w:textAlignment w:val="auto"/>
        <w:rPr>
          <w:rStyle w:val="19"/>
          <w:rFonts w:hint="default"/>
          <w:color w:val="auto"/>
          <w:sz w:val="24"/>
          <w:szCs w:val="20"/>
          <w:highlight w:val="none"/>
        </w:rPr>
      </w:pPr>
      <w:r>
        <w:rPr>
          <w:rStyle w:val="19"/>
          <w:rFonts w:hint="default"/>
          <w:color w:val="auto"/>
          <w:sz w:val="24"/>
          <w:szCs w:val="20"/>
          <w:highlight w:val="none"/>
        </w:rPr>
        <w:t>监理人有权对工程的所有部位及其施工工艺、材料和工程设备进行检查和检验。承包人应为监理人的检查和检验提供方便，包括监理人到施工场地，或制造、加工地点，或合同约定的其他地方进行察看和查阅施工原始记录。承包人还应按监理人指示，进行施工场地取样试验、工程复核测量和设备性能检测，提供试验样品、提交试验报告和测量成果以及监理人要求进行的其他工作。监理人的检查和检验，不免除承包人按合同约定应负的责任。</w:t>
      </w:r>
    </w:p>
    <w:p w14:paraId="3387F9AC">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808" w:name="_Toc30255"/>
      <w:bookmarkStart w:id="809" w:name="_Toc16458"/>
      <w:bookmarkStart w:id="810" w:name="bookmark1243"/>
      <w:bookmarkStart w:id="811" w:name="_Toc256000101"/>
      <w:bookmarkStart w:id="812" w:name="bookmark1242"/>
      <w:bookmarkStart w:id="813" w:name="bookmark1244"/>
      <w:r>
        <w:rPr>
          <w:rStyle w:val="19"/>
          <w:rFonts w:hint="default" w:ascii="宋体" w:hAnsi="宋体" w:eastAsia="宋体"/>
          <w:color w:val="auto"/>
          <w:sz w:val="24"/>
          <w:szCs w:val="20"/>
          <w:highlight w:val="none"/>
          <w:lang w:eastAsia="zh-CN"/>
        </w:rPr>
        <w:t>13.5工程隐蔽部位覆盖前的检查</w:t>
      </w:r>
      <w:bookmarkEnd w:id="808"/>
      <w:bookmarkEnd w:id="809"/>
      <w:bookmarkEnd w:id="810"/>
      <w:bookmarkEnd w:id="811"/>
      <w:bookmarkEnd w:id="812"/>
      <w:bookmarkEnd w:id="813"/>
    </w:p>
    <w:p w14:paraId="572E83CC">
      <w:pPr>
        <w:pStyle w:val="31"/>
        <w:pageBreakBefore w:val="0"/>
        <w:widowControl w:val="0"/>
        <w:tabs>
          <w:tab w:val="left" w:pos="840"/>
        </w:tabs>
        <w:kinsoku/>
        <w:wordWrap/>
        <w:overflowPunct/>
        <w:topLinePunct w:val="0"/>
        <w:autoSpaceDE/>
        <w:autoSpaceDN/>
        <w:bidi w:val="0"/>
        <w:adjustRightInd/>
        <w:snapToGrid/>
        <w:spacing w:beforeLines="0" w:afterLines="0" w:line="440" w:lineRule="exact"/>
        <w:ind w:firstLine="480" w:firstLineChars="200"/>
        <w:jc w:val="both"/>
        <w:textAlignment w:val="auto"/>
        <w:rPr>
          <w:rStyle w:val="19"/>
          <w:rFonts w:hint="default"/>
          <w:color w:val="auto"/>
          <w:sz w:val="24"/>
          <w:szCs w:val="20"/>
          <w:highlight w:val="none"/>
        </w:rPr>
      </w:pPr>
      <w:bookmarkStart w:id="814" w:name="bookmark1245"/>
      <w:bookmarkEnd w:id="814"/>
      <w:r>
        <w:rPr>
          <w:rStyle w:val="19"/>
          <w:rFonts w:hint="eastAsia" w:ascii="Times New Roman" w:hAnsi="Times New Roman" w:eastAsia="Times New Roman" w:cs="Times New Roman"/>
          <w:color w:val="auto"/>
          <w:sz w:val="24"/>
          <w:szCs w:val="24"/>
          <w:highlight w:val="none"/>
          <w:lang w:val="en-US" w:bidi="en-US"/>
        </w:rPr>
        <w:t xml:space="preserve">13.5. </w:t>
      </w:r>
      <w:r>
        <w:rPr>
          <w:rStyle w:val="19"/>
          <w:rFonts w:hint="eastAsia" w:ascii="Times New Roman" w:hAnsi="Times New Roman" w:eastAsia="Times New Roman" w:cs="Times New Roman"/>
          <w:color w:val="auto"/>
          <w:sz w:val="24"/>
          <w:szCs w:val="24"/>
          <w:highlight w:val="none"/>
        </w:rPr>
        <w:t>1</w:t>
      </w:r>
      <w:r>
        <w:rPr>
          <w:rStyle w:val="19"/>
          <w:rFonts w:hint="default"/>
          <w:color w:val="auto"/>
          <w:sz w:val="24"/>
          <w:szCs w:val="20"/>
          <w:highlight w:val="none"/>
        </w:rPr>
        <w:t>通知监理人检查</w:t>
      </w:r>
    </w:p>
    <w:p w14:paraId="183F7CDA">
      <w:pPr>
        <w:pStyle w:val="31"/>
        <w:pageBreakBefore w:val="0"/>
        <w:widowControl w:val="0"/>
        <w:kinsoku/>
        <w:wordWrap/>
        <w:overflowPunct/>
        <w:topLinePunct w:val="0"/>
        <w:autoSpaceDE/>
        <w:autoSpaceDN/>
        <w:bidi w:val="0"/>
        <w:adjustRightInd/>
        <w:snapToGrid/>
        <w:spacing w:beforeLines="0" w:after="160" w:afterLines="0" w:line="440" w:lineRule="exact"/>
        <w:ind w:firstLine="440"/>
        <w:jc w:val="both"/>
        <w:textAlignment w:val="auto"/>
        <w:rPr>
          <w:rStyle w:val="19"/>
          <w:rFonts w:hint="default"/>
          <w:color w:val="auto"/>
          <w:sz w:val="24"/>
          <w:szCs w:val="20"/>
          <w:highlight w:val="none"/>
        </w:rPr>
      </w:pPr>
      <w:r>
        <w:rPr>
          <w:rStyle w:val="19"/>
          <w:rFonts w:hint="default"/>
          <w:color w:val="auto"/>
          <w:sz w:val="24"/>
          <w:szCs w:val="20"/>
          <w:highlight w:val="none"/>
        </w:rPr>
        <w:t>经承包人自检确认的工程隐蔽部位具备覆盖条件后，承包人应通知监理人在约定的期 限内检查。承包人的通知应附有自检记录和必要的检查资料。监理人应按时到场检查。经监理人检查确认质量符合隐蔽要求，并在检查记录上签字后，承包人才能进行覆盖。监理人检查确认质量不合格的，承包人应在监理人指示的时间内修整返工后，由监理人重新检查。</w:t>
      </w:r>
    </w:p>
    <w:p w14:paraId="6A9629E2">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13.5.2</w:t>
      </w:r>
      <w:r>
        <w:rPr>
          <w:rStyle w:val="19"/>
          <w:rFonts w:hint="default"/>
          <w:color w:val="auto"/>
          <w:sz w:val="24"/>
          <w:szCs w:val="20"/>
          <w:highlight w:val="none"/>
        </w:rPr>
        <w:t>监理人未到场检查</w:t>
      </w:r>
    </w:p>
    <w:p w14:paraId="3A6E0D5F">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r>
        <w:rPr>
          <w:rStyle w:val="19"/>
          <w:rFonts w:hint="default"/>
          <w:color w:val="auto"/>
          <w:sz w:val="24"/>
          <w:szCs w:val="20"/>
          <w:highlight w:val="none"/>
        </w:rPr>
        <w:t>监理人未按第</w:t>
      </w:r>
      <w:r>
        <w:rPr>
          <w:rStyle w:val="19"/>
          <w:rFonts w:hint="eastAsia" w:ascii="Times New Roman" w:hAnsi="Times New Roman" w:eastAsia="Times New Roman" w:cs="Times New Roman"/>
          <w:color w:val="auto"/>
          <w:sz w:val="24"/>
          <w:szCs w:val="24"/>
          <w:highlight w:val="none"/>
          <w:lang w:val="en-US" w:bidi="en-US"/>
        </w:rPr>
        <w:t>13.5.1</w:t>
      </w:r>
      <w:r>
        <w:rPr>
          <w:rStyle w:val="19"/>
          <w:rFonts w:hint="default"/>
          <w:color w:val="auto"/>
          <w:sz w:val="24"/>
          <w:szCs w:val="20"/>
          <w:highlight w:val="none"/>
        </w:rPr>
        <w:t>项约定的时间进行检查的，除监理人另有指示外，承包人可自行完成覆盖工作，并作相应记录报送监理人，监理人应签字确认。监理人事后对检查记录有疑问的，可按第</w:t>
      </w:r>
      <w:r>
        <w:rPr>
          <w:rStyle w:val="19"/>
          <w:rFonts w:hint="eastAsia" w:ascii="Times New Roman" w:hAnsi="Times New Roman" w:eastAsia="Times New Roman" w:cs="Times New Roman"/>
          <w:color w:val="auto"/>
          <w:sz w:val="24"/>
          <w:szCs w:val="24"/>
          <w:highlight w:val="none"/>
          <w:lang w:val="en-US" w:bidi="en-US"/>
        </w:rPr>
        <w:t>13.5.3</w:t>
      </w:r>
      <w:r>
        <w:rPr>
          <w:rStyle w:val="19"/>
          <w:rFonts w:hint="default"/>
          <w:color w:val="auto"/>
          <w:sz w:val="24"/>
          <w:szCs w:val="20"/>
          <w:highlight w:val="none"/>
        </w:rPr>
        <w:t>项的约定重新检查。</w:t>
      </w:r>
    </w:p>
    <w:p w14:paraId="058A33D3">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13.5.3</w:t>
      </w:r>
      <w:r>
        <w:rPr>
          <w:rStyle w:val="19"/>
          <w:rFonts w:hint="default"/>
          <w:color w:val="auto"/>
          <w:sz w:val="24"/>
          <w:szCs w:val="20"/>
          <w:highlight w:val="none"/>
        </w:rPr>
        <w:t>监理人重新检查</w:t>
      </w:r>
    </w:p>
    <w:p w14:paraId="3BA72A98">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r>
        <w:rPr>
          <w:rStyle w:val="19"/>
          <w:rFonts w:hint="default"/>
          <w:color w:val="auto"/>
          <w:sz w:val="24"/>
          <w:szCs w:val="20"/>
          <w:highlight w:val="none"/>
        </w:rPr>
        <w:t>承包人按第</w:t>
      </w:r>
      <w:r>
        <w:rPr>
          <w:rStyle w:val="19"/>
          <w:rFonts w:hint="eastAsia" w:ascii="Times New Roman" w:hAnsi="Times New Roman" w:eastAsia="Times New Roman" w:cs="Times New Roman"/>
          <w:color w:val="auto"/>
          <w:sz w:val="24"/>
          <w:szCs w:val="24"/>
          <w:highlight w:val="none"/>
          <w:lang w:val="en-US" w:bidi="en-US"/>
        </w:rPr>
        <w:t xml:space="preserve">13. 5. </w:t>
      </w:r>
      <w:r>
        <w:rPr>
          <w:rStyle w:val="19"/>
          <w:rFonts w:hint="eastAsia" w:ascii="Times New Roman" w:hAnsi="Times New Roman" w:eastAsia="Times New Roman" w:cs="Times New Roman"/>
          <w:color w:val="auto"/>
          <w:sz w:val="24"/>
          <w:szCs w:val="24"/>
          <w:highlight w:val="none"/>
        </w:rPr>
        <w:t>1</w:t>
      </w:r>
      <w:r>
        <w:rPr>
          <w:rStyle w:val="19"/>
          <w:rFonts w:hint="default"/>
          <w:color w:val="auto"/>
          <w:sz w:val="24"/>
          <w:szCs w:val="20"/>
          <w:highlight w:val="none"/>
        </w:rPr>
        <w:t>项或第</w:t>
      </w:r>
      <w:r>
        <w:rPr>
          <w:rStyle w:val="19"/>
          <w:rFonts w:hint="eastAsia" w:ascii="Times New Roman" w:hAnsi="Times New Roman" w:eastAsia="Times New Roman" w:cs="Times New Roman"/>
          <w:color w:val="auto"/>
          <w:sz w:val="24"/>
          <w:szCs w:val="24"/>
          <w:highlight w:val="none"/>
          <w:lang w:val="en-US" w:bidi="en-US"/>
        </w:rPr>
        <w:t xml:space="preserve">13. 5. </w:t>
      </w:r>
      <w:r>
        <w:rPr>
          <w:rStyle w:val="19"/>
          <w:rFonts w:hint="eastAsia" w:ascii="Times New Roman" w:hAnsi="Times New Roman" w:eastAsia="Times New Roman" w:cs="Times New Roman"/>
          <w:color w:val="auto"/>
          <w:sz w:val="24"/>
          <w:szCs w:val="24"/>
          <w:highlight w:val="none"/>
        </w:rPr>
        <w:t>2</w:t>
      </w:r>
      <w:r>
        <w:rPr>
          <w:rStyle w:val="19"/>
          <w:rFonts w:hint="default"/>
          <w:color w:val="auto"/>
          <w:sz w:val="24"/>
          <w:szCs w:val="20"/>
          <w:highlight w:val="none"/>
        </w:rPr>
        <w:t>项覆盖工程隐蔽部位后，监理人对质量有疑问的，可要求承包人对已覆盖的部位进行钻孔探测或揭开重新检验，承包人应遵照执行，并在检 验后重新覆盖恢复原状。经检验证明工程质量符合合同要求的，由发包人承担由此增加的费用和（或）工期延误，并支付承包人合理利润；经检验证明工程质量不符合合同要求的，由此增加的费用和（或）工期延误由承包人承担。</w:t>
      </w:r>
    </w:p>
    <w:p w14:paraId="62F06BE3">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13.5.4</w:t>
      </w:r>
      <w:r>
        <w:rPr>
          <w:rStyle w:val="19"/>
          <w:rFonts w:hint="default"/>
          <w:color w:val="auto"/>
          <w:sz w:val="24"/>
          <w:szCs w:val="20"/>
          <w:highlight w:val="none"/>
        </w:rPr>
        <w:t>承包人私自覆盖</w:t>
      </w:r>
    </w:p>
    <w:p w14:paraId="41BA4675">
      <w:pPr>
        <w:pStyle w:val="31"/>
        <w:pageBreakBefore w:val="0"/>
        <w:widowControl w:val="0"/>
        <w:kinsoku/>
        <w:wordWrap/>
        <w:overflowPunct/>
        <w:topLinePunct w:val="0"/>
        <w:autoSpaceDE/>
        <w:autoSpaceDN/>
        <w:bidi w:val="0"/>
        <w:adjustRightInd/>
        <w:snapToGrid/>
        <w:spacing w:beforeLines="0" w:after="120" w:afterLines="0" w:line="440" w:lineRule="exact"/>
        <w:ind w:firstLine="440"/>
        <w:jc w:val="both"/>
        <w:textAlignment w:val="auto"/>
        <w:rPr>
          <w:rStyle w:val="19"/>
          <w:rFonts w:hint="default"/>
          <w:color w:val="auto"/>
          <w:sz w:val="24"/>
          <w:szCs w:val="20"/>
          <w:highlight w:val="none"/>
        </w:rPr>
      </w:pPr>
      <w:r>
        <w:rPr>
          <w:rStyle w:val="19"/>
          <w:rFonts w:hint="default"/>
          <w:color w:val="auto"/>
          <w:sz w:val="24"/>
          <w:szCs w:val="20"/>
          <w:highlight w:val="none"/>
        </w:rPr>
        <w:t>承包人未通知监理人到场检查，私自将工程隐蔽部位覆盖的，监理人有权指示承包人钻孔探测或揭开检查，由此增加的费用和（或）工期延误由承包人承担。</w:t>
      </w:r>
    </w:p>
    <w:p w14:paraId="37B345D1">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815" w:name="bookmark1246"/>
      <w:bookmarkStart w:id="816" w:name="_Toc17861"/>
      <w:bookmarkStart w:id="817" w:name="_Toc31851"/>
      <w:bookmarkStart w:id="818" w:name="bookmark1247"/>
      <w:bookmarkStart w:id="819" w:name="_Toc256000102"/>
      <w:bookmarkStart w:id="820" w:name="bookmark1248"/>
      <w:r>
        <w:rPr>
          <w:rStyle w:val="19"/>
          <w:rFonts w:hint="default" w:ascii="宋体" w:hAnsi="宋体" w:eastAsia="宋体"/>
          <w:color w:val="auto"/>
          <w:sz w:val="24"/>
          <w:szCs w:val="20"/>
          <w:highlight w:val="none"/>
          <w:lang w:eastAsia="zh-CN"/>
        </w:rPr>
        <w:t>13.6清除不合格工程</w:t>
      </w:r>
      <w:bookmarkEnd w:id="815"/>
      <w:bookmarkEnd w:id="816"/>
      <w:bookmarkEnd w:id="817"/>
      <w:bookmarkEnd w:id="818"/>
      <w:bookmarkEnd w:id="819"/>
      <w:bookmarkEnd w:id="820"/>
    </w:p>
    <w:p w14:paraId="1D416514">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13.6.1</w:t>
      </w:r>
      <w:r>
        <w:rPr>
          <w:rStyle w:val="19"/>
          <w:rFonts w:hint="default"/>
          <w:color w:val="auto"/>
          <w:sz w:val="24"/>
          <w:szCs w:val="20"/>
          <w:highlight w:val="none"/>
        </w:rPr>
        <w:t>承包人使用不合格材料、工程设备，或采用不适当的施工工艺，或施工不当， 造成工程不合格的，监理人可以随时发出指示，要求承包人立即采取措施进行补救，直至达到合同要求的质量标准，由此增加的费用和（或）工期延误由承包人承担。</w:t>
      </w:r>
    </w:p>
    <w:p w14:paraId="62F5CDF8">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13.6.2</w:t>
      </w:r>
      <w:r>
        <w:rPr>
          <w:rStyle w:val="19"/>
          <w:rFonts w:hint="default"/>
          <w:color w:val="auto"/>
          <w:sz w:val="24"/>
          <w:szCs w:val="20"/>
          <w:highlight w:val="none"/>
        </w:rPr>
        <w:t>由于发包人提供的材料或工程设备不合格造成的工程不合格，需要承包人采取措施补救的，发包人应承担由此增加的费用和（或）工期延误，并支付承包人合理利润。</w:t>
      </w:r>
    </w:p>
    <w:p w14:paraId="55B83134">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821" w:name="_Toc3708"/>
      <w:bookmarkStart w:id="822" w:name="_Toc14095"/>
      <w:bookmarkStart w:id="823" w:name="_Toc256000103"/>
      <w:r>
        <w:rPr>
          <w:rStyle w:val="19"/>
          <w:rFonts w:hint="default" w:ascii="宋体" w:hAnsi="宋体" w:eastAsia="宋体"/>
          <w:color w:val="auto"/>
          <w:sz w:val="24"/>
          <w:szCs w:val="20"/>
          <w:highlight w:val="none"/>
          <w:lang w:eastAsia="zh-CN"/>
        </w:rPr>
        <w:t>13.7质量评定</w:t>
      </w:r>
      <w:bookmarkEnd w:id="821"/>
      <w:bookmarkEnd w:id="822"/>
      <w:bookmarkEnd w:id="823"/>
    </w:p>
    <w:p w14:paraId="7F6EF818">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13.7.1</w:t>
      </w:r>
      <w:r>
        <w:rPr>
          <w:rStyle w:val="19"/>
          <w:rFonts w:hint="default"/>
          <w:color w:val="auto"/>
          <w:sz w:val="24"/>
          <w:szCs w:val="20"/>
          <w:highlight w:val="none"/>
        </w:rPr>
        <w:t>发包人应组织承包人进行工程项目划分，并确定单位工程、主要分部工程、重要隐蔽单元工程和关键部位单元工程。</w:t>
      </w:r>
    </w:p>
    <w:p w14:paraId="7B100EF4">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13.7.2</w:t>
      </w:r>
      <w:r>
        <w:rPr>
          <w:rStyle w:val="19"/>
          <w:rFonts w:hint="default"/>
          <w:color w:val="auto"/>
          <w:sz w:val="24"/>
          <w:szCs w:val="20"/>
          <w:highlight w:val="none"/>
        </w:rPr>
        <w:t>工程实施过程中，单位工程、主要分部工程、重要隐蔽单元工程和关键部位单元工程的项目划分需要调整时，承包人应报发包人确认。</w:t>
      </w:r>
    </w:p>
    <w:p w14:paraId="36DDEB75">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13.7.3</w:t>
      </w:r>
      <w:r>
        <w:rPr>
          <w:rStyle w:val="19"/>
          <w:rFonts w:hint="default"/>
          <w:color w:val="auto"/>
          <w:sz w:val="24"/>
          <w:szCs w:val="20"/>
          <w:highlight w:val="none"/>
        </w:rPr>
        <w:t>承包人应在单元（工序）工程质量自评合格后，报监理人核定质量等级并签证认可。</w:t>
      </w:r>
    </w:p>
    <w:p w14:paraId="5EB5C408">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13.7.4</w:t>
      </w:r>
      <w:r>
        <w:rPr>
          <w:rStyle w:val="19"/>
          <w:rFonts w:hint="default"/>
          <w:color w:val="auto"/>
          <w:sz w:val="24"/>
          <w:szCs w:val="20"/>
          <w:highlight w:val="none"/>
        </w:rPr>
        <w:t>除专用合同条款另有约定外，承包人应在重要隐蔽单元工程和关键部位单元工程质量自评合格后以及监理人抽检后，由监理人组织承包人等单位组成的联合小组，共同检查核定其质量等级并填写签证表。发包人按有关规定完成质量结论报工程质量监督机构核备手续。</w:t>
      </w:r>
    </w:p>
    <w:p w14:paraId="7C0891FF">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13.7.5</w:t>
      </w:r>
      <w:r>
        <w:rPr>
          <w:rStyle w:val="19"/>
          <w:rFonts w:hint="default"/>
          <w:color w:val="auto"/>
          <w:sz w:val="24"/>
          <w:szCs w:val="20"/>
          <w:highlight w:val="none"/>
        </w:rPr>
        <w:t>承包人应在分部工程质量自评合格后，报监理人复核和发包人认定。发包人负责按有关规定完成分部工程质量结论报工程质量监督机构核备（核定）手续。</w:t>
      </w:r>
    </w:p>
    <w:p w14:paraId="09C9E8E1">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13.7.6</w:t>
      </w:r>
      <w:r>
        <w:rPr>
          <w:rStyle w:val="19"/>
          <w:rFonts w:hint="default"/>
          <w:color w:val="auto"/>
          <w:sz w:val="24"/>
          <w:szCs w:val="20"/>
          <w:highlight w:val="none"/>
        </w:rPr>
        <w:t>承包人应在单位工程质量自评合格后，报监理人复核和发包人认定。发包人负责按有关规定完成单位工程质量结论报工程质量监督机构核定手续。</w:t>
      </w:r>
    </w:p>
    <w:p w14:paraId="4EFFE17E">
      <w:pPr>
        <w:pStyle w:val="31"/>
        <w:pageBreakBefore w:val="0"/>
        <w:widowControl w:val="0"/>
        <w:kinsoku/>
        <w:wordWrap/>
        <w:overflowPunct/>
        <w:topLinePunct w:val="0"/>
        <w:autoSpaceDE/>
        <w:autoSpaceDN/>
        <w:bidi w:val="0"/>
        <w:adjustRightInd/>
        <w:snapToGrid/>
        <w:spacing w:beforeLines="0" w:after="120" w:afterLines="0" w:line="440" w:lineRule="exact"/>
        <w:ind w:firstLine="44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13.7.7</w:t>
      </w:r>
      <w:r>
        <w:rPr>
          <w:rStyle w:val="19"/>
          <w:rFonts w:hint="default"/>
          <w:color w:val="auto"/>
          <w:sz w:val="24"/>
          <w:szCs w:val="20"/>
          <w:highlight w:val="none"/>
        </w:rPr>
        <w:t>除专用合同条款另有约定外，工程质量等级分为合格和优良，应分别达到约定的标准。</w:t>
      </w:r>
    </w:p>
    <w:p w14:paraId="3A7E73EF">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824" w:name="_Toc256000104"/>
      <w:bookmarkStart w:id="825" w:name="_Toc19883"/>
      <w:bookmarkStart w:id="826" w:name="bookmark1249"/>
      <w:bookmarkStart w:id="827" w:name="bookmark1251"/>
      <w:bookmarkStart w:id="828" w:name="_Toc21295"/>
      <w:bookmarkStart w:id="829" w:name="bookmark1250"/>
      <w:r>
        <w:rPr>
          <w:rStyle w:val="19"/>
          <w:rFonts w:hint="default" w:ascii="宋体" w:hAnsi="宋体" w:eastAsia="宋体"/>
          <w:color w:val="auto"/>
          <w:sz w:val="24"/>
          <w:szCs w:val="20"/>
          <w:highlight w:val="none"/>
          <w:lang w:eastAsia="zh-CN"/>
        </w:rPr>
        <w:t>13.8质量事故处理</w:t>
      </w:r>
      <w:bookmarkEnd w:id="824"/>
      <w:bookmarkEnd w:id="825"/>
      <w:bookmarkEnd w:id="826"/>
      <w:bookmarkEnd w:id="827"/>
      <w:bookmarkEnd w:id="828"/>
      <w:bookmarkEnd w:id="829"/>
    </w:p>
    <w:p w14:paraId="67D3CFCF">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13.8.1</w:t>
      </w:r>
      <w:r>
        <w:rPr>
          <w:rStyle w:val="19"/>
          <w:rFonts w:hint="default"/>
          <w:color w:val="auto"/>
          <w:sz w:val="24"/>
          <w:szCs w:val="20"/>
          <w:highlight w:val="none"/>
        </w:rPr>
        <w:t>发生质量事故时，承包人应及时向发包人和监理人报告。</w:t>
      </w:r>
    </w:p>
    <w:p w14:paraId="339782DA">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13.8.2</w:t>
      </w:r>
      <w:r>
        <w:rPr>
          <w:rStyle w:val="19"/>
          <w:rFonts w:hint="default"/>
          <w:color w:val="auto"/>
          <w:sz w:val="24"/>
          <w:szCs w:val="20"/>
          <w:highlight w:val="none"/>
        </w:rPr>
        <w:t>质量事故调查处理由发包人按相关规定履行手续，承包人应配合。</w:t>
      </w:r>
    </w:p>
    <w:p w14:paraId="1F29A0B3">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13.8.3</w:t>
      </w:r>
      <w:r>
        <w:rPr>
          <w:rStyle w:val="19"/>
          <w:rFonts w:hint="default"/>
          <w:color w:val="auto"/>
          <w:sz w:val="24"/>
          <w:szCs w:val="20"/>
          <w:highlight w:val="none"/>
        </w:rPr>
        <w:t>承包人应对质量缺陷进行备案。发包人委托监理人对质量缺陷备案情况进行监督检查并履行相关手续。</w:t>
      </w:r>
    </w:p>
    <w:p w14:paraId="02DCE34E">
      <w:pPr>
        <w:pStyle w:val="31"/>
        <w:pageBreakBefore w:val="0"/>
        <w:widowControl w:val="0"/>
        <w:kinsoku/>
        <w:wordWrap/>
        <w:overflowPunct/>
        <w:topLinePunct w:val="0"/>
        <w:autoSpaceDE/>
        <w:autoSpaceDN/>
        <w:bidi w:val="0"/>
        <w:adjustRightInd/>
        <w:snapToGrid/>
        <w:spacing w:beforeLines="0" w:after="240" w:afterLines="0" w:line="440" w:lineRule="exact"/>
        <w:ind w:firstLine="44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13.8.4</w:t>
      </w:r>
      <w:r>
        <w:rPr>
          <w:rStyle w:val="19"/>
          <w:rFonts w:hint="default"/>
          <w:color w:val="auto"/>
          <w:sz w:val="24"/>
          <w:szCs w:val="20"/>
          <w:highlight w:val="none"/>
        </w:rPr>
        <w:t>除专用合同条款另有约定外，工程竣工验收时，发包人负责向竣工验收委员会汇报并提交历次质量缺陷处理的备案资料。</w:t>
      </w:r>
    </w:p>
    <w:p w14:paraId="5A83E7D4">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eastAsia"/>
          <w:color w:val="auto"/>
          <w:sz w:val="24"/>
          <w:szCs w:val="20"/>
          <w:highlight w:val="none"/>
          <w:lang w:eastAsia="zh-CN"/>
        </w:rPr>
      </w:pPr>
      <w:bookmarkStart w:id="830" w:name="_Toc3911"/>
      <w:bookmarkStart w:id="831" w:name="bookmark1254"/>
      <w:bookmarkStart w:id="832" w:name="_Toc17645"/>
      <w:bookmarkStart w:id="833" w:name="bookmark1253"/>
      <w:bookmarkStart w:id="834" w:name="bookmark1252"/>
      <w:bookmarkStart w:id="835" w:name="_Toc256000105"/>
      <w:r>
        <w:rPr>
          <w:rStyle w:val="19"/>
          <w:rFonts w:hint="eastAsia"/>
          <w:color w:val="auto"/>
          <w:sz w:val="24"/>
          <w:szCs w:val="20"/>
          <w:highlight w:val="none"/>
          <w:lang w:eastAsia="zh-CN"/>
        </w:rPr>
        <w:t>14 .</w:t>
      </w:r>
      <w:r>
        <w:rPr>
          <w:rStyle w:val="19"/>
          <w:rFonts w:hint="default" w:ascii="宋体" w:eastAsia="宋体"/>
          <w:color w:val="auto"/>
          <w:sz w:val="24"/>
          <w:szCs w:val="20"/>
          <w:highlight w:val="none"/>
          <w:lang w:eastAsia="zh-CN"/>
        </w:rPr>
        <w:t>试验和检验</w:t>
      </w:r>
      <w:bookmarkEnd w:id="830"/>
      <w:bookmarkEnd w:id="831"/>
      <w:bookmarkEnd w:id="832"/>
      <w:bookmarkEnd w:id="833"/>
      <w:bookmarkEnd w:id="834"/>
      <w:bookmarkEnd w:id="835"/>
    </w:p>
    <w:p w14:paraId="592B09F6">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836" w:name="bookmark1256"/>
      <w:bookmarkStart w:id="837" w:name="_Toc16875"/>
      <w:bookmarkStart w:id="838" w:name="_Toc18503"/>
      <w:bookmarkStart w:id="839" w:name="_Toc256000106"/>
      <w:bookmarkStart w:id="840" w:name="bookmark1257"/>
      <w:bookmarkStart w:id="841" w:name="bookmark1255"/>
      <w:r>
        <w:rPr>
          <w:rStyle w:val="19"/>
          <w:rFonts w:hint="default" w:ascii="宋体" w:hAnsi="宋体" w:eastAsia="宋体"/>
          <w:color w:val="auto"/>
          <w:sz w:val="24"/>
          <w:szCs w:val="20"/>
          <w:highlight w:val="none"/>
          <w:lang w:eastAsia="zh-CN"/>
        </w:rPr>
        <w:t>14.1材料、工程设备和工程的试验和检验</w:t>
      </w:r>
      <w:bookmarkEnd w:id="836"/>
      <w:bookmarkEnd w:id="837"/>
      <w:bookmarkEnd w:id="838"/>
      <w:bookmarkEnd w:id="839"/>
      <w:bookmarkEnd w:id="840"/>
      <w:bookmarkEnd w:id="841"/>
    </w:p>
    <w:p w14:paraId="0FE778B5">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eastAsia" w:ascii="Times New Roman" w:hAnsi="Times New Roman" w:eastAsia="Times New Roman" w:cs="Times New Roman"/>
          <w:color w:val="auto"/>
          <w:sz w:val="24"/>
          <w:szCs w:val="24"/>
          <w:highlight w:val="none"/>
        </w:rPr>
      </w:pPr>
      <w:bookmarkStart w:id="842" w:name="bookmark1258"/>
      <w:bookmarkEnd w:id="842"/>
      <w:r>
        <w:rPr>
          <w:rStyle w:val="19"/>
          <w:rFonts w:hint="eastAsia" w:ascii="Times New Roman" w:hAnsi="Times New Roman" w:eastAsia="Times New Roman" w:cs="Times New Roman"/>
          <w:color w:val="auto"/>
          <w:sz w:val="24"/>
          <w:szCs w:val="24"/>
          <w:highlight w:val="none"/>
        </w:rPr>
        <w:t>14.1.1</w:t>
      </w:r>
      <w:r>
        <w:rPr>
          <w:rStyle w:val="19"/>
          <w:rFonts w:hint="default" w:hAnsi="Times New Roman" w:cs="Times New Roman"/>
          <w:color w:val="auto"/>
          <w:sz w:val="24"/>
          <w:szCs w:val="24"/>
          <w:highlight w:val="none"/>
        </w:rPr>
        <w:t>承包人应按合同约定进行材料、工程设备和工程的试验和检验，并为监理人对上述材料、工程设备和工程的质量检查提供必要的试验资料和原始记录。按合同约定应由监理人与承包人共同进行试验和检验的，由承包人负责提供必要的试验资料和原始记录。</w:t>
      </w:r>
    </w:p>
    <w:p w14:paraId="089368E0">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14.1.2</w:t>
      </w:r>
      <w:r>
        <w:rPr>
          <w:rStyle w:val="19"/>
          <w:rFonts w:hint="default" w:hAnsi="Times New Roman" w:cs="Times New Roman"/>
          <w:color w:val="auto"/>
          <w:sz w:val="24"/>
          <w:szCs w:val="24"/>
          <w:highlight w:val="none"/>
        </w:rPr>
        <w:t>监</w:t>
      </w:r>
      <w:r>
        <w:rPr>
          <w:rStyle w:val="19"/>
          <w:rFonts w:hint="default"/>
          <w:color w:val="auto"/>
          <w:sz w:val="24"/>
          <w:szCs w:val="20"/>
          <w:highlight w:val="none"/>
        </w:rPr>
        <w:t>理人未按合同约定派员参加试验和检验的，除监理人另有指示外，承包人可自行试验和检验，并应立即将试验和检验结果报送监理人，监理人应签字确认。</w:t>
      </w:r>
    </w:p>
    <w:p w14:paraId="37CE8918">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14.1.3</w:t>
      </w:r>
      <w:r>
        <w:rPr>
          <w:rStyle w:val="19"/>
          <w:rFonts w:hint="default"/>
          <w:color w:val="auto"/>
          <w:sz w:val="24"/>
          <w:szCs w:val="20"/>
          <w:highlight w:val="none"/>
        </w:rPr>
        <w:t>监理人对承包人的试验和检验结果有疑问的，或为查清承包人试验和检验成果的可靠性要求承包人重新试验和检验的，可按合同约定由监理人与承包人共同进行。重新试验和检验的结果证明该项材料、工程设备或工程的质量不符合合同要求的，由此增加的费用和（或）工期延误由承包人承担；重新试验和检验结果证明该项材料、工程设备和工程符合合同要求，由发包人承担由此增加的费用和（或）工期延误，并支付承包人合理利润。</w:t>
      </w:r>
    </w:p>
    <w:p w14:paraId="4E8E179E">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14.1.4</w:t>
      </w:r>
      <w:r>
        <w:rPr>
          <w:rStyle w:val="19"/>
          <w:rFonts w:hint="default"/>
          <w:color w:val="auto"/>
          <w:sz w:val="24"/>
          <w:szCs w:val="20"/>
          <w:highlight w:val="none"/>
        </w:rPr>
        <w:t>承包人应按相关规定和标准对水泥、钢材等原材料与中间产品质量进行检验, 并报监理人复核。</w:t>
      </w:r>
    </w:p>
    <w:p w14:paraId="0DEACA30">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14.1.5</w:t>
      </w:r>
      <w:r>
        <w:rPr>
          <w:rStyle w:val="19"/>
          <w:rFonts w:hint="default"/>
          <w:color w:val="auto"/>
          <w:sz w:val="24"/>
          <w:szCs w:val="20"/>
          <w:highlight w:val="none"/>
        </w:rPr>
        <w:t>除专用合同条款另有约定外，水工金属结构、启闭机及机电产品进场后，监理人组织发包人按合同进行交货检查和验收。安装前，承包人应检查产品是否有出厂合格证、设备安装说明书及有关技术文件，对在运输和存放过程中发生的变形、受潮、损坏等问题应作好记录，并进行妥善处理。</w:t>
      </w:r>
    </w:p>
    <w:p w14:paraId="506FBDD4">
      <w:pPr>
        <w:pStyle w:val="31"/>
        <w:pageBreakBefore w:val="0"/>
        <w:widowControl w:val="0"/>
        <w:kinsoku/>
        <w:wordWrap/>
        <w:overflowPunct/>
        <w:topLinePunct w:val="0"/>
        <w:autoSpaceDE/>
        <w:autoSpaceDN/>
        <w:bidi w:val="0"/>
        <w:adjustRightInd/>
        <w:snapToGrid/>
        <w:spacing w:beforeLines="0" w:after="120" w:afterLines="0" w:line="440" w:lineRule="exact"/>
        <w:ind w:firstLine="44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14.1.6</w:t>
      </w:r>
      <w:r>
        <w:rPr>
          <w:rStyle w:val="19"/>
          <w:rFonts w:hint="default"/>
          <w:color w:val="auto"/>
          <w:sz w:val="24"/>
          <w:szCs w:val="20"/>
          <w:highlight w:val="none"/>
        </w:rPr>
        <w:t>对专用合同条款约定的试块、试件及有关材料，监理人实行见证取样。见证取样资料由承包人制备，记录应真实齐全，监理人、承包人等参与见证取样人员均应在相关文件上签字。</w:t>
      </w:r>
    </w:p>
    <w:p w14:paraId="064DF25D">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843" w:name="bookmark1260"/>
      <w:bookmarkStart w:id="844" w:name="_Toc256000107"/>
      <w:bookmarkStart w:id="845" w:name="_Toc14685"/>
      <w:bookmarkStart w:id="846" w:name="_Toc24338"/>
      <w:bookmarkStart w:id="847" w:name="bookmark1261"/>
      <w:bookmarkStart w:id="848" w:name="bookmark1259"/>
      <w:r>
        <w:rPr>
          <w:rStyle w:val="19"/>
          <w:rFonts w:hint="default" w:ascii="宋体" w:hAnsi="宋体" w:eastAsia="宋体"/>
          <w:color w:val="auto"/>
          <w:sz w:val="24"/>
          <w:szCs w:val="20"/>
          <w:highlight w:val="none"/>
          <w:lang w:eastAsia="zh-CN"/>
        </w:rPr>
        <w:t>14.2现场材料试验</w:t>
      </w:r>
      <w:bookmarkEnd w:id="843"/>
      <w:bookmarkEnd w:id="844"/>
      <w:bookmarkEnd w:id="845"/>
      <w:bookmarkEnd w:id="846"/>
      <w:bookmarkEnd w:id="847"/>
      <w:bookmarkEnd w:id="848"/>
    </w:p>
    <w:p w14:paraId="4817ABDB">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eastAsia" w:ascii="Times New Roman" w:hAnsi="Times New Roman" w:eastAsia="Times New Roman" w:cs="Times New Roman"/>
          <w:color w:val="auto"/>
          <w:sz w:val="24"/>
          <w:szCs w:val="24"/>
          <w:highlight w:val="none"/>
        </w:rPr>
      </w:pPr>
      <w:bookmarkStart w:id="849" w:name="bookmark1262"/>
      <w:bookmarkEnd w:id="849"/>
      <w:r>
        <w:rPr>
          <w:rStyle w:val="19"/>
          <w:rFonts w:hint="eastAsia" w:ascii="Times New Roman" w:hAnsi="Times New Roman" w:eastAsia="Times New Roman" w:cs="Times New Roman"/>
          <w:color w:val="auto"/>
          <w:sz w:val="24"/>
          <w:szCs w:val="24"/>
          <w:highlight w:val="none"/>
          <w:lang w:val="en-US" w:bidi="en-US"/>
        </w:rPr>
        <w:t>14.2.</w:t>
      </w:r>
      <w:r>
        <w:rPr>
          <w:rStyle w:val="19"/>
          <w:rFonts w:hint="eastAsia" w:ascii="Times New Roman" w:hAnsi="Times New Roman" w:eastAsia="Times New Roman" w:cs="Times New Roman"/>
          <w:color w:val="auto"/>
          <w:sz w:val="24"/>
          <w:szCs w:val="24"/>
          <w:highlight w:val="none"/>
        </w:rPr>
        <w:t>1</w:t>
      </w:r>
      <w:r>
        <w:rPr>
          <w:rStyle w:val="19"/>
          <w:rFonts w:hint="default" w:hAnsi="Times New Roman" w:cs="Times New Roman"/>
          <w:color w:val="auto"/>
          <w:sz w:val="24"/>
          <w:szCs w:val="24"/>
          <w:highlight w:val="none"/>
        </w:rPr>
        <w:t>承包人根据合同约定或监理人指示进行的现场材料试验，应由承包人提供试 验场所、试验人员、试验设备器材以及其他必要的试验条件。</w:t>
      </w:r>
    </w:p>
    <w:p w14:paraId="45157B8F">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eastAsia" w:ascii="Times New Roman" w:hAnsi="Times New Roman" w:eastAsia="Times New Roman" w:cs="Times New Roman"/>
          <w:color w:val="auto"/>
          <w:sz w:val="24"/>
          <w:szCs w:val="24"/>
          <w:highlight w:val="none"/>
        </w:rPr>
      </w:pPr>
      <w:bookmarkStart w:id="850" w:name="bookmark1263"/>
      <w:bookmarkEnd w:id="850"/>
      <w:r>
        <w:rPr>
          <w:rStyle w:val="19"/>
          <w:rFonts w:hint="eastAsia" w:ascii="Times New Roman" w:hAnsi="Times New Roman" w:eastAsia="Times New Roman" w:cs="Times New Roman"/>
          <w:color w:val="auto"/>
          <w:sz w:val="24"/>
          <w:szCs w:val="24"/>
          <w:highlight w:val="none"/>
          <w:lang w:val="en-US" w:bidi="en-US"/>
        </w:rPr>
        <w:t>14.2.</w:t>
      </w:r>
      <w:r>
        <w:rPr>
          <w:rStyle w:val="19"/>
          <w:rFonts w:hint="eastAsia" w:ascii="Times New Roman" w:hAnsi="Times New Roman" w:eastAsia="Times New Roman" w:cs="Times New Roman"/>
          <w:color w:val="auto"/>
          <w:sz w:val="24"/>
          <w:szCs w:val="24"/>
          <w:highlight w:val="none"/>
        </w:rPr>
        <w:t>2</w:t>
      </w:r>
      <w:r>
        <w:rPr>
          <w:rStyle w:val="19"/>
          <w:rFonts w:hint="default" w:hAnsi="Times New Roman" w:cs="Times New Roman"/>
          <w:color w:val="auto"/>
          <w:sz w:val="24"/>
          <w:szCs w:val="24"/>
          <w:highlight w:val="none"/>
        </w:rPr>
        <w:t>监理人在必要时可以使用承包人的试验场所、试验设备器材以及其他试验条件，进行以工程质量检查为目的的复核性材料试验，承包人应予以协助。</w:t>
      </w:r>
    </w:p>
    <w:p w14:paraId="7F086309">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851" w:name="_Toc9735"/>
      <w:bookmarkStart w:id="852" w:name="_Toc21991"/>
      <w:bookmarkStart w:id="853" w:name="bookmark1264"/>
      <w:bookmarkStart w:id="854" w:name="bookmark1266"/>
      <w:bookmarkStart w:id="855" w:name="bookmark1265"/>
      <w:bookmarkStart w:id="856" w:name="_Toc256000108"/>
      <w:r>
        <w:rPr>
          <w:rStyle w:val="19"/>
          <w:rFonts w:hint="default" w:ascii="宋体" w:hAnsi="宋体" w:eastAsia="宋体"/>
          <w:color w:val="auto"/>
          <w:sz w:val="24"/>
          <w:szCs w:val="20"/>
          <w:highlight w:val="none"/>
          <w:lang w:eastAsia="zh-CN"/>
        </w:rPr>
        <w:t>14.3现场工艺试验</w:t>
      </w:r>
      <w:bookmarkEnd w:id="851"/>
      <w:bookmarkEnd w:id="852"/>
      <w:bookmarkEnd w:id="853"/>
      <w:bookmarkEnd w:id="854"/>
      <w:bookmarkEnd w:id="855"/>
      <w:bookmarkEnd w:id="856"/>
    </w:p>
    <w:p w14:paraId="32BA3976">
      <w:pPr>
        <w:pStyle w:val="31"/>
        <w:pageBreakBefore w:val="0"/>
        <w:widowControl w:val="0"/>
        <w:kinsoku/>
        <w:wordWrap/>
        <w:overflowPunct/>
        <w:topLinePunct w:val="0"/>
        <w:autoSpaceDE/>
        <w:autoSpaceDN/>
        <w:bidi w:val="0"/>
        <w:adjustRightInd/>
        <w:snapToGrid/>
        <w:spacing w:beforeLines="0" w:after="120" w:afterLines="0" w:line="440" w:lineRule="exact"/>
        <w:ind w:firstLine="440"/>
        <w:jc w:val="both"/>
        <w:textAlignment w:val="auto"/>
        <w:rPr>
          <w:rStyle w:val="19"/>
          <w:rFonts w:hint="default"/>
          <w:color w:val="auto"/>
          <w:sz w:val="24"/>
          <w:szCs w:val="20"/>
          <w:highlight w:val="none"/>
        </w:rPr>
      </w:pPr>
      <w:r>
        <w:rPr>
          <w:rStyle w:val="19"/>
          <w:rFonts w:hint="default"/>
          <w:color w:val="auto"/>
          <w:sz w:val="24"/>
          <w:szCs w:val="20"/>
          <w:highlight w:val="none"/>
        </w:rPr>
        <w:t>承包人应按合同约定或监理人指示进行现场工艺试验。对大型的现场工艺试验，监理人认为必要时，应由承包人根据监理人提出的工艺试验要求，编制工艺试验措施计划，报送监理人审批。</w:t>
      </w:r>
    </w:p>
    <w:p w14:paraId="2EBCC77B">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eastAsia"/>
          <w:color w:val="auto"/>
          <w:sz w:val="24"/>
          <w:szCs w:val="20"/>
          <w:highlight w:val="none"/>
          <w:lang w:eastAsia="zh-CN"/>
        </w:rPr>
      </w:pPr>
      <w:bookmarkStart w:id="857" w:name="bookmark1269"/>
      <w:bookmarkStart w:id="858" w:name="_Toc256000109"/>
      <w:bookmarkStart w:id="859" w:name="_Toc9858"/>
      <w:bookmarkStart w:id="860" w:name="_Toc5435"/>
      <w:bookmarkStart w:id="861" w:name="bookmark1268"/>
      <w:bookmarkStart w:id="862" w:name="bookmark1267"/>
      <w:r>
        <w:rPr>
          <w:rStyle w:val="19"/>
          <w:rFonts w:hint="eastAsia"/>
          <w:color w:val="auto"/>
          <w:sz w:val="24"/>
          <w:szCs w:val="20"/>
          <w:highlight w:val="none"/>
          <w:lang w:eastAsia="zh-CN"/>
        </w:rPr>
        <w:t>15.</w:t>
      </w:r>
      <w:r>
        <w:rPr>
          <w:rStyle w:val="19"/>
          <w:rFonts w:hint="default" w:ascii="宋体" w:eastAsia="宋体"/>
          <w:color w:val="auto"/>
          <w:sz w:val="24"/>
          <w:szCs w:val="20"/>
          <w:highlight w:val="none"/>
          <w:lang w:eastAsia="zh-CN"/>
        </w:rPr>
        <w:t>变更</w:t>
      </w:r>
      <w:bookmarkEnd w:id="857"/>
      <w:bookmarkEnd w:id="858"/>
      <w:bookmarkEnd w:id="859"/>
      <w:bookmarkEnd w:id="860"/>
    </w:p>
    <w:p w14:paraId="2154CCFD">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863" w:name="_Toc30097"/>
      <w:bookmarkStart w:id="864" w:name="bookmark1270"/>
      <w:bookmarkStart w:id="865" w:name="_Toc8153"/>
      <w:bookmarkStart w:id="866" w:name="_Toc256000110"/>
      <w:r>
        <w:rPr>
          <w:rStyle w:val="19"/>
          <w:rFonts w:hint="default" w:ascii="宋体" w:hAnsi="宋体" w:eastAsia="宋体"/>
          <w:color w:val="auto"/>
          <w:sz w:val="24"/>
          <w:szCs w:val="20"/>
          <w:highlight w:val="none"/>
          <w:lang w:eastAsia="zh-CN"/>
        </w:rPr>
        <w:t>15.1变更的范围和内容</w:t>
      </w:r>
      <w:bookmarkEnd w:id="861"/>
      <w:bookmarkEnd w:id="862"/>
      <w:bookmarkEnd w:id="863"/>
      <w:bookmarkEnd w:id="864"/>
      <w:bookmarkEnd w:id="865"/>
      <w:bookmarkEnd w:id="866"/>
    </w:p>
    <w:p w14:paraId="55A0595B">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r>
        <w:rPr>
          <w:rStyle w:val="19"/>
          <w:rFonts w:hint="default"/>
          <w:color w:val="auto"/>
          <w:sz w:val="24"/>
          <w:szCs w:val="20"/>
          <w:highlight w:val="none"/>
        </w:rPr>
        <w:t>在履行合同中发生以下情形之一，应按照本条规定进行变更。</w:t>
      </w:r>
    </w:p>
    <w:p w14:paraId="2BF979C9">
      <w:pPr>
        <w:pStyle w:val="31"/>
        <w:pageBreakBefore w:val="0"/>
        <w:widowControl w:val="0"/>
        <w:numPr>
          <w:ilvl w:val="0"/>
          <w:numId w:val="12"/>
        </w:numPr>
        <w:tabs>
          <w:tab w:val="left" w:pos="923"/>
        </w:tabs>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bookmarkStart w:id="867" w:name="bookmark1271"/>
      <w:bookmarkEnd w:id="867"/>
      <w:r>
        <w:rPr>
          <w:rStyle w:val="19"/>
          <w:rFonts w:hint="default"/>
          <w:color w:val="auto"/>
          <w:sz w:val="24"/>
          <w:szCs w:val="20"/>
          <w:highlight w:val="none"/>
        </w:rPr>
        <w:t>取消合同中任何一项工作，但被取消的工作不能转由发包人或其它人实施；</w:t>
      </w:r>
    </w:p>
    <w:p w14:paraId="024B9502">
      <w:pPr>
        <w:pStyle w:val="31"/>
        <w:pageBreakBefore w:val="0"/>
        <w:widowControl w:val="0"/>
        <w:numPr>
          <w:ilvl w:val="0"/>
          <w:numId w:val="12"/>
        </w:numPr>
        <w:tabs>
          <w:tab w:val="left" w:pos="923"/>
        </w:tabs>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bookmarkStart w:id="868" w:name="bookmark1272"/>
      <w:bookmarkEnd w:id="868"/>
      <w:r>
        <w:rPr>
          <w:rStyle w:val="19"/>
          <w:rFonts w:hint="default"/>
          <w:color w:val="auto"/>
          <w:sz w:val="24"/>
          <w:szCs w:val="20"/>
          <w:highlight w:val="none"/>
        </w:rPr>
        <w:t>改变合同中任何一项工作的质量或其它特性；</w:t>
      </w:r>
    </w:p>
    <w:p w14:paraId="763C9FE2">
      <w:pPr>
        <w:pStyle w:val="31"/>
        <w:pageBreakBefore w:val="0"/>
        <w:widowControl w:val="0"/>
        <w:numPr>
          <w:ilvl w:val="0"/>
          <w:numId w:val="12"/>
        </w:numPr>
        <w:tabs>
          <w:tab w:val="left" w:pos="923"/>
        </w:tabs>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bookmarkStart w:id="869" w:name="bookmark1273"/>
      <w:bookmarkEnd w:id="869"/>
      <w:r>
        <w:rPr>
          <w:rStyle w:val="19"/>
          <w:rFonts w:hint="default"/>
          <w:color w:val="auto"/>
          <w:sz w:val="24"/>
          <w:szCs w:val="20"/>
          <w:highlight w:val="none"/>
        </w:rPr>
        <w:t>改变合同工程的基线、标高、位置或尺寸；</w:t>
      </w:r>
    </w:p>
    <w:p w14:paraId="53682C36">
      <w:pPr>
        <w:pStyle w:val="31"/>
        <w:pageBreakBefore w:val="0"/>
        <w:widowControl w:val="0"/>
        <w:numPr>
          <w:ilvl w:val="0"/>
          <w:numId w:val="12"/>
        </w:numPr>
        <w:tabs>
          <w:tab w:val="left" w:pos="923"/>
        </w:tabs>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bookmarkStart w:id="870" w:name="bookmark1274"/>
      <w:bookmarkEnd w:id="870"/>
      <w:r>
        <w:rPr>
          <w:rStyle w:val="19"/>
          <w:rFonts w:hint="default"/>
          <w:color w:val="auto"/>
          <w:sz w:val="24"/>
          <w:szCs w:val="20"/>
          <w:highlight w:val="none"/>
        </w:rPr>
        <w:t>改变合同中任何一项工作的施工时间或改变已批准的施工工艺或顺序；</w:t>
      </w:r>
    </w:p>
    <w:p w14:paraId="473B2ABE">
      <w:pPr>
        <w:pStyle w:val="31"/>
        <w:pageBreakBefore w:val="0"/>
        <w:widowControl w:val="0"/>
        <w:numPr>
          <w:ilvl w:val="0"/>
          <w:numId w:val="12"/>
        </w:numPr>
        <w:tabs>
          <w:tab w:val="left" w:pos="923"/>
        </w:tabs>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bookmarkStart w:id="871" w:name="bookmark1275"/>
      <w:bookmarkEnd w:id="871"/>
      <w:r>
        <w:rPr>
          <w:rStyle w:val="19"/>
          <w:rFonts w:hint="default"/>
          <w:color w:val="auto"/>
          <w:sz w:val="24"/>
          <w:szCs w:val="20"/>
          <w:highlight w:val="none"/>
        </w:rPr>
        <w:t>为完成工程需要追加的额外工作；</w:t>
      </w:r>
    </w:p>
    <w:p w14:paraId="2470D361">
      <w:pPr>
        <w:pStyle w:val="31"/>
        <w:pageBreakBefore w:val="0"/>
        <w:widowControl w:val="0"/>
        <w:numPr>
          <w:ilvl w:val="0"/>
          <w:numId w:val="12"/>
        </w:numPr>
        <w:tabs>
          <w:tab w:val="left" w:pos="920"/>
        </w:tabs>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bookmarkStart w:id="872" w:name="bookmark1276"/>
      <w:bookmarkEnd w:id="872"/>
      <w:r>
        <w:rPr>
          <w:rStyle w:val="19"/>
          <w:rFonts w:hint="default"/>
          <w:color w:val="auto"/>
          <w:sz w:val="24"/>
          <w:szCs w:val="20"/>
          <w:highlight w:val="none"/>
        </w:rPr>
        <w:t>增加或减少专用合同条款中约定的关键项目工程量超过其工程总量的一定数量的百分比。</w:t>
      </w:r>
    </w:p>
    <w:p w14:paraId="1CFB85F9">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r>
        <w:rPr>
          <w:rStyle w:val="19"/>
          <w:rFonts w:hint="default"/>
          <w:color w:val="auto"/>
          <w:sz w:val="24"/>
          <w:szCs w:val="20"/>
          <w:highlight w:val="none"/>
        </w:rPr>
        <w:t>上述第(</w:t>
      </w:r>
      <w:r>
        <w:rPr>
          <w:rStyle w:val="19"/>
          <w:rFonts w:hint="eastAsia" w:ascii="Times New Roman" w:hAnsi="Times New Roman" w:eastAsia="Times New Roman" w:cs="Times New Roman"/>
          <w:color w:val="auto"/>
          <w:sz w:val="24"/>
          <w:szCs w:val="24"/>
          <w:highlight w:val="none"/>
        </w:rPr>
        <w:t>1)~ (6)</w:t>
      </w:r>
      <w:r>
        <w:rPr>
          <w:rStyle w:val="19"/>
          <w:rFonts w:hint="default"/>
          <w:color w:val="auto"/>
          <w:sz w:val="24"/>
          <w:szCs w:val="20"/>
          <w:highlight w:val="none"/>
        </w:rPr>
        <w:t>目的变更内容引起工程施工组织和进度计划发生实质性变动和影响其原定的价格时，才予调整该项目的单价。第(</w:t>
      </w:r>
      <w:r>
        <w:rPr>
          <w:rStyle w:val="19"/>
          <w:rFonts w:hint="eastAsia" w:ascii="Times New Roman" w:hAnsi="Times New Roman" w:eastAsia="Times New Roman" w:cs="Times New Roman"/>
          <w:color w:val="auto"/>
          <w:sz w:val="24"/>
          <w:szCs w:val="24"/>
          <w:highlight w:val="none"/>
        </w:rPr>
        <w:t>6)</w:t>
      </w:r>
      <w:r>
        <w:rPr>
          <w:rStyle w:val="19"/>
          <w:rFonts w:hint="default"/>
          <w:color w:val="auto"/>
          <w:sz w:val="24"/>
          <w:szCs w:val="20"/>
          <w:highlight w:val="none"/>
        </w:rPr>
        <w:t>目情形下单价调整方式在专用合同条款中约定。</w:t>
      </w:r>
    </w:p>
    <w:p w14:paraId="43AAB147">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873" w:name="_Toc25903"/>
      <w:bookmarkStart w:id="874" w:name="_Toc17873"/>
      <w:bookmarkStart w:id="875" w:name="bookmark1277"/>
      <w:bookmarkStart w:id="876" w:name="bookmark1278"/>
      <w:bookmarkStart w:id="877" w:name="bookmark1279"/>
      <w:bookmarkStart w:id="878" w:name="_Toc256000111"/>
      <w:r>
        <w:rPr>
          <w:rStyle w:val="19"/>
          <w:rFonts w:hint="default" w:ascii="宋体" w:hAnsi="宋体" w:eastAsia="宋体"/>
          <w:color w:val="auto"/>
          <w:sz w:val="24"/>
          <w:szCs w:val="20"/>
          <w:highlight w:val="none"/>
          <w:lang w:eastAsia="zh-CN"/>
        </w:rPr>
        <w:t>15.2变更权</w:t>
      </w:r>
      <w:bookmarkEnd w:id="873"/>
      <w:bookmarkEnd w:id="874"/>
      <w:bookmarkEnd w:id="875"/>
      <w:bookmarkEnd w:id="876"/>
      <w:bookmarkEnd w:id="877"/>
      <w:bookmarkEnd w:id="878"/>
    </w:p>
    <w:p w14:paraId="3D7FC7BD">
      <w:pPr>
        <w:pStyle w:val="31"/>
        <w:pageBreakBefore w:val="0"/>
        <w:widowControl w:val="0"/>
        <w:kinsoku/>
        <w:wordWrap/>
        <w:overflowPunct/>
        <w:topLinePunct w:val="0"/>
        <w:autoSpaceDE/>
        <w:autoSpaceDN/>
        <w:bidi w:val="0"/>
        <w:adjustRightInd/>
        <w:snapToGrid/>
        <w:spacing w:beforeLines="0" w:after="240" w:afterLines="0" w:line="440" w:lineRule="exact"/>
        <w:ind w:firstLine="440"/>
        <w:jc w:val="both"/>
        <w:textAlignment w:val="auto"/>
        <w:rPr>
          <w:rStyle w:val="19"/>
          <w:rFonts w:hint="default"/>
          <w:color w:val="auto"/>
          <w:sz w:val="24"/>
          <w:szCs w:val="20"/>
          <w:highlight w:val="none"/>
        </w:rPr>
      </w:pPr>
      <w:r>
        <w:rPr>
          <w:rStyle w:val="19"/>
          <w:rFonts w:hint="default"/>
          <w:color w:val="auto"/>
          <w:sz w:val="24"/>
          <w:szCs w:val="20"/>
          <w:highlight w:val="none"/>
        </w:rPr>
        <w:t>在履行合同过程中，经发包人同意，监理人可按第</w:t>
      </w:r>
      <w:r>
        <w:rPr>
          <w:rStyle w:val="19"/>
          <w:rFonts w:hint="eastAsia" w:ascii="Times New Roman" w:hAnsi="Times New Roman" w:eastAsia="Times New Roman" w:cs="Times New Roman"/>
          <w:color w:val="auto"/>
          <w:sz w:val="24"/>
          <w:szCs w:val="24"/>
          <w:highlight w:val="none"/>
          <w:lang w:val="en-US" w:bidi="en-US"/>
        </w:rPr>
        <w:t xml:space="preserve">15. </w:t>
      </w:r>
      <w:r>
        <w:rPr>
          <w:rStyle w:val="19"/>
          <w:rFonts w:hint="eastAsia" w:ascii="Times New Roman" w:hAnsi="Times New Roman" w:eastAsia="Times New Roman" w:cs="Times New Roman"/>
          <w:color w:val="auto"/>
          <w:sz w:val="24"/>
          <w:szCs w:val="24"/>
          <w:highlight w:val="none"/>
        </w:rPr>
        <w:t>3</w:t>
      </w:r>
      <w:r>
        <w:rPr>
          <w:rStyle w:val="19"/>
          <w:rFonts w:hint="default"/>
          <w:color w:val="auto"/>
          <w:sz w:val="24"/>
          <w:szCs w:val="20"/>
          <w:highlight w:val="none"/>
        </w:rPr>
        <w:t>款约定的变更程序向承包人作出变更指示，承包人应遵照执行。没有监理人的变更指示，承包人不得擅自变更。</w:t>
      </w:r>
    </w:p>
    <w:p w14:paraId="0522D873">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879" w:name="_Toc24991"/>
      <w:bookmarkStart w:id="880" w:name="bookmark1282"/>
      <w:bookmarkStart w:id="881" w:name="_Toc256000112"/>
      <w:bookmarkStart w:id="882" w:name="bookmark1280"/>
      <w:bookmarkStart w:id="883" w:name="_Toc6368"/>
      <w:bookmarkStart w:id="884" w:name="bookmark1281"/>
      <w:r>
        <w:rPr>
          <w:rStyle w:val="19"/>
          <w:rFonts w:hint="default" w:ascii="宋体" w:hAnsi="宋体" w:eastAsia="宋体"/>
          <w:color w:val="auto"/>
          <w:sz w:val="24"/>
          <w:szCs w:val="20"/>
          <w:highlight w:val="none"/>
          <w:lang w:eastAsia="zh-CN"/>
        </w:rPr>
        <w:t>15.3变更程序</w:t>
      </w:r>
      <w:bookmarkEnd w:id="879"/>
      <w:bookmarkEnd w:id="880"/>
      <w:bookmarkEnd w:id="881"/>
      <w:bookmarkEnd w:id="882"/>
      <w:bookmarkEnd w:id="883"/>
      <w:bookmarkEnd w:id="884"/>
    </w:p>
    <w:p w14:paraId="3E226D2A">
      <w:pPr>
        <w:pStyle w:val="31"/>
        <w:pageBreakBefore w:val="0"/>
        <w:widowControl w:val="0"/>
        <w:kinsoku/>
        <w:wordWrap/>
        <w:overflowPunct/>
        <w:topLinePunct w:val="0"/>
        <w:autoSpaceDE/>
        <w:autoSpaceDN/>
        <w:bidi w:val="0"/>
        <w:adjustRightInd/>
        <w:snapToGrid/>
        <w:spacing w:beforeLines="0" w:afterLines="0" w:line="440" w:lineRule="exact"/>
        <w:ind w:firstLine="420"/>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eastAsia="en-US" w:bidi="en-US"/>
        </w:rPr>
        <w:t>15.3.1</w:t>
      </w:r>
      <w:r>
        <w:rPr>
          <w:rStyle w:val="19"/>
          <w:rFonts w:hint="default"/>
          <w:color w:val="auto"/>
          <w:sz w:val="24"/>
          <w:szCs w:val="20"/>
          <w:highlight w:val="none"/>
        </w:rPr>
        <w:t>变更的提出</w:t>
      </w:r>
    </w:p>
    <w:p w14:paraId="7EA24763">
      <w:pPr>
        <w:pStyle w:val="31"/>
        <w:pageBreakBefore w:val="0"/>
        <w:widowControl w:val="0"/>
        <w:numPr>
          <w:ilvl w:val="0"/>
          <w:numId w:val="13"/>
        </w:numPr>
        <w:tabs>
          <w:tab w:val="left" w:pos="918"/>
        </w:tabs>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bookmarkStart w:id="885" w:name="bookmark1283"/>
      <w:bookmarkEnd w:id="885"/>
      <w:r>
        <w:rPr>
          <w:rStyle w:val="19"/>
          <w:rFonts w:hint="default"/>
          <w:color w:val="auto"/>
          <w:sz w:val="24"/>
          <w:szCs w:val="20"/>
          <w:highlight w:val="none"/>
        </w:rPr>
        <w:t>在合同履行过程中，可能发生第</w:t>
      </w:r>
      <w:r>
        <w:rPr>
          <w:rStyle w:val="19"/>
          <w:rFonts w:hint="eastAsia" w:ascii="Times New Roman" w:hAnsi="Times New Roman" w:eastAsia="Times New Roman" w:cs="Times New Roman"/>
          <w:color w:val="auto"/>
          <w:sz w:val="24"/>
          <w:szCs w:val="24"/>
          <w:highlight w:val="none"/>
          <w:lang w:val="en-US" w:bidi="en-US"/>
        </w:rPr>
        <w:t>15.1</w:t>
      </w:r>
      <w:r>
        <w:rPr>
          <w:rStyle w:val="19"/>
          <w:rFonts w:hint="default"/>
          <w:color w:val="auto"/>
          <w:sz w:val="24"/>
          <w:szCs w:val="20"/>
          <w:highlight w:val="none"/>
        </w:rPr>
        <w:t>款约定情形的，监理人可向承包人发出变更意向书。变更意向书应说明变更的具体内容和发包人对变更的时间要求，并附必要的图纸和相关资料。变更意向书应要求承包人提交包括拟实施变更工作的计划、措施和竣工时间等内容的实施方案。发包人同意承包人根据变更意向书要求提交的变更实施方案的，由监理人按第</w:t>
      </w:r>
      <w:r>
        <w:rPr>
          <w:rStyle w:val="19"/>
          <w:rFonts w:hint="eastAsia" w:ascii="Times New Roman" w:hAnsi="Times New Roman" w:eastAsia="Times New Roman" w:cs="Times New Roman"/>
          <w:color w:val="auto"/>
          <w:sz w:val="24"/>
          <w:szCs w:val="24"/>
          <w:highlight w:val="none"/>
          <w:lang w:val="en-US" w:bidi="en-US"/>
        </w:rPr>
        <w:t xml:space="preserve">15. </w:t>
      </w:r>
      <w:r>
        <w:rPr>
          <w:rStyle w:val="19"/>
          <w:rFonts w:hint="eastAsia" w:ascii="Times New Roman" w:hAnsi="Times New Roman" w:eastAsia="Times New Roman" w:cs="Times New Roman"/>
          <w:color w:val="auto"/>
          <w:sz w:val="24"/>
          <w:szCs w:val="24"/>
          <w:highlight w:val="none"/>
          <w:lang w:val="en-US" w:eastAsia="en-US" w:bidi="en-US"/>
        </w:rPr>
        <w:t xml:space="preserve">3. </w:t>
      </w:r>
      <w:r>
        <w:rPr>
          <w:rStyle w:val="19"/>
          <w:rFonts w:hint="eastAsia" w:ascii="Times New Roman" w:hAnsi="Times New Roman" w:eastAsia="Times New Roman" w:cs="Times New Roman"/>
          <w:color w:val="auto"/>
          <w:sz w:val="24"/>
          <w:szCs w:val="24"/>
          <w:highlight w:val="none"/>
        </w:rPr>
        <w:t>3</w:t>
      </w:r>
      <w:r>
        <w:rPr>
          <w:rStyle w:val="19"/>
          <w:rFonts w:hint="default"/>
          <w:color w:val="auto"/>
          <w:sz w:val="24"/>
          <w:szCs w:val="20"/>
          <w:highlight w:val="none"/>
        </w:rPr>
        <w:t>项约定发出变更指示。</w:t>
      </w:r>
    </w:p>
    <w:p w14:paraId="29BB3C46">
      <w:pPr>
        <w:pStyle w:val="31"/>
        <w:pageBreakBefore w:val="0"/>
        <w:widowControl w:val="0"/>
        <w:numPr>
          <w:ilvl w:val="0"/>
          <w:numId w:val="13"/>
        </w:numPr>
        <w:tabs>
          <w:tab w:val="left" w:pos="901"/>
        </w:tabs>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bookmarkStart w:id="886" w:name="bookmark1284"/>
      <w:bookmarkEnd w:id="886"/>
      <w:r>
        <w:rPr>
          <w:rStyle w:val="19"/>
          <w:rFonts w:hint="default"/>
          <w:color w:val="auto"/>
          <w:sz w:val="24"/>
          <w:szCs w:val="20"/>
          <w:highlight w:val="none"/>
        </w:rPr>
        <w:t>在合同履行过程中，发生第</w:t>
      </w:r>
      <w:r>
        <w:rPr>
          <w:rStyle w:val="19"/>
          <w:rFonts w:hint="eastAsia" w:ascii="Times New Roman" w:hAnsi="Times New Roman" w:eastAsia="Times New Roman" w:cs="Times New Roman"/>
          <w:color w:val="auto"/>
          <w:sz w:val="24"/>
          <w:szCs w:val="24"/>
          <w:highlight w:val="none"/>
          <w:lang w:val="en-US" w:bidi="en-US"/>
        </w:rPr>
        <w:t xml:space="preserve">15. </w:t>
      </w:r>
      <w:r>
        <w:rPr>
          <w:rStyle w:val="19"/>
          <w:rFonts w:hint="eastAsia" w:ascii="Times New Roman" w:hAnsi="Times New Roman" w:eastAsia="Times New Roman" w:cs="Times New Roman"/>
          <w:color w:val="auto"/>
          <w:sz w:val="24"/>
          <w:szCs w:val="24"/>
          <w:highlight w:val="none"/>
        </w:rPr>
        <w:t>1</w:t>
      </w:r>
      <w:r>
        <w:rPr>
          <w:rStyle w:val="19"/>
          <w:rFonts w:hint="default"/>
          <w:color w:val="auto"/>
          <w:sz w:val="24"/>
          <w:szCs w:val="20"/>
          <w:highlight w:val="none"/>
        </w:rPr>
        <w:t>款约定情形的，监理人应按照第</w:t>
      </w:r>
      <w:r>
        <w:rPr>
          <w:rStyle w:val="19"/>
          <w:rFonts w:hint="eastAsia" w:ascii="Times New Roman" w:hAnsi="Times New Roman" w:eastAsia="Times New Roman" w:cs="Times New Roman"/>
          <w:color w:val="auto"/>
          <w:sz w:val="24"/>
          <w:szCs w:val="24"/>
          <w:highlight w:val="none"/>
          <w:lang w:val="en-US" w:bidi="en-US"/>
        </w:rPr>
        <w:t xml:space="preserve">15. 3. </w:t>
      </w:r>
      <w:r>
        <w:rPr>
          <w:rStyle w:val="19"/>
          <w:rFonts w:hint="eastAsia" w:ascii="Times New Roman" w:hAnsi="Times New Roman" w:eastAsia="Times New Roman" w:cs="Times New Roman"/>
          <w:color w:val="auto"/>
          <w:sz w:val="24"/>
          <w:szCs w:val="24"/>
          <w:highlight w:val="none"/>
        </w:rPr>
        <w:t>3</w:t>
      </w:r>
      <w:r>
        <w:rPr>
          <w:rStyle w:val="19"/>
          <w:rFonts w:hint="default"/>
          <w:color w:val="auto"/>
          <w:sz w:val="24"/>
          <w:szCs w:val="20"/>
          <w:highlight w:val="none"/>
        </w:rPr>
        <w:t>项约定向承包人发出变更指示。</w:t>
      </w:r>
    </w:p>
    <w:p w14:paraId="451B98C5">
      <w:pPr>
        <w:pStyle w:val="31"/>
        <w:pageBreakBefore w:val="0"/>
        <w:widowControl w:val="0"/>
        <w:numPr>
          <w:ilvl w:val="0"/>
          <w:numId w:val="13"/>
        </w:numPr>
        <w:tabs>
          <w:tab w:val="left" w:pos="922"/>
        </w:tabs>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bookmarkStart w:id="887" w:name="bookmark1285"/>
      <w:bookmarkEnd w:id="887"/>
      <w:r>
        <w:rPr>
          <w:rStyle w:val="19"/>
          <w:rFonts w:hint="default"/>
          <w:color w:val="auto"/>
          <w:sz w:val="24"/>
          <w:szCs w:val="20"/>
          <w:highlight w:val="none"/>
        </w:rPr>
        <w:t>承包人收到监理人按合同约定发出的图纸和文件，经检查认为其中存在第</w:t>
      </w:r>
      <w:r>
        <w:rPr>
          <w:rStyle w:val="19"/>
          <w:rFonts w:hint="eastAsia" w:ascii="Times New Roman" w:hAnsi="Times New Roman" w:eastAsia="Times New Roman" w:cs="Times New Roman"/>
          <w:color w:val="auto"/>
          <w:sz w:val="24"/>
          <w:szCs w:val="24"/>
          <w:highlight w:val="none"/>
          <w:lang w:val="en-US" w:bidi="en-US"/>
        </w:rPr>
        <w:t xml:space="preserve">15. </w:t>
      </w:r>
      <w:r>
        <w:rPr>
          <w:rStyle w:val="19"/>
          <w:rFonts w:hint="eastAsia" w:ascii="Times New Roman" w:hAnsi="Times New Roman" w:eastAsia="Times New Roman" w:cs="Times New Roman"/>
          <w:color w:val="auto"/>
          <w:sz w:val="24"/>
          <w:szCs w:val="24"/>
          <w:highlight w:val="none"/>
        </w:rPr>
        <w:t>1</w:t>
      </w:r>
      <w:r>
        <w:rPr>
          <w:rStyle w:val="19"/>
          <w:rFonts w:hint="default"/>
          <w:color w:val="auto"/>
          <w:sz w:val="24"/>
          <w:szCs w:val="20"/>
          <w:highlight w:val="none"/>
        </w:rPr>
        <w:t>款 约定情形的，可向监理人提出书面变更建议。变更建议应阐明要求变更的依据，并附必要的图纸和说明。监理人收到承包人书面建议后，应与发包人共同研究，确认存在变更的，应在收到承包人书面建议后的</w:t>
      </w:r>
      <w:r>
        <w:rPr>
          <w:rStyle w:val="19"/>
          <w:rFonts w:hint="eastAsia" w:ascii="Times New Roman" w:hAnsi="Times New Roman" w:eastAsia="Times New Roman" w:cs="Times New Roman"/>
          <w:color w:val="auto"/>
          <w:sz w:val="24"/>
          <w:szCs w:val="24"/>
          <w:highlight w:val="none"/>
        </w:rPr>
        <w:t>14</w:t>
      </w:r>
      <w:r>
        <w:rPr>
          <w:rStyle w:val="19"/>
          <w:rFonts w:hint="default"/>
          <w:color w:val="auto"/>
          <w:sz w:val="24"/>
          <w:szCs w:val="20"/>
          <w:highlight w:val="none"/>
        </w:rPr>
        <w:t>天内作出变更指示。经研究后不同意作为变更的，应由监理人书面答复承包人。</w:t>
      </w:r>
    </w:p>
    <w:p w14:paraId="61E8DDEF">
      <w:pPr>
        <w:pStyle w:val="31"/>
        <w:pageBreakBefore w:val="0"/>
        <w:widowControl w:val="0"/>
        <w:numPr>
          <w:ilvl w:val="0"/>
          <w:numId w:val="13"/>
        </w:numPr>
        <w:tabs>
          <w:tab w:val="left" w:pos="922"/>
        </w:tabs>
        <w:kinsoku/>
        <w:wordWrap/>
        <w:overflowPunct/>
        <w:topLinePunct w:val="0"/>
        <w:autoSpaceDE/>
        <w:autoSpaceDN/>
        <w:bidi w:val="0"/>
        <w:adjustRightInd/>
        <w:snapToGrid/>
        <w:spacing w:beforeLines="0" w:after="80" w:afterLines="0" w:line="440" w:lineRule="exact"/>
        <w:ind w:firstLine="440"/>
        <w:jc w:val="both"/>
        <w:textAlignment w:val="auto"/>
        <w:rPr>
          <w:rStyle w:val="19"/>
          <w:rFonts w:hint="default"/>
          <w:color w:val="auto"/>
          <w:sz w:val="24"/>
          <w:szCs w:val="20"/>
          <w:highlight w:val="none"/>
        </w:rPr>
      </w:pPr>
      <w:bookmarkStart w:id="888" w:name="bookmark1286"/>
      <w:bookmarkEnd w:id="888"/>
      <w:r>
        <w:rPr>
          <w:rStyle w:val="19"/>
          <w:rFonts w:hint="default"/>
          <w:color w:val="auto"/>
          <w:sz w:val="24"/>
          <w:szCs w:val="20"/>
          <w:highlight w:val="none"/>
        </w:rPr>
        <w:t>若承包人收到监理人的变更意向书后认为难以实施此项变更，应立即通知监理人, 说明原因并附详细依据。监理人与承包人和发包人协商后确定撤销、改变或不改变原变更 意向书。</w:t>
      </w:r>
    </w:p>
    <w:p w14:paraId="5E65E5EF">
      <w:pPr>
        <w:pStyle w:val="32"/>
        <w:pageBreakBefore w:val="0"/>
        <w:widowControl w:val="0"/>
        <w:kinsoku/>
        <w:wordWrap/>
        <w:overflowPunct/>
        <w:topLinePunct w:val="0"/>
        <w:autoSpaceDE/>
        <w:autoSpaceDN/>
        <w:bidi w:val="0"/>
        <w:adjustRightInd/>
        <w:snapToGrid/>
        <w:spacing w:beforeLines="0" w:after="0" w:afterLines="0" w:line="440" w:lineRule="exact"/>
        <w:ind w:firstLine="440"/>
        <w:jc w:val="both"/>
        <w:textAlignment w:val="auto"/>
        <w:rPr>
          <w:rStyle w:val="19"/>
          <w:rFonts w:hint="eastAsia"/>
          <w:color w:val="auto"/>
          <w:sz w:val="24"/>
          <w:szCs w:val="20"/>
          <w:highlight w:val="none"/>
        </w:rPr>
      </w:pPr>
      <w:r>
        <w:rPr>
          <w:rStyle w:val="19"/>
          <w:rFonts w:hint="eastAsia"/>
          <w:color w:val="auto"/>
          <w:sz w:val="24"/>
          <w:szCs w:val="20"/>
          <w:highlight w:val="none"/>
        </w:rPr>
        <w:t>15.3.2</w:t>
      </w:r>
      <w:r>
        <w:rPr>
          <w:rStyle w:val="19"/>
          <w:rFonts w:hint="default" w:ascii="宋体" w:hAnsi="宋体" w:eastAsia="宋体" w:cs="宋体"/>
          <w:color w:val="auto"/>
          <w:sz w:val="24"/>
          <w:szCs w:val="24"/>
          <w:highlight w:val="none"/>
          <w:lang w:val="zh-CN" w:eastAsia="zh-CN" w:bidi="zh-CN"/>
        </w:rPr>
        <w:t>变更估价</w:t>
      </w:r>
    </w:p>
    <w:p w14:paraId="4683DF8E">
      <w:pPr>
        <w:pStyle w:val="31"/>
        <w:pageBreakBefore w:val="0"/>
        <w:widowControl w:val="0"/>
        <w:numPr>
          <w:ilvl w:val="0"/>
          <w:numId w:val="14"/>
        </w:numPr>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bookmarkStart w:id="889" w:name="bookmark1287"/>
      <w:bookmarkEnd w:id="889"/>
      <w:r>
        <w:rPr>
          <w:rStyle w:val="19"/>
          <w:rFonts w:hint="default"/>
          <w:color w:val="auto"/>
          <w:sz w:val="24"/>
          <w:szCs w:val="20"/>
          <w:highlight w:val="none"/>
        </w:rPr>
        <w:t>除专用合同条款对期限另有约定外，承包人应在收到变更指示或变更意向书后的</w:t>
      </w:r>
      <w:r>
        <w:rPr>
          <w:rStyle w:val="19"/>
          <w:rFonts w:hint="eastAsia" w:ascii="Times New Roman" w:hAnsi="Times New Roman" w:eastAsia="Times New Roman" w:cs="Times New Roman"/>
          <w:color w:val="auto"/>
          <w:sz w:val="24"/>
          <w:szCs w:val="24"/>
          <w:highlight w:val="none"/>
        </w:rPr>
        <w:t>14</w:t>
      </w:r>
      <w:r>
        <w:rPr>
          <w:rStyle w:val="19"/>
          <w:rFonts w:hint="default"/>
          <w:color w:val="auto"/>
          <w:sz w:val="24"/>
          <w:szCs w:val="20"/>
          <w:highlight w:val="none"/>
        </w:rPr>
        <w:t>天内，向监理人提交变更报价书，报价内容应根据第</w:t>
      </w:r>
      <w:r>
        <w:rPr>
          <w:rStyle w:val="19"/>
          <w:rFonts w:hint="eastAsia" w:ascii="Times New Roman" w:hAnsi="Times New Roman" w:eastAsia="Times New Roman" w:cs="Times New Roman"/>
          <w:color w:val="auto"/>
          <w:sz w:val="24"/>
          <w:szCs w:val="24"/>
          <w:highlight w:val="none"/>
          <w:lang w:val="en-US" w:bidi="en-US"/>
        </w:rPr>
        <w:t xml:space="preserve">15. </w:t>
      </w:r>
      <w:r>
        <w:rPr>
          <w:rStyle w:val="19"/>
          <w:rFonts w:hint="eastAsia" w:ascii="Times New Roman" w:hAnsi="Times New Roman" w:eastAsia="Times New Roman" w:cs="Times New Roman"/>
          <w:color w:val="auto"/>
          <w:sz w:val="24"/>
          <w:szCs w:val="24"/>
          <w:highlight w:val="none"/>
        </w:rPr>
        <w:t>4</w:t>
      </w:r>
      <w:r>
        <w:rPr>
          <w:rStyle w:val="19"/>
          <w:rFonts w:hint="default"/>
          <w:color w:val="auto"/>
          <w:sz w:val="24"/>
          <w:szCs w:val="20"/>
          <w:highlight w:val="none"/>
        </w:rPr>
        <w:t>款约定的估价原则，详细开列变更工作的价格组成及其依据，并附必要的施工方法说明和有关图纸。</w:t>
      </w:r>
    </w:p>
    <w:p w14:paraId="18B3AC39">
      <w:pPr>
        <w:pStyle w:val="31"/>
        <w:pageBreakBefore w:val="0"/>
        <w:widowControl w:val="0"/>
        <w:numPr>
          <w:ilvl w:val="0"/>
          <w:numId w:val="14"/>
        </w:numPr>
        <w:tabs>
          <w:tab w:val="left" w:pos="915"/>
        </w:tabs>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bookmarkStart w:id="890" w:name="bookmark1288"/>
      <w:bookmarkEnd w:id="890"/>
      <w:r>
        <w:rPr>
          <w:rStyle w:val="19"/>
          <w:rFonts w:hint="default"/>
          <w:color w:val="auto"/>
          <w:sz w:val="24"/>
          <w:szCs w:val="20"/>
          <w:highlight w:val="none"/>
        </w:rPr>
        <w:t>变更工作影响工期的，承包人应提出调整工期的具体细节。监理人认为有必要时, 可要求承包人提交要求提前或延长工期的施工进度计划及相应施工措施等详细资料。</w:t>
      </w:r>
    </w:p>
    <w:p w14:paraId="0BE2B799">
      <w:pPr>
        <w:pStyle w:val="31"/>
        <w:pageBreakBefore w:val="0"/>
        <w:widowControl w:val="0"/>
        <w:numPr>
          <w:ilvl w:val="0"/>
          <w:numId w:val="14"/>
        </w:numPr>
        <w:tabs>
          <w:tab w:val="left" w:pos="920"/>
        </w:tabs>
        <w:kinsoku/>
        <w:wordWrap/>
        <w:overflowPunct/>
        <w:topLinePunct w:val="0"/>
        <w:autoSpaceDE/>
        <w:autoSpaceDN/>
        <w:bidi w:val="0"/>
        <w:adjustRightInd/>
        <w:snapToGrid/>
        <w:spacing w:beforeLines="0" w:after="120" w:afterLines="0" w:line="440" w:lineRule="exact"/>
        <w:ind w:firstLine="440"/>
        <w:jc w:val="both"/>
        <w:textAlignment w:val="auto"/>
        <w:rPr>
          <w:rStyle w:val="19"/>
          <w:rFonts w:hint="default"/>
          <w:color w:val="auto"/>
          <w:sz w:val="24"/>
          <w:szCs w:val="20"/>
          <w:highlight w:val="none"/>
        </w:rPr>
      </w:pPr>
      <w:bookmarkStart w:id="891" w:name="bookmark1289"/>
      <w:bookmarkEnd w:id="891"/>
      <w:r>
        <w:rPr>
          <w:rStyle w:val="19"/>
          <w:rFonts w:hint="default"/>
          <w:color w:val="auto"/>
          <w:sz w:val="24"/>
          <w:szCs w:val="20"/>
          <w:highlight w:val="none"/>
        </w:rPr>
        <w:t>除专用合同条款对期限另有约定外，监理人收到承包人变更报价书后的</w:t>
      </w:r>
      <w:r>
        <w:rPr>
          <w:rStyle w:val="19"/>
          <w:rFonts w:hint="eastAsia" w:ascii="Times New Roman" w:hAnsi="Times New Roman" w:eastAsia="Times New Roman" w:cs="Times New Roman"/>
          <w:color w:val="auto"/>
          <w:sz w:val="24"/>
          <w:szCs w:val="24"/>
          <w:highlight w:val="none"/>
        </w:rPr>
        <w:t>14</w:t>
      </w:r>
      <w:r>
        <w:rPr>
          <w:rStyle w:val="19"/>
          <w:rFonts w:hint="default"/>
          <w:color w:val="auto"/>
          <w:sz w:val="24"/>
          <w:szCs w:val="20"/>
          <w:highlight w:val="none"/>
        </w:rPr>
        <w:t>天内，根据第</w:t>
      </w:r>
      <w:r>
        <w:rPr>
          <w:rStyle w:val="19"/>
          <w:rFonts w:hint="eastAsia" w:ascii="Times New Roman" w:hAnsi="Times New Roman" w:eastAsia="Times New Roman" w:cs="Times New Roman"/>
          <w:color w:val="auto"/>
          <w:sz w:val="24"/>
          <w:szCs w:val="24"/>
          <w:highlight w:val="none"/>
          <w:lang w:val="en-US" w:bidi="en-US"/>
        </w:rPr>
        <w:t xml:space="preserve">15. </w:t>
      </w:r>
      <w:r>
        <w:rPr>
          <w:rStyle w:val="19"/>
          <w:rFonts w:hint="eastAsia" w:ascii="Times New Roman" w:hAnsi="Times New Roman" w:eastAsia="Times New Roman" w:cs="Times New Roman"/>
          <w:color w:val="auto"/>
          <w:sz w:val="24"/>
          <w:szCs w:val="24"/>
          <w:highlight w:val="none"/>
        </w:rPr>
        <w:t>4</w:t>
      </w:r>
      <w:r>
        <w:rPr>
          <w:rStyle w:val="19"/>
          <w:rFonts w:hint="default"/>
          <w:color w:val="auto"/>
          <w:sz w:val="24"/>
          <w:szCs w:val="20"/>
          <w:highlight w:val="none"/>
        </w:rPr>
        <w:t>款约定的估价原则，按照第</w:t>
      </w:r>
      <w:r>
        <w:rPr>
          <w:rStyle w:val="19"/>
          <w:rFonts w:hint="eastAsia" w:ascii="Times New Roman" w:hAnsi="Times New Roman" w:eastAsia="Times New Roman" w:cs="Times New Roman"/>
          <w:color w:val="auto"/>
          <w:sz w:val="24"/>
          <w:szCs w:val="24"/>
          <w:highlight w:val="none"/>
          <w:lang w:val="en-US" w:bidi="en-US"/>
        </w:rPr>
        <w:t xml:space="preserve">3. </w:t>
      </w:r>
      <w:r>
        <w:rPr>
          <w:rStyle w:val="19"/>
          <w:rFonts w:hint="eastAsia" w:ascii="Times New Roman" w:hAnsi="Times New Roman" w:eastAsia="Times New Roman" w:cs="Times New Roman"/>
          <w:color w:val="auto"/>
          <w:sz w:val="24"/>
          <w:szCs w:val="24"/>
          <w:highlight w:val="none"/>
        </w:rPr>
        <w:t>5</w:t>
      </w:r>
      <w:r>
        <w:rPr>
          <w:rStyle w:val="19"/>
          <w:rFonts w:hint="default"/>
          <w:color w:val="auto"/>
          <w:sz w:val="24"/>
          <w:szCs w:val="20"/>
          <w:highlight w:val="none"/>
        </w:rPr>
        <w:t>款商定或确定变更价格。</w:t>
      </w:r>
    </w:p>
    <w:p w14:paraId="60C34D3E">
      <w:pPr>
        <w:pStyle w:val="32"/>
        <w:pageBreakBefore w:val="0"/>
        <w:widowControl w:val="0"/>
        <w:kinsoku/>
        <w:wordWrap/>
        <w:overflowPunct/>
        <w:topLinePunct w:val="0"/>
        <w:autoSpaceDE/>
        <w:autoSpaceDN/>
        <w:bidi w:val="0"/>
        <w:adjustRightInd/>
        <w:snapToGrid/>
        <w:spacing w:beforeLines="0" w:after="0" w:afterLines="0" w:line="440" w:lineRule="exact"/>
        <w:ind w:firstLine="440"/>
        <w:jc w:val="both"/>
        <w:textAlignment w:val="auto"/>
        <w:rPr>
          <w:rStyle w:val="19"/>
          <w:rFonts w:hint="eastAsia"/>
          <w:color w:val="auto"/>
          <w:sz w:val="24"/>
          <w:szCs w:val="20"/>
          <w:highlight w:val="none"/>
        </w:rPr>
      </w:pPr>
      <w:r>
        <w:rPr>
          <w:rStyle w:val="19"/>
          <w:rFonts w:hint="eastAsia"/>
          <w:color w:val="auto"/>
          <w:sz w:val="24"/>
          <w:szCs w:val="20"/>
          <w:highlight w:val="none"/>
        </w:rPr>
        <w:t>15.3.3</w:t>
      </w:r>
      <w:r>
        <w:rPr>
          <w:rStyle w:val="19"/>
          <w:rFonts w:hint="default" w:ascii="宋体" w:hAnsi="宋体" w:eastAsia="宋体" w:cs="宋体"/>
          <w:color w:val="auto"/>
          <w:sz w:val="24"/>
          <w:szCs w:val="24"/>
          <w:highlight w:val="none"/>
          <w:lang w:val="zh-CN" w:eastAsia="zh-CN" w:bidi="zh-CN"/>
        </w:rPr>
        <w:t>变更指示</w:t>
      </w:r>
    </w:p>
    <w:p w14:paraId="4CDC50B9">
      <w:pPr>
        <w:pStyle w:val="31"/>
        <w:pageBreakBefore w:val="0"/>
        <w:widowControl w:val="0"/>
        <w:numPr>
          <w:ilvl w:val="0"/>
          <w:numId w:val="15"/>
        </w:numPr>
        <w:tabs>
          <w:tab w:val="left" w:pos="923"/>
        </w:tabs>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bookmarkStart w:id="892" w:name="bookmark1290"/>
      <w:bookmarkEnd w:id="892"/>
      <w:r>
        <w:rPr>
          <w:rStyle w:val="19"/>
          <w:rFonts w:hint="default"/>
          <w:color w:val="auto"/>
          <w:sz w:val="24"/>
          <w:szCs w:val="20"/>
          <w:highlight w:val="none"/>
        </w:rPr>
        <w:t>变更指示只能由监理人发出。</w:t>
      </w:r>
    </w:p>
    <w:p w14:paraId="407245E8">
      <w:pPr>
        <w:pStyle w:val="31"/>
        <w:pageBreakBefore w:val="0"/>
        <w:widowControl w:val="0"/>
        <w:numPr>
          <w:ilvl w:val="0"/>
          <w:numId w:val="15"/>
        </w:numPr>
        <w:tabs>
          <w:tab w:val="left" w:pos="922"/>
        </w:tabs>
        <w:kinsoku/>
        <w:wordWrap/>
        <w:overflowPunct/>
        <w:topLinePunct w:val="0"/>
        <w:autoSpaceDE/>
        <w:autoSpaceDN/>
        <w:bidi w:val="0"/>
        <w:adjustRightInd/>
        <w:snapToGrid/>
        <w:spacing w:beforeLines="0" w:after="120" w:afterLines="0" w:line="440" w:lineRule="exact"/>
        <w:ind w:firstLine="440"/>
        <w:jc w:val="both"/>
        <w:textAlignment w:val="auto"/>
        <w:rPr>
          <w:rStyle w:val="19"/>
          <w:rFonts w:hint="default"/>
          <w:color w:val="auto"/>
          <w:sz w:val="24"/>
          <w:szCs w:val="20"/>
          <w:highlight w:val="none"/>
        </w:rPr>
      </w:pPr>
      <w:bookmarkStart w:id="893" w:name="bookmark1291"/>
      <w:bookmarkEnd w:id="893"/>
      <w:r>
        <w:rPr>
          <w:rStyle w:val="19"/>
          <w:rFonts w:hint="default"/>
          <w:color w:val="auto"/>
          <w:sz w:val="24"/>
          <w:szCs w:val="20"/>
          <w:highlight w:val="none"/>
        </w:rPr>
        <w:t>变更指示应说明变更的目的、范围、变更内容以及变更的工程量及其进度和技术要求，并附有关图纸和文件。承包人收到变更指示后，应按变更指示进行变更工作。</w:t>
      </w:r>
    </w:p>
    <w:p w14:paraId="7752CD24">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894" w:name="_Toc19837"/>
      <w:bookmarkStart w:id="895" w:name="_Toc9569"/>
      <w:bookmarkStart w:id="896" w:name="_Toc256000113"/>
      <w:bookmarkStart w:id="897" w:name="bookmark1293"/>
      <w:bookmarkStart w:id="898" w:name="bookmark1292"/>
      <w:bookmarkStart w:id="899" w:name="bookmark1294"/>
      <w:r>
        <w:rPr>
          <w:rStyle w:val="19"/>
          <w:rFonts w:hint="default" w:ascii="宋体" w:hAnsi="宋体" w:eastAsia="宋体"/>
          <w:color w:val="auto"/>
          <w:sz w:val="24"/>
          <w:szCs w:val="20"/>
          <w:highlight w:val="none"/>
          <w:lang w:eastAsia="zh-CN"/>
        </w:rPr>
        <w:t>15.4变更的估价原则</w:t>
      </w:r>
      <w:bookmarkEnd w:id="894"/>
      <w:bookmarkEnd w:id="895"/>
      <w:bookmarkEnd w:id="896"/>
      <w:bookmarkEnd w:id="897"/>
      <w:bookmarkEnd w:id="898"/>
      <w:bookmarkEnd w:id="899"/>
    </w:p>
    <w:p w14:paraId="142A4534">
      <w:pPr>
        <w:pStyle w:val="31"/>
        <w:pageBreakBefore w:val="0"/>
        <w:widowControl w:val="0"/>
        <w:kinsoku/>
        <w:wordWrap/>
        <w:overflowPunct/>
        <w:topLinePunct w:val="0"/>
        <w:autoSpaceDE/>
        <w:autoSpaceDN/>
        <w:bidi w:val="0"/>
        <w:adjustRightInd/>
        <w:snapToGrid/>
        <w:spacing w:beforeLines="0" w:after="120" w:afterLines="0" w:line="440" w:lineRule="exact"/>
        <w:ind w:firstLine="420"/>
        <w:textAlignment w:val="auto"/>
        <w:rPr>
          <w:rStyle w:val="19"/>
          <w:rFonts w:hint="default"/>
          <w:color w:val="auto"/>
          <w:sz w:val="24"/>
          <w:szCs w:val="20"/>
          <w:highlight w:val="none"/>
        </w:rPr>
      </w:pPr>
      <w:r>
        <w:rPr>
          <w:rStyle w:val="19"/>
          <w:rFonts w:hint="default"/>
          <w:color w:val="auto"/>
          <w:sz w:val="24"/>
          <w:szCs w:val="20"/>
          <w:highlight w:val="none"/>
        </w:rPr>
        <w:t>除专用合同条款另有约定外，因变更引起的价格调整按照本款约定处理。</w:t>
      </w:r>
    </w:p>
    <w:p w14:paraId="1C5E5F2D">
      <w:pPr>
        <w:pStyle w:val="31"/>
        <w:pageBreakBefore w:val="0"/>
        <w:widowControl w:val="0"/>
        <w:kinsoku/>
        <w:wordWrap/>
        <w:overflowPunct/>
        <w:topLinePunct w:val="0"/>
        <w:autoSpaceDE/>
        <w:autoSpaceDN/>
        <w:bidi w:val="0"/>
        <w:adjustRightInd/>
        <w:snapToGrid/>
        <w:spacing w:beforeLines="0" w:afterLines="0" w:line="440" w:lineRule="exact"/>
        <w:ind w:firstLine="420"/>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15.4.1</w:t>
      </w:r>
      <w:r>
        <w:rPr>
          <w:rStyle w:val="19"/>
          <w:rFonts w:hint="default"/>
          <w:color w:val="auto"/>
          <w:sz w:val="24"/>
          <w:szCs w:val="20"/>
          <w:highlight w:val="none"/>
        </w:rPr>
        <w:t>已标价工程量清单中有适用于变更工作的子目的，采用该子目的单价。</w:t>
      </w:r>
    </w:p>
    <w:p w14:paraId="69848927">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15.4.2</w:t>
      </w:r>
      <w:r>
        <w:rPr>
          <w:rStyle w:val="19"/>
          <w:rFonts w:hint="default"/>
          <w:color w:val="auto"/>
          <w:sz w:val="24"/>
          <w:szCs w:val="20"/>
          <w:highlight w:val="none"/>
        </w:rPr>
        <w:t>已标价工程量清单中无适用于变更工作的子目，但有类似子目的，可在合理范围内参照类似子目的单价，由监理人按第</w:t>
      </w:r>
      <w:r>
        <w:rPr>
          <w:rStyle w:val="19"/>
          <w:rFonts w:hint="eastAsia" w:ascii="Times New Roman" w:hAnsi="Times New Roman" w:eastAsia="Times New Roman" w:cs="Times New Roman"/>
          <w:color w:val="auto"/>
          <w:sz w:val="24"/>
          <w:szCs w:val="24"/>
          <w:highlight w:val="none"/>
          <w:lang w:val="en-US" w:bidi="en-US"/>
        </w:rPr>
        <w:t xml:space="preserve">3. </w:t>
      </w:r>
      <w:r>
        <w:rPr>
          <w:rStyle w:val="19"/>
          <w:rFonts w:hint="eastAsia" w:ascii="Times New Roman" w:hAnsi="Times New Roman" w:eastAsia="Times New Roman" w:cs="Times New Roman"/>
          <w:color w:val="auto"/>
          <w:sz w:val="24"/>
          <w:szCs w:val="24"/>
          <w:highlight w:val="none"/>
        </w:rPr>
        <w:t>5</w:t>
      </w:r>
      <w:r>
        <w:rPr>
          <w:rStyle w:val="19"/>
          <w:rFonts w:hint="default"/>
          <w:color w:val="auto"/>
          <w:sz w:val="24"/>
          <w:szCs w:val="20"/>
          <w:highlight w:val="none"/>
        </w:rPr>
        <w:t>款商定或确定变更工作的单价。</w:t>
      </w:r>
    </w:p>
    <w:p w14:paraId="39EE8612">
      <w:pPr>
        <w:pStyle w:val="31"/>
        <w:pageBreakBefore w:val="0"/>
        <w:widowControl w:val="0"/>
        <w:kinsoku/>
        <w:wordWrap/>
        <w:overflowPunct/>
        <w:topLinePunct w:val="0"/>
        <w:autoSpaceDE/>
        <w:autoSpaceDN/>
        <w:bidi w:val="0"/>
        <w:adjustRightInd/>
        <w:snapToGrid/>
        <w:spacing w:beforeLines="0" w:after="120" w:afterLines="0" w:line="440" w:lineRule="exact"/>
        <w:ind w:firstLine="44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15.4.3</w:t>
      </w:r>
      <w:r>
        <w:rPr>
          <w:rStyle w:val="19"/>
          <w:rFonts w:hint="default"/>
          <w:color w:val="auto"/>
          <w:sz w:val="24"/>
          <w:szCs w:val="20"/>
          <w:highlight w:val="none"/>
        </w:rPr>
        <w:t>已标价工程量清单中无适用或类似子目的单价，可按照成本加利润的原则，由监理人按第</w:t>
      </w:r>
      <w:r>
        <w:rPr>
          <w:rStyle w:val="19"/>
          <w:rFonts w:hint="eastAsia" w:ascii="Times New Roman" w:hAnsi="Times New Roman" w:eastAsia="Times New Roman" w:cs="Times New Roman"/>
          <w:color w:val="auto"/>
          <w:sz w:val="24"/>
          <w:szCs w:val="24"/>
          <w:highlight w:val="none"/>
          <w:lang w:val="en-US" w:bidi="en-US"/>
        </w:rPr>
        <w:t>3.</w:t>
      </w:r>
      <w:r>
        <w:rPr>
          <w:rStyle w:val="19"/>
          <w:rFonts w:hint="eastAsia" w:ascii="Times New Roman" w:hAnsi="Times New Roman" w:eastAsia="Times New Roman" w:cs="Times New Roman"/>
          <w:color w:val="auto"/>
          <w:sz w:val="24"/>
          <w:szCs w:val="24"/>
          <w:highlight w:val="none"/>
        </w:rPr>
        <w:t>5</w:t>
      </w:r>
      <w:r>
        <w:rPr>
          <w:rStyle w:val="19"/>
          <w:rFonts w:hint="default"/>
          <w:color w:val="auto"/>
          <w:sz w:val="24"/>
          <w:szCs w:val="20"/>
          <w:highlight w:val="none"/>
        </w:rPr>
        <w:t>款商定或确定变更工作的单价。</w:t>
      </w:r>
    </w:p>
    <w:p w14:paraId="28AB1951">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900" w:name="bookmark1297"/>
      <w:bookmarkStart w:id="901" w:name="bookmark1295"/>
      <w:bookmarkStart w:id="902" w:name="_Toc28730"/>
      <w:bookmarkStart w:id="903" w:name="_Toc256000114"/>
      <w:bookmarkStart w:id="904" w:name="bookmark1296"/>
      <w:r>
        <w:rPr>
          <w:rStyle w:val="19"/>
          <w:rFonts w:hint="default" w:ascii="宋体" w:hAnsi="宋体" w:eastAsia="宋体"/>
          <w:color w:val="auto"/>
          <w:sz w:val="24"/>
          <w:szCs w:val="20"/>
          <w:highlight w:val="none"/>
          <w:lang w:eastAsia="zh-CN"/>
        </w:rPr>
        <w:t>15.5承包人的合理化建议</w:t>
      </w:r>
      <w:bookmarkEnd w:id="900"/>
      <w:bookmarkEnd w:id="901"/>
      <w:bookmarkEnd w:id="902"/>
      <w:bookmarkEnd w:id="903"/>
      <w:bookmarkEnd w:id="904"/>
    </w:p>
    <w:p w14:paraId="2FFC1D7E">
      <w:pPr>
        <w:pStyle w:val="31"/>
        <w:pageBreakBefore w:val="0"/>
        <w:widowControl w:val="0"/>
        <w:tabs>
          <w:tab w:val="left" w:pos="854"/>
        </w:tabs>
        <w:kinsoku/>
        <w:wordWrap/>
        <w:overflowPunct/>
        <w:topLinePunct w:val="0"/>
        <w:autoSpaceDE/>
        <w:autoSpaceDN/>
        <w:bidi w:val="0"/>
        <w:adjustRightInd/>
        <w:snapToGrid/>
        <w:spacing w:beforeLines="0" w:afterLines="0" w:line="440" w:lineRule="exact"/>
        <w:ind w:left="440" w:firstLine="0"/>
        <w:jc w:val="both"/>
        <w:textAlignment w:val="auto"/>
        <w:rPr>
          <w:rStyle w:val="19"/>
          <w:rFonts w:hint="default"/>
          <w:color w:val="auto"/>
          <w:sz w:val="24"/>
          <w:szCs w:val="20"/>
          <w:highlight w:val="none"/>
        </w:rPr>
      </w:pPr>
      <w:bookmarkStart w:id="905" w:name="bookmark1298"/>
      <w:bookmarkEnd w:id="905"/>
      <w:r>
        <w:rPr>
          <w:rStyle w:val="19"/>
          <w:rFonts w:hint="eastAsia" w:ascii="Times New Roman" w:hAnsi="Times New Roman" w:eastAsia="Times New Roman" w:cs="Times New Roman"/>
          <w:color w:val="auto"/>
          <w:sz w:val="24"/>
          <w:szCs w:val="24"/>
          <w:highlight w:val="none"/>
          <w:lang w:val="en-US" w:bidi="en-US"/>
        </w:rPr>
        <w:t xml:space="preserve">15.5. </w:t>
      </w:r>
      <w:r>
        <w:rPr>
          <w:rStyle w:val="19"/>
          <w:rFonts w:hint="eastAsia" w:ascii="Times New Roman" w:hAnsi="Times New Roman" w:eastAsia="Times New Roman" w:cs="Times New Roman"/>
          <w:color w:val="auto"/>
          <w:sz w:val="24"/>
          <w:szCs w:val="24"/>
          <w:highlight w:val="none"/>
        </w:rPr>
        <w:t>1</w:t>
      </w:r>
      <w:r>
        <w:rPr>
          <w:rStyle w:val="19"/>
          <w:rFonts w:hint="default"/>
          <w:color w:val="auto"/>
          <w:sz w:val="24"/>
          <w:szCs w:val="20"/>
          <w:highlight w:val="none"/>
        </w:rPr>
        <w:t>在履行合同过程中，承包人对发包人提供的图纸、技术要求以及其他方面提出的合理化建议，均应以书面形式提交监理人。合理化建议书的内容应包括建议工作的详细说明、进度计划和效益以及与其他工作的协调等，并附必要的设计文件。监理人应与发包人协商是否采纳建议。建议被采纳并构成变更的，应按第</w:t>
      </w:r>
      <w:r>
        <w:rPr>
          <w:rStyle w:val="19"/>
          <w:rFonts w:hint="eastAsia" w:ascii="Times New Roman" w:hAnsi="Times New Roman" w:eastAsia="Times New Roman" w:cs="Times New Roman"/>
          <w:color w:val="auto"/>
          <w:sz w:val="24"/>
          <w:szCs w:val="24"/>
          <w:highlight w:val="none"/>
          <w:lang w:val="en-US" w:bidi="en-US"/>
        </w:rPr>
        <w:t xml:space="preserve">15. 3. </w:t>
      </w:r>
      <w:r>
        <w:rPr>
          <w:rStyle w:val="19"/>
          <w:rFonts w:hint="eastAsia" w:ascii="Times New Roman" w:hAnsi="Times New Roman" w:eastAsia="Times New Roman" w:cs="Times New Roman"/>
          <w:color w:val="auto"/>
          <w:sz w:val="24"/>
          <w:szCs w:val="24"/>
          <w:highlight w:val="none"/>
        </w:rPr>
        <w:t>3</w:t>
      </w:r>
      <w:r>
        <w:rPr>
          <w:rStyle w:val="19"/>
          <w:rFonts w:hint="default"/>
          <w:color w:val="auto"/>
          <w:sz w:val="24"/>
          <w:szCs w:val="20"/>
          <w:highlight w:val="none"/>
        </w:rPr>
        <w:t>项约定向承包人发出变更指示。</w:t>
      </w:r>
    </w:p>
    <w:p w14:paraId="107870DF">
      <w:pPr>
        <w:pStyle w:val="31"/>
        <w:pageBreakBefore w:val="0"/>
        <w:widowControl w:val="0"/>
        <w:kinsoku/>
        <w:wordWrap/>
        <w:overflowPunct/>
        <w:topLinePunct w:val="0"/>
        <w:autoSpaceDE/>
        <w:autoSpaceDN/>
        <w:bidi w:val="0"/>
        <w:adjustRightInd/>
        <w:snapToGrid/>
        <w:spacing w:beforeLines="0" w:after="120" w:afterLines="0" w:line="440" w:lineRule="exact"/>
        <w:ind w:firstLine="44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15.5.2</w:t>
      </w:r>
      <w:r>
        <w:rPr>
          <w:rStyle w:val="19"/>
          <w:rFonts w:hint="default"/>
          <w:color w:val="auto"/>
          <w:sz w:val="24"/>
          <w:szCs w:val="20"/>
          <w:highlight w:val="none"/>
        </w:rPr>
        <w:t>承包人提出的合理化建议降低了合同价格、缩短了工期或者提高了工程经济效益的，发包人可按国家有关规定在专用合同条款中约定给予奖励。</w:t>
      </w:r>
    </w:p>
    <w:p w14:paraId="444FB05A">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906" w:name="_Toc7702"/>
      <w:bookmarkStart w:id="907" w:name="bookmark1300"/>
      <w:bookmarkStart w:id="908" w:name="bookmark1301"/>
      <w:bookmarkStart w:id="909" w:name="_Toc256000115"/>
      <w:bookmarkStart w:id="910" w:name="bookmark1299"/>
      <w:bookmarkStart w:id="911" w:name="_Toc10362"/>
      <w:r>
        <w:rPr>
          <w:rStyle w:val="19"/>
          <w:rFonts w:hint="default" w:ascii="宋体" w:hAnsi="宋体" w:eastAsia="宋体"/>
          <w:color w:val="auto"/>
          <w:sz w:val="24"/>
          <w:szCs w:val="20"/>
          <w:highlight w:val="none"/>
          <w:lang w:eastAsia="zh-CN"/>
        </w:rPr>
        <w:t>15.6暂列金额</w:t>
      </w:r>
      <w:bookmarkEnd w:id="906"/>
      <w:bookmarkEnd w:id="907"/>
      <w:bookmarkEnd w:id="908"/>
      <w:bookmarkEnd w:id="909"/>
      <w:bookmarkEnd w:id="910"/>
      <w:bookmarkEnd w:id="911"/>
    </w:p>
    <w:p w14:paraId="1C8805F7">
      <w:pPr>
        <w:pStyle w:val="31"/>
        <w:pageBreakBefore w:val="0"/>
        <w:widowControl w:val="0"/>
        <w:kinsoku/>
        <w:wordWrap/>
        <w:overflowPunct/>
        <w:topLinePunct w:val="0"/>
        <w:autoSpaceDE/>
        <w:autoSpaceDN/>
        <w:bidi w:val="0"/>
        <w:adjustRightInd/>
        <w:snapToGrid/>
        <w:spacing w:beforeLines="0" w:after="120" w:afterLines="0" w:line="440" w:lineRule="exact"/>
        <w:ind w:firstLine="420"/>
        <w:textAlignment w:val="auto"/>
        <w:rPr>
          <w:rStyle w:val="19"/>
          <w:rFonts w:hint="default"/>
          <w:color w:val="auto"/>
          <w:sz w:val="24"/>
          <w:szCs w:val="20"/>
          <w:highlight w:val="none"/>
        </w:rPr>
      </w:pPr>
      <w:r>
        <w:rPr>
          <w:rStyle w:val="19"/>
          <w:rFonts w:hint="default"/>
          <w:color w:val="auto"/>
          <w:sz w:val="24"/>
          <w:szCs w:val="20"/>
          <w:highlight w:val="none"/>
        </w:rPr>
        <w:t>暂列金额只能按照监理人的指示使用，并对合同价格进行相应调整。</w:t>
      </w:r>
    </w:p>
    <w:p w14:paraId="5C07C036">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912" w:name="_Toc14275"/>
      <w:bookmarkStart w:id="913" w:name="bookmark1304"/>
      <w:bookmarkStart w:id="914" w:name="_Toc256000116"/>
      <w:bookmarkStart w:id="915" w:name="_Toc23161"/>
      <w:bookmarkStart w:id="916" w:name="bookmark1302"/>
      <w:bookmarkStart w:id="917" w:name="bookmark1303"/>
      <w:r>
        <w:rPr>
          <w:rStyle w:val="19"/>
          <w:rFonts w:hint="default" w:ascii="宋体" w:hAnsi="宋体" w:eastAsia="宋体"/>
          <w:color w:val="auto"/>
          <w:sz w:val="24"/>
          <w:szCs w:val="20"/>
          <w:highlight w:val="none"/>
          <w:lang w:eastAsia="zh-CN"/>
        </w:rPr>
        <w:t>15.7计日工</w:t>
      </w:r>
      <w:bookmarkEnd w:id="912"/>
      <w:bookmarkEnd w:id="913"/>
      <w:bookmarkEnd w:id="914"/>
      <w:bookmarkEnd w:id="915"/>
      <w:bookmarkEnd w:id="916"/>
      <w:bookmarkEnd w:id="917"/>
    </w:p>
    <w:p w14:paraId="0BCFCACE">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eastAsia" w:ascii="Times New Roman" w:hAnsi="Times New Roman" w:eastAsia="Times New Roman" w:cs="Times New Roman"/>
          <w:color w:val="auto"/>
          <w:sz w:val="24"/>
          <w:szCs w:val="24"/>
          <w:highlight w:val="none"/>
        </w:rPr>
      </w:pPr>
      <w:r>
        <w:rPr>
          <w:rStyle w:val="19"/>
          <w:rFonts w:hint="eastAsia" w:ascii="Times New Roman" w:hAnsi="Times New Roman" w:eastAsia="Times New Roman" w:cs="Times New Roman"/>
          <w:color w:val="auto"/>
          <w:sz w:val="24"/>
          <w:szCs w:val="24"/>
          <w:highlight w:val="none"/>
          <w:lang w:val="en-US"/>
        </w:rPr>
        <w:t>15.7.1</w:t>
      </w:r>
      <w:r>
        <w:rPr>
          <w:rStyle w:val="19"/>
          <w:rFonts w:hint="default" w:hAnsi="Times New Roman" w:cs="Times New Roman"/>
          <w:color w:val="auto"/>
          <w:sz w:val="24"/>
          <w:szCs w:val="24"/>
          <w:highlight w:val="none"/>
        </w:rPr>
        <w:t>发包人认为有必要时，由监理人通知承包人以计日工方式实施变更的零星工作。其价款按列入已标价工程量清单中的计日工计价子目及其单价进行计算。</w:t>
      </w:r>
    </w:p>
    <w:p w14:paraId="31C8EF30">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eastAsia" w:ascii="Times New Roman" w:hAnsi="Times New Roman" w:eastAsia="Times New Roman" w:cs="Times New Roman"/>
          <w:color w:val="auto"/>
          <w:sz w:val="24"/>
          <w:szCs w:val="24"/>
          <w:highlight w:val="none"/>
        </w:rPr>
      </w:pPr>
      <w:r>
        <w:rPr>
          <w:rStyle w:val="19"/>
          <w:rFonts w:hint="eastAsia" w:ascii="Times New Roman" w:hAnsi="Times New Roman" w:eastAsia="Times New Roman" w:cs="Times New Roman"/>
          <w:color w:val="auto"/>
          <w:sz w:val="24"/>
          <w:szCs w:val="24"/>
          <w:highlight w:val="none"/>
          <w:lang w:val="en-US" w:bidi="en-US"/>
        </w:rPr>
        <w:t>15.7.2</w:t>
      </w:r>
      <w:r>
        <w:rPr>
          <w:rStyle w:val="19"/>
          <w:rFonts w:hint="default" w:hAnsi="Times New Roman" w:cs="Times New Roman"/>
          <w:color w:val="auto"/>
          <w:sz w:val="24"/>
          <w:szCs w:val="24"/>
          <w:highlight w:val="none"/>
        </w:rPr>
        <w:t>采用计日工计价的任何一项变更工作，应从暂列金额中支付，承包人应在该项变更的实施过程中，每天提交以下报表和有关凭证报送监理人审批：</w:t>
      </w:r>
    </w:p>
    <w:p w14:paraId="1C26CE93">
      <w:pPr>
        <w:pStyle w:val="31"/>
        <w:pageBreakBefore w:val="0"/>
        <w:widowControl w:val="0"/>
        <w:numPr>
          <w:ilvl w:val="0"/>
          <w:numId w:val="16"/>
        </w:numPr>
        <w:tabs>
          <w:tab w:val="left" w:pos="903"/>
        </w:tabs>
        <w:kinsoku/>
        <w:wordWrap/>
        <w:overflowPunct/>
        <w:topLinePunct w:val="0"/>
        <w:autoSpaceDE/>
        <w:autoSpaceDN/>
        <w:bidi w:val="0"/>
        <w:adjustRightInd/>
        <w:snapToGrid/>
        <w:spacing w:beforeLines="0" w:afterLines="0" w:line="440" w:lineRule="exact"/>
        <w:ind w:firstLine="420"/>
        <w:textAlignment w:val="auto"/>
        <w:rPr>
          <w:rStyle w:val="19"/>
          <w:rFonts w:hint="eastAsia" w:ascii="Times New Roman" w:hAnsi="Times New Roman" w:eastAsia="Times New Roman" w:cs="Times New Roman"/>
          <w:color w:val="auto"/>
          <w:sz w:val="24"/>
          <w:szCs w:val="24"/>
          <w:highlight w:val="none"/>
        </w:rPr>
      </w:pPr>
      <w:bookmarkStart w:id="918" w:name="bookmark1305"/>
      <w:bookmarkEnd w:id="918"/>
      <w:r>
        <w:rPr>
          <w:rStyle w:val="19"/>
          <w:rFonts w:hint="default" w:hAnsi="Times New Roman" w:cs="Times New Roman"/>
          <w:color w:val="auto"/>
          <w:sz w:val="24"/>
          <w:szCs w:val="24"/>
          <w:highlight w:val="none"/>
        </w:rPr>
        <w:t>工作名称、内容和数量；</w:t>
      </w:r>
    </w:p>
    <w:p w14:paraId="5E65BF13">
      <w:pPr>
        <w:pStyle w:val="31"/>
        <w:pageBreakBefore w:val="0"/>
        <w:widowControl w:val="0"/>
        <w:numPr>
          <w:ilvl w:val="0"/>
          <w:numId w:val="16"/>
        </w:numPr>
        <w:tabs>
          <w:tab w:val="left" w:pos="903"/>
        </w:tabs>
        <w:kinsoku/>
        <w:wordWrap/>
        <w:overflowPunct/>
        <w:topLinePunct w:val="0"/>
        <w:autoSpaceDE/>
        <w:autoSpaceDN/>
        <w:bidi w:val="0"/>
        <w:adjustRightInd/>
        <w:snapToGrid/>
        <w:spacing w:beforeLines="0" w:afterLines="0" w:line="440" w:lineRule="exact"/>
        <w:ind w:firstLine="420"/>
        <w:textAlignment w:val="auto"/>
        <w:rPr>
          <w:rStyle w:val="19"/>
          <w:rFonts w:hint="eastAsia" w:ascii="Times New Roman" w:hAnsi="Times New Roman" w:eastAsia="Times New Roman" w:cs="Times New Roman"/>
          <w:color w:val="auto"/>
          <w:sz w:val="24"/>
          <w:szCs w:val="24"/>
          <w:highlight w:val="none"/>
        </w:rPr>
      </w:pPr>
      <w:bookmarkStart w:id="919" w:name="bookmark1306"/>
      <w:bookmarkEnd w:id="919"/>
      <w:r>
        <w:rPr>
          <w:rStyle w:val="19"/>
          <w:rFonts w:hint="default" w:hAnsi="Times New Roman" w:cs="Times New Roman"/>
          <w:color w:val="auto"/>
          <w:sz w:val="24"/>
          <w:szCs w:val="24"/>
          <w:highlight w:val="none"/>
        </w:rPr>
        <w:t>投入该工作所有人员的姓名、工种、级别和耗用工时；</w:t>
      </w:r>
    </w:p>
    <w:p w14:paraId="1C52B934">
      <w:pPr>
        <w:pStyle w:val="31"/>
        <w:pageBreakBefore w:val="0"/>
        <w:widowControl w:val="0"/>
        <w:numPr>
          <w:ilvl w:val="0"/>
          <w:numId w:val="16"/>
        </w:numPr>
        <w:tabs>
          <w:tab w:val="left" w:pos="903"/>
        </w:tabs>
        <w:kinsoku/>
        <w:wordWrap/>
        <w:overflowPunct/>
        <w:topLinePunct w:val="0"/>
        <w:autoSpaceDE/>
        <w:autoSpaceDN/>
        <w:bidi w:val="0"/>
        <w:adjustRightInd/>
        <w:snapToGrid/>
        <w:spacing w:beforeLines="0" w:afterLines="0" w:line="440" w:lineRule="exact"/>
        <w:ind w:firstLine="420"/>
        <w:textAlignment w:val="auto"/>
        <w:rPr>
          <w:rStyle w:val="19"/>
          <w:rFonts w:hint="eastAsia" w:ascii="Times New Roman" w:hAnsi="Times New Roman" w:eastAsia="Times New Roman" w:cs="Times New Roman"/>
          <w:color w:val="auto"/>
          <w:sz w:val="24"/>
          <w:szCs w:val="24"/>
          <w:highlight w:val="none"/>
        </w:rPr>
      </w:pPr>
      <w:bookmarkStart w:id="920" w:name="bookmark1307"/>
      <w:bookmarkEnd w:id="920"/>
      <w:r>
        <w:rPr>
          <w:rStyle w:val="19"/>
          <w:rFonts w:hint="default" w:hAnsi="Times New Roman" w:cs="Times New Roman"/>
          <w:color w:val="auto"/>
          <w:sz w:val="24"/>
          <w:szCs w:val="24"/>
          <w:highlight w:val="none"/>
        </w:rPr>
        <w:t>投入该工作的材料类别和数量；</w:t>
      </w:r>
    </w:p>
    <w:p w14:paraId="54532210">
      <w:pPr>
        <w:pStyle w:val="31"/>
        <w:pageBreakBefore w:val="0"/>
        <w:widowControl w:val="0"/>
        <w:numPr>
          <w:ilvl w:val="0"/>
          <w:numId w:val="16"/>
        </w:numPr>
        <w:tabs>
          <w:tab w:val="left" w:pos="903"/>
        </w:tabs>
        <w:kinsoku/>
        <w:wordWrap/>
        <w:overflowPunct/>
        <w:topLinePunct w:val="0"/>
        <w:autoSpaceDE/>
        <w:autoSpaceDN/>
        <w:bidi w:val="0"/>
        <w:adjustRightInd/>
        <w:snapToGrid/>
        <w:spacing w:beforeLines="0" w:afterLines="0" w:line="440" w:lineRule="exact"/>
        <w:ind w:firstLine="420"/>
        <w:textAlignment w:val="auto"/>
        <w:rPr>
          <w:rStyle w:val="19"/>
          <w:rFonts w:hint="eastAsia" w:ascii="Times New Roman" w:hAnsi="Times New Roman" w:eastAsia="Times New Roman" w:cs="Times New Roman"/>
          <w:color w:val="auto"/>
          <w:sz w:val="24"/>
          <w:szCs w:val="24"/>
          <w:highlight w:val="none"/>
        </w:rPr>
      </w:pPr>
      <w:bookmarkStart w:id="921" w:name="bookmark1308"/>
      <w:bookmarkEnd w:id="921"/>
      <w:r>
        <w:rPr>
          <w:rStyle w:val="19"/>
          <w:rFonts w:hint="default" w:hAnsi="Times New Roman" w:cs="Times New Roman"/>
          <w:color w:val="auto"/>
          <w:sz w:val="24"/>
          <w:szCs w:val="24"/>
          <w:highlight w:val="none"/>
        </w:rPr>
        <w:t>投入该工作的施工设备型号、台数和耗用台时；</w:t>
      </w:r>
    </w:p>
    <w:p w14:paraId="3AF4DC59">
      <w:pPr>
        <w:pStyle w:val="31"/>
        <w:pageBreakBefore w:val="0"/>
        <w:widowControl w:val="0"/>
        <w:numPr>
          <w:ilvl w:val="0"/>
          <w:numId w:val="16"/>
        </w:numPr>
        <w:tabs>
          <w:tab w:val="left" w:pos="903"/>
        </w:tabs>
        <w:kinsoku/>
        <w:wordWrap/>
        <w:overflowPunct/>
        <w:topLinePunct w:val="0"/>
        <w:autoSpaceDE/>
        <w:autoSpaceDN/>
        <w:bidi w:val="0"/>
        <w:adjustRightInd/>
        <w:snapToGrid/>
        <w:spacing w:beforeLines="0" w:afterLines="0" w:line="440" w:lineRule="exact"/>
        <w:ind w:firstLine="420"/>
        <w:textAlignment w:val="auto"/>
        <w:rPr>
          <w:rStyle w:val="19"/>
          <w:rFonts w:hint="eastAsia" w:ascii="Times New Roman" w:hAnsi="Times New Roman" w:eastAsia="Times New Roman" w:cs="Times New Roman"/>
          <w:color w:val="auto"/>
          <w:sz w:val="24"/>
          <w:szCs w:val="24"/>
          <w:highlight w:val="none"/>
        </w:rPr>
      </w:pPr>
      <w:bookmarkStart w:id="922" w:name="bookmark1309"/>
      <w:bookmarkEnd w:id="922"/>
      <w:r>
        <w:rPr>
          <w:rStyle w:val="19"/>
          <w:rFonts w:hint="default" w:hAnsi="Times New Roman" w:cs="Times New Roman"/>
          <w:color w:val="auto"/>
          <w:sz w:val="24"/>
          <w:szCs w:val="24"/>
          <w:highlight w:val="none"/>
        </w:rPr>
        <w:t>监理人要求提交的其他资料和凭证。</w:t>
      </w:r>
    </w:p>
    <w:p w14:paraId="3048D783">
      <w:pPr>
        <w:pStyle w:val="31"/>
        <w:pageBreakBefore w:val="0"/>
        <w:widowControl w:val="0"/>
        <w:kinsoku/>
        <w:wordWrap/>
        <w:overflowPunct/>
        <w:topLinePunct w:val="0"/>
        <w:autoSpaceDE/>
        <w:autoSpaceDN/>
        <w:bidi w:val="0"/>
        <w:adjustRightInd/>
        <w:snapToGrid/>
        <w:spacing w:beforeLines="0" w:after="80" w:afterLines="0" w:line="440" w:lineRule="exact"/>
        <w:ind w:firstLine="440"/>
        <w:jc w:val="both"/>
        <w:textAlignment w:val="auto"/>
        <w:rPr>
          <w:rStyle w:val="19"/>
          <w:rFonts w:hint="eastAsia" w:ascii="Times New Roman" w:hAnsi="Times New Roman" w:eastAsia="Times New Roman" w:cs="Times New Roman"/>
          <w:color w:val="auto"/>
          <w:sz w:val="24"/>
          <w:szCs w:val="24"/>
          <w:highlight w:val="none"/>
        </w:rPr>
      </w:pPr>
      <w:r>
        <w:rPr>
          <w:rStyle w:val="19"/>
          <w:rFonts w:hint="eastAsia" w:ascii="Times New Roman" w:hAnsi="Times New Roman" w:eastAsia="Times New Roman" w:cs="Times New Roman"/>
          <w:color w:val="auto"/>
          <w:sz w:val="24"/>
          <w:szCs w:val="24"/>
          <w:highlight w:val="none"/>
          <w:lang w:val="en-US" w:bidi="en-US"/>
        </w:rPr>
        <w:t>15.7.3</w:t>
      </w:r>
      <w:r>
        <w:rPr>
          <w:rStyle w:val="19"/>
          <w:rFonts w:hint="default" w:hAnsi="Times New Roman" w:cs="Times New Roman"/>
          <w:color w:val="auto"/>
          <w:sz w:val="24"/>
          <w:szCs w:val="24"/>
          <w:highlight w:val="none"/>
        </w:rPr>
        <w:t>计日工由承包人汇总后，按第</w:t>
      </w:r>
      <w:r>
        <w:rPr>
          <w:rStyle w:val="19"/>
          <w:rFonts w:hint="eastAsia" w:ascii="Times New Roman" w:hAnsi="Times New Roman" w:eastAsia="Times New Roman" w:cs="Times New Roman"/>
          <w:color w:val="auto"/>
          <w:sz w:val="24"/>
          <w:szCs w:val="24"/>
          <w:highlight w:val="none"/>
          <w:lang w:val="en-US" w:bidi="en-US"/>
        </w:rPr>
        <w:t>17.3.2</w:t>
      </w:r>
      <w:r>
        <w:rPr>
          <w:rStyle w:val="19"/>
          <w:rFonts w:hint="default" w:hAnsi="Times New Roman" w:cs="Times New Roman"/>
          <w:color w:val="auto"/>
          <w:sz w:val="24"/>
          <w:szCs w:val="24"/>
          <w:highlight w:val="none"/>
        </w:rPr>
        <w:t>项的约定列入进度付款申请单，由监理人复核并经发包人同意后列入进度付款。</w:t>
      </w:r>
    </w:p>
    <w:p w14:paraId="321B2E15">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923" w:name="_Toc256000117"/>
      <w:bookmarkStart w:id="924" w:name="bookmark1312"/>
      <w:bookmarkStart w:id="925" w:name="bookmark1310"/>
      <w:bookmarkStart w:id="926" w:name="_Toc21886"/>
      <w:bookmarkStart w:id="927" w:name="_Toc6776"/>
      <w:bookmarkStart w:id="928" w:name="bookmark1311"/>
      <w:r>
        <w:rPr>
          <w:rStyle w:val="19"/>
          <w:rFonts w:hint="default" w:ascii="宋体" w:hAnsi="宋体" w:eastAsia="宋体"/>
          <w:color w:val="auto"/>
          <w:sz w:val="24"/>
          <w:szCs w:val="20"/>
          <w:highlight w:val="none"/>
          <w:lang w:eastAsia="zh-CN"/>
        </w:rPr>
        <w:t>15.8暂估价</w:t>
      </w:r>
      <w:bookmarkEnd w:id="923"/>
      <w:bookmarkEnd w:id="924"/>
      <w:bookmarkEnd w:id="925"/>
      <w:bookmarkEnd w:id="926"/>
      <w:bookmarkEnd w:id="927"/>
      <w:bookmarkEnd w:id="928"/>
    </w:p>
    <w:p w14:paraId="281486AB">
      <w:pPr>
        <w:pStyle w:val="31"/>
        <w:pageBreakBefore w:val="0"/>
        <w:widowControl w:val="0"/>
        <w:kinsoku/>
        <w:wordWrap/>
        <w:overflowPunct/>
        <w:topLinePunct w:val="0"/>
        <w:autoSpaceDE/>
        <w:autoSpaceDN/>
        <w:bidi w:val="0"/>
        <w:adjustRightInd/>
        <w:snapToGrid/>
        <w:spacing w:beforeLines="0" w:after="80" w:afterLines="0" w:line="440" w:lineRule="exact"/>
        <w:ind w:firstLine="440"/>
        <w:jc w:val="both"/>
        <w:textAlignment w:val="auto"/>
        <w:rPr>
          <w:rStyle w:val="19"/>
          <w:rFonts w:hint="eastAsia" w:ascii="Times New Roman" w:hAnsi="Times New Roman" w:eastAsia="Times New Roman" w:cs="Times New Roman"/>
          <w:color w:val="auto"/>
          <w:sz w:val="24"/>
          <w:szCs w:val="24"/>
          <w:highlight w:val="none"/>
        </w:rPr>
      </w:pPr>
      <w:bookmarkStart w:id="929" w:name="bookmark1313"/>
      <w:bookmarkEnd w:id="929"/>
      <w:r>
        <w:rPr>
          <w:rStyle w:val="19"/>
          <w:rFonts w:hint="eastAsia" w:ascii="Times New Roman" w:hAnsi="Times New Roman" w:eastAsia="Times New Roman" w:cs="Times New Roman"/>
          <w:color w:val="auto"/>
          <w:sz w:val="24"/>
          <w:szCs w:val="24"/>
          <w:highlight w:val="none"/>
        </w:rPr>
        <w:t>15.8.1</w:t>
      </w:r>
      <w:r>
        <w:rPr>
          <w:rStyle w:val="19"/>
          <w:rFonts w:hint="default" w:hAnsi="Times New Roman" w:cs="Times New Roman"/>
          <w:color w:val="auto"/>
          <w:sz w:val="24"/>
          <w:szCs w:val="24"/>
          <w:highlight w:val="none"/>
        </w:rPr>
        <w:t>发包人在工程量清单中给定暂估价的材料、工程设备和专业工程属于依法必须招标的范围并达到规定的规模标准的，若承包人不具备承担暂估价项目的能力或具备承担暂估价项目的能力但明确不参与投标的，由发包人和承包人组织招标；若承包人具备承担暂估价项目的能力且明确参与投标的，由发包人组织招标。暂估价项目中标金额与工程 量清单中所列金额差以及相应的税金等其他费用列入合同价格。必须招标的暂估价项目招标组织形式、发包人和承包人组织招标时双方的权利义务关系在专用合同条款中约定。</w:t>
      </w:r>
    </w:p>
    <w:p w14:paraId="53777106">
      <w:pPr>
        <w:pStyle w:val="31"/>
        <w:pageBreakBefore w:val="0"/>
        <w:widowControl w:val="0"/>
        <w:kinsoku/>
        <w:wordWrap/>
        <w:overflowPunct/>
        <w:topLinePunct w:val="0"/>
        <w:autoSpaceDE/>
        <w:autoSpaceDN/>
        <w:bidi w:val="0"/>
        <w:adjustRightInd/>
        <w:snapToGrid/>
        <w:spacing w:beforeLines="0" w:after="80" w:afterLines="0" w:line="440" w:lineRule="exact"/>
        <w:ind w:firstLine="440"/>
        <w:jc w:val="both"/>
        <w:textAlignment w:val="auto"/>
        <w:rPr>
          <w:rStyle w:val="19"/>
          <w:rFonts w:hint="eastAsia" w:ascii="Times New Roman" w:hAnsi="Times New Roman" w:eastAsia="Times New Roman" w:cs="Times New Roman"/>
          <w:color w:val="auto"/>
          <w:sz w:val="24"/>
          <w:szCs w:val="24"/>
          <w:highlight w:val="none"/>
        </w:rPr>
      </w:pPr>
      <w:bookmarkStart w:id="930" w:name="bookmark1314"/>
      <w:bookmarkEnd w:id="930"/>
      <w:r>
        <w:rPr>
          <w:rStyle w:val="19"/>
          <w:rFonts w:hint="eastAsia" w:ascii="Times New Roman" w:hAnsi="Times New Roman" w:eastAsia="Times New Roman" w:cs="Times New Roman"/>
          <w:color w:val="auto"/>
          <w:sz w:val="24"/>
          <w:szCs w:val="24"/>
          <w:highlight w:val="none"/>
        </w:rPr>
        <w:t>15.8.2</w:t>
      </w:r>
      <w:r>
        <w:rPr>
          <w:rStyle w:val="19"/>
          <w:rFonts w:hint="default" w:hAnsi="Times New Roman" w:cs="Times New Roman"/>
          <w:color w:val="auto"/>
          <w:sz w:val="24"/>
          <w:szCs w:val="24"/>
          <w:highlight w:val="none"/>
        </w:rPr>
        <w:t>发包人在工程量清单中给定暂估价的材料和工程设备不属于依法必须招标的范围或未达到规定的规模标准的，应由承包人按第5.1款的约定提供。经监理人确认的材料、工程设备的价格与工程量清单中所列的暂估价的金额差以及相应的税金等其他费用列入合同价格。</w:t>
      </w:r>
    </w:p>
    <w:p w14:paraId="5824F6CF">
      <w:pPr>
        <w:pStyle w:val="31"/>
        <w:pageBreakBefore w:val="0"/>
        <w:widowControl w:val="0"/>
        <w:kinsoku/>
        <w:wordWrap/>
        <w:overflowPunct/>
        <w:topLinePunct w:val="0"/>
        <w:autoSpaceDE/>
        <w:autoSpaceDN/>
        <w:bidi w:val="0"/>
        <w:adjustRightInd/>
        <w:snapToGrid/>
        <w:spacing w:beforeLines="0" w:after="80" w:afterLines="0" w:line="440" w:lineRule="exact"/>
        <w:ind w:firstLine="440"/>
        <w:jc w:val="both"/>
        <w:textAlignment w:val="auto"/>
        <w:rPr>
          <w:rStyle w:val="19"/>
          <w:rFonts w:hint="eastAsia" w:ascii="Times New Roman" w:hAnsi="Times New Roman" w:eastAsia="Times New Roman" w:cs="Times New Roman"/>
          <w:color w:val="auto"/>
          <w:sz w:val="24"/>
          <w:szCs w:val="24"/>
          <w:highlight w:val="none"/>
        </w:rPr>
      </w:pPr>
      <w:bookmarkStart w:id="931" w:name="bookmark1315"/>
      <w:bookmarkEnd w:id="931"/>
      <w:r>
        <w:rPr>
          <w:rStyle w:val="19"/>
          <w:rFonts w:hint="eastAsia" w:ascii="Times New Roman" w:hAnsi="Times New Roman" w:eastAsia="Times New Roman" w:cs="Times New Roman"/>
          <w:color w:val="auto"/>
          <w:sz w:val="24"/>
          <w:szCs w:val="24"/>
          <w:highlight w:val="none"/>
        </w:rPr>
        <w:t>15.8.3</w:t>
      </w:r>
      <w:r>
        <w:rPr>
          <w:rStyle w:val="19"/>
          <w:rFonts w:hint="default" w:hAnsi="Times New Roman" w:cs="Times New Roman"/>
          <w:color w:val="auto"/>
          <w:sz w:val="24"/>
          <w:szCs w:val="24"/>
          <w:highlight w:val="none"/>
        </w:rPr>
        <w:t>发包人在工程量清单中给定暂估价的专业工程不属于依法必须招标的范围或未达到规定的规模标准的，由监理人按照第15.4款进行估价，但专用合同条款另有约定的除外。经估价的专业工程与工程量清单中所列的暂估价的金额差以及相应的税金等其他费用列入合同价格。</w:t>
      </w:r>
    </w:p>
    <w:p w14:paraId="01BFB263">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eastAsia"/>
          <w:color w:val="auto"/>
          <w:sz w:val="24"/>
          <w:szCs w:val="20"/>
          <w:highlight w:val="none"/>
          <w:lang w:eastAsia="zh-CN"/>
        </w:rPr>
      </w:pPr>
      <w:bookmarkStart w:id="932" w:name="_Toc256000118"/>
      <w:bookmarkStart w:id="933" w:name="bookmark1317"/>
      <w:bookmarkStart w:id="934" w:name="bookmark1316"/>
      <w:bookmarkStart w:id="935" w:name="bookmark1318"/>
      <w:bookmarkStart w:id="936" w:name="_Toc242"/>
      <w:bookmarkStart w:id="937" w:name="_Toc32383"/>
      <w:r>
        <w:rPr>
          <w:rStyle w:val="19"/>
          <w:rFonts w:hint="eastAsia"/>
          <w:color w:val="auto"/>
          <w:sz w:val="24"/>
          <w:szCs w:val="20"/>
          <w:highlight w:val="none"/>
          <w:lang w:eastAsia="zh-CN"/>
        </w:rPr>
        <w:t>16 .</w:t>
      </w:r>
      <w:r>
        <w:rPr>
          <w:rStyle w:val="19"/>
          <w:rFonts w:hint="default" w:ascii="宋体" w:eastAsia="宋体"/>
          <w:color w:val="auto"/>
          <w:sz w:val="24"/>
          <w:szCs w:val="20"/>
          <w:highlight w:val="none"/>
          <w:lang w:eastAsia="zh-CN"/>
        </w:rPr>
        <w:t>价格调整</w:t>
      </w:r>
      <w:bookmarkEnd w:id="932"/>
      <w:bookmarkEnd w:id="933"/>
      <w:bookmarkEnd w:id="934"/>
      <w:bookmarkEnd w:id="935"/>
      <w:bookmarkEnd w:id="936"/>
      <w:bookmarkEnd w:id="937"/>
    </w:p>
    <w:p w14:paraId="47A7ECE8">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938" w:name="_Toc3602"/>
      <w:bookmarkStart w:id="939" w:name="_Toc2131"/>
      <w:bookmarkStart w:id="940" w:name="bookmark1319"/>
      <w:bookmarkStart w:id="941" w:name="_Toc256000119"/>
      <w:bookmarkStart w:id="942" w:name="bookmark1321"/>
      <w:bookmarkStart w:id="943" w:name="bookmark1320"/>
      <w:r>
        <w:rPr>
          <w:rStyle w:val="19"/>
          <w:rFonts w:hint="default" w:ascii="宋体" w:hAnsi="宋体" w:eastAsia="宋体"/>
          <w:color w:val="auto"/>
          <w:sz w:val="24"/>
          <w:szCs w:val="20"/>
          <w:highlight w:val="none"/>
          <w:lang w:eastAsia="zh-CN"/>
        </w:rPr>
        <w:t>16.1物价波动引起的价格调整</w:t>
      </w:r>
      <w:bookmarkEnd w:id="938"/>
      <w:bookmarkEnd w:id="939"/>
      <w:bookmarkEnd w:id="940"/>
      <w:bookmarkEnd w:id="941"/>
      <w:bookmarkEnd w:id="942"/>
      <w:bookmarkEnd w:id="943"/>
    </w:p>
    <w:p w14:paraId="7DFCFD65">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default"/>
          <w:color w:val="auto"/>
          <w:sz w:val="24"/>
          <w:szCs w:val="20"/>
          <w:highlight w:val="none"/>
        </w:rPr>
      </w:pPr>
      <w:r>
        <w:rPr>
          <w:rStyle w:val="19"/>
          <w:rFonts w:hint="default"/>
          <w:color w:val="auto"/>
          <w:sz w:val="24"/>
          <w:szCs w:val="20"/>
          <w:highlight w:val="none"/>
        </w:rPr>
        <w:t>由于物价波动原因引起合同价格需要调整的，其价格调整方式在专用合同条款中约定；除专用合同条款另有约定外，因物价波动引起的价格调整按照本款约定处理。</w:t>
      </w:r>
    </w:p>
    <w:p w14:paraId="3A7B51BD">
      <w:pPr>
        <w:pStyle w:val="31"/>
        <w:pageBreakBefore w:val="0"/>
        <w:widowControl w:val="0"/>
        <w:tabs>
          <w:tab w:val="left" w:pos="839"/>
        </w:tabs>
        <w:kinsoku/>
        <w:wordWrap/>
        <w:overflowPunct/>
        <w:topLinePunct w:val="0"/>
        <w:autoSpaceDE/>
        <w:autoSpaceDN/>
        <w:bidi w:val="0"/>
        <w:adjustRightInd/>
        <w:snapToGrid/>
        <w:spacing w:beforeLines="0" w:afterLines="0" w:line="440" w:lineRule="exact"/>
        <w:ind w:left="420" w:firstLine="0"/>
        <w:jc w:val="both"/>
        <w:textAlignment w:val="auto"/>
        <w:rPr>
          <w:rStyle w:val="19"/>
          <w:rFonts w:hint="default"/>
          <w:color w:val="auto"/>
          <w:sz w:val="24"/>
          <w:szCs w:val="20"/>
          <w:highlight w:val="none"/>
        </w:rPr>
      </w:pPr>
      <w:bookmarkStart w:id="944" w:name="bookmark1322"/>
      <w:bookmarkEnd w:id="944"/>
      <w:r>
        <w:rPr>
          <w:rStyle w:val="19"/>
          <w:rFonts w:hint="eastAsia" w:ascii="Times New Roman" w:hAnsi="Times New Roman" w:eastAsia="Times New Roman" w:cs="Times New Roman"/>
          <w:color w:val="auto"/>
          <w:sz w:val="24"/>
          <w:szCs w:val="24"/>
          <w:highlight w:val="none"/>
          <w:lang w:val="en-US" w:bidi="en-US"/>
        </w:rPr>
        <w:t xml:space="preserve">16.1. </w:t>
      </w:r>
      <w:r>
        <w:rPr>
          <w:rStyle w:val="19"/>
          <w:rFonts w:hint="eastAsia" w:ascii="Times New Roman" w:hAnsi="Times New Roman" w:eastAsia="Times New Roman" w:cs="Times New Roman"/>
          <w:color w:val="auto"/>
          <w:sz w:val="24"/>
          <w:szCs w:val="24"/>
          <w:highlight w:val="none"/>
        </w:rPr>
        <w:t>1</w:t>
      </w:r>
      <w:r>
        <w:rPr>
          <w:rStyle w:val="19"/>
          <w:rFonts w:hint="default"/>
          <w:color w:val="auto"/>
          <w:sz w:val="24"/>
          <w:szCs w:val="20"/>
          <w:highlight w:val="none"/>
        </w:rPr>
        <w:t>采用价格指数调整价格差额</w:t>
      </w:r>
    </w:p>
    <w:p w14:paraId="2F0DA4E5">
      <w:pPr>
        <w:pStyle w:val="32"/>
        <w:pageBreakBefore w:val="0"/>
        <w:widowControl w:val="0"/>
        <w:tabs>
          <w:tab w:val="left" w:pos="839"/>
        </w:tabs>
        <w:kinsoku/>
        <w:wordWrap/>
        <w:overflowPunct/>
        <w:topLinePunct w:val="0"/>
        <w:autoSpaceDE/>
        <w:autoSpaceDN/>
        <w:bidi w:val="0"/>
        <w:adjustRightInd/>
        <w:snapToGrid/>
        <w:spacing w:beforeLines="0" w:after="0" w:afterLines="0" w:line="440" w:lineRule="exact"/>
        <w:ind w:left="420" w:firstLine="0"/>
        <w:jc w:val="both"/>
        <w:textAlignment w:val="auto"/>
        <w:rPr>
          <w:rStyle w:val="19"/>
          <w:rFonts w:hint="eastAsia"/>
          <w:color w:val="auto"/>
          <w:sz w:val="24"/>
          <w:szCs w:val="20"/>
          <w:highlight w:val="none"/>
          <w:lang w:eastAsia="zh-CN"/>
        </w:rPr>
      </w:pPr>
      <w:bookmarkStart w:id="945" w:name="bookmark1323"/>
      <w:bookmarkEnd w:id="945"/>
      <w:r>
        <w:rPr>
          <w:rStyle w:val="19"/>
          <w:rFonts w:hint="eastAsia"/>
          <w:color w:val="auto"/>
          <w:sz w:val="24"/>
          <w:szCs w:val="20"/>
          <w:highlight w:val="none"/>
          <w:lang w:eastAsia="zh-CN"/>
        </w:rPr>
        <w:t xml:space="preserve">16. 1. 1. </w:t>
      </w:r>
      <w:r>
        <w:rPr>
          <w:rStyle w:val="19"/>
          <w:rFonts w:hint="eastAsia"/>
          <w:color w:val="auto"/>
          <w:sz w:val="24"/>
          <w:szCs w:val="20"/>
          <w:highlight w:val="none"/>
          <w:lang w:val="zh-CN" w:eastAsia="zh-CN" w:bidi="zh-CN"/>
        </w:rPr>
        <w:t>1</w:t>
      </w:r>
      <w:r>
        <w:rPr>
          <w:rStyle w:val="19"/>
          <w:rFonts w:hint="default" w:ascii="宋体" w:hAnsi="宋体" w:eastAsia="宋体" w:cs="宋体"/>
          <w:color w:val="auto"/>
          <w:sz w:val="24"/>
          <w:szCs w:val="24"/>
          <w:highlight w:val="none"/>
          <w:lang w:val="zh-CN" w:eastAsia="zh-CN" w:bidi="zh-CN"/>
        </w:rPr>
        <w:t>价格调整公式</w:t>
      </w:r>
    </w:p>
    <w:p w14:paraId="3D14C103">
      <w:pPr>
        <w:pStyle w:val="31"/>
        <w:pageBreakBefore w:val="0"/>
        <w:widowControl w:val="0"/>
        <w:kinsoku/>
        <w:wordWrap/>
        <w:overflowPunct/>
        <w:topLinePunct w:val="0"/>
        <w:autoSpaceDE/>
        <w:autoSpaceDN/>
        <w:bidi w:val="0"/>
        <w:adjustRightInd/>
        <w:snapToGrid/>
        <w:spacing w:beforeLines="0" w:after="140" w:afterLines="0" w:line="440" w:lineRule="exact"/>
        <w:ind w:firstLine="420"/>
        <w:jc w:val="both"/>
        <w:textAlignment w:val="auto"/>
        <w:rPr>
          <w:rStyle w:val="19"/>
          <w:rFonts w:hint="default"/>
          <w:color w:val="auto"/>
          <w:sz w:val="24"/>
          <w:szCs w:val="20"/>
          <w:highlight w:val="none"/>
        </w:rPr>
      </w:pPr>
      <w:r>
        <w:rPr>
          <w:rStyle w:val="19"/>
          <w:rFonts w:hint="default"/>
          <w:color w:val="auto"/>
          <w:sz w:val="24"/>
          <w:szCs w:val="20"/>
          <w:highlight w:val="none"/>
        </w:rPr>
        <w:t>因人工、材料和设备等价格波动影响合同价格时，根据投标函附录中的价格指数和权重表约定的数据，按以下公式计算差额并调整合同价格。</w:t>
      </w:r>
    </w:p>
    <w:p w14:paraId="534C7936">
      <w:pPr>
        <w:pStyle w:val="31"/>
        <w:pageBreakBefore w:val="0"/>
        <w:widowControl w:val="0"/>
        <w:kinsoku/>
        <w:wordWrap/>
        <w:overflowPunct/>
        <w:topLinePunct w:val="0"/>
        <w:autoSpaceDE/>
        <w:autoSpaceDN/>
        <w:bidi w:val="0"/>
        <w:adjustRightInd/>
        <w:snapToGrid/>
        <w:spacing w:beforeLines="0" w:afterLines="0" w:line="440" w:lineRule="exact"/>
        <w:ind w:firstLine="420"/>
        <w:textAlignment w:val="auto"/>
        <w:rPr>
          <w:rStyle w:val="19"/>
          <w:rFonts w:hint="default"/>
          <w:color w:val="auto"/>
          <w:sz w:val="24"/>
          <w:szCs w:val="20"/>
          <w:highlight w:val="none"/>
          <w:lang w:val="en-US"/>
        </w:rPr>
      </w:pPr>
      <w:r>
        <w:rPr>
          <w:rFonts w:hint="default"/>
          <w:color w:val="auto"/>
          <w:position w:val="-34"/>
          <w:sz w:val="24"/>
          <w:szCs w:val="20"/>
          <w:highlight w:val="none"/>
        </w:rPr>
        <w:object>
          <v:shape id="_x0000_i1025" o:spt="75" type="#_x0000_t75" style="height:49.6pt;width:324.35pt;" o:ole="t" filled="f" o:preferrelative="t" stroked="f" coordsize="21600,21600">
            <v:path/>
            <v:fill on="f" focussize="0,0"/>
            <v:stroke on="f"/>
            <v:imagedata r:id="rId17" o:title=""/>
            <o:lock v:ext="edit" aspectratio="t"/>
            <w10:wrap type="none"/>
            <w10:anchorlock/>
          </v:shape>
          <o:OLEObject Type="Embed" ProgID="Equation.3" ShapeID="_x0000_i1025" DrawAspect="Content" ObjectID="_1468075725" r:id="rId16">
            <o:LockedField>false</o:LockedField>
          </o:OLEObject>
        </w:object>
      </w:r>
    </w:p>
    <w:p w14:paraId="182B7C6D">
      <w:pPr>
        <w:pStyle w:val="31"/>
        <w:pageBreakBefore w:val="0"/>
        <w:widowControl w:val="0"/>
        <w:kinsoku/>
        <w:wordWrap/>
        <w:overflowPunct/>
        <w:topLinePunct w:val="0"/>
        <w:autoSpaceDE/>
        <w:autoSpaceDN/>
        <w:bidi w:val="0"/>
        <w:adjustRightInd/>
        <w:snapToGrid/>
        <w:spacing w:beforeLines="0" w:afterLines="0" w:line="440" w:lineRule="exact"/>
        <w:ind w:firstLine="420"/>
        <w:textAlignment w:val="auto"/>
        <w:rPr>
          <w:rStyle w:val="19"/>
          <w:rFonts w:hint="default"/>
          <w:color w:val="auto"/>
          <w:sz w:val="24"/>
          <w:szCs w:val="20"/>
          <w:highlight w:val="none"/>
          <w:lang w:val="en-US"/>
        </w:rPr>
      </w:pPr>
    </w:p>
    <w:p w14:paraId="7D4922AF">
      <w:pPr>
        <w:pStyle w:val="31"/>
        <w:pageBreakBefore w:val="0"/>
        <w:widowControl w:val="0"/>
        <w:kinsoku/>
        <w:wordWrap/>
        <w:overflowPunct/>
        <w:topLinePunct w:val="0"/>
        <w:autoSpaceDE/>
        <w:autoSpaceDN/>
        <w:bidi w:val="0"/>
        <w:adjustRightInd/>
        <w:snapToGrid/>
        <w:spacing w:beforeLines="0" w:afterLines="0" w:line="440" w:lineRule="exact"/>
        <w:ind w:firstLine="420"/>
        <w:textAlignment w:val="auto"/>
        <w:rPr>
          <w:rStyle w:val="19"/>
          <w:rFonts w:hint="eastAsia" w:ascii="Times New Roman" w:hAnsi="Times New Roman" w:eastAsia="Times New Roman" w:cs="Times New Roman"/>
          <w:color w:val="auto"/>
          <w:sz w:val="24"/>
          <w:szCs w:val="24"/>
          <w:highlight w:val="none"/>
          <w:lang w:val="en-US"/>
        </w:rPr>
      </w:pPr>
      <w:r>
        <w:rPr>
          <w:rStyle w:val="19"/>
          <w:rFonts w:hint="default" w:hAnsi="Times New Roman" w:cs="Times New Roman"/>
          <w:color w:val="auto"/>
          <w:sz w:val="24"/>
          <w:szCs w:val="24"/>
          <w:highlight w:val="none"/>
          <w:lang w:val="en-US"/>
        </w:rPr>
        <w:t>式中： △P -- 需调整的价格差额；</w:t>
      </w:r>
    </w:p>
    <w:p w14:paraId="219ABC1E">
      <w:pPr>
        <w:pStyle w:val="31"/>
        <w:pageBreakBefore w:val="0"/>
        <w:widowControl w:val="0"/>
        <w:kinsoku/>
        <w:wordWrap/>
        <w:overflowPunct/>
        <w:topLinePunct w:val="0"/>
        <w:autoSpaceDE/>
        <w:autoSpaceDN/>
        <w:bidi w:val="0"/>
        <w:adjustRightInd/>
        <w:snapToGrid/>
        <w:spacing w:beforeLines="0" w:afterLines="0" w:line="440" w:lineRule="exact"/>
        <w:ind w:firstLine="420"/>
        <w:textAlignment w:val="auto"/>
        <w:rPr>
          <w:rStyle w:val="19"/>
          <w:rFonts w:hint="eastAsia" w:ascii="Times New Roman" w:hAnsi="Times New Roman" w:eastAsia="Times New Roman" w:cs="Times New Roman"/>
          <w:color w:val="auto"/>
          <w:sz w:val="24"/>
          <w:szCs w:val="24"/>
          <w:highlight w:val="none"/>
          <w:lang w:val="en-US"/>
        </w:rPr>
      </w:pPr>
      <w:r>
        <w:rPr>
          <w:rStyle w:val="19"/>
          <w:rFonts w:hint="eastAsia" w:ascii="Times New Roman" w:hAnsi="Times New Roman" w:eastAsia="Times New Roman" w:cs="Times New Roman"/>
          <w:color w:val="auto"/>
          <w:sz w:val="24"/>
          <w:szCs w:val="24"/>
          <w:highlight w:val="none"/>
          <w:lang w:val="en-US"/>
        </w:rPr>
        <w:t xml:space="preserve">P0 -- </w:t>
      </w:r>
      <w:r>
        <w:rPr>
          <w:rStyle w:val="19"/>
          <w:rFonts w:hint="default" w:hAnsi="Times New Roman" w:cs="Times New Roman"/>
          <w:color w:val="auto"/>
          <w:sz w:val="24"/>
          <w:szCs w:val="24"/>
          <w:highlight w:val="none"/>
          <w:lang w:val="en-US"/>
        </w:rPr>
        <w:t>第17.3.3项、第17.5.2项和第17.6.2项约定的付款证书中承包人应得到的已完成工程量的金额。此项金额应不包括价格调整、不计质量保证金的扣留和支付、预付款的支付和扣回。第15条约定的变更及其他金额已按现行价格计价的，也不计在内；</w:t>
      </w:r>
    </w:p>
    <w:p w14:paraId="11ADFC71">
      <w:pPr>
        <w:pStyle w:val="31"/>
        <w:pageBreakBefore w:val="0"/>
        <w:widowControl w:val="0"/>
        <w:kinsoku/>
        <w:wordWrap/>
        <w:overflowPunct/>
        <w:topLinePunct w:val="0"/>
        <w:autoSpaceDE/>
        <w:autoSpaceDN/>
        <w:bidi w:val="0"/>
        <w:adjustRightInd/>
        <w:snapToGrid/>
        <w:spacing w:beforeLines="0" w:afterLines="0" w:line="440" w:lineRule="exact"/>
        <w:ind w:firstLine="420"/>
        <w:textAlignment w:val="auto"/>
        <w:rPr>
          <w:rStyle w:val="19"/>
          <w:rFonts w:hint="eastAsia" w:ascii="Times New Roman" w:hAnsi="Times New Roman" w:eastAsia="Times New Roman" w:cs="Times New Roman"/>
          <w:color w:val="auto"/>
          <w:sz w:val="24"/>
          <w:szCs w:val="24"/>
          <w:highlight w:val="none"/>
          <w:lang w:val="en-US"/>
        </w:rPr>
      </w:pPr>
      <w:bookmarkStart w:id="946" w:name="_Toc152042495"/>
      <w:bookmarkStart w:id="947" w:name="_Toc144974686"/>
      <w:r>
        <w:rPr>
          <w:rStyle w:val="19"/>
          <w:rFonts w:hint="eastAsia" w:ascii="Times New Roman" w:hAnsi="Times New Roman" w:eastAsia="Times New Roman" w:cs="Times New Roman"/>
          <w:color w:val="auto"/>
          <w:sz w:val="24"/>
          <w:szCs w:val="24"/>
          <w:highlight w:val="none"/>
          <w:lang w:val="en-US"/>
        </w:rPr>
        <w:t xml:space="preserve">A -- </w:t>
      </w:r>
      <w:r>
        <w:rPr>
          <w:rStyle w:val="19"/>
          <w:rFonts w:hint="default" w:hAnsi="Times New Roman" w:cs="Times New Roman"/>
          <w:color w:val="auto"/>
          <w:sz w:val="24"/>
          <w:szCs w:val="24"/>
          <w:highlight w:val="none"/>
          <w:lang w:val="en-US"/>
        </w:rPr>
        <w:t>定值权重(即不调部分的权重)；</w:t>
      </w:r>
      <w:bookmarkEnd w:id="946"/>
      <w:bookmarkEnd w:id="947"/>
    </w:p>
    <w:p w14:paraId="5EB76FC3">
      <w:pPr>
        <w:pStyle w:val="31"/>
        <w:pageBreakBefore w:val="0"/>
        <w:widowControl w:val="0"/>
        <w:kinsoku/>
        <w:wordWrap/>
        <w:overflowPunct/>
        <w:topLinePunct w:val="0"/>
        <w:autoSpaceDE/>
        <w:autoSpaceDN/>
        <w:bidi w:val="0"/>
        <w:adjustRightInd/>
        <w:snapToGrid/>
        <w:spacing w:beforeLines="0" w:afterLines="0" w:line="440" w:lineRule="exact"/>
        <w:ind w:firstLine="420"/>
        <w:textAlignment w:val="auto"/>
        <w:rPr>
          <w:rStyle w:val="19"/>
          <w:rFonts w:hint="eastAsia" w:ascii="Times New Roman" w:hAnsi="Times New Roman" w:eastAsia="Times New Roman" w:cs="Times New Roman"/>
          <w:color w:val="auto"/>
          <w:sz w:val="24"/>
          <w:szCs w:val="24"/>
          <w:highlight w:val="none"/>
          <w:lang w:val="en-US"/>
        </w:rPr>
      </w:pPr>
      <w:r>
        <w:rPr>
          <w:rStyle w:val="19"/>
          <w:rFonts w:hint="eastAsia" w:ascii="Times New Roman" w:hAnsi="Times New Roman" w:eastAsia="Times New Roman" w:cs="Times New Roman"/>
          <w:color w:val="auto"/>
          <w:sz w:val="24"/>
          <w:szCs w:val="24"/>
          <w:highlight w:val="none"/>
          <w:lang w:val="en-US"/>
        </w:rPr>
        <w:t>B1</w:t>
      </w:r>
      <w:r>
        <w:rPr>
          <w:rStyle w:val="19"/>
          <w:rFonts w:hint="default" w:hAnsi="Times New Roman" w:cs="Times New Roman"/>
          <w:color w:val="auto"/>
          <w:sz w:val="24"/>
          <w:szCs w:val="24"/>
          <w:highlight w:val="none"/>
          <w:lang w:val="en-US"/>
        </w:rPr>
        <w:t>；B2；B3·····Bn -- 各可调因子的变值权重(即可调部分的权重)为各可调因子在投标函投标总报价中所占的比例；</w:t>
      </w:r>
    </w:p>
    <w:p w14:paraId="24E14957">
      <w:pPr>
        <w:pStyle w:val="31"/>
        <w:pageBreakBefore w:val="0"/>
        <w:widowControl w:val="0"/>
        <w:kinsoku/>
        <w:wordWrap/>
        <w:overflowPunct/>
        <w:topLinePunct w:val="0"/>
        <w:autoSpaceDE/>
        <w:autoSpaceDN/>
        <w:bidi w:val="0"/>
        <w:adjustRightInd/>
        <w:snapToGrid/>
        <w:spacing w:beforeLines="0" w:afterLines="0" w:line="440" w:lineRule="exact"/>
        <w:ind w:firstLine="420"/>
        <w:textAlignment w:val="auto"/>
        <w:rPr>
          <w:rStyle w:val="19"/>
          <w:rFonts w:hint="eastAsia" w:ascii="Times New Roman" w:hAnsi="Times New Roman" w:eastAsia="Times New Roman" w:cs="Times New Roman"/>
          <w:color w:val="auto"/>
          <w:sz w:val="24"/>
          <w:szCs w:val="24"/>
          <w:highlight w:val="none"/>
          <w:lang w:val="en-US"/>
        </w:rPr>
      </w:pPr>
      <w:r>
        <w:rPr>
          <w:rStyle w:val="19"/>
          <w:rFonts w:hint="eastAsia" w:ascii="Times New Roman" w:hAnsi="Times New Roman" w:eastAsia="Times New Roman" w:cs="Times New Roman"/>
          <w:color w:val="auto"/>
          <w:sz w:val="24"/>
          <w:szCs w:val="24"/>
          <w:highlight w:val="none"/>
          <w:lang w:val="en-US"/>
        </w:rPr>
        <w:t>Ft1</w:t>
      </w:r>
      <w:r>
        <w:rPr>
          <w:rStyle w:val="19"/>
          <w:rFonts w:hint="default" w:hAnsi="Times New Roman" w:cs="Times New Roman"/>
          <w:color w:val="auto"/>
          <w:sz w:val="24"/>
          <w:szCs w:val="24"/>
          <w:highlight w:val="none"/>
          <w:lang w:val="en-US"/>
        </w:rPr>
        <w:t>；Ft2；Ft3·····Ftn -- 各可调因子的现行价格指数，指第17.3.3项、第17.5.2项和第17.6.2项约定的付款证书相关周期最后一天的前42天的各可调因子的价格指数；</w:t>
      </w:r>
    </w:p>
    <w:p w14:paraId="5BA3FBC3">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eastAsia" w:ascii="Times New Roman" w:hAnsi="Times New Roman" w:eastAsia="Times New Roman" w:cs="Times New Roman"/>
          <w:color w:val="auto"/>
          <w:sz w:val="24"/>
          <w:szCs w:val="24"/>
          <w:highlight w:val="none"/>
          <w:lang w:val="en-US"/>
        </w:rPr>
      </w:pPr>
      <w:r>
        <w:rPr>
          <w:rStyle w:val="19"/>
          <w:rFonts w:hint="eastAsia" w:ascii="Times New Roman" w:hAnsi="Times New Roman" w:eastAsia="Times New Roman" w:cs="Times New Roman"/>
          <w:color w:val="auto"/>
          <w:sz w:val="24"/>
          <w:szCs w:val="24"/>
          <w:highlight w:val="none"/>
          <w:lang w:val="en-US"/>
        </w:rPr>
        <w:t>Fo1</w:t>
      </w:r>
      <w:r>
        <w:rPr>
          <w:rStyle w:val="19"/>
          <w:rFonts w:hint="default" w:hAnsi="Times New Roman" w:cs="Times New Roman"/>
          <w:color w:val="auto"/>
          <w:sz w:val="24"/>
          <w:szCs w:val="24"/>
          <w:highlight w:val="none"/>
          <w:lang w:val="en-US"/>
        </w:rPr>
        <w:t>；Fo2; Fo3·····Fon -- 各可调因子的基本价格指数，指基准日期的各可调因子的价格指数。</w:t>
      </w:r>
    </w:p>
    <w:p w14:paraId="55484C91">
      <w:pPr>
        <w:pStyle w:val="31"/>
        <w:pageBreakBefore w:val="0"/>
        <w:widowControl w:val="0"/>
        <w:kinsoku/>
        <w:wordWrap/>
        <w:overflowPunct/>
        <w:topLinePunct w:val="0"/>
        <w:autoSpaceDE/>
        <w:autoSpaceDN/>
        <w:bidi w:val="0"/>
        <w:adjustRightInd/>
        <w:snapToGrid/>
        <w:spacing w:beforeLines="0" w:after="120" w:afterLines="0" w:line="440" w:lineRule="exact"/>
        <w:ind w:firstLine="420"/>
        <w:jc w:val="both"/>
        <w:textAlignment w:val="auto"/>
        <w:rPr>
          <w:rStyle w:val="19"/>
          <w:rFonts w:hint="default"/>
          <w:color w:val="auto"/>
          <w:sz w:val="24"/>
          <w:szCs w:val="20"/>
          <w:highlight w:val="none"/>
        </w:rPr>
      </w:pPr>
      <w:r>
        <w:rPr>
          <w:rStyle w:val="19"/>
          <w:rFonts w:hint="default" w:hAnsi="Times New Roman" w:cs="Times New Roman"/>
          <w:color w:val="auto"/>
          <w:sz w:val="24"/>
          <w:szCs w:val="24"/>
          <w:highlight w:val="none"/>
        </w:rPr>
        <w:t>以上价格调整公式中的各可调因子、定值和变值权重，以及基本价格指数及其来源在投标函附录价格指数和权重表中约定。价格指数应首先采用有关部门提供的价格指数，缺乏上述价格指数时，可采用有关部门提供的价格代替。</w:t>
      </w:r>
    </w:p>
    <w:p w14:paraId="6431A9BE">
      <w:pPr>
        <w:pStyle w:val="31"/>
        <w:pageBreakBefore w:val="0"/>
        <w:widowControl w:val="0"/>
        <w:kinsoku/>
        <w:wordWrap/>
        <w:overflowPunct/>
        <w:topLinePunct w:val="0"/>
        <w:autoSpaceDE/>
        <w:autoSpaceDN/>
        <w:bidi w:val="0"/>
        <w:adjustRightInd/>
        <w:snapToGrid/>
        <w:spacing w:beforeLines="0" w:afterLines="0" w:line="440" w:lineRule="exact"/>
        <w:ind w:firstLine="420"/>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16.1.1.2</w:t>
      </w:r>
      <w:r>
        <w:rPr>
          <w:rStyle w:val="19"/>
          <w:rFonts w:hint="default"/>
          <w:color w:val="auto"/>
          <w:sz w:val="24"/>
          <w:szCs w:val="20"/>
          <w:highlight w:val="none"/>
        </w:rPr>
        <w:t>暂时确定调整差额</w:t>
      </w:r>
    </w:p>
    <w:p w14:paraId="015A58CA">
      <w:pPr>
        <w:pStyle w:val="31"/>
        <w:pageBreakBefore w:val="0"/>
        <w:widowControl w:val="0"/>
        <w:kinsoku/>
        <w:wordWrap/>
        <w:overflowPunct/>
        <w:topLinePunct w:val="0"/>
        <w:autoSpaceDE/>
        <w:autoSpaceDN/>
        <w:bidi w:val="0"/>
        <w:adjustRightInd/>
        <w:snapToGrid/>
        <w:spacing w:beforeLines="0" w:after="120" w:afterLines="0" w:line="440" w:lineRule="exact"/>
        <w:ind w:firstLine="440"/>
        <w:jc w:val="both"/>
        <w:textAlignment w:val="auto"/>
        <w:rPr>
          <w:rStyle w:val="19"/>
          <w:rFonts w:hint="default"/>
          <w:color w:val="auto"/>
          <w:sz w:val="24"/>
          <w:szCs w:val="20"/>
          <w:highlight w:val="none"/>
        </w:rPr>
      </w:pPr>
      <w:r>
        <w:rPr>
          <w:rStyle w:val="19"/>
          <w:rFonts w:hint="default"/>
          <w:color w:val="auto"/>
          <w:sz w:val="24"/>
          <w:szCs w:val="20"/>
          <w:highlight w:val="none"/>
        </w:rPr>
        <w:t>在计算调整差额时得不到现行价格指数的，可暂用上一次价格指数计算，并在以后的付款中再按实际价格指数进行调整。</w:t>
      </w:r>
    </w:p>
    <w:p w14:paraId="056F3823">
      <w:pPr>
        <w:pStyle w:val="32"/>
        <w:pageBreakBefore w:val="0"/>
        <w:widowControl w:val="0"/>
        <w:kinsoku/>
        <w:wordWrap/>
        <w:overflowPunct/>
        <w:topLinePunct w:val="0"/>
        <w:autoSpaceDE/>
        <w:autoSpaceDN/>
        <w:bidi w:val="0"/>
        <w:adjustRightInd/>
        <w:snapToGrid/>
        <w:spacing w:beforeLines="0" w:after="0" w:afterLines="0" w:line="440" w:lineRule="exact"/>
        <w:ind w:firstLine="440"/>
        <w:jc w:val="both"/>
        <w:textAlignment w:val="auto"/>
        <w:rPr>
          <w:rStyle w:val="19"/>
          <w:rFonts w:hint="eastAsia"/>
          <w:color w:val="auto"/>
          <w:sz w:val="24"/>
          <w:szCs w:val="20"/>
          <w:highlight w:val="none"/>
          <w:lang w:eastAsia="zh-CN"/>
        </w:rPr>
      </w:pPr>
      <w:r>
        <w:rPr>
          <w:rStyle w:val="19"/>
          <w:rFonts w:hint="eastAsia"/>
          <w:color w:val="auto"/>
          <w:sz w:val="24"/>
          <w:szCs w:val="20"/>
          <w:highlight w:val="none"/>
          <w:lang w:eastAsia="zh-CN"/>
        </w:rPr>
        <w:t>16.1.1.3</w:t>
      </w:r>
      <w:r>
        <w:rPr>
          <w:rStyle w:val="19"/>
          <w:rFonts w:hint="default" w:ascii="宋体" w:hAnsi="宋体" w:eastAsia="宋体" w:cs="宋体"/>
          <w:color w:val="auto"/>
          <w:sz w:val="24"/>
          <w:szCs w:val="24"/>
          <w:highlight w:val="none"/>
          <w:lang w:val="zh-CN" w:eastAsia="zh-CN" w:bidi="zh-CN"/>
        </w:rPr>
        <w:t>权重的调整</w:t>
      </w:r>
    </w:p>
    <w:p w14:paraId="6E56BAEA">
      <w:pPr>
        <w:pStyle w:val="31"/>
        <w:pageBreakBefore w:val="0"/>
        <w:widowControl w:val="0"/>
        <w:kinsoku/>
        <w:wordWrap/>
        <w:overflowPunct/>
        <w:topLinePunct w:val="0"/>
        <w:autoSpaceDE/>
        <w:autoSpaceDN/>
        <w:bidi w:val="0"/>
        <w:adjustRightInd/>
        <w:snapToGrid/>
        <w:spacing w:beforeLines="0" w:after="120" w:afterLines="0" w:line="440" w:lineRule="exact"/>
        <w:ind w:firstLine="440"/>
        <w:jc w:val="both"/>
        <w:textAlignment w:val="auto"/>
        <w:rPr>
          <w:rStyle w:val="19"/>
          <w:rFonts w:hint="default"/>
          <w:color w:val="auto"/>
          <w:sz w:val="24"/>
          <w:szCs w:val="20"/>
          <w:highlight w:val="none"/>
        </w:rPr>
      </w:pPr>
      <w:r>
        <w:rPr>
          <w:rStyle w:val="19"/>
          <w:rFonts w:hint="default"/>
          <w:color w:val="auto"/>
          <w:sz w:val="24"/>
          <w:szCs w:val="20"/>
          <w:highlight w:val="none"/>
        </w:rPr>
        <w:t>按第</w:t>
      </w:r>
      <w:r>
        <w:rPr>
          <w:rStyle w:val="19"/>
          <w:rFonts w:hint="eastAsia" w:ascii="Times New Roman" w:hAnsi="Times New Roman" w:eastAsia="Times New Roman" w:cs="Times New Roman"/>
          <w:color w:val="auto"/>
          <w:sz w:val="24"/>
          <w:szCs w:val="24"/>
          <w:highlight w:val="none"/>
          <w:lang w:val="en-US" w:bidi="en-US"/>
        </w:rPr>
        <w:t xml:space="preserve">15. </w:t>
      </w:r>
      <w:r>
        <w:rPr>
          <w:rStyle w:val="19"/>
          <w:rFonts w:hint="eastAsia" w:ascii="Times New Roman" w:hAnsi="Times New Roman" w:eastAsia="Times New Roman" w:cs="Times New Roman"/>
          <w:color w:val="auto"/>
          <w:sz w:val="24"/>
          <w:szCs w:val="24"/>
          <w:highlight w:val="none"/>
        </w:rPr>
        <w:t>1</w:t>
      </w:r>
      <w:r>
        <w:rPr>
          <w:rStyle w:val="19"/>
          <w:rFonts w:hint="default"/>
          <w:color w:val="auto"/>
          <w:sz w:val="24"/>
          <w:szCs w:val="20"/>
          <w:highlight w:val="none"/>
        </w:rPr>
        <w:t>款约定的变更导致原定合同中的权重不合理时，由监理人与承包人和发包人协商后进行调整。</w:t>
      </w:r>
    </w:p>
    <w:p w14:paraId="1A9FEACC">
      <w:pPr>
        <w:pStyle w:val="31"/>
        <w:pageBreakBefore w:val="0"/>
        <w:widowControl w:val="0"/>
        <w:kinsoku/>
        <w:wordWrap/>
        <w:overflowPunct/>
        <w:topLinePunct w:val="0"/>
        <w:autoSpaceDE/>
        <w:autoSpaceDN/>
        <w:bidi w:val="0"/>
        <w:adjustRightInd/>
        <w:snapToGrid/>
        <w:spacing w:beforeLines="0" w:afterLines="0" w:line="440" w:lineRule="exact"/>
        <w:ind w:firstLine="420"/>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16.1.1.4</w:t>
      </w:r>
      <w:r>
        <w:rPr>
          <w:rStyle w:val="19"/>
          <w:rFonts w:hint="default"/>
          <w:color w:val="auto"/>
          <w:sz w:val="24"/>
          <w:szCs w:val="20"/>
          <w:highlight w:val="none"/>
        </w:rPr>
        <w:t>承包人工期延误后的价格调整</w:t>
      </w:r>
    </w:p>
    <w:p w14:paraId="555F8AE2">
      <w:pPr>
        <w:pStyle w:val="31"/>
        <w:pageBreakBefore w:val="0"/>
        <w:widowControl w:val="0"/>
        <w:kinsoku/>
        <w:wordWrap/>
        <w:overflowPunct/>
        <w:topLinePunct w:val="0"/>
        <w:autoSpaceDE/>
        <w:autoSpaceDN/>
        <w:bidi w:val="0"/>
        <w:adjustRightInd/>
        <w:snapToGrid/>
        <w:spacing w:beforeLines="0" w:after="120" w:afterLines="0" w:line="440" w:lineRule="exact"/>
        <w:ind w:firstLine="440"/>
        <w:jc w:val="both"/>
        <w:textAlignment w:val="auto"/>
        <w:rPr>
          <w:rStyle w:val="19"/>
          <w:rFonts w:hint="default"/>
          <w:color w:val="auto"/>
          <w:sz w:val="24"/>
          <w:szCs w:val="20"/>
          <w:highlight w:val="none"/>
        </w:rPr>
      </w:pPr>
      <w:r>
        <w:rPr>
          <w:rStyle w:val="19"/>
          <w:rFonts w:hint="default"/>
          <w:color w:val="auto"/>
          <w:sz w:val="24"/>
          <w:szCs w:val="20"/>
          <w:highlight w:val="none"/>
        </w:rPr>
        <w:t>由于承包人原因未在约定的工期内竣工的，则对原约定竣工日期后继续施工的工程, 在使用第</w:t>
      </w:r>
      <w:r>
        <w:rPr>
          <w:rStyle w:val="19"/>
          <w:rFonts w:hint="eastAsia" w:ascii="Times New Roman" w:hAnsi="Times New Roman" w:eastAsia="Times New Roman" w:cs="Times New Roman"/>
          <w:color w:val="auto"/>
          <w:sz w:val="24"/>
          <w:szCs w:val="24"/>
          <w:highlight w:val="none"/>
          <w:lang w:val="en-US" w:bidi="en-US"/>
        </w:rPr>
        <w:t xml:space="preserve">16. 1. 1. </w:t>
      </w:r>
      <w:r>
        <w:rPr>
          <w:rStyle w:val="19"/>
          <w:rFonts w:hint="eastAsia" w:ascii="Times New Roman" w:hAnsi="Times New Roman" w:eastAsia="Times New Roman" w:cs="Times New Roman"/>
          <w:color w:val="auto"/>
          <w:sz w:val="24"/>
          <w:szCs w:val="24"/>
          <w:highlight w:val="none"/>
        </w:rPr>
        <w:t>1</w:t>
      </w:r>
      <w:r>
        <w:rPr>
          <w:rStyle w:val="19"/>
          <w:rFonts w:hint="default"/>
          <w:color w:val="auto"/>
          <w:sz w:val="24"/>
          <w:szCs w:val="20"/>
          <w:highlight w:val="none"/>
        </w:rPr>
        <w:t>目价格调整公式时，应采用原约定竣工日期与实际竣工日期的两个价格指数中较低的一个作为现行价格指数。</w:t>
      </w:r>
    </w:p>
    <w:p w14:paraId="1456E4B7">
      <w:pPr>
        <w:pStyle w:val="31"/>
        <w:pageBreakBefore w:val="0"/>
        <w:widowControl w:val="0"/>
        <w:tabs>
          <w:tab w:val="left" w:pos="861"/>
        </w:tabs>
        <w:kinsoku/>
        <w:wordWrap/>
        <w:overflowPunct/>
        <w:topLinePunct w:val="0"/>
        <w:autoSpaceDE/>
        <w:autoSpaceDN/>
        <w:bidi w:val="0"/>
        <w:adjustRightInd/>
        <w:snapToGrid/>
        <w:spacing w:beforeLines="0" w:afterLines="0" w:line="440" w:lineRule="exact"/>
        <w:ind w:firstLine="0"/>
        <w:jc w:val="both"/>
        <w:textAlignment w:val="auto"/>
        <w:rPr>
          <w:rStyle w:val="19"/>
          <w:rFonts w:hint="default"/>
          <w:color w:val="auto"/>
          <w:sz w:val="24"/>
          <w:szCs w:val="20"/>
          <w:highlight w:val="none"/>
        </w:rPr>
      </w:pPr>
      <w:bookmarkStart w:id="948" w:name="bookmark1325"/>
      <w:bookmarkEnd w:id="948"/>
      <w:r>
        <w:rPr>
          <w:rStyle w:val="19"/>
          <w:rFonts w:hint="eastAsia" w:ascii="Times New Roman" w:hAnsi="Times New Roman" w:eastAsia="Times New Roman" w:cs="Times New Roman"/>
          <w:color w:val="auto"/>
          <w:sz w:val="24"/>
          <w:szCs w:val="24"/>
          <w:highlight w:val="none"/>
          <w:lang w:val="en-US" w:bidi="en-US"/>
        </w:rPr>
        <w:t xml:space="preserve">16.1. </w:t>
      </w:r>
      <w:r>
        <w:rPr>
          <w:rStyle w:val="19"/>
          <w:rFonts w:hint="eastAsia" w:ascii="Times New Roman" w:hAnsi="Times New Roman" w:eastAsia="Times New Roman" w:cs="Times New Roman"/>
          <w:color w:val="auto"/>
          <w:sz w:val="24"/>
          <w:szCs w:val="24"/>
          <w:highlight w:val="none"/>
        </w:rPr>
        <w:t>2</w:t>
      </w:r>
      <w:r>
        <w:rPr>
          <w:rStyle w:val="19"/>
          <w:rFonts w:hint="default"/>
          <w:color w:val="auto"/>
          <w:sz w:val="24"/>
          <w:szCs w:val="20"/>
          <w:highlight w:val="none"/>
        </w:rPr>
        <w:t>采用造价信息调整价格差额</w:t>
      </w:r>
    </w:p>
    <w:p w14:paraId="626AC081">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r>
        <w:rPr>
          <w:rStyle w:val="19"/>
          <w:rFonts w:hint="default"/>
          <w:color w:val="auto"/>
          <w:sz w:val="24"/>
          <w:szCs w:val="20"/>
          <w:highlight w:val="none"/>
        </w:rPr>
        <w:t>施工期内，因人工、材料、设备和机械台班价格波动影响合同价格时，人工、机械使用费按照国家或省(自治区、直辖市)建设行政管理部门、行业建设管理部门或其授权的工程造价管理机构发布的人工成本信息、机械台班单价或机械使用费系数进行调整；需要进行价格调整的材料，其单价和采购数应由监理人复核，监理人确认需调整的材料单价及 数量，作为调整工程合同价格差额的依据。</w:t>
      </w:r>
    </w:p>
    <w:p w14:paraId="20B19C59">
      <w:pPr>
        <w:pStyle w:val="31"/>
        <w:pageBreakBefore w:val="0"/>
        <w:widowControl w:val="0"/>
        <w:kinsoku/>
        <w:wordWrap/>
        <w:overflowPunct/>
        <w:topLinePunct w:val="0"/>
        <w:autoSpaceDE/>
        <w:autoSpaceDN/>
        <w:bidi w:val="0"/>
        <w:adjustRightInd/>
        <w:snapToGrid/>
        <w:spacing w:beforeLines="0" w:after="160" w:afterLines="0" w:line="440" w:lineRule="exact"/>
        <w:ind w:firstLine="420"/>
        <w:textAlignment w:val="auto"/>
        <w:rPr>
          <w:rStyle w:val="19"/>
          <w:rFonts w:hint="default"/>
          <w:color w:val="auto"/>
          <w:sz w:val="24"/>
          <w:szCs w:val="20"/>
          <w:highlight w:val="none"/>
        </w:rPr>
      </w:pPr>
      <w:r>
        <w:rPr>
          <w:rStyle w:val="19"/>
          <w:rFonts w:hint="default"/>
          <w:color w:val="auto"/>
          <w:sz w:val="24"/>
          <w:szCs w:val="20"/>
          <w:highlight w:val="none"/>
        </w:rPr>
        <w:t>工程造价信息的来源以及价格调整的项目和系数在专用合同条款中约定。</w:t>
      </w:r>
    </w:p>
    <w:p w14:paraId="54ECD15E">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949" w:name="bookmark1327"/>
      <w:bookmarkStart w:id="950" w:name="_Toc256000120"/>
      <w:bookmarkStart w:id="951" w:name="_Toc30516"/>
      <w:bookmarkStart w:id="952" w:name="bookmark1328"/>
      <w:bookmarkStart w:id="953" w:name="_Toc19456"/>
      <w:bookmarkStart w:id="954" w:name="bookmark1326"/>
      <w:r>
        <w:rPr>
          <w:rStyle w:val="19"/>
          <w:rFonts w:hint="default" w:ascii="宋体" w:hAnsi="宋体" w:eastAsia="宋体"/>
          <w:color w:val="auto"/>
          <w:sz w:val="24"/>
          <w:szCs w:val="20"/>
          <w:highlight w:val="none"/>
          <w:lang w:eastAsia="zh-CN"/>
        </w:rPr>
        <w:t>16.2法律变化引起的价格调整</w:t>
      </w:r>
      <w:bookmarkEnd w:id="949"/>
      <w:bookmarkEnd w:id="950"/>
      <w:bookmarkEnd w:id="951"/>
      <w:bookmarkEnd w:id="952"/>
      <w:bookmarkEnd w:id="953"/>
      <w:bookmarkEnd w:id="954"/>
    </w:p>
    <w:p w14:paraId="248D96C5">
      <w:pPr>
        <w:pStyle w:val="31"/>
        <w:pageBreakBefore w:val="0"/>
        <w:widowControl w:val="0"/>
        <w:kinsoku/>
        <w:wordWrap/>
        <w:overflowPunct/>
        <w:topLinePunct w:val="0"/>
        <w:autoSpaceDE/>
        <w:autoSpaceDN/>
        <w:bidi w:val="0"/>
        <w:adjustRightInd/>
        <w:snapToGrid/>
        <w:spacing w:beforeLines="0" w:after="300" w:afterLines="0" w:line="440" w:lineRule="exact"/>
        <w:ind w:firstLine="440"/>
        <w:jc w:val="both"/>
        <w:textAlignment w:val="auto"/>
        <w:rPr>
          <w:rStyle w:val="19"/>
          <w:rFonts w:hint="default"/>
          <w:color w:val="auto"/>
          <w:sz w:val="24"/>
          <w:szCs w:val="20"/>
          <w:highlight w:val="none"/>
        </w:rPr>
      </w:pPr>
      <w:r>
        <w:rPr>
          <w:rStyle w:val="19"/>
          <w:rFonts w:hint="default"/>
          <w:color w:val="auto"/>
          <w:sz w:val="24"/>
          <w:szCs w:val="20"/>
          <w:highlight w:val="none"/>
        </w:rPr>
        <w:t>在基准日后，因法律变化导致承包人在合同履行中所需要的工程费用发生除第</w:t>
      </w:r>
      <w:r>
        <w:rPr>
          <w:rStyle w:val="19"/>
          <w:rFonts w:hint="eastAsia" w:ascii="Times New Roman" w:hAnsi="Times New Roman" w:eastAsia="Times New Roman" w:cs="Times New Roman"/>
          <w:color w:val="auto"/>
          <w:sz w:val="24"/>
          <w:szCs w:val="24"/>
          <w:highlight w:val="none"/>
          <w:lang w:val="en-US" w:bidi="en-US"/>
        </w:rPr>
        <w:t xml:space="preserve">16. </w:t>
      </w:r>
      <w:r>
        <w:rPr>
          <w:rStyle w:val="19"/>
          <w:rFonts w:hint="eastAsia" w:ascii="Times New Roman" w:hAnsi="Times New Roman" w:eastAsia="Times New Roman" w:cs="Times New Roman"/>
          <w:color w:val="auto"/>
          <w:sz w:val="24"/>
          <w:szCs w:val="24"/>
          <w:highlight w:val="none"/>
        </w:rPr>
        <w:t>1</w:t>
      </w:r>
      <w:r>
        <w:rPr>
          <w:rStyle w:val="19"/>
          <w:rFonts w:hint="default"/>
          <w:color w:val="auto"/>
          <w:sz w:val="24"/>
          <w:szCs w:val="20"/>
          <w:highlight w:val="none"/>
        </w:rPr>
        <w:t>款约定以外的增减时，监理人应根据法律、国家或省、自治区、直辖市有关部门的规定，按第</w:t>
      </w:r>
      <w:r>
        <w:rPr>
          <w:rStyle w:val="19"/>
          <w:rFonts w:hint="eastAsia" w:ascii="Times New Roman" w:hAnsi="Times New Roman" w:eastAsia="Times New Roman" w:cs="Times New Roman"/>
          <w:color w:val="auto"/>
          <w:sz w:val="24"/>
          <w:szCs w:val="24"/>
          <w:highlight w:val="none"/>
          <w:lang w:val="en-US" w:bidi="en-US"/>
        </w:rPr>
        <w:t xml:space="preserve">3. </w:t>
      </w:r>
      <w:r>
        <w:rPr>
          <w:rStyle w:val="19"/>
          <w:rFonts w:hint="eastAsia" w:ascii="Times New Roman" w:hAnsi="Times New Roman" w:eastAsia="Times New Roman" w:cs="Times New Roman"/>
          <w:color w:val="auto"/>
          <w:sz w:val="24"/>
          <w:szCs w:val="24"/>
          <w:highlight w:val="none"/>
        </w:rPr>
        <w:t>5</w:t>
      </w:r>
      <w:r>
        <w:rPr>
          <w:rStyle w:val="19"/>
          <w:rFonts w:hint="default"/>
          <w:color w:val="auto"/>
          <w:sz w:val="24"/>
          <w:szCs w:val="20"/>
          <w:highlight w:val="none"/>
        </w:rPr>
        <w:t>款商定或确定需调整的合同价款。</w:t>
      </w:r>
    </w:p>
    <w:p w14:paraId="0EC8D172">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eastAsia"/>
          <w:color w:val="auto"/>
          <w:sz w:val="24"/>
          <w:szCs w:val="20"/>
          <w:highlight w:val="none"/>
          <w:lang w:eastAsia="zh-CN"/>
        </w:rPr>
      </w:pPr>
      <w:bookmarkStart w:id="955" w:name="_Toc15158"/>
      <w:bookmarkStart w:id="956" w:name="bookmark1330"/>
      <w:bookmarkStart w:id="957" w:name="bookmark1329"/>
      <w:bookmarkStart w:id="958" w:name="bookmark1331"/>
      <w:bookmarkStart w:id="959" w:name="_Toc256000121"/>
      <w:bookmarkStart w:id="960" w:name="_Toc26355"/>
      <w:r>
        <w:rPr>
          <w:rStyle w:val="19"/>
          <w:rFonts w:hint="eastAsia"/>
          <w:color w:val="auto"/>
          <w:sz w:val="24"/>
          <w:szCs w:val="20"/>
          <w:highlight w:val="none"/>
          <w:lang w:eastAsia="zh-CN"/>
        </w:rPr>
        <w:t>17.</w:t>
      </w:r>
      <w:r>
        <w:rPr>
          <w:rStyle w:val="19"/>
          <w:rFonts w:hint="default" w:ascii="宋体" w:eastAsia="宋体"/>
          <w:color w:val="auto"/>
          <w:sz w:val="24"/>
          <w:szCs w:val="20"/>
          <w:highlight w:val="none"/>
          <w:lang w:eastAsia="zh-CN"/>
        </w:rPr>
        <w:t>计量与支付</w:t>
      </w:r>
      <w:bookmarkEnd w:id="955"/>
      <w:bookmarkEnd w:id="956"/>
      <w:bookmarkEnd w:id="957"/>
      <w:bookmarkEnd w:id="958"/>
      <w:bookmarkEnd w:id="959"/>
      <w:bookmarkEnd w:id="960"/>
    </w:p>
    <w:p w14:paraId="34C7858E">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961" w:name="_Toc7733"/>
      <w:bookmarkStart w:id="962" w:name="bookmark1334"/>
      <w:bookmarkStart w:id="963" w:name="_Toc2006"/>
      <w:bookmarkStart w:id="964" w:name="_Toc256000122"/>
      <w:bookmarkStart w:id="965" w:name="bookmark1332"/>
      <w:bookmarkStart w:id="966" w:name="bookmark1333"/>
      <w:r>
        <w:rPr>
          <w:rStyle w:val="19"/>
          <w:rFonts w:hint="default" w:ascii="宋体" w:hAnsi="宋体" w:eastAsia="宋体"/>
          <w:color w:val="auto"/>
          <w:sz w:val="24"/>
          <w:szCs w:val="20"/>
          <w:highlight w:val="none"/>
          <w:lang w:eastAsia="zh-CN"/>
        </w:rPr>
        <w:t>17.1计量</w:t>
      </w:r>
      <w:bookmarkEnd w:id="961"/>
      <w:bookmarkEnd w:id="962"/>
      <w:bookmarkEnd w:id="963"/>
      <w:bookmarkEnd w:id="964"/>
      <w:bookmarkEnd w:id="965"/>
      <w:bookmarkEnd w:id="966"/>
    </w:p>
    <w:p w14:paraId="54600983">
      <w:pPr>
        <w:pStyle w:val="32"/>
        <w:pageBreakBefore w:val="0"/>
        <w:widowControl w:val="0"/>
        <w:tabs>
          <w:tab w:val="left" w:pos="841"/>
        </w:tabs>
        <w:kinsoku/>
        <w:wordWrap/>
        <w:overflowPunct/>
        <w:topLinePunct w:val="0"/>
        <w:autoSpaceDE/>
        <w:autoSpaceDN/>
        <w:bidi w:val="0"/>
        <w:adjustRightInd/>
        <w:snapToGrid/>
        <w:spacing w:beforeLines="0" w:after="0" w:afterLines="0" w:line="440" w:lineRule="exact"/>
        <w:ind w:firstLine="0"/>
        <w:textAlignment w:val="auto"/>
        <w:rPr>
          <w:rStyle w:val="19"/>
          <w:rFonts w:hint="eastAsia"/>
          <w:color w:val="auto"/>
          <w:sz w:val="24"/>
          <w:szCs w:val="20"/>
          <w:highlight w:val="none"/>
          <w:lang w:eastAsia="zh-CN"/>
        </w:rPr>
      </w:pPr>
      <w:bookmarkStart w:id="967" w:name="bookmark1335"/>
      <w:bookmarkEnd w:id="967"/>
      <w:r>
        <w:rPr>
          <w:rStyle w:val="19"/>
          <w:rFonts w:hint="eastAsia"/>
          <w:color w:val="auto"/>
          <w:sz w:val="24"/>
          <w:szCs w:val="20"/>
          <w:highlight w:val="none"/>
          <w:lang w:eastAsia="zh-CN"/>
        </w:rPr>
        <w:t xml:space="preserve">        17.1. </w:t>
      </w:r>
      <w:r>
        <w:rPr>
          <w:rStyle w:val="19"/>
          <w:rFonts w:hint="eastAsia"/>
          <w:color w:val="auto"/>
          <w:sz w:val="24"/>
          <w:szCs w:val="20"/>
          <w:highlight w:val="none"/>
          <w:lang w:val="zh-CN" w:eastAsia="zh-CN" w:bidi="zh-CN"/>
        </w:rPr>
        <w:t>1</w:t>
      </w:r>
      <w:r>
        <w:rPr>
          <w:rStyle w:val="19"/>
          <w:rFonts w:hint="default" w:ascii="宋体" w:eastAsia="宋体"/>
          <w:color w:val="auto"/>
          <w:sz w:val="24"/>
          <w:szCs w:val="20"/>
          <w:highlight w:val="none"/>
          <w:lang w:val="zh-CN" w:eastAsia="zh-CN" w:bidi="zh-CN"/>
        </w:rPr>
        <w:t>计量单位</w:t>
      </w:r>
    </w:p>
    <w:p w14:paraId="65BC7C67">
      <w:pPr>
        <w:pStyle w:val="31"/>
        <w:pageBreakBefore w:val="0"/>
        <w:widowControl w:val="0"/>
        <w:kinsoku/>
        <w:wordWrap/>
        <w:overflowPunct/>
        <w:topLinePunct w:val="0"/>
        <w:autoSpaceDE/>
        <w:autoSpaceDN/>
        <w:bidi w:val="0"/>
        <w:adjustRightInd/>
        <w:snapToGrid/>
        <w:spacing w:beforeLines="0" w:after="120" w:afterLines="0" w:line="440" w:lineRule="exact"/>
        <w:ind w:firstLine="420"/>
        <w:textAlignment w:val="auto"/>
        <w:rPr>
          <w:rStyle w:val="19"/>
          <w:rFonts w:hint="eastAsia" w:ascii="Times New Roman" w:hAnsi="Times New Roman" w:eastAsia="Times New Roman" w:cs="Times New Roman"/>
          <w:color w:val="auto"/>
          <w:sz w:val="24"/>
          <w:szCs w:val="24"/>
          <w:highlight w:val="none"/>
        </w:rPr>
      </w:pPr>
      <w:r>
        <w:rPr>
          <w:rStyle w:val="19"/>
          <w:rFonts w:hint="default" w:hAnsi="Times New Roman" w:cs="Times New Roman"/>
          <w:color w:val="auto"/>
          <w:sz w:val="24"/>
          <w:szCs w:val="24"/>
          <w:highlight w:val="none"/>
        </w:rPr>
        <w:t>计量采用国家法定的计量单位。</w:t>
      </w:r>
    </w:p>
    <w:p w14:paraId="1D23C425">
      <w:pPr>
        <w:pStyle w:val="31"/>
        <w:pageBreakBefore w:val="0"/>
        <w:widowControl w:val="0"/>
        <w:tabs>
          <w:tab w:val="left" w:pos="841"/>
        </w:tabs>
        <w:kinsoku/>
        <w:wordWrap/>
        <w:overflowPunct/>
        <w:topLinePunct w:val="0"/>
        <w:autoSpaceDE/>
        <w:autoSpaceDN/>
        <w:bidi w:val="0"/>
        <w:adjustRightInd/>
        <w:snapToGrid/>
        <w:spacing w:beforeLines="0" w:afterLines="0" w:line="440" w:lineRule="exact"/>
        <w:ind w:left="420" w:firstLine="0"/>
        <w:textAlignment w:val="auto"/>
        <w:rPr>
          <w:rStyle w:val="19"/>
          <w:rFonts w:hint="eastAsia" w:ascii="Times New Roman" w:hAnsi="Times New Roman" w:eastAsia="Times New Roman" w:cs="Times New Roman"/>
          <w:color w:val="auto"/>
          <w:sz w:val="24"/>
          <w:szCs w:val="24"/>
          <w:highlight w:val="none"/>
        </w:rPr>
      </w:pPr>
      <w:bookmarkStart w:id="968" w:name="bookmark1336"/>
      <w:bookmarkEnd w:id="968"/>
      <w:r>
        <w:rPr>
          <w:rStyle w:val="19"/>
          <w:rFonts w:hint="eastAsia" w:ascii="Times New Roman" w:hAnsi="Times New Roman" w:eastAsia="Times New Roman" w:cs="Times New Roman"/>
          <w:color w:val="auto"/>
          <w:sz w:val="24"/>
          <w:szCs w:val="24"/>
          <w:highlight w:val="none"/>
          <w:lang w:val="en-US" w:bidi="en-US"/>
        </w:rPr>
        <w:t xml:space="preserve">17.1. </w:t>
      </w:r>
      <w:r>
        <w:rPr>
          <w:rStyle w:val="19"/>
          <w:rFonts w:hint="eastAsia" w:ascii="Times New Roman" w:hAnsi="Times New Roman" w:eastAsia="Times New Roman" w:cs="Times New Roman"/>
          <w:color w:val="auto"/>
          <w:sz w:val="24"/>
          <w:szCs w:val="24"/>
          <w:highlight w:val="none"/>
        </w:rPr>
        <w:t>2</w:t>
      </w:r>
      <w:r>
        <w:rPr>
          <w:rStyle w:val="19"/>
          <w:rFonts w:hint="default" w:hAnsi="Times New Roman" w:cs="Times New Roman"/>
          <w:color w:val="auto"/>
          <w:sz w:val="24"/>
          <w:szCs w:val="24"/>
          <w:highlight w:val="none"/>
        </w:rPr>
        <w:t>计量方法</w:t>
      </w:r>
    </w:p>
    <w:p w14:paraId="55BFED8B">
      <w:pPr>
        <w:pStyle w:val="31"/>
        <w:pageBreakBefore w:val="0"/>
        <w:widowControl w:val="0"/>
        <w:kinsoku/>
        <w:wordWrap/>
        <w:overflowPunct/>
        <w:topLinePunct w:val="0"/>
        <w:autoSpaceDE/>
        <w:autoSpaceDN/>
        <w:bidi w:val="0"/>
        <w:adjustRightInd/>
        <w:snapToGrid/>
        <w:spacing w:beforeLines="0" w:after="120" w:afterLines="0" w:line="440" w:lineRule="exact"/>
        <w:ind w:firstLine="420"/>
        <w:textAlignment w:val="auto"/>
        <w:rPr>
          <w:rStyle w:val="19"/>
          <w:rFonts w:hint="eastAsia" w:ascii="Times New Roman" w:hAnsi="Times New Roman" w:eastAsia="Times New Roman" w:cs="Times New Roman"/>
          <w:color w:val="auto"/>
          <w:sz w:val="24"/>
          <w:szCs w:val="24"/>
          <w:highlight w:val="none"/>
        </w:rPr>
      </w:pPr>
      <w:r>
        <w:rPr>
          <w:rStyle w:val="19"/>
          <w:rFonts w:hint="default" w:hAnsi="Times New Roman" w:cs="Times New Roman"/>
          <w:color w:val="auto"/>
          <w:sz w:val="24"/>
          <w:szCs w:val="24"/>
          <w:highlight w:val="none"/>
        </w:rPr>
        <w:t>结算工程量应按工程量清单中约定的方法计算。</w:t>
      </w:r>
    </w:p>
    <w:p w14:paraId="00B8B1AF">
      <w:pPr>
        <w:pStyle w:val="32"/>
        <w:pageBreakBefore w:val="0"/>
        <w:widowControl w:val="0"/>
        <w:kinsoku/>
        <w:wordWrap/>
        <w:overflowPunct/>
        <w:topLinePunct w:val="0"/>
        <w:autoSpaceDE/>
        <w:autoSpaceDN/>
        <w:bidi w:val="0"/>
        <w:adjustRightInd/>
        <w:snapToGrid/>
        <w:spacing w:beforeLines="0" w:after="0" w:afterLines="0" w:line="440" w:lineRule="exact"/>
        <w:textAlignment w:val="auto"/>
        <w:rPr>
          <w:rStyle w:val="19"/>
          <w:rFonts w:hint="eastAsia"/>
          <w:color w:val="auto"/>
          <w:sz w:val="24"/>
          <w:szCs w:val="20"/>
          <w:highlight w:val="none"/>
          <w:lang w:eastAsia="zh-CN"/>
        </w:rPr>
      </w:pPr>
      <w:r>
        <w:rPr>
          <w:rStyle w:val="19"/>
          <w:rFonts w:hint="eastAsia"/>
          <w:color w:val="auto"/>
          <w:sz w:val="24"/>
          <w:szCs w:val="20"/>
          <w:highlight w:val="none"/>
          <w:lang w:eastAsia="zh-CN"/>
        </w:rPr>
        <w:t>17.1.</w:t>
      </w:r>
      <w:r>
        <w:rPr>
          <w:rStyle w:val="19"/>
          <w:rFonts w:hint="eastAsia"/>
          <w:color w:val="auto"/>
          <w:sz w:val="24"/>
          <w:szCs w:val="20"/>
          <w:highlight w:val="none"/>
          <w:lang w:val="zh-CN" w:eastAsia="zh-CN" w:bidi="zh-CN"/>
        </w:rPr>
        <w:t>3</w:t>
      </w:r>
      <w:r>
        <w:rPr>
          <w:rStyle w:val="19"/>
          <w:rFonts w:hint="default" w:ascii="宋体" w:eastAsia="宋体"/>
          <w:color w:val="auto"/>
          <w:sz w:val="24"/>
          <w:szCs w:val="20"/>
          <w:highlight w:val="none"/>
          <w:lang w:val="zh-CN" w:eastAsia="zh-CN" w:bidi="zh-CN"/>
        </w:rPr>
        <w:t>计量周期</w:t>
      </w:r>
    </w:p>
    <w:p w14:paraId="46E142C7">
      <w:pPr>
        <w:pStyle w:val="31"/>
        <w:pageBreakBefore w:val="0"/>
        <w:widowControl w:val="0"/>
        <w:kinsoku/>
        <w:wordWrap/>
        <w:overflowPunct/>
        <w:topLinePunct w:val="0"/>
        <w:autoSpaceDE/>
        <w:autoSpaceDN/>
        <w:bidi w:val="0"/>
        <w:adjustRightInd/>
        <w:snapToGrid/>
        <w:spacing w:beforeLines="0" w:after="120" w:afterLines="0" w:line="440" w:lineRule="exact"/>
        <w:ind w:firstLine="440"/>
        <w:jc w:val="both"/>
        <w:textAlignment w:val="auto"/>
        <w:rPr>
          <w:rStyle w:val="19"/>
          <w:rFonts w:hint="eastAsia" w:ascii="Times New Roman" w:hAnsi="Times New Roman" w:eastAsia="Times New Roman" w:cs="Times New Roman"/>
          <w:color w:val="auto"/>
          <w:sz w:val="24"/>
          <w:szCs w:val="24"/>
          <w:highlight w:val="none"/>
        </w:rPr>
      </w:pPr>
      <w:r>
        <w:rPr>
          <w:rStyle w:val="19"/>
          <w:rFonts w:hint="default" w:hAnsi="Times New Roman" w:cs="Times New Roman"/>
          <w:color w:val="auto"/>
          <w:sz w:val="24"/>
          <w:szCs w:val="24"/>
          <w:highlight w:val="none"/>
        </w:rPr>
        <w:t>除专用合同条款另有约定外，单价子目已完成工程量按月计量，总价子目的计量周期 按批准的支付分解报告确定。</w:t>
      </w:r>
    </w:p>
    <w:p w14:paraId="0739B3C1">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eastAsia" w:ascii="Times New Roman" w:hAnsi="Times New Roman" w:eastAsia="Times New Roman" w:cs="Times New Roman"/>
          <w:color w:val="auto"/>
          <w:sz w:val="24"/>
          <w:szCs w:val="24"/>
          <w:highlight w:val="none"/>
        </w:rPr>
      </w:pPr>
      <w:r>
        <w:rPr>
          <w:rStyle w:val="19"/>
          <w:rFonts w:hint="eastAsia" w:ascii="Times New Roman" w:hAnsi="Times New Roman" w:eastAsia="Times New Roman" w:cs="Times New Roman"/>
          <w:color w:val="auto"/>
          <w:sz w:val="24"/>
          <w:szCs w:val="24"/>
          <w:highlight w:val="none"/>
          <w:lang w:val="en-US" w:eastAsia="en-US" w:bidi="en-US"/>
        </w:rPr>
        <w:t>17.1.4</w:t>
      </w:r>
      <w:r>
        <w:rPr>
          <w:rStyle w:val="19"/>
          <w:rFonts w:hint="default" w:hAnsi="Times New Roman" w:cs="Times New Roman"/>
          <w:color w:val="auto"/>
          <w:sz w:val="24"/>
          <w:szCs w:val="24"/>
          <w:highlight w:val="none"/>
        </w:rPr>
        <w:t>单价子目的计量</w:t>
      </w:r>
    </w:p>
    <w:p w14:paraId="08FEA75B">
      <w:pPr>
        <w:pStyle w:val="31"/>
        <w:pageBreakBefore w:val="0"/>
        <w:widowControl w:val="0"/>
        <w:numPr>
          <w:ilvl w:val="0"/>
          <w:numId w:val="17"/>
        </w:numPr>
        <w:tabs>
          <w:tab w:val="left" w:pos="920"/>
        </w:tabs>
        <w:kinsoku/>
        <w:wordWrap/>
        <w:overflowPunct/>
        <w:topLinePunct w:val="0"/>
        <w:autoSpaceDE/>
        <w:autoSpaceDN/>
        <w:bidi w:val="0"/>
        <w:adjustRightInd/>
        <w:snapToGrid/>
        <w:spacing w:beforeLines="0" w:afterLines="0" w:line="440" w:lineRule="exact"/>
        <w:ind w:firstLine="440"/>
        <w:jc w:val="both"/>
        <w:textAlignment w:val="auto"/>
        <w:rPr>
          <w:rStyle w:val="19"/>
          <w:rFonts w:hint="eastAsia" w:ascii="Times New Roman" w:hAnsi="Times New Roman" w:eastAsia="Times New Roman" w:cs="Times New Roman"/>
          <w:color w:val="auto"/>
          <w:sz w:val="24"/>
          <w:szCs w:val="24"/>
          <w:highlight w:val="none"/>
        </w:rPr>
      </w:pPr>
      <w:bookmarkStart w:id="969" w:name="bookmark1337"/>
      <w:bookmarkEnd w:id="969"/>
      <w:r>
        <w:rPr>
          <w:rStyle w:val="19"/>
          <w:rFonts w:hint="default" w:hAnsi="Times New Roman" w:cs="Times New Roman"/>
          <w:color w:val="auto"/>
          <w:sz w:val="24"/>
          <w:szCs w:val="24"/>
          <w:highlight w:val="none"/>
        </w:rPr>
        <w:t>已标价工程量清单中的单价子目工程量为估算工程量。结算工程量是承包人实际完成的，并按合同约定的计量方法进行计量的工程量。</w:t>
      </w:r>
    </w:p>
    <w:p w14:paraId="52A68583">
      <w:pPr>
        <w:pStyle w:val="31"/>
        <w:pageBreakBefore w:val="0"/>
        <w:widowControl w:val="0"/>
        <w:numPr>
          <w:ilvl w:val="0"/>
          <w:numId w:val="17"/>
        </w:numPr>
        <w:tabs>
          <w:tab w:val="left" w:pos="920"/>
        </w:tabs>
        <w:kinsoku/>
        <w:wordWrap/>
        <w:overflowPunct/>
        <w:topLinePunct w:val="0"/>
        <w:autoSpaceDE/>
        <w:autoSpaceDN/>
        <w:bidi w:val="0"/>
        <w:adjustRightInd/>
        <w:snapToGrid/>
        <w:spacing w:beforeLines="0" w:afterLines="0" w:line="440" w:lineRule="exact"/>
        <w:ind w:firstLine="440"/>
        <w:jc w:val="both"/>
        <w:textAlignment w:val="auto"/>
        <w:rPr>
          <w:rStyle w:val="19"/>
          <w:rFonts w:hint="eastAsia" w:ascii="Times New Roman" w:hAnsi="Times New Roman" w:eastAsia="Times New Roman" w:cs="Times New Roman"/>
          <w:color w:val="auto"/>
          <w:sz w:val="24"/>
          <w:szCs w:val="24"/>
          <w:highlight w:val="none"/>
        </w:rPr>
      </w:pPr>
      <w:bookmarkStart w:id="970" w:name="bookmark1338"/>
      <w:bookmarkEnd w:id="970"/>
      <w:r>
        <w:rPr>
          <w:rStyle w:val="19"/>
          <w:rFonts w:hint="default" w:hAnsi="Times New Roman" w:cs="Times New Roman"/>
          <w:color w:val="auto"/>
          <w:sz w:val="24"/>
          <w:szCs w:val="24"/>
          <w:highlight w:val="none"/>
        </w:rPr>
        <w:t>承包人对已完成的工程进行计量，向监理人提交进度付款申请单、已完成工程量报表和有关计量资料。</w:t>
      </w:r>
    </w:p>
    <w:p w14:paraId="2351B15F">
      <w:pPr>
        <w:pStyle w:val="31"/>
        <w:pageBreakBefore w:val="0"/>
        <w:widowControl w:val="0"/>
        <w:numPr>
          <w:ilvl w:val="0"/>
          <w:numId w:val="17"/>
        </w:numPr>
        <w:tabs>
          <w:tab w:val="left" w:pos="483"/>
        </w:tabs>
        <w:kinsoku/>
        <w:wordWrap/>
        <w:overflowPunct/>
        <w:topLinePunct w:val="0"/>
        <w:autoSpaceDE/>
        <w:autoSpaceDN/>
        <w:bidi w:val="0"/>
        <w:adjustRightInd/>
        <w:snapToGrid/>
        <w:spacing w:beforeLines="0" w:afterLines="0" w:line="440" w:lineRule="exact"/>
        <w:ind w:firstLine="440"/>
        <w:jc w:val="both"/>
        <w:textAlignment w:val="auto"/>
        <w:rPr>
          <w:rStyle w:val="19"/>
          <w:rFonts w:hint="eastAsia" w:ascii="Times New Roman" w:hAnsi="Times New Roman" w:eastAsia="Times New Roman" w:cs="Times New Roman"/>
          <w:color w:val="auto"/>
          <w:sz w:val="24"/>
          <w:szCs w:val="24"/>
          <w:highlight w:val="none"/>
        </w:rPr>
      </w:pPr>
      <w:r>
        <w:rPr>
          <w:rStyle w:val="19"/>
          <w:rFonts w:hint="default" w:hAnsi="Times New Roman" w:cs="Times New Roman"/>
          <w:color w:val="auto"/>
          <w:sz w:val="24"/>
          <w:szCs w:val="24"/>
          <w:highlight w:val="none"/>
        </w:rPr>
        <w:t>监理人对承包人提交的工程量报表进行复核，以确定实际完成的工程量。对数量</w:t>
      </w:r>
      <w:bookmarkStart w:id="971" w:name="bookmark1339"/>
      <w:bookmarkEnd w:id="971"/>
      <w:r>
        <w:rPr>
          <w:rStyle w:val="19"/>
          <w:rFonts w:hint="default" w:hAnsi="Times New Roman" w:cs="Times New Roman"/>
          <w:color w:val="auto"/>
          <w:sz w:val="24"/>
          <w:szCs w:val="24"/>
          <w:highlight w:val="none"/>
        </w:rPr>
        <w:t>有异议的，可要求承包人按第</w:t>
      </w:r>
      <w:r>
        <w:rPr>
          <w:rStyle w:val="19"/>
          <w:rFonts w:hint="eastAsia" w:ascii="Times New Roman" w:hAnsi="Times New Roman" w:eastAsia="Times New Roman" w:cs="Times New Roman"/>
          <w:color w:val="auto"/>
          <w:sz w:val="24"/>
          <w:szCs w:val="24"/>
          <w:highlight w:val="none"/>
          <w:lang w:val="en-US" w:bidi="en-US"/>
        </w:rPr>
        <w:t xml:space="preserve">8. </w:t>
      </w:r>
      <w:r>
        <w:rPr>
          <w:rStyle w:val="19"/>
          <w:rFonts w:hint="eastAsia" w:ascii="Times New Roman" w:hAnsi="Times New Roman" w:eastAsia="Times New Roman" w:cs="Times New Roman"/>
          <w:color w:val="auto"/>
          <w:sz w:val="24"/>
          <w:szCs w:val="24"/>
          <w:highlight w:val="none"/>
        </w:rPr>
        <w:t>2</w:t>
      </w:r>
      <w:r>
        <w:rPr>
          <w:rStyle w:val="19"/>
          <w:rFonts w:hint="default" w:hAnsi="Times New Roman" w:cs="Times New Roman"/>
          <w:color w:val="auto"/>
          <w:sz w:val="24"/>
          <w:szCs w:val="24"/>
          <w:highlight w:val="none"/>
        </w:rPr>
        <w:t>款约定进行共同复核和抽样复测。承包人应协助监理人进行复核并按监理人要求提供补充计量资料。承包人未按监理人要求参加复核，监理人复核或修正的工程量视为承包人实际完成的工程量。</w:t>
      </w:r>
    </w:p>
    <w:p w14:paraId="7BDB5143">
      <w:pPr>
        <w:pStyle w:val="31"/>
        <w:pageBreakBefore w:val="0"/>
        <w:widowControl w:val="0"/>
        <w:numPr>
          <w:ilvl w:val="0"/>
          <w:numId w:val="17"/>
        </w:numPr>
        <w:tabs>
          <w:tab w:val="left" w:pos="899"/>
        </w:tabs>
        <w:kinsoku/>
        <w:wordWrap/>
        <w:overflowPunct/>
        <w:topLinePunct w:val="0"/>
        <w:autoSpaceDE/>
        <w:autoSpaceDN/>
        <w:bidi w:val="0"/>
        <w:adjustRightInd/>
        <w:snapToGrid/>
        <w:spacing w:beforeLines="0" w:afterLines="0" w:line="440" w:lineRule="exact"/>
        <w:ind w:firstLine="440"/>
        <w:jc w:val="both"/>
        <w:textAlignment w:val="auto"/>
        <w:rPr>
          <w:rStyle w:val="19"/>
          <w:rFonts w:hint="eastAsia" w:ascii="Times New Roman" w:hAnsi="Times New Roman" w:eastAsia="Times New Roman" w:cs="Times New Roman"/>
          <w:color w:val="auto"/>
          <w:sz w:val="24"/>
          <w:szCs w:val="24"/>
          <w:highlight w:val="none"/>
        </w:rPr>
      </w:pPr>
      <w:bookmarkStart w:id="972" w:name="bookmark1340"/>
      <w:bookmarkEnd w:id="972"/>
      <w:r>
        <w:rPr>
          <w:rStyle w:val="19"/>
          <w:rFonts w:hint="default" w:hAnsi="Times New Roman" w:cs="Times New Roman"/>
          <w:color w:val="auto"/>
          <w:sz w:val="24"/>
          <w:szCs w:val="24"/>
          <w:highlight w:val="none"/>
        </w:rPr>
        <w:t>监理人认为有必要时，可通知承包人共同进行联合测量、计量，承包人应遵照执行。</w:t>
      </w:r>
    </w:p>
    <w:p w14:paraId="71352207">
      <w:pPr>
        <w:pStyle w:val="31"/>
        <w:pageBreakBefore w:val="0"/>
        <w:widowControl w:val="0"/>
        <w:numPr>
          <w:ilvl w:val="0"/>
          <w:numId w:val="17"/>
        </w:numPr>
        <w:tabs>
          <w:tab w:val="left" w:pos="902"/>
        </w:tabs>
        <w:kinsoku/>
        <w:wordWrap/>
        <w:overflowPunct/>
        <w:topLinePunct w:val="0"/>
        <w:autoSpaceDE/>
        <w:autoSpaceDN/>
        <w:bidi w:val="0"/>
        <w:adjustRightInd/>
        <w:snapToGrid/>
        <w:spacing w:beforeLines="0" w:afterLines="0" w:line="440" w:lineRule="exact"/>
        <w:ind w:firstLine="440"/>
        <w:jc w:val="both"/>
        <w:textAlignment w:val="auto"/>
        <w:rPr>
          <w:rStyle w:val="19"/>
          <w:rFonts w:hint="eastAsia" w:ascii="Times New Roman" w:hAnsi="Times New Roman" w:eastAsia="Times New Roman" w:cs="Times New Roman"/>
          <w:color w:val="auto"/>
          <w:sz w:val="24"/>
          <w:szCs w:val="24"/>
          <w:highlight w:val="none"/>
        </w:rPr>
      </w:pPr>
      <w:bookmarkStart w:id="973" w:name="bookmark1341"/>
      <w:bookmarkEnd w:id="973"/>
      <w:r>
        <w:rPr>
          <w:rStyle w:val="19"/>
          <w:rFonts w:hint="default" w:hAnsi="Times New Roman" w:cs="Times New Roman"/>
          <w:color w:val="auto"/>
          <w:sz w:val="24"/>
          <w:szCs w:val="24"/>
          <w:highlight w:val="none"/>
        </w:rPr>
        <w:t>承包人完成工程量清单中每个子目的工程量后，监理人应要求承包人派员共同对每个子目的历次计量报表进行汇总，以核实最终结算工程量。监理人可要求承包人提供补充计量资料，以确定最后一次进度付款的准确工程量。承包人未按监理人要求派员参加的，监理人最终核实的工程量视为承包人完成该子目的准确工程量。</w:t>
      </w:r>
    </w:p>
    <w:p w14:paraId="26C9207E">
      <w:pPr>
        <w:pStyle w:val="31"/>
        <w:pageBreakBefore w:val="0"/>
        <w:widowControl w:val="0"/>
        <w:numPr>
          <w:ilvl w:val="0"/>
          <w:numId w:val="17"/>
        </w:numPr>
        <w:tabs>
          <w:tab w:val="left" w:pos="902"/>
        </w:tabs>
        <w:kinsoku/>
        <w:wordWrap/>
        <w:overflowPunct/>
        <w:topLinePunct w:val="0"/>
        <w:autoSpaceDE/>
        <w:autoSpaceDN/>
        <w:bidi w:val="0"/>
        <w:adjustRightInd/>
        <w:snapToGrid/>
        <w:spacing w:beforeLines="0" w:afterLines="0" w:line="440" w:lineRule="exact"/>
        <w:ind w:firstLine="440"/>
        <w:jc w:val="both"/>
        <w:textAlignment w:val="auto"/>
        <w:rPr>
          <w:rStyle w:val="19"/>
          <w:rFonts w:hint="eastAsia" w:ascii="Times New Roman" w:hAnsi="Times New Roman" w:eastAsia="Times New Roman" w:cs="Times New Roman"/>
          <w:color w:val="auto"/>
          <w:sz w:val="24"/>
          <w:szCs w:val="24"/>
          <w:highlight w:val="none"/>
        </w:rPr>
      </w:pPr>
      <w:bookmarkStart w:id="974" w:name="bookmark1342"/>
      <w:bookmarkEnd w:id="974"/>
      <w:r>
        <w:rPr>
          <w:rStyle w:val="19"/>
          <w:rFonts w:hint="default" w:hAnsi="Times New Roman" w:cs="Times New Roman"/>
          <w:color w:val="auto"/>
          <w:sz w:val="24"/>
          <w:szCs w:val="24"/>
          <w:highlight w:val="none"/>
        </w:rPr>
        <w:t>监理人应在收到承包人提交的工程量报表后的</w:t>
      </w:r>
      <w:r>
        <w:rPr>
          <w:rStyle w:val="19"/>
          <w:rFonts w:hint="eastAsia" w:ascii="Times New Roman" w:hAnsi="Times New Roman" w:eastAsia="Times New Roman" w:cs="Times New Roman"/>
          <w:color w:val="auto"/>
          <w:sz w:val="24"/>
          <w:szCs w:val="24"/>
          <w:highlight w:val="none"/>
        </w:rPr>
        <w:t>7</w:t>
      </w:r>
      <w:r>
        <w:rPr>
          <w:rStyle w:val="19"/>
          <w:rFonts w:hint="default" w:hAnsi="Times New Roman" w:cs="Times New Roman"/>
          <w:color w:val="auto"/>
          <w:sz w:val="24"/>
          <w:szCs w:val="24"/>
          <w:highlight w:val="none"/>
        </w:rPr>
        <w:t>天内进行复核，监理人未在约定时间内复核的，承包人提交的工程量报表中的工程量视为承包人实际完成的工程量，据此计算工程价款。</w:t>
      </w:r>
    </w:p>
    <w:p w14:paraId="6C641682">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eastAsia" w:ascii="Times New Roman" w:hAnsi="Times New Roman" w:eastAsia="Times New Roman" w:cs="Times New Roman"/>
          <w:color w:val="auto"/>
          <w:sz w:val="24"/>
          <w:szCs w:val="24"/>
          <w:highlight w:val="none"/>
        </w:rPr>
      </w:pPr>
      <w:r>
        <w:rPr>
          <w:rStyle w:val="19"/>
          <w:rFonts w:hint="eastAsia" w:ascii="Times New Roman" w:hAnsi="Times New Roman" w:eastAsia="Times New Roman" w:cs="Times New Roman"/>
          <w:color w:val="auto"/>
          <w:sz w:val="24"/>
          <w:szCs w:val="24"/>
          <w:highlight w:val="none"/>
          <w:lang w:val="en-US" w:bidi="en-US"/>
        </w:rPr>
        <w:t>17.1.5</w:t>
      </w:r>
      <w:r>
        <w:rPr>
          <w:rStyle w:val="19"/>
          <w:rFonts w:hint="default" w:hAnsi="Times New Roman" w:cs="Times New Roman"/>
          <w:color w:val="auto"/>
          <w:sz w:val="24"/>
          <w:szCs w:val="24"/>
          <w:highlight w:val="none"/>
        </w:rPr>
        <w:t>总价子目的计量</w:t>
      </w:r>
    </w:p>
    <w:p w14:paraId="1DD055C1">
      <w:pPr>
        <w:pStyle w:val="31"/>
        <w:pageBreakBefore w:val="0"/>
        <w:widowControl w:val="0"/>
        <w:kinsoku/>
        <w:wordWrap/>
        <w:overflowPunct/>
        <w:topLinePunct w:val="0"/>
        <w:autoSpaceDE/>
        <w:autoSpaceDN/>
        <w:bidi w:val="0"/>
        <w:adjustRightInd/>
        <w:snapToGrid/>
        <w:spacing w:beforeLines="0" w:afterLines="0" w:line="440" w:lineRule="exact"/>
        <w:ind w:firstLine="420"/>
        <w:textAlignment w:val="auto"/>
        <w:rPr>
          <w:rStyle w:val="19"/>
          <w:rFonts w:hint="eastAsia" w:ascii="Times New Roman" w:hAnsi="Times New Roman" w:eastAsia="Times New Roman" w:cs="Times New Roman"/>
          <w:color w:val="auto"/>
          <w:sz w:val="24"/>
          <w:szCs w:val="24"/>
          <w:highlight w:val="none"/>
        </w:rPr>
      </w:pPr>
      <w:r>
        <w:rPr>
          <w:rStyle w:val="19"/>
          <w:rFonts w:hint="default" w:hAnsi="Times New Roman" w:cs="Times New Roman"/>
          <w:color w:val="auto"/>
          <w:sz w:val="24"/>
          <w:szCs w:val="24"/>
          <w:highlight w:val="none"/>
        </w:rPr>
        <w:t>总价子目的分解和计量按照下述约定进行。</w:t>
      </w:r>
    </w:p>
    <w:p w14:paraId="0A510103">
      <w:pPr>
        <w:pStyle w:val="31"/>
        <w:pageBreakBefore w:val="0"/>
        <w:widowControl w:val="0"/>
        <w:numPr>
          <w:ilvl w:val="0"/>
          <w:numId w:val="18"/>
        </w:numPr>
        <w:tabs>
          <w:tab w:val="left" w:pos="899"/>
        </w:tabs>
        <w:kinsoku/>
        <w:wordWrap/>
        <w:overflowPunct/>
        <w:topLinePunct w:val="0"/>
        <w:autoSpaceDE/>
        <w:autoSpaceDN/>
        <w:bidi w:val="0"/>
        <w:adjustRightInd/>
        <w:snapToGrid/>
        <w:spacing w:beforeLines="0" w:afterLines="0" w:line="440" w:lineRule="exact"/>
        <w:ind w:firstLine="440"/>
        <w:jc w:val="both"/>
        <w:textAlignment w:val="auto"/>
        <w:rPr>
          <w:rStyle w:val="19"/>
          <w:rFonts w:hint="eastAsia" w:ascii="Times New Roman" w:hAnsi="Times New Roman" w:eastAsia="Times New Roman" w:cs="Times New Roman"/>
          <w:color w:val="auto"/>
          <w:sz w:val="24"/>
          <w:szCs w:val="24"/>
          <w:highlight w:val="none"/>
        </w:rPr>
      </w:pPr>
      <w:bookmarkStart w:id="975" w:name="bookmark1343"/>
      <w:bookmarkEnd w:id="975"/>
      <w:r>
        <w:rPr>
          <w:rStyle w:val="19"/>
          <w:rFonts w:hint="default" w:hAnsi="Times New Roman" w:cs="Times New Roman"/>
          <w:color w:val="auto"/>
          <w:sz w:val="24"/>
          <w:szCs w:val="24"/>
          <w:highlight w:val="none"/>
        </w:rPr>
        <w:t>总价子目的计量和支付应以总价为基础，不因第</w:t>
      </w:r>
      <w:r>
        <w:rPr>
          <w:rStyle w:val="19"/>
          <w:rFonts w:hint="eastAsia" w:ascii="Times New Roman" w:hAnsi="Times New Roman" w:eastAsia="Times New Roman" w:cs="Times New Roman"/>
          <w:color w:val="auto"/>
          <w:sz w:val="24"/>
          <w:szCs w:val="24"/>
          <w:highlight w:val="none"/>
          <w:lang w:val="en-US" w:bidi="en-US"/>
        </w:rPr>
        <w:t>16.1</w:t>
      </w:r>
      <w:r>
        <w:rPr>
          <w:rStyle w:val="19"/>
          <w:rFonts w:hint="default" w:hAnsi="Times New Roman" w:cs="Times New Roman"/>
          <w:color w:val="auto"/>
          <w:sz w:val="24"/>
          <w:szCs w:val="24"/>
          <w:highlight w:val="none"/>
        </w:rPr>
        <w:t>款中的因素而进行调整。承包人实际完成的工程量，是进行工程目标管理和控制进度支付的依据。</w:t>
      </w:r>
    </w:p>
    <w:p w14:paraId="2A72312F">
      <w:pPr>
        <w:pStyle w:val="31"/>
        <w:pageBreakBefore w:val="0"/>
        <w:widowControl w:val="0"/>
        <w:numPr>
          <w:ilvl w:val="0"/>
          <w:numId w:val="18"/>
        </w:numPr>
        <w:tabs>
          <w:tab w:val="left" w:pos="899"/>
        </w:tabs>
        <w:kinsoku/>
        <w:wordWrap/>
        <w:overflowPunct/>
        <w:topLinePunct w:val="0"/>
        <w:autoSpaceDE/>
        <w:autoSpaceDN/>
        <w:bidi w:val="0"/>
        <w:adjustRightInd/>
        <w:snapToGrid/>
        <w:spacing w:beforeLines="0" w:afterLines="0" w:line="440" w:lineRule="exact"/>
        <w:ind w:firstLine="440"/>
        <w:jc w:val="both"/>
        <w:textAlignment w:val="auto"/>
        <w:rPr>
          <w:rStyle w:val="19"/>
          <w:rFonts w:hint="eastAsia" w:ascii="Times New Roman" w:hAnsi="Times New Roman" w:eastAsia="Times New Roman" w:cs="Times New Roman"/>
          <w:color w:val="auto"/>
          <w:sz w:val="24"/>
          <w:szCs w:val="24"/>
          <w:highlight w:val="none"/>
        </w:rPr>
      </w:pPr>
      <w:bookmarkStart w:id="976" w:name="bookmark1344"/>
      <w:bookmarkEnd w:id="976"/>
      <w:r>
        <w:rPr>
          <w:rStyle w:val="19"/>
          <w:rFonts w:hint="default" w:hAnsi="Times New Roman" w:cs="Times New Roman"/>
          <w:color w:val="auto"/>
          <w:sz w:val="24"/>
          <w:szCs w:val="24"/>
          <w:highlight w:val="none"/>
        </w:rPr>
        <w:t>承包人应按工程量清单的要求对总价子目进行分解，并在签订协议书后的</w:t>
      </w:r>
      <w:r>
        <w:rPr>
          <w:rStyle w:val="19"/>
          <w:rFonts w:hint="eastAsia" w:ascii="Times New Roman" w:hAnsi="Times New Roman" w:eastAsia="Times New Roman" w:cs="Times New Roman"/>
          <w:color w:val="auto"/>
          <w:sz w:val="24"/>
          <w:szCs w:val="24"/>
          <w:highlight w:val="none"/>
        </w:rPr>
        <w:t>28</w:t>
      </w:r>
      <w:r>
        <w:rPr>
          <w:rStyle w:val="19"/>
          <w:rFonts w:hint="default" w:hAnsi="Times New Roman" w:cs="Times New Roman"/>
          <w:color w:val="auto"/>
          <w:sz w:val="24"/>
          <w:szCs w:val="24"/>
          <w:highlight w:val="none"/>
        </w:rPr>
        <w:t>天内将各子目的总价支付分解表提交监理人审批。分解表应标明其所属子目和分阶段需支付的金额。承包人应按批准的各总价子目支付周期，对已完成的总价子目进行计量，确定分项的应付金额列入进度付款申请单中。</w:t>
      </w:r>
    </w:p>
    <w:p w14:paraId="2A780280">
      <w:pPr>
        <w:pStyle w:val="31"/>
        <w:pageBreakBefore w:val="0"/>
        <w:widowControl w:val="0"/>
        <w:numPr>
          <w:ilvl w:val="0"/>
          <w:numId w:val="18"/>
        </w:numPr>
        <w:tabs>
          <w:tab w:val="left" w:pos="899"/>
        </w:tabs>
        <w:kinsoku/>
        <w:wordWrap/>
        <w:overflowPunct/>
        <w:topLinePunct w:val="0"/>
        <w:autoSpaceDE/>
        <w:autoSpaceDN/>
        <w:bidi w:val="0"/>
        <w:adjustRightInd/>
        <w:snapToGrid/>
        <w:spacing w:beforeLines="0" w:afterLines="0" w:line="440" w:lineRule="exact"/>
        <w:ind w:firstLine="440"/>
        <w:jc w:val="both"/>
        <w:textAlignment w:val="auto"/>
        <w:rPr>
          <w:rStyle w:val="19"/>
          <w:rFonts w:hint="eastAsia" w:ascii="Times New Roman" w:hAnsi="Times New Roman" w:eastAsia="Times New Roman" w:cs="Times New Roman"/>
          <w:color w:val="auto"/>
          <w:sz w:val="24"/>
          <w:szCs w:val="24"/>
          <w:highlight w:val="none"/>
        </w:rPr>
      </w:pPr>
      <w:bookmarkStart w:id="977" w:name="bookmark1345"/>
      <w:bookmarkEnd w:id="977"/>
      <w:r>
        <w:rPr>
          <w:rStyle w:val="19"/>
          <w:rFonts w:hint="default" w:hAnsi="Times New Roman" w:cs="Times New Roman"/>
          <w:color w:val="auto"/>
          <w:sz w:val="24"/>
          <w:szCs w:val="24"/>
          <w:highlight w:val="none"/>
        </w:rPr>
        <w:t>监理人对承包人提交的上述资料进行复核，以确定分阶段实际完成的工程量和工程形象目标。对其有异议的，可要求承包人按第</w:t>
      </w:r>
      <w:r>
        <w:rPr>
          <w:rStyle w:val="19"/>
          <w:rFonts w:hint="eastAsia" w:ascii="Times New Roman" w:hAnsi="Times New Roman" w:eastAsia="Times New Roman" w:cs="Times New Roman"/>
          <w:color w:val="auto"/>
          <w:sz w:val="24"/>
          <w:szCs w:val="24"/>
          <w:highlight w:val="none"/>
          <w:lang w:val="en-US" w:bidi="en-US"/>
        </w:rPr>
        <w:t xml:space="preserve">8. </w:t>
      </w:r>
      <w:r>
        <w:rPr>
          <w:rStyle w:val="19"/>
          <w:rFonts w:hint="eastAsia" w:ascii="Times New Roman" w:hAnsi="Times New Roman" w:eastAsia="Times New Roman" w:cs="Times New Roman"/>
          <w:color w:val="auto"/>
          <w:sz w:val="24"/>
          <w:szCs w:val="24"/>
          <w:highlight w:val="none"/>
        </w:rPr>
        <w:t>2</w:t>
      </w:r>
      <w:r>
        <w:rPr>
          <w:rStyle w:val="19"/>
          <w:rFonts w:hint="default" w:hAnsi="Times New Roman" w:cs="Times New Roman"/>
          <w:color w:val="auto"/>
          <w:sz w:val="24"/>
          <w:szCs w:val="24"/>
          <w:highlight w:val="none"/>
        </w:rPr>
        <w:t>款约定进行共同复核和抽样复测。</w:t>
      </w:r>
    </w:p>
    <w:p w14:paraId="2431503F">
      <w:pPr>
        <w:pStyle w:val="31"/>
        <w:pageBreakBefore w:val="0"/>
        <w:widowControl w:val="0"/>
        <w:numPr>
          <w:ilvl w:val="0"/>
          <w:numId w:val="18"/>
        </w:numPr>
        <w:tabs>
          <w:tab w:val="left" w:pos="899"/>
        </w:tabs>
        <w:kinsoku/>
        <w:wordWrap/>
        <w:overflowPunct/>
        <w:topLinePunct w:val="0"/>
        <w:autoSpaceDE/>
        <w:autoSpaceDN/>
        <w:bidi w:val="0"/>
        <w:adjustRightInd/>
        <w:snapToGrid/>
        <w:spacing w:beforeLines="0" w:after="140" w:afterLines="0" w:line="440" w:lineRule="exact"/>
        <w:ind w:firstLine="440"/>
        <w:jc w:val="both"/>
        <w:textAlignment w:val="auto"/>
        <w:rPr>
          <w:rStyle w:val="19"/>
          <w:rFonts w:hint="eastAsia" w:ascii="Times New Roman" w:hAnsi="Times New Roman" w:eastAsia="Times New Roman" w:cs="Times New Roman"/>
          <w:color w:val="auto"/>
          <w:sz w:val="24"/>
          <w:szCs w:val="24"/>
          <w:highlight w:val="none"/>
        </w:rPr>
      </w:pPr>
      <w:bookmarkStart w:id="978" w:name="bookmark1346"/>
      <w:bookmarkEnd w:id="978"/>
      <w:r>
        <w:rPr>
          <w:rStyle w:val="19"/>
          <w:rFonts w:hint="default" w:hAnsi="Times New Roman" w:cs="Times New Roman"/>
          <w:color w:val="auto"/>
          <w:sz w:val="24"/>
          <w:szCs w:val="24"/>
          <w:highlight w:val="none"/>
        </w:rPr>
        <w:t>除按照第</w:t>
      </w:r>
      <w:r>
        <w:rPr>
          <w:rStyle w:val="19"/>
          <w:rFonts w:hint="eastAsia" w:ascii="Times New Roman" w:hAnsi="Times New Roman" w:eastAsia="Times New Roman" w:cs="Times New Roman"/>
          <w:color w:val="auto"/>
          <w:sz w:val="24"/>
          <w:szCs w:val="24"/>
          <w:highlight w:val="none"/>
        </w:rPr>
        <w:t>15</w:t>
      </w:r>
      <w:r>
        <w:rPr>
          <w:rStyle w:val="19"/>
          <w:rFonts w:hint="default" w:hAnsi="Times New Roman" w:cs="Times New Roman"/>
          <w:color w:val="auto"/>
          <w:sz w:val="24"/>
          <w:szCs w:val="24"/>
          <w:highlight w:val="none"/>
        </w:rPr>
        <w:t>条约定的变更外，总价子目的工程量是承包人用于结算的最终工程量。</w:t>
      </w:r>
    </w:p>
    <w:p w14:paraId="33219384">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979" w:name="bookmark1347"/>
      <w:bookmarkStart w:id="980" w:name="_Toc1366"/>
      <w:bookmarkStart w:id="981" w:name="_Toc16419"/>
      <w:bookmarkStart w:id="982" w:name="bookmark1348"/>
      <w:bookmarkStart w:id="983" w:name="_Toc256000123"/>
      <w:bookmarkStart w:id="984" w:name="bookmark1349"/>
      <w:r>
        <w:rPr>
          <w:rStyle w:val="19"/>
          <w:rFonts w:hint="default" w:ascii="宋体" w:hAnsi="宋体" w:eastAsia="宋体"/>
          <w:color w:val="auto"/>
          <w:sz w:val="24"/>
          <w:szCs w:val="20"/>
          <w:highlight w:val="none"/>
          <w:lang w:eastAsia="zh-CN"/>
        </w:rPr>
        <w:t>17.2预付款</w:t>
      </w:r>
      <w:bookmarkEnd w:id="979"/>
      <w:bookmarkEnd w:id="980"/>
      <w:bookmarkEnd w:id="981"/>
      <w:bookmarkEnd w:id="982"/>
      <w:bookmarkEnd w:id="983"/>
      <w:bookmarkEnd w:id="984"/>
    </w:p>
    <w:p w14:paraId="07CA657D">
      <w:pPr>
        <w:pStyle w:val="32"/>
        <w:pageBreakBefore w:val="0"/>
        <w:widowControl w:val="0"/>
        <w:kinsoku/>
        <w:wordWrap/>
        <w:overflowPunct/>
        <w:topLinePunct w:val="0"/>
        <w:autoSpaceDE/>
        <w:autoSpaceDN/>
        <w:bidi w:val="0"/>
        <w:adjustRightInd/>
        <w:snapToGrid/>
        <w:spacing w:beforeLines="0" w:after="0" w:afterLines="0" w:line="440" w:lineRule="exact"/>
        <w:ind w:firstLine="440"/>
        <w:jc w:val="both"/>
        <w:textAlignment w:val="auto"/>
        <w:rPr>
          <w:rStyle w:val="19"/>
          <w:rFonts w:hint="eastAsia"/>
          <w:color w:val="auto"/>
          <w:sz w:val="24"/>
          <w:szCs w:val="20"/>
          <w:highlight w:val="none"/>
          <w:lang w:eastAsia="zh-CN"/>
        </w:rPr>
      </w:pPr>
      <w:r>
        <w:rPr>
          <w:rStyle w:val="19"/>
          <w:rFonts w:hint="eastAsia"/>
          <w:color w:val="auto"/>
          <w:sz w:val="24"/>
          <w:szCs w:val="20"/>
          <w:highlight w:val="none"/>
          <w:lang w:eastAsia="zh-CN"/>
        </w:rPr>
        <w:t>17.2.1</w:t>
      </w:r>
      <w:r>
        <w:rPr>
          <w:rStyle w:val="19"/>
          <w:rFonts w:hint="default" w:ascii="宋体" w:hAnsi="宋体" w:eastAsia="宋体" w:cs="宋体"/>
          <w:color w:val="auto"/>
          <w:sz w:val="24"/>
          <w:szCs w:val="24"/>
          <w:highlight w:val="none"/>
          <w:lang w:val="zh-CN" w:eastAsia="zh-CN" w:bidi="zh-CN"/>
        </w:rPr>
        <w:t>预付款</w:t>
      </w:r>
    </w:p>
    <w:p w14:paraId="67980445">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r>
        <w:rPr>
          <w:rStyle w:val="19"/>
          <w:rFonts w:hint="default"/>
          <w:color w:val="auto"/>
          <w:sz w:val="24"/>
          <w:szCs w:val="20"/>
          <w:highlight w:val="none"/>
        </w:rPr>
        <w:t>预付款用于承包人为合同工程施工购置材料、工程设备、施工设备、修建临时设施以及组织施工队伍进场等，分为工程预付款和工程材料预付款。预付款必须专用于合同工程。预付款的额度和预付办法在专用合同条款中约定。</w:t>
      </w:r>
    </w:p>
    <w:p w14:paraId="5B5E8C29">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eastAsia="en-US" w:bidi="en-US"/>
        </w:rPr>
        <w:t>17.2.2</w:t>
      </w:r>
      <w:r>
        <w:rPr>
          <w:rStyle w:val="19"/>
          <w:rFonts w:hint="default"/>
          <w:color w:val="auto"/>
          <w:sz w:val="24"/>
          <w:szCs w:val="20"/>
          <w:highlight w:val="none"/>
        </w:rPr>
        <w:t>预付款保函(担保)</w:t>
      </w:r>
    </w:p>
    <w:p w14:paraId="09F4B1AA">
      <w:pPr>
        <w:pStyle w:val="31"/>
        <w:pageBreakBefore w:val="0"/>
        <w:widowControl w:val="0"/>
        <w:numPr>
          <w:ilvl w:val="0"/>
          <w:numId w:val="19"/>
        </w:numPr>
        <w:tabs>
          <w:tab w:val="left" w:pos="899"/>
        </w:tabs>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bookmarkStart w:id="985" w:name="bookmark1350"/>
      <w:bookmarkEnd w:id="985"/>
      <w:r>
        <w:rPr>
          <w:rStyle w:val="19"/>
          <w:rFonts w:hint="default"/>
          <w:color w:val="auto"/>
          <w:sz w:val="24"/>
          <w:szCs w:val="20"/>
          <w:highlight w:val="none"/>
        </w:rPr>
        <w:t>承包人应在收到第一次工程预付款的同时向发包人提交工程预付款担保，担保金额应与第一次工程预付款金额相同，工程预付款担保在第一次工程预付款被发包人扣回前一直有效。</w:t>
      </w:r>
    </w:p>
    <w:p w14:paraId="4E6EEA4E">
      <w:pPr>
        <w:pStyle w:val="31"/>
        <w:pageBreakBefore w:val="0"/>
        <w:widowControl w:val="0"/>
        <w:numPr>
          <w:ilvl w:val="0"/>
          <w:numId w:val="19"/>
        </w:numPr>
        <w:tabs>
          <w:tab w:val="left" w:pos="903"/>
        </w:tabs>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bookmarkStart w:id="986" w:name="bookmark1351"/>
      <w:bookmarkEnd w:id="986"/>
      <w:r>
        <w:rPr>
          <w:rStyle w:val="19"/>
          <w:rFonts w:hint="default"/>
          <w:color w:val="auto"/>
          <w:sz w:val="24"/>
          <w:szCs w:val="20"/>
          <w:highlight w:val="none"/>
        </w:rPr>
        <w:t>工程材料预付款的担保在专用合同条款中约定。</w:t>
      </w:r>
    </w:p>
    <w:p w14:paraId="680F9970">
      <w:pPr>
        <w:pStyle w:val="31"/>
        <w:pageBreakBefore w:val="0"/>
        <w:widowControl w:val="0"/>
        <w:numPr>
          <w:ilvl w:val="0"/>
          <w:numId w:val="19"/>
        </w:numPr>
        <w:tabs>
          <w:tab w:val="left" w:pos="883"/>
        </w:tabs>
        <w:kinsoku/>
        <w:wordWrap/>
        <w:overflowPunct/>
        <w:topLinePunct w:val="0"/>
        <w:autoSpaceDE/>
        <w:autoSpaceDN/>
        <w:bidi w:val="0"/>
        <w:adjustRightInd/>
        <w:snapToGrid/>
        <w:spacing w:beforeLines="0" w:afterLines="0" w:line="440" w:lineRule="exact"/>
        <w:ind w:firstLine="420"/>
        <w:textAlignment w:val="auto"/>
        <w:rPr>
          <w:rStyle w:val="19"/>
          <w:rFonts w:hint="default"/>
          <w:color w:val="auto"/>
          <w:sz w:val="24"/>
          <w:szCs w:val="20"/>
          <w:highlight w:val="none"/>
        </w:rPr>
      </w:pPr>
      <w:bookmarkStart w:id="987" w:name="bookmark1352"/>
      <w:bookmarkEnd w:id="987"/>
      <w:r>
        <w:rPr>
          <w:rStyle w:val="19"/>
          <w:rFonts w:hint="default"/>
          <w:color w:val="auto"/>
          <w:sz w:val="24"/>
          <w:szCs w:val="20"/>
          <w:highlight w:val="none"/>
        </w:rPr>
        <w:t>预付款担保的担保金额可根据预付款扣回的金额相应递减。</w:t>
      </w:r>
    </w:p>
    <w:p w14:paraId="6017A2F4">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17.2.3</w:t>
      </w:r>
      <w:r>
        <w:rPr>
          <w:rStyle w:val="19"/>
          <w:rFonts w:hint="default"/>
          <w:color w:val="auto"/>
          <w:sz w:val="24"/>
          <w:szCs w:val="20"/>
          <w:highlight w:val="none"/>
        </w:rPr>
        <w:t>预付款的扣回与还清</w:t>
      </w:r>
    </w:p>
    <w:p w14:paraId="0983F790">
      <w:pPr>
        <w:pStyle w:val="31"/>
        <w:pageBreakBefore w:val="0"/>
        <w:widowControl w:val="0"/>
        <w:kinsoku/>
        <w:wordWrap/>
        <w:overflowPunct/>
        <w:topLinePunct w:val="0"/>
        <w:autoSpaceDE/>
        <w:autoSpaceDN/>
        <w:bidi w:val="0"/>
        <w:adjustRightInd/>
        <w:snapToGrid/>
        <w:spacing w:beforeLines="0" w:after="240" w:afterLines="0" w:line="440" w:lineRule="exact"/>
        <w:ind w:firstLine="440"/>
        <w:jc w:val="both"/>
        <w:textAlignment w:val="auto"/>
        <w:rPr>
          <w:rStyle w:val="19"/>
          <w:rFonts w:hint="default"/>
          <w:color w:val="auto"/>
          <w:sz w:val="24"/>
          <w:szCs w:val="20"/>
          <w:highlight w:val="none"/>
        </w:rPr>
      </w:pPr>
      <w:r>
        <w:rPr>
          <w:rStyle w:val="19"/>
          <w:rFonts w:hint="default"/>
          <w:color w:val="auto"/>
          <w:sz w:val="24"/>
          <w:szCs w:val="20"/>
          <w:highlight w:val="none"/>
        </w:rPr>
        <w:t>预付款在进度付款中扣回，扣回与还清办法在专用合同条款中约定。在颁发合同工程 完工证书前，由于不可抗力或其它原因解除合同时，预付款尚未扣清的，尚未扣清的预付款余额应作为承包人的到期应付款。</w:t>
      </w:r>
    </w:p>
    <w:p w14:paraId="465FA9C2">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988" w:name="bookmark1355"/>
      <w:bookmarkStart w:id="989" w:name="_Toc256000124"/>
      <w:bookmarkStart w:id="990" w:name="_Toc2053"/>
      <w:bookmarkStart w:id="991" w:name="bookmark1354"/>
      <w:bookmarkStart w:id="992" w:name="_Toc13772"/>
      <w:bookmarkStart w:id="993" w:name="bookmark1353"/>
      <w:r>
        <w:rPr>
          <w:rStyle w:val="19"/>
          <w:rFonts w:hint="default" w:ascii="宋体" w:hAnsi="宋体" w:eastAsia="宋体"/>
          <w:color w:val="auto"/>
          <w:sz w:val="24"/>
          <w:szCs w:val="20"/>
          <w:highlight w:val="none"/>
          <w:lang w:eastAsia="zh-CN"/>
        </w:rPr>
        <w:t>17.3工程进度付款</w:t>
      </w:r>
      <w:bookmarkEnd w:id="988"/>
      <w:bookmarkEnd w:id="989"/>
      <w:bookmarkEnd w:id="990"/>
      <w:bookmarkEnd w:id="991"/>
      <w:bookmarkEnd w:id="992"/>
      <w:bookmarkEnd w:id="993"/>
    </w:p>
    <w:p w14:paraId="344D346E">
      <w:pPr>
        <w:pStyle w:val="32"/>
        <w:pageBreakBefore w:val="0"/>
        <w:widowControl w:val="0"/>
        <w:kinsoku/>
        <w:wordWrap/>
        <w:overflowPunct/>
        <w:topLinePunct w:val="0"/>
        <w:autoSpaceDE/>
        <w:autoSpaceDN/>
        <w:bidi w:val="0"/>
        <w:adjustRightInd/>
        <w:snapToGrid/>
        <w:spacing w:beforeLines="0" w:after="0" w:afterLines="0" w:line="440" w:lineRule="exact"/>
        <w:textAlignment w:val="auto"/>
        <w:rPr>
          <w:rStyle w:val="19"/>
          <w:rFonts w:hint="eastAsia"/>
          <w:color w:val="auto"/>
          <w:sz w:val="24"/>
          <w:szCs w:val="20"/>
          <w:highlight w:val="none"/>
          <w:lang w:eastAsia="zh-CN"/>
        </w:rPr>
      </w:pPr>
      <w:r>
        <w:rPr>
          <w:rStyle w:val="19"/>
          <w:rFonts w:hint="eastAsia"/>
          <w:color w:val="auto"/>
          <w:sz w:val="24"/>
          <w:szCs w:val="20"/>
          <w:highlight w:val="none"/>
          <w:lang w:eastAsia="zh-CN"/>
        </w:rPr>
        <w:t>17.3.1</w:t>
      </w:r>
      <w:r>
        <w:rPr>
          <w:rStyle w:val="19"/>
          <w:rFonts w:hint="default" w:ascii="宋体" w:hAnsi="宋体" w:eastAsia="宋体" w:cs="宋体"/>
          <w:color w:val="auto"/>
          <w:sz w:val="24"/>
          <w:szCs w:val="24"/>
          <w:highlight w:val="none"/>
          <w:lang w:val="zh-CN" w:eastAsia="zh-CN" w:bidi="zh-CN"/>
        </w:rPr>
        <w:t>付款周期</w:t>
      </w:r>
    </w:p>
    <w:p w14:paraId="5A00A0B4">
      <w:pPr>
        <w:pStyle w:val="31"/>
        <w:pageBreakBefore w:val="0"/>
        <w:widowControl w:val="0"/>
        <w:kinsoku/>
        <w:wordWrap/>
        <w:overflowPunct/>
        <w:topLinePunct w:val="0"/>
        <w:autoSpaceDE/>
        <w:autoSpaceDN/>
        <w:bidi w:val="0"/>
        <w:adjustRightInd/>
        <w:snapToGrid/>
        <w:spacing w:beforeLines="0" w:afterLines="0" w:line="440" w:lineRule="exact"/>
        <w:ind w:firstLine="420"/>
        <w:textAlignment w:val="auto"/>
        <w:rPr>
          <w:rStyle w:val="19"/>
          <w:rFonts w:hint="default"/>
          <w:color w:val="auto"/>
          <w:sz w:val="24"/>
          <w:szCs w:val="20"/>
          <w:highlight w:val="none"/>
        </w:rPr>
      </w:pPr>
      <w:r>
        <w:rPr>
          <w:rStyle w:val="19"/>
          <w:rFonts w:hint="default"/>
          <w:color w:val="auto"/>
          <w:sz w:val="24"/>
          <w:szCs w:val="20"/>
          <w:highlight w:val="none"/>
        </w:rPr>
        <w:t>付款周期同计量周期。</w:t>
      </w:r>
    </w:p>
    <w:p w14:paraId="2E04B1E0">
      <w:pPr>
        <w:pStyle w:val="31"/>
        <w:pageBreakBefore w:val="0"/>
        <w:widowControl w:val="0"/>
        <w:kinsoku/>
        <w:wordWrap/>
        <w:overflowPunct/>
        <w:topLinePunct w:val="0"/>
        <w:autoSpaceDE/>
        <w:autoSpaceDN/>
        <w:bidi w:val="0"/>
        <w:adjustRightInd/>
        <w:snapToGrid/>
        <w:spacing w:beforeLines="0" w:afterLines="0" w:line="440" w:lineRule="exact"/>
        <w:ind w:firstLine="420"/>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17.3.2</w:t>
      </w:r>
      <w:r>
        <w:rPr>
          <w:rStyle w:val="19"/>
          <w:rFonts w:hint="default"/>
          <w:color w:val="auto"/>
          <w:sz w:val="24"/>
          <w:szCs w:val="20"/>
          <w:highlight w:val="none"/>
        </w:rPr>
        <w:t>进度付款申请单</w:t>
      </w:r>
    </w:p>
    <w:p w14:paraId="7298DF05">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r>
        <w:rPr>
          <w:rStyle w:val="19"/>
          <w:rFonts w:hint="default"/>
          <w:color w:val="auto"/>
          <w:sz w:val="24"/>
          <w:szCs w:val="20"/>
          <w:highlight w:val="none"/>
        </w:rPr>
        <w:t>承包人应在每个付款周期末，按监理人批准的格式和专用合同条款约定的份数，向监理人提交进度付款申请单，并附相应的支持性证明文件。除专用合同条款另有约定外，进度付款申请单应包括下列内容：</w:t>
      </w:r>
    </w:p>
    <w:p w14:paraId="0C1DE2A2">
      <w:pPr>
        <w:pStyle w:val="31"/>
        <w:pageBreakBefore w:val="0"/>
        <w:widowControl w:val="0"/>
        <w:numPr>
          <w:ilvl w:val="0"/>
          <w:numId w:val="20"/>
        </w:numPr>
        <w:tabs>
          <w:tab w:val="left" w:pos="903"/>
        </w:tabs>
        <w:kinsoku/>
        <w:wordWrap/>
        <w:overflowPunct/>
        <w:topLinePunct w:val="0"/>
        <w:autoSpaceDE/>
        <w:autoSpaceDN/>
        <w:bidi w:val="0"/>
        <w:adjustRightInd/>
        <w:snapToGrid/>
        <w:spacing w:beforeLines="0" w:afterLines="0" w:line="440" w:lineRule="exact"/>
        <w:ind w:firstLine="420"/>
        <w:textAlignment w:val="auto"/>
        <w:rPr>
          <w:rStyle w:val="19"/>
          <w:rFonts w:hint="default"/>
          <w:color w:val="auto"/>
          <w:sz w:val="24"/>
          <w:szCs w:val="20"/>
          <w:highlight w:val="none"/>
        </w:rPr>
      </w:pPr>
      <w:bookmarkStart w:id="994" w:name="bookmark1356"/>
      <w:bookmarkEnd w:id="994"/>
      <w:r>
        <w:rPr>
          <w:rStyle w:val="19"/>
          <w:rFonts w:hint="default"/>
          <w:color w:val="auto"/>
          <w:sz w:val="24"/>
          <w:szCs w:val="20"/>
          <w:highlight w:val="none"/>
        </w:rPr>
        <w:t>截至本次付款周期末已实施工程的价款；</w:t>
      </w:r>
    </w:p>
    <w:p w14:paraId="6A61F29E">
      <w:pPr>
        <w:pStyle w:val="31"/>
        <w:pageBreakBefore w:val="0"/>
        <w:widowControl w:val="0"/>
        <w:numPr>
          <w:ilvl w:val="0"/>
          <w:numId w:val="20"/>
        </w:numPr>
        <w:tabs>
          <w:tab w:val="left" w:pos="903"/>
        </w:tabs>
        <w:kinsoku/>
        <w:wordWrap/>
        <w:overflowPunct/>
        <w:topLinePunct w:val="0"/>
        <w:autoSpaceDE/>
        <w:autoSpaceDN/>
        <w:bidi w:val="0"/>
        <w:adjustRightInd/>
        <w:snapToGrid/>
        <w:spacing w:beforeLines="0" w:afterLines="0" w:line="440" w:lineRule="exact"/>
        <w:ind w:firstLine="420"/>
        <w:textAlignment w:val="auto"/>
        <w:rPr>
          <w:rStyle w:val="19"/>
          <w:rFonts w:hint="default"/>
          <w:color w:val="auto"/>
          <w:sz w:val="24"/>
          <w:szCs w:val="20"/>
          <w:highlight w:val="none"/>
        </w:rPr>
      </w:pPr>
      <w:bookmarkStart w:id="995" w:name="bookmark1357"/>
      <w:bookmarkEnd w:id="995"/>
      <w:r>
        <w:rPr>
          <w:rStyle w:val="19"/>
          <w:rFonts w:hint="default"/>
          <w:color w:val="auto"/>
          <w:sz w:val="24"/>
          <w:szCs w:val="20"/>
          <w:highlight w:val="none"/>
        </w:rPr>
        <w:t>根据第</w:t>
      </w:r>
      <w:r>
        <w:rPr>
          <w:rStyle w:val="19"/>
          <w:rFonts w:hint="eastAsia" w:ascii="Times New Roman" w:hAnsi="Times New Roman" w:eastAsia="Times New Roman" w:cs="Times New Roman"/>
          <w:color w:val="auto"/>
          <w:sz w:val="24"/>
          <w:szCs w:val="24"/>
          <w:highlight w:val="none"/>
        </w:rPr>
        <w:t>15</w:t>
      </w:r>
      <w:r>
        <w:rPr>
          <w:rStyle w:val="19"/>
          <w:rFonts w:hint="default"/>
          <w:color w:val="auto"/>
          <w:sz w:val="24"/>
          <w:szCs w:val="20"/>
          <w:highlight w:val="none"/>
        </w:rPr>
        <w:t>条应增加和扣减的变更金额；</w:t>
      </w:r>
    </w:p>
    <w:p w14:paraId="0B8405F4">
      <w:pPr>
        <w:pStyle w:val="31"/>
        <w:pageBreakBefore w:val="0"/>
        <w:widowControl w:val="0"/>
        <w:numPr>
          <w:ilvl w:val="0"/>
          <w:numId w:val="20"/>
        </w:numPr>
        <w:tabs>
          <w:tab w:val="left" w:pos="903"/>
        </w:tabs>
        <w:kinsoku/>
        <w:wordWrap/>
        <w:overflowPunct/>
        <w:topLinePunct w:val="0"/>
        <w:autoSpaceDE/>
        <w:autoSpaceDN/>
        <w:bidi w:val="0"/>
        <w:adjustRightInd/>
        <w:snapToGrid/>
        <w:spacing w:beforeLines="0" w:afterLines="0" w:line="440" w:lineRule="exact"/>
        <w:ind w:firstLine="420"/>
        <w:textAlignment w:val="auto"/>
        <w:rPr>
          <w:rStyle w:val="19"/>
          <w:rFonts w:hint="default"/>
          <w:color w:val="auto"/>
          <w:sz w:val="24"/>
          <w:szCs w:val="20"/>
          <w:highlight w:val="none"/>
        </w:rPr>
      </w:pPr>
      <w:bookmarkStart w:id="996" w:name="bookmark1358"/>
      <w:bookmarkEnd w:id="996"/>
      <w:r>
        <w:rPr>
          <w:rStyle w:val="19"/>
          <w:rFonts w:hint="default"/>
          <w:color w:val="auto"/>
          <w:sz w:val="24"/>
          <w:szCs w:val="20"/>
          <w:highlight w:val="none"/>
        </w:rPr>
        <w:t>根据第</w:t>
      </w:r>
      <w:r>
        <w:rPr>
          <w:rStyle w:val="19"/>
          <w:rFonts w:hint="eastAsia" w:ascii="Times New Roman" w:hAnsi="Times New Roman" w:eastAsia="Times New Roman" w:cs="Times New Roman"/>
          <w:color w:val="auto"/>
          <w:sz w:val="24"/>
          <w:szCs w:val="24"/>
          <w:highlight w:val="none"/>
        </w:rPr>
        <w:t>23</w:t>
      </w:r>
      <w:r>
        <w:rPr>
          <w:rStyle w:val="19"/>
          <w:rFonts w:hint="default"/>
          <w:color w:val="auto"/>
          <w:sz w:val="24"/>
          <w:szCs w:val="20"/>
          <w:highlight w:val="none"/>
        </w:rPr>
        <w:t>条应增加和扣减的索赔金额；</w:t>
      </w:r>
    </w:p>
    <w:p w14:paraId="5C8DCDCA">
      <w:pPr>
        <w:pStyle w:val="31"/>
        <w:pageBreakBefore w:val="0"/>
        <w:widowControl w:val="0"/>
        <w:numPr>
          <w:ilvl w:val="0"/>
          <w:numId w:val="20"/>
        </w:numPr>
        <w:tabs>
          <w:tab w:val="left" w:pos="903"/>
        </w:tabs>
        <w:kinsoku/>
        <w:wordWrap/>
        <w:overflowPunct/>
        <w:topLinePunct w:val="0"/>
        <w:autoSpaceDE/>
        <w:autoSpaceDN/>
        <w:bidi w:val="0"/>
        <w:adjustRightInd/>
        <w:snapToGrid/>
        <w:spacing w:beforeLines="0" w:afterLines="0" w:line="440" w:lineRule="exact"/>
        <w:ind w:firstLine="420"/>
        <w:textAlignment w:val="auto"/>
        <w:rPr>
          <w:rStyle w:val="19"/>
          <w:rFonts w:hint="default"/>
          <w:color w:val="auto"/>
          <w:sz w:val="24"/>
          <w:szCs w:val="20"/>
          <w:highlight w:val="none"/>
        </w:rPr>
      </w:pPr>
      <w:bookmarkStart w:id="997" w:name="bookmark1359"/>
      <w:bookmarkEnd w:id="997"/>
      <w:r>
        <w:rPr>
          <w:rStyle w:val="19"/>
          <w:rFonts w:hint="default"/>
          <w:color w:val="auto"/>
          <w:sz w:val="24"/>
          <w:szCs w:val="20"/>
          <w:highlight w:val="none"/>
        </w:rPr>
        <w:t>根据第</w:t>
      </w:r>
      <w:r>
        <w:rPr>
          <w:rStyle w:val="19"/>
          <w:rFonts w:hint="eastAsia" w:ascii="Times New Roman" w:hAnsi="Times New Roman" w:eastAsia="Times New Roman" w:cs="Times New Roman"/>
          <w:color w:val="auto"/>
          <w:sz w:val="24"/>
          <w:szCs w:val="24"/>
          <w:highlight w:val="none"/>
          <w:lang w:val="en-US" w:bidi="en-US"/>
        </w:rPr>
        <w:t xml:space="preserve">17. </w:t>
      </w:r>
      <w:r>
        <w:rPr>
          <w:rStyle w:val="19"/>
          <w:rFonts w:hint="eastAsia" w:ascii="Times New Roman" w:hAnsi="Times New Roman" w:eastAsia="Times New Roman" w:cs="Times New Roman"/>
          <w:color w:val="auto"/>
          <w:sz w:val="24"/>
          <w:szCs w:val="24"/>
          <w:highlight w:val="none"/>
        </w:rPr>
        <w:t>2</w:t>
      </w:r>
      <w:r>
        <w:rPr>
          <w:rStyle w:val="19"/>
          <w:rFonts w:hint="default"/>
          <w:color w:val="auto"/>
          <w:sz w:val="24"/>
          <w:szCs w:val="20"/>
          <w:highlight w:val="none"/>
        </w:rPr>
        <w:t>款约定应支付的预付款和扣减的返还预付款；</w:t>
      </w:r>
    </w:p>
    <w:p w14:paraId="002FFC26">
      <w:pPr>
        <w:pStyle w:val="31"/>
        <w:pageBreakBefore w:val="0"/>
        <w:widowControl w:val="0"/>
        <w:numPr>
          <w:ilvl w:val="0"/>
          <w:numId w:val="20"/>
        </w:numPr>
        <w:tabs>
          <w:tab w:val="left" w:pos="903"/>
        </w:tabs>
        <w:kinsoku/>
        <w:wordWrap/>
        <w:overflowPunct/>
        <w:topLinePunct w:val="0"/>
        <w:autoSpaceDE/>
        <w:autoSpaceDN/>
        <w:bidi w:val="0"/>
        <w:adjustRightInd/>
        <w:snapToGrid/>
        <w:spacing w:beforeLines="0" w:afterLines="0" w:line="440" w:lineRule="exact"/>
        <w:ind w:firstLine="420"/>
        <w:textAlignment w:val="auto"/>
        <w:rPr>
          <w:rStyle w:val="19"/>
          <w:rFonts w:hint="default"/>
          <w:color w:val="auto"/>
          <w:sz w:val="24"/>
          <w:szCs w:val="20"/>
          <w:highlight w:val="none"/>
        </w:rPr>
      </w:pPr>
      <w:bookmarkStart w:id="998" w:name="bookmark1360"/>
      <w:bookmarkEnd w:id="998"/>
      <w:r>
        <w:rPr>
          <w:rStyle w:val="19"/>
          <w:rFonts w:hint="default"/>
          <w:color w:val="auto"/>
          <w:sz w:val="24"/>
          <w:szCs w:val="20"/>
          <w:highlight w:val="none"/>
        </w:rPr>
        <w:t>根据第</w:t>
      </w:r>
      <w:r>
        <w:rPr>
          <w:rStyle w:val="19"/>
          <w:rFonts w:hint="eastAsia" w:ascii="Times New Roman" w:hAnsi="Times New Roman" w:eastAsia="Times New Roman" w:cs="Times New Roman"/>
          <w:color w:val="auto"/>
          <w:sz w:val="24"/>
          <w:szCs w:val="24"/>
          <w:highlight w:val="none"/>
          <w:lang w:val="en-US" w:bidi="en-US"/>
        </w:rPr>
        <w:t xml:space="preserve">17.4. </w:t>
      </w:r>
      <w:r>
        <w:rPr>
          <w:rStyle w:val="19"/>
          <w:rFonts w:hint="eastAsia" w:ascii="Times New Roman" w:hAnsi="Times New Roman" w:eastAsia="Times New Roman" w:cs="Times New Roman"/>
          <w:color w:val="auto"/>
          <w:sz w:val="24"/>
          <w:szCs w:val="24"/>
          <w:highlight w:val="none"/>
        </w:rPr>
        <w:t>1</w:t>
      </w:r>
      <w:r>
        <w:rPr>
          <w:rStyle w:val="19"/>
          <w:rFonts w:hint="default"/>
          <w:color w:val="auto"/>
          <w:sz w:val="24"/>
          <w:szCs w:val="20"/>
          <w:highlight w:val="none"/>
        </w:rPr>
        <w:t>项约定应扣减的质量保证金；</w:t>
      </w:r>
    </w:p>
    <w:p w14:paraId="65F9720F">
      <w:pPr>
        <w:pStyle w:val="31"/>
        <w:pageBreakBefore w:val="0"/>
        <w:widowControl w:val="0"/>
        <w:numPr>
          <w:ilvl w:val="0"/>
          <w:numId w:val="20"/>
        </w:numPr>
        <w:tabs>
          <w:tab w:val="left" w:pos="903"/>
        </w:tabs>
        <w:kinsoku/>
        <w:wordWrap/>
        <w:overflowPunct/>
        <w:topLinePunct w:val="0"/>
        <w:autoSpaceDE/>
        <w:autoSpaceDN/>
        <w:bidi w:val="0"/>
        <w:adjustRightInd/>
        <w:snapToGrid/>
        <w:spacing w:beforeLines="0" w:afterLines="0" w:line="440" w:lineRule="exact"/>
        <w:ind w:firstLine="420"/>
        <w:textAlignment w:val="auto"/>
        <w:rPr>
          <w:rStyle w:val="19"/>
          <w:rFonts w:hint="default"/>
          <w:color w:val="auto"/>
          <w:sz w:val="24"/>
          <w:szCs w:val="20"/>
          <w:highlight w:val="none"/>
        </w:rPr>
      </w:pPr>
      <w:bookmarkStart w:id="999" w:name="bookmark1361"/>
      <w:bookmarkEnd w:id="999"/>
      <w:r>
        <w:rPr>
          <w:rStyle w:val="19"/>
          <w:rFonts w:hint="default"/>
          <w:color w:val="auto"/>
          <w:sz w:val="24"/>
          <w:szCs w:val="20"/>
          <w:highlight w:val="none"/>
        </w:rPr>
        <w:t>根据合同应增加和扣减的其他金额。</w:t>
      </w:r>
    </w:p>
    <w:p w14:paraId="632591A4">
      <w:pPr>
        <w:pStyle w:val="31"/>
        <w:pageBreakBefore w:val="0"/>
        <w:widowControl w:val="0"/>
        <w:kinsoku/>
        <w:wordWrap/>
        <w:overflowPunct/>
        <w:topLinePunct w:val="0"/>
        <w:autoSpaceDE/>
        <w:autoSpaceDN/>
        <w:bidi w:val="0"/>
        <w:adjustRightInd/>
        <w:snapToGrid/>
        <w:spacing w:beforeLines="0" w:afterLines="0" w:line="440" w:lineRule="exact"/>
        <w:ind w:firstLine="420"/>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17.3.3</w:t>
      </w:r>
      <w:r>
        <w:rPr>
          <w:rStyle w:val="19"/>
          <w:rFonts w:hint="default"/>
          <w:color w:val="auto"/>
          <w:sz w:val="24"/>
          <w:szCs w:val="20"/>
          <w:highlight w:val="none"/>
        </w:rPr>
        <w:t>进度付款证书和支付时间</w:t>
      </w:r>
    </w:p>
    <w:p w14:paraId="21FA7DA3">
      <w:pPr>
        <w:pStyle w:val="31"/>
        <w:pageBreakBefore w:val="0"/>
        <w:widowControl w:val="0"/>
        <w:numPr>
          <w:ilvl w:val="0"/>
          <w:numId w:val="21"/>
        </w:numPr>
        <w:tabs>
          <w:tab w:val="left" w:pos="920"/>
        </w:tabs>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bookmarkStart w:id="1000" w:name="bookmark1362"/>
      <w:bookmarkEnd w:id="1000"/>
      <w:r>
        <w:rPr>
          <w:rStyle w:val="19"/>
          <w:rFonts w:hint="default"/>
          <w:color w:val="auto"/>
          <w:sz w:val="24"/>
          <w:szCs w:val="20"/>
          <w:highlight w:val="none"/>
        </w:rPr>
        <w:t>监理人在收到承包人进度付款申请单以及相应的支持性证明文件后的</w:t>
      </w:r>
      <w:r>
        <w:rPr>
          <w:rStyle w:val="19"/>
          <w:rFonts w:hint="eastAsia" w:ascii="Times New Roman" w:hAnsi="Times New Roman" w:eastAsia="Times New Roman" w:cs="Times New Roman"/>
          <w:color w:val="auto"/>
          <w:sz w:val="24"/>
          <w:szCs w:val="24"/>
          <w:highlight w:val="none"/>
        </w:rPr>
        <w:t>14</w:t>
      </w:r>
      <w:r>
        <w:rPr>
          <w:rStyle w:val="19"/>
          <w:rFonts w:hint="default"/>
          <w:color w:val="auto"/>
          <w:sz w:val="24"/>
          <w:szCs w:val="20"/>
          <w:highlight w:val="none"/>
        </w:rPr>
        <w:t>天内完成核查，提出发包人到期应支付给承包人的金额以及相应的支持性材料，经发包人审查同意后，由监理人向承包人出具经发包人签认的进度付款证书。监理人有权扣发承包人未能按照合同要求履行任何工作或义务的相应金额。</w:t>
      </w:r>
    </w:p>
    <w:p w14:paraId="59830F18">
      <w:pPr>
        <w:pStyle w:val="31"/>
        <w:pageBreakBefore w:val="0"/>
        <w:widowControl w:val="0"/>
        <w:numPr>
          <w:ilvl w:val="0"/>
          <w:numId w:val="21"/>
        </w:numPr>
        <w:tabs>
          <w:tab w:val="left" w:pos="922"/>
        </w:tabs>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bookmarkStart w:id="1001" w:name="bookmark1363"/>
      <w:bookmarkEnd w:id="1001"/>
      <w:r>
        <w:rPr>
          <w:rStyle w:val="19"/>
          <w:rFonts w:hint="default"/>
          <w:color w:val="auto"/>
          <w:sz w:val="24"/>
          <w:szCs w:val="20"/>
          <w:highlight w:val="none"/>
        </w:rPr>
        <w:t>发包人应在监理人收到进度付款申请单后的</w:t>
      </w:r>
      <w:r>
        <w:rPr>
          <w:rStyle w:val="19"/>
          <w:rFonts w:hint="eastAsia" w:ascii="Times New Roman" w:hAnsi="Times New Roman" w:eastAsia="Times New Roman" w:cs="Times New Roman"/>
          <w:color w:val="auto"/>
          <w:sz w:val="24"/>
          <w:szCs w:val="24"/>
          <w:highlight w:val="none"/>
        </w:rPr>
        <w:t>28</w:t>
      </w:r>
      <w:r>
        <w:rPr>
          <w:rStyle w:val="19"/>
          <w:rFonts w:hint="default"/>
          <w:color w:val="auto"/>
          <w:sz w:val="24"/>
          <w:szCs w:val="20"/>
          <w:highlight w:val="none"/>
        </w:rPr>
        <w:t>天内，将进度应付款支付给承包人。发包人不按期支付的，按专用合同条款的约定支付逾期付款违约金。</w:t>
      </w:r>
    </w:p>
    <w:p w14:paraId="5118EEDD">
      <w:pPr>
        <w:pStyle w:val="31"/>
        <w:pageBreakBefore w:val="0"/>
        <w:widowControl w:val="0"/>
        <w:numPr>
          <w:ilvl w:val="0"/>
          <w:numId w:val="21"/>
        </w:numPr>
        <w:tabs>
          <w:tab w:val="left" w:pos="922"/>
        </w:tabs>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bookmarkStart w:id="1002" w:name="bookmark1364"/>
      <w:bookmarkEnd w:id="1002"/>
      <w:r>
        <w:rPr>
          <w:rStyle w:val="19"/>
          <w:rFonts w:hint="default"/>
          <w:color w:val="auto"/>
          <w:sz w:val="24"/>
          <w:szCs w:val="20"/>
          <w:highlight w:val="none"/>
        </w:rPr>
        <w:t>监理人出具进度付款证书，不应视为监理人已同意、批准或接受了承包人完成的该部分工作。</w:t>
      </w:r>
    </w:p>
    <w:p w14:paraId="6B1CA372">
      <w:pPr>
        <w:pStyle w:val="31"/>
        <w:pageBreakBefore w:val="0"/>
        <w:widowControl w:val="0"/>
        <w:numPr>
          <w:ilvl w:val="0"/>
          <w:numId w:val="21"/>
        </w:numPr>
        <w:tabs>
          <w:tab w:val="left" w:pos="918"/>
        </w:tabs>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bookmarkStart w:id="1003" w:name="bookmark1365"/>
      <w:bookmarkEnd w:id="1003"/>
      <w:r>
        <w:rPr>
          <w:rStyle w:val="19"/>
          <w:rFonts w:hint="default"/>
          <w:color w:val="auto"/>
          <w:sz w:val="24"/>
          <w:szCs w:val="20"/>
          <w:highlight w:val="none"/>
        </w:rPr>
        <w:t>进度付款涉及政府投资资金的，按照国库集中支付等国家相关规定和专用合同条款的约定办理。</w:t>
      </w:r>
    </w:p>
    <w:p w14:paraId="1F4D6ADC">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17.3.4</w:t>
      </w:r>
      <w:r>
        <w:rPr>
          <w:rStyle w:val="19"/>
          <w:rFonts w:hint="default"/>
          <w:color w:val="auto"/>
          <w:sz w:val="24"/>
          <w:szCs w:val="20"/>
          <w:highlight w:val="none"/>
        </w:rPr>
        <w:t>工程进度付款的修正</w:t>
      </w:r>
    </w:p>
    <w:p w14:paraId="065E2CD4">
      <w:pPr>
        <w:pStyle w:val="31"/>
        <w:pageBreakBefore w:val="0"/>
        <w:widowControl w:val="0"/>
        <w:kinsoku/>
        <w:wordWrap/>
        <w:overflowPunct/>
        <w:topLinePunct w:val="0"/>
        <w:autoSpaceDE/>
        <w:autoSpaceDN/>
        <w:bidi w:val="0"/>
        <w:adjustRightInd/>
        <w:snapToGrid/>
        <w:spacing w:beforeLines="0" w:after="120" w:afterLines="0" w:line="440" w:lineRule="exact"/>
        <w:ind w:firstLine="440"/>
        <w:jc w:val="both"/>
        <w:textAlignment w:val="auto"/>
        <w:rPr>
          <w:rStyle w:val="19"/>
          <w:rFonts w:hint="default"/>
          <w:color w:val="auto"/>
          <w:sz w:val="24"/>
          <w:szCs w:val="20"/>
          <w:highlight w:val="none"/>
        </w:rPr>
      </w:pPr>
      <w:r>
        <w:rPr>
          <w:rStyle w:val="19"/>
          <w:rFonts w:hint="default"/>
          <w:color w:val="auto"/>
          <w:sz w:val="24"/>
          <w:szCs w:val="20"/>
          <w:highlight w:val="none"/>
        </w:rPr>
        <w:t>在对以往历次已签发的进度付款证书进行汇总和复核中发现错、漏或重复的，监理人有权予以修正，承包人也有权提出修正申请。经双方复核同意的修正，应在本次进度付款中支付或扣除。</w:t>
      </w:r>
    </w:p>
    <w:p w14:paraId="0074A8E1">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1004" w:name="bookmark1367"/>
      <w:bookmarkStart w:id="1005" w:name="bookmark1366"/>
      <w:bookmarkStart w:id="1006" w:name="_Toc27343"/>
      <w:bookmarkStart w:id="1007" w:name="_Toc24179"/>
      <w:bookmarkStart w:id="1008" w:name="_Toc256000125"/>
      <w:bookmarkStart w:id="1009" w:name="bookmark1368"/>
      <w:r>
        <w:rPr>
          <w:rStyle w:val="19"/>
          <w:rFonts w:hint="default" w:ascii="宋体" w:hAnsi="宋体" w:eastAsia="宋体"/>
          <w:color w:val="auto"/>
          <w:sz w:val="24"/>
          <w:szCs w:val="20"/>
          <w:highlight w:val="none"/>
          <w:lang w:eastAsia="zh-CN"/>
        </w:rPr>
        <w:t>17.4质量保证金</w:t>
      </w:r>
      <w:bookmarkEnd w:id="1004"/>
      <w:bookmarkEnd w:id="1005"/>
      <w:bookmarkEnd w:id="1006"/>
      <w:bookmarkEnd w:id="1007"/>
      <w:bookmarkEnd w:id="1008"/>
      <w:bookmarkEnd w:id="1009"/>
    </w:p>
    <w:p w14:paraId="59C9148A">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17.4.1</w:t>
      </w:r>
      <w:r>
        <w:rPr>
          <w:rStyle w:val="19"/>
          <w:rFonts w:hint="default"/>
          <w:color w:val="auto"/>
          <w:sz w:val="24"/>
          <w:szCs w:val="20"/>
          <w:highlight w:val="none"/>
        </w:rPr>
        <w:t>监理人应从第一个工程进度付款周期开始，在发包人的进度付款中，按专用合同条款约定扣留质量保证金，直至扣留的工程质量保证金总额达到专用合同条款约定的金额或比例为止。质量保证金的计算额度不包括预付款的支付与扣回金额。</w:t>
      </w:r>
    </w:p>
    <w:p w14:paraId="6DDC4006">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17.4.2</w:t>
      </w:r>
      <w:r>
        <w:rPr>
          <w:rStyle w:val="19"/>
          <w:rFonts w:hint="default"/>
          <w:color w:val="auto"/>
          <w:sz w:val="24"/>
          <w:szCs w:val="20"/>
          <w:highlight w:val="none"/>
        </w:rPr>
        <w:t>竣工验收鉴定书签署后</w:t>
      </w:r>
      <w:r>
        <w:rPr>
          <w:rStyle w:val="19"/>
          <w:rFonts w:hint="eastAsia" w:ascii="Times New Roman" w:hAnsi="Times New Roman" w:eastAsia="Times New Roman" w:cs="Times New Roman"/>
          <w:color w:val="auto"/>
          <w:sz w:val="24"/>
          <w:szCs w:val="24"/>
          <w:highlight w:val="none"/>
        </w:rPr>
        <w:t>14</w:t>
      </w:r>
      <w:r>
        <w:rPr>
          <w:rStyle w:val="19"/>
          <w:rFonts w:hint="default"/>
          <w:color w:val="auto"/>
          <w:sz w:val="24"/>
          <w:szCs w:val="20"/>
          <w:highlight w:val="none"/>
        </w:rPr>
        <w:t>天内，发包人将质量保证金总额的一半支付给承包人。在第</w:t>
      </w:r>
      <w:r>
        <w:rPr>
          <w:rStyle w:val="19"/>
          <w:rFonts w:hint="eastAsia" w:ascii="Times New Roman" w:hAnsi="Times New Roman" w:eastAsia="Times New Roman" w:cs="Times New Roman"/>
          <w:color w:val="auto"/>
          <w:sz w:val="24"/>
          <w:szCs w:val="24"/>
          <w:highlight w:val="none"/>
          <w:lang w:val="en-US" w:bidi="en-US"/>
        </w:rPr>
        <w:t xml:space="preserve">1.1. 4. </w:t>
      </w:r>
      <w:r>
        <w:rPr>
          <w:rStyle w:val="19"/>
          <w:rFonts w:hint="eastAsia" w:ascii="Times New Roman" w:hAnsi="Times New Roman" w:eastAsia="Times New Roman" w:cs="Times New Roman"/>
          <w:color w:val="auto"/>
          <w:sz w:val="24"/>
          <w:szCs w:val="24"/>
          <w:highlight w:val="none"/>
        </w:rPr>
        <w:t>5</w:t>
      </w:r>
      <w:r>
        <w:rPr>
          <w:rStyle w:val="19"/>
          <w:rFonts w:hint="default"/>
          <w:color w:val="auto"/>
          <w:sz w:val="24"/>
          <w:szCs w:val="20"/>
          <w:highlight w:val="none"/>
        </w:rPr>
        <w:t>目约定的缺陷责任期满时，发包人将在</w:t>
      </w:r>
      <w:r>
        <w:rPr>
          <w:rStyle w:val="19"/>
          <w:rFonts w:hint="eastAsia" w:ascii="Times New Roman" w:hAnsi="Times New Roman" w:eastAsia="Times New Roman" w:cs="Times New Roman"/>
          <w:color w:val="auto"/>
          <w:sz w:val="24"/>
          <w:szCs w:val="24"/>
          <w:highlight w:val="none"/>
        </w:rPr>
        <w:t>30</w:t>
      </w:r>
      <w:r>
        <w:rPr>
          <w:rStyle w:val="19"/>
          <w:rFonts w:hint="default"/>
          <w:color w:val="auto"/>
          <w:sz w:val="24"/>
          <w:szCs w:val="20"/>
          <w:highlight w:val="none"/>
        </w:rPr>
        <w:t>个工作日内会同承包人按照合同约定的内容核实承包人是否完成保修责任。如无异议，发包人应当在核实后将剩余的质量保证金支付给承包人。</w:t>
      </w:r>
    </w:p>
    <w:p w14:paraId="0FE144A5">
      <w:pPr>
        <w:pStyle w:val="31"/>
        <w:pageBreakBefore w:val="0"/>
        <w:widowControl w:val="0"/>
        <w:kinsoku/>
        <w:wordWrap/>
        <w:overflowPunct/>
        <w:topLinePunct w:val="0"/>
        <w:autoSpaceDE/>
        <w:autoSpaceDN/>
        <w:bidi w:val="0"/>
        <w:adjustRightInd/>
        <w:snapToGrid/>
        <w:spacing w:beforeLines="0" w:after="120" w:afterLines="0" w:line="440" w:lineRule="exact"/>
        <w:ind w:firstLine="44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17.4.3</w:t>
      </w:r>
      <w:r>
        <w:rPr>
          <w:rStyle w:val="19"/>
          <w:rFonts w:hint="default"/>
          <w:color w:val="auto"/>
          <w:sz w:val="24"/>
          <w:szCs w:val="20"/>
          <w:highlight w:val="none"/>
        </w:rPr>
        <w:t>在第</w:t>
      </w:r>
      <w:r>
        <w:rPr>
          <w:rStyle w:val="19"/>
          <w:rFonts w:hint="eastAsia" w:ascii="Times New Roman" w:hAnsi="Times New Roman" w:eastAsia="Times New Roman" w:cs="Times New Roman"/>
          <w:color w:val="auto"/>
          <w:sz w:val="24"/>
          <w:szCs w:val="24"/>
          <w:highlight w:val="none"/>
          <w:lang w:val="en-US" w:bidi="en-US"/>
        </w:rPr>
        <w:t>1.1.4.</w:t>
      </w:r>
      <w:r>
        <w:rPr>
          <w:rStyle w:val="19"/>
          <w:rFonts w:hint="eastAsia" w:ascii="Times New Roman" w:hAnsi="Times New Roman" w:eastAsia="Times New Roman" w:cs="Times New Roman"/>
          <w:color w:val="auto"/>
          <w:sz w:val="24"/>
          <w:szCs w:val="24"/>
          <w:highlight w:val="none"/>
        </w:rPr>
        <w:t>5</w:t>
      </w:r>
      <w:r>
        <w:rPr>
          <w:rStyle w:val="19"/>
          <w:rFonts w:hint="default"/>
          <w:color w:val="auto"/>
          <w:sz w:val="24"/>
          <w:szCs w:val="20"/>
          <w:highlight w:val="none"/>
        </w:rPr>
        <w:t>目约定的缺陷责任期满时，承包人没有完成缺陷责任的，发包人有权扣留与未履行责任剩余工作所需金额相应的质量保证金余额，并有权根据第</w:t>
      </w:r>
      <w:r>
        <w:rPr>
          <w:rStyle w:val="19"/>
          <w:rFonts w:hint="eastAsia" w:ascii="Times New Roman" w:hAnsi="Times New Roman" w:eastAsia="Times New Roman" w:cs="Times New Roman"/>
          <w:color w:val="auto"/>
          <w:sz w:val="24"/>
          <w:szCs w:val="24"/>
          <w:highlight w:val="none"/>
          <w:lang w:val="en-US" w:bidi="en-US"/>
        </w:rPr>
        <w:t xml:space="preserve">19. </w:t>
      </w:r>
      <w:r>
        <w:rPr>
          <w:rStyle w:val="19"/>
          <w:rFonts w:hint="eastAsia" w:ascii="Times New Roman" w:hAnsi="Times New Roman" w:eastAsia="Times New Roman" w:cs="Times New Roman"/>
          <w:color w:val="auto"/>
          <w:sz w:val="24"/>
          <w:szCs w:val="24"/>
          <w:highlight w:val="none"/>
        </w:rPr>
        <w:t>3</w:t>
      </w:r>
      <w:r>
        <w:rPr>
          <w:rStyle w:val="19"/>
          <w:rFonts w:hint="default"/>
          <w:color w:val="auto"/>
          <w:sz w:val="24"/>
          <w:szCs w:val="20"/>
          <w:highlight w:val="none"/>
        </w:rPr>
        <w:t>款约定要求延长缺陷责任期，直至完成剩余工作为止。</w:t>
      </w:r>
    </w:p>
    <w:p w14:paraId="1C3B63AF">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1010" w:name="_Toc27561"/>
      <w:bookmarkStart w:id="1011" w:name="_Toc23362"/>
      <w:bookmarkStart w:id="1012" w:name="bookmark1369"/>
      <w:bookmarkStart w:id="1013" w:name="bookmark1370"/>
      <w:bookmarkStart w:id="1014" w:name="bookmark1371"/>
      <w:bookmarkStart w:id="1015" w:name="_Toc256000126"/>
      <w:r>
        <w:rPr>
          <w:rStyle w:val="19"/>
          <w:rFonts w:hint="default" w:ascii="宋体" w:hAnsi="宋体" w:eastAsia="宋体"/>
          <w:color w:val="auto"/>
          <w:sz w:val="24"/>
          <w:szCs w:val="20"/>
          <w:highlight w:val="none"/>
          <w:lang w:eastAsia="zh-CN"/>
        </w:rPr>
        <w:t>17.5竣工结算(完工结算)</w:t>
      </w:r>
      <w:bookmarkEnd w:id="1010"/>
      <w:bookmarkEnd w:id="1011"/>
      <w:bookmarkEnd w:id="1012"/>
      <w:bookmarkEnd w:id="1013"/>
      <w:bookmarkEnd w:id="1014"/>
      <w:bookmarkEnd w:id="1015"/>
    </w:p>
    <w:p w14:paraId="27D5291E">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17.5.1</w:t>
      </w:r>
      <w:r>
        <w:rPr>
          <w:rStyle w:val="19"/>
          <w:rFonts w:hint="default"/>
          <w:color w:val="auto"/>
          <w:sz w:val="24"/>
          <w:szCs w:val="20"/>
          <w:highlight w:val="none"/>
        </w:rPr>
        <w:t>竣工(完工)付款申请单</w:t>
      </w:r>
    </w:p>
    <w:p w14:paraId="168E6755">
      <w:pPr>
        <w:pStyle w:val="31"/>
        <w:pageBreakBefore w:val="0"/>
        <w:widowControl w:val="0"/>
        <w:numPr>
          <w:ilvl w:val="0"/>
          <w:numId w:val="22"/>
        </w:numPr>
        <w:tabs>
          <w:tab w:val="left" w:pos="918"/>
        </w:tabs>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bookmarkStart w:id="1016" w:name="bookmark1372"/>
      <w:bookmarkEnd w:id="1016"/>
      <w:r>
        <w:rPr>
          <w:rStyle w:val="19"/>
          <w:rFonts w:hint="default"/>
          <w:color w:val="auto"/>
          <w:sz w:val="24"/>
          <w:szCs w:val="20"/>
          <w:highlight w:val="none"/>
        </w:rPr>
        <w:t>承包人应在合同工程完工证书颁发后</w:t>
      </w:r>
      <w:r>
        <w:rPr>
          <w:rStyle w:val="19"/>
          <w:rFonts w:hint="eastAsia" w:ascii="Times New Roman" w:hAnsi="Times New Roman" w:eastAsia="Times New Roman" w:cs="Times New Roman"/>
          <w:color w:val="auto"/>
          <w:sz w:val="24"/>
          <w:szCs w:val="24"/>
          <w:highlight w:val="none"/>
        </w:rPr>
        <w:t>28</w:t>
      </w:r>
      <w:r>
        <w:rPr>
          <w:rStyle w:val="19"/>
          <w:rFonts w:hint="default"/>
          <w:color w:val="auto"/>
          <w:sz w:val="24"/>
          <w:szCs w:val="20"/>
          <w:highlight w:val="none"/>
        </w:rPr>
        <w:t>天内，按专用合同条款约定的份数向监理人提交完工付款申请单，并提供相关证明材料。完工付款申请单应包括下列内容：完工结算合同总价、发包人已支付承包人的工程价款、应扣留的质量保证金、应支付的完工付款金额。</w:t>
      </w:r>
    </w:p>
    <w:p w14:paraId="5682F552">
      <w:pPr>
        <w:pStyle w:val="31"/>
        <w:pageBreakBefore w:val="0"/>
        <w:widowControl w:val="0"/>
        <w:numPr>
          <w:ilvl w:val="0"/>
          <w:numId w:val="22"/>
        </w:numPr>
        <w:tabs>
          <w:tab w:val="left" w:pos="916"/>
        </w:tabs>
        <w:kinsoku/>
        <w:wordWrap/>
        <w:overflowPunct/>
        <w:topLinePunct w:val="0"/>
        <w:autoSpaceDE/>
        <w:autoSpaceDN/>
        <w:bidi w:val="0"/>
        <w:adjustRightInd/>
        <w:snapToGrid/>
        <w:spacing w:beforeLines="0" w:after="120" w:afterLines="0" w:line="440" w:lineRule="exact"/>
        <w:ind w:firstLine="440"/>
        <w:jc w:val="both"/>
        <w:textAlignment w:val="auto"/>
        <w:rPr>
          <w:rStyle w:val="19"/>
          <w:rFonts w:hint="default"/>
          <w:color w:val="auto"/>
          <w:sz w:val="24"/>
          <w:szCs w:val="20"/>
          <w:highlight w:val="none"/>
        </w:rPr>
      </w:pPr>
      <w:bookmarkStart w:id="1017" w:name="bookmark1373"/>
      <w:bookmarkEnd w:id="1017"/>
      <w:r>
        <w:rPr>
          <w:rStyle w:val="19"/>
          <w:rFonts w:hint="default"/>
          <w:color w:val="auto"/>
          <w:sz w:val="24"/>
          <w:szCs w:val="20"/>
          <w:highlight w:val="none"/>
        </w:rPr>
        <w:t>监理人对完工付款申请单有异议的，有权要求承包人进行修正和提供补充资料。经监理人和承包人协商后，由承包人向监理人提交修正后的完工付款申请单。</w:t>
      </w:r>
    </w:p>
    <w:p w14:paraId="6FE30C99">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17.5.2</w:t>
      </w:r>
      <w:r>
        <w:rPr>
          <w:rStyle w:val="19"/>
          <w:rFonts w:hint="default"/>
          <w:color w:val="auto"/>
          <w:sz w:val="24"/>
          <w:szCs w:val="20"/>
          <w:highlight w:val="none"/>
        </w:rPr>
        <w:t>竣工(完工)付款证书及支付时间</w:t>
      </w:r>
    </w:p>
    <w:p w14:paraId="53814396">
      <w:pPr>
        <w:pStyle w:val="31"/>
        <w:pageBreakBefore w:val="0"/>
        <w:widowControl w:val="0"/>
        <w:numPr>
          <w:ilvl w:val="0"/>
          <w:numId w:val="23"/>
        </w:numPr>
        <w:tabs>
          <w:tab w:val="left" w:pos="918"/>
        </w:tabs>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bookmarkStart w:id="1018" w:name="bookmark1374"/>
      <w:bookmarkEnd w:id="1018"/>
      <w:r>
        <w:rPr>
          <w:rStyle w:val="19"/>
          <w:rFonts w:hint="default"/>
          <w:color w:val="auto"/>
          <w:sz w:val="24"/>
          <w:szCs w:val="20"/>
          <w:highlight w:val="none"/>
        </w:rPr>
        <w:t>监理人在收到承包人提交的完工付款申请单后的</w:t>
      </w:r>
      <w:r>
        <w:rPr>
          <w:rStyle w:val="19"/>
          <w:rFonts w:hint="eastAsia" w:ascii="Times New Roman" w:hAnsi="Times New Roman" w:eastAsia="Times New Roman" w:cs="Times New Roman"/>
          <w:color w:val="auto"/>
          <w:sz w:val="24"/>
          <w:szCs w:val="24"/>
          <w:highlight w:val="none"/>
        </w:rPr>
        <w:t>14</w:t>
      </w:r>
      <w:r>
        <w:rPr>
          <w:rStyle w:val="19"/>
          <w:rFonts w:hint="default"/>
          <w:color w:val="auto"/>
          <w:sz w:val="24"/>
          <w:szCs w:val="20"/>
          <w:highlight w:val="none"/>
        </w:rPr>
        <w:t>天内完成核查，提出发包人到期应支付给承包人的价款送发包人审核并抄送承包人。发包人应在收到后</w:t>
      </w:r>
      <w:r>
        <w:rPr>
          <w:rStyle w:val="19"/>
          <w:rFonts w:hint="eastAsia" w:ascii="Times New Roman" w:hAnsi="Times New Roman" w:eastAsia="Times New Roman" w:cs="Times New Roman"/>
          <w:color w:val="auto"/>
          <w:sz w:val="24"/>
          <w:szCs w:val="24"/>
          <w:highlight w:val="none"/>
        </w:rPr>
        <w:t>14</w:t>
      </w:r>
      <w:r>
        <w:rPr>
          <w:rStyle w:val="19"/>
          <w:rFonts w:hint="default"/>
          <w:color w:val="auto"/>
          <w:sz w:val="24"/>
          <w:szCs w:val="20"/>
          <w:highlight w:val="none"/>
        </w:rPr>
        <w:t>天内审核完毕，由监理人向承包人出具经发包人签认的完工付款证书。监理人未在约定时间内核查, 又未提出具体意见的，视为承包人提交的完工付款申请单已经监理人核查同意。发包人未 在约定时间内审核又未提出具体意见的，监理人提出发包人到期应支付给承包人的价款视 为已经发包人同意。</w:t>
      </w:r>
    </w:p>
    <w:p w14:paraId="6F1B2DCA">
      <w:pPr>
        <w:pStyle w:val="31"/>
        <w:pageBreakBefore w:val="0"/>
        <w:widowControl w:val="0"/>
        <w:numPr>
          <w:ilvl w:val="0"/>
          <w:numId w:val="23"/>
        </w:numPr>
        <w:tabs>
          <w:tab w:val="left" w:pos="918"/>
        </w:tabs>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bookmarkStart w:id="1019" w:name="bookmark1375"/>
      <w:bookmarkEnd w:id="1019"/>
      <w:r>
        <w:rPr>
          <w:rStyle w:val="19"/>
          <w:rFonts w:hint="default"/>
          <w:color w:val="auto"/>
          <w:sz w:val="24"/>
          <w:szCs w:val="20"/>
          <w:highlight w:val="none"/>
        </w:rPr>
        <w:t>发包人应在监理人出具完工付款证书后的</w:t>
      </w:r>
      <w:r>
        <w:rPr>
          <w:rStyle w:val="19"/>
          <w:rFonts w:hint="eastAsia" w:ascii="Times New Roman" w:hAnsi="Times New Roman" w:eastAsia="Times New Roman" w:cs="Times New Roman"/>
          <w:color w:val="auto"/>
          <w:sz w:val="24"/>
          <w:szCs w:val="24"/>
          <w:highlight w:val="none"/>
        </w:rPr>
        <w:t>14</w:t>
      </w:r>
      <w:r>
        <w:rPr>
          <w:rStyle w:val="19"/>
          <w:rFonts w:hint="default"/>
          <w:color w:val="auto"/>
          <w:sz w:val="24"/>
          <w:szCs w:val="20"/>
          <w:highlight w:val="none"/>
        </w:rPr>
        <w:t>天内，将应支付款支付给承包人。发包人不按期支付的，按第</w:t>
      </w:r>
      <w:r>
        <w:rPr>
          <w:rStyle w:val="19"/>
          <w:rFonts w:hint="eastAsia" w:ascii="Times New Roman" w:hAnsi="Times New Roman" w:eastAsia="Times New Roman" w:cs="Times New Roman"/>
          <w:color w:val="auto"/>
          <w:sz w:val="24"/>
          <w:szCs w:val="24"/>
          <w:highlight w:val="none"/>
          <w:lang w:val="en-US" w:bidi="en-US"/>
        </w:rPr>
        <w:t xml:space="preserve">17.3.3 </w:t>
      </w:r>
      <w:r>
        <w:rPr>
          <w:rStyle w:val="19"/>
          <w:rFonts w:hint="eastAsia" w:ascii="Times New Roman" w:hAnsi="Times New Roman" w:eastAsia="Times New Roman" w:cs="Times New Roman"/>
          <w:color w:val="auto"/>
          <w:sz w:val="24"/>
          <w:szCs w:val="24"/>
          <w:highlight w:val="none"/>
        </w:rPr>
        <w:t>(2)</w:t>
      </w:r>
      <w:r>
        <w:rPr>
          <w:rStyle w:val="19"/>
          <w:rFonts w:hint="default"/>
          <w:color w:val="auto"/>
          <w:sz w:val="24"/>
          <w:szCs w:val="20"/>
          <w:highlight w:val="none"/>
        </w:rPr>
        <w:t>目的约定，将逾期付款违约金支付给承包人。</w:t>
      </w:r>
    </w:p>
    <w:p w14:paraId="4535CC36">
      <w:pPr>
        <w:pStyle w:val="31"/>
        <w:pageBreakBefore w:val="0"/>
        <w:widowControl w:val="0"/>
        <w:numPr>
          <w:ilvl w:val="0"/>
          <w:numId w:val="23"/>
        </w:numPr>
        <w:tabs>
          <w:tab w:val="left" w:pos="914"/>
        </w:tabs>
        <w:kinsoku/>
        <w:wordWrap/>
        <w:overflowPunct/>
        <w:topLinePunct w:val="0"/>
        <w:autoSpaceDE/>
        <w:autoSpaceDN/>
        <w:bidi w:val="0"/>
        <w:adjustRightInd/>
        <w:snapToGrid/>
        <w:spacing w:beforeLines="0" w:after="120" w:afterLines="0" w:line="440" w:lineRule="exact"/>
        <w:ind w:firstLine="440"/>
        <w:jc w:val="both"/>
        <w:textAlignment w:val="auto"/>
        <w:rPr>
          <w:rStyle w:val="19"/>
          <w:rFonts w:hint="default"/>
          <w:color w:val="auto"/>
          <w:sz w:val="24"/>
          <w:szCs w:val="20"/>
          <w:highlight w:val="none"/>
        </w:rPr>
      </w:pPr>
      <w:bookmarkStart w:id="1020" w:name="bookmark1376"/>
      <w:bookmarkEnd w:id="1020"/>
      <w:r>
        <w:rPr>
          <w:rStyle w:val="19"/>
          <w:rFonts w:hint="default"/>
          <w:color w:val="auto"/>
          <w:sz w:val="24"/>
          <w:szCs w:val="20"/>
          <w:highlight w:val="none"/>
        </w:rPr>
        <w:t>承包人对发包人签认的完工付款证书有异议的，发包人可出具完工付款申请单中承包人已同意部分的临时付款证书。存在争议的部分，按第</w:t>
      </w:r>
      <w:r>
        <w:rPr>
          <w:rStyle w:val="19"/>
          <w:rFonts w:hint="eastAsia" w:ascii="Times New Roman" w:hAnsi="Times New Roman" w:eastAsia="Times New Roman" w:cs="Times New Roman"/>
          <w:color w:val="auto"/>
          <w:sz w:val="24"/>
          <w:szCs w:val="24"/>
          <w:highlight w:val="none"/>
        </w:rPr>
        <w:t>24</w:t>
      </w:r>
      <w:r>
        <w:rPr>
          <w:rStyle w:val="19"/>
          <w:rFonts w:hint="default"/>
          <w:color w:val="auto"/>
          <w:sz w:val="24"/>
          <w:szCs w:val="20"/>
          <w:highlight w:val="none"/>
        </w:rPr>
        <w:t>条的约定办理。</w:t>
      </w:r>
    </w:p>
    <w:p w14:paraId="19D07B04">
      <w:pPr>
        <w:pStyle w:val="31"/>
        <w:pageBreakBefore w:val="0"/>
        <w:widowControl w:val="0"/>
        <w:numPr>
          <w:ilvl w:val="0"/>
          <w:numId w:val="23"/>
        </w:numPr>
        <w:tabs>
          <w:tab w:val="left" w:pos="922"/>
        </w:tabs>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bookmarkStart w:id="1021" w:name="bookmark1377"/>
      <w:bookmarkEnd w:id="1021"/>
      <w:r>
        <w:rPr>
          <w:rStyle w:val="19"/>
          <w:rFonts w:hint="default"/>
          <w:color w:val="auto"/>
          <w:sz w:val="24"/>
          <w:szCs w:val="20"/>
          <w:highlight w:val="none"/>
        </w:rPr>
        <w:t>完工付款涉及政府投资资金的，按第</w:t>
      </w:r>
      <w:r>
        <w:rPr>
          <w:rStyle w:val="19"/>
          <w:rFonts w:hint="eastAsia" w:ascii="Times New Roman" w:hAnsi="Times New Roman" w:eastAsia="Times New Roman" w:cs="Times New Roman"/>
          <w:color w:val="auto"/>
          <w:sz w:val="24"/>
          <w:szCs w:val="24"/>
          <w:highlight w:val="none"/>
          <w:lang w:val="en-US" w:bidi="en-US"/>
        </w:rPr>
        <w:t xml:space="preserve">17.3.3 </w:t>
      </w:r>
      <w:r>
        <w:rPr>
          <w:rStyle w:val="19"/>
          <w:rFonts w:hint="eastAsia" w:ascii="Times New Roman" w:hAnsi="Times New Roman" w:eastAsia="Times New Roman" w:cs="Times New Roman"/>
          <w:color w:val="auto"/>
          <w:sz w:val="24"/>
          <w:szCs w:val="24"/>
          <w:highlight w:val="none"/>
        </w:rPr>
        <w:t>(4)</w:t>
      </w:r>
      <w:r>
        <w:rPr>
          <w:rStyle w:val="19"/>
          <w:rFonts w:hint="default"/>
          <w:color w:val="auto"/>
          <w:sz w:val="24"/>
          <w:szCs w:val="20"/>
          <w:highlight w:val="none"/>
        </w:rPr>
        <w:t>目的约定办理。</w:t>
      </w:r>
    </w:p>
    <w:p w14:paraId="674B0971">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1022" w:name="bookmark1379"/>
      <w:bookmarkStart w:id="1023" w:name="bookmark1378"/>
      <w:bookmarkStart w:id="1024" w:name="_Toc12143"/>
      <w:bookmarkStart w:id="1025" w:name="_Toc20149"/>
      <w:bookmarkStart w:id="1026" w:name="_Toc256000127"/>
      <w:bookmarkStart w:id="1027" w:name="bookmark1380"/>
      <w:r>
        <w:rPr>
          <w:rStyle w:val="19"/>
          <w:rFonts w:hint="default" w:ascii="宋体" w:hAnsi="宋体" w:eastAsia="宋体"/>
          <w:color w:val="auto"/>
          <w:sz w:val="24"/>
          <w:szCs w:val="20"/>
          <w:highlight w:val="none"/>
          <w:lang w:eastAsia="zh-CN"/>
        </w:rPr>
        <w:t>17.6最终结清</w:t>
      </w:r>
      <w:bookmarkEnd w:id="1022"/>
      <w:bookmarkEnd w:id="1023"/>
      <w:bookmarkEnd w:id="1024"/>
      <w:bookmarkEnd w:id="1025"/>
      <w:bookmarkEnd w:id="1026"/>
      <w:bookmarkEnd w:id="1027"/>
    </w:p>
    <w:p w14:paraId="56E3D2FF">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17.6.1</w:t>
      </w:r>
      <w:r>
        <w:rPr>
          <w:rStyle w:val="19"/>
          <w:rFonts w:hint="default"/>
          <w:color w:val="auto"/>
          <w:sz w:val="24"/>
          <w:szCs w:val="20"/>
          <w:highlight w:val="none"/>
        </w:rPr>
        <w:t>最终结清申请单</w:t>
      </w:r>
    </w:p>
    <w:p w14:paraId="7C00E332">
      <w:pPr>
        <w:pStyle w:val="31"/>
        <w:pageBreakBefore w:val="0"/>
        <w:widowControl w:val="0"/>
        <w:numPr>
          <w:ilvl w:val="0"/>
          <w:numId w:val="24"/>
        </w:numPr>
        <w:tabs>
          <w:tab w:val="left" w:pos="894"/>
        </w:tabs>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bookmarkStart w:id="1028" w:name="bookmark1381"/>
      <w:bookmarkEnd w:id="1028"/>
      <w:r>
        <w:rPr>
          <w:rStyle w:val="19"/>
          <w:rFonts w:hint="default"/>
          <w:color w:val="auto"/>
          <w:sz w:val="24"/>
          <w:szCs w:val="20"/>
          <w:highlight w:val="none"/>
        </w:rPr>
        <w:t>工程质量保修责任终止证书签发后，承包人应按监理人批准的格式提交最终结清申请单。提交最终结清申请单的份数在专用合同条款中约定。</w:t>
      </w:r>
    </w:p>
    <w:p w14:paraId="46866CA7">
      <w:pPr>
        <w:pStyle w:val="31"/>
        <w:pageBreakBefore w:val="0"/>
        <w:widowControl w:val="0"/>
        <w:numPr>
          <w:ilvl w:val="0"/>
          <w:numId w:val="24"/>
        </w:numPr>
        <w:tabs>
          <w:tab w:val="left" w:pos="918"/>
        </w:tabs>
        <w:kinsoku/>
        <w:wordWrap/>
        <w:overflowPunct/>
        <w:topLinePunct w:val="0"/>
        <w:autoSpaceDE/>
        <w:autoSpaceDN/>
        <w:bidi w:val="0"/>
        <w:adjustRightInd/>
        <w:snapToGrid/>
        <w:spacing w:beforeLines="0" w:after="120" w:afterLines="0" w:line="440" w:lineRule="exact"/>
        <w:ind w:firstLine="440"/>
        <w:jc w:val="both"/>
        <w:textAlignment w:val="auto"/>
        <w:rPr>
          <w:rStyle w:val="19"/>
          <w:rFonts w:hint="default"/>
          <w:color w:val="auto"/>
          <w:sz w:val="24"/>
          <w:szCs w:val="20"/>
          <w:highlight w:val="none"/>
        </w:rPr>
      </w:pPr>
      <w:bookmarkStart w:id="1029" w:name="bookmark1382"/>
      <w:bookmarkEnd w:id="1029"/>
      <w:r>
        <w:rPr>
          <w:rStyle w:val="19"/>
          <w:rFonts w:hint="default"/>
          <w:color w:val="auto"/>
          <w:sz w:val="24"/>
          <w:szCs w:val="20"/>
          <w:highlight w:val="none"/>
        </w:rPr>
        <w:t>发包人对最终结清申请单内容有异议的，有权要求承包人进行修正和提供补充资料，由承包人向监理人提交修正后的最终结清申请单。</w:t>
      </w:r>
    </w:p>
    <w:p w14:paraId="41763D81">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17.6.2</w:t>
      </w:r>
      <w:r>
        <w:rPr>
          <w:rStyle w:val="19"/>
          <w:rFonts w:hint="default"/>
          <w:color w:val="auto"/>
          <w:sz w:val="24"/>
          <w:szCs w:val="20"/>
          <w:highlight w:val="none"/>
        </w:rPr>
        <w:t>最终结清证书和支付时间</w:t>
      </w:r>
    </w:p>
    <w:p w14:paraId="662F3C5C">
      <w:pPr>
        <w:pStyle w:val="31"/>
        <w:pageBreakBefore w:val="0"/>
        <w:widowControl w:val="0"/>
        <w:numPr>
          <w:ilvl w:val="0"/>
          <w:numId w:val="25"/>
        </w:numPr>
        <w:tabs>
          <w:tab w:val="left" w:pos="918"/>
        </w:tabs>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bookmarkStart w:id="1030" w:name="bookmark1383"/>
      <w:bookmarkEnd w:id="1030"/>
      <w:r>
        <w:rPr>
          <w:rStyle w:val="19"/>
          <w:rFonts w:hint="default"/>
          <w:color w:val="auto"/>
          <w:sz w:val="24"/>
          <w:szCs w:val="20"/>
          <w:highlight w:val="none"/>
        </w:rPr>
        <w:t>监理人收到承包人提交的最终结清申请单后的</w:t>
      </w:r>
      <w:r>
        <w:rPr>
          <w:rStyle w:val="19"/>
          <w:rFonts w:hint="eastAsia" w:ascii="Times New Roman" w:hAnsi="Times New Roman" w:eastAsia="Times New Roman" w:cs="Times New Roman"/>
          <w:color w:val="auto"/>
          <w:sz w:val="24"/>
          <w:szCs w:val="24"/>
          <w:highlight w:val="none"/>
        </w:rPr>
        <w:t>14</w:t>
      </w:r>
      <w:r>
        <w:rPr>
          <w:rStyle w:val="19"/>
          <w:rFonts w:hint="default"/>
          <w:color w:val="auto"/>
          <w:sz w:val="24"/>
          <w:szCs w:val="20"/>
          <w:highlight w:val="none"/>
        </w:rPr>
        <w:t>天内，提出发包人应支付给承包人的价款送发包人审核并抄送承包人。发包人应在收到后</w:t>
      </w:r>
      <w:r>
        <w:rPr>
          <w:rStyle w:val="19"/>
          <w:rFonts w:hint="eastAsia" w:ascii="Times New Roman" w:hAnsi="Times New Roman" w:eastAsia="Times New Roman" w:cs="Times New Roman"/>
          <w:color w:val="auto"/>
          <w:sz w:val="24"/>
          <w:szCs w:val="24"/>
          <w:highlight w:val="none"/>
        </w:rPr>
        <w:t>14</w:t>
      </w:r>
      <w:r>
        <w:rPr>
          <w:rStyle w:val="19"/>
          <w:rFonts w:hint="default"/>
          <w:color w:val="auto"/>
          <w:sz w:val="24"/>
          <w:szCs w:val="20"/>
          <w:highlight w:val="none"/>
        </w:rPr>
        <w:t>天内审核完毕，由监理人向承包人出具经发包人签认的最终结清证书。监理人未在约定时间内核查，又未提出具体意见的，视为承包人提交的最终结清申请已经监理人核查同意；发包人未在约定时间内审核又未提出具体意见的，监理人提出应支付给承包人的价款视为已经发包人同意。</w:t>
      </w:r>
    </w:p>
    <w:p w14:paraId="61711E94">
      <w:pPr>
        <w:pStyle w:val="31"/>
        <w:pageBreakBefore w:val="0"/>
        <w:widowControl w:val="0"/>
        <w:numPr>
          <w:ilvl w:val="0"/>
          <w:numId w:val="25"/>
        </w:numPr>
        <w:tabs>
          <w:tab w:val="left" w:pos="918"/>
        </w:tabs>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bookmarkStart w:id="1031" w:name="bookmark1384"/>
      <w:bookmarkEnd w:id="1031"/>
      <w:r>
        <w:rPr>
          <w:rStyle w:val="19"/>
          <w:rFonts w:hint="default"/>
          <w:color w:val="auto"/>
          <w:sz w:val="24"/>
          <w:szCs w:val="20"/>
          <w:highlight w:val="none"/>
        </w:rPr>
        <w:t>发包人应在监理人出具最终结清证书后的</w:t>
      </w:r>
      <w:r>
        <w:rPr>
          <w:rStyle w:val="19"/>
          <w:rFonts w:hint="eastAsia" w:ascii="Times New Roman" w:hAnsi="Times New Roman" w:eastAsia="Times New Roman" w:cs="Times New Roman"/>
          <w:color w:val="auto"/>
          <w:sz w:val="24"/>
          <w:szCs w:val="24"/>
          <w:highlight w:val="none"/>
        </w:rPr>
        <w:t>14</w:t>
      </w:r>
      <w:r>
        <w:rPr>
          <w:rStyle w:val="19"/>
          <w:rFonts w:hint="default"/>
          <w:color w:val="auto"/>
          <w:sz w:val="24"/>
          <w:szCs w:val="20"/>
          <w:highlight w:val="none"/>
        </w:rPr>
        <w:t>天内，将应支付款支付给承包人。发包人不按期支付的，按第</w:t>
      </w:r>
      <w:r>
        <w:rPr>
          <w:rStyle w:val="19"/>
          <w:rFonts w:hint="eastAsia" w:ascii="Times New Roman" w:hAnsi="Times New Roman" w:eastAsia="Times New Roman" w:cs="Times New Roman"/>
          <w:color w:val="auto"/>
          <w:sz w:val="24"/>
          <w:szCs w:val="24"/>
          <w:highlight w:val="none"/>
          <w:lang w:val="en-US" w:bidi="en-US"/>
        </w:rPr>
        <w:t xml:space="preserve">17.3.3 </w:t>
      </w:r>
      <w:r>
        <w:rPr>
          <w:rStyle w:val="19"/>
          <w:rFonts w:hint="eastAsia" w:ascii="Times New Roman" w:hAnsi="Times New Roman" w:eastAsia="Times New Roman" w:cs="Times New Roman"/>
          <w:color w:val="auto"/>
          <w:sz w:val="24"/>
          <w:szCs w:val="24"/>
          <w:highlight w:val="none"/>
        </w:rPr>
        <w:t>(2)</w:t>
      </w:r>
      <w:r>
        <w:rPr>
          <w:rStyle w:val="19"/>
          <w:rFonts w:hint="default"/>
          <w:color w:val="auto"/>
          <w:sz w:val="24"/>
          <w:szCs w:val="20"/>
          <w:highlight w:val="none"/>
        </w:rPr>
        <w:t>目的约定，将逾期付款违约金支付给承包人。</w:t>
      </w:r>
    </w:p>
    <w:p w14:paraId="23A0F60A">
      <w:pPr>
        <w:pStyle w:val="31"/>
        <w:pageBreakBefore w:val="0"/>
        <w:widowControl w:val="0"/>
        <w:numPr>
          <w:ilvl w:val="0"/>
          <w:numId w:val="25"/>
        </w:numPr>
        <w:tabs>
          <w:tab w:val="left" w:pos="922"/>
        </w:tabs>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bookmarkStart w:id="1032" w:name="bookmark1385"/>
      <w:bookmarkEnd w:id="1032"/>
      <w:r>
        <w:rPr>
          <w:rStyle w:val="19"/>
          <w:rFonts w:hint="default"/>
          <w:color w:val="auto"/>
          <w:sz w:val="24"/>
          <w:szCs w:val="20"/>
          <w:highlight w:val="none"/>
        </w:rPr>
        <w:t>承包人对发包人签认的最终结清证书有异议的，按第</w:t>
      </w:r>
      <w:r>
        <w:rPr>
          <w:rStyle w:val="19"/>
          <w:rFonts w:hint="eastAsia" w:ascii="Times New Roman" w:hAnsi="Times New Roman" w:eastAsia="Times New Roman" w:cs="Times New Roman"/>
          <w:color w:val="auto"/>
          <w:sz w:val="24"/>
          <w:szCs w:val="24"/>
          <w:highlight w:val="none"/>
        </w:rPr>
        <w:t>24</w:t>
      </w:r>
      <w:r>
        <w:rPr>
          <w:rStyle w:val="19"/>
          <w:rFonts w:hint="default"/>
          <w:color w:val="auto"/>
          <w:sz w:val="24"/>
          <w:szCs w:val="20"/>
          <w:highlight w:val="none"/>
        </w:rPr>
        <w:t>条的约定办理。</w:t>
      </w:r>
    </w:p>
    <w:p w14:paraId="046A0629">
      <w:pPr>
        <w:pStyle w:val="31"/>
        <w:pageBreakBefore w:val="0"/>
        <w:widowControl w:val="0"/>
        <w:numPr>
          <w:ilvl w:val="0"/>
          <w:numId w:val="25"/>
        </w:numPr>
        <w:tabs>
          <w:tab w:val="left" w:pos="922"/>
        </w:tabs>
        <w:kinsoku/>
        <w:wordWrap/>
        <w:overflowPunct/>
        <w:topLinePunct w:val="0"/>
        <w:autoSpaceDE/>
        <w:autoSpaceDN/>
        <w:bidi w:val="0"/>
        <w:adjustRightInd/>
        <w:snapToGrid/>
        <w:spacing w:beforeLines="0" w:after="120" w:afterLines="0" w:line="440" w:lineRule="exact"/>
        <w:ind w:firstLine="440"/>
        <w:jc w:val="both"/>
        <w:textAlignment w:val="auto"/>
        <w:rPr>
          <w:rStyle w:val="19"/>
          <w:rFonts w:hint="default"/>
          <w:color w:val="auto"/>
          <w:sz w:val="24"/>
          <w:szCs w:val="20"/>
          <w:highlight w:val="none"/>
        </w:rPr>
      </w:pPr>
      <w:bookmarkStart w:id="1033" w:name="bookmark1386"/>
      <w:bookmarkEnd w:id="1033"/>
      <w:r>
        <w:rPr>
          <w:rStyle w:val="19"/>
          <w:rFonts w:hint="default"/>
          <w:color w:val="auto"/>
          <w:sz w:val="24"/>
          <w:szCs w:val="20"/>
          <w:highlight w:val="none"/>
        </w:rPr>
        <w:t>最终结清付款涉及政府投资资金的，按第</w:t>
      </w:r>
      <w:r>
        <w:rPr>
          <w:rStyle w:val="19"/>
          <w:rFonts w:hint="eastAsia" w:ascii="Times New Roman" w:hAnsi="Times New Roman" w:eastAsia="Times New Roman" w:cs="Times New Roman"/>
          <w:color w:val="auto"/>
          <w:sz w:val="24"/>
          <w:szCs w:val="24"/>
          <w:highlight w:val="none"/>
          <w:lang w:val="en-US" w:bidi="en-US"/>
        </w:rPr>
        <w:t xml:space="preserve">17.3.3 </w:t>
      </w:r>
      <w:r>
        <w:rPr>
          <w:rStyle w:val="19"/>
          <w:rFonts w:hint="eastAsia" w:ascii="Times New Roman" w:hAnsi="Times New Roman" w:eastAsia="Times New Roman" w:cs="Times New Roman"/>
          <w:color w:val="auto"/>
          <w:sz w:val="24"/>
          <w:szCs w:val="24"/>
          <w:highlight w:val="none"/>
        </w:rPr>
        <w:t>(4)</w:t>
      </w:r>
      <w:r>
        <w:rPr>
          <w:rStyle w:val="19"/>
          <w:rFonts w:hint="default"/>
          <w:color w:val="auto"/>
          <w:sz w:val="24"/>
          <w:szCs w:val="20"/>
          <w:highlight w:val="none"/>
        </w:rPr>
        <w:t>目的约定办理。</w:t>
      </w:r>
    </w:p>
    <w:p w14:paraId="17591B3B">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1034" w:name="_Toc256000128"/>
      <w:bookmarkStart w:id="1035" w:name="bookmark1387"/>
      <w:bookmarkStart w:id="1036" w:name="bookmark1388"/>
      <w:bookmarkStart w:id="1037" w:name="bookmark1389"/>
      <w:bookmarkStart w:id="1038" w:name="_Toc4347"/>
      <w:bookmarkStart w:id="1039" w:name="_Toc1639"/>
      <w:r>
        <w:rPr>
          <w:rStyle w:val="19"/>
          <w:rFonts w:hint="default" w:ascii="宋体" w:hAnsi="宋体" w:eastAsia="宋体"/>
          <w:color w:val="auto"/>
          <w:sz w:val="24"/>
          <w:szCs w:val="20"/>
          <w:highlight w:val="none"/>
          <w:lang w:eastAsia="zh-CN"/>
        </w:rPr>
        <w:t>17.7竣工财务决算</w:t>
      </w:r>
      <w:bookmarkEnd w:id="1034"/>
      <w:bookmarkEnd w:id="1035"/>
      <w:bookmarkEnd w:id="1036"/>
      <w:bookmarkEnd w:id="1037"/>
      <w:bookmarkEnd w:id="1038"/>
      <w:bookmarkEnd w:id="1039"/>
    </w:p>
    <w:p w14:paraId="0BEE8C61">
      <w:pPr>
        <w:pStyle w:val="31"/>
        <w:pageBreakBefore w:val="0"/>
        <w:widowControl w:val="0"/>
        <w:kinsoku/>
        <w:wordWrap/>
        <w:overflowPunct/>
        <w:topLinePunct w:val="0"/>
        <w:autoSpaceDE/>
        <w:autoSpaceDN/>
        <w:bidi w:val="0"/>
        <w:adjustRightInd/>
        <w:snapToGrid/>
        <w:spacing w:beforeLines="0" w:after="160" w:afterLines="0" w:line="440" w:lineRule="exact"/>
        <w:ind w:firstLine="420"/>
        <w:jc w:val="both"/>
        <w:textAlignment w:val="auto"/>
        <w:rPr>
          <w:rStyle w:val="19"/>
          <w:rFonts w:hint="default"/>
          <w:color w:val="auto"/>
          <w:sz w:val="24"/>
          <w:szCs w:val="20"/>
          <w:highlight w:val="none"/>
        </w:rPr>
      </w:pPr>
      <w:r>
        <w:rPr>
          <w:rStyle w:val="19"/>
          <w:rFonts w:hint="default"/>
          <w:color w:val="auto"/>
          <w:sz w:val="24"/>
          <w:szCs w:val="20"/>
          <w:highlight w:val="none"/>
        </w:rPr>
        <w:t>发包人负责编制本工程项目竣工财务决算，承包人应按专用合同条款的约定提供竣工财务决算编制所需的相关材料。</w:t>
      </w:r>
    </w:p>
    <w:p w14:paraId="429CBCE8">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1040" w:name="bookmark1392"/>
      <w:bookmarkStart w:id="1041" w:name="_Toc22243"/>
      <w:bookmarkStart w:id="1042" w:name="_Toc256000129"/>
      <w:bookmarkStart w:id="1043" w:name="_Toc9623"/>
      <w:bookmarkStart w:id="1044" w:name="bookmark1391"/>
      <w:bookmarkStart w:id="1045" w:name="bookmark1390"/>
      <w:r>
        <w:rPr>
          <w:rStyle w:val="19"/>
          <w:rFonts w:hint="default" w:ascii="宋体" w:hAnsi="宋体" w:eastAsia="宋体"/>
          <w:color w:val="auto"/>
          <w:sz w:val="24"/>
          <w:szCs w:val="20"/>
          <w:highlight w:val="none"/>
          <w:lang w:eastAsia="zh-CN"/>
        </w:rPr>
        <w:t>17.8竣工审计</w:t>
      </w:r>
      <w:bookmarkEnd w:id="1040"/>
      <w:bookmarkEnd w:id="1041"/>
      <w:bookmarkEnd w:id="1042"/>
      <w:bookmarkEnd w:id="1043"/>
      <w:bookmarkEnd w:id="1044"/>
      <w:bookmarkEnd w:id="1045"/>
    </w:p>
    <w:p w14:paraId="46E2FE20">
      <w:pPr>
        <w:pStyle w:val="31"/>
        <w:pageBreakBefore w:val="0"/>
        <w:widowControl w:val="0"/>
        <w:kinsoku/>
        <w:wordWrap/>
        <w:overflowPunct/>
        <w:topLinePunct w:val="0"/>
        <w:autoSpaceDE/>
        <w:autoSpaceDN/>
        <w:bidi w:val="0"/>
        <w:adjustRightInd/>
        <w:snapToGrid/>
        <w:spacing w:beforeLines="0" w:after="300" w:afterLines="0" w:line="440" w:lineRule="exact"/>
        <w:ind w:firstLine="420"/>
        <w:textAlignment w:val="auto"/>
        <w:rPr>
          <w:rStyle w:val="19"/>
          <w:rFonts w:hint="default"/>
          <w:color w:val="auto"/>
          <w:sz w:val="24"/>
          <w:szCs w:val="20"/>
          <w:highlight w:val="none"/>
        </w:rPr>
      </w:pPr>
      <w:r>
        <w:rPr>
          <w:rStyle w:val="19"/>
          <w:rFonts w:hint="default"/>
          <w:color w:val="auto"/>
          <w:sz w:val="24"/>
          <w:szCs w:val="20"/>
          <w:highlight w:val="none"/>
        </w:rPr>
        <w:t>发包人负责完成本工程竣工审计手续，承包人应完成相关配合工作。</w:t>
      </w:r>
    </w:p>
    <w:p w14:paraId="5B2ABBD2">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eastAsia"/>
          <w:color w:val="auto"/>
          <w:sz w:val="24"/>
          <w:szCs w:val="20"/>
          <w:highlight w:val="none"/>
          <w:lang w:eastAsia="zh-CN"/>
        </w:rPr>
      </w:pPr>
      <w:bookmarkStart w:id="1046" w:name="bookmark1393"/>
      <w:bookmarkStart w:id="1047" w:name="_Toc15468"/>
      <w:bookmarkStart w:id="1048" w:name="_Toc27318"/>
      <w:bookmarkStart w:id="1049" w:name="bookmark1394"/>
      <w:bookmarkStart w:id="1050" w:name="bookmark1395"/>
      <w:bookmarkStart w:id="1051" w:name="_Toc256000130"/>
      <w:r>
        <w:rPr>
          <w:rStyle w:val="19"/>
          <w:rFonts w:hint="eastAsia"/>
          <w:color w:val="auto"/>
          <w:sz w:val="24"/>
          <w:szCs w:val="20"/>
          <w:highlight w:val="none"/>
          <w:lang w:eastAsia="zh-CN"/>
        </w:rPr>
        <w:t>18.</w:t>
      </w:r>
      <w:r>
        <w:rPr>
          <w:rStyle w:val="19"/>
          <w:rFonts w:hint="default" w:ascii="宋体" w:eastAsia="宋体"/>
          <w:color w:val="auto"/>
          <w:sz w:val="24"/>
          <w:szCs w:val="20"/>
          <w:highlight w:val="none"/>
          <w:lang w:eastAsia="zh-CN"/>
        </w:rPr>
        <w:t>竣工验收（验收）</w:t>
      </w:r>
      <w:bookmarkEnd w:id="1046"/>
      <w:bookmarkEnd w:id="1047"/>
      <w:bookmarkEnd w:id="1048"/>
      <w:bookmarkEnd w:id="1049"/>
      <w:bookmarkEnd w:id="1050"/>
      <w:bookmarkEnd w:id="1051"/>
    </w:p>
    <w:p w14:paraId="3AD63D9F">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1052" w:name="bookmark1397"/>
      <w:bookmarkStart w:id="1053" w:name="_Toc20245"/>
      <w:bookmarkStart w:id="1054" w:name="_Toc1314"/>
      <w:bookmarkStart w:id="1055" w:name="bookmark1396"/>
      <w:bookmarkStart w:id="1056" w:name="_Toc256000131"/>
      <w:bookmarkStart w:id="1057" w:name="bookmark1398"/>
      <w:r>
        <w:rPr>
          <w:rStyle w:val="19"/>
          <w:rFonts w:hint="default" w:ascii="宋体" w:hAnsi="宋体" w:eastAsia="宋体"/>
          <w:color w:val="auto"/>
          <w:sz w:val="24"/>
          <w:szCs w:val="20"/>
          <w:highlight w:val="none"/>
          <w:lang w:eastAsia="zh-CN"/>
        </w:rPr>
        <w:t>18.1验收工作分类</w:t>
      </w:r>
      <w:bookmarkEnd w:id="1052"/>
      <w:bookmarkEnd w:id="1053"/>
      <w:bookmarkEnd w:id="1054"/>
      <w:bookmarkEnd w:id="1055"/>
      <w:bookmarkEnd w:id="1056"/>
      <w:bookmarkEnd w:id="1057"/>
    </w:p>
    <w:p w14:paraId="5A0172E8">
      <w:pPr>
        <w:pStyle w:val="31"/>
        <w:pageBreakBefore w:val="0"/>
        <w:widowControl w:val="0"/>
        <w:kinsoku/>
        <w:wordWrap/>
        <w:overflowPunct/>
        <w:topLinePunct w:val="0"/>
        <w:autoSpaceDE/>
        <w:autoSpaceDN/>
        <w:bidi w:val="0"/>
        <w:adjustRightInd/>
        <w:snapToGrid/>
        <w:spacing w:beforeLines="0" w:after="160" w:afterLines="0" w:line="440" w:lineRule="exact"/>
        <w:ind w:firstLine="440"/>
        <w:jc w:val="both"/>
        <w:textAlignment w:val="auto"/>
        <w:rPr>
          <w:rStyle w:val="19"/>
          <w:rFonts w:hint="default"/>
          <w:color w:val="auto"/>
          <w:sz w:val="24"/>
          <w:szCs w:val="20"/>
          <w:highlight w:val="none"/>
        </w:rPr>
      </w:pPr>
      <w:r>
        <w:rPr>
          <w:rStyle w:val="19"/>
          <w:rFonts w:hint="default"/>
          <w:color w:val="auto"/>
          <w:sz w:val="24"/>
          <w:szCs w:val="20"/>
          <w:highlight w:val="none"/>
        </w:rPr>
        <w:t>本工程验收工作按主持单位分为法人验收和政府验收。法人验收和政府验收的类别在专用合同条款中约定。除专用合同条款另有约定外，法人验收由发包人主持。承包人应完成法人验收和政府验收的配合工作，所需费用应含在已标价工程量清单中。</w:t>
      </w:r>
    </w:p>
    <w:p w14:paraId="2913B66F">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1058" w:name="_Toc29537"/>
      <w:bookmarkStart w:id="1059" w:name="_Toc256000132"/>
      <w:bookmarkStart w:id="1060" w:name="bookmark1399"/>
      <w:bookmarkStart w:id="1061" w:name="_Toc8655"/>
      <w:bookmarkStart w:id="1062" w:name="bookmark1401"/>
      <w:bookmarkStart w:id="1063" w:name="bookmark1400"/>
      <w:r>
        <w:rPr>
          <w:rStyle w:val="19"/>
          <w:rFonts w:hint="default" w:ascii="宋体" w:hAnsi="宋体" w:eastAsia="宋体"/>
          <w:color w:val="auto"/>
          <w:sz w:val="24"/>
          <w:szCs w:val="20"/>
          <w:highlight w:val="none"/>
          <w:lang w:eastAsia="zh-CN"/>
        </w:rPr>
        <w:t>18.2分部工程验收</w:t>
      </w:r>
      <w:bookmarkEnd w:id="1058"/>
      <w:bookmarkEnd w:id="1059"/>
      <w:bookmarkEnd w:id="1060"/>
      <w:bookmarkEnd w:id="1061"/>
      <w:bookmarkEnd w:id="1062"/>
      <w:bookmarkEnd w:id="1063"/>
    </w:p>
    <w:p w14:paraId="6B784B16">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18.2.1</w:t>
      </w:r>
      <w:r>
        <w:rPr>
          <w:rStyle w:val="19"/>
          <w:rFonts w:hint="default"/>
          <w:color w:val="auto"/>
          <w:sz w:val="24"/>
          <w:szCs w:val="20"/>
          <w:highlight w:val="none"/>
        </w:rPr>
        <w:t>分部工程具备验收条件时，承包人应向发包人提交验收申请报告，发包人应在收到验收申请报告之日起</w:t>
      </w:r>
      <w:r>
        <w:rPr>
          <w:rStyle w:val="19"/>
          <w:rFonts w:hint="eastAsia" w:ascii="Times New Roman" w:hAnsi="Times New Roman" w:eastAsia="Times New Roman" w:cs="Times New Roman"/>
          <w:color w:val="auto"/>
          <w:sz w:val="24"/>
          <w:szCs w:val="24"/>
          <w:highlight w:val="none"/>
        </w:rPr>
        <w:t>10</w:t>
      </w:r>
      <w:r>
        <w:rPr>
          <w:rStyle w:val="19"/>
          <w:rFonts w:hint="default"/>
          <w:color w:val="auto"/>
          <w:sz w:val="24"/>
          <w:szCs w:val="20"/>
          <w:highlight w:val="none"/>
        </w:rPr>
        <w:t>个工作日内决定是否同意进行验收。</w:t>
      </w:r>
    </w:p>
    <w:p w14:paraId="3D47F1BE">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18.2.2</w:t>
      </w:r>
      <w:r>
        <w:rPr>
          <w:rStyle w:val="19"/>
          <w:rFonts w:hint="default"/>
          <w:color w:val="auto"/>
          <w:sz w:val="24"/>
          <w:szCs w:val="20"/>
          <w:highlight w:val="none"/>
        </w:rPr>
        <w:t>除专用合同条款另有约定外，监理人主持分部工程验收，承包人应派符合条件的代表参加验收工作组。</w:t>
      </w:r>
    </w:p>
    <w:p w14:paraId="2731E011">
      <w:pPr>
        <w:pStyle w:val="31"/>
        <w:pageBreakBefore w:val="0"/>
        <w:widowControl w:val="0"/>
        <w:kinsoku/>
        <w:wordWrap/>
        <w:overflowPunct/>
        <w:topLinePunct w:val="0"/>
        <w:autoSpaceDE/>
        <w:autoSpaceDN/>
        <w:bidi w:val="0"/>
        <w:adjustRightInd/>
        <w:snapToGrid/>
        <w:spacing w:beforeLines="0" w:after="160" w:afterLines="0" w:line="440" w:lineRule="exact"/>
        <w:ind w:firstLine="44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18.2.3</w:t>
      </w:r>
      <w:r>
        <w:rPr>
          <w:rStyle w:val="19"/>
          <w:rFonts w:hint="default"/>
          <w:color w:val="auto"/>
          <w:sz w:val="24"/>
          <w:szCs w:val="20"/>
          <w:highlight w:val="none"/>
        </w:rPr>
        <w:t>分部工程验收通过后，发包人向承包人发送分部工程验收鉴定书。承包人应及时完成分部工程验收鉴定书载明应由承包人处理的遗留问题。</w:t>
      </w:r>
    </w:p>
    <w:p w14:paraId="619D0501">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1064" w:name="_Toc19460"/>
      <w:bookmarkStart w:id="1065" w:name="_Toc256000133"/>
      <w:bookmarkStart w:id="1066" w:name="bookmark1402"/>
      <w:bookmarkStart w:id="1067" w:name="bookmark1404"/>
      <w:bookmarkStart w:id="1068" w:name="_Toc16242"/>
      <w:bookmarkStart w:id="1069" w:name="bookmark1403"/>
      <w:r>
        <w:rPr>
          <w:rStyle w:val="19"/>
          <w:rFonts w:hint="default" w:ascii="宋体" w:hAnsi="宋体" w:eastAsia="宋体"/>
          <w:color w:val="auto"/>
          <w:sz w:val="24"/>
          <w:szCs w:val="20"/>
          <w:highlight w:val="none"/>
          <w:lang w:eastAsia="zh-CN"/>
        </w:rPr>
        <w:t>18.3单位工程验收</w:t>
      </w:r>
      <w:bookmarkEnd w:id="1064"/>
      <w:bookmarkEnd w:id="1065"/>
      <w:bookmarkEnd w:id="1066"/>
      <w:bookmarkEnd w:id="1067"/>
      <w:bookmarkEnd w:id="1068"/>
      <w:bookmarkEnd w:id="1069"/>
    </w:p>
    <w:p w14:paraId="4020D5ED">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18.3.1</w:t>
      </w:r>
      <w:r>
        <w:rPr>
          <w:rStyle w:val="19"/>
          <w:rFonts w:hint="default"/>
          <w:color w:val="auto"/>
          <w:sz w:val="24"/>
          <w:szCs w:val="20"/>
          <w:highlight w:val="none"/>
        </w:rPr>
        <w:t>单位工程具备验收条件时，承包人应向发包人提交验收申请报告，发包人应在收到验收申请报告之日起</w:t>
      </w:r>
      <w:r>
        <w:rPr>
          <w:rStyle w:val="19"/>
          <w:rFonts w:hint="eastAsia" w:ascii="Times New Roman" w:hAnsi="Times New Roman" w:eastAsia="Times New Roman" w:cs="Times New Roman"/>
          <w:color w:val="auto"/>
          <w:sz w:val="24"/>
          <w:szCs w:val="24"/>
          <w:highlight w:val="none"/>
        </w:rPr>
        <w:t>10</w:t>
      </w:r>
      <w:r>
        <w:rPr>
          <w:rStyle w:val="19"/>
          <w:rFonts w:hint="default"/>
          <w:color w:val="auto"/>
          <w:sz w:val="24"/>
          <w:szCs w:val="20"/>
          <w:highlight w:val="none"/>
        </w:rPr>
        <w:t>个工作日内决定是否同意进行验收。</w:t>
      </w:r>
    </w:p>
    <w:p w14:paraId="1D84CAD6">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18.3.2</w:t>
      </w:r>
      <w:r>
        <w:rPr>
          <w:rStyle w:val="19"/>
          <w:rFonts w:hint="default"/>
          <w:color w:val="auto"/>
          <w:sz w:val="24"/>
          <w:szCs w:val="20"/>
          <w:highlight w:val="none"/>
        </w:rPr>
        <w:t>发包人主持单位工程验收，承包人应派符合条件的代表参加验收工作组。</w:t>
      </w:r>
    </w:p>
    <w:p w14:paraId="6F167923">
      <w:pPr>
        <w:pStyle w:val="31"/>
        <w:pageBreakBefore w:val="0"/>
        <w:widowControl w:val="0"/>
        <w:kinsoku/>
        <w:wordWrap/>
        <w:overflowPunct/>
        <w:topLinePunct w:val="0"/>
        <w:autoSpaceDE/>
        <w:autoSpaceDN/>
        <w:bidi w:val="0"/>
        <w:adjustRightInd/>
        <w:snapToGrid/>
        <w:spacing w:beforeLines="0" w:after="100" w:afterLines="0" w:line="440" w:lineRule="exact"/>
        <w:ind w:firstLine="44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18.3.3</w:t>
      </w:r>
      <w:r>
        <w:rPr>
          <w:rStyle w:val="19"/>
          <w:rFonts w:hint="default"/>
          <w:color w:val="auto"/>
          <w:sz w:val="24"/>
          <w:szCs w:val="20"/>
          <w:highlight w:val="none"/>
        </w:rPr>
        <w:t>单位工程验收通过后，发包人向承包人发送单位工程验收鉴定书。承包人应及时完成单位工程验收鉴定书载明应由承包人处理的遗留问题。</w:t>
      </w:r>
    </w:p>
    <w:p w14:paraId="6D72CAE6">
      <w:pPr>
        <w:pStyle w:val="31"/>
        <w:pageBreakBefore w:val="0"/>
        <w:widowControl w:val="0"/>
        <w:kinsoku/>
        <w:wordWrap/>
        <w:overflowPunct/>
        <w:topLinePunct w:val="0"/>
        <w:autoSpaceDE/>
        <w:autoSpaceDN/>
        <w:bidi w:val="0"/>
        <w:adjustRightInd/>
        <w:snapToGrid/>
        <w:spacing w:beforeLines="0" w:after="160" w:afterLines="0" w:line="440" w:lineRule="exact"/>
        <w:ind w:firstLine="420"/>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18.3.4</w:t>
      </w:r>
      <w:r>
        <w:rPr>
          <w:rStyle w:val="19"/>
          <w:rFonts w:hint="default"/>
          <w:color w:val="auto"/>
          <w:sz w:val="24"/>
          <w:szCs w:val="20"/>
          <w:highlight w:val="none"/>
        </w:rPr>
        <w:t>需提前投入使用的单位工程在专用合同条款中明确。</w:t>
      </w:r>
    </w:p>
    <w:p w14:paraId="2F75D051">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1070" w:name="_Toc256000134"/>
      <w:bookmarkStart w:id="1071" w:name="_Toc23192"/>
      <w:bookmarkStart w:id="1072" w:name="bookmark1405"/>
      <w:bookmarkStart w:id="1073" w:name="bookmark1406"/>
      <w:bookmarkStart w:id="1074" w:name="_Toc24227"/>
      <w:bookmarkStart w:id="1075" w:name="bookmark1407"/>
      <w:r>
        <w:rPr>
          <w:rStyle w:val="19"/>
          <w:rFonts w:hint="default" w:ascii="宋体" w:hAnsi="宋体" w:eastAsia="宋体"/>
          <w:color w:val="auto"/>
          <w:sz w:val="24"/>
          <w:szCs w:val="20"/>
          <w:highlight w:val="none"/>
          <w:lang w:eastAsia="zh-CN"/>
        </w:rPr>
        <w:t>18.4合同工程完工验收</w:t>
      </w:r>
      <w:bookmarkEnd w:id="1070"/>
      <w:bookmarkEnd w:id="1071"/>
      <w:bookmarkEnd w:id="1072"/>
      <w:bookmarkEnd w:id="1073"/>
      <w:bookmarkEnd w:id="1074"/>
      <w:bookmarkEnd w:id="1075"/>
    </w:p>
    <w:p w14:paraId="246D015C">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18.4.1</w:t>
      </w:r>
      <w:r>
        <w:rPr>
          <w:rStyle w:val="19"/>
          <w:rFonts w:hint="default"/>
          <w:color w:val="auto"/>
          <w:sz w:val="24"/>
          <w:szCs w:val="20"/>
          <w:highlight w:val="none"/>
        </w:rPr>
        <w:t>合同工程具备验收条件时，承包人应向发包人提交验收申请报告，发包人应在收到验收申请报告之日起</w:t>
      </w:r>
      <w:r>
        <w:rPr>
          <w:rStyle w:val="19"/>
          <w:rFonts w:hint="eastAsia" w:ascii="Times New Roman" w:hAnsi="Times New Roman" w:eastAsia="Times New Roman" w:cs="Times New Roman"/>
          <w:color w:val="auto"/>
          <w:sz w:val="24"/>
          <w:szCs w:val="24"/>
          <w:highlight w:val="none"/>
        </w:rPr>
        <w:t>20</w:t>
      </w:r>
      <w:r>
        <w:rPr>
          <w:rStyle w:val="19"/>
          <w:rFonts w:hint="default"/>
          <w:color w:val="auto"/>
          <w:sz w:val="24"/>
          <w:szCs w:val="20"/>
          <w:highlight w:val="none"/>
        </w:rPr>
        <w:t>个工作日内决定是否同意进行验收。</w:t>
      </w:r>
    </w:p>
    <w:p w14:paraId="69472726">
      <w:pPr>
        <w:pStyle w:val="31"/>
        <w:pageBreakBefore w:val="0"/>
        <w:widowControl w:val="0"/>
        <w:kinsoku/>
        <w:wordWrap/>
        <w:overflowPunct/>
        <w:topLinePunct w:val="0"/>
        <w:autoSpaceDE/>
        <w:autoSpaceDN/>
        <w:bidi w:val="0"/>
        <w:adjustRightInd/>
        <w:snapToGrid/>
        <w:spacing w:beforeLines="0" w:afterLines="0" w:line="440" w:lineRule="exact"/>
        <w:ind w:firstLine="420"/>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18.4.2</w:t>
      </w:r>
      <w:r>
        <w:rPr>
          <w:rStyle w:val="19"/>
          <w:rFonts w:hint="default"/>
          <w:color w:val="auto"/>
          <w:sz w:val="24"/>
          <w:szCs w:val="20"/>
          <w:highlight w:val="none"/>
        </w:rPr>
        <w:t>发包人主持合同工程完工验收，承包人应派项目经理参加验收工作组。</w:t>
      </w:r>
    </w:p>
    <w:p w14:paraId="7C9C7B4A">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18.4.3</w:t>
      </w:r>
      <w:r>
        <w:rPr>
          <w:rStyle w:val="19"/>
          <w:rFonts w:hint="default"/>
          <w:color w:val="auto"/>
          <w:sz w:val="24"/>
          <w:szCs w:val="20"/>
          <w:highlight w:val="none"/>
        </w:rPr>
        <w:t>合同工程完工验收通过后，发包人向承包人发送合同工程完工验收鉴定书。承包人应及时完成合同工程完工验收鉴定书载明应由承包人处理的遗留问题。</w:t>
      </w:r>
    </w:p>
    <w:p w14:paraId="2FD3FCFA">
      <w:pPr>
        <w:pStyle w:val="31"/>
        <w:pageBreakBefore w:val="0"/>
        <w:widowControl w:val="0"/>
        <w:kinsoku/>
        <w:wordWrap/>
        <w:overflowPunct/>
        <w:topLinePunct w:val="0"/>
        <w:autoSpaceDE/>
        <w:autoSpaceDN/>
        <w:bidi w:val="0"/>
        <w:adjustRightInd/>
        <w:snapToGrid/>
        <w:spacing w:beforeLines="0" w:after="160" w:afterLines="0" w:line="440" w:lineRule="exact"/>
        <w:ind w:firstLine="44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18.4.4</w:t>
      </w:r>
      <w:r>
        <w:rPr>
          <w:rStyle w:val="19"/>
          <w:rFonts w:hint="default"/>
          <w:color w:val="auto"/>
          <w:sz w:val="24"/>
          <w:szCs w:val="20"/>
          <w:highlight w:val="none"/>
        </w:rPr>
        <w:t>合同工程完工验收通过后，发包人与承包人应在</w:t>
      </w:r>
      <w:r>
        <w:rPr>
          <w:rStyle w:val="19"/>
          <w:rFonts w:hint="eastAsia" w:ascii="Times New Roman" w:hAnsi="Times New Roman" w:eastAsia="Times New Roman" w:cs="Times New Roman"/>
          <w:color w:val="auto"/>
          <w:sz w:val="24"/>
          <w:szCs w:val="24"/>
          <w:highlight w:val="none"/>
        </w:rPr>
        <w:t>30</w:t>
      </w:r>
      <w:r>
        <w:rPr>
          <w:rStyle w:val="19"/>
          <w:rFonts w:hint="default"/>
          <w:color w:val="auto"/>
          <w:sz w:val="24"/>
          <w:szCs w:val="20"/>
          <w:highlight w:val="none"/>
        </w:rPr>
        <w:t>个工作日内组织专人负责工程交接，双方交接负责人应在交接记录上签字。承包人应按验收鉴定书约定的时间及时 移交工程及其档案资料。工程移交时，承包人应向发包人递交工程质量保修书。在承包人 递交了工程质量保修书、完成施工场地清理以及提交有关资料后，发包人应</w:t>
      </w:r>
      <w:r>
        <w:rPr>
          <w:rStyle w:val="19"/>
          <w:rFonts w:hint="eastAsia" w:ascii="Times New Roman" w:hAnsi="Times New Roman" w:eastAsia="Times New Roman" w:cs="Times New Roman"/>
          <w:color w:val="auto"/>
          <w:sz w:val="24"/>
          <w:szCs w:val="24"/>
          <w:highlight w:val="none"/>
        </w:rPr>
        <w:t>30</w:t>
      </w:r>
      <w:r>
        <w:rPr>
          <w:rStyle w:val="19"/>
          <w:rFonts w:hint="default"/>
          <w:color w:val="auto"/>
          <w:sz w:val="24"/>
          <w:szCs w:val="20"/>
          <w:highlight w:val="none"/>
        </w:rPr>
        <w:t>个工作日内 向承包人颁发合同工程完工证书。</w:t>
      </w:r>
    </w:p>
    <w:p w14:paraId="3AC45EC9">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1076" w:name="_Toc14197"/>
      <w:bookmarkStart w:id="1077" w:name="bookmark1408"/>
      <w:bookmarkStart w:id="1078" w:name="bookmark1410"/>
      <w:bookmarkStart w:id="1079" w:name="_Toc32064"/>
      <w:bookmarkStart w:id="1080" w:name="_Toc256000135"/>
      <w:bookmarkStart w:id="1081" w:name="bookmark1409"/>
      <w:r>
        <w:rPr>
          <w:rStyle w:val="19"/>
          <w:rFonts w:hint="default" w:ascii="宋体" w:hAnsi="宋体" w:eastAsia="宋体"/>
          <w:color w:val="auto"/>
          <w:sz w:val="24"/>
          <w:szCs w:val="20"/>
          <w:highlight w:val="none"/>
          <w:lang w:eastAsia="zh-CN"/>
        </w:rPr>
        <w:t>18.5阶段验收</w:t>
      </w:r>
      <w:bookmarkEnd w:id="1076"/>
      <w:bookmarkEnd w:id="1077"/>
      <w:bookmarkEnd w:id="1078"/>
      <w:bookmarkEnd w:id="1079"/>
      <w:bookmarkEnd w:id="1080"/>
      <w:bookmarkEnd w:id="1081"/>
    </w:p>
    <w:p w14:paraId="287942FA">
      <w:pPr>
        <w:pStyle w:val="31"/>
        <w:pageBreakBefore w:val="0"/>
        <w:widowControl w:val="0"/>
        <w:kinsoku/>
        <w:wordWrap/>
        <w:overflowPunct/>
        <w:topLinePunct w:val="0"/>
        <w:autoSpaceDE/>
        <w:autoSpaceDN/>
        <w:bidi w:val="0"/>
        <w:adjustRightInd/>
        <w:snapToGrid/>
        <w:spacing w:beforeLines="0" w:afterLines="0" w:line="440" w:lineRule="exact"/>
        <w:ind w:firstLine="511" w:firstLineChars="213"/>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18.5.1</w:t>
      </w:r>
      <w:r>
        <w:rPr>
          <w:rStyle w:val="19"/>
          <w:rFonts w:hint="default"/>
          <w:color w:val="auto"/>
          <w:sz w:val="24"/>
          <w:szCs w:val="20"/>
          <w:highlight w:val="none"/>
        </w:rPr>
        <w:t>工程建设具备阶段验收条件时，发包人负责提出阶段验收申请报告。承包人应派代表参加阶段验收，并作为被验收单位在验收鉴定书上签字。阶段验收的具体类别在专用合同条款中约定。</w:t>
      </w:r>
    </w:p>
    <w:p w14:paraId="171EE0FA">
      <w:pPr>
        <w:pStyle w:val="31"/>
        <w:pageBreakBefore w:val="0"/>
        <w:widowControl w:val="0"/>
        <w:tabs>
          <w:tab w:val="left" w:pos="841"/>
        </w:tabs>
        <w:kinsoku/>
        <w:wordWrap/>
        <w:overflowPunct/>
        <w:topLinePunct w:val="0"/>
        <w:autoSpaceDE/>
        <w:autoSpaceDN/>
        <w:bidi w:val="0"/>
        <w:adjustRightInd/>
        <w:snapToGrid/>
        <w:spacing w:beforeLines="0" w:after="140" w:afterLines="0" w:line="440" w:lineRule="exact"/>
        <w:ind w:left="420" w:firstLine="0"/>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18.5.</w:t>
      </w:r>
      <w:r>
        <w:rPr>
          <w:rStyle w:val="19"/>
          <w:rFonts w:hint="eastAsia" w:ascii="Times New Roman" w:hAnsi="Times New Roman" w:eastAsia="Times New Roman" w:cs="Times New Roman"/>
          <w:color w:val="auto"/>
          <w:sz w:val="24"/>
          <w:szCs w:val="24"/>
          <w:highlight w:val="none"/>
        </w:rPr>
        <w:t>2</w:t>
      </w:r>
      <w:r>
        <w:rPr>
          <w:rStyle w:val="19"/>
          <w:rFonts w:hint="default"/>
          <w:color w:val="auto"/>
          <w:sz w:val="24"/>
          <w:szCs w:val="20"/>
          <w:highlight w:val="none"/>
        </w:rPr>
        <w:t>承包人应及时完成阶段验收鉴定书载明应由承包人处理的遗留问题。</w:t>
      </w:r>
    </w:p>
    <w:p w14:paraId="220731C0">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1082" w:name="bookmark1413"/>
      <w:bookmarkStart w:id="1083" w:name="_Toc256000136"/>
      <w:bookmarkStart w:id="1084" w:name="bookmark1412"/>
      <w:bookmarkStart w:id="1085" w:name="bookmark1414"/>
      <w:bookmarkStart w:id="1086" w:name="_Toc22175"/>
      <w:bookmarkStart w:id="1087" w:name="_Toc16235"/>
      <w:r>
        <w:rPr>
          <w:rStyle w:val="19"/>
          <w:rFonts w:hint="default" w:ascii="宋体" w:hAnsi="宋体" w:eastAsia="宋体"/>
          <w:color w:val="auto"/>
          <w:sz w:val="24"/>
          <w:szCs w:val="20"/>
          <w:highlight w:val="none"/>
          <w:lang w:eastAsia="zh-CN"/>
        </w:rPr>
        <w:t>18.6专项验收</w:t>
      </w:r>
      <w:bookmarkEnd w:id="1082"/>
      <w:bookmarkEnd w:id="1083"/>
      <w:bookmarkEnd w:id="1084"/>
      <w:bookmarkEnd w:id="1085"/>
      <w:bookmarkEnd w:id="1086"/>
      <w:bookmarkEnd w:id="1087"/>
    </w:p>
    <w:p w14:paraId="027E9EAB">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18.6.1</w:t>
      </w:r>
      <w:r>
        <w:rPr>
          <w:rStyle w:val="19"/>
          <w:rFonts w:hint="default"/>
          <w:color w:val="auto"/>
          <w:sz w:val="24"/>
          <w:szCs w:val="20"/>
          <w:highlight w:val="none"/>
        </w:rPr>
        <w:t>发包人负责提出专项验收申请报告。承包人应按专项验收的相关规定参加专项验收。专项验收的具体类别在专用合同条款中约定。</w:t>
      </w:r>
    </w:p>
    <w:p w14:paraId="6C58CE58">
      <w:pPr>
        <w:pStyle w:val="31"/>
        <w:pageBreakBefore w:val="0"/>
        <w:widowControl w:val="0"/>
        <w:kinsoku/>
        <w:wordWrap/>
        <w:overflowPunct/>
        <w:topLinePunct w:val="0"/>
        <w:autoSpaceDE/>
        <w:autoSpaceDN/>
        <w:bidi w:val="0"/>
        <w:adjustRightInd/>
        <w:snapToGrid/>
        <w:spacing w:beforeLines="0" w:after="140" w:afterLines="0" w:line="440" w:lineRule="exact"/>
        <w:ind w:firstLine="420"/>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18.6.</w:t>
      </w:r>
      <w:r>
        <w:rPr>
          <w:rStyle w:val="19"/>
          <w:rFonts w:hint="eastAsia" w:ascii="Times New Roman" w:hAnsi="Times New Roman" w:eastAsia="Times New Roman" w:cs="Times New Roman"/>
          <w:color w:val="auto"/>
          <w:sz w:val="24"/>
          <w:szCs w:val="24"/>
          <w:highlight w:val="none"/>
        </w:rPr>
        <w:t>2</w:t>
      </w:r>
      <w:r>
        <w:rPr>
          <w:rStyle w:val="19"/>
          <w:rFonts w:hint="default"/>
          <w:color w:val="auto"/>
          <w:sz w:val="24"/>
          <w:szCs w:val="20"/>
          <w:highlight w:val="none"/>
        </w:rPr>
        <w:t>承包应及时完成专项验收成果性文件载明应由承包人处理的遗留问题。</w:t>
      </w:r>
    </w:p>
    <w:p w14:paraId="773FC189">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1088" w:name="bookmark1417"/>
      <w:bookmarkStart w:id="1089" w:name="bookmark1415"/>
      <w:bookmarkStart w:id="1090" w:name="_Toc31377"/>
      <w:bookmarkStart w:id="1091" w:name="_Toc256000137"/>
      <w:bookmarkStart w:id="1092" w:name="_Toc13138"/>
      <w:bookmarkStart w:id="1093" w:name="bookmark1416"/>
      <w:r>
        <w:rPr>
          <w:rStyle w:val="19"/>
          <w:rFonts w:hint="default" w:ascii="宋体" w:hAnsi="宋体" w:eastAsia="宋体"/>
          <w:color w:val="auto"/>
          <w:sz w:val="24"/>
          <w:szCs w:val="20"/>
          <w:highlight w:val="none"/>
          <w:lang w:eastAsia="zh-CN"/>
        </w:rPr>
        <w:t>18.7竣工验收</w:t>
      </w:r>
      <w:bookmarkEnd w:id="1088"/>
      <w:bookmarkEnd w:id="1089"/>
      <w:bookmarkEnd w:id="1090"/>
      <w:bookmarkEnd w:id="1091"/>
      <w:bookmarkEnd w:id="1092"/>
      <w:bookmarkEnd w:id="1093"/>
    </w:p>
    <w:p w14:paraId="18A042E3">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eastAsia" w:ascii="Times New Roman" w:hAnsi="Times New Roman" w:eastAsia="Times New Roman" w:cs="Times New Roman"/>
          <w:color w:val="auto"/>
          <w:sz w:val="24"/>
          <w:szCs w:val="24"/>
          <w:highlight w:val="none"/>
        </w:rPr>
      </w:pPr>
      <w:r>
        <w:rPr>
          <w:rStyle w:val="19"/>
          <w:rFonts w:hint="eastAsia" w:ascii="Times New Roman" w:hAnsi="Times New Roman" w:eastAsia="Times New Roman" w:cs="Times New Roman"/>
          <w:color w:val="auto"/>
          <w:sz w:val="24"/>
          <w:szCs w:val="24"/>
          <w:highlight w:val="none"/>
          <w:lang w:val="en-US" w:bidi="en-US"/>
        </w:rPr>
        <w:t>18.7.1</w:t>
      </w:r>
      <w:r>
        <w:rPr>
          <w:rStyle w:val="19"/>
          <w:rFonts w:hint="default" w:hAnsi="Times New Roman" w:cs="Times New Roman"/>
          <w:color w:val="auto"/>
          <w:sz w:val="24"/>
          <w:szCs w:val="24"/>
          <w:highlight w:val="none"/>
        </w:rPr>
        <w:t>申请竣工验收前，发包人组织竣工验收自查，承包人应派项目经理或技术负责人参加。</w:t>
      </w:r>
    </w:p>
    <w:p w14:paraId="1E67A73A">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18.7.2</w:t>
      </w:r>
      <w:r>
        <w:rPr>
          <w:rStyle w:val="19"/>
          <w:rFonts w:hint="default"/>
          <w:color w:val="auto"/>
          <w:sz w:val="24"/>
          <w:szCs w:val="20"/>
          <w:highlight w:val="none"/>
        </w:rPr>
        <w:t>竣工验收分为竣工技术预验收和竣工验收两个阶段，发包人应通知承包人派法定代表人或项目经理参加技术预验收和竣工验收。</w:t>
      </w:r>
    </w:p>
    <w:p w14:paraId="52F87206">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18.7.3</w:t>
      </w:r>
      <w:r>
        <w:rPr>
          <w:rStyle w:val="19"/>
          <w:rFonts w:hint="default"/>
          <w:color w:val="auto"/>
          <w:sz w:val="24"/>
          <w:szCs w:val="20"/>
          <w:highlight w:val="none"/>
        </w:rPr>
        <w:t>专用合同条款约定工程需要进行技术鉴定的，承包人应提交有关资料并完成配合工作。</w:t>
      </w:r>
    </w:p>
    <w:p w14:paraId="022E01A7">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18.7.4</w:t>
      </w:r>
      <w:r>
        <w:rPr>
          <w:rStyle w:val="19"/>
          <w:rFonts w:hint="default"/>
          <w:color w:val="auto"/>
          <w:sz w:val="24"/>
          <w:szCs w:val="20"/>
          <w:highlight w:val="none"/>
        </w:rPr>
        <w:t>竣工验收需要进行质量检测的，所需费用由发包人承担，但因承包人原因造成质量不合格的除外。</w:t>
      </w:r>
    </w:p>
    <w:p w14:paraId="1943F9F4">
      <w:pPr>
        <w:pStyle w:val="31"/>
        <w:pageBreakBefore w:val="0"/>
        <w:widowControl w:val="0"/>
        <w:kinsoku/>
        <w:wordWrap/>
        <w:overflowPunct/>
        <w:topLinePunct w:val="0"/>
        <w:autoSpaceDE/>
        <w:autoSpaceDN/>
        <w:bidi w:val="0"/>
        <w:adjustRightInd/>
        <w:snapToGrid/>
        <w:spacing w:beforeLines="0" w:after="140" w:afterLines="0" w:line="440" w:lineRule="exact"/>
        <w:ind w:firstLine="44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18.7.5</w:t>
      </w:r>
      <w:r>
        <w:rPr>
          <w:rStyle w:val="19"/>
          <w:rFonts w:hint="default"/>
          <w:color w:val="auto"/>
          <w:sz w:val="24"/>
          <w:szCs w:val="20"/>
          <w:highlight w:val="none"/>
        </w:rPr>
        <w:t>工程质量保修期满以及竣工验收遗留问题和尾工处理完成并通过验收后，发包人负责将处理情况和验收成果报送竣工验收主持单位，申请领取工程竣工证书，并发送承包人。</w:t>
      </w:r>
    </w:p>
    <w:p w14:paraId="1A3D7DDD">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1094" w:name="bookmark1418"/>
      <w:bookmarkStart w:id="1095" w:name="_Toc256000138"/>
      <w:bookmarkStart w:id="1096" w:name="_Toc7258"/>
      <w:bookmarkStart w:id="1097" w:name="_Toc28956"/>
      <w:bookmarkStart w:id="1098" w:name="bookmark1419"/>
      <w:bookmarkStart w:id="1099" w:name="bookmark1420"/>
      <w:r>
        <w:rPr>
          <w:rStyle w:val="19"/>
          <w:rFonts w:hint="default" w:ascii="宋体" w:hAnsi="宋体" w:eastAsia="宋体"/>
          <w:color w:val="auto"/>
          <w:sz w:val="24"/>
          <w:szCs w:val="20"/>
          <w:highlight w:val="none"/>
          <w:lang w:eastAsia="zh-CN"/>
        </w:rPr>
        <w:t>18.8施工期运行</w:t>
      </w:r>
      <w:bookmarkEnd w:id="1094"/>
      <w:bookmarkEnd w:id="1095"/>
      <w:bookmarkEnd w:id="1096"/>
      <w:bookmarkEnd w:id="1097"/>
      <w:bookmarkEnd w:id="1098"/>
      <w:bookmarkEnd w:id="1099"/>
    </w:p>
    <w:p w14:paraId="0F04EA65">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18.8.1</w:t>
      </w:r>
      <w:r>
        <w:rPr>
          <w:rStyle w:val="19"/>
          <w:rFonts w:hint="default"/>
          <w:color w:val="auto"/>
          <w:sz w:val="24"/>
          <w:szCs w:val="20"/>
          <w:highlight w:val="none"/>
        </w:rPr>
        <w:t>施工期运行是指合同工程尚未全部完工，其中某单位工程或部分工程已完工, 需要投入施工期运行的，经发包人按第</w:t>
      </w:r>
      <w:r>
        <w:rPr>
          <w:rStyle w:val="19"/>
          <w:rFonts w:hint="eastAsia" w:ascii="Times New Roman" w:hAnsi="Times New Roman" w:eastAsia="Times New Roman" w:cs="Times New Roman"/>
          <w:color w:val="auto"/>
          <w:sz w:val="24"/>
          <w:szCs w:val="24"/>
          <w:highlight w:val="none"/>
          <w:lang w:val="en-US" w:bidi="en-US"/>
        </w:rPr>
        <w:t xml:space="preserve">18. </w:t>
      </w:r>
      <w:r>
        <w:rPr>
          <w:rStyle w:val="19"/>
          <w:rFonts w:hint="eastAsia" w:ascii="Times New Roman" w:hAnsi="Times New Roman" w:eastAsia="Times New Roman" w:cs="Times New Roman"/>
          <w:color w:val="auto"/>
          <w:sz w:val="24"/>
          <w:szCs w:val="24"/>
          <w:highlight w:val="none"/>
        </w:rPr>
        <w:t>2</w:t>
      </w:r>
      <w:r>
        <w:rPr>
          <w:rStyle w:val="19"/>
          <w:rFonts w:hint="default"/>
          <w:color w:val="auto"/>
          <w:sz w:val="24"/>
          <w:szCs w:val="20"/>
          <w:highlight w:val="none"/>
        </w:rPr>
        <w:t>款或第</w:t>
      </w:r>
      <w:r>
        <w:rPr>
          <w:rStyle w:val="19"/>
          <w:rFonts w:hint="eastAsia" w:ascii="Times New Roman" w:hAnsi="Times New Roman" w:eastAsia="Times New Roman" w:cs="Times New Roman"/>
          <w:color w:val="auto"/>
          <w:sz w:val="24"/>
          <w:szCs w:val="24"/>
          <w:highlight w:val="none"/>
          <w:lang w:val="en-US" w:bidi="en-US"/>
        </w:rPr>
        <w:t xml:space="preserve">18. </w:t>
      </w:r>
      <w:r>
        <w:rPr>
          <w:rStyle w:val="19"/>
          <w:rFonts w:hint="eastAsia" w:ascii="Times New Roman" w:hAnsi="Times New Roman" w:eastAsia="Times New Roman" w:cs="Times New Roman"/>
          <w:color w:val="auto"/>
          <w:sz w:val="24"/>
          <w:szCs w:val="24"/>
          <w:highlight w:val="none"/>
        </w:rPr>
        <w:t>3</w:t>
      </w:r>
      <w:r>
        <w:rPr>
          <w:rStyle w:val="19"/>
          <w:rFonts w:hint="default"/>
          <w:color w:val="auto"/>
          <w:sz w:val="24"/>
          <w:szCs w:val="20"/>
          <w:highlight w:val="none"/>
        </w:rPr>
        <w:t>款的约定验收合格，证明能确保安全后，才能在施工期投入运行。需要在施工期运行的单位工程或部分工程在专用合同条款中约定。</w:t>
      </w:r>
    </w:p>
    <w:p w14:paraId="3F3E8826">
      <w:pPr>
        <w:pStyle w:val="31"/>
        <w:pageBreakBefore w:val="0"/>
        <w:widowControl w:val="0"/>
        <w:kinsoku/>
        <w:wordWrap/>
        <w:overflowPunct/>
        <w:topLinePunct w:val="0"/>
        <w:autoSpaceDE/>
        <w:autoSpaceDN/>
        <w:bidi w:val="0"/>
        <w:adjustRightInd/>
        <w:snapToGrid/>
        <w:spacing w:beforeLines="0" w:after="140" w:afterLines="0" w:line="440" w:lineRule="exact"/>
        <w:ind w:firstLine="44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18.8.2</w:t>
      </w:r>
      <w:r>
        <w:rPr>
          <w:rStyle w:val="19"/>
          <w:rFonts w:hint="default"/>
          <w:color w:val="auto"/>
          <w:sz w:val="24"/>
          <w:szCs w:val="20"/>
          <w:highlight w:val="none"/>
        </w:rPr>
        <w:t>在施工期运行中发现工程或工程设备损坏或存在缺陷的，由承包人按第</w:t>
      </w:r>
      <w:r>
        <w:rPr>
          <w:rStyle w:val="19"/>
          <w:rFonts w:hint="eastAsia" w:ascii="Times New Roman" w:hAnsi="Times New Roman" w:eastAsia="Times New Roman" w:cs="Times New Roman"/>
          <w:color w:val="auto"/>
          <w:sz w:val="24"/>
          <w:szCs w:val="24"/>
          <w:highlight w:val="none"/>
          <w:lang w:val="en-US" w:bidi="en-US"/>
        </w:rPr>
        <w:t xml:space="preserve">19. </w:t>
      </w:r>
      <w:r>
        <w:rPr>
          <w:rStyle w:val="19"/>
          <w:rFonts w:hint="eastAsia" w:ascii="Times New Roman" w:hAnsi="Times New Roman" w:eastAsia="Times New Roman" w:cs="Times New Roman"/>
          <w:color w:val="auto"/>
          <w:sz w:val="24"/>
          <w:szCs w:val="24"/>
          <w:highlight w:val="none"/>
        </w:rPr>
        <w:t xml:space="preserve">2 </w:t>
      </w:r>
      <w:r>
        <w:rPr>
          <w:rStyle w:val="19"/>
          <w:rFonts w:hint="default"/>
          <w:color w:val="auto"/>
          <w:sz w:val="24"/>
          <w:szCs w:val="20"/>
          <w:highlight w:val="none"/>
        </w:rPr>
        <w:t>款约定进行修复。</w:t>
      </w:r>
    </w:p>
    <w:p w14:paraId="1A60FC8A">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1100" w:name="_Toc20150"/>
      <w:bookmarkStart w:id="1101" w:name="_Toc6863"/>
      <w:bookmarkStart w:id="1102" w:name="bookmark1421"/>
      <w:bookmarkStart w:id="1103" w:name="_Toc256000139"/>
      <w:bookmarkStart w:id="1104" w:name="bookmark1422"/>
      <w:bookmarkStart w:id="1105" w:name="bookmark1423"/>
      <w:r>
        <w:rPr>
          <w:rStyle w:val="19"/>
          <w:rFonts w:hint="default" w:ascii="宋体" w:hAnsi="宋体" w:eastAsia="宋体"/>
          <w:color w:val="auto"/>
          <w:sz w:val="24"/>
          <w:szCs w:val="20"/>
          <w:highlight w:val="none"/>
          <w:lang w:eastAsia="zh-CN"/>
        </w:rPr>
        <w:t>18.9试运行</w:t>
      </w:r>
      <w:bookmarkEnd w:id="1100"/>
      <w:bookmarkEnd w:id="1101"/>
      <w:bookmarkEnd w:id="1102"/>
      <w:bookmarkEnd w:id="1103"/>
      <w:bookmarkEnd w:id="1104"/>
      <w:bookmarkEnd w:id="1105"/>
    </w:p>
    <w:p w14:paraId="60A5C8AE">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18.9.1</w:t>
      </w:r>
      <w:r>
        <w:rPr>
          <w:rStyle w:val="19"/>
          <w:rFonts w:hint="default"/>
          <w:color w:val="auto"/>
          <w:sz w:val="24"/>
          <w:szCs w:val="20"/>
          <w:highlight w:val="none"/>
        </w:rPr>
        <w:t>除专用合同条款另有约定外，承包人应按规定进行工程及工程设备试运行, 负责提供试运行所需的人员、器材和必要的条件，并承担全部试运行费用。</w:t>
      </w:r>
    </w:p>
    <w:p w14:paraId="3A925C53">
      <w:pPr>
        <w:pStyle w:val="31"/>
        <w:pageBreakBefore w:val="0"/>
        <w:widowControl w:val="0"/>
        <w:kinsoku/>
        <w:wordWrap/>
        <w:overflowPunct/>
        <w:topLinePunct w:val="0"/>
        <w:autoSpaceDE/>
        <w:autoSpaceDN/>
        <w:bidi w:val="0"/>
        <w:adjustRightInd/>
        <w:snapToGrid/>
        <w:spacing w:beforeLines="0" w:after="240" w:afterLines="0" w:line="440" w:lineRule="exact"/>
        <w:ind w:firstLine="511" w:firstLineChars="213"/>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18.9.2</w:t>
      </w:r>
      <w:r>
        <w:rPr>
          <w:rStyle w:val="19"/>
          <w:rFonts w:hint="default"/>
          <w:color w:val="auto"/>
          <w:sz w:val="24"/>
          <w:szCs w:val="20"/>
          <w:highlight w:val="none"/>
        </w:rPr>
        <w:t>由于承包人的原因导致试运行失败的，承包人应采取措施保证试运行合格, 并承担相应费用。由于发包人的原因导致试运行失败的，承包人应当采取措施保证试运行合格，发包人应承担由此产生的费用，并支付承包人合理利润。</w:t>
      </w:r>
      <w:bookmarkStart w:id="1106" w:name="bookmark1411"/>
      <w:bookmarkEnd w:id="1106"/>
    </w:p>
    <w:p w14:paraId="5D2A329E">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1107" w:name="bookmark1425"/>
      <w:bookmarkStart w:id="1108" w:name="_Toc3577"/>
      <w:bookmarkStart w:id="1109" w:name="_Toc1706"/>
      <w:bookmarkStart w:id="1110" w:name="bookmark1426"/>
      <w:bookmarkStart w:id="1111" w:name="bookmark1424"/>
      <w:bookmarkStart w:id="1112" w:name="_Toc256000140"/>
      <w:r>
        <w:rPr>
          <w:rStyle w:val="19"/>
          <w:rFonts w:hint="default" w:ascii="宋体" w:hAnsi="宋体" w:eastAsia="宋体"/>
          <w:color w:val="auto"/>
          <w:sz w:val="24"/>
          <w:szCs w:val="20"/>
          <w:highlight w:val="none"/>
          <w:lang w:eastAsia="zh-CN"/>
        </w:rPr>
        <w:t>18.10竣工（完工）清场</w:t>
      </w:r>
      <w:bookmarkEnd w:id="1107"/>
      <w:bookmarkEnd w:id="1108"/>
      <w:bookmarkEnd w:id="1109"/>
      <w:bookmarkEnd w:id="1110"/>
      <w:bookmarkEnd w:id="1111"/>
      <w:bookmarkEnd w:id="1112"/>
    </w:p>
    <w:p w14:paraId="291DBE64">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eastAsia" w:ascii="Times New Roman" w:hAnsi="Times New Roman" w:eastAsia="Times New Roman" w:cs="Times New Roman"/>
          <w:color w:val="auto"/>
          <w:sz w:val="24"/>
          <w:szCs w:val="24"/>
          <w:highlight w:val="none"/>
        </w:rPr>
      </w:pPr>
      <w:r>
        <w:rPr>
          <w:rStyle w:val="19"/>
          <w:rFonts w:hint="eastAsia" w:ascii="Times New Roman" w:hAnsi="Times New Roman" w:eastAsia="Times New Roman" w:cs="Times New Roman"/>
          <w:color w:val="auto"/>
          <w:sz w:val="24"/>
          <w:szCs w:val="24"/>
          <w:highlight w:val="none"/>
          <w:lang w:val="en-US" w:bidi="en-US"/>
        </w:rPr>
        <w:t>18.10.1</w:t>
      </w:r>
      <w:r>
        <w:rPr>
          <w:rStyle w:val="19"/>
          <w:rFonts w:hint="default" w:hAnsi="Times New Roman" w:cs="Times New Roman"/>
          <w:color w:val="auto"/>
          <w:sz w:val="24"/>
          <w:szCs w:val="24"/>
          <w:highlight w:val="none"/>
        </w:rPr>
        <w:t>工程项目竣工（完工）清场的工作范围和内容在技术标准和要求（合同技术条款）中约定。</w:t>
      </w:r>
    </w:p>
    <w:p w14:paraId="69D9EE9A">
      <w:pPr>
        <w:pStyle w:val="31"/>
        <w:pageBreakBefore w:val="0"/>
        <w:widowControl w:val="0"/>
        <w:kinsoku/>
        <w:wordWrap/>
        <w:overflowPunct/>
        <w:topLinePunct w:val="0"/>
        <w:autoSpaceDE/>
        <w:autoSpaceDN/>
        <w:bidi w:val="0"/>
        <w:adjustRightInd/>
        <w:snapToGrid/>
        <w:spacing w:beforeLines="0" w:after="240" w:afterLines="0" w:line="440" w:lineRule="exact"/>
        <w:ind w:firstLine="44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18.10.2</w:t>
      </w:r>
      <w:r>
        <w:rPr>
          <w:rStyle w:val="19"/>
          <w:rFonts w:hint="default"/>
          <w:color w:val="auto"/>
          <w:sz w:val="24"/>
          <w:szCs w:val="20"/>
          <w:highlight w:val="none"/>
        </w:rPr>
        <w:t>承包未按监理人的要求恢复临时占地，或者场地清理未达到合同约定的，发包人有权委托其它人恢复或清理，所发生的金额从拟支付给承包人的款项中扣除。</w:t>
      </w:r>
    </w:p>
    <w:p w14:paraId="5BB712E7">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1113" w:name="_Toc256000141"/>
      <w:bookmarkStart w:id="1114" w:name="bookmark1427"/>
      <w:bookmarkStart w:id="1115" w:name="bookmark1429"/>
      <w:bookmarkStart w:id="1116" w:name="_Toc22352"/>
      <w:bookmarkStart w:id="1117" w:name="bookmark1428"/>
      <w:bookmarkStart w:id="1118" w:name="_Toc28474"/>
      <w:r>
        <w:rPr>
          <w:rStyle w:val="19"/>
          <w:rFonts w:hint="default" w:ascii="宋体" w:hAnsi="宋体" w:eastAsia="宋体"/>
          <w:color w:val="auto"/>
          <w:sz w:val="24"/>
          <w:szCs w:val="20"/>
          <w:highlight w:val="none"/>
          <w:lang w:eastAsia="zh-CN"/>
        </w:rPr>
        <w:t>18.11施工队伍的撤离</w:t>
      </w:r>
      <w:bookmarkEnd w:id="1113"/>
      <w:bookmarkEnd w:id="1114"/>
      <w:bookmarkEnd w:id="1115"/>
      <w:bookmarkEnd w:id="1116"/>
      <w:bookmarkEnd w:id="1117"/>
      <w:bookmarkEnd w:id="1118"/>
    </w:p>
    <w:p w14:paraId="68E2E2B1">
      <w:pPr>
        <w:pStyle w:val="31"/>
        <w:pageBreakBefore w:val="0"/>
        <w:widowControl w:val="0"/>
        <w:kinsoku/>
        <w:wordWrap/>
        <w:overflowPunct/>
        <w:topLinePunct w:val="0"/>
        <w:autoSpaceDE/>
        <w:autoSpaceDN/>
        <w:bidi w:val="0"/>
        <w:adjustRightInd/>
        <w:snapToGrid/>
        <w:spacing w:beforeLines="0" w:after="300" w:afterLines="0" w:line="440" w:lineRule="exact"/>
        <w:ind w:firstLine="420"/>
        <w:jc w:val="both"/>
        <w:textAlignment w:val="auto"/>
        <w:rPr>
          <w:rStyle w:val="19"/>
          <w:rFonts w:hint="default"/>
          <w:color w:val="auto"/>
          <w:sz w:val="24"/>
          <w:szCs w:val="20"/>
          <w:highlight w:val="none"/>
        </w:rPr>
      </w:pPr>
      <w:r>
        <w:rPr>
          <w:rStyle w:val="19"/>
          <w:rFonts w:hint="default"/>
          <w:color w:val="auto"/>
          <w:sz w:val="24"/>
          <w:szCs w:val="20"/>
          <w:highlight w:val="none"/>
        </w:rPr>
        <w:t>合同工程完工证书颁发后的</w:t>
      </w:r>
      <w:r>
        <w:rPr>
          <w:rStyle w:val="19"/>
          <w:rFonts w:hint="eastAsia" w:ascii="Times New Roman" w:hAnsi="Times New Roman" w:eastAsia="Times New Roman" w:cs="Times New Roman"/>
          <w:color w:val="auto"/>
          <w:sz w:val="24"/>
          <w:szCs w:val="24"/>
          <w:highlight w:val="none"/>
        </w:rPr>
        <w:t>56</w:t>
      </w:r>
      <w:r>
        <w:rPr>
          <w:rStyle w:val="19"/>
          <w:rFonts w:hint="default"/>
          <w:color w:val="auto"/>
          <w:sz w:val="24"/>
          <w:szCs w:val="20"/>
          <w:highlight w:val="none"/>
        </w:rPr>
        <w:t>天内，除了经监理人同意需在缺陷责任期内继续工作和使用的人员、施工设备和临时工程外，其余的人员、施工设备和临时工程均应撤离施工场地或拆除。除合同另有约定外，缺陷责任期满时, 承包人的人员和施工设备应全部撤离施工场地。</w:t>
      </w:r>
    </w:p>
    <w:p w14:paraId="7C6197CC">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eastAsia"/>
          <w:color w:val="auto"/>
          <w:sz w:val="24"/>
          <w:szCs w:val="20"/>
          <w:highlight w:val="none"/>
          <w:lang w:eastAsia="zh-CN"/>
        </w:rPr>
      </w:pPr>
      <w:bookmarkStart w:id="1119" w:name="bookmark1430"/>
      <w:bookmarkStart w:id="1120" w:name="bookmark1431"/>
      <w:bookmarkStart w:id="1121" w:name="_Toc256000142"/>
      <w:bookmarkStart w:id="1122" w:name="_Toc15410"/>
      <w:bookmarkStart w:id="1123" w:name="_Toc1913"/>
      <w:bookmarkStart w:id="1124" w:name="bookmark1432"/>
      <w:r>
        <w:rPr>
          <w:rStyle w:val="19"/>
          <w:rFonts w:hint="eastAsia"/>
          <w:color w:val="auto"/>
          <w:sz w:val="24"/>
          <w:szCs w:val="20"/>
          <w:highlight w:val="none"/>
          <w:lang w:eastAsia="zh-CN"/>
        </w:rPr>
        <w:t>19.</w:t>
      </w:r>
      <w:r>
        <w:rPr>
          <w:rStyle w:val="19"/>
          <w:rFonts w:hint="default" w:ascii="宋体" w:eastAsia="宋体"/>
          <w:color w:val="auto"/>
          <w:sz w:val="24"/>
          <w:szCs w:val="20"/>
          <w:highlight w:val="none"/>
          <w:lang w:eastAsia="zh-CN"/>
        </w:rPr>
        <w:t>缺陷责任与保修责任</w:t>
      </w:r>
      <w:bookmarkEnd w:id="1119"/>
      <w:bookmarkEnd w:id="1120"/>
      <w:bookmarkEnd w:id="1121"/>
      <w:bookmarkEnd w:id="1122"/>
      <w:bookmarkEnd w:id="1123"/>
      <w:bookmarkEnd w:id="1124"/>
    </w:p>
    <w:p w14:paraId="14BB06B7">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1125" w:name="_Toc256000143"/>
      <w:bookmarkStart w:id="1126" w:name="bookmark1435"/>
      <w:bookmarkStart w:id="1127" w:name="_Toc22913"/>
      <w:bookmarkStart w:id="1128" w:name="bookmark1433"/>
      <w:bookmarkStart w:id="1129" w:name="_Toc13406"/>
      <w:bookmarkStart w:id="1130" w:name="bookmark1434"/>
      <w:r>
        <w:rPr>
          <w:rStyle w:val="19"/>
          <w:rFonts w:hint="default" w:ascii="宋体" w:hAnsi="宋体" w:eastAsia="宋体"/>
          <w:color w:val="auto"/>
          <w:sz w:val="24"/>
          <w:szCs w:val="20"/>
          <w:highlight w:val="none"/>
          <w:lang w:eastAsia="zh-CN"/>
        </w:rPr>
        <w:t>19.1缺陷责任期的起算时间</w:t>
      </w:r>
      <w:bookmarkEnd w:id="1125"/>
      <w:bookmarkEnd w:id="1126"/>
      <w:bookmarkEnd w:id="1127"/>
      <w:bookmarkEnd w:id="1128"/>
      <w:bookmarkEnd w:id="1129"/>
      <w:bookmarkEnd w:id="1130"/>
    </w:p>
    <w:p w14:paraId="57011365">
      <w:pPr>
        <w:pStyle w:val="31"/>
        <w:pageBreakBefore w:val="0"/>
        <w:widowControl w:val="0"/>
        <w:kinsoku/>
        <w:wordWrap/>
        <w:overflowPunct/>
        <w:topLinePunct w:val="0"/>
        <w:autoSpaceDE/>
        <w:autoSpaceDN/>
        <w:bidi w:val="0"/>
        <w:adjustRightInd/>
        <w:snapToGrid/>
        <w:spacing w:beforeLines="0" w:after="160" w:afterLines="0" w:line="440" w:lineRule="exact"/>
        <w:ind w:firstLine="440"/>
        <w:jc w:val="both"/>
        <w:textAlignment w:val="auto"/>
        <w:rPr>
          <w:rStyle w:val="19"/>
          <w:rFonts w:hint="default"/>
          <w:color w:val="auto"/>
          <w:sz w:val="24"/>
          <w:szCs w:val="20"/>
          <w:highlight w:val="none"/>
        </w:rPr>
      </w:pPr>
      <w:r>
        <w:rPr>
          <w:rStyle w:val="19"/>
          <w:rFonts w:hint="default"/>
          <w:color w:val="auto"/>
          <w:sz w:val="24"/>
          <w:szCs w:val="20"/>
          <w:highlight w:val="none"/>
        </w:rPr>
        <w:t>除专用合同条款另有约定外，缺陷责任期从工程通过合同工程完 工验收后开始计算。在合同工程完工验收前，已经发包人提前验收的单位工程或部分工程, 若未投入使用，其缺陷责任期亦从工程通过合同工程完工验收后开始计算；若已投入使用，其缺陷责任期从通过单位工程或部分工程投入使用验收后开始计算。缺陷责任期的期限在专用合同条款中约定。</w:t>
      </w:r>
    </w:p>
    <w:p w14:paraId="296A7762">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1131" w:name="bookmark1438"/>
      <w:bookmarkStart w:id="1132" w:name="_Toc27743"/>
      <w:bookmarkStart w:id="1133" w:name="_Toc4030"/>
      <w:bookmarkStart w:id="1134" w:name="bookmark1436"/>
      <w:bookmarkStart w:id="1135" w:name="_Toc256000144"/>
      <w:bookmarkStart w:id="1136" w:name="bookmark1437"/>
      <w:r>
        <w:rPr>
          <w:rStyle w:val="19"/>
          <w:rFonts w:hint="default" w:ascii="宋体" w:hAnsi="宋体" w:eastAsia="宋体"/>
          <w:color w:val="auto"/>
          <w:sz w:val="24"/>
          <w:szCs w:val="20"/>
          <w:highlight w:val="none"/>
          <w:lang w:eastAsia="zh-CN"/>
        </w:rPr>
        <w:t>19.2缺陷责任</w:t>
      </w:r>
      <w:bookmarkEnd w:id="1131"/>
      <w:bookmarkEnd w:id="1132"/>
      <w:bookmarkEnd w:id="1133"/>
      <w:bookmarkEnd w:id="1134"/>
      <w:bookmarkEnd w:id="1135"/>
      <w:bookmarkEnd w:id="1136"/>
    </w:p>
    <w:p w14:paraId="4C54FD8E">
      <w:pPr>
        <w:pStyle w:val="31"/>
        <w:pageBreakBefore w:val="0"/>
        <w:widowControl w:val="0"/>
        <w:tabs>
          <w:tab w:val="left" w:pos="853"/>
        </w:tabs>
        <w:kinsoku/>
        <w:wordWrap/>
        <w:overflowPunct/>
        <w:topLinePunct w:val="0"/>
        <w:autoSpaceDE/>
        <w:autoSpaceDN/>
        <w:bidi w:val="0"/>
        <w:adjustRightInd/>
        <w:snapToGrid/>
        <w:spacing w:beforeLines="0" w:afterLines="0" w:line="440" w:lineRule="exact"/>
        <w:ind w:left="440" w:firstLine="0"/>
        <w:jc w:val="both"/>
        <w:textAlignment w:val="auto"/>
        <w:rPr>
          <w:rStyle w:val="19"/>
          <w:rFonts w:hint="default"/>
          <w:color w:val="auto"/>
          <w:sz w:val="24"/>
          <w:szCs w:val="20"/>
          <w:highlight w:val="none"/>
        </w:rPr>
      </w:pPr>
      <w:bookmarkStart w:id="1137" w:name="bookmark1439"/>
      <w:bookmarkEnd w:id="1137"/>
      <w:r>
        <w:rPr>
          <w:rStyle w:val="19"/>
          <w:rFonts w:hint="eastAsia" w:ascii="Times New Roman" w:hAnsi="Times New Roman" w:eastAsia="Times New Roman" w:cs="Times New Roman"/>
          <w:color w:val="auto"/>
          <w:sz w:val="24"/>
          <w:szCs w:val="24"/>
          <w:highlight w:val="none"/>
          <w:lang w:val="en-US" w:bidi="en-US"/>
        </w:rPr>
        <w:t xml:space="preserve">19.2. </w:t>
      </w:r>
      <w:r>
        <w:rPr>
          <w:rStyle w:val="19"/>
          <w:rFonts w:hint="eastAsia" w:ascii="Times New Roman" w:hAnsi="Times New Roman" w:eastAsia="Times New Roman" w:cs="Times New Roman"/>
          <w:color w:val="auto"/>
          <w:sz w:val="24"/>
          <w:szCs w:val="24"/>
          <w:highlight w:val="none"/>
        </w:rPr>
        <w:t>1</w:t>
      </w:r>
      <w:r>
        <w:rPr>
          <w:rStyle w:val="19"/>
          <w:rFonts w:hint="default"/>
          <w:color w:val="auto"/>
          <w:sz w:val="24"/>
          <w:szCs w:val="20"/>
          <w:highlight w:val="none"/>
        </w:rPr>
        <w:t>承包人应在缺陷责任期内对已交付使用的工程承担缺陷责任。</w:t>
      </w:r>
    </w:p>
    <w:p w14:paraId="7D5871B2">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19.2.2</w:t>
      </w:r>
      <w:r>
        <w:rPr>
          <w:rStyle w:val="19"/>
          <w:rFonts w:hint="default"/>
          <w:color w:val="auto"/>
          <w:sz w:val="24"/>
          <w:szCs w:val="20"/>
          <w:highlight w:val="none"/>
        </w:rPr>
        <w:t>缺陷责任期内，发包人对已接收使用的工程负责日常维护工作。发包人在使用过程中，发现已接收的工程存在新的缺陷或已修复的缺陷部位或部件又遭损坏的，承包人应负责修复，直至检验合格为止。</w:t>
      </w:r>
    </w:p>
    <w:p w14:paraId="3C87F523">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19.2.3</w:t>
      </w:r>
      <w:r>
        <w:rPr>
          <w:rStyle w:val="19"/>
          <w:rFonts w:hint="default"/>
          <w:color w:val="auto"/>
          <w:sz w:val="24"/>
          <w:szCs w:val="20"/>
          <w:highlight w:val="none"/>
        </w:rPr>
        <w:t>监理人和承包人应共同查清缺陷和（或）损坏的原因。经查明属承包人原因造成的，应由承包人承担修复和查验的费用。经查验属发包人原因造成的，发包人应承担修复和查验的费用，并支付承包人合理利润。</w:t>
      </w:r>
    </w:p>
    <w:p w14:paraId="1696537F">
      <w:pPr>
        <w:pStyle w:val="31"/>
        <w:pageBreakBefore w:val="0"/>
        <w:widowControl w:val="0"/>
        <w:kinsoku/>
        <w:wordWrap/>
        <w:overflowPunct/>
        <w:topLinePunct w:val="0"/>
        <w:autoSpaceDE/>
        <w:autoSpaceDN/>
        <w:bidi w:val="0"/>
        <w:adjustRightInd/>
        <w:snapToGrid/>
        <w:spacing w:beforeLines="0" w:after="160" w:afterLines="0" w:line="440" w:lineRule="exact"/>
        <w:ind w:firstLine="44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19.2.4</w:t>
      </w:r>
      <w:r>
        <w:rPr>
          <w:rStyle w:val="19"/>
          <w:rFonts w:hint="default"/>
          <w:color w:val="auto"/>
          <w:sz w:val="24"/>
          <w:szCs w:val="20"/>
          <w:highlight w:val="none"/>
        </w:rPr>
        <w:t>承包人不能在合理时间内修复缺陷的，发包人可自行修复或委托其他人修复, 所需费用和利润的承担，按第</w:t>
      </w:r>
      <w:r>
        <w:rPr>
          <w:rStyle w:val="19"/>
          <w:rFonts w:hint="eastAsia" w:ascii="Times New Roman" w:hAnsi="Times New Roman" w:eastAsia="Times New Roman" w:cs="Times New Roman"/>
          <w:color w:val="auto"/>
          <w:sz w:val="24"/>
          <w:szCs w:val="24"/>
          <w:highlight w:val="none"/>
          <w:lang w:val="en-US" w:bidi="en-US"/>
        </w:rPr>
        <w:t xml:space="preserve">19. 2. </w:t>
      </w:r>
      <w:r>
        <w:rPr>
          <w:rStyle w:val="19"/>
          <w:rFonts w:hint="eastAsia" w:ascii="Times New Roman" w:hAnsi="Times New Roman" w:eastAsia="Times New Roman" w:cs="Times New Roman"/>
          <w:color w:val="auto"/>
          <w:sz w:val="24"/>
          <w:szCs w:val="24"/>
          <w:highlight w:val="none"/>
        </w:rPr>
        <w:t>3</w:t>
      </w:r>
      <w:r>
        <w:rPr>
          <w:rStyle w:val="19"/>
          <w:rFonts w:hint="default"/>
          <w:color w:val="auto"/>
          <w:sz w:val="24"/>
          <w:szCs w:val="20"/>
          <w:highlight w:val="none"/>
        </w:rPr>
        <w:t>项约定办理。</w:t>
      </w:r>
    </w:p>
    <w:p w14:paraId="6FDFABAA">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1138" w:name="_Toc18661"/>
      <w:bookmarkStart w:id="1139" w:name="bookmark1440"/>
      <w:bookmarkStart w:id="1140" w:name="bookmark1442"/>
      <w:bookmarkStart w:id="1141" w:name="_Toc19734"/>
      <w:bookmarkStart w:id="1142" w:name="bookmark1441"/>
      <w:bookmarkStart w:id="1143" w:name="_Toc256000145"/>
      <w:r>
        <w:rPr>
          <w:rStyle w:val="19"/>
          <w:rFonts w:hint="default" w:ascii="宋体" w:hAnsi="宋体" w:eastAsia="宋体"/>
          <w:color w:val="auto"/>
          <w:sz w:val="24"/>
          <w:szCs w:val="20"/>
          <w:highlight w:val="none"/>
          <w:lang w:eastAsia="zh-CN"/>
        </w:rPr>
        <w:t>19.3缺陷责任期的延长</w:t>
      </w:r>
      <w:bookmarkEnd w:id="1138"/>
      <w:bookmarkEnd w:id="1139"/>
      <w:bookmarkEnd w:id="1140"/>
      <w:bookmarkEnd w:id="1141"/>
      <w:bookmarkEnd w:id="1142"/>
      <w:bookmarkEnd w:id="1143"/>
    </w:p>
    <w:p w14:paraId="77C9EA2F">
      <w:pPr>
        <w:pStyle w:val="31"/>
        <w:pageBreakBefore w:val="0"/>
        <w:widowControl w:val="0"/>
        <w:kinsoku/>
        <w:wordWrap/>
        <w:overflowPunct/>
        <w:topLinePunct w:val="0"/>
        <w:autoSpaceDE/>
        <w:autoSpaceDN/>
        <w:bidi w:val="0"/>
        <w:adjustRightInd/>
        <w:snapToGrid/>
        <w:spacing w:beforeLines="0" w:after="160" w:afterLines="0" w:line="440" w:lineRule="exact"/>
        <w:ind w:firstLine="440"/>
        <w:jc w:val="both"/>
        <w:textAlignment w:val="auto"/>
        <w:rPr>
          <w:rStyle w:val="19"/>
          <w:rFonts w:hint="default"/>
          <w:color w:val="auto"/>
          <w:sz w:val="24"/>
          <w:szCs w:val="20"/>
          <w:highlight w:val="none"/>
        </w:rPr>
      </w:pPr>
      <w:r>
        <w:rPr>
          <w:rStyle w:val="19"/>
          <w:rFonts w:hint="default"/>
          <w:color w:val="auto"/>
          <w:sz w:val="24"/>
          <w:szCs w:val="20"/>
          <w:highlight w:val="none"/>
        </w:rPr>
        <w:t>由于承包人原因造成某项缺陷或损坏使某项工程或工程设备不能按原定目标使用而需要再次检查、检验和修复的，发包人有权要求承包人相应延长缺陷责任期，但缺陷责任期最长不超过</w:t>
      </w:r>
      <w:r>
        <w:rPr>
          <w:rStyle w:val="19"/>
          <w:rFonts w:hint="eastAsia" w:ascii="Times New Roman" w:hAnsi="Times New Roman" w:eastAsia="Times New Roman" w:cs="Times New Roman"/>
          <w:color w:val="auto"/>
          <w:sz w:val="24"/>
          <w:szCs w:val="24"/>
          <w:highlight w:val="none"/>
        </w:rPr>
        <w:t>2</w:t>
      </w:r>
      <w:r>
        <w:rPr>
          <w:rStyle w:val="19"/>
          <w:rFonts w:hint="default"/>
          <w:color w:val="auto"/>
          <w:sz w:val="24"/>
          <w:szCs w:val="20"/>
          <w:highlight w:val="none"/>
        </w:rPr>
        <w:t>年。</w:t>
      </w:r>
    </w:p>
    <w:p w14:paraId="783FDC64">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1144" w:name="bookmark1443"/>
      <w:bookmarkStart w:id="1145" w:name="_Toc10058"/>
      <w:bookmarkStart w:id="1146" w:name="_Toc256000146"/>
      <w:bookmarkStart w:id="1147" w:name="bookmark1445"/>
      <w:bookmarkStart w:id="1148" w:name="bookmark1444"/>
      <w:bookmarkStart w:id="1149" w:name="_Toc4593"/>
      <w:r>
        <w:rPr>
          <w:rStyle w:val="19"/>
          <w:rFonts w:hint="default" w:ascii="宋体" w:hAnsi="宋体" w:eastAsia="宋体"/>
          <w:color w:val="auto"/>
          <w:sz w:val="24"/>
          <w:szCs w:val="20"/>
          <w:highlight w:val="none"/>
          <w:lang w:eastAsia="zh-CN"/>
        </w:rPr>
        <w:t>19.4进一步试验和试运行</w:t>
      </w:r>
      <w:bookmarkEnd w:id="1144"/>
      <w:bookmarkEnd w:id="1145"/>
      <w:bookmarkEnd w:id="1146"/>
      <w:bookmarkEnd w:id="1147"/>
      <w:bookmarkEnd w:id="1148"/>
      <w:bookmarkEnd w:id="1149"/>
    </w:p>
    <w:p w14:paraId="1401501A">
      <w:pPr>
        <w:pStyle w:val="31"/>
        <w:pageBreakBefore w:val="0"/>
        <w:widowControl w:val="0"/>
        <w:kinsoku/>
        <w:wordWrap/>
        <w:overflowPunct/>
        <w:topLinePunct w:val="0"/>
        <w:autoSpaceDE/>
        <w:autoSpaceDN/>
        <w:bidi w:val="0"/>
        <w:adjustRightInd/>
        <w:snapToGrid/>
        <w:spacing w:beforeLines="0" w:after="160" w:afterLines="0" w:line="440" w:lineRule="exact"/>
        <w:ind w:firstLine="440"/>
        <w:jc w:val="both"/>
        <w:textAlignment w:val="auto"/>
        <w:rPr>
          <w:rStyle w:val="19"/>
          <w:rFonts w:hint="default"/>
          <w:color w:val="auto"/>
          <w:sz w:val="24"/>
          <w:szCs w:val="20"/>
          <w:highlight w:val="none"/>
        </w:rPr>
      </w:pPr>
      <w:r>
        <w:rPr>
          <w:rStyle w:val="19"/>
          <w:rFonts w:hint="default"/>
          <w:color w:val="auto"/>
          <w:sz w:val="24"/>
          <w:szCs w:val="20"/>
          <w:highlight w:val="none"/>
        </w:rPr>
        <w:t>任何一项缺陷或损坏修复后，经检查证明其影响了工程或工程设备的使用性能，承包人应重新进行合同约定的试验和试运行，试验和试运行的全部费用应由责任方承担。</w:t>
      </w:r>
    </w:p>
    <w:p w14:paraId="5C0F17C7">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1150" w:name="bookmark1447"/>
      <w:bookmarkStart w:id="1151" w:name="_Toc13710"/>
      <w:bookmarkStart w:id="1152" w:name="_Toc256000147"/>
      <w:bookmarkStart w:id="1153" w:name="bookmark1446"/>
      <w:bookmarkStart w:id="1154" w:name="bookmark1448"/>
      <w:bookmarkStart w:id="1155" w:name="_Toc27517"/>
      <w:r>
        <w:rPr>
          <w:rStyle w:val="19"/>
          <w:rFonts w:hint="default" w:ascii="宋体" w:hAnsi="宋体" w:eastAsia="宋体"/>
          <w:color w:val="auto"/>
          <w:sz w:val="24"/>
          <w:szCs w:val="20"/>
          <w:highlight w:val="none"/>
          <w:lang w:eastAsia="zh-CN"/>
        </w:rPr>
        <w:t>19.5承包人的进入权</w:t>
      </w:r>
      <w:bookmarkEnd w:id="1150"/>
      <w:bookmarkEnd w:id="1151"/>
      <w:bookmarkEnd w:id="1152"/>
      <w:bookmarkEnd w:id="1153"/>
      <w:bookmarkEnd w:id="1154"/>
      <w:bookmarkEnd w:id="1155"/>
    </w:p>
    <w:p w14:paraId="0019D23A">
      <w:pPr>
        <w:pStyle w:val="31"/>
        <w:pageBreakBefore w:val="0"/>
        <w:widowControl w:val="0"/>
        <w:kinsoku/>
        <w:wordWrap/>
        <w:overflowPunct/>
        <w:topLinePunct w:val="0"/>
        <w:autoSpaceDE/>
        <w:autoSpaceDN/>
        <w:bidi w:val="0"/>
        <w:adjustRightInd/>
        <w:snapToGrid/>
        <w:spacing w:beforeLines="0" w:after="160" w:afterLines="0" w:line="440" w:lineRule="exact"/>
        <w:ind w:firstLine="440"/>
        <w:jc w:val="both"/>
        <w:textAlignment w:val="auto"/>
        <w:rPr>
          <w:rStyle w:val="19"/>
          <w:rFonts w:hint="default"/>
          <w:color w:val="auto"/>
          <w:sz w:val="24"/>
          <w:szCs w:val="20"/>
          <w:highlight w:val="none"/>
        </w:rPr>
      </w:pPr>
      <w:r>
        <w:rPr>
          <w:rStyle w:val="19"/>
          <w:rFonts w:hint="default"/>
          <w:color w:val="auto"/>
          <w:sz w:val="24"/>
          <w:szCs w:val="20"/>
          <w:highlight w:val="none"/>
        </w:rPr>
        <w:t>缺陷责任期内承包人为缺陷修复工作需要，有权进入工程现场，但应遵守发包人的保安和保密规定。</w:t>
      </w:r>
    </w:p>
    <w:p w14:paraId="79205DD2">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1156" w:name="bookmark1450"/>
      <w:bookmarkStart w:id="1157" w:name="_Toc256000148"/>
      <w:bookmarkStart w:id="1158" w:name="bookmark1451"/>
      <w:bookmarkStart w:id="1159" w:name="bookmark1449"/>
      <w:bookmarkStart w:id="1160" w:name="_Toc18929"/>
      <w:bookmarkStart w:id="1161" w:name="_Toc16024"/>
      <w:r>
        <w:rPr>
          <w:rStyle w:val="19"/>
          <w:rFonts w:hint="default" w:ascii="宋体" w:hAnsi="宋体" w:eastAsia="宋体"/>
          <w:color w:val="auto"/>
          <w:sz w:val="24"/>
          <w:szCs w:val="20"/>
          <w:highlight w:val="none"/>
          <w:lang w:eastAsia="zh-CN"/>
        </w:rPr>
        <w:t>19.6缺陷责任期终止证书（工程质量保修责任终止证书）</w:t>
      </w:r>
      <w:bookmarkEnd w:id="1156"/>
      <w:bookmarkEnd w:id="1157"/>
      <w:bookmarkEnd w:id="1158"/>
      <w:bookmarkEnd w:id="1159"/>
      <w:bookmarkEnd w:id="1160"/>
      <w:bookmarkEnd w:id="1161"/>
    </w:p>
    <w:p w14:paraId="61A41CDE">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r>
        <w:rPr>
          <w:rStyle w:val="19"/>
          <w:rFonts w:hint="default"/>
          <w:color w:val="auto"/>
          <w:sz w:val="24"/>
          <w:szCs w:val="20"/>
          <w:highlight w:val="none"/>
        </w:rPr>
        <w:t>合同工程完工验收后，发包人与承包人应办理工程交接手续，承包人应向发包人递交工程质量保修书。</w:t>
      </w:r>
    </w:p>
    <w:p w14:paraId="59800A2E">
      <w:pPr>
        <w:pStyle w:val="31"/>
        <w:pageBreakBefore w:val="0"/>
        <w:widowControl w:val="0"/>
        <w:kinsoku/>
        <w:wordWrap/>
        <w:overflowPunct/>
        <w:topLinePunct w:val="0"/>
        <w:autoSpaceDE/>
        <w:autoSpaceDN/>
        <w:bidi w:val="0"/>
        <w:adjustRightInd/>
        <w:snapToGrid/>
        <w:spacing w:beforeLines="0" w:after="160" w:afterLines="0" w:line="440" w:lineRule="exact"/>
        <w:ind w:firstLine="440"/>
        <w:jc w:val="both"/>
        <w:textAlignment w:val="auto"/>
        <w:rPr>
          <w:rStyle w:val="19"/>
          <w:rFonts w:hint="default"/>
          <w:color w:val="auto"/>
          <w:sz w:val="24"/>
          <w:szCs w:val="20"/>
          <w:highlight w:val="none"/>
        </w:rPr>
      </w:pPr>
      <w:r>
        <w:rPr>
          <w:rStyle w:val="19"/>
          <w:rFonts w:hint="default"/>
          <w:color w:val="auto"/>
          <w:sz w:val="24"/>
          <w:szCs w:val="20"/>
          <w:highlight w:val="none"/>
        </w:rPr>
        <w:t>缺陷责任期满后</w:t>
      </w:r>
      <w:r>
        <w:rPr>
          <w:rStyle w:val="19"/>
          <w:rFonts w:hint="eastAsia" w:ascii="Times New Roman" w:hAnsi="Times New Roman" w:eastAsia="Times New Roman" w:cs="Times New Roman"/>
          <w:color w:val="auto"/>
          <w:sz w:val="24"/>
          <w:szCs w:val="24"/>
          <w:highlight w:val="none"/>
        </w:rPr>
        <w:t>30</w:t>
      </w:r>
      <w:r>
        <w:rPr>
          <w:rStyle w:val="19"/>
          <w:rFonts w:hint="default"/>
          <w:color w:val="auto"/>
          <w:sz w:val="24"/>
          <w:szCs w:val="20"/>
          <w:highlight w:val="none"/>
        </w:rPr>
        <w:t>个工作日内，发包人应向承包人颁发工程质量保修责任终止证书，并退还剩余的质量保证金，但保修责任范围内的质量缺陷未处理完成的应除外。</w:t>
      </w:r>
    </w:p>
    <w:p w14:paraId="4282E0ED">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1162" w:name="_Toc10377"/>
      <w:bookmarkStart w:id="1163" w:name="_Toc256000149"/>
      <w:bookmarkStart w:id="1164" w:name="bookmark1453"/>
      <w:bookmarkStart w:id="1165" w:name="bookmark1454"/>
      <w:bookmarkStart w:id="1166" w:name="_Toc4569"/>
      <w:bookmarkStart w:id="1167" w:name="bookmark1452"/>
      <w:r>
        <w:rPr>
          <w:rStyle w:val="19"/>
          <w:rFonts w:hint="default" w:ascii="宋体" w:hAnsi="宋体" w:eastAsia="宋体"/>
          <w:color w:val="auto"/>
          <w:sz w:val="24"/>
          <w:szCs w:val="20"/>
          <w:highlight w:val="none"/>
          <w:lang w:eastAsia="zh-CN"/>
        </w:rPr>
        <w:t>19.7保修责任</w:t>
      </w:r>
      <w:bookmarkEnd w:id="1162"/>
      <w:bookmarkEnd w:id="1163"/>
      <w:bookmarkEnd w:id="1164"/>
      <w:bookmarkEnd w:id="1165"/>
      <w:bookmarkEnd w:id="1166"/>
      <w:bookmarkEnd w:id="1167"/>
    </w:p>
    <w:p w14:paraId="3C8A9E49">
      <w:pPr>
        <w:pStyle w:val="31"/>
        <w:pageBreakBefore w:val="0"/>
        <w:widowControl w:val="0"/>
        <w:kinsoku/>
        <w:wordWrap/>
        <w:overflowPunct/>
        <w:topLinePunct w:val="0"/>
        <w:autoSpaceDE/>
        <w:autoSpaceDN/>
        <w:bidi w:val="0"/>
        <w:adjustRightInd/>
        <w:snapToGrid/>
        <w:spacing w:beforeLines="0" w:after="260" w:afterLines="0" w:line="440" w:lineRule="exact"/>
        <w:ind w:firstLine="440"/>
        <w:jc w:val="both"/>
        <w:textAlignment w:val="auto"/>
        <w:rPr>
          <w:rStyle w:val="19"/>
          <w:rFonts w:hint="default"/>
          <w:color w:val="auto"/>
          <w:sz w:val="24"/>
          <w:szCs w:val="20"/>
          <w:highlight w:val="none"/>
        </w:rPr>
      </w:pPr>
      <w:r>
        <w:rPr>
          <w:rStyle w:val="19"/>
          <w:rFonts w:hint="default"/>
          <w:color w:val="auto"/>
          <w:sz w:val="24"/>
          <w:szCs w:val="20"/>
          <w:highlight w:val="none"/>
        </w:rPr>
        <w:t>合同当事人根据有关法律规定，在专用合同条款中约定工程质量保修范围、期限和责任。保修期自实际完工验收日期起计算。在全部工程竣工验收前，已经发包人提前验收的单位工程，其保修期的起算日期相应提前。</w:t>
      </w:r>
    </w:p>
    <w:p w14:paraId="6CBCB492">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eastAsia"/>
          <w:color w:val="auto"/>
          <w:sz w:val="24"/>
          <w:szCs w:val="20"/>
          <w:highlight w:val="none"/>
          <w:lang w:eastAsia="zh-CN"/>
        </w:rPr>
      </w:pPr>
      <w:bookmarkStart w:id="1168" w:name="_Toc256000150"/>
      <w:bookmarkStart w:id="1169" w:name="_Toc8963"/>
      <w:bookmarkStart w:id="1170" w:name="_Toc31099"/>
      <w:bookmarkStart w:id="1171" w:name="bookmark1457"/>
      <w:bookmarkStart w:id="1172" w:name="bookmark1455"/>
      <w:bookmarkStart w:id="1173" w:name="bookmark1456"/>
      <w:r>
        <w:rPr>
          <w:rStyle w:val="19"/>
          <w:rFonts w:hint="eastAsia"/>
          <w:color w:val="auto"/>
          <w:sz w:val="24"/>
          <w:szCs w:val="20"/>
          <w:highlight w:val="none"/>
          <w:lang w:eastAsia="zh-CN"/>
        </w:rPr>
        <w:t>20.</w:t>
      </w:r>
      <w:r>
        <w:rPr>
          <w:rStyle w:val="19"/>
          <w:rFonts w:hint="default" w:ascii="宋体" w:eastAsia="宋体"/>
          <w:color w:val="auto"/>
          <w:sz w:val="24"/>
          <w:szCs w:val="20"/>
          <w:highlight w:val="none"/>
          <w:lang w:eastAsia="zh-CN"/>
        </w:rPr>
        <w:t>保险</w:t>
      </w:r>
      <w:bookmarkEnd w:id="1168"/>
      <w:bookmarkEnd w:id="1169"/>
      <w:bookmarkEnd w:id="1170"/>
      <w:bookmarkEnd w:id="1171"/>
    </w:p>
    <w:p w14:paraId="377A59AC">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1174" w:name="bookmark1458"/>
      <w:bookmarkStart w:id="1175" w:name="_Toc16520"/>
      <w:bookmarkStart w:id="1176" w:name="_Toc256000151"/>
      <w:bookmarkStart w:id="1177" w:name="_Toc15571"/>
      <w:r>
        <w:rPr>
          <w:rStyle w:val="19"/>
          <w:rFonts w:hint="default" w:ascii="宋体" w:hAnsi="宋体" w:eastAsia="宋体"/>
          <w:color w:val="auto"/>
          <w:sz w:val="24"/>
          <w:szCs w:val="20"/>
          <w:highlight w:val="none"/>
          <w:lang w:eastAsia="zh-CN"/>
        </w:rPr>
        <w:t>20.1工程保险</w:t>
      </w:r>
      <w:bookmarkEnd w:id="1172"/>
      <w:bookmarkEnd w:id="1173"/>
      <w:bookmarkEnd w:id="1174"/>
      <w:bookmarkEnd w:id="1175"/>
      <w:bookmarkEnd w:id="1176"/>
      <w:bookmarkEnd w:id="1177"/>
    </w:p>
    <w:p w14:paraId="4BD47F32">
      <w:pPr>
        <w:pStyle w:val="31"/>
        <w:pageBreakBefore w:val="0"/>
        <w:widowControl w:val="0"/>
        <w:kinsoku/>
        <w:wordWrap/>
        <w:overflowPunct/>
        <w:topLinePunct w:val="0"/>
        <w:autoSpaceDE/>
        <w:autoSpaceDN/>
        <w:bidi w:val="0"/>
        <w:adjustRightInd/>
        <w:snapToGrid/>
        <w:spacing w:beforeLines="0" w:after="120" w:afterLines="0" w:line="440" w:lineRule="exact"/>
        <w:ind w:firstLine="440"/>
        <w:jc w:val="both"/>
        <w:textAlignment w:val="auto"/>
        <w:rPr>
          <w:rStyle w:val="19"/>
          <w:rFonts w:hint="default"/>
          <w:color w:val="auto"/>
          <w:sz w:val="24"/>
          <w:szCs w:val="20"/>
          <w:highlight w:val="none"/>
        </w:rPr>
      </w:pPr>
      <w:r>
        <w:rPr>
          <w:rStyle w:val="19"/>
          <w:rFonts w:hint="default"/>
          <w:color w:val="auto"/>
          <w:sz w:val="24"/>
          <w:szCs w:val="20"/>
          <w:highlight w:val="none"/>
        </w:rPr>
        <w:t>除专用合同条款另有约定外，承包人应以发包人和承包人的共同名义向双方同意的保险人投保建筑工程一切险、安装工程一切险。其具体的投保内容、保险金额、保险费率、 保险期限等有关内容在专用合同条款中约定。</w:t>
      </w:r>
    </w:p>
    <w:p w14:paraId="5E722D1A">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1178" w:name="_Toc256000152"/>
      <w:bookmarkStart w:id="1179" w:name="bookmark1460"/>
      <w:bookmarkStart w:id="1180" w:name="_Toc12206"/>
      <w:bookmarkStart w:id="1181" w:name="_Toc19236"/>
      <w:bookmarkStart w:id="1182" w:name="bookmark1461"/>
      <w:bookmarkStart w:id="1183" w:name="bookmark1459"/>
      <w:r>
        <w:rPr>
          <w:rStyle w:val="19"/>
          <w:rFonts w:hint="default" w:ascii="宋体" w:hAnsi="宋体" w:eastAsia="宋体"/>
          <w:color w:val="auto"/>
          <w:sz w:val="24"/>
          <w:szCs w:val="20"/>
          <w:highlight w:val="none"/>
          <w:lang w:eastAsia="zh-CN"/>
        </w:rPr>
        <w:t>20.2人员工伤事故的保险</w:t>
      </w:r>
      <w:bookmarkEnd w:id="1178"/>
      <w:bookmarkEnd w:id="1179"/>
      <w:bookmarkEnd w:id="1180"/>
      <w:bookmarkEnd w:id="1181"/>
      <w:bookmarkEnd w:id="1182"/>
      <w:bookmarkEnd w:id="1183"/>
    </w:p>
    <w:p w14:paraId="759233CD">
      <w:pPr>
        <w:pStyle w:val="31"/>
        <w:pageBreakBefore w:val="0"/>
        <w:widowControl w:val="0"/>
        <w:tabs>
          <w:tab w:val="left" w:pos="878"/>
        </w:tabs>
        <w:kinsoku/>
        <w:wordWrap/>
        <w:overflowPunct/>
        <w:topLinePunct w:val="0"/>
        <w:autoSpaceDE/>
        <w:autoSpaceDN/>
        <w:bidi w:val="0"/>
        <w:adjustRightInd/>
        <w:snapToGrid/>
        <w:spacing w:beforeLines="0" w:afterLines="0" w:line="440" w:lineRule="exact"/>
        <w:ind w:left="440" w:firstLine="0"/>
        <w:jc w:val="both"/>
        <w:textAlignment w:val="auto"/>
        <w:rPr>
          <w:rStyle w:val="19"/>
          <w:rFonts w:hint="default"/>
          <w:color w:val="auto"/>
          <w:sz w:val="24"/>
          <w:szCs w:val="20"/>
          <w:highlight w:val="none"/>
        </w:rPr>
      </w:pPr>
      <w:bookmarkStart w:id="1184" w:name="bookmark1462"/>
      <w:bookmarkEnd w:id="1184"/>
      <w:r>
        <w:rPr>
          <w:rStyle w:val="19"/>
          <w:rFonts w:hint="eastAsia" w:ascii="Times New Roman" w:hAnsi="Times New Roman" w:eastAsia="Times New Roman" w:cs="Times New Roman"/>
          <w:color w:val="auto"/>
          <w:sz w:val="24"/>
          <w:szCs w:val="24"/>
          <w:highlight w:val="none"/>
          <w:lang w:val="en-US" w:bidi="en-US"/>
        </w:rPr>
        <w:t>20.2.</w:t>
      </w:r>
      <w:r>
        <w:rPr>
          <w:rStyle w:val="19"/>
          <w:rFonts w:hint="eastAsia" w:ascii="Times New Roman" w:hAnsi="Times New Roman" w:eastAsia="Times New Roman" w:cs="Times New Roman"/>
          <w:color w:val="auto"/>
          <w:sz w:val="24"/>
          <w:szCs w:val="24"/>
          <w:highlight w:val="none"/>
        </w:rPr>
        <w:t>1</w:t>
      </w:r>
      <w:r>
        <w:rPr>
          <w:rStyle w:val="19"/>
          <w:rFonts w:hint="default"/>
          <w:color w:val="auto"/>
          <w:sz w:val="24"/>
          <w:szCs w:val="20"/>
          <w:highlight w:val="none"/>
        </w:rPr>
        <w:t>承包人员工伤事故的保险</w:t>
      </w:r>
    </w:p>
    <w:p w14:paraId="7DABE0C5">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r>
        <w:rPr>
          <w:rStyle w:val="19"/>
          <w:rFonts w:hint="default"/>
          <w:color w:val="auto"/>
          <w:sz w:val="24"/>
          <w:szCs w:val="20"/>
          <w:highlight w:val="none"/>
        </w:rPr>
        <w:t>承包人应依照有关法律规定参加工伤保险，为其履行合同所雇佣的全部人员，缴纳工 伤保险费，并要求其分包人也进行此项保险。</w:t>
      </w:r>
    </w:p>
    <w:p w14:paraId="47926FF2">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20.2.</w:t>
      </w:r>
      <w:r>
        <w:rPr>
          <w:rStyle w:val="19"/>
          <w:rFonts w:hint="eastAsia" w:ascii="Times New Roman" w:hAnsi="Times New Roman" w:eastAsia="Times New Roman" w:cs="Times New Roman"/>
          <w:color w:val="auto"/>
          <w:sz w:val="24"/>
          <w:szCs w:val="24"/>
          <w:highlight w:val="none"/>
        </w:rPr>
        <w:t>2</w:t>
      </w:r>
      <w:r>
        <w:rPr>
          <w:rStyle w:val="19"/>
          <w:rFonts w:hint="default"/>
          <w:color w:val="auto"/>
          <w:sz w:val="24"/>
          <w:szCs w:val="20"/>
          <w:highlight w:val="none"/>
        </w:rPr>
        <w:t>发包人员工伤事故的保险</w:t>
      </w:r>
    </w:p>
    <w:p w14:paraId="53C57F25">
      <w:pPr>
        <w:pStyle w:val="31"/>
        <w:pageBreakBefore w:val="0"/>
        <w:widowControl w:val="0"/>
        <w:kinsoku/>
        <w:wordWrap/>
        <w:overflowPunct/>
        <w:topLinePunct w:val="0"/>
        <w:autoSpaceDE/>
        <w:autoSpaceDN/>
        <w:bidi w:val="0"/>
        <w:adjustRightInd/>
        <w:snapToGrid/>
        <w:spacing w:beforeLines="0" w:after="120" w:afterLines="0" w:line="440" w:lineRule="exact"/>
        <w:ind w:firstLine="440"/>
        <w:jc w:val="both"/>
        <w:textAlignment w:val="auto"/>
        <w:rPr>
          <w:rStyle w:val="19"/>
          <w:rFonts w:hint="default"/>
          <w:color w:val="auto"/>
          <w:sz w:val="24"/>
          <w:szCs w:val="20"/>
          <w:highlight w:val="none"/>
        </w:rPr>
      </w:pPr>
      <w:r>
        <w:rPr>
          <w:rStyle w:val="19"/>
          <w:rFonts w:hint="default"/>
          <w:color w:val="auto"/>
          <w:sz w:val="24"/>
          <w:szCs w:val="20"/>
          <w:highlight w:val="none"/>
        </w:rPr>
        <w:t>发包人应依照有关法律规定参加工伤保险，为其现场机构雇佣的全部人员，缴纳工伤保险费，并要求其监理人也进行此项保险。</w:t>
      </w:r>
    </w:p>
    <w:p w14:paraId="4654D7CD">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1185" w:name="bookmark1465"/>
      <w:bookmarkStart w:id="1186" w:name="bookmark1464"/>
      <w:bookmarkStart w:id="1187" w:name="_Toc256000153"/>
      <w:bookmarkStart w:id="1188" w:name="_Toc23979"/>
      <w:bookmarkStart w:id="1189" w:name="_Toc9146"/>
      <w:bookmarkStart w:id="1190" w:name="bookmark1463"/>
      <w:r>
        <w:rPr>
          <w:rStyle w:val="19"/>
          <w:rFonts w:hint="default" w:ascii="宋体" w:hAnsi="宋体" w:eastAsia="宋体"/>
          <w:color w:val="auto"/>
          <w:sz w:val="24"/>
          <w:szCs w:val="20"/>
          <w:highlight w:val="none"/>
          <w:lang w:eastAsia="zh-CN"/>
        </w:rPr>
        <w:t>20.3人身意外伤害险</w:t>
      </w:r>
      <w:bookmarkEnd w:id="1185"/>
      <w:bookmarkEnd w:id="1186"/>
      <w:bookmarkEnd w:id="1187"/>
      <w:bookmarkEnd w:id="1188"/>
      <w:bookmarkEnd w:id="1189"/>
      <w:bookmarkEnd w:id="1190"/>
    </w:p>
    <w:p w14:paraId="3D6AA422">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20.3.1</w:t>
      </w:r>
      <w:r>
        <w:rPr>
          <w:rStyle w:val="19"/>
          <w:rFonts w:hint="default"/>
          <w:color w:val="auto"/>
          <w:sz w:val="24"/>
          <w:szCs w:val="20"/>
          <w:highlight w:val="none"/>
        </w:rPr>
        <w:t>发包人应在整个施工期间为其现场机构雇用的全部人员，投保人身意外伤害险，缴纳保险费，并要求其监理人也进行此项保险。</w:t>
      </w:r>
    </w:p>
    <w:p w14:paraId="1A03628B">
      <w:pPr>
        <w:pStyle w:val="31"/>
        <w:pageBreakBefore w:val="0"/>
        <w:widowControl w:val="0"/>
        <w:kinsoku/>
        <w:wordWrap/>
        <w:overflowPunct/>
        <w:topLinePunct w:val="0"/>
        <w:autoSpaceDE/>
        <w:autoSpaceDN/>
        <w:bidi w:val="0"/>
        <w:adjustRightInd/>
        <w:snapToGrid/>
        <w:spacing w:beforeLines="0" w:after="120" w:afterLines="0" w:line="440" w:lineRule="exact"/>
        <w:ind w:firstLine="44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20.3.2</w:t>
      </w:r>
      <w:r>
        <w:rPr>
          <w:rStyle w:val="19"/>
          <w:rFonts w:hint="default"/>
          <w:color w:val="auto"/>
          <w:sz w:val="24"/>
          <w:szCs w:val="20"/>
          <w:highlight w:val="none"/>
        </w:rPr>
        <w:t>承包人应在整个施工期间为其现场机构雇用的全部人员，投保人身意外伤害险，缴纳保险费，并要求其分包人也进行此项保险。</w:t>
      </w:r>
    </w:p>
    <w:p w14:paraId="1466AE0B">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1191" w:name="_Toc10679"/>
      <w:bookmarkStart w:id="1192" w:name="bookmark1467"/>
      <w:bookmarkStart w:id="1193" w:name="_Toc10666"/>
      <w:bookmarkStart w:id="1194" w:name="_Toc256000154"/>
      <w:bookmarkStart w:id="1195" w:name="bookmark1466"/>
      <w:bookmarkStart w:id="1196" w:name="bookmark1468"/>
      <w:r>
        <w:rPr>
          <w:rStyle w:val="19"/>
          <w:rFonts w:hint="default" w:ascii="宋体" w:hAnsi="宋体" w:eastAsia="宋体"/>
          <w:color w:val="auto"/>
          <w:sz w:val="24"/>
          <w:szCs w:val="20"/>
          <w:highlight w:val="none"/>
          <w:lang w:eastAsia="zh-CN"/>
        </w:rPr>
        <w:t>20.4第三者责任险</w:t>
      </w:r>
      <w:bookmarkEnd w:id="1191"/>
      <w:bookmarkEnd w:id="1192"/>
      <w:bookmarkEnd w:id="1193"/>
      <w:bookmarkEnd w:id="1194"/>
      <w:bookmarkEnd w:id="1195"/>
      <w:bookmarkEnd w:id="1196"/>
    </w:p>
    <w:p w14:paraId="442BC6E0">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20.4.1</w:t>
      </w:r>
      <w:r>
        <w:rPr>
          <w:rStyle w:val="19"/>
          <w:rFonts w:hint="default"/>
          <w:color w:val="auto"/>
          <w:sz w:val="24"/>
          <w:szCs w:val="20"/>
          <w:highlight w:val="none"/>
        </w:rPr>
        <w:t>第三者责任系指在保险期内，对因工程意外事故造成的、依法应由被保险人负责的工地上及毗邻地区的第三者人身伤亡、疾病或财产损失（本工程除外），以及被保险人因此而支付的诉讼费用和事先经保险人书面同意支付的其他费用等赔偿责任。</w:t>
      </w:r>
    </w:p>
    <w:p w14:paraId="3CCA50E7">
      <w:pPr>
        <w:pStyle w:val="31"/>
        <w:pageBreakBefore w:val="0"/>
        <w:widowControl w:val="0"/>
        <w:kinsoku/>
        <w:wordWrap/>
        <w:overflowPunct/>
        <w:topLinePunct w:val="0"/>
        <w:autoSpaceDE/>
        <w:autoSpaceDN/>
        <w:bidi w:val="0"/>
        <w:adjustRightInd/>
        <w:snapToGrid/>
        <w:spacing w:beforeLines="0" w:after="120" w:afterLines="0" w:line="440" w:lineRule="exact"/>
        <w:ind w:firstLine="44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20.4.2</w:t>
      </w:r>
      <w:r>
        <w:rPr>
          <w:rStyle w:val="19"/>
          <w:rFonts w:hint="default"/>
          <w:color w:val="auto"/>
          <w:sz w:val="24"/>
          <w:szCs w:val="20"/>
          <w:highlight w:val="none"/>
        </w:rPr>
        <w:t>在缺陷责任期终止证书颁发前，承包人应以承包人和发包人的共同名义，投保第</w:t>
      </w:r>
      <w:r>
        <w:rPr>
          <w:rStyle w:val="19"/>
          <w:rFonts w:hint="eastAsia" w:ascii="Times New Roman" w:hAnsi="Times New Roman" w:eastAsia="Times New Roman" w:cs="Times New Roman"/>
          <w:color w:val="auto"/>
          <w:sz w:val="24"/>
          <w:szCs w:val="24"/>
          <w:highlight w:val="none"/>
          <w:lang w:val="en-US" w:bidi="en-US"/>
        </w:rPr>
        <w:t>20. 4.1</w:t>
      </w:r>
      <w:r>
        <w:rPr>
          <w:rStyle w:val="19"/>
          <w:rFonts w:hint="default"/>
          <w:color w:val="auto"/>
          <w:sz w:val="24"/>
          <w:szCs w:val="20"/>
          <w:highlight w:val="none"/>
        </w:rPr>
        <w:t>项约定的第三者责任险，其保险费率、保险金额等有关内容在专用合同条款中约定。</w:t>
      </w:r>
    </w:p>
    <w:p w14:paraId="05E661FC">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1197" w:name="bookmark1471"/>
      <w:bookmarkStart w:id="1198" w:name="bookmark1470"/>
      <w:bookmarkStart w:id="1199" w:name="_Toc256000155"/>
      <w:bookmarkStart w:id="1200" w:name="bookmark1469"/>
      <w:bookmarkStart w:id="1201" w:name="_Toc15855"/>
      <w:bookmarkStart w:id="1202" w:name="_Toc18039"/>
      <w:r>
        <w:rPr>
          <w:rStyle w:val="19"/>
          <w:rFonts w:hint="default" w:ascii="宋体" w:hAnsi="宋体" w:eastAsia="宋体"/>
          <w:color w:val="auto"/>
          <w:sz w:val="24"/>
          <w:szCs w:val="20"/>
          <w:highlight w:val="none"/>
          <w:lang w:eastAsia="zh-CN"/>
        </w:rPr>
        <w:t>20.5其他保险</w:t>
      </w:r>
      <w:bookmarkEnd w:id="1197"/>
      <w:bookmarkEnd w:id="1198"/>
      <w:bookmarkEnd w:id="1199"/>
      <w:bookmarkEnd w:id="1200"/>
      <w:bookmarkEnd w:id="1201"/>
      <w:bookmarkEnd w:id="1202"/>
    </w:p>
    <w:p w14:paraId="6C9730F5">
      <w:pPr>
        <w:pStyle w:val="31"/>
        <w:pageBreakBefore w:val="0"/>
        <w:widowControl w:val="0"/>
        <w:kinsoku/>
        <w:wordWrap/>
        <w:overflowPunct/>
        <w:topLinePunct w:val="0"/>
        <w:autoSpaceDE/>
        <w:autoSpaceDN/>
        <w:bidi w:val="0"/>
        <w:adjustRightInd/>
        <w:snapToGrid/>
        <w:spacing w:beforeLines="0" w:after="120" w:afterLines="0" w:line="440" w:lineRule="exact"/>
        <w:ind w:firstLine="440"/>
        <w:jc w:val="both"/>
        <w:textAlignment w:val="auto"/>
        <w:rPr>
          <w:rStyle w:val="19"/>
          <w:rFonts w:hint="default"/>
          <w:color w:val="auto"/>
          <w:sz w:val="24"/>
          <w:szCs w:val="20"/>
          <w:highlight w:val="none"/>
        </w:rPr>
      </w:pPr>
      <w:r>
        <w:rPr>
          <w:rStyle w:val="19"/>
          <w:rFonts w:hint="default"/>
          <w:color w:val="auto"/>
          <w:sz w:val="24"/>
          <w:szCs w:val="20"/>
          <w:highlight w:val="none"/>
        </w:rPr>
        <w:t>除专用合同条款另有约定外，承包人应为其施工设备、进场的材料和工程设备等办理保险。</w:t>
      </w:r>
    </w:p>
    <w:p w14:paraId="41510BAF">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1203" w:name="bookmark1473"/>
      <w:bookmarkStart w:id="1204" w:name="_Toc256000156"/>
      <w:bookmarkStart w:id="1205" w:name="bookmark1472"/>
      <w:bookmarkStart w:id="1206" w:name="_Toc9403"/>
      <w:bookmarkStart w:id="1207" w:name="bookmark1474"/>
      <w:bookmarkStart w:id="1208" w:name="_Toc20306"/>
      <w:r>
        <w:rPr>
          <w:rStyle w:val="19"/>
          <w:rFonts w:hint="default" w:ascii="宋体" w:hAnsi="宋体" w:eastAsia="宋体"/>
          <w:color w:val="auto"/>
          <w:sz w:val="24"/>
          <w:szCs w:val="20"/>
          <w:highlight w:val="none"/>
          <w:lang w:eastAsia="zh-CN"/>
        </w:rPr>
        <w:t>20.6对各项保险的一般要求</w:t>
      </w:r>
      <w:bookmarkEnd w:id="1203"/>
      <w:bookmarkEnd w:id="1204"/>
      <w:bookmarkEnd w:id="1205"/>
      <w:bookmarkEnd w:id="1206"/>
      <w:bookmarkEnd w:id="1207"/>
      <w:bookmarkEnd w:id="1208"/>
    </w:p>
    <w:p w14:paraId="5E6ADAD0">
      <w:pPr>
        <w:pStyle w:val="32"/>
        <w:pageBreakBefore w:val="0"/>
        <w:widowControl w:val="0"/>
        <w:kinsoku/>
        <w:wordWrap/>
        <w:overflowPunct/>
        <w:topLinePunct w:val="0"/>
        <w:autoSpaceDE/>
        <w:autoSpaceDN/>
        <w:bidi w:val="0"/>
        <w:adjustRightInd/>
        <w:snapToGrid/>
        <w:spacing w:beforeLines="0" w:after="0" w:afterLines="0" w:line="440" w:lineRule="exact"/>
        <w:ind w:firstLine="442"/>
        <w:jc w:val="both"/>
        <w:textAlignment w:val="auto"/>
        <w:rPr>
          <w:rStyle w:val="19"/>
          <w:rFonts w:hint="eastAsia"/>
          <w:color w:val="auto"/>
          <w:sz w:val="24"/>
          <w:szCs w:val="20"/>
          <w:highlight w:val="none"/>
          <w:lang w:eastAsia="zh-CN"/>
        </w:rPr>
      </w:pPr>
      <w:r>
        <w:rPr>
          <w:rStyle w:val="19"/>
          <w:rFonts w:hint="eastAsia"/>
          <w:color w:val="auto"/>
          <w:sz w:val="24"/>
          <w:szCs w:val="20"/>
          <w:highlight w:val="none"/>
          <w:lang w:eastAsia="zh-CN"/>
        </w:rPr>
        <w:t>20. 6.</w:t>
      </w:r>
      <w:r>
        <w:rPr>
          <w:rStyle w:val="19"/>
          <w:rFonts w:hint="eastAsia"/>
          <w:color w:val="auto"/>
          <w:sz w:val="24"/>
          <w:szCs w:val="20"/>
          <w:highlight w:val="none"/>
          <w:lang w:val="zh-CN" w:eastAsia="zh-CN" w:bidi="zh-CN"/>
        </w:rPr>
        <w:t>1</w:t>
      </w:r>
      <w:r>
        <w:rPr>
          <w:rStyle w:val="19"/>
          <w:rFonts w:hint="default" w:ascii="宋体" w:hAnsi="宋体" w:eastAsia="宋体" w:cs="宋体"/>
          <w:color w:val="auto"/>
          <w:sz w:val="24"/>
          <w:szCs w:val="24"/>
          <w:highlight w:val="none"/>
          <w:lang w:val="zh-CN" w:eastAsia="zh-CN" w:bidi="zh-CN"/>
        </w:rPr>
        <w:t>保险凭证</w:t>
      </w:r>
    </w:p>
    <w:p w14:paraId="4F8F78F1">
      <w:pPr>
        <w:pStyle w:val="31"/>
        <w:pageBreakBefore w:val="0"/>
        <w:widowControl w:val="0"/>
        <w:kinsoku/>
        <w:wordWrap/>
        <w:overflowPunct/>
        <w:topLinePunct w:val="0"/>
        <w:autoSpaceDE/>
        <w:autoSpaceDN/>
        <w:bidi w:val="0"/>
        <w:adjustRightInd/>
        <w:snapToGrid/>
        <w:spacing w:beforeLines="0" w:afterLines="0" w:line="440" w:lineRule="exact"/>
        <w:ind w:firstLine="442"/>
        <w:jc w:val="both"/>
        <w:textAlignment w:val="auto"/>
        <w:rPr>
          <w:rStyle w:val="19"/>
          <w:rFonts w:hint="default"/>
          <w:color w:val="auto"/>
          <w:sz w:val="24"/>
          <w:szCs w:val="20"/>
          <w:highlight w:val="none"/>
        </w:rPr>
      </w:pPr>
      <w:r>
        <w:rPr>
          <w:rStyle w:val="19"/>
          <w:rFonts w:hint="default"/>
          <w:color w:val="auto"/>
          <w:sz w:val="24"/>
          <w:szCs w:val="20"/>
          <w:highlight w:val="none"/>
        </w:rPr>
        <w:t>承包人应在专用合同条款约定的期限内向发包人提交各项保险生效的证据和保险单副本，保险单必须与专用合同条款约定的条件保持一致。</w:t>
      </w:r>
    </w:p>
    <w:p w14:paraId="7A7DE7BD">
      <w:pPr>
        <w:pStyle w:val="31"/>
        <w:pageBreakBefore w:val="0"/>
        <w:widowControl w:val="0"/>
        <w:kinsoku/>
        <w:wordWrap/>
        <w:overflowPunct/>
        <w:topLinePunct w:val="0"/>
        <w:autoSpaceDE/>
        <w:autoSpaceDN/>
        <w:bidi w:val="0"/>
        <w:adjustRightInd/>
        <w:snapToGrid/>
        <w:spacing w:beforeLines="0" w:afterLines="0" w:line="440" w:lineRule="exact"/>
        <w:ind w:firstLine="442"/>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20.6.2</w:t>
      </w:r>
      <w:r>
        <w:rPr>
          <w:rStyle w:val="19"/>
          <w:rFonts w:hint="default"/>
          <w:color w:val="auto"/>
          <w:sz w:val="24"/>
          <w:szCs w:val="20"/>
          <w:highlight w:val="none"/>
        </w:rPr>
        <w:t>保险合同条款的变动</w:t>
      </w:r>
    </w:p>
    <w:p w14:paraId="56F48BD3">
      <w:pPr>
        <w:pStyle w:val="31"/>
        <w:pageBreakBefore w:val="0"/>
        <w:widowControl w:val="0"/>
        <w:kinsoku/>
        <w:wordWrap/>
        <w:overflowPunct/>
        <w:topLinePunct w:val="0"/>
        <w:autoSpaceDE/>
        <w:autoSpaceDN/>
        <w:bidi w:val="0"/>
        <w:adjustRightInd/>
        <w:snapToGrid/>
        <w:spacing w:beforeLines="0" w:after="120" w:afterLines="0" w:line="440" w:lineRule="exact"/>
        <w:ind w:firstLine="442"/>
        <w:jc w:val="both"/>
        <w:textAlignment w:val="auto"/>
        <w:rPr>
          <w:rStyle w:val="19"/>
          <w:rFonts w:hint="default"/>
          <w:color w:val="auto"/>
          <w:sz w:val="24"/>
          <w:szCs w:val="20"/>
          <w:highlight w:val="none"/>
        </w:rPr>
      </w:pPr>
      <w:r>
        <w:rPr>
          <w:rStyle w:val="19"/>
          <w:rFonts w:hint="default"/>
          <w:color w:val="auto"/>
          <w:sz w:val="24"/>
          <w:szCs w:val="20"/>
          <w:highlight w:val="none"/>
        </w:rPr>
        <w:t>承包人需要变动保险合同条款时，应事先征得发包人同意，并通知监理人。保险人作出变动的，承包人应在收到保险人通知后立即通知发包人和监理人。</w:t>
      </w:r>
    </w:p>
    <w:p w14:paraId="0EA34628">
      <w:pPr>
        <w:pStyle w:val="32"/>
        <w:pageBreakBefore w:val="0"/>
        <w:widowControl w:val="0"/>
        <w:kinsoku/>
        <w:wordWrap/>
        <w:overflowPunct/>
        <w:topLinePunct w:val="0"/>
        <w:autoSpaceDE/>
        <w:autoSpaceDN/>
        <w:bidi w:val="0"/>
        <w:adjustRightInd/>
        <w:snapToGrid/>
        <w:spacing w:beforeLines="0" w:after="0" w:afterLines="0" w:line="440" w:lineRule="exact"/>
        <w:ind w:firstLine="442"/>
        <w:jc w:val="both"/>
        <w:textAlignment w:val="auto"/>
        <w:rPr>
          <w:rStyle w:val="19"/>
          <w:rFonts w:hint="eastAsia"/>
          <w:color w:val="auto"/>
          <w:sz w:val="24"/>
          <w:szCs w:val="20"/>
          <w:highlight w:val="none"/>
          <w:lang w:eastAsia="zh-CN"/>
        </w:rPr>
      </w:pPr>
      <w:r>
        <w:rPr>
          <w:rStyle w:val="19"/>
          <w:rFonts w:hint="eastAsia"/>
          <w:color w:val="auto"/>
          <w:sz w:val="24"/>
          <w:szCs w:val="20"/>
          <w:highlight w:val="none"/>
          <w:lang w:eastAsia="zh-CN"/>
        </w:rPr>
        <w:t>20.6.</w:t>
      </w:r>
      <w:r>
        <w:rPr>
          <w:rStyle w:val="19"/>
          <w:rFonts w:hint="eastAsia"/>
          <w:color w:val="auto"/>
          <w:sz w:val="24"/>
          <w:szCs w:val="20"/>
          <w:highlight w:val="none"/>
          <w:lang w:val="zh-CN" w:eastAsia="zh-CN" w:bidi="zh-CN"/>
        </w:rPr>
        <w:t>3</w:t>
      </w:r>
      <w:r>
        <w:rPr>
          <w:rStyle w:val="19"/>
          <w:rFonts w:hint="default" w:ascii="宋体" w:hAnsi="宋体" w:eastAsia="宋体" w:cs="宋体"/>
          <w:color w:val="auto"/>
          <w:sz w:val="24"/>
          <w:szCs w:val="24"/>
          <w:highlight w:val="none"/>
          <w:lang w:val="zh-CN" w:eastAsia="zh-CN" w:bidi="zh-CN"/>
        </w:rPr>
        <w:t>持续保险</w:t>
      </w:r>
    </w:p>
    <w:p w14:paraId="2614F629">
      <w:pPr>
        <w:pStyle w:val="31"/>
        <w:pageBreakBefore w:val="0"/>
        <w:widowControl w:val="0"/>
        <w:kinsoku/>
        <w:wordWrap/>
        <w:overflowPunct/>
        <w:topLinePunct w:val="0"/>
        <w:autoSpaceDE/>
        <w:autoSpaceDN/>
        <w:bidi w:val="0"/>
        <w:adjustRightInd/>
        <w:snapToGrid/>
        <w:spacing w:beforeLines="0" w:afterLines="0" w:line="440" w:lineRule="exact"/>
        <w:ind w:firstLine="442"/>
        <w:jc w:val="both"/>
        <w:textAlignment w:val="auto"/>
        <w:rPr>
          <w:rStyle w:val="19"/>
          <w:rFonts w:hint="default"/>
          <w:color w:val="auto"/>
          <w:sz w:val="24"/>
          <w:szCs w:val="20"/>
          <w:highlight w:val="none"/>
        </w:rPr>
      </w:pPr>
      <w:r>
        <w:rPr>
          <w:rStyle w:val="19"/>
          <w:rFonts w:hint="default"/>
          <w:color w:val="auto"/>
          <w:sz w:val="24"/>
          <w:szCs w:val="20"/>
          <w:highlight w:val="none"/>
        </w:rPr>
        <w:t>承包人应与保险人保持联系，使保险人能够随时了解工程实施中的变动，并确保按保险合同条款要求持续保险。</w:t>
      </w:r>
    </w:p>
    <w:p w14:paraId="0EC316B7">
      <w:pPr>
        <w:pStyle w:val="31"/>
        <w:pageBreakBefore w:val="0"/>
        <w:widowControl w:val="0"/>
        <w:kinsoku/>
        <w:wordWrap/>
        <w:overflowPunct/>
        <w:topLinePunct w:val="0"/>
        <w:autoSpaceDE/>
        <w:autoSpaceDN/>
        <w:bidi w:val="0"/>
        <w:adjustRightInd/>
        <w:snapToGrid/>
        <w:spacing w:beforeLines="0" w:afterLines="0" w:line="440" w:lineRule="exact"/>
        <w:ind w:firstLine="442"/>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20.6.4</w:t>
      </w:r>
      <w:r>
        <w:rPr>
          <w:rStyle w:val="19"/>
          <w:rFonts w:hint="default"/>
          <w:color w:val="auto"/>
          <w:sz w:val="24"/>
          <w:szCs w:val="20"/>
          <w:highlight w:val="none"/>
        </w:rPr>
        <w:t>保险金不足的补偿</w:t>
      </w:r>
    </w:p>
    <w:p w14:paraId="643A1AC2">
      <w:pPr>
        <w:pStyle w:val="31"/>
        <w:pageBreakBefore w:val="0"/>
        <w:widowControl w:val="0"/>
        <w:kinsoku/>
        <w:wordWrap/>
        <w:overflowPunct/>
        <w:topLinePunct w:val="0"/>
        <w:autoSpaceDE/>
        <w:autoSpaceDN/>
        <w:bidi w:val="0"/>
        <w:adjustRightInd/>
        <w:snapToGrid/>
        <w:spacing w:beforeLines="0" w:after="120" w:afterLines="0" w:line="440" w:lineRule="exact"/>
        <w:ind w:firstLine="442"/>
        <w:jc w:val="both"/>
        <w:textAlignment w:val="auto"/>
        <w:rPr>
          <w:rStyle w:val="19"/>
          <w:rFonts w:hint="default"/>
          <w:color w:val="auto"/>
          <w:sz w:val="24"/>
          <w:szCs w:val="20"/>
          <w:highlight w:val="none"/>
        </w:rPr>
      </w:pPr>
      <w:r>
        <w:rPr>
          <w:rStyle w:val="19"/>
          <w:rFonts w:hint="default"/>
          <w:color w:val="auto"/>
          <w:sz w:val="24"/>
          <w:szCs w:val="20"/>
          <w:highlight w:val="none"/>
        </w:rPr>
        <w:t>保险金不足以补偿损失时，应由承包人和发包人各自负责补偿的范围和金额在专用合 同条款中约定。</w:t>
      </w:r>
    </w:p>
    <w:p w14:paraId="65D469E7">
      <w:pPr>
        <w:pStyle w:val="31"/>
        <w:pageBreakBefore w:val="0"/>
        <w:widowControl w:val="0"/>
        <w:kinsoku/>
        <w:wordWrap/>
        <w:overflowPunct/>
        <w:topLinePunct w:val="0"/>
        <w:autoSpaceDE/>
        <w:autoSpaceDN/>
        <w:bidi w:val="0"/>
        <w:adjustRightInd/>
        <w:snapToGrid/>
        <w:spacing w:beforeLines="0" w:afterLines="0" w:line="440" w:lineRule="exact"/>
        <w:ind w:firstLine="442"/>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eastAsia="en-US" w:bidi="en-US"/>
        </w:rPr>
        <w:t>20. 6.</w:t>
      </w:r>
      <w:r>
        <w:rPr>
          <w:rStyle w:val="19"/>
          <w:rFonts w:hint="eastAsia" w:ascii="Times New Roman" w:hAnsi="Times New Roman" w:eastAsia="Times New Roman" w:cs="Times New Roman"/>
          <w:color w:val="auto"/>
          <w:sz w:val="24"/>
          <w:szCs w:val="24"/>
          <w:highlight w:val="none"/>
        </w:rPr>
        <w:t>5</w:t>
      </w:r>
      <w:r>
        <w:rPr>
          <w:rStyle w:val="19"/>
          <w:rFonts w:hint="default"/>
          <w:color w:val="auto"/>
          <w:sz w:val="24"/>
          <w:szCs w:val="20"/>
          <w:highlight w:val="none"/>
        </w:rPr>
        <w:t>未按约定投保的补救</w:t>
      </w:r>
    </w:p>
    <w:p w14:paraId="29A6DBA6">
      <w:pPr>
        <w:pStyle w:val="31"/>
        <w:pageBreakBefore w:val="0"/>
        <w:widowControl w:val="0"/>
        <w:numPr>
          <w:ilvl w:val="0"/>
          <w:numId w:val="26"/>
        </w:numPr>
        <w:tabs>
          <w:tab w:val="left" w:pos="903"/>
        </w:tabs>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bookmarkStart w:id="1209" w:name="bookmark1475"/>
      <w:bookmarkEnd w:id="1209"/>
      <w:r>
        <w:rPr>
          <w:rStyle w:val="19"/>
          <w:rFonts w:hint="default"/>
          <w:color w:val="auto"/>
          <w:sz w:val="24"/>
          <w:szCs w:val="20"/>
          <w:highlight w:val="none"/>
        </w:rPr>
        <w:t>由于负有投保义务的一方当事人未按合同约定办理保险，或未能使保险持续有效的，另一方当事人可代为办理，所需费用由对方当事人承担。</w:t>
      </w:r>
    </w:p>
    <w:p w14:paraId="7AA97E5B">
      <w:pPr>
        <w:pStyle w:val="31"/>
        <w:pageBreakBefore w:val="0"/>
        <w:widowControl w:val="0"/>
        <w:numPr>
          <w:ilvl w:val="0"/>
          <w:numId w:val="26"/>
        </w:numPr>
        <w:tabs>
          <w:tab w:val="left" w:pos="915"/>
        </w:tabs>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bookmarkStart w:id="1210" w:name="bookmark1476"/>
      <w:bookmarkEnd w:id="1210"/>
      <w:r>
        <w:rPr>
          <w:rStyle w:val="19"/>
          <w:rFonts w:hint="default"/>
          <w:color w:val="auto"/>
          <w:sz w:val="24"/>
          <w:szCs w:val="20"/>
          <w:highlight w:val="none"/>
        </w:rPr>
        <w:t>由于负有投保义务的一方当事人未按合同约定办理某项保险，导致受益人未能得到保险人的赔偿，原应从该项保险得到的保险金应由负有投保义务的一方当事人支付。</w:t>
      </w:r>
    </w:p>
    <w:p w14:paraId="1C665445">
      <w:pPr>
        <w:pStyle w:val="32"/>
        <w:pageBreakBefore w:val="0"/>
        <w:widowControl w:val="0"/>
        <w:kinsoku/>
        <w:wordWrap/>
        <w:overflowPunct/>
        <w:topLinePunct w:val="0"/>
        <w:autoSpaceDE/>
        <w:autoSpaceDN/>
        <w:bidi w:val="0"/>
        <w:adjustRightInd/>
        <w:snapToGrid/>
        <w:spacing w:beforeLines="0" w:after="0" w:afterLines="0" w:line="440" w:lineRule="exact"/>
        <w:jc w:val="both"/>
        <w:textAlignment w:val="auto"/>
        <w:rPr>
          <w:rStyle w:val="19"/>
          <w:rFonts w:hint="eastAsia"/>
          <w:color w:val="auto"/>
          <w:sz w:val="24"/>
          <w:szCs w:val="20"/>
          <w:highlight w:val="none"/>
          <w:lang w:eastAsia="zh-CN"/>
        </w:rPr>
      </w:pPr>
      <w:r>
        <w:rPr>
          <w:rStyle w:val="19"/>
          <w:rFonts w:hint="eastAsia"/>
          <w:color w:val="auto"/>
          <w:sz w:val="24"/>
          <w:szCs w:val="20"/>
          <w:highlight w:val="none"/>
          <w:lang w:eastAsia="zh-CN"/>
        </w:rPr>
        <w:t>20.6.6</w:t>
      </w:r>
      <w:r>
        <w:rPr>
          <w:rStyle w:val="19"/>
          <w:rFonts w:hint="default" w:ascii="宋体" w:hAnsi="宋体" w:eastAsia="宋体" w:cs="宋体"/>
          <w:color w:val="auto"/>
          <w:sz w:val="24"/>
          <w:szCs w:val="24"/>
          <w:highlight w:val="none"/>
          <w:lang w:val="zh-CN" w:eastAsia="zh-CN" w:bidi="zh-CN"/>
        </w:rPr>
        <w:t>报告义务</w:t>
      </w:r>
    </w:p>
    <w:p w14:paraId="422E883F">
      <w:pPr>
        <w:pStyle w:val="31"/>
        <w:pageBreakBefore w:val="0"/>
        <w:widowControl w:val="0"/>
        <w:kinsoku/>
        <w:wordWrap/>
        <w:overflowPunct/>
        <w:topLinePunct w:val="0"/>
        <w:autoSpaceDE/>
        <w:autoSpaceDN/>
        <w:bidi w:val="0"/>
        <w:adjustRightInd/>
        <w:snapToGrid/>
        <w:spacing w:beforeLines="0" w:after="120" w:afterLines="0" w:line="440" w:lineRule="exact"/>
        <w:ind w:firstLine="420"/>
        <w:jc w:val="both"/>
        <w:textAlignment w:val="auto"/>
        <w:rPr>
          <w:rStyle w:val="19"/>
          <w:rFonts w:hint="default"/>
          <w:color w:val="auto"/>
          <w:sz w:val="24"/>
          <w:szCs w:val="20"/>
          <w:highlight w:val="none"/>
        </w:rPr>
      </w:pPr>
      <w:r>
        <w:rPr>
          <w:rStyle w:val="19"/>
          <w:rFonts w:hint="default"/>
          <w:color w:val="auto"/>
          <w:sz w:val="24"/>
          <w:szCs w:val="20"/>
          <w:highlight w:val="none"/>
        </w:rPr>
        <w:t>当保险事故发生时，投保人应按照保险单规定的条件和期限及时向保险人报告。</w:t>
      </w:r>
    </w:p>
    <w:p w14:paraId="6003A3EC">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1211" w:name="_Toc256000157"/>
      <w:bookmarkStart w:id="1212" w:name="bookmark1479"/>
      <w:bookmarkStart w:id="1213" w:name="bookmark1478"/>
      <w:bookmarkStart w:id="1214" w:name="_Toc1749"/>
      <w:bookmarkStart w:id="1215" w:name="_Toc12103"/>
      <w:bookmarkStart w:id="1216" w:name="bookmark1477"/>
      <w:r>
        <w:rPr>
          <w:rStyle w:val="19"/>
          <w:rFonts w:hint="default" w:ascii="宋体" w:hAnsi="宋体" w:eastAsia="宋体"/>
          <w:color w:val="auto"/>
          <w:sz w:val="24"/>
          <w:szCs w:val="20"/>
          <w:highlight w:val="none"/>
          <w:lang w:eastAsia="zh-CN"/>
        </w:rPr>
        <w:t>20.7风险责任的转移</w:t>
      </w:r>
      <w:bookmarkEnd w:id="1211"/>
      <w:bookmarkEnd w:id="1212"/>
      <w:bookmarkEnd w:id="1213"/>
      <w:bookmarkEnd w:id="1214"/>
      <w:bookmarkEnd w:id="1215"/>
      <w:bookmarkEnd w:id="1216"/>
    </w:p>
    <w:p w14:paraId="00DB2C0D">
      <w:pPr>
        <w:pStyle w:val="31"/>
        <w:pageBreakBefore w:val="0"/>
        <w:widowControl w:val="0"/>
        <w:kinsoku/>
        <w:wordWrap/>
        <w:overflowPunct/>
        <w:topLinePunct w:val="0"/>
        <w:autoSpaceDE/>
        <w:autoSpaceDN/>
        <w:bidi w:val="0"/>
        <w:adjustRightInd/>
        <w:snapToGrid/>
        <w:spacing w:beforeLines="0" w:after="260" w:afterLines="0" w:line="440" w:lineRule="exact"/>
        <w:ind w:firstLine="440"/>
        <w:jc w:val="both"/>
        <w:textAlignment w:val="auto"/>
        <w:rPr>
          <w:rStyle w:val="19"/>
          <w:rFonts w:hint="default"/>
          <w:color w:val="auto"/>
          <w:sz w:val="24"/>
          <w:szCs w:val="20"/>
          <w:highlight w:val="none"/>
        </w:rPr>
      </w:pPr>
      <w:r>
        <w:rPr>
          <w:rStyle w:val="19"/>
          <w:rFonts w:hint="default"/>
          <w:color w:val="auto"/>
          <w:sz w:val="24"/>
          <w:szCs w:val="20"/>
          <w:highlight w:val="none"/>
        </w:rPr>
        <w:t>工程通过合同工程完工验收并移交给发包人后，原由承包人应承担的风险责任，以及保险的责任、权利和义务同时转移给发包人，但承包人在缺陷责任期前造成损失和损坏情形除外</w:t>
      </w:r>
      <w:r>
        <w:rPr>
          <w:rStyle w:val="19"/>
          <w:rFonts w:hint="default"/>
          <w:color w:val="auto"/>
          <w:sz w:val="24"/>
          <w:szCs w:val="20"/>
          <w:highlight w:val="none"/>
          <w:lang w:val="en-US" w:bidi="en-US"/>
        </w:rPr>
        <w:t>。</w:t>
      </w:r>
    </w:p>
    <w:p w14:paraId="31A9A4C3">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eastAsia"/>
          <w:color w:val="auto"/>
          <w:sz w:val="24"/>
          <w:szCs w:val="20"/>
          <w:highlight w:val="none"/>
          <w:lang w:eastAsia="zh-CN"/>
        </w:rPr>
      </w:pPr>
      <w:bookmarkStart w:id="1217" w:name="_Toc5879"/>
      <w:bookmarkStart w:id="1218" w:name="_Toc256000158"/>
      <w:bookmarkStart w:id="1219" w:name="bookmark1481"/>
      <w:bookmarkStart w:id="1220" w:name="_Toc24408"/>
      <w:bookmarkStart w:id="1221" w:name="bookmark1482"/>
      <w:bookmarkStart w:id="1222" w:name="bookmark1480"/>
      <w:r>
        <w:rPr>
          <w:rStyle w:val="19"/>
          <w:rFonts w:hint="eastAsia"/>
          <w:color w:val="auto"/>
          <w:sz w:val="24"/>
          <w:szCs w:val="20"/>
          <w:highlight w:val="none"/>
          <w:lang w:eastAsia="zh-CN"/>
        </w:rPr>
        <w:t>21.</w:t>
      </w:r>
      <w:r>
        <w:rPr>
          <w:rStyle w:val="19"/>
          <w:rFonts w:hint="default" w:ascii="宋体" w:eastAsia="宋体"/>
          <w:color w:val="auto"/>
          <w:sz w:val="24"/>
          <w:szCs w:val="20"/>
          <w:highlight w:val="none"/>
          <w:lang w:eastAsia="zh-CN"/>
        </w:rPr>
        <w:t>不可抗力</w:t>
      </w:r>
      <w:bookmarkEnd w:id="1217"/>
      <w:bookmarkEnd w:id="1218"/>
      <w:bookmarkEnd w:id="1219"/>
      <w:bookmarkEnd w:id="1220"/>
      <w:bookmarkEnd w:id="1221"/>
      <w:bookmarkEnd w:id="1222"/>
    </w:p>
    <w:p w14:paraId="6F3407C9">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1223" w:name="bookmark1483"/>
      <w:bookmarkStart w:id="1224" w:name="bookmark1485"/>
      <w:bookmarkStart w:id="1225" w:name="bookmark1484"/>
      <w:bookmarkStart w:id="1226" w:name="_Toc18271"/>
      <w:bookmarkStart w:id="1227" w:name="_Toc15722"/>
      <w:bookmarkStart w:id="1228" w:name="_Toc256000159"/>
      <w:r>
        <w:rPr>
          <w:rStyle w:val="19"/>
          <w:rFonts w:hint="default" w:ascii="宋体" w:hAnsi="宋体" w:eastAsia="宋体"/>
          <w:color w:val="auto"/>
          <w:sz w:val="24"/>
          <w:szCs w:val="20"/>
          <w:highlight w:val="none"/>
          <w:lang w:eastAsia="zh-CN"/>
        </w:rPr>
        <w:t>21.1不可抗力的确认</w:t>
      </w:r>
      <w:bookmarkEnd w:id="1223"/>
      <w:bookmarkEnd w:id="1224"/>
      <w:bookmarkEnd w:id="1225"/>
      <w:bookmarkEnd w:id="1226"/>
      <w:bookmarkEnd w:id="1227"/>
      <w:bookmarkEnd w:id="1228"/>
    </w:p>
    <w:p w14:paraId="2814A823">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21.1.1</w:t>
      </w:r>
      <w:r>
        <w:rPr>
          <w:rStyle w:val="19"/>
          <w:rFonts w:hint="default"/>
          <w:color w:val="auto"/>
          <w:sz w:val="24"/>
          <w:szCs w:val="20"/>
          <w:highlight w:val="none"/>
        </w:rPr>
        <w:t>不可抗力是指承包人和发包人在订立合同时不可预见，在工程施工过程中不可避免发生并不能克服的自然灾害和社会性突发事件，如地震、海啸、瘟疫、水灾、骚乱、 暴动、战争和专用合同条款约定的其他情形。</w:t>
      </w:r>
    </w:p>
    <w:p w14:paraId="361E556E">
      <w:pPr>
        <w:pStyle w:val="31"/>
        <w:pageBreakBefore w:val="0"/>
        <w:widowControl w:val="0"/>
        <w:kinsoku/>
        <w:wordWrap/>
        <w:overflowPunct/>
        <w:topLinePunct w:val="0"/>
        <w:autoSpaceDE/>
        <w:autoSpaceDN/>
        <w:bidi w:val="0"/>
        <w:adjustRightInd/>
        <w:snapToGrid/>
        <w:spacing w:beforeLines="0" w:after="120" w:afterLines="0" w:line="440" w:lineRule="exact"/>
        <w:ind w:firstLine="44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21.1.2</w:t>
      </w:r>
      <w:r>
        <w:rPr>
          <w:rStyle w:val="19"/>
          <w:rFonts w:hint="default"/>
          <w:color w:val="auto"/>
          <w:sz w:val="24"/>
          <w:szCs w:val="20"/>
          <w:highlight w:val="none"/>
        </w:rPr>
        <w:t>不可抗力发生后，发包人和承包人应及时认真统计所造成的损失，收集不可抗力造成损失的证据。合同双方对是否属于不可抗力或其损失的意见不一致的，由监理人按第</w:t>
      </w:r>
      <w:r>
        <w:rPr>
          <w:rStyle w:val="19"/>
          <w:rFonts w:hint="eastAsia" w:ascii="Times New Roman" w:hAnsi="Times New Roman" w:eastAsia="Times New Roman" w:cs="Times New Roman"/>
          <w:color w:val="auto"/>
          <w:sz w:val="24"/>
          <w:szCs w:val="24"/>
          <w:highlight w:val="none"/>
          <w:lang w:val="en-US" w:bidi="en-US"/>
        </w:rPr>
        <w:t xml:space="preserve">3. </w:t>
      </w:r>
      <w:r>
        <w:rPr>
          <w:rStyle w:val="19"/>
          <w:rFonts w:hint="eastAsia" w:ascii="Times New Roman" w:hAnsi="Times New Roman" w:eastAsia="Times New Roman" w:cs="Times New Roman"/>
          <w:color w:val="auto"/>
          <w:sz w:val="24"/>
          <w:szCs w:val="24"/>
          <w:highlight w:val="none"/>
        </w:rPr>
        <w:t>5</w:t>
      </w:r>
      <w:r>
        <w:rPr>
          <w:rStyle w:val="19"/>
          <w:rFonts w:hint="default"/>
          <w:color w:val="auto"/>
          <w:sz w:val="24"/>
          <w:szCs w:val="20"/>
          <w:highlight w:val="none"/>
        </w:rPr>
        <w:t>款商定或确定。发生争议时，按第</w:t>
      </w:r>
      <w:r>
        <w:rPr>
          <w:rStyle w:val="19"/>
          <w:rFonts w:hint="eastAsia" w:ascii="Times New Roman" w:hAnsi="Times New Roman" w:eastAsia="Times New Roman" w:cs="Times New Roman"/>
          <w:color w:val="auto"/>
          <w:sz w:val="24"/>
          <w:szCs w:val="24"/>
          <w:highlight w:val="none"/>
        </w:rPr>
        <w:t>24</w:t>
      </w:r>
      <w:r>
        <w:rPr>
          <w:rStyle w:val="19"/>
          <w:rFonts w:hint="default"/>
          <w:color w:val="auto"/>
          <w:sz w:val="24"/>
          <w:szCs w:val="20"/>
          <w:highlight w:val="none"/>
        </w:rPr>
        <w:t>条的约定办理。</w:t>
      </w:r>
    </w:p>
    <w:p w14:paraId="256463F5">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1229" w:name="bookmark1486"/>
      <w:bookmarkStart w:id="1230" w:name="_Toc2385"/>
      <w:bookmarkStart w:id="1231" w:name="_Toc5372"/>
      <w:bookmarkStart w:id="1232" w:name="bookmark1487"/>
      <w:bookmarkStart w:id="1233" w:name="_Toc256000160"/>
      <w:bookmarkStart w:id="1234" w:name="bookmark1488"/>
      <w:r>
        <w:rPr>
          <w:rStyle w:val="19"/>
          <w:rFonts w:hint="default" w:ascii="宋体" w:hAnsi="宋体" w:eastAsia="宋体"/>
          <w:color w:val="auto"/>
          <w:sz w:val="24"/>
          <w:szCs w:val="20"/>
          <w:highlight w:val="none"/>
          <w:lang w:eastAsia="zh-CN"/>
        </w:rPr>
        <w:t>21.2不可抗力的通知</w:t>
      </w:r>
      <w:bookmarkEnd w:id="1229"/>
      <w:bookmarkEnd w:id="1230"/>
      <w:bookmarkEnd w:id="1231"/>
      <w:bookmarkEnd w:id="1232"/>
      <w:bookmarkEnd w:id="1233"/>
      <w:bookmarkEnd w:id="1234"/>
    </w:p>
    <w:p w14:paraId="44202858">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21.2.1</w:t>
      </w:r>
      <w:r>
        <w:rPr>
          <w:rStyle w:val="19"/>
          <w:rFonts w:hint="default"/>
          <w:color w:val="auto"/>
          <w:sz w:val="24"/>
          <w:szCs w:val="20"/>
          <w:highlight w:val="none"/>
        </w:rPr>
        <w:t>合同一方当事人遇到不可抗力事件，使其履行合同义务受到阻碍时，应立即通知合同另一方当事人和监理人，书面说明不可抗力和受阻碍的详细情况，并提供必要的证明。</w:t>
      </w:r>
    </w:p>
    <w:p w14:paraId="66BB1AEE">
      <w:pPr>
        <w:pStyle w:val="31"/>
        <w:pageBreakBefore w:val="0"/>
        <w:widowControl w:val="0"/>
        <w:kinsoku/>
        <w:wordWrap/>
        <w:overflowPunct/>
        <w:topLinePunct w:val="0"/>
        <w:autoSpaceDE/>
        <w:autoSpaceDN/>
        <w:bidi w:val="0"/>
        <w:adjustRightInd/>
        <w:snapToGrid/>
        <w:spacing w:beforeLines="0" w:after="240" w:afterLines="0" w:line="440" w:lineRule="exact"/>
        <w:ind w:firstLine="44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21.2.2</w:t>
      </w:r>
      <w:r>
        <w:rPr>
          <w:rStyle w:val="19"/>
          <w:rFonts w:hint="default"/>
          <w:color w:val="auto"/>
          <w:sz w:val="24"/>
          <w:szCs w:val="20"/>
          <w:highlight w:val="none"/>
        </w:rPr>
        <w:t>如不可抗力持续发生，合同一方当事人应及时向合同另一方当事人和监理人提交中间报告，说明不可抗力和履行合同受阻的情况，并于不可抗力事件结束后</w:t>
      </w:r>
      <w:r>
        <w:rPr>
          <w:rStyle w:val="19"/>
          <w:rFonts w:hint="eastAsia" w:ascii="Times New Roman" w:hAnsi="Times New Roman" w:eastAsia="Times New Roman" w:cs="Times New Roman"/>
          <w:color w:val="auto"/>
          <w:sz w:val="24"/>
          <w:szCs w:val="24"/>
          <w:highlight w:val="none"/>
        </w:rPr>
        <w:t>28</w:t>
      </w:r>
      <w:r>
        <w:rPr>
          <w:rStyle w:val="19"/>
          <w:rFonts w:hint="default"/>
          <w:color w:val="auto"/>
          <w:sz w:val="24"/>
          <w:szCs w:val="20"/>
          <w:highlight w:val="none"/>
        </w:rPr>
        <w:t>天内提交最终报告及有关资料。</w:t>
      </w:r>
    </w:p>
    <w:p w14:paraId="2A3CE7D0">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1235" w:name="bookmark1491"/>
      <w:bookmarkStart w:id="1236" w:name="_Toc256000161"/>
      <w:bookmarkStart w:id="1237" w:name="bookmark1490"/>
      <w:bookmarkStart w:id="1238" w:name="_Toc17208"/>
      <w:bookmarkStart w:id="1239" w:name="bookmark1489"/>
      <w:bookmarkStart w:id="1240" w:name="_Toc32024"/>
      <w:r>
        <w:rPr>
          <w:rStyle w:val="19"/>
          <w:rFonts w:hint="default" w:ascii="宋体" w:hAnsi="宋体" w:eastAsia="宋体"/>
          <w:color w:val="auto"/>
          <w:sz w:val="24"/>
          <w:szCs w:val="20"/>
          <w:highlight w:val="none"/>
          <w:lang w:eastAsia="zh-CN"/>
        </w:rPr>
        <w:t>21.3不可抗力后果及其处理</w:t>
      </w:r>
      <w:bookmarkEnd w:id="1235"/>
      <w:bookmarkEnd w:id="1236"/>
      <w:bookmarkEnd w:id="1237"/>
      <w:bookmarkEnd w:id="1238"/>
      <w:bookmarkEnd w:id="1239"/>
      <w:bookmarkEnd w:id="1240"/>
    </w:p>
    <w:p w14:paraId="43CA9A6B">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21.3.1</w:t>
      </w:r>
      <w:r>
        <w:rPr>
          <w:rStyle w:val="19"/>
          <w:rFonts w:hint="default"/>
          <w:color w:val="auto"/>
          <w:sz w:val="24"/>
          <w:szCs w:val="20"/>
          <w:highlight w:val="none"/>
        </w:rPr>
        <w:t>不可抗力造成损害的责任</w:t>
      </w:r>
    </w:p>
    <w:p w14:paraId="3A0E702D">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r>
        <w:rPr>
          <w:rStyle w:val="19"/>
          <w:rFonts w:hint="default"/>
          <w:color w:val="auto"/>
          <w:sz w:val="24"/>
          <w:szCs w:val="20"/>
          <w:highlight w:val="none"/>
        </w:rPr>
        <w:t>除专用合同条款另有约定外，不可抗力导致的人员伤亡、财产损失、费用增加和(或) 工期延误等后果，由合同双方按以下原则承担：</w:t>
      </w:r>
    </w:p>
    <w:p w14:paraId="6E2F41CA">
      <w:pPr>
        <w:pStyle w:val="31"/>
        <w:pageBreakBefore w:val="0"/>
        <w:widowControl w:val="0"/>
        <w:numPr>
          <w:ilvl w:val="0"/>
          <w:numId w:val="27"/>
        </w:numPr>
        <w:tabs>
          <w:tab w:val="left" w:pos="903"/>
        </w:tabs>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bookmarkStart w:id="1241" w:name="bookmark1492"/>
      <w:bookmarkEnd w:id="1241"/>
      <w:r>
        <w:rPr>
          <w:rStyle w:val="19"/>
          <w:rFonts w:hint="default"/>
          <w:color w:val="auto"/>
          <w:sz w:val="24"/>
          <w:szCs w:val="20"/>
          <w:highlight w:val="none"/>
        </w:rPr>
        <w:t>永久工程，包括已运至施工场地的材料和工程设备的损害，以及因工程损害造成的第三者人员伤亡和财产损失由发包人承担；</w:t>
      </w:r>
    </w:p>
    <w:p w14:paraId="35428BA0">
      <w:pPr>
        <w:pStyle w:val="31"/>
        <w:pageBreakBefore w:val="0"/>
        <w:widowControl w:val="0"/>
        <w:numPr>
          <w:ilvl w:val="0"/>
          <w:numId w:val="27"/>
        </w:numPr>
        <w:tabs>
          <w:tab w:val="left" w:pos="923"/>
        </w:tabs>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bookmarkStart w:id="1242" w:name="bookmark1493"/>
      <w:bookmarkEnd w:id="1242"/>
      <w:r>
        <w:rPr>
          <w:rStyle w:val="19"/>
          <w:rFonts w:hint="default"/>
          <w:color w:val="auto"/>
          <w:sz w:val="24"/>
          <w:szCs w:val="20"/>
          <w:highlight w:val="none"/>
        </w:rPr>
        <w:t>承包人设备的损坏由承包人承担；</w:t>
      </w:r>
    </w:p>
    <w:p w14:paraId="58B01B7E">
      <w:pPr>
        <w:pStyle w:val="31"/>
        <w:pageBreakBefore w:val="0"/>
        <w:widowControl w:val="0"/>
        <w:numPr>
          <w:ilvl w:val="0"/>
          <w:numId w:val="27"/>
        </w:numPr>
        <w:tabs>
          <w:tab w:val="left" w:pos="923"/>
        </w:tabs>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bookmarkStart w:id="1243" w:name="bookmark1494"/>
      <w:bookmarkEnd w:id="1243"/>
      <w:r>
        <w:rPr>
          <w:rStyle w:val="19"/>
          <w:rFonts w:hint="default"/>
          <w:color w:val="auto"/>
          <w:sz w:val="24"/>
          <w:szCs w:val="20"/>
          <w:highlight w:val="none"/>
        </w:rPr>
        <w:t>发包人和承包人各自承担其人员伤亡和其他财产损失及其相关费用；</w:t>
      </w:r>
    </w:p>
    <w:p w14:paraId="6DAA3864">
      <w:pPr>
        <w:pStyle w:val="31"/>
        <w:pageBreakBefore w:val="0"/>
        <w:widowControl w:val="0"/>
        <w:numPr>
          <w:ilvl w:val="0"/>
          <w:numId w:val="27"/>
        </w:numPr>
        <w:tabs>
          <w:tab w:val="left" w:pos="915"/>
        </w:tabs>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bookmarkStart w:id="1244" w:name="bookmark1495"/>
      <w:bookmarkEnd w:id="1244"/>
      <w:r>
        <w:rPr>
          <w:rStyle w:val="19"/>
          <w:rFonts w:hint="default"/>
          <w:color w:val="auto"/>
          <w:sz w:val="24"/>
          <w:szCs w:val="20"/>
          <w:highlight w:val="none"/>
        </w:rPr>
        <w:t>承包人的停工损失由承包人承担，但停工期间应监理人要求照管工程和清理、修复工程的金额由发包人承担；</w:t>
      </w:r>
    </w:p>
    <w:p w14:paraId="1F2E9D91">
      <w:pPr>
        <w:pStyle w:val="31"/>
        <w:pageBreakBefore w:val="0"/>
        <w:widowControl w:val="0"/>
        <w:numPr>
          <w:ilvl w:val="0"/>
          <w:numId w:val="27"/>
        </w:numPr>
        <w:tabs>
          <w:tab w:val="left" w:pos="920"/>
        </w:tabs>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bookmarkStart w:id="1245" w:name="bookmark1496"/>
      <w:bookmarkEnd w:id="1245"/>
      <w:r>
        <w:rPr>
          <w:rStyle w:val="19"/>
          <w:rFonts w:hint="default"/>
          <w:color w:val="auto"/>
          <w:sz w:val="24"/>
          <w:szCs w:val="20"/>
          <w:highlight w:val="none"/>
        </w:rPr>
        <w:t>不能按期竣工的，应合理延长工期，承包人不需支付逾期竣工违约金。发包人要求赶工的，承包人应采取赶工措施，赶工费用由发包人承担。</w:t>
      </w:r>
    </w:p>
    <w:p w14:paraId="3F6A9EF5">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eastAsia" w:ascii="Times New Roman" w:hAnsi="Times New Roman" w:eastAsia="Times New Roman" w:cs="Times New Roman"/>
          <w:color w:val="auto"/>
          <w:sz w:val="24"/>
          <w:szCs w:val="24"/>
          <w:highlight w:val="none"/>
        </w:rPr>
      </w:pPr>
      <w:r>
        <w:rPr>
          <w:rStyle w:val="19"/>
          <w:rFonts w:hint="eastAsia" w:ascii="Times New Roman" w:hAnsi="Times New Roman" w:eastAsia="Times New Roman" w:cs="Times New Roman"/>
          <w:color w:val="auto"/>
          <w:sz w:val="24"/>
          <w:szCs w:val="24"/>
          <w:highlight w:val="none"/>
          <w:lang w:val="en-US" w:bidi="en-US"/>
        </w:rPr>
        <w:t>21.3.2</w:t>
      </w:r>
      <w:r>
        <w:rPr>
          <w:rStyle w:val="19"/>
          <w:rFonts w:hint="default" w:hAnsi="Times New Roman" w:cs="Times New Roman"/>
          <w:color w:val="auto"/>
          <w:sz w:val="24"/>
          <w:szCs w:val="24"/>
          <w:highlight w:val="none"/>
        </w:rPr>
        <w:t>延迟履行期间发生的不可抗力</w:t>
      </w:r>
    </w:p>
    <w:p w14:paraId="22E8617C">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eastAsia" w:ascii="Times New Roman" w:hAnsi="Times New Roman" w:eastAsia="Times New Roman" w:cs="Times New Roman"/>
          <w:color w:val="auto"/>
          <w:sz w:val="24"/>
          <w:szCs w:val="24"/>
          <w:highlight w:val="none"/>
        </w:rPr>
      </w:pPr>
      <w:r>
        <w:rPr>
          <w:rStyle w:val="19"/>
          <w:rFonts w:hint="default" w:hAnsi="Times New Roman" w:cs="Times New Roman"/>
          <w:color w:val="auto"/>
          <w:sz w:val="24"/>
          <w:szCs w:val="24"/>
          <w:highlight w:val="none"/>
        </w:rPr>
        <w:t>合同一方当事人延迟履行，在延迟履行期间发生不可抗力的，不免除其责任。</w:t>
      </w:r>
    </w:p>
    <w:p w14:paraId="66CF4B33">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eastAsia" w:ascii="Times New Roman" w:hAnsi="Times New Roman" w:eastAsia="Times New Roman" w:cs="Times New Roman"/>
          <w:color w:val="auto"/>
          <w:sz w:val="24"/>
          <w:szCs w:val="24"/>
          <w:highlight w:val="none"/>
        </w:rPr>
      </w:pPr>
      <w:r>
        <w:rPr>
          <w:rStyle w:val="19"/>
          <w:rFonts w:hint="eastAsia" w:ascii="Times New Roman" w:hAnsi="Times New Roman" w:eastAsia="Times New Roman" w:cs="Times New Roman"/>
          <w:color w:val="auto"/>
          <w:sz w:val="24"/>
          <w:szCs w:val="24"/>
          <w:highlight w:val="none"/>
          <w:lang w:val="en-US"/>
        </w:rPr>
        <w:t>21.3.3</w:t>
      </w:r>
      <w:r>
        <w:rPr>
          <w:rStyle w:val="19"/>
          <w:rFonts w:hint="default" w:hAnsi="Times New Roman" w:cs="Times New Roman"/>
          <w:color w:val="auto"/>
          <w:sz w:val="24"/>
          <w:szCs w:val="24"/>
          <w:highlight w:val="none"/>
        </w:rPr>
        <w:t>避免和减少不可抗力损失</w:t>
      </w:r>
    </w:p>
    <w:p w14:paraId="3F490425">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eastAsia" w:ascii="Times New Roman" w:hAnsi="Times New Roman" w:eastAsia="Times New Roman" w:cs="Times New Roman"/>
          <w:color w:val="auto"/>
          <w:sz w:val="24"/>
          <w:szCs w:val="24"/>
          <w:highlight w:val="none"/>
        </w:rPr>
      </w:pPr>
      <w:r>
        <w:rPr>
          <w:rStyle w:val="19"/>
          <w:rFonts w:hint="default" w:hAnsi="Times New Roman" w:cs="Times New Roman"/>
          <w:color w:val="auto"/>
          <w:sz w:val="24"/>
          <w:szCs w:val="24"/>
          <w:highlight w:val="none"/>
        </w:rPr>
        <w:t>不可抗力发生后，发包人和承包人均应采取措施尽量避免和减少损失的扩大，任何一 方没有采取有效措施导致损失扩大的，应对扩大的损失承担责任。</w:t>
      </w:r>
    </w:p>
    <w:p w14:paraId="7D35089D">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eastAsia" w:ascii="Times New Roman" w:hAnsi="Times New Roman" w:eastAsia="Times New Roman" w:cs="Times New Roman"/>
          <w:color w:val="auto"/>
          <w:sz w:val="24"/>
          <w:szCs w:val="24"/>
          <w:highlight w:val="none"/>
          <w:lang w:val="en-US"/>
        </w:rPr>
      </w:pPr>
      <w:r>
        <w:rPr>
          <w:rStyle w:val="19"/>
          <w:rFonts w:hint="eastAsia" w:ascii="Times New Roman" w:hAnsi="Times New Roman" w:eastAsia="Times New Roman" w:cs="Times New Roman"/>
          <w:color w:val="auto"/>
          <w:sz w:val="24"/>
          <w:szCs w:val="24"/>
          <w:highlight w:val="none"/>
          <w:lang w:val="en-US"/>
        </w:rPr>
        <w:t>21.3.4</w:t>
      </w:r>
      <w:r>
        <w:rPr>
          <w:rStyle w:val="19"/>
          <w:rFonts w:hint="default" w:hAnsi="Times New Roman" w:cs="Times New Roman"/>
          <w:color w:val="auto"/>
          <w:sz w:val="24"/>
          <w:szCs w:val="24"/>
          <w:highlight w:val="none"/>
          <w:lang w:val="en-US"/>
        </w:rPr>
        <w:t>因不可抗力解除合同</w:t>
      </w:r>
    </w:p>
    <w:p w14:paraId="75C16706">
      <w:pPr>
        <w:pStyle w:val="31"/>
        <w:pageBreakBefore w:val="0"/>
        <w:widowControl w:val="0"/>
        <w:kinsoku/>
        <w:wordWrap/>
        <w:overflowPunct/>
        <w:topLinePunct w:val="0"/>
        <w:autoSpaceDE/>
        <w:autoSpaceDN/>
        <w:bidi w:val="0"/>
        <w:adjustRightInd/>
        <w:snapToGrid/>
        <w:spacing w:beforeLines="0" w:after="280" w:afterLines="0" w:line="440" w:lineRule="exact"/>
        <w:ind w:firstLine="440"/>
        <w:jc w:val="both"/>
        <w:textAlignment w:val="auto"/>
        <w:rPr>
          <w:rStyle w:val="19"/>
          <w:rFonts w:hint="default"/>
          <w:color w:val="auto"/>
          <w:sz w:val="24"/>
          <w:szCs w:val="20"/>
          <w:highlight w:val="none"/>
        </w:rPr>
      </w:pPr>
      <w:r>
        <w:rPr>
          <w:rStyle w:val="19"/>
          <w:rFonts w:hint="default" w:hAnsi="Times New Roman" w:cs="Times New Roman"/>
          <w:color w:val="auto"/>
          <w:sz w:val="24"/>
          <w:szCs w:val="24"/>
          <w:highlight w:val="none"/>
        </w:rPr>
        <w:t>合同一</w:t>
      </w:r>
      <w:r>
        <w:rPr>
          <w:rStyle w:val="19"/>
          <w:rFonts w:hint="default"/>
          <w:color w:val="auto"/>
          <w:sz w:val="24"/>
          <w:szCs w:val="20"/>
          <w:highlight w:val="none"/>
        </w:rPr>
        <w:t>方当事人因不可抗力不能履行合同的，应当及时通知对方解除合同。合同解除后，承包人应按照第</w:t>
      </w:r>
      <w:r>
        <w:rPr>
          <w:rStyle w:val="19"/>
          <w:rFonts w:hint="eastAsia" w:ascii="Times New Roman" w:hAnsi="Times New Roman" w:eastAsia="Times New Roman" w:cs="Times New Roman"/>
          <w:color w:val="auto"/>
          <w:sz w:val="24"/>
          <w:szCs w:val="24"/>
          <w:highlight w:val="none"/>
          <w:lang w:val="en-US" w:bidi="en-US"/>
        </w:rPr>
        <w:t>22.2.5</w:t>
      </w:r>
      <w:r>
        <w:rPr>
          <w:rStyle w:val="19"/>
          <w:rFonts w:hint="default"/>
          <w:color w:val="auto"/>
          <w:sz w:val="24"/>
          <w:szCs w:val="20"/>
          <w:highlight w:val="none"/>
        </w:rPr>
        <w:t>项约定撤离施工场地。已经订货的材料、设备由订货方负责退货或解除订货合同，不能退还的货款和因退货、解除订货合同发生的费用，由发包人承担, 因未及时退货造成的损失由责任方承担。合同解除后的付款，参照第</w:t>
      </w:r>
      <w:r>
        <w:rPr>
          <w:rStyle w:val="19"/>
          <w:rFonts w:hint="eastAsia" w:ascii="Times New Roman" w:hAnsi="Times New Roman" w:eastAsia="Times New Roman" w:cs="Times New Roman"/>
          <w:color w:val="auto"/>
          <w:sz w:val="24"/>
          <w:szCs w:val="24"/>
          <w:highlight w:val="none"/>
          <w:lang w:val="en-US" w:bidi="en-US"/>
        </w:rPr>
        <w:t>22. 2.4</w:t>
      </w:r>
      <w:r>
        <w:rPr>
          <w:rStyle w:val="19"/>
          <w:rFonts w:hint="default"/>
          <w:color w:val="auto"/>
          <w:sz w:val="24"/>
          <w:szCs w:val="20"/>
          <w:highlight w:val="none"/>
        </w:rPr>
        <w:t>项约定，由监理人按第</w:t>
      </w:r>
      <w:r>
        <w:rPr>
          <w:rStyle w:val="19"/>
          <w:rFonts w:hint="eastAsia" w:ascii="Times New Roman" w:hAnsi="Times New Roman" w:eastAsia="Times New Roman" w:cs="Times New Roman"/>
          <w:color w:val="auto"/>
          <w:sz w:val="24"/>
          <w:szCs w:val="24"/>
          <w:highlight w:val="none"/>
          <w:lang w:val="en-US" w:bidi="en-US"/>
        </w:rPr>
        <w:t xml:space="preserve">3. </w:t>
      </w:r>
      <w:r>
        <w:rPr>
          <w:rStyle w:val="19"/>
          <w:rFonts w:hint="eastAsia" w:ascii="Times New Roman" w:hAnsi="Times New Roman" w:eastAsia="Times New Roman" w:cs="Times New Roman"/>
          <w:color w:val="auto"/>
          <w:sz w:val="24"/>
          <w:szCs w:val="24"/>
          <w:highlight w:val="none"/>
        </w:rPr>
        <w:t>5</w:t>
      </w:r>
      <w:r>
        <w:rPr>
          <w:rStyle w:val="19"/>
          <w:rFonts w:hint="default"/>
          <w:color w:val="auto"/>
          <w:sz w:val="24"/>
          <w:szCs w:val="20"/>
          <w:highlight w:val="none"/>
        </w:rPr>
        <w:t>款商定或确定。</w:t>
      </w:r>
    </w:p>
    <w:p w14:paraId="7CB14063">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eastAsia"/>
          <w:color w:val="auto"/>
          <w:sz w:val="24"/>
          <w:szCs w:val="20"/>
          <w:highlight w:val="none"/>
          <w:lang w:eastAsia="zh-CN"/>
        </w:rPr>
      </w:pPr>
      <w:bookmarkStart w:id="1246" w:name="_Toc6299"/>
      <w:bookmarkStart w:id="1247" w:name="_Toc256000162"/>
      <w:bookmarkStart w:id="1248" w:name="bookmark1499"/>
      <w:bookmarkStart w:id="1249" w:name="_Toc15837"/>
      <w:bookmarkStart w:id="1250" w:name="bookmark1498"/>
      <w:bookmarkStart w:id="1251" w:name="bookmark1497"/>
      <w:r>
        <w:rPr>
          <w:rStyle w:val="19"/>
          <w:rFonts w:hint="eastAsia"/>
          <w:color w:val="auto"/>
          <w:sz w:val="24"/>
          <w:szCs w:val="20"/>
          <w:highlight w:val="none"/>
          <w:lang w:eastAsia="zh-CN"/>
        </w:rPr>
        <w:t>22.</w:t>
      </w:r>
      <w:r>
        <w:rPr>
          <w:rStyle w:val="19"/>
          <w:rFonts w:hint="default" w:ascii="宋体" w:eastAsia="宋体"/>
          <w:color w:val="auto"/>
          <w:sz w:val="24"/>
          <w:szCs w:val="20"/>
          <w:highlight w:val="none"/>
          <w:lang w:eastAsia="zh-CN"/>
        </w:rPr>
        <w:t>违约</w:t>
      </w:r>
      <w:bookmarkEnd w:id="1246"/>
      <w:bookmarkEnd w:id="1247"/>
      <w:bookmarkEnd w:id="1248"/>
      <w:bookmarkEnd w:id="1249"/>
    </w:p>
    <w:p w14:paraId="5068F3A4">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1252" w:name="bookmark1500"/>
      <w:bookmarkStart w:id="1253" w:name="_Toc15198"/>
      <w:bookmarkStart w:id="1254" w:name="_Toc256000163"/>
      <w:bookmarkStart w:id="1255" w:name="_Toc3191"/>
      <w:r>
        <w:rPr>
          <w:rStyle w:val="19"/>
          <w:rFonts w:hint="default" w:ascii="宋体" w:hAnsi="宋体" w:eastAsia="宋体"/>
          <w:color w:val="auto"/>
          <w:sz w:val="24"/>
          <w:szCs w:val="20"/>
          <w:highlight w:val="none"/>
          <w:lang w:eastAsia="zh-CN"/>
        </w:rPr>
        <w:t>22.1承包人违约</w:t>
      </w:r>
      <w:bookmarkEnd w:id="1250"/>
      <w:bookmarkEnd w:id="1251"/>
      <w:bookmarkEnd w:id="1252"/>
      <w:bookmarkEnd w:id="1253"/>
      <w:bookmarkEnd w:id="1254"/>
      <w:bookmarkEnd w:id="1255"/>
    </w:p>
    <w:p w14:paraId="3B5912F2">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22.1.1</w:t>
      </w:r>
      <w:r>
        <w:rPr>
          <w:rStyle w:val="19"/>
          <w:rFonts w:hint="default"/>
          <w:color w:val="auto"/>
          <w:sz w:val="24"/>
          <w:szCs w:val="20"/>
          <w:highlight w:val="none"/>
        </w:rPr>
        <w:t>承包人违约的情形</w:t>
      </w:r>
    </w:p>
    <w:p w14:paraId="1F3B85DD">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default"/>
          <w:color w:val="auto"/>
          <w:sz w:val="24"/>
          <w:szCs w:val="20"/>
          <w:highlight w:val="none"/>
        </w:rPr>
      </w:pPr>
      <w:r>
        <w:rPr>
          <w:rStyle w:val="19"/>
          <w:rFonts w:hint="default"/>
          <w:color w:val="auto"/>
          <w:sz w:val="24"/>
          <w:szCs w:val="20"/>
          <w:highlight w:val="none"/>
        </w:rPr>
        <w:t>在履行合同过程中发生的下列情况属承包人违约：</w:t>
      </w:r>
    </w:p>
    <w:p w14:paraId="1CA36CEB">
      <w:pPr>
        <w:pStyle w:val="31"/>
        <w:pageBreakBefore w:val="0"/>
        <w:widowControl w:val="0"/>
        <w:numPr>
          <w:ilvl w:val="0"/>
          <w:numId w:val="28"/>
        </w:numPr>
        <w:tabs>
          <w:tab w:val="left" w:pos="920"/>
        </w:tabs>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bookmarkStart w:id="1256" w:name="bookmark1501"/>
      <w:bookmarkEnd w:id="1256"/>
      <w:r>
        <w:rPr>
          <w:rStyle w:val="19"/>
          <w:rFonts w:hint="default"/>
          <w:color w:val="auto"/>
          <w:sz w:val="24"/>
          <w:szCs w:val="20"/>
          <w:highlight w:val="none"/>
        </w:rPr>
        <w:t>承包人违反第</w:t>
      </w:r>
      <w:r>
        <w:rPr>
          <w:rStyle w:val="19"/>
          <w:rFonts w:hint="eastAsia" w:ascii="Times New Roman" w:hAnsi="Times New Roman" w:eastAsia="Times New Roman" w:cs="Times New Roman"/>
          <w:color w:val="auto"/>
          <w:sz w:val="24"/>
          <w:szCs w:val="24"/>
          <w:highlight w:val="none"/>
          <w:lang w:val="en-US" w:bidi="en-US"/>
        </w:rPr>
        <w:t>1.8</w:t>
      </w:r>
      <w:r>
        <w:rPr>
          <w:rStyle w:val="19"/>
          <w:rFonts w:hint="default"/>
          <w:color w:val="auto"/>
          <w:sz w:val="24"/>
          <w:szCs w:val="20"/>
          <w:highlight w:val="none"/>
        </w:rPr>
        <w:t>款或第</w:t>
      </w:r>
      <w:r>
        <w:rPr>
          <w:rStyle w:val="19"/>
          <w:rFonts w:hint="eastAsia" w:ascii="Times New Roman" w:hAnsi="Times New Roman" w:eastAsia="Times New Roman" w:cs="Times New Roman"/>
          <w:color w:val="auto"/>
          <w:sz w:val="24"/>
          <w:szCs w:val="24"/>
          <w:highlight w:val="none"/>
          <w:lang w:val="en-US" w:bidi="en-US"/>
        </w:rPr>
        <w:t xml:space="preserve">4. </w:t>
      </w:r>
      <w:r>
        <w:rPr>
          <w:rStyle w:val="19"/>
          <w:rFonts w:hint="eastAsia" w:ascii="Times New Roman" w:hAnsi="Times New Roman" w:eastAsia="Times New Roman" w:cs="Times New Roman"/>
          <w:color w:val="auto"/>
          <w:sz w:val="24"/>
          <w:szCs w:val="24"/>
          <w:highlight w:val="none"/>
        </w:rPr>
        <w:t>3</w:t>
      </w:r>
      <w:r>
        <w:rPr>
          <w:rStyle w:val="19"/>
          <w:rFonts w:hint="default"/>
          <w:color w:val="auto"/>
          <w:sz w:val="24"/>
          <w:szCs w:val="20"/>
          <w:highlight w:val="none"/>
        </w:rPr>
        <w:t>款的约定，私自将合同的全部或部分权利转让给其他人，或私自将合同的全部或部分义务转移给其他人；</w:t>
      </w:r>
    </w:p>
    <w:p w14:paraId="3A4CAFF9">
      <w:pPr>
        <w:pStyle w:val="31"/>
        <w:pageBreakBefore w:val="0"/>
        <w:widowControl w:val="0"/>
        <w:numPr>
          <w:ilvl w:val="0"/>
          <w:numId w:val="28"/>
        </w:numPr>
        <w:tabs>
          <w:tab w:val="left" w:pos="920"/>
        </w:tabs>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bookmarkStart w:id="1257" w:name="bookmark1502"/>
      <w:bookmarkEnd w:id="1257"/>
      <w:r>
        <w:rPr>
          <w:rStyle w:val="19"/>
          <w:rFonts w:hint="default"/>
          <w:color w:val="auto"/>
          <w:sz w:val="24"/>
          <w:szCs w:val="20"/>
          <w:highlight w:val="none"/>
        </w:rPr>
        <w:t>承包人违反第</w:t>
      </w:r>
      <w:r>
        <w:rPr>
          <w:rStyle w:val="19"/>
          <w:rFonts w:hint="eastAsia" w:ascii="Times New Roman" w:hAnsi="Times New Roman" w:eastAsia="Times New Roman" w:cs="Times New Roman"/>
          <w:color w:val="auto"/>
          <w:sz w:val="24"/>
          <w:szCs w:val="24"/>
          <w:highlight w:val="none"/>
          <w:lang w:val="en-US" w:bidi="en-US"/>
        </w:rPr>
        <w:t xml:space="preserve">5. </w:t>
      </w:r>
      <w:r>
        <w:rPr>
          <w:rStyle w:val="19"/>
          <w:rFonts w:hint="eastAsia" w:ascii="Times New Roman" w:hAnsi="Times New Roman" w:eastAsia="Times New Roman" w:cs="Times New Roman"/>
          <w:color w:val="auto"/>
          <w:sz w:val="24"/>
          <w:szCs w:val="24"/>
          <w:highlight w:val="none"/>
        </w:rPr>
        <w:t>3</w:t>
      </w:r>
      <w:r>
        <w:rPr>
          <w:rStyle w:val="19"/>
          <w:rFonts w:hint="default"/>
          <w:color w:val="auto"/>
          <w:sz w:val="24"/>
          <w:szCs w:val="20"/>
          <w:highlight w:val="none"/>
        </w:rPr>
        <w:t>款或第</w:t>
      </w:r>
      <w:r>
        <w:rPr>
          <w:rStyle w:val="19"/>
          <w:rFonts w:hint="eastAsia" w:ascii="Times New Roman" w:hAnsi="Times New Roman" w:eastAsia="Times New Roman" w:cs="Times New Roman"/>
          <w:color w:val="auto"/>
          <w:sz w:val="24"/>
          <w:szCs w:val="24"/>
          <w:highlight w:val="none"/>
          <w:lang w:val="en-US" w:bidi="en-US"/>
        </w:rPr>
        <w:t xml:space="preserve">6. </w:t>
      </w:r>
      <w:r>
        <w:rPr>
          <w:rStyle w:val="19"/>
          <w:rFonts w:hint="eastAsia" w:ascii="Times New Roman" w:hAnsi="Times New Roman" w:eastAsia="Times New Roman" w:cs="Times New Roman"/>
          <w:color w:val="auto"/>
          <w:sz w:val="24"/>
          <w:szCs w:val="24"/>
          <w:highlight w:val="none"/>
        </w:rPr>
        <w:t>4</w:t>
      </w:r>
      <w:r>
        <w:rPr>
          <w:rStyle w:val="19"/>
          <w:rFonts w:hint="default"/>
          <w:color w:val="auto"/>
          <w:sz w:val="24"/>
          <w:szCs w:val="20"/>
          <w:highlight w:val="none"/>
        </w:rPr>
        <w:t>款的约定，未经监理人批准，私自将已按合同约定进入施工场地的施工设备、临时设施或材料撤离施工场地；</w:t>
      </w:r>
    </w:p>
    <w:p w14:paraId="4A0694BE">
      <w:pPr>
        <w:pStyle w:val="31"/>
        <w:pageBreakBefore w:val="0"/>
        <w:widowControl w:val="0"/>
        <w:numPr>
          <w:ilvl w:val="0"/>
          <w:numId w:val="28"/>
        </w:numPr>
        <w:tabs>
          <w:tab w:val="left" w:pos="922"/>
        </w:tabs>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bookmarkStart w:id="1258" w:name="bookmark1503"/>
      <w:bookmarkEnd w:id="1258"/>
      <w:r>
        <w:rPr>
          <w:rStyle w:val="19"/>
          <w:rFonts w:hint="default"/>
          <w:color w:val="auto"/>
          <w:sz w:val="24"/>
          <w:szCs w:val="20"/>
          <w:highlight w:val="none"/>
        </w:rPr>
        <w:t>承包人违反第</w:t>
      </w:r>
      <w:r>
        <w:rPr>
          <w:rStyle w:val="19"/>
          <w:rFonts w:hint="eastAsia" w:ascii="Times New Roman" w:hAnsi="Times New Roman" w:eastAsia="Times New Roman" w:cs="Times New Roman"/>
          <w:color w:val="auto"/>
          <w:sz w:val="24"/>
          <w:szCs w:val="24"/>
          <w:highlight w:val="none"/>
          <w:lang w:val="en-US" w:bidi="en-US"/>
        </w:rPr>
        <w:t xml:space="preserve">5. </w:t>
      </w:r>
      <w:r>
        <w:rPr>
          <w:rStyle w:val="19"/>
          <w:rFonts w:hint="eastAsia" w:ascii="Times New Roman" w:hAnsi="Times New Roman" w:eastAsia="Times New Roman" w:cs="Times New Roman"/>
          <w:color w:val="auto"/>
          <w:sz w:val="24"/>
          <w:szCs w:val="24"/>
          <w:highlight w:val="none"/>
        </w:rPr>
        <w:t>4</w:t>
      </w:r>
      <w:r>
        <w:rPr>
          <w:rStyle w:val="19"/>
          <w:rFonts w:hint="default"/>
          <w:color w:val="auto"/>
          <w:sz w:val="24"/>
          <w:szCs w:val="20"/>
          <w:highlight w:val="none"/>
        </w:rPr>
        <w:t>款的约定使用了不合格材料或工程设备，工程质量达不到标准要求，又拒绝清除不合格工程；</w:t>
      </w:r>
    </w:p>
    <w:p w14:paraId="6CFCD646">
      <w:pPr>
        <w:pStyle w:val="31"/>
        <w:pageBreakBefore w:val="0"/>
        <w:widowControl w:val="0"/>
        <w:numPr>
          <w:ilvl w:val="0"/>
          <w:numId w:val="28"/>
        </w:numPr>
        <w:tabs>
          <w:tab w:val="left" w:pos="922"/>
        </w:tabs>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bookmarkStart w:id="1259" w:name="bookmark1504"/>
      <w:bookmarkEnd w:id="1259"/>
      <w:r>
        <w:rPr>
          <w:rStyle w:val="19"/>
          <w:rFonts w:hint="default"/>
          <w:color w:val="auto"/>
          <w:sz w:val="24"/>
          <w:szCs w:val="20"/>
          <w:highlight w:val="none"/>
        </w:rPr>
        <w:t>承包人未能按合同进度计划及时完成合同约定的工作，已造成或预期造成工期延误；</w:t>
      </w:r>
    </w:p>
    <w:p w14:paraId="68D58CA9">
      <w:pPr>
        <w:pStyle w:val="31"/>
        <w:pageBreakBefore w:val="0"/>
        <w:widowControl w:val="0"/>
        <w:numPr>
          <w:ilvl w:val="0"/>
          <w:numId w:val="28"/>
        </w:numPr>
        <w:tabs>
          <w:tab w:val="left" w:pos="922"/>
        </w:tabs>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bookmarkStart w:id="1260" w:name="bookmark1505"/>
      <w:bookmarkEnd w:id="1260"/>
      <w:r>
        <w:rPr>
          <w:rStyle w:val="19"/>
          <w:rFonts w:hint="default"/>
          <w:color w:val="auto"/>
          <w:sz w:val="24"/>
          <w:szCs w:val="20"/>
          <w:highlight w:val="none"/>
        </w:rPr>
        <w:t>承包人在缺陷责任期内，未能对合同工程完工验收鉴定书中所列的缺陷清单的内容或缺陷责任期内发生的缺陷进行修复，而又拒绝按监理人指示再进行修补；</w:t>
      </w:r>
    </w:p>
    <w:p w14:paraId="6B759A33">
      <w:pPr>
        <w:pStyle w:val="31"/>
        <w:pageBreakBefore w:val="0"/>
        <w:widowControl w:val="0"/>
        <w:numPr>
          <w:ilvl w:val="0"/>
          <w:numId w:val="28"/>
        </w:numPr>
        <w:tabs>
          <w:tab w:val="left" w:pos="903"/>
        </w:tabs>
        <w:kinsoku/>
        <w:wordWrap/>
        <w:overflowPunct/>
        <w:topLinePunct w:val="0"/>
        <w:autoSpaceDE/>
        <w:autoSpaceDN/>
        <w:bidi w:val="0"/>
        <w:adjustRightInd/>
        <w:snapToGrid/>
        <w:spacing w:beforeLines="0" w:afterLines="0" w:line="440" w:lineRule="exact"/>
        <w:ind w:firstLine="420"/>
        <w:jc w:val="both"/>
        <w:textAlignment w:val="auto"/>
        <w:rPr>
          <w:rStyle w:val="19"/>
          <w:rFonts w:hint="default"/>
          <w:color w:val="auto"/>
          <w:sz w:val="24"/>
          <w:szCs w:val="20"/>
          <w:highlight w:val="none"/>
        </w:rPr>
      </w:pPr>
      <w:bookmarkStart w:id="1261" w:name="bookmark1506"/>
      <w:bookmarkEnd w:id="1261"/>
      <w:r>
        <w:rPr>
          <w:rStyle w:val="19"/>
          <w:rFonts w:hint="default"/>
          <w:color w:val="auto"/>
          <w:sz w:val="24"/>
          <w:szCs w:val="20"/>
          <w:highlight w:val="none"/>
        </w:rPr>
        <w:t>承包人无法继续履行或明确表示不履行或实质上已停止履行合同；</w:t>
      </w:r>
    </w:p>
    <w:p w14:paraId="5670308F">
      <w:pPr>
        <w:pStyle w:val="31"/>
        <w:pageBreakBefore w:val="0"/>
        <w:widowControl w:val="0"/>
        <w:numPr>
          <w:ilvl w:val="0"/>
          <w:numId w:val="28"/>
        </w:numPr>
        <w:tabs>
          <w:tab w:val="left" w:pos="903"/>
        </w:tabs>
        <w:kinsoku/>
        <w:wordWrap/>
        <w:overflowPunct/>
        <w:topLinePunct w:val="0"/>
        <w:autoSpaceDE/>
        <w:autoSpaceDN/>
        <w:bidi w:val="0"/>
        <w:adjustRightInd/>
        <w:snapToGrid/>
        <w:spacing w:beforeLines="0" w:afterLines="0" w:line="440" w:lineRule="exact"/>
        <w:ind w:firstLine="420"/>
        <w:jc w:val="both"/>
        <w:textAlignment w:val="auto"/>
        <w:rPr>
          <w:rStyle w:val="19"/>
          <w:rFonts w:hint="default"/>
          <w:color w:val="auto"/>
          <w:sz w:val="24"/>
          <w:szCs w:val="20"/>
          <w:highlight w:val="none"/>
        </w:rPr>
      </w:pPr>
      <w:bookmarkStart w:id="1262" w:name="bookmark1507"/>
      <w:bookmarkEnd w:id="1262"/>
      <w:r>
        <w:rPr>
          <w:rStyle w:val="19"/>
          <w:rFonts w:hint="default"/>
          <w:color w:val="auto"/>
          <w:sz w:val="24"/>
          <w:szCs w:val="20"/>
          <w:highlight w:val="none"/>
        </w:rPr>
        <w:t>承包人不按合同约定履行义务的其他情况。</w:t>
      </w:r>
    </w:p>
    <w:p w14:paraId="536FDAFC">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eastAsia="en-US" w:bidi="en-US"/>
        </w:rPr>
        <w:t>22.1.2</w:t>
      </w:r>
      <w:r>
        <w:rPr>
          <w:rStyle w:val="19"/>
          <w:rFonts w:hint="default"/>
          <w:color w:val="auto"/>
          <w:sz w:val="24"/>
          <w:szCs w:val="20"/>
          <w:highlight w:val="none"/>
        </w:rPr>
        <w:t>对承包人违约的处理</w:t>
      </w:r>
    </w:p>
    <w:p w14:paraId="0B85740F">
      <w:pPr>
        <w:pStyle w:val="31"/>
        <w:pageBreakBefore w:val="0"/>
        <w:widowControl w:val="0"/>
        <w:numPr>
          <w:ilvl w:val="0"/>
          <w:numId w:val="29"/>
        </w:numPr>
        <w:tabs>
          <w:tab w:val="left" w:pos="922"/>
        </w:tabs>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bookmarkStart w:id="1263" w:name="bookmark1508"/>
      <w:bookmarkEnd w:id="1263"/>
      <w:r>
        <w:rPr>
          <w:rStyle w:val="19"/>
          <w:rFonts w:hint="default"/>
          <w:color w:val="auto"/>
          <w:sz w:val="24"/>
          <w:szCs w:val="20"/>
          <w:highlight w:val="none"/>
        </w:rPr>
        <w:t>承包人发生第</w:t>
      </w:r>
      <w:r>
        <w:rPr>
          <w:rStyle w:val="19"/>
          <w:rFonts w:hint="eastAsia" w:ascii="Times New Roman" w:hAnsi="Times New Roman" w:eastAsia="Times New Roman" w:cs="Times New Roman"/>
          <w:color w:val="auto"/>
          <w:sz w:val="24"/>
          <w:szCs w:val="24"/>
          <w:highlight w:val="none"/>
          <w:lang w:val="en-US" w:bidi="en-US"/>
        </w:rPr>
        <w:t xml:space="preserve">22.1.1 </w:t>
      </w:r>
      <w:r>
        <w:rPr>
          <w:rStyle w:val="19"/>
          <w:rFonts w:hint="eastAsia" w:ascii="Times New Roman" w:hAnsi="Times New Roman" w:eastAsia="Times New Roman" w:cs="Times New Roman"/>
          <w:color w:val="auto"/>
          <w:sz w:val="24"/>
          <w:szCs w:val="24"/>
          <w:highlight w:val="none"/>
        </w:rPr>
        <w:t>(6)</w:t>
      </w:r>
      <w:r>
        <w:rPr>
          <w:rStyle w:val="19"/>
          <w:rFonts w:hint="default"/>
          <w:color w:val="auto"/>
          <w:sz w:val="24"/>
          <w:szCs w:val="20"/>
          <w:highlight w:val="none"/>
        </w:rPr>
        <w:t>目约定的违约情况时，发包人可通知承包人立即解除合同，并按有关法律处理。</w:t>
      </w:r>
    </w:p>
    <w:p w14:paraId="31CEE715">
      <w:pPr>
        <w:pStyle w:val="31"/>
        <w:pageBreakBefore w:val="0"/>
        <w:widowControl w:val="0"/>
        <w:numPr>
          <w:ilvl w:val="0"/>
          <w:numId w:val="29"/>
        </w:numPr>
        <w:tabs>
          <w:tab w:val="left" w:pos="920"/>
        </w:tabs>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bookmarkStart w:id="1264" w:name="bookmark1509"/>
      <w:bookmarkEnd w:id="1264"/>
      <w:r>
        <w:rPr>
          <w:rStyle w:val="19"/>
          <w:rFonts w:hint="default"/>
          <w:color w:val="auto"/>
          <w:sz w:val="24"/>
          <w:szCs w:val="20"/>
          <w:highlight w:val="none"/>
        </w:rPr>
        <w:t>承包人发生除第</w:t>
      </w:r>
      <w:r>
        <w:rPr>
          <w:rStyle w:val="19"/>
          <w:rFonts w:hint="eastAsia" w:ascii="Times New Roman" w:hAnsi="Times New Roman" w:eastAsia="Times New Roman" w:cs="Times New Roman"/>
          <w:color w:val="auto"/>
          <w:sz w:val="24"/>
          <w:szCs w:val="24"/>
          <w:highlight w:val="none"/>
          <w:lang w:val="en-US" w:bidi="en-US"/>
        </w:rPr>
        <w:t xml:space="preserve">22. 1. </w:t>
      </w:r>
      <w:r>
        <w:rPr>
          <w:rStyle w:val="19"/>
          <w:rFonts w:hint="eastAsia" w:ascii="Times New Roman" w:hAnsi="Times New Roman" w:eastAsia="Times New Roman" w:cs="Times New Roman"/>
          <w:color w:val="auto"/>
          <w:sz w:val="24"/>
          <w:szCs w:val="24"/>
          <w:highlight w:val="none"/>
        </w:rPr>
        <w:t>1 (6)</w:t>
      </w:r>
      <w:r>
        <w:rPr>
          <w:rStyle w:val="19"/>
          <w:rFonts w:hint="default"/>
          <w:color w:val="auto"/>
          <w:sz w:val="24"/>
          <w:szCs w:val="20"/>
          <w:highlight w:val="none"/>
        </w:rPr>
        <w:t>目约定以外的其他违约情况时，监理人可向承包人发出整改通知，要求其在指定的期限内改正。承包人应承担其违约所引起的费用增加和 (或)工期延误。</w:t>
      </w:r>
    </w:p>
    <w:p w14:paraId="4229FDA8">
      <w:pPr>
        <w:pStyle w:val="31"/>
        <w:pageBreakBefore w:val="0"/>
        <w:widowControl w:val="0"/>
        <w:numPr>
          <w:ilvl w:val="0"/>
          <w:numId w:val="29"/>
        </w:numPr>
        <w:tabs>
          <w:tab w:val="left" w:pos="922"/>
        </w:tabs>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bookmarkStart w:id="1265" w:name="bookmark1510"/>
      <w:bookmarkEnd w:id="1265"/>
      <w:r>
        <w:rPr>
          <w:rStyle w:val="19"/>
          <w:rFonts w:hint="default"/>
          <w:color w:val="auto"/>
          <w:sz w:val="24"/>
          <w:szCs w:val="20"/>
          <w:highlight w:val="none"/>
        </w:rPr>
        <w:t>经检查证明承包人已采取了有效措施纠正违约行为，具备复工条件的，可由监理人签发复工通知复工。</w:t>
      </w:r>
    </w:p>
    <w:p w14:paraId="75B733FF">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eastAsia" w:ascii="Times New Roman" w:hAnsi="Times New Roman" w:eastAsia="Times New Roman" w:cs="Times New Roman"/>
          <w:color w:val="auto"/>
          <w:sz w:val="24"/>
          <w:szCs w:val="24"/>
          <w:highlight w:val="none"/>
        </w:rPr>
      </w:pPr>
      <w:r>
        <w:rPr>
          <w:rStyle w:val="19"/>
          <w:rFonts w:hint="eastAsia" w:ascii="Times New Roman" w:hAnsi="Times New Roman" w:eastAsia="Times New Roman" w:cs="Times New Roman"/>
          <w:color w:val="auto"/>
          <w:sz w:val="24"/>
          <w:szCs w:val="24"/>
          <w:highlight w:val="none"/>
          <w:lang w:val="en-US" w:bidi="en-US"/>
        </w:rPr>
        <w:t>22.1.3</w:t>
      </w:r>
      <w:r>
        <w:rPr>
          <w:rStyle w:val="19"/>
          <w:rFonts w:hint="default" w:hAnsi="Times New Roman" w:cs="Times New Roman"/>
          <w:color w:val="auto"/>
          <w:sz w:val="24"/>
          <w:szCs w:val="24"/>
          <w:highlight w:val="none"/>
        </w:rPr>
        <w:t>承包人违约解除合同</w:t>
      </w:r>
    </w:p>
    <w:p w14:paraId="3A9388E0">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eastAsia" w:ascii="Times New Roman" w:hAnsi="Times New Roman" w:eastAsia="Times New Roman" w:cs="Times New Roman"/>
          <w:color w:val="auto"/>
          <w:sz w:val="24"/>
          <w:szCs w:val="24"/>
          <w:highlight w:val="none"/>
        </w:rPr>
      </w:pPr>
      <w:r>
        <w:rPr>
          <w:rStyle w:val="19"/>
          <w:rFonts w:hint="default" w:hAnsi="Times New Roman" w:cs="Times New Roman"/>
          <w:color w:val="auto"/>
          <w:sz w:val="24"/>
          <w:szCs w:val="24"/>
          <w:highlight w:val="none"/>
        </w:rPr>
        <w:t>监理人发出整改通知</w:t>
      </w:r>
      <w:r>
        <w:rPr>
          <w:rStyle w:val="19"/>
          <w:rFonts w:hint="eastAsia" w:ascii="Times New Roman" w:hAnsi="Times New Roman" w:eastAsia="Times New Roman" w:cs="Times New Roman"/>
          <w:color w:val="auto"/>
          <w:sz w:val="24"/>
          <w:szCs w:val="24"/>
          <w:highlight w:val="none"/>
        </w:rPr>
        <w:t>28</w:t>
      </w:r>
      <w:r>
        <w:rPr>
          <w:rStyle w:val="19"/>
          <w:rFonts w:hint="default" w:hAnsi="Times New Roman" w:cs="Times New Roman"/>
          <w:color w:val="auto"/>
          <w:sz w:val="24"/>
          <w:szCs w:val="24"/>
          <w:highlight w:val="none"/>
        </w:rPr>
        <w:t>天后，承包人仍不纠正违约行为的，发包人可向承包人发出解除合同通知。合同解除后，发包人可派员进驻施工场地，另行组织人员或委托其他承包人施工。发包人因继续完成该工程的需要，有权扣留使用承包人在现场的材料、设备和临时设施。但发包人的这一行动不免除承包人应承担的违约责任，也不影响发包人根据合同约 定享有的索赔权利。</w:t>
      </w:r>
    </w:p>
    <w:p w14:paraId="4312ADC4">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eastAsia" w:ascii="Times New Roman" w:hAnsi="Times New Roman" w:eastAsia="Times New Roman" w:cs="Times New Roman"/>
          <w:color w:val="auto"/>
          <w:sz w:val="24"/>
          <w:szCs w:val="24"/>
          <w:highlight w:val="none"/>
        </w:rPr>
      </w:pPr>
      <w:r>
        <w:rPr>
          <w:rStyle w:val="19"/>
          <w:rFonts w:hint="eastAsia" w:ascii="Times New Roman" w:hAnsi="Times New Roman" w:eastAsia="Times New Roman" w:cs="Times New Roman"/>
          <w:color w:val="auto"/>
          <w:sz w:val="24"/>
          <w:szCs w:val="24"/>
          <w:highlight w:val="none"/>
          <w:lang w:val="en-US"/>
        </w:rPr>
        <w:t>22.1.4</w:t>
      </w:r>
      <w:r>
        <w:rPr>
          <w:rStyle w:val="19"/>
          <w:rFonts w:hint="default" w:hAnsi="Times New Roman" w:cs="Times New Roman"/>
          <w:color w:val="auto"/>
          <w:sz w:val="24"/>
          <w:szCs w:val="24"/>
          <w:highlight w:val="none"/>
        </w:rPr>
        <w:t>合同解除后的估价、付款和结清</w:t>
      </w:r>
    </w:p>
    <w:p w14:paraId="65E681E1">
      <w:pPr>
        <w:pStyle w:val="31"/>
        <w:pageBreakBefore w:val="0"/>
        <w:widowControl w:val="0"/>
        <w:numPr>
          <w:ilvl w:val="0"/>
          <w:numId w:val="30"/>
        </w:numPr>
        <w:tabs>
          <w:tab w:val="left" w:pos="920"/>
        </w:tabs>
        <w:kinsoku/>
        <w:wordWrap/>
        <w:overflowPunct/>
        <w:topLinePunct w:val="0"/>
        <w:autoSpaceDE/>
        <w:autoSpaceDN/>
        <w:bidi w:val="0"/>
        <w:adjustRightInd/>
        <w:snapToGrid/>
        <w:spacing w:beforeLines="0" w:afterLines="0" w:line="440" w:lineRule="exact"/>
        <w:ind w:firstLine="440"/>
        <w:jc w:val="both"/>
        <w:textAlignment w:val="auto"/>
        <w:rPr>
          <w:rStyle w:val="19"/>
          <w:rFonts w:hint="eastAsia" w:ascii="Times New Roman" w:hAnsi="Times New Roman" w:eastAsia="Times New Roman" w:cs="Times New Roman"/>
          <w:color w:val="auto"/>
          <w:sz w:val="24"/>
          <w:szCs w:val="24"/>
          <w:highlight w:val="none"/>
        </w:rPr>
      </w:pPr>
      <w:bookmarkStart w:id="1266" w:name="bookmark1511"/>
      <w:bookmarkEnd w:id="1266"/>
      <w:r>
        <w:rPr>
          <w:rStyle w:val="19"/>
          <w:rFonts w:hint="default" w:hAnsi="Times New Roman" w:cs="Times New Roman"/>
          <w:color w:val="auto"/>
          <w:sz w:val="24"/>
          <w:szCs w:val="24"/>
          <w:highlight w:val="none"/>
        </w:rPr>
        <w:t>合同解除后，监理人按第</w:t>
      </w:r>
      <w:r>
        <w:rPr>
          <w:rStyle w:val="19"/>
          <w:rFonts w:hint="eastAsia" w:ascii="Times New Roman" w:hAnsi="Times New Roman" w:eastAsia="Times New Roman" w:cs="Times New Roman"/>
          <w:color w:val="auto"/>
          <w:sz w:val="24"/>
          <w:szCs w:val="24"/>
          <w:highlight w:val="none"/>
          <w:lang w:val="en-US" w:bidi="en-US"/>
        </w:rPr>
        <w:t xml:space="preserve">3. </w:t>
      </w:r>
      <w:r>
        <w:rPr>
          <w:rStyle w:val="19"/>
          <w:rFonts w:hint="eastAsia" w:ascii="Times New Roman" w:hAnsi="Times New Roman" w:eastAsia="Times New Roman" w:cs="Times New Roman"/>
          <w:color w:val="auto"/>
          <w:sz w:val="24"/>
          <w:szCs w:val="24"/>
          <w:highlight w:val="none"/>
        </w:rPr>
        <w:t>5</w:t>
      </w:r>
      <w:r>
        <w:rPr>
          <w:rStyle w:val="19"/>
          <w:rFonts w:hint="default" w:hAnsi="Times New Roman" w:cs="Times New Roman"/>
          <w:color w:val="auto"/>
          <w:sz w:val="24"/>
          <w:szCs w:val="24"/>
          <w:highlight w:val="none"/>
        </w:rPr>
        <w:t>款商定或确定承包人实际完成工作的价值，以及承包人已提供的材料、施工设备、工程设备和临时工程等的价值。</w:t>
      </w:r>
    </w:p>
    <w:p w14:paraId="02BE1906">
      <w:pPr>
        <w:pStyle w:val="31"/>
        <w:pageBreakBefore w:val="0"/>
        <w:widowControl w:val="0"/>
        <w:numPr>
          <w:ilvl w:val="0"/>
          <w:numId w:val="30"/>
        </w:numPr>
        <w:tabs>
          <w:tab w:val="left" w:pos="922"/>
        </w:tabs>
        <w:kinsoku/>
        <w:wordWrap/>
        <w:overflowPunct/>
        <w:topLinePunct w:val="0"/>
        <w:autoSpaceDE/>
        <w:autoSpaceDN/>
        <w:bidi w:val="0"/>
        <w:adjustRightInd/>
        <w:snapToGrid/>
        <w:spacing w:beforeLines="0" w:afterLines="0" w:line="440" w:lineRule="exact"/>
        <w:ind w:firstLine="440"/>
        <w:jc w:val="both"/>
        <w:textAlignment w:val="auto"/>
        <w:rPr>
          <w:rStyle w:val="19"/>
          <w:rFonts w:hint="eastAsia" w:ascii="Times New Roman" w:hAnsi="Times New Roman" w:eastAsia="Times New Roman" w:cs="Times New Roman"/>
          <w:color w:val="auto"/>
          <w:sz w:val="24"/>
          <w:szCs w:val="24"/>
          <w:highlight w:val="none"/>
        </w:rPr>
      </w:pPr>
      <w:bookmarkStart w:id="1267" w:name="bookmark1512"/>
      <w:bookmarkEnd w:id="1267"/>
      <w:r>
        <w:rPr>
          <w:rStyle w:val="19"/>
          <w:rFonts w:hint="default" w:hAnsi="Times New Roman" w:cs="Times New Roman"/>
          <w:color w:val="auto"/>
          <w:sz w:val="24"/>
          <w:szCs w:val="24"/>
          <w:highlight w:val="none"/>
        </w:rPr>
        <w:t>合同解除后，发包人应暂停对承包人的一切付款，查清各项付款和已扣款金额, 包括承包人应支付的违约金。</w:t>
      </w:r>
    </w:p>
    <w:p w14:paraId="42B6EAB2">
      <w:pPr>
        <w:pStyle w:val="31"/>
        <w:pageBreakBefore w:val="0"/>
        <w:widowControl w:val="0"/>
        <w:numPr>
          <w:ilvl w:val="0"/>
          <w:numId w:val="30"/>
        </w:numPr>
        <w:tabs>
          <w:tab w:val="left" w:pos="920"/>
        </w:tabs>
        <w:kinsoku/>
        <w:wordWrap/>
        <w:overflowPunct/>
        <w:topLinePunct w:val="0"/>
        <w:autoSpaceDE/>
        <w:autoSpaceDN/>
        <w:bidi w:val="0"/>
        <w:adjustRightInd/>
        <w:snapToGrid/>
        <w:spacing w:beforeLines="0" w:afterLines="0" w:line="440" w:lineRule="exact"/>
        <w:ind w:firstLine="440"/>
        <w:jc w:val="both"/>
        <w:textAlignment w:val="auto"/>
        <w:rPr>
          <w:rStyle w:val="19"/>
          <w:rFonts w:hint="eastAsia" w:ascii="Times New Roman" w:hAnsi="Times New Roman" w:eastAsia="Times New Roman" w:cs="Times New Roman"/>
          <w:color w:val="auto"/>
          <w:sz w:val="24"/>
          <w:szCs w:val="24"/>
          <w:highlight w:val="none"/>
        </w:rPr>
      </w:pPr>
      <w:bookmarkStart w:id="1268" w:name="bookmark1513"/>
      <w:bookmarkEnd w:id="1268"/>
      <w:r>
        <w:rPr>
          <w:rStyle w:val="19"/>
          <w:rFonts w:hint="default" w:hAnsi="Times New Roman" w:cs="Times New Roman"/>
          <w:color w:val="auto"/>
          <w:sz w:val="24"/>
          <w:szCs w:val="24"/>
          <w:highlight w:val="none"/>
        </w:rPr>
        <w:t>合同解除后，发包人应按第</w:t>
      </w:r>
      <w:r>
        <w:rPr>
          <w:rStyle w:val="19"/>
          <w:rFonts w:hint="eastAsia" w:ascii="Times New Roman" w:hAnsi="Times New Roman" w:eastAsia="Times New Roman" w:cs="Times New Roman"/>
          <w:color w:val="auto"/>
          <w:sz w:val="24"/>
          <w:szCs w:val="24"/>
          <w:highlight w:val="none"/>
          <w:lang w:val="en-US" w:bidi="en-US"/>
        </w:rPr>
        <w:t xml:space="preserve">23. </w:t>
      </w:r>
      <w:r>
        <w:rPr>
          <w:rStyle w:val="19"/>
          <w:rFonts w:hint="eastAsia" w:ascii="Times New Roman" w:hAnsi="Times New Roman" w:eastAsia="Times New Roman" w:cs="Times New Roman"/>
          <w:color w:val="auto"/>
          <w:sz w:val="24"/>
          <w:szCs w:val="24"/>
          <w:highlight w:val="none"/>
        </w:rPr>
        <w:t>4</w:t>
      </w:r>
      <w:r>
        <w:rPr>
          <w:rStyle w:val="19"/>
          <w:rFonts w:hint="default" w:hAnsi="Times New Roman" w:cs="Times New Roman"/>
          <w:color w:val="auto"/>
          <w:sz w:val="24"/>
          <w:szCs w:val="24"/>
          <w:highlight w:val="none"/>
        </w:rPr>
        <w:t>款的约定向承包人索赔由于解除合同给发包人造成的损失。</w:t>
      </w:r>
    </w:p>
    <w:p w14:paraId="7A94B987">
      <w:pPr>
        <w:pStyle w:val="31"/>
        <w:pageBreakBefore w:val="0"/>
        <w:widowControl w:val="0"/>
        <w:numPr>
          <w:ilvl w:val="0"/>
          <w:numId w:val="30"/>
        </w:numPr>
        <w:tabs>
          <w:tab w:val="left" w:pos="903"/>
        </w:tabs>
        <w:kinsoku/>
        <w:wordWrap/>
        <w:overflowPunct/>
        <w:topLinePunct w:val="0"/>
        <w:autoSpaceDE/>
        <w:autoSpaceDN/>
        <w:bidi w:val="0"/>
        <w:adjustRightInd/>
        <w:snapToGrid/>
        <w:spacing w:beforeLines="0" w:afterLines="0" w:line="440" w:lineRule="exact"/>
        <w:ind w:firstLine="420"/>
        <w:jc w:val="both"/>
        <w:textAlignment w:val="auto"/>
        <w:rPr>
          <w:rStyle w:val="19"/>
          <w:rFonts w:hint="eastAsia" w:ascii="Times New Roman" w:hAnsi="Times New Roman" w:eastAsia="Times New Roman" w:cs="Times New Roman"/>
          <w:color w:val="auto"/>
          <w:sz w:val="24"/>
          <w:szCs w:val="24"/>
          <w:highlight w:val="none"/>
        </w:rPr>
      </w:pPr>
      <w:bookmarkStart w:id="1269" w:name="bookmark1514"/>
      <w:bookmarkEnd w:id="1269"/>
      <w:r>
        <w:rPr>
          <w:rStyle w:val="19"/>
          <w:rFonts w:hint="default" w:hAnsi="Times New Roman" w:cs="Times New Roman"/>
          <w:color w:val="auto"/>
          <w:sz w:val="24"/>
          <w:szCs w:val="24"/>
          <w:highlight w:val="none"/>
        </w:rPr>
        <w:t>合同双方确认上述往来款项后，出具最终结清付款证书，结清全部合同款项。</w:t>
      </w:r>
    </w:p>
    <w:p w14:paraId="6B5C6511">
      <w:pPr>
        <w:pStyle w:val="31"/>
        <w:pageBreakBefore w:val="0"/>
        <w:widowControl w:val="0"/>
        <w:numPr>
          <w:ilvl w:val="0"/>
          <w:numId w:val="30"/>
        </w:numPr>
        <w:tabs>
          <w:tab w:val="left" w:pos="922"/>
        </w:tabs>
        <w:kinsoku/>
        <w:wordWrap/>
        <w:overflowPunct/>
        <w:topLinePunct w:val="0"/>
        <w:autoSpaceDE/>
        <w:autoSpaceDN/>
        <w:bidi w:val="0"/>
        <w:adjustRightInd/>
        <w:snapToGrid/>
        <w:spacing w:beforeLines="0" w:after="120" w:afterLines="0" w:line="440" w:lineRule="exact"/>
        <w:ind w:firstLine="440"/>
        <w:jc w:val="both"/>
        <w:textAlignment w:val="auto"/>
        <w:rPr>
          <w:rStyle w:val="19"/>
          <w:rFonts w:hint="eastAsia" w:ascii="Times New Roman" w:hAnsi="Times New Roman" w:eastAsia="Times New Roman" w:cs="Times New Roman"/>
          <w:color w:val="auto"/>
          <w:sz w:val="24"/>
          <w:szCs w:val="24"/>
          <w:highlight w:val="none"/>
        </w:rPr>
      </w:pPr>
      <w:bookmarkStart w:id="1270" w:name="bookmark1515"/>
      <w:bookmarkEnd w:id="1270"/>
      <w:r>
        <w:rPr>
          <w:rStyle w:val="19"/>
          <w:rFonts w:hint="default" w:hAnsi="Times New Roman" w:cs="Times New Roman"/>
          <w:color w:val="auto"/>
          <w:sz w:val="24"/>
          <w:szCs w:val="24"/>
          <w:highlight w:val="none"/>
        </w:rPr>
        <w:t>发包人和承包人未能就解除合同后的结清达成一致而形成争议的，按第</w:t>
      </w:r>
      <w:r>
        <w:rPr>
          <w:rStyle w:val="19"/>
          <w:rFonts w:hint="eastAsia" w:ascii="Times New Roman" w:hAnsi="Times New Roman" w:eastAsia="Times New Roman" w:cs="Times New Roman"/>
          <w:color w:val="auto"/>
          <w:sz w:val="24"/>
          <w:szCs w:val="24"/>
          <w:highlight w:val="none"/>
        </w:rPr>
        <w:t>24</w:t>
      </w:r>
      <w:r>
        <w:rPr>
          <w:rStyle w:val="19"/>
          <w:rFonts w:hint="default" w:hAnsi="Times New Roman" w:cs="Times New Roman"/>
          <w:color w:val="auto"/>
          <w:sz w:val="24"/>
          <w:szCs w:val="24"/>
          <w:highlight w:val="none"/>
        </w:rPr>
        <w:t>条的约定办理。</w:t>
      </w:r>
    </w:p>
    <w:p w14:paraId="3DC443F3">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eastAsia" w:ascii="Times New Roman" w:hAnsi="Times New Roman" w:eastAsia="Times New Roman" w:cs="Times New Roman"/>
          <w:color w:val="auto"/>
          <w:sz w:val="24"/>
          <w:szCs w:val="24"/>
          <w:highlight w:val="none"/>
        </w:rPr>
      </w:pPr>
      <w:r>
        <w:rPr>
          <w:rStyle w:val="19"/>
          <w:rFonts w:hint="eastAsia" w:ascii="Times New Roman" w:hAnsi="Times New Roman" w:eastAsia="Times New Roman" w:cs="Times New Roman"/>
          <w:color w:val="auto"/>
          <w:sz w:val="24"/>
          <w:szCs w:val="24"/>
          <w:highlight w:val="none"/>
          <w:lang w:val="en-US" w:bidi="en-US"/>
        </w:rPr>
        <w:t>22.1.5</w:t>
      </w:r>
      <w:r>
        <w:rPr>
          <w:rStyle w:val="19"/>
          <w:rFonts w:hint="default" w:hAnsi="Times New Roman" w:cs="Times New Roman"/>
          <w:color w:val="auto"/>
          <w:sz w:val="24"/>
          <w:szCs w:val="24"/>
          <w:highlight w:val="none"/>
        </w:rPr>
        <w:t>协议利益的转让</w:t>
      </w:r>
    </w:p>
    <w:p w14:paraId="6DC7758F">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eastAsia" w:ascii="Times New Roman" w:hAnsi="Times New Roman" w:eastAsia="Times New Roman" w:cs="Times New Roman"/>
          <w:color w:val="auto"/>
          <w:sz w:val="24"/>
          <w:szCs w:val="24"/>
          <w:highlight w:val="none"/>
        </w:rPr>
      </w:pPr>
      <w:r>
        <w:rPr>
          <w:rStyle w:val="19"/>
          <w:rFonts w:hint="default" w:hAnsi="Times New Roman" w:cs="Times New Roman"/>
          <w:color w:val="auto"/>
          <w:sz w:val="24"/>
          <w:szCs w:val="24"/>
          <w:highlight w:val="none"/>
        </w:rPr>
        <w:t>因承包人违约解除合同的，发包人有权要求承包人将其为实施合同而签订的材料和设备的订货协议或任何服务协议利益转让给发包人，并在解除合同后的</w:t>
      </w:r>
      <w:r>
        <w:rPr>
          <w:rStyle w:val="19"/>
          <w:rFonts w:hint="eastAsia" w:ascii="Times New Roman" w:hAnsi="Times New Roman" w:eastAsia="Times New Roman" w:cs="Times New Roman"/>
          <w:color w:val="auto"/>
          <w:sz w:val="24"/>
          <w:szCs w:val="24"/>
          <w:highlight w:val="none"/>
        </w:rPr>
        <w:t>14</w:t>
      </w:r>
      <w:r>
        <w:rPr>
          <w:rStyle w:val="19"/>
          <w:rFonts w:hint="default" w:hAnsi="Times New Roman" w:cs="Times New Roman"/>
          <w:color w:val="auto"/>
          <w:sz w:val="24"/>
          <w:szCs w:val="24"/>
          <w:highlight w:val="none"/>
        </w:rPr>
        <w:t>天内，依法办理转让手续。</w:t>
      </w:r>
    </w:p>
    <w:p w14:paraId="2D3DF14E">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lang w:val="en-US"/>
        </w:rPr>
      </w:pPr>
      <w:bookmarkStart w:id="1271" w:name="bookmark1516"/>
      <w:bookmarkEnd w:id="1271"/>
      <w:r>
        <w:rPr>
          <w:rStyle w:val="19"/>
          <w:rFonts w:hint="eastAsia" w:ascii="Times New Roman" w:hAnsi="Times New Roman" w:eastAsia="Times New Roman" w:cs="Times New Roman"/>
          <w:color w:val="auto"/>
          <w:sz w:val="24"/>
          <w:szCs w:val="24"/>
          <w:highlight w:val="none"/>
          <w:lang w:val="en-US"/>
        </w:rPr>
        <w:t>22.1.6</w:t>
      </w:r>
      <w:r>
        <w:rPr>
          <w:rStyle w:val="19"/>
          <w:rFonts w:hint="default" w:hAnsi="Times New Roman" w:cs="Times New Roman"/>
          <w:color w:val="auto"/>
          <w:sz w:val="24"/>
          <w:szCs w:val="24"/>
          <w:highlight w:val="none"/>
          <w:lang w:val="en-US"/>
        </w:rPr>
        <w:t>紧</w:t>
      </w:r>
      <w:r>
        <w:rPr>
          <w:rStyle w:val="19"/>
          <w:rFonts w:hint="default"/>
          <w:color w:val="auto"/>
          <w:sz w:val="24"/>
          <w:szCs w:val="20"/>
          <w:highlight w:val="none"/>
          <w:lang w:val="en-US"/>
        </w:rPr>
        <w:t>急情况下无能力或不愿进行抢救</w:t>
      </w:r>
    </w:p>
    <w:p w14:paraId="679AC588">
      <w:pPr>
        <w:pStyle w:val="31"/>
        <w:pageBreakBefore w:val="0"/>
        <w:widowControl w:val="0"/>
        <w:kinsoku/>
        <w:wordWrap/>
        <w:overflowPunct/>
        <w:topLinePunct w:val="0"/>
        <w:autoSpaceDE/>
        <w:autoSpaceDN/>
        <w:bidi w:val="0"/>
        <w:adjustRightInd/>
        <w:snapToGrid/>
        <w:spacing w:beforeLines="0" w:after="120" w:afterLines="0" w:line="440" w:lineRule="exact"/>
        <w:ind w:firstLine="440"/>
        <w:jc w:val="both"/>
        <w:textAlignment w:val="auto"/>
        <w:rPr>
          <w:rStyle w:val="19"/>
          <w:rFonts w:hint="default"/>
          <w:color w:val="auto"/>
          <w:sz w:val="24"/>
          <w:szCs w:val="20"/>
          <w:highlight w:val="none"/>
        </w:rPr>
      </w:pPr>
      <w:r>
        <w:rPr>
          <w:rStyle w:val="19"/>
          <w:rFonts w:hint="default"/>
          <w:color w:val="auto"/>
          <w:sz w:val="24"/>
          <w:szCs w:val="20"/>
          <w:highlight w:val="none"/>
        </w:rPr>
        <w:t>在工程实施期间或缺陷责任期内发生危及工程安全的事件，监理人通知承包人进行抢救，承包人声明无能力或不愿立即执行的，发包人有权雇佣其他人员进行抢救。此类抢救按合同约定属于承包人义务的，由此发生的金额和(或)工期延误由承包人承担。</w:t>
      </w:r>
    </w:p>
    <w:p w14:paraId="263288EE">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1272" w:name="bookmark1518"/>
      <w:bookmarkStart w:id="1273" w:name="_Toc32348"/>
      <w:bookmarkStart w:id="1274" w:name="_Toc24772"/>
      <w:bookmarkStart w:id="1275" w:name="bookmark1519"/>
      <w:bookmarkStart w:id="1276" w:name="_Toc256000164"/>
      <w:bookmarkStart w:id="1277" w:name="bookmark1517"/>
      <w:r>
        <w:rPr>
          <w:rStyle w:val="19"/>
          <w:rFonts w:hint="default" w:ascii="宋体" w:hAnsi="宋体" w:eastAsia="宋体"/>
          <w:color w:val="auto"/>
          <w:sz w:val="24"/>
          <w:szCs w:val="20"/>
          <w:highlight w:val="none"/>
          <w:lang w:eastAsia="zh-CN"/>
        </w:rPr>
        <w:t>22.2发</w:t>
      </w:r>
      <w:r>
        <w:rPr>
          <w:rStyle w:val="19"/>
          <w:rFonts w:hint="default" w:ascii="宋体" w:hAnsi="宋体" w:eastAsia="宋体"/>
          <w:color w:val="auto"/>
          <w:sz w:val="28"/>
          <w:szCs w:val="20"/>
          <w:highlight w:val="none"/>
          <w:lang w:eastAsia="zh-CN"/>
        </w:rPr>
        <w:t>包人</w:t>
      </w:r>
      <w:r>
        <w:rPr>
          <w:rStyle w:val="19"/>
          <w:rFonts w:hint="default" w:ascii="宋体" w:hAnsi="宋体" w:eastAsia="宋体"/>
          <w:color w:val="auto"/>
          <w:sz w:val="24"/>
          <w:szCs w:val="20"/>
          <w:highlight w:val="none"/>
          <w:lang w:eastAsia="zh-CN"/>
        </w:rPr>
        <w:t>违约</w:t>
      </w:r>
      <w:bookmarkEnd w:id="1272"/>
      <w:bookmarkEnd w:id="1273"/>
      <w:bookmarkEnd w:id="1274"/>
      <w:bookmarkEnd w:id="1275"/>
      <w:bookmarkEnd w:id="1276"/>
      <w:bookmarkEnd w:id="1277"/>
    </w:p>
    <w:p w14:paraId="67530F58">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22.2.1</w:t>
      </w:r>
      <w:r>
        <w:rPr>
          <w:rStyle w:val="19"/>
          <w:rFonts w:hint="default"/>
          <w:color w:val="auto"/>
          <w:sz w:val="24"/>
          <w:szCs w:val="20"/>
          <w:highlight w:val="none"/>
        </w:rPr>
        <w:t>发包人违约的情形</w:t>
      </w:r>
    </w:p>
    <w:p w14:paraId="3D1E15B8">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default"/>
          <w:color w:val="auto"/>
          <w:sz w:val="24"/>
          <w:szCs w:val="20"/>
          <w:highlight w:val="none"/>
        </w:rPr>
      </w:pPr>
      <w:r>
        <w:rPr>
          <w:rStyle w:val="19"/>
          <w:rFonts w:hint="default"/>
          <w:color w:val="auto"/>
          <w:sz w:val="24"/>
          <w:szCs w:val="20"/>
          <w:highlight w:val="none"/>
        </w:rPr>
        <w:t>在履行合同过程中发生的下列情形，属发包人违约：</w:t>
      </w:r>
    </w:p>
    <w:p w14:paraId="7A0E0C9E">
      <w:pPr>
        <w:pStyle w:val="31"/>
        <w:pageBreakBefore w:val="0"/>
        <w:widowControl w:val="0"/>
        <w:numPr>
          <w:ilvl w:val="0"/>
          <w:numId w:val="31"/>
        </w:numPr>
        <w:kinsoku/>
        <w:wordWrap/>
        <w:overflowPunct/>
        <w:topLinePunct w:val="0"/>
        <w:autoSpaceDE/>
        <w:autoSpaceDN/>
        <w:bidi w:val="0"/>
        <w:adjustRightInd/>
        <w:snapToGrid/>
        <w:spacing w:beforeLines="0" w:afterLines="0" w:line="440" w:lineRule="exact"/>
        <w:ind w:firstLine="420"/>
        <w:jc w:val="both"/>
        <w:textAlignment w:val="auto"/>
        <w:rPr>
          <w:rStyle w:val="19"/>
          <w:rFonts w:hint="default"/>
          <w:color w:val="auto"/>
          <w:sz w:val="24"/>
          <w:szCs w:val="20"/>
          <w:highlight w:val="none"/>
        </w:rPr>
      </w:pPr>
      <w:bookmarkStart w:id="1278" w:name="bookmark1520"/>
      <w:bookmarkEnd w:id="1278"/>
      <w:r>
        <w:rPr>
          <w:rStyle w:val="19"/>
          <w:rFonts w:hint="default"/>
          <w:color w:val="auto"/>
          <w:sz w:val="24"/>
          <w:szCs w:val="20"/>
          <w:highlight w:val="none"/>
        </w:rPr>
        <w:t>发包人未能按合同约定支付预付款或合同价款，或拖延、拒绝批准付款申请和支付凭证，导致付款延误的；</w:t>
      </w:r>
    </w:p>
    <w:p w14:paraId="4FDA1F65">
      <w:pPr>
        <w:pStyle w:val="31"/>
        <w:pageBreakBefore w:val="0"/>
        <w:widowControl w:val="0"/>
        <w:numPr>
          <w:ilvl w:val="0"/>
          <w:numId w:val="31"/>
        </w:numPr>
        <w:tabs>
          <w:tab w:val="left" w:pos="903"/>
        </w:tabs>
        <w:kinsoku/>
        <w:wordWrap/>
        <w:overflowPunct/>
        <w:topLinePunct w:val="0"/>
        <w:autoSpaceDE/>
        <w:autoSpaceDN/>
        <w:bidi w:val="0"/>
        <w:adjustRightInd/>
        <w:snapToGrid/>
        <w:spacing w:beforeLines="0" w:afterLines="0" w:line="440" w:lineRule="exact"/>
        <w:ind w:firstLine="420"/>
        <w:textAlignment w:val="auto"/>
        <w:rPr>
          <w:rStyle w:val="19"/>
          <w:rFonts w:hint="default"/>
          <w:color w:val="auto"/>
          <w:sz w:val="24"/>
          <w:szCs w:val="20"/>
          <w:highlight w:val="none"/>
        </w:rPr>
      </w:pPr>
      <w:bookmarkStart w:id="1279" w:name="bookmark1521"/>
      <w:bookmarkEnd w:id="1279"/>
      <w:r>
        <w:rPr>
          <w:rStyle w:val="19"/>
          <w:rFonts w:hint="default"/>
          <w:color w:val="auto"/>
          <w:sz w:val="24"/>
          <w:szCs w:val="20"/>
          <w:highlight w:val="none"/>
        </w:rPr>
        <w:t>发包人原因造成停工的；</w:t>
      </w:r>
    </w:p>
    <w:p w14:paraId="173D1125">
      <w:pPr>
        <w:pStyle w:val="31"/>
        <w:pageBreakBefore w:val="0"/>
        <w:widowControl w:val="0"/>
        <w:numPr>
          <w:ilvl w:val="0"/>
          <w:numId w:val="31"/>
        </w:numPr>
        <w:tabs>
          <w:tab w:val="left" w:pos="903"/>
        </w:tabs>
        <w:kinsoku/>
        <w:wordWrap/>
        <w:overflowPunct/>
        <w:topLinePunct w:val="0"/>
        <w:autoSpaceDE/>
        <w:autoSpaceDN/>
        <w:bidi w:val="0"/>
        <w:adjustRightInd/>
        <w:snapToGrid/>
        <w:spacing w:beforeLines="0" w:afterLines="0" w:line="440" w:lineRule="exact"/>
        <w:ind w:firstLine="420"/>
        <w:textAlignment w:val="auto"/>
        <w:rPr>
          <w:rStyle w:val="19"/>
          <w:rFonts w:hint="default"/>
          <w:color w:val="auto"/>
          <w:sz w:val="24"/>
          <w:szCs w:val="20"/>
          <w:highlight w:val="none"/>
        </w:rPr>
      </w:pPr>
      <w:bookmarkStart w:id="1280" w:name="bookmark1522"/>
      <w:bookmarkEnd w:id="1280"/>
      <w:r>
        <w:rPr>
          <w:rStyle w:val="19"/>
          <w:rFonts w:hint="default"/>
          <w:color w:val="auto"/>
          <w:sz w:val="24"/>
          <w:szCs w:val="20"/>
          <w:highlight w:val="none"/>
        </w:rPr>
        <w:t>监理人无正当理由没有在约定期限内发出复工指示，导致承包人无法复工的；</w:t>
      </w:r>
    </w:p>
    <w:p w14:paraId="1EB79D6F">
      <w:pPr>
        <w:pStyle w:val="31"/>
        <w:pageBreakBefore w:val="0"/>
        <w:widowControl w:val="0"/>
        <w:numPr>
          <w:ilvl w:val="0"/>
          <w:numId w:val="31"/>
        </w:numPr>
        <w:tabs>
          <w:tab w:val="left" w:pos="903"/>
        </w:tabs>
        <w:kinsoku/>
        <w:wordWrap/>
        <w:overflowPunct/>
        <w:topLinePunct w:val="0"/>
        <w:autoSpaceDE/>
        <w:autoSpaceDN/>
        <w:bidi w:val="0"/>
        <w:adjustRightInd/>
        <w:snapToGrid/>
        <w:spacing w:beforeLines="0" w:afterLines="0" w:line="440" w:lineRule="exact"/>
        <w:ind w:firstLine="420"/>
        <w:textAlignment w:val="auto"/>
        <w:rPr>
          <w:rStyle w:val="19"/>
          <w:rFonts w:hint="default"/>
          <w:color w:val="auto"/>
          <w:sz w:val="24"/>
          <w:szCs w:val="20"/>
          <w:highlight w:val="none"/>
        </w:rPr>
      </w:pPr>
      <w:bookmarkStart w:id="1281" w:name="bookmark1523"/>
      <w:bookmarkEnd w:id="1281"/>
      <w:r>
        <w:rPr>
          <w:rStyle w:val="19"/>
          <w:rFonts w:hint="default"/>
          <w:color w:val="auto"/>
          <w:sz w:val="24"/>
          <w:szCs w:val="20"/>
          <w:highlight w:val="none"/>
        </w:rPr>
        <w:t>发包人无法继续履行或明确表示不履行或实质上已停止履行合同的；</w:t>
      </w:r>
    </w:p>
    <w:p w14:paraId="04D84E22">
      <w:pPr>
        <w:pStyle w:val="31"/>
        <w:pageBreakBefore w:val="0"/>
        <w:widowControl w:val="0"/>
        <w:numPr>
          <w:ilvl w:val="0"/>
          <w:numId w:val="31"/>
        </w:numPr>
        <w:tabs>
          <w:tab w:val="left" w:pos="903"/>
        </w:tabs>
        <w:kinsoku/>
        <w:wordWrap/>
        <w:overflowPunct/>
        <w:topLinePunct w:val="0"/>
        <w:autoSpaceDE/>
        <w:autoSpaceDN/>
        <w:bidi w:val="0"/>
        <w:adjustRightInd/>
        <w:snapToGrid/>
        <w:spacing w:beforeLines="0" w:afterLines="0" w:line="440" w:lineRule="exact"/>
        <w:ind w:firstLine="420"/>
        <w:textAlignment w:val="auto"/>
        <w:rPr>
          <w:rStyle w:val="19"/>
          <w:rFonts w:hint="default"/>
          <w:color w:val="auto"/>
          <w:sz w:val="24"/>
          <w:szCs w:val="20"/>
          <w:highlight w:val="none"/>
        </w:rPr>
      </w:pPr>
      <w:bookmarkStart w:id="1282" w:name="bookmark1524"/>
      <w:bookmarkEnd w:id="1282"/>
      <w:r>
        <w:rPr>
          <w:rStyle w:val="19"/>
          <w:rFonts w:hint="default"/>
          <w:color w:val="auto"/>
          <w:sz w:val="24"/>
          <w:szCs w:val="20"/>
          <w:highlight w:val="none"/>
        </w:rPr>
        <w:t>发包人不履行合同约定其他义务的。</w:t>
      </w:r>
    </w:p>
    <w:p w14:paraId="3AE8C75A">
      <w:pPr>
        <w:pStyle w:val="31"/>
        <w:pageBreakBefore w:val="0"/>
        <w:widowControl w:val="0"/>
        <w:kinsoku/>
        <w:wordWrap/>
        <w:overflowPunct/>
        <w:topLinePunct w:val="0"/>
        <w:autoSpaceDE/>
        <w:autoSpaceDN/>
        <w:bidi w:val="0"/>
        <w:adjustRightInd/>
        <w:snapToGrid/>
        <w:spacing w:beforeLines="0" w:afterLines="0" w:line="440" w:lineRule="exact"/>
        <w:ind w:firstLine="420"/>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22.2.2</w:t>
      </w:r>
      <w:r>
        <w:rPr>
          <w:rStyle w:val="19"/>
          <w:rFonts w:hint="default"/>
          <w:color w:val="auto"/>
          <w:sz w:val="24"/>
          <w:szCs w:val="20"/>
          <w:highlight w:val="none"/>
        </w:rPr>
        <w:t>承包人有权暂停施工</w:t>
      </w:r>
    </w:p>
    <w:p w14:paraId="332DF9B0">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r>
        <w:rPr>
          <w:rStyle w:val="19"/>
          <w:rFonts w:hint="default"/>
          <w:color w:val="auto"/>
          <w:sz w:val="24"/>
          <w:szCs w:val="20"/>
          <w:highlight w:val="none"/>
        </w:rPr>
        <w:t>发包人发生除第</w:t>
      </w:r>
      <w:r>
        <w:rPr>
          <w:rStyle w:val="19"/>
          <w:rFonts w:hint="eastAsia" w:ascii="Times New Roman" w:hAnsi="Times New Roman" w:eastAsia="Times New Roman" w:cs="Times New Roman"/>
          <w:color w:val="auto"/>
          <w:sz w:val="24"/>
          <w:szCs w:val="24"/>
          <w:highlight w:val="none"/>
          <w:lang w:val="en-US" w:bidi="en-US"/>
        </w:rPr>
        <w:t xml:space="preserve">22.2.1 </w:t>
      </w:r>
      <w:r>
        <w:rPr>
          <w:rStyle w:val="19"/>
          <w:rFonts w:hint="eastAsia" w:ascii="Times New Roman" w:hAnsi="Times New Roman" w:eastAsia="Times New Roman" w:cs="Times New Roman"/>
          <w:color w:val="auto"/>
          <w:sz w:val="24"/>
          <w:szCs w:val="24"/>
          <w:highlight w:val="none"/>
        </w:rPr>
        <w:t>(4)</w:t>
      </w:r>
      <w:r>
        <w:rPr>
          <w:rStyle w:val="19"/>
          <w:rFonts w:hint="default"/>
          <w:color w:val="auto"/>
          <w:sz w:val="24"/>
          <w:szCs w:val="20"/>
          <w:highlight w:val="none"/>
        </w:rPr>
        <w:t>目以外的违约情况时，承包人可向发包人发出通知，要求发包人采取有效措施纠正违约行为。发包人收到承包人通知后的</w:t>
      </w:r>
      <w:r>
        <w:rPr>
          <w:rStyle w:val="19"/>
          <w:rFonts w:hint="eastAsia" w:ascii="Times New Roman" w:hAnsi="Times New Roman" w:eastAsia="Times New Roman" w:cs="Times New Roman"/>
          <w:color w:val="auto"/>
          <w:sz w:val="24"/>
          <w:szCs w:val="24"/>
          <w:highlight w:val="none"/>
        </w:rPr>
        <w:t>28</w:t>
      </w:r>
      <w:r>
        <w:rPr>
          <w:rStyle w:val="19"/>
          <w:rFonts w:hint="default"/>
          <w:color w:val="auto"/>
          <w:sz w:val="24"/>
          <w:szCs w:val="20"/>
          <w:highlight w:val="none"/>
        </w:rPr>
        <w:t>天内仍不履行合同义 务，承包人有权暂停施工，并通知监理人，发包人应承担由此增加的费用和(或)工期延误，并支付承包人合理利润。</w:t>
      </w:r>
    </w:p>
    <w:p w14:paraId="51276155">
      <w:pPr>
        <w:pStyle w:val="31"/>
        <w:pageBreakBefore w:val="0"/>
        <w:widowControl w:val="0"/>
        <w:kinsoku/>
        <w:wordWrap/>
        <w:overflowPunct/>
        <w:topLinePunct w:val="0"/>
        <w:autoSpaceDE/>
        <w:autoSpaceDN/>
        <w:bidi w:val="0"/>
        <w:adjustRightInd/>
        <w:snapToGrid/>
        <w:spacing w:beforeLines="0" w:afterLines="0" w:line="440" w:lineRule="exact"/>
        <w:ind w:firstLine="420"/>
        <w:textAlignment w:val="auto"/>
        <w:rPr>
          <w:rStyle w:val="19"/>
          <w:rFonts w:hint="default"/>
          <w:color w:val="auto"/>
          <w:sz w:val="24"/>
          <w:szCs w:val="20"/>
          <w:highlight w:val="none"/>
        </w:rPr>
      </w:pPr>
      <w:r>
        <w:rPr>
          <w:rStyle w:val="19"/>
          <w:rFonts w:hint="default"/>
          <w:color w:val="auto"/>
          <w:sz w:val="24"/>
          <w:szCs w:val="20"/>
          <w:highlight w:val="none"/>
          <w:lang w:val="en-US" w:eastAsia="en-US"/>
        </w:rPr>
        <w:t>22.2.3</w:t>
      </w:r>
      <w:r>
        <w:rPr>
          <w:rStyle w:val="19"/>
          <w:rFonts w:hint="default"/>
          <w:color w:val="auto"/>
          <w:sz w:val="24"/>
          <w:szCs w:val="20"/>
          <w:highlight w:val="none"/>
        </w:rPr>
        <w:t>发包人违约解除合同</w:t>
      </w:r>
    </w:p>
    <w:p w14:paraId="762DC857">
      <w:pPr>
        <w:pStyle w:val="31"/>
        <w:pageBreakBefore w:val="0"/>
        <w:widowControl w:val="0"/>
        <w:numPr>
          <w:ilvl w:val="0"/>
          <w:numId w:val="32"/>
        </w:numPr>
        <w:tabs>
          <w:tab w:val="left" w:pos="923"/>
        </w:tabs>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bookmarkStart w:id="1283" w:name="bookmark1525"/>
      <w:bookmarkEnd w:id="1283"/>
      <w:r>
        <w:rPr>
          <w:rStyle w:val="19"/>
          <w:rFonts w:hint="default"/>
          <w:color w:val="auto"/>
          <w:sz w:val="24"/>
          <w:szCs w:val="20"/>
          <w:highlight w:val="none"/>
        </w:rPr>
        <w:t>发生第</w:t>
      </w:r>
      <w:r>
        <w:rPr>
          <w:rStyle w:val="19"/>
          <w:rFonts w:hint="eastAsia" w:ascii="Times New Roman" w:hAnsi="Times New Roman" w:eastAsia="Times New Roman" w:cs="Times New Roman"/>
          <w:color w:val="auto"/>
          <w:sz w:val="24"/>
          <w:szCs w:val="24"/>
          <w:highlight w:val="none"/>
          <w:lang w:val="en-US" w:bidi="en-US"/>
        </w:rPr>
        <w:t xml:space="preserve">22.2.1 </w:t>
      </w:r>
      <w:r>
        <w:rPr>
          <w:rStyle w:val="19"/>
          <w:rFonts w:hint="eastAsia" w:ascii="Times New Roman" w:hAnsi="Times New Roman" w:eastAsia="Times New Roman" w:cs="Times New Roman"/>
          <w:color w:val="auto"/>
          <w:sz w:val="24"/>
          <w:szCs w:val="24"/>
          <w:highlight w:val="none"/>
        </w:rPr>
        <w:t>(4)</w:t>
      </w:r>
      <w:r>
        <w:rPr>
          <w:rStyle w:val="19"/>
          <w:rFonts w:hint="default"/>
          <w:color w:val="auto"/>
          <w:sz w:val="24"/>
          <w:szCs w:val="20"/>
          <w:highlight w:val="none"/>
        </w:rPr>
        <w:t>目的违约情况时，承包人可书面通知发包人解除合同。</w:t>
      </w:r>
    </w:p>
    <w:p w14:paraId="6EB3EF9A">
      <w:pPr>
        <w:pStyle w:val="31"/>
        <w:pageBreakBefore w:val="0"/>
        <w:widowControl w:val="0"/>
        <w:numPr>
          <w:ilvl w:val="0"/>
          <w:numId w:val="32"/>
        </w:numPr>
        <w:tabs>
          <w:tab w:val="left" w:pos="920"/>
        </w:tabs>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bookmarkStart w:id="1284" w:name="bookmark1526"/>
      <w:bookmarkEnd w:id="1284"/>
      <w:r>
        <w:rPr>
          <w:rStyle w:val="19"/>
          <w:rFonts w:hint="default"/>
          <w:color w:val="auto"/>
          <w:sz w:val="24"/>
          <w:szCs w:val="20"/>
          <w:highlight w:val="none"/>
        </w:rPr>
        <w:t>承包人按</w:t>
      </w:r>
      <w:r>
        <w:rPr>
          <w:rStyle w:val="19"/>
          <w:rFonts w:hint="eastAsia" w:ascii="Times New Roman" w:hAnsi="Times New Roman" w:eastAsia="Times New Roman" w:cs="Times New Roman"/>
          <w:color w:val="auto"/>
          <w:sz w:val="24"/>
          <w:szCs w:val="24"/>
          <w:highlight w:val="none"/>
          <w:lang w:val="en-US" w:bidi="en-US"/>
        </w:rPr>
        <w:t xml:space="preserve">22. 2. </w:t>
      </w:r>
      <w:r>
        <w:rPr>
          <w:rStyle w:val="19"/>
          <w:rFonts w:hint="eastAsia" w:ascii="Times New Roman" w:hAnsi="Times New Roman" w:eastAsia="Times New Roman" w:cs="Times New Roman"/>
          <w:color w:val="auto"/>
          <w:sz w:val="24"/>
          <w:szCs w:val="24"/>
          <w:highlight w:val="none"/>
        </w:rPr>
        <w:t>2</w:t>
      </w:r>
      <w:r>
        <w:rPr>
          <w:rStyle w:val="19"/>
          <w:rFonts w:hint="default"/>
          <w:color w:val="auto"/>
          <w:sz w:val="24"/>
          <w:szCs w:val="20"/>
          <w:highlight w:val="none"/>
        </w:rPr>
        <w:t>项暂停施工</w:t>
      </w:r>
      <w:r>
        <w:rPr>
          <w:rStyle w:val="19"/>
          <w:rFonts w:hint="eastAsia" w:ascii="Times New Roman" w:hAnsi="Times New Roman" w:eastAsia="Times New Roman" w:cs="Times New Roman"/>
          <w:color w:val="auto"/>
          <w:sz w:val="24"/>
          <w:szCs w:val="24"/>
          <w:highlight w:val="none"/>
        </w:rPr>
        <w:t>28</w:t>
      </w:r>
      <w:r>
        <w:rPr>
          <w:rStyle w:val="19"/>
          <w:rFonts w:hint="default"/>
          <w:color w:val="auto"/>
          <w:sz w:val="24"/>
          <w:szCs w:val="20"/>
          <w:highlight w:val="none"/>
        </w:rPr>
        <w:t>天后，发包人仍不纠正违约行为的，承包人可向发包人发出解除合同通知。但承包人的这一行动不免除发包人承担的违约责任，也不影响承包人根据合同约定享有的索赔权利。</w:t>
      </w:r>
    </w:p>
    <w:p w14:paraId="34110488">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22.2.4</w:t>
      </w:r>
      <w:r>
        <w:rPr>
          <w:rStyle w:val="19"/>
          <w:rFonts w:hint="default"/>
          <w:color w:val="auto"/>
          <w:sz w:val="24"/>
          <w:szCs w:val="20"/>
          <w:highlight w:val="none"/>
        </w:rPr>
        <w:t>解除合同后的付款</w:t>
      </w:r>
    </w:p>
    <w:p w14:paraId="5E2A8BD9">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r>
        <w:rPr>
          <w:rStyle w:val="19"/>
          <w:rFonts w:hint="default"/>
          <w:color w:val="auto"/>
          <w:sz w:val="24"/>
          <w:szCs w:val="20"/>
          <w:highlight w:val="none"/>
        </w:rPr>
        <w:t>因发包人违约解除合同的，发包人应在解除合同后</w:t>
      </w:r>
      <w:r>
        <w:rPr>
          <w:rStyle w:val="19"/>
          <w:rFonts w:hint="eastAsia" w:ascii="Times New Roman" w:hAnsi="Times New Roman" w:eastAsia="Times New Roman" w:cs="Times New Roman"/>
          <w:color w:val="auto"/>
          <w:sz w:val="24"/>
          <w:szCs w:val="24"/>
          <w:highlight w:val="none"/>
        </w:rPr>
        <w:t>28</w:t>
      </w:r>
      <w:r>
        <w:rPr>
          <w:rStyle w:val="19"/>
          <w:rFonts w:hint="default"/>
          <w:color w:val="auto"/>
          <w:sz w:val="24"/>
          <w:szCs w:val="20"/>
          <w:highlight w:val="none"/>
        </w:rPr>
        <w:t>天内向承包人支付下列金额，承包人应在此期限内及时向发包人提交要求支付下列金额的有关资料和凭证：</w:t>
      </w:r>
    </w:p>
    <w:p w14:paraId="300A1C0D">
      <w:pPr>
        <w:pStyle w:val="31"/>
        <w:pageBreakBefore w:val="0"/>
        <w:widowControl w:val="0"/>
        <w:numPr>
          <w:ilvl w:val="0"/>
          <w:numId w:val="33"/>
        </w:numPr>
        <w:tabs>
          <w:tab w:val="left" w:pos="903"/>
        </w:tabs>
        <w:kinsoku/>
        <w:wordWrap/>
        <w:overflowPunct/>
        <w:topLinePunct w:val="0"/>
        <w:autoSpaceDE/>
        <w:autoSpaceDN/>
        <w:bidi w:val="0"/>
        <w:adjustRightInd/>
        <w:snapToGrid/>
        <w:spacing w:beforeLines="0" w:afterLines="0" w:line="440" w:lineRule="exact"/>
        <w:ind w:firstLine="420"/>
        <w:textAlignment w:val="auto"/>
        <w:rPr>
          <w:rStyle w:val="19"/>
          <w:rFonts w:hint="default"/>
          <w:color w:val="auto"/>
          <w:sz w:val="24"/>
          <w:szCs w:val="20"/>
          <w:highlight w:val="none"/>
        </w:rPr>
      </w:pPr>
      <w:bookmarkStart w:id="1285" w:name="bookmark1527"/>
      <w:bookmarkEnd w:id="1285"/>
      <w:r>
        <w:rPr>
          <w:rStyle w:val="19"/>
          <w:rFonts w:hint="default"/>
          <w:color w:val="auto"/>
          <w:sz w:val="24"/>
          <w:szCs w:val="20"/>
          <w:highlight w:val="none"/>
        </w:rPr>
        <w:t>合同解除日以前所完成工作的价款；</w:t>
      </w:r>
    </w:p>
    <w:p w14:paraId="60F7B4FF">
      <w:pPr>
        <w:pStyle w:val="31"/>
        <w:pageBreakBefore w:val="0"/>
        <w:widowControl w:val="0"/>
        <w:numPr>
          <w:ilvl w:val="0"/>
          <w:numId w:val="33"/>
        </w:numPr>
        <w:tabs>
          <w:tab w:val="left" w:pos="920"/>
        </w:tabs>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bookmarkStart w:id="1286" w:name="bookmark1528"/>
      <w:bookmarkEnd w:id="1286"/>
      <w:r>
        <w:rPr>
          <w:rStyle w:val="19"/>
          <w:rFonts w:hint="default"/>
          <w:color w:val="auto"/>
          <w:sz w:val="24"/>
          <w:szCs w:val="20"/>
          <w:highlight w:val="none"/>
        </w:rPr>
        <w:t>承包人为该工程施工订购并已付款的材料、工程设备和其他物品的金额。发包人付还后，该材料、工程设备和其他物品归发包人所有；</w:t>
      </w:r>
    </w:p>
    <w:p w14:paraId="7C091F4B">
      <w:pPr>
        <w:pStyle w:val="31"/>
        <w:pageBreakBefore w:val="0"/>
        <w:widowControl w:val="0"/>
        <w:numPr>
          <w:ilvl w:val="0"/>
          <w:numId w:val="33"/>
        </w:numPr>
        <w:tabs>
          <w:tab w:val="left" w:pos="903"/>
        </w:tabs>
        <w:kinsoku/>
        <w:wordWrap/>
        <w:overflowPunct/>
        <w:topLinePunct w:val="0"/>
        <w:autoSpaceDE/>
        <w:autoSpaceDN/>
        <w:bidi w:val="0"/>
        <w:adjustRightInd/>
        <w:snapToGrid/>
        <w:spacing w:beforeLines="0" w:afterLines="0" w:line="440" w:lineRule="exact"/>
        <w:ind w:firstLine="420"/>
        <w:textAlignment w:val="auto"/>
        <w:rPr>
          <w:rStyle w:val="19"/>
          <w:rFonts w:hint="default"/>
          <w:color w:val="auto"/>
          <w:sz w:val="24"/>
          <w:szCs w:val="20"/>
          <w:highlight w:val="none"/>
        </w:rPr>
      </w:pPr>
      <w:bookmarkStart w:id="1287" w:name="bookmark1529"/>
      <w:bookmarkEnd w:id="1287"/>
      <w:r>
        <w:rPr>
          <w:rStyle w:val="19"/>
          <w:rFonts w:hint="default"/>
          <w:color w:val="auto"/>
          <w:sz w:val="24"/>
          <w:szCs w:val="20"/>
          <w:highlight w:val="none"/>
        </w:rPr>
        <w:t>承包人为完成工程所发生的，而发包人未支付的金额；</w:t>
      </w:r>
    </w:p>
    <w:p w14:paraId="5C1ABEC2">
      <w:pPr>
        <w:pStyle w:val="31"/>
        <w:pageBreakBefore w:val="0"/>
        <w:widowControl w:val="0"/>
        <w:numPr>
          <w:ilvl w:val="0"/>
          <w:numId w:val="33"/>
        </w:numPr>
        <w:tabs>
          <w:tab w:val="left" w:pos="903"/>
        </w:tabs>
        <w:kinsoku/>
        <w:wordWrap/>
        <w:overflowPunct/>
        <w:topLinePunct w:val="0"/>
        <w:autoSpaceDE/>
        <w:autoSpaceDN/>
        <w:bidi w:val="0"/>
        <w:adjustRightInd/>
        <w:snapToGrid/>
        <w:spacing w:beforeLines="0" w:afterLines="0" w:line="440" w:lineRule="exact"/>
        <w:ind w:firstLine="420"/>
        <w:textAlignment w:val="auto"/>
        <w:rPr>
          <w:rStyle w:val="19"/>
          <w:rFonts w:hint="default"/>
          <w:color w:val="auto"/>
          <w:sz w:val="24"/>
          <w:szCs w:val="20"/>
          <w:highlight w:val="none"/>
        </w:rPr>
      </w:pPr>
      <w:bookmarkStart w:id="1288" w:name="bookmark1530"/>
      <w:bookmarkEnd w:id="1288"/>
      <w:r>
        <w:rPr>
          <w:rStyle w:val="19"/>
          <w:rFonts w:hint="default"/>
          <w:color w:val="auto"/>
          <w:sz w:val="24"/>
          <w:szCs w:val="20"/>
          <w:highlight w:val="none"/>
        </w:rPr>
        <w:t>承包人撤离施工场地以及遣散承包人人员的金额；</w:t>
      </w:r>
    </w:p>
    <w:p w14:paraId="40DC6E0F">
      <w:pPr>
        <w:pStyle w:val="31"/>
        <w:pageBreakBefore w:val="0"/>
        <w:widowControl w:val="0"/>
        <w:numPr>
          <w:ilvl w:val="0"/>
          <w:numId w:val="33"/>
        </w:numPr>
        <w:tabs>
          <w:tab w:val="left" w:pos="903"/>
        </w:tabs>
        <w:kinsoku/>
        <w:wordWrap/>
        <w:overflowPunct/>
        <w:topLinePunct w:val="0"/>
        <w:autoSpaceDE/>
        <w:autoSpaceDN/>
        <w:bidi w:val="0"/>
        <w:adjustRightInd/>
        <w:snapToGrid/>
        <w:spacing w:beforeLines="0" w:afterLines="0" w:line="440" w:lineRule="exact"/>
        <w:ind w:firstLine="420"/>
        <w:textAlignment w:val="auto"/>
        <w:rPr>
          <w:rStyle w:val="19"/>
          <w:rFonts w:hint="default"/>
          <w:color w:val="auto"/>
          <w:sz w:val="24"/>
          <w:szCs w:val="20"/>
          <w:highlight w:val="none"/>
        </w:rPr>
      </w:pPr>
      <w:bookmarkStart w:id="1289" w:name="bookmark1531"/>
      <w:bookmarkEnd w:id="1289"/>
      <w:r>
        <w:rPr>
          <w:rStyle w:val="19"/>
          <w:rFonts w:hint="default"/>
          <w:color w:val="auto"/>
          <w:sz w:val="24"/>
          <w:szCs w:val="20"/>
          <w:highlight w:val="none"/>
        </w:rPr>
        <w:t>由于解除合同应赔偿的承包人损失；</w:t>
      </w:r>
    </w:p>
    <w:p w14:paraId="23276A1E">
      <w:pPr>
        <w:pStyle w:val="31"/>
        <w:pageBreakBefore w:val="0"/>
        <w:widowControl w:val="0"/>
        <w:numPr>
          <w:ilvl w:val="0"/>
          <w:numId w:val="33"/>
        </w:numPr>
        <w:tabs>
          <w:tab w:val="left" w:pos="903"/>
        </w:tabs>
        <w:kinsoku/>
        <w:wordWrap/>
        <w:overflowPunct/>
        <w:topLinePunct w:val="0"/>
        <w:autoSpaceDE/>
        <w:autoSpaceDN/>
        <w:bidi w:val="0"/>
        <w:adjustRightInd/>
        <w:snapToGrid/>
        <w:spacing w:beforeLines="0" w:afterLines="0" w:line="440" w:lineRule="exact"/>
        <w:ind w:firstLine="420"/>
        <w:textAlignment w:val="auto"/>
        <w:rPr>
          <w:rStyle w:val="19"/>
          <w:rFonts w:hint="default"/>
          <w:color w:val="auto"/>
          <w:sz w:val="24"/>
          <w:szCs w:val="20"/>
          <w:highlight w:val="none"/>
        </w:rPr>
      </w:pPr>
      <w:bookmarkStart w:id="1290" w:name="bookmark1532"/>
      <w:bookmarkEnd w:id="1290"/>
      <w:r>
        <w:rPr>
          <w:rStyle w:val="19"/>
          <w:rFonts w:hint="default"/>
          <w:color w:val="auto"/>
          <w:sz w:val="24"/>
          <w:szCs w:val="20"/>
          <w:highlight w:val="none"/>
        </w:rPr>
        <w:t>按合同约定在合同解除日前应支付给承包人的其他金额。</w:t>
      </w:r>
    </w:p>
    <w:p w14:paraId="35E30540">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r>
        <w:rPr>
          <w:rStyle w:val="19"/>
          <w:rFonts w:hint="default"/>
          <w:color w:val="auto"/>
          <w:sz w:val="24"/>
          <w:szCs w:val="20"/>
          <w:highlight w:val="none"/>
        </w:rPr>
        <w:t>发包人应按本项约定支付上述金额并退还质量保证金和履约担保，但有权要求承包人支付应偿还给发包人的各项金额。</w:t>
      </w:r>
    </w:p>
    <w:p w14:paraId="459CDFC0">
      <w:pPr>
        <w:pStyle w:val="31"/>
        <w:pageBreakBefore w:val="0"/>
        <w:widowControl w:val="0"/>
        <w:kinsoku/>
        <w:wordWrap/>
        <w:overflowPunct/>
        <w:topLinePunct w:val="0"/>
        <w:autoSpaceDE/>
        <w:autoSpaceDN/>
        <w:bidi w:val="0"/>
        <w:adjustRightInd/>
        <w:snapToGrid/>
        <w:spacing w:beforeLines="0" w:afterLines="0" w:line="440" w:lineRule="exact"/>
        <w:ind w:firstLine="420"/>
        <w:textAlignment w:val="auto"/>
        <w:rPr>
          <w:rStyle w:val="19"/>
          <w:rFonts w:hint="default"/>
          <w:color w:val="auto"/>
          <w:sz w:val="24"/>
          <w:szCs w:val="20"/>
          <w:highlight w:val="none"/>
          <w:lang w:val="en-US"/>
        </w:rPr>
      </w:pPr>
      <w:r>
        <w:rPr>
          <w:rStyle w:val="19"/>
          <w:rFonts w:hint="default"/>
          <w:color w:val="auto"/>
          <w:sz w:val="24"/>
          <w:szCs w:val="20"/>
          <w:highlight w:val="none"/>
          <w:lang w:val="en-US"/>
        </w:rPr>
        <w:t>22.2.5解除合同后的承包人撤离</w:t>
      </w:r>
    </w:p>
    <w:p w14:paraId="37B96B30">
      <w:pPr>
        <w:pStyle w:val="31"/>
        <w:pageBreakBefore w:val="0"/>
        <w:widowControl w:val="0"/>
        <w:kinsoku/>
        <w:wordWrap/>
        <w:overflowPunct/>
        <w:topLinePunct w:val="0"/>
        <w:autoSpaceDE/>
        <w:autoSpaceDN/>
        <w:bidi w:val="0"/>
        <w:adjustRightInd/>
        <w:snapToGrid/>
        <w:spacing w:beforeLines="0" w:after="180" w:afterLines="0" w:line="440" w:lineRule="exact"/>
        <w:ind w:firstLine="440"/>
        <w:jc w:val="both"/>
        <w:textAlignment w:val="auto"/>
        <w:rPr>
          <w:rStyle w:val="19"/>
          <w:rFonts w:hint="default"/>
          <w:color w:val="auto"/>
          <w:sz w:val="24"/>
          <w:szCs w:val="20"/>
          <w:highlight w:val="none"/>
        </w:rPr>
      </w:pPr>
      <w:r>
        <w:rPr>
          <w:rStyle w:val="19"/>
          <w:rFonts w:hint="default"/>
          <w:color w:val="auto"/>
          <w:sz w:val="24"/>
          <w:szCs w:val="20"/>
          <w:highlight w:val="none"/>
        </w:rPr>
        <w:t>因发包人违约而解除合同后，承包人应妥善做好已竣工工程和已购材料、设备的保护和移交工作，按发包人要求将承包人设备和人员撤出施工场地。承包人撤出施工场地应遵 守第</w:t>
      </w:r>
      <w:r>
        <w:rPr>
          <w:rStyle w:val="19"/>
          <w:rFonts w:hint="eastAsia" w:ascii="Times New Roman" w:hAnsi="Times New Roman" w:eastAsia="Times New Roman" w:cs="Times New Roman"/>
          <w:color w:val="auto"/>
          <w:sz w:val="24"/>
          <w:szCs w:val="24"/>
          <w:highlight w:val="none"/>
          <w:lang w:val="en-US" w:bidi="en-US"/>
        </w:rPr>
        <w:t xml:space="preserve">18. 7. </w:t>
      </w:r>
      <w:r>
        <w:rPr>
          <w:rStyle w:val="19"/>
          <w:rFonts w:hint="eastAsia" w:ascii="Times New Roman" w:hAnsi="Times New Roman" w:eastAsia="Times New Roman" w:cs="Times New Roman"/>
          <w:color w:val="auto"/>
          <w:sz w:val="24"/>
          <w:szCs w:val="24"/>
          <w:highlight w:val="none"/>
        </w:rPr>
        <w:t>1</w:t>
      </w:r>
      <w:r>
        <w:rPr>
          <w:rStyle w:val="19"/>
          <w:rFonts w:hint="default"/>
          <w:color w:val="auto"/>
          <w:sz w:val="24"/>
          <w:szCs w:val="20"/>
          <w:highlight w:val="none"/>
        </w:rPr>
        <w:t>项的约定，发包人应为承包人撤出提供必要条件。</w:t>
      </w:r>
    </w:p>
    <w:p w14:paraId="597FB43C">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1291" w:name="_Toc256000165"/>
      <w:bookmarkStart w:id="1292" w:name="bookmark1535"/>
      <w:bookmarkStart w:id="1293" w:name="_Toc7744"/>
      <w:bookmarkStart w:id="1294" w:name="_Toc9266"/>
      <w:bookmarkStart w:id="1295" w:name="bookmark1534"/>
      <w:bookmarkStart w:id="1296" w:name="bookmark1533"/>
      <w:r>
        <w:rPr>
          <w:rStyle w:val="19"/>
          <w:rFonts w:hint="default" w:ascii="宋体" w:hAnsi="宋体" w:eastAsia="宋体"/>
          <w:color w:val="auto"/>
          <w:sz w:val="24"/>
          <w:szCs w:val="20"/>
          <w:highlight w:val="none"/>
          <w:lang w:eastAsia="zh-CN"/>
        </w:rPr>
        <w:t>22.3第三人造成的违约</w:t>
      </w:r>
      <w:bookmarkEnd w:id="1291"/>
      <w:bookmarkEnd w:id="1292"/>
      <w:bookmarkEnd w:id="1293"/>
      <w:bookmarkEnd w:id="1294"/>
      <w:bookmarkEnd w:id="1295"/>
      <w:bookmarkEnd w:id="1296"/>
    </w:p>
    <w:p w14:paraId="6791ED65">
      <w:pPr>
        <w:pStyle w:val="31"/>
        <w:pageBreakBefore w:val="0"/>
        <w:widowControl w:val="0"/>
        <w:kinsoku/>
        <w:wordWrap/>
        <w:overflowPunct/>
        <w:topLinePunct w:val="0"/>
        <w:autoSpaceDE/>
        <w:autoSpaceDN/>
        <w:bidi w:val="0"/>
        <w:adjustRightInd/>
        <w:snapToGrid/>
        <w:spacing w:beforeLines="0" w:after="260" w:afterLines="0" w:line="440" w:lineRule="exact"/>
        <w:ind w:firstLine="440"/>
        <w:jc w:val="both"/>
        <w:textAlignment w:val="auto"/>
        <w:rPr>
          <w:rStyle w:val="19"/>
          <w:rFonts w:hint="default"/>
          <w:color w:val="auto"/>
          <w:sz w:val="24"/>
          <w:szCs w:val="20"/>
          <w:highlight w:val="none"/>
        </w:rPr>
      </w:pPr>
      <w:r>
        <w:rPr>
          <w:rStyle w:val="19"/>
          <w:rFonts w:hint="default"/>
          <w:color w:val="auto"/>
          <w:sz w:val="24"/>
          <w:szCs w:val="20"/>
          <w:highlight w:val="none"/>
        </w:rPr>
        <w:t>在履行合同过程中，一方当事人因第三人的原因造成违约的，应当向对方当事人承担违约责任。一方当事人和第三人之间的纠纷，依照法律规定或者按照约定解决。</w:t>
      </w:r>
    </w:p>
    <w:p w14:paraId="6B2963D5">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eastAsia"/>
          <w:color w:val="auto"/>
          <w:sz w:val="24"/>
          <w:szCs w:val="20"/>
          <w:highlight w:val="none"/>
          <w:lang w:eastAsia="zh-CN"/>
        </w:rPr>
      </w:pPr>
      <w:bookmarkStart w:id="1297" w:name="_Toc26868"/>
      <w:bookmarkStart w:id="1298" w:name="_Toc29128"/>
      <w:bookmarkStart w:id="1299" w:name="_Toc256000166"/>
      <w:r>
        <w:rPr>
          <w:rStyle w:val="19"/>
          <w:rFonts w:hint="eastAsia"/>
          <w:color w:val="auto"/>
          <w:sz w:val="24"/>
          <w:szCs w:val="20"/>
          <w:highlight w:val="none"/>
          <w:lang w:eastAsia="zh-CN"/>
        </w:rPr>
        <w:t>23.</w:t>
      </w:r>
      <w:r>
        <w:rPr>
          <w:rStyle w:val="19"/>
          <w:rFonts w:hint="default" w:ascii="宋体" w:eastAsia="宋体"/>
          <w:color w:val="auto"/>
          <w:sz w:val="24"/>
          <w:szCs w:val="20"/>
          <w:highlight w:val="none"/>
          <w:lang w:eastAsia="zh-CN"/>
        </w:rPr>
        <w:t>索赔</w:t>
      </w:r>
      <w:bookmarkEnd w:id="1297"/>
      <w:bookmarkEnd w:id="1298"/>
      <w:bookmarkEnd w:id="1299"/>
    </w:p>
    <w:p w14:paraId="48FDA572">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1300" w:name="_Toc25030"/>
      <w:bookmarkStart w:id="1301" w:name="bookmark1537"/>
      <w:bookmarkStart w:id="1302" w:name="_Toc256000167"/>
      <w:bookmarkStart w:id="1303" w:name="_Toc12223"/>
      <w:bookmarkStart w:id="1304" w:name="bookmark1536"/>
      <w:bookmarkStart w:id="1305" w:name="bookmark1538"/>
      <w:r>
        <w:rPr>
          <w:rStyle w:val="19"/>
          <w:rFonts w:hint="default" w:ascii="宋体" w:hAnsi="宋体" w:eastAsia="宋体"/>
          <w:color w:val="auto"/>
          <w:sz w:val="24"/>
          <w:szCs w:val="20"/>
          <w:highlight w:val="none"/>
          <w:lang w:eastAsia="zh-CN"/>
        </w:rPr>
        <w:t>23.1承包人索赔的提出</w:t>
      </w:r>
      <w:bookmarkEnd w:id="1300"/>
      <w:bookmarkEnd w:id="1301"/>
      <w:bookmarkEnd w:id="1302"/>
      <w:bookmarkEnd w:id="1303"/>
      <w:bookmarkEnd w:id="1304"/>
      <w:bookmarkEnd w:id="1305"/>
    </w:p>
    <w:p w14:paraId="736D73C9">
      <w:pPr>
        <w:pStyle w:val="28"/>
        <w:pageBreakBefore w:val="0"/>
        <w:widowControl w:val="0"/>
        <w:kinsoku/>
        <w:wordWrap/>
        <w:overflowPunct/>
        <w:topLinePunct w:val="0"/>
        <w:autoSpaceDE/>
        <w:autoSpaceDN/>
        <w:bidi w:val="0"/>
        <w:adjustRightInd/>
        <w:snapToGrid/>
        <w:spacing w:beforeLines="0" w:afterLines="0" w:line="440" w:lineRule="exact"/>
        <w:ind w:firstLine="400" w:firstLineChars="200"/>
        <w:textAlignment w:val="auto"/>
        <w:rPr>
          <w:rStyle w:val="19"/>
          <w:rFonts w:hint="default"/>
          <w:color w:val="auto"/>
          <w:sz w:val="20"/>
          <w:szCs w:val="24"/>
          <w:highlight w:val="none"/>
          <w:lang w:eastAsia="zh-CN"/>
        </w:rPr>
      </w:pPr>
      <w:r>
        <w:rPr>
          <w:rStyle w:val="19"/>
          <w:rFonts w:hint="default" w:ascii="宋体" w:eastAsia="宋体"/>
          <w:color w:val="auto"/>
          <w:sz w:val="20"/>
          <w:szCs w:val="24"/>
          <w:highlight w:val="none"/>
          <w:lang w:eastAsia="zh-CN"/>
        </w:rPr>
        <w:t>根据合同约定，承包人认为有权得到追加付款和(或)延长工期的，应按以下程序向发包人提出索赔：</w:t>
      </w:r>
    </w:p>
    <w:p w14:paraId="0AC1B780">
      <w:pPr>
        <w:pStyle w:val="31"/>
        <w:pageBreakBefore w:val="0"/>
        <w:widowControl w:val="0"/>
        <w:numPr>
          <w:ilvl w:val="0"/>
          <w:numId w:val="34"/>
        </w:numPr>
        <w:tabs>
          <w:tab w:val="left" w:pos="918"/>
        </w:tabs>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bookmarkStart w:id="1306" w:name="bookmark1539"/>
      <w:bookmarkEnd w:id="1306"/>
      <w:r>
        <w:rPr>
          <w:rStyle w:val="19"/>
          <w:rFonts w:hint="default"/>
          <w:color w:val="auto"/>
          <w:sz w:val="24"/>
          <w:szCs w:val="20"/>
          <w:highlight w:val="none"/>
        </w:rPr>
        <w:t>承包人应在知道或应当知道索赔事件发生后</w:t>
      </w:r>
      <w:r>
        <w:rPr>
          <w:rStyle w:val="19"/>
          <w:rFonts w:hint="eastAsia" w:ascii="Times New Roman" w:hAnsi="Times New Roman" w:eastAsia="Times New Roman" w:cs="Times New Roman"/>
          <w:color w:val="auto"/>
          <w:sz w:val="24"/>
          <w:szCs w:val="24"/>
          <w:highlight w:val="none"/>
        </w:rPr>
        <w:t>28</w:t>
      </w:r>
      <w:r>
        <w:rPr>
          <w:rStyle w:val="19"/>
          <w:rFonts w:hint="default"/>
          <w:color w:val="auto"/>
          <w:sz w:val="24"/>
          <w:szCs w:val="20"/>
          <w:highlight w:val="none"/>
        </w:rPr>
        <w:t>天内，向监理人递交索赔意向通知书，并说明发生索赔事件的事由。承包人未在前述</w:t>
      </w:r>
      <w:r>
        <w:rPr>
          <w:rStyle w:val="19"/>
          <w:rFonts w:hint="eastAsia" w:ascii="Times New Roman" w:hAnsi="Times New Roman" w:eastAsia="Times New Roman" w:cs="Times New Roman"/>
          <w:color w:val="auto"/>
          <w:sz w:val="24"/>
          <w:szCs w:val="24"/>
          <w:highlight w:val="none"/>
        </w:rPr>
        <w:t>28</w:t>
      </w:r>
      <w:r>
        <w:rPr>
          <w:rStyle w:val="19"/>
          <w:rFonts w:hint="default"/>
          <w:color w:val="auto"/>
          <w:sz w:val="24"/>
          <w:szCs w:val="20"/>
          <w:highlight w:val="none"/>
        </w:rPr>
        <w:t>天内发出索赔意向通知书的，丧失要求追加付款和(或)延长工期的权利；</w:t>
      </w:r>
    </w:p>
    <w:p w14:paraId="7B003839">
      <w:pPr>
        <w:pStyle w:val="31"/>
        <w:pageBreakBefore w:val="0"/>
        <w:widowControl w:val="0"/>
        <w:numPr>
          <w:ilvl w:val="0"/>
          <w:numId w:val="34"/>
        </w:numPr>
        <w:tabs>
          <w:tab w:val="left" w:pos="918"/>
        </w:tabs>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bookmarkStart w:id="1307" w:name="bookmark1540"/>
      <w:bookmarkEnd w:id="1307"/>
      <w:r>
        <w:rPr>
          <w:rStyle w:val="19"/>
          <w:rFonts w:hint="default"/>
          <w:color w:val="auto"/>
          <w:sz w:val="24"/>
          <w:szCs w:val="20"/>
          <w:highlight w:val="none"/>
        </w:rPr>
        <w:t>承包人应在发出索赔意向通知书后</w:t>
      </w:r>
      <w:r>
        <w:rPr>
          <w:rStyle w:val="19"/>
          <w:rFonts w:hint="eastAsia" w:ascii="Times New Roman" w:hAnsi="Times New Roman" w:eastAsia="Times New Roman" w:cs="Times New Roman"/>
          <w:color w:val="auto"/>
          <w:sz w:val="24"/>
          <w:szCs w:val="24"/>
          <w:highlight w:val="none"/>
        </w:rPr>
        <w:t>28</w:t>
      </w:r>
      <w:r>
        <w:rPr>
          <w:rStyle w:val="19"/>
          <w:rFonts w:hint="default"/>
          <w:color w:val="auto"/>
          <w:sz w:val="24"/>
          <w:szCs w:val="20"/>
          <w:highlight w:val="none"/>
        </w:rPr>
        <w:t>天内，向监理人正式递交索赔通知书。索赔通知书应详细说明索赔理由以及要求追加的付款金额和(或)延长的工期，并附必要的记 录和证明材料；</w:t>
      </w:r>
    </w:p>
    <w:p w14:paraId="6CDF63E3">
      <w:pPr>
        <w:pStyle w:val="31"/>
        <w:pageBreakBefore w:val="0"/>
        <w:widowControl w:val="0"/>
        <w:numPr>
          <w:ilvl w:val="0"/>
          <w:numId w:val="34"/>
        </w:numPr>
        <w:tabs>
          <w:tab w:val="left" w:pos="903"/>
        </w:tabs>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bookmarkStart w:id="1308" w:name="bookmark1541"/>
      <w:bookmarkEnd w:id="1308"/>
      <w:r>
        <w:rPr>
          <w:rStyle w:val="19"/>
          <w:rFonts w:hint="default"/>
          <w:color w:val="auto"/>
          <w:sz w:val="24"/>
          <w:szCs w:val="20"/>
          <w:highlight w:val="none"/>
        </w:rPr>
        <w:t>索赔事件具有连续影响的，承包人应按合理时间间隔继续递交延续索赔通知，说明连续影响的实际情况和记录，列出累计的追加付款金额和(或)工期延长天数；</w:t>
      </w:r>
    </w:p>
    <w:p w14:paraId="13060035">
      <w:pPr>
        <w:pStyle w:val="31"/>
        <w:pageBreakBefore w:val="0"/>
        <w:widowControl w:val="0"/>
        <w:numPr>
          <w:ilvl w:val="0"/>
          <w:numId w:val="34"/>
        </w:numPr>
        <w:tabs>
          <w:tab w:val="left" w:pos="920"/>
        </w:tabs>
        <w:kinsoku/>
        <w:wordWrap/>
        <w:overflowPunct/>
        <w:topLinePunct w:val="0"/>
        <w:autoSpaceDE/>
        <w:autoSpaceDN/>
        <w:bidi w:val="0"/>
        <w:adjustRightInd/>
        <w:snapToGrid/>
        <w:spacing w:beforeLines="0" w:after="120" w:afterLines="0" w:line="440" w:lineRule="exact"/>
        <w:ind w:firstLine="440"/>
        <w:jc w:val="both"/>
        <w:textAlignment w:val="auto"/>
        <w:rPr>
          <w:rStyle w:val="19"/>
          <w:rFonts w:hint="default"/>
          <w:color w:val="auto"/>
          <w:sz w:val="24"/>
          <w:szCs w:val="20"/>
          <w:highlight w:val="none"/>
        </w:rPr>
      </w:pPr>
      <w:bookmarkStart w:id="1309" w:name="bookmark1542"/>
      <w:bookmarkEnd w:id="1309"/>
      <w:r>
        <w:rPr>
          <w:rStyle w:val="19"/>
          <w:rFonts w:hint="default"/>
          <w:color w:val="auto"/>
          <w:sz w:val="24"/>
          <w:szCs w:val="20"/>
          <w:highlight w:val="none"/>
        </w:rPr>
        <w:t>在索赔事件影响结束后的</w:t>
      </w:r>
      <w:r>
        <w:rPr>
          <w:rStyle w:val="19"/>
          <w:rFonts w:hint="eastAsia" w:ascii="Times New Roman" w:hAnsi="Times New Roman" w:eastAsia="Times New Roman" w:cs="Times New Roman"/>
          <w:color w:val="auto"/>
          <w:sz w:val="24"/>
          <w:szCs w:val="24"/>
          <w:highlight w:val="none"/>
        </w:rPr>
        <w:t>28</w:t>
      </w:r>
      <w:r>
        <w:rPr>
          <w:rStyle w:val="19"/>
          <w:rFonts w:hint="default"/>
          <w:color w:val="auto"/>
          <w:sz w:val="24"/>
          <w:szCs w:val="20"/>
          <w:highlight w:val="none"/>
        </w:rPr>
        <w:t>天内，承包人应向监理人递交最终索赔通知书，说明最终要求索赔的追加付款金额和延长的工期，并附必要的记录和证明材料。</w:t>
      </w:r>
    </w:p>
    <w:p w14:paraId="104A8189">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1310" w:name="bookmark1544"/>
      <w:bookmarkStart w:id="1311" w:name="_Toc1402"/>
      <w:bookmarkStart w:id="1312" w:name="_Toc5534"/>
      <w:bookmarkStart w:id="1313" w:name="_Toc256000168"/>
      <w:bookmarkStart w:id="1314" w:name="bookmark1543"/>
      <w:bookmarkStart w:id="1315" w:name="bookmark1545"/>
      <w:r>
        <w:rPr>
          <w:rStyle w:val="19"/>
          <w:rFonts w:hint="default" w:ascii="宋体" w:hAnsi="宋体" w:eastAsia="宋体"/>
          <w:color w:val="auto"/>
          <w:sz w:val="24"/>
          <w:szCs w:val="20"/>
          <w:highlight w:val="none"/>
          <w:lang w:eastAsia="zh-CN"/>
        </w:rPr>
        <w:t>23.2承包人索赔处理程序</w:t>
      </w:r>
      <w:bookmarkEnd w:id="1310"/>
      <w:bookmarkEnd w:id="1311"/>
      <w:bookmarkEnd w:id="1312"/>
      <w:bookmarkEnd w:id="1313"/>
      <w:bookmarkEnd w:id="1314"/>
      <w:bookmarkEnd w:id="1315"/>
    </w:p>
    <w:p w14:paraId="7DCC5E1A">
      <w:pPr>
        <w:pStyle w:val="31"/>
        <w:pageBreakBefore w:val="0"/>
        <w:widowControl w:val="0"/>
        <w:numPr>
          <w:ilvl w:val="0"/>
          <w:numId w:val="35"/>
        </w:numPr>
        <w:tabs>
          <w:tab w:val="left" w:pos="922"/>
        </w:tabs>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bookmarkStart w:id="1316" w:name="bookmark1546"/>
      <w:bookmarkEnd w:id="1316"/>
      <w:r>
        <w:rPr>
          <w:rStyle w:val="19"/>
          <w:rFonts w:hint="default"/>
          <w:color w:val="auto"/>
          <w:sz w:val="24"/>
          <w:szCs w:val="20"/>
          <w:highlight w:val="none"/>
        </w:rPr>
        <w:t>监理人收到承包人提交的索赔通知书后，应及时审查索赔通知书的内容、查验承包人的记录和证明材料，必要时监理人可要求承包人提交全部原始记录副本。</w:t>
      </w:r>
    </w:p>
    <w:p w14:paraId="13BB37C6">
      <w:pPr>
        <w:pStyle w:val="31"/>
        <w:pageBreakBefore w:val="0"/>
        <w:widowControl w:val="0"/>
        <w:numPr>
          <w:ilvl w:val="0"/>
          <w:numId w:val="35"/>
        </w:numPr>
        <w:tabs>
          <w:tab w:val="left" w:pos="918"/>
        </w:tabs>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bookmarkStart w:id="1317" w:name="bookmark1547"/>
      <w:bookmarkEnd w:id="1317"/>
      <w:r>
        <w:rPr>
          <w:rStyle w:val="19"/>
          <w:rFonts w:hint="default"/>
          <w:color w:val="auto"/>
          <w:sz w:val="24"/>
          <w:szCs w:val="20"/>
          <w:highlight w:val="none"/>
        </w:rPr>
        <w:t>监理人应按第</w:t>
      </w:r>
      <w:r>
        <w:rPr>
          <w:rStyle w:val="19"/>
          <w:rFonts w:hint="eastAsia" w:ascii="Times New Roman" w:hAnsi="Times New Roman" w:eastAsia="Times New Roman" w:cs="Times New Roman"/>
          <w:color w:val="auto"/>
          <w:sz w:val="24"/>
          <w:szCs w:val="24"/>
          <w:highlight w:val="none"/>
          <w:lang w:val="en-US" w:bidi="en-US"/>
        </w:rPr>
        <w:t xml:space="preserve">3. </w:t>
      </w:r>
      <w:r>
        <w:rPr>
          <w:rStyle w:val="19"/>
          <w:rFonts w:hint="eastAsia" w:ascii="Times New Roman" w:hAnsi="Times New Roman" w:eastAsia="Times New Roman" w:cs="Times New Roman"/>
          <w:color w:val="auto"/>
          <w:sz w:val="24"/>
          <w:szCs w:val="24"/>
          <w:highlight w:val="none"/>
        </w:rPr>
        <w:t>5</w:t>
      </w:r>
      <w:r>
        <w:rPr>
          <w:rStyle w:val="19"/>
          <w:rFonts w:hint="default"/>
          <w:color w:val="auto"/>
          <w:sz w:val="24"/>
          <w:szCs w:val="20"/>
          <w:highlight w:val="none"/>
        </w:rPr>
        <w:t>款商定或确定追加的付款和(或)延长的工期，并在收到上述索赔通知书或有关索赔的进一步证明材料后的</w:t>
      </w:r>
      <w:r>
        <w:rPr>
          <w:rStyle w:val="19"/>
          <w:rFonts w:hint="eastAsia" w:ascii="Times New Roman" w:hAnsi="Times New Roman" w:eastAsia="Times New Roman" w:cs="Times New Roman"/>
          <w:color w:val="auto"/>
          <w:sz w:val="24"/>
          <w:szCs w:val="24"/>
          <w:highlight w:val="none"/>
        </w:rPr>
        <w:t>42</w:t>
      </w:r>
      <w:r>
        <w:rPr>
          <w:rStyle w:val="19"/>
          <w:rFonts w:hint="default"/>
          <w:color w:val="auto"/>
          <w:sz w:val="24"/>
          <w:szCs w:val="20"/>
          <w:highlight w:val="none"/>
        </w:rPr>
        <w:t>天内，将索赔处理结果答复承包人。</w:t>
      </w:r>
    </w:p>
    <w:p w14:paraId="55679AB8">
      <w:pPr>
        <w:pStyle w:val="31"/>
        <w:pageBreakBefore w:val="0"/>
        <w:widowControl w:val="0"/>
        <w:numPr>
          <w:ilvl w:val="0"/>
          <w:numId w:val="35"/>
        </w:numPr>
        <w:tabs>
          <w:tab w:val="left" w:pos="920"/>
        </w:tabs>
        <w:kinsoku/>
        <w:wordWrap/>
        <w:overflowPunct/>
        <w:topLinePunct w:val="0"/>
        <w:autoSpaceDE/>
        <w:autoSpaceDN/>
        <w:bidi w:val="0"/>
        <w:adjustRightInd/>
        <w:snapToGrid/>
        <w:spacing w:beforeLines="0" w:after="120" w:afterLines="0" w:line="440" w:lineRule="exact"/>
        <w:ind w:firstLine="440"/>
        <w:jc w:val="both"/>
        <w:textAlignment w:val="auto"/>
        <w:rPr>
          <w:rStyle w:val="19"/>
          <w:rFonts w:hint="default"/>
          <w:color w:val="auto"/>
          <w:sz w:val="24"/>
          <w:szCs w:val="20"/>
          <w:highlight w:val="none"/>
        </w:rPr>
      </w:pPr>
      <w:bookmarkStart w:id="1318" w:name="bookmark1548"/>
      <w:bookmarkEnd w:id="1318"/>
      <w:r>
        <w:rPr>
          <w:rStyle w:val="19"/>
          <w:rFonts w:hint="default"/>
          <w:color w:val="auto"/>
          <w:sz w:val="24"/>
          <w:szCs w:val="20"/>
          <w:highlight w:val="none"/>
        </w:rPr>
        <w:t>承包人接受索赔处理结果的，发包人应在作出索赔处理结果答复后</w:t>
      </w:r>
      <w:r>
        <w:rPr>
          <w:rStyle w:val="19"/>
          <w:rFonts w:hint="eastAsia" w:ascii="Times New Roman" w:hAnsi="Times New Roman" w:eastAsia="Times New Roman" w:cs="Times New Roman"/>
          <w:color w:val="auto"/>
          <w:sz w:val="24"/>
          <w:szCs w:val="24"/>
          <w:highlight w:val="none"/>
        </w:rPr>
        <w:t>28</w:t>
      </w:r>
      <w:r>
        <w:rPr>
          <w:rStyle w:val="19"/>
          <w:rFonts w:hint="default"/>
          <w:color w:val="auto"/>
          <w:sz w:val="24"/>
          <w:szCs w:val="20"/>
          <w:highlight w:val="none"/>
        </w:rPr>
        <w:t>天内完成赔付。承包人不接受索赔处理结果的，按第</w:t>
      </w:r>
      <w:r>
        <w:rPr>
          <w:rStyle w:val="19"/>
          <w:rFonts w:hint="eastAsia" w:ascii="Times New Roman" w:hAnsi="Times New Roman" w:eastAsia="Times New Roman" w:cs="Times New Roman"/>
          <w:color w:val="auto"/>
          <w:sz w:val="24"/>
          <w:szCs w:val="24"/>
          <w:highlight w:val="none"/>
        </w:rPr>
        <w:t>24</w:t>
      </w:r>
      <w:r>
        <w:rPr>
          <w:rStyle w:val="19"/>
          <w:rFonts w:hint="default"/>
          <w:color w:val="auto"/>
          <w:sz w:val="24"/>
          <w:szCs w:val="20"/>
          <w:highlight w:val="none"/>
        </w:rPr>
        <w:t>条的约定办理。</w:t>
      </w:r>
    </w:p>
    <w:p w14:paraId="35E64BEF">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1319" w:name="bookmark1551"/>
      <w:bookmarkStart w:id="1320" w:name="bookmark1549"/>
      <w:bookmarkStart w:id="1321" w:name="_Toc25861"/>
      <w:bookmarkStart w:id="1322" w:name="bookmark1550"/>
      <w:bookmarkStart w:id="1323" w:name="_Toc2285"/>
      <w:bookmarkStart w:id="1324" w:name="_Toc256000169"/>
      <w:r>
        <w:rPr>
          <w:rStyle w:val="19"/>
          <w:rFonts w:hint="default" w:ascii="宋体" w:hAnsi="宋体" w:eastAsia="宋体"/>
          <w:color w:val="auto"/>
          <w:sz w:val="24"/>
          <w:szCs w:val="20"/>
          <w:highlight w:val="none"/>
          <w:lang w:eastAsia="zh-CN"/>
        </w:rPr>
        <w:t>23.3承包人提出索赔的期限</w:t>
      </w:r>
      <w:bookmarkEnd w:id="1319"/>
      <w:bookmarkEnd w:id="1320"/>
      <w:bookmarkEnd w:id="1321"/>
      <w:bookmarkEnd w:id="1322"/>
      <w:bookmarkEnd w:id="1323"/>
      <w:bookmarkEnd w:id="1324"/>
    </w:p>
    <w:p w14:paraId="3BBB2E8C">
      <w:pPr>
        <w:pStyle w:val="31"/>
        <w:pageBreakBefore w:val="0"/>
        <w:widowControl w:val="0"/>
        <w:numPr>
          <w:ilvl w:val="0"/>
          <w:numId w:val="36"/>
        </w:numPr>
        <w:tabs>
          <w:tab w:val="left" w:pos="855"/>
        </w:tabs>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bookmarkStart w:id="1325" w:name="bookmark1552"/>
      <w:bookmarkEnd w:id="1325"/>
      <w:r>
        <w:rPr>
          <w:rStyle w:val="19"/>
          <w:rFonts w:hint="eastAsia" w:ascii="Times New Roman" w:hAnsi="Times New Roman" w:eastAsia="Times New Roman" w:cs="Times New Roman"/>
          <w:color w:val="auto"/>
          <w:sz w:val="24"/>
          <w:szCs w:val="24"/>
          <w:highlight w:val="none"/>
          <w:lang w:val="en-US" w:bidi="en-US"/>
        </w:rPr>
        <w:t xml:space="preserve">3. </w:t>
      </w:r>
      <w:r>
        <w:rPr>
          <w:rStyle w:val="19"/>
          <w:rFonts w:hint="eastAsia" w:ascii="Times New Roman" w:hAnsi="Times New Roman" w:eastAsia="Times New Roman" w:cs="Times New Roman"/>
          <w:color w:val="auto"/>
          <w:sz w:val="24"/>
          <w:szCs w:val="24"/>
          <w:highlight w:val="none"/>
        </w:rPr>
        <w:t>1</w:t>
      </w:r>
      <w:r>
        <w:rPr>
          <w:rStyle w:val="19"/>
          <w:rFonts w:hint="default"/>
          <w:color w:val="auto"/>
          <w:sz w:val="24"/>
          <w:szCs w:val="20"/>
          <w:highlight w:val="none"/>
        </w:rPr>
        <w:t>承包人按第</w:t>
      </w:r>
      <w:r>
        <w:rPr>
          <w:rStyle w:val="19"/>
          <w:rFonts w:hint="eastAsia" w:ascii="Times New Roman" w:hAnsi="Times New Roman" w:eastAsia="Times New Roman" w:cs="Times New Roman"/>
          <w:color w:val="auto"/>
          <w:sz w:val="24"/>
          <w:szCs w:val="24"/>
          <w:highlight w:val="none"/>
          <w:lang w:val="en-US" w:bidi="en-US"/>
        </w:rPr>
        <w:t xml:space="preserve">17. </w:t>
      </w:r>
      <w:r>
        <w:rPr>
          <w:rStyle w:val="19"/>
          <w:rFonts w:hint="eastAsia" w:ascii="Times New Roman" w:hAnsi="Times New Roman" w:eastAsia="Times New Roman" w:cs="Times New Roman"/>
          <w:color w:val="auto"/>
          <w:sz w:val="24"/>
          <w:szCs w:val="24"/>
          <w:highlight w:val="none"/>
        </w:rPr>
        <w:t>5</w:t>
      </w:r>
      <w:r>
        <w:rPr>
          <w:rStyle w:val="19"/>
          <w:rFonts w:hint="default"/>
          <w:color w:val="auto"/>
          <w:sz w:val="24"/>
          <w:szCs w:val="20"/>
          <w:highlight w:val="none"/>
        </w:rPr>
        <w:t>款的约定接受了完工付款证书后，应被认为已无权再提出在合同工程完工证书颁发前所发生的任何索赔。</w:t>
      </w:r>
    </w:p>
    <w:p w14:paraId="46711D7D">
      <w:pPr>
        <w:pStyle w:val="31"/>
        <w:pageBreakBefore w:val="0"/>
        <w:widowControl w:val="0"/>
        <w:kinsoku/>
        <w:wordWrap/>
        <w:overflowPunct/>
        <w:topLinePunct w:val="0"/>
        <w:autoSpaceDE/>
        <w:autoSpaceDN/>
        <w:bidi w:val="0"/>
        <w:adjustRightInd/>
        <w:snapToGrid/>
        <w:spacing w:beforeLines="0" w:after="120" w:afterLines="0" w:line="440" w:lineRule="exact"/>
        <w:ind w:firstLine="44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23.3.2</w:t>
      </w:r>
      <w:r>
        <w:rPr>
          <w:rStyle w:val="19"/>
          <w:rFonts w:hint="default"/>
          <w:color w:val="auto"/>
          <w:sz w:val="24"/>
          <w:szCs w:val="20"/>
          <w:highlight w:val="none"/>
        </w:rPr>
        <w:t>承包人按第</w:t>
      </w:r>
      <w:r>
        <w:rPr>
          <w:rStyle w:val="19"/>
          <w:rFonts w:hint="eastAsia" w:ascii="Times New Roman" w:hAnsi="Times New Roman" w:eastAsia="Times New Roman" w:cs="Times New Roman"/>
          <w:color w:val="auto"/>
          <w:sz w:val="24"/>
          <w:szCs w:val="24"/>
          <w:highlight w:val="none"/>
          <w:lang w:val="en-US" w:bidi="en-US"/>
        </w:rPr>
        <w:t xml:space="preserve">17. </w:t>
      </w:r>
      <w:r>
        <w:rPr>
          <w:rStyle w:val="19"/>
          <w:rFonts w:hint="eastAsia" w:ascii="Times New Roman" w:hAnsi="Times New Roman" w:eastAsia="Times New Roman" w:cs="Times New Roman"/>
          <w:color w:val="auto"/>
          <w:sz w:val="24"/>
          <w:szCs w:val="24"/>
          <w:highlight w:val="none"/>
        </w:rPr>
        <w:t>6</w:t>
      </w:r>
      <w:r>
        <w:rPr>
          <w:rStyle w:val="19"/>
          <w:rFonts w:hint="default"/>
          <w:color w:val="auto"/>
          <w:sz w:val="24"/>
          <w:szCs w:val="20"/>
          <w:highlight w:val="none"/>
        </w:rPr>
        <w:t>款的约定提交的最终结清申请单中，只限于提出合同工程完工证书颁发后发生的索赔。提出索赔的期限自接受最终结清证书时终止。</w:t>
      </w:r>
    </w:p>
    <w:p w14:paraId="2BDFAD60">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1326" w:name="bookmark1555"/>
      <w:bookmarkStart w:id="1327" w:name="_Toc13664"/>
      <w:bookmarkStart w:id="1328" w:name="bookmark1554"/>
      <w:bookmarkStart w:id="1329" w:name="_Toc256000170"/>
      <w:bookmarkStart w:id="1330" w:name="_Toc1321"/>
      <w:bookmarkStart w:id="1331" w:name="bookmark1553"/>
      <w:r>
        <w:rPr>
          <w:rStyle w:val="19"/>
          <w:rFonts w:hint="default" w:ascii="宋体" w:hAnsi="宋体" w:eastAsia="宋体"/>
          <w:color w:val="auto"/>
          <w:sz w:val="24"/>
          <w:szCs w:val="20"/>
          <w:highlight w:val="none"/>
          <w:lang w:eastAsia="zh-CN"/>
        </w:rPr>
        <w:t>23.4发包人的索赔</w:t>
      </w:r>
      <w:bookmarkEnd w:id="1326"/>
      <w:bookmarkEnd w:id="1327"/>
      <w:bookmarkEnd w:id="1328"/>
      <w:bookmarkEnd w:id="1329"/>
      <w:bookmarkEnd w:id="1330"/>
      <w:bookmarkEnd w:id="1331"/>
    </w:p>
    <w:p w14:paraId="542AEBE0">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23.4.1</w:t>
      </w:r>
      <w:r>
        <w:rPr>
          <w:rStyle w:val="19"/>
          <w:rFonts w:hint="default"/>
          <w:color w:val="auto"/>
          <w:sz w:val="24"/>
          <w:szCs w:val="20"/>
          <w:highlight w:val="none"/>
        </w:rPr>
        <w:t>发生索赔事件后，监理人应及时书面通知承包人，详细说明发包人有权得到的索赔金额和(或)延长缺陷责任期的细节和依据。发包人提出索赔的期限和要求与第</w:t>
      </w:r>
      <w:bookmarkStart w:id="1332" w:name="bookmark1556"/>
      <w:bookmarkEnd w:id="1332"/>
      <w:r>
        <w:rPr>
          <w:rStyle w:val="19"/>
          <w:rFonts w:hint="default"/>
          <w:color w:val="auto"/>
          <w:sz w:val="24"/>
          <w:szCs w:val="20"/>
          <w:highlight w:val="none"/>
          <w:lang w:val="en-US"/>
        </w:rPr>
        <w:t>23.</w:t>
      </w:r>
      <w:r>
        <w:rPr>
          <w:rStyle w:val="19"/>
          <w:rFonts w:hint="eastAsia" w:ascii="Times New Roman" w:hAnsi="Times New Roman" w:eastAsia="Times New Roman" w:cs="Times New Roman"/>
          <w:color w:val="auto"/>
          <w:sz w:val="24"/>
          <w:szCs w:val="24"/>
          <w:highlight w:val="none"/>
        </w:rPr>
        <w:t>3</w:t>
      </w:r>
      <w:r>
        <w:rPr>
          <w:rStyle w:val="19"/>
          <w:rFonts w:hint="default"/>
          <w:color w:val="auto"/>
          <w:sz w:val="24"/>
          <w:szCs w:val="20"/>
          <w:highlight w:val="none"/>
        </w:rPr>
        <w:t>款的约定相同，延长缺陷责任期的通知应在缺陷责任期届满前发出。</w:t>
      </w:r>
    </w:p>
    <w:p w14:paraId="1D69661F">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23.4.2</w:t>
      </w:r>
      <w:r>
        <w:rPr>
          <w:rStyle w:val="19"/>
          <w:rFonts w:hint="default"/>
          <w:color w:val="auto"/>
          <w:sz w:val="24"/>
          <w:szCs w:val="20"/>
          <w:highlight w:val="none"/>
        </w:rPr>
        <w:t>监理人按第</w:t>
      </w:r>
      <w:r>
        <w:rPr>
          <w:rStyle w:val="19"/>
          <w:rFonts w:hint="eastAsia" w:ascii="Times New Roman" w:hAnsi="Times New Roman" w:eastAsia="Times New Roman" w:cs="Times New Roman"/>
          <w:color w:val="auto"/>
          <w:sz w:val="24"/>
          <w:szCs w:val="24"/>
          <w:highlight w:val="none"/>
          <w:lang w:val="en-US" w:bidi="en-US"/>
        </w:rPr>
        <w:t xml:space="preserve">3. </w:t>
      </w:r>
      <w:r>
        <w:rPr>
          <w:rStyle w:val="19"/>
          <w:rFonts w:hint="eastAsia" w:ascii="Times New Roman" w:hAnsi="Times New Roman" w:eastAsia="Times New Roman" w:cs="Times New Roman"/>
          <w:color w:val="auto"/>
          <w:sz w:val="24"/>
          <w:szCs w:val="24"/>
          <w:highlight w:val="none"/>
        </w:rPr>
        <w:t>5</w:t>
      </w:r>
      <w:r>
        <w:rPr>
          <w:rStyle w:val="19"/>
          <w:rFonts w:hint="default"/>
          <w:color w:val="auto"/>
          <w:sz w:val="24"/>
          <w:szCs w:val="20"/>
          <w:highlight w:val="none"/>
        </w:rPr>
        <w:t>款商定或确定发包人从承包人处得到赔付的金额和(或)缺陷责任期的延长期。承包人应付给发包人的金额可从拟支付给承包人的合同价款中扣除, 或由承包人以其他方式支付给发包人。</w:t>
      </w:r>
    </w:p>
    <w:p w14:paraId="69074B29">
      <w:pPr>
        <w:pStyle w:val="31"/>
        <w:pageBreakBefore w:val="0"/>
        <w:widowControl w:val="0"/>
        <w:kinsoku/>
        <w:wordWrap/>
        <w:overflowPunct/>
        <w:topLinePunct w:val="0"/>
        <w:autoSpaceDE/>
        <w:autoSpaceDN/>
        <w:bidi w:val="0"/>
        <w:adjustRightInd/>
        <w:snapToGrid/>
        <w:spacing w:beforeLines="0" w:after="260" w:afterLines="0" w:line="440" w:lineRule="exact"/>
        <w:ind w:firstLine="44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 xml:space="preserve">23. 4. </w:t>
      </w:r>
      <w:r>
        <w:rPr>
          <w:rStyle w:val="19"/>
          <w:rFonts w:hint="eastAsia" w:ascii="Times New Roman" w:hAnsi="Times New Roman" w:eastAsia="Times New Roman" w:cs="Times New Roman"/>
          <w:color w:val="auto"/>
          <w:sz w:val="24"/>
          <w:szCs w:val="24"/>
          <w:highlight w:val="none"/>
        </w:rPr>
        <w:t>3</w:t>
      </w:r>
      <w:r>
        <w:rPr>
          <w:rStyle w:val="19"/>
          <w:rFonts w:hint="default"/>
          <w:color w:val="auto"/>
          <w:sz w:val="24"/>
          <w:szCs w:val="20"/>
          <w:highlight w:val="none"/>
        </w:rPr>
        <w:t>承包人对监理人按第</w:t>
      </w:r>
      <w:r>
        <w:rPr>
          <w:rStyle w:val="19"/>
          <w:rFonts w:hint="eastAsia" w:ascii="Times New Roman" w:hAnsi="Times New Roman" w:eastAsia="Times New Roman" w:cs="Times New Roman"/>
          <w:color w:val="auto"/>
          <w:sz w:val="24"/>
          <w:szCs w:val="24"/>
          <w:highlight w:val="none"/>
          <w:lang w:val="en-US" w:bidi="en-US"/>
        </w:rPr>
        <w:t xml:space="preserve">23.4. </w:t>
      </w:r>
      <w:r>
        <w:rPr>
          <w:rStyle w:val="19"/>
          <w:rFonts w:hint="eastAsia" w:ascii="Times New Roman" w:hAnsi="Times New Roman" w:eastAsia="Times New Roman" w:cs="Times New Roman"/>
          <w:color w:val="auto"/>
          <w:sz w:val="24"/>
          <w:szCs w:val="24"/>
          <w:highlight w:val="none"/>
        </w:rPr>
        <w:t>1</w:t>
      </w:r>
      <w:r>
        <w:rPr>
          <w:rStyle w:val="19"/>
          <w:rFonts w:hint="default"/>
          <w:color w:val="auto"/>
          <w:sz w:val="24"/>
          <w:szCs w:val="20"/>
          <w:highlight w:val="none"/>
        </w:rPr>
        <w:t>项发出的索赔书面通知内容持异议时，应在收到书面通知后的</w:t>
      </w:r>
      <w:r>
        <w:rPr>
          <w:rStyle w:val="19"/>
          <w:rFonts w:hint="eastAsia" w:ascii="Times New Roman" w:hAnsi="Times New Roman" w:eastAsia="Times New Roman" w:cs="Times New Roman"/>
          <w:color w:val="auto"/>
          <w:sz w:val="24"/>
          <w:szCs w:val="24"/>
          <w:highlight w:val="none"/>
        </w:rPr>
        <w:t>14</w:t>
      </w:r>
      <w:r>
        <w:rPr>
          <w:rStyle w:val="19"/>
          <w:rFonts w:hint="default"/>
          <w:color w:val="auto"/>
          <w:sz w:val="24"/>
          <w:szCs w:val="20"/>
          <w:highlight w:val="none"/>
        </w:rPr>
        <w:t>天内，将持有异议的书面报告及其证明材料提交监理人。监理人应在收到 承包人书面报告后的</w:t>
      </w:r>
      <w:r>
        <w:rPr>
          <w:rStyle w:val="19"/>
          <w:rFonts w:hint="eastAsia" w:ascii="Times New Roman" w:hAnsi="Times New Roman" w:eastAsia="Times New Roman" w:cs="Times New Roman"/>
          <w:color w:val="auto"/>
          <w:sz w:val="24"/>
          <w:szCs w:val="24"/>
          <w:highlight w:val="none"/>
        </w:rPr>
        <w:t>14</w:t>
      </w:r>
      <w:r>
        <w:rPr>
          <w:rStyle w:val="19"/>
          <w:rFonts w:hint="default"/>
          <w:color w:val="auto"/>
          <w:sz w:val="24"/>
          <w:szCs w:val="20"/>
          <w:highlight w:val="none"/>
        </w:rPr>
        <w:t>天内，将异议的处理意见通知承包人，并按第</w:t>
      </w:r>
      <w:r>
        <w:rPr>
          <w:rStyle w:val="19"/>
          <w:rFonts w:hint="eastAsia" w:ascii="Times New Roman" w:hAnsi="Times New Roman" w:eastAsia="Times New Roman" w:cs="Times New Roman"/>
          <w:color w:val="auto"/>
          <w:sz w:val="24"/>
          <w:szCs w:val="24"/>
          <w:highlight w:val="none"/>
          <w:lang w:val="en-US" w:bidi="en-US"/>
        </w:rPr>
        <w:t>23.4.2</w:t>
      </w:r>
      <w:r>
        <w:rPr>
          <w:rStyle w:val="19"/>
          <w:rFonts w:hint="default"/>
          <w:color w:val="auto"/>
          <w:sz w:val="24"/>
          <w:szCs w:val="20"/>
          <w:highlight w:val="none"/>
        </w:rPr>
        <w:t>项的约定执 行赔付。若承包人不接受监理人的索赔处理意见，可按本合同第</w:t>
      </w:r>
      <w:r>
        <w:rPr>
          <w:rStyle w:val="19"/>
          <w:rFonts w:hint="eastAsia" w:ascii="Times New Roman" w:hAnsi="Times New Roman" w:eastAsia="Times New Roman" w:cs="Times New Roman"/>
          <w:color w:val="auto"/>
          <w:sz w:val="24"/>
          <w:szCs w:val="24"/>
          <w:highlight w:val="none"/>
        </w:rPr>
        <w:t>24</w:t>
      </w:r>
      <w:r>
        <w:rPr>
          <w:rStyle w:val="19"/>
          <w:rFonts w:hint="default"/>
          <w:color w:val="auto"/>
          <w:sz w:val="24"/>
          <w:szCs w:val="20"/>
          <w:highlight w:val="none"/>
        </w:rPr>
        <w:t>条的规定办理。</w:t>
      </w:r>
    </w:p>
    <w:p w14:paraId="193D9A68">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eastAsia"/>
          <w:color w:val="auto"/>
          <w:sz w:val="24"/>
          <w:szCs w:val="20"/>
          <w:highlight w:val="none"/>
          <w:lang w:eastAsia="zh-CN"/>
        </w:rPr>
      </w:pPr>
      <w:bookmarkStart w:id="1333" w:name="bookmark1559"/>
      <w:bookmarkEnd w:id="1333"/>
      <w:bookmarkStart w:id="1334" w:name="bookmark1557"/>
      <w:bookmarkStart w:id="1335" w:name="_Toc256000171"/>
      <w:bookmarkStart w:id="1336" w:name="_Toc19085"/>
      <w:bookmarkStart w:id="1337" w:name="bookmark1560"/>
      <w:bookmarkStart w:id="1338" w:name="bookmark1558"/>
      <w:bookmarkStart w:id="1339" w:name="_Toc32550"/>
      <w:r>
        <w:rPr>
          <w:rStyle w:val="19"/>
          <w:rFonts w:hint="eastAsia"/>
          <w:color w:val="auto"/>
          <w:sz w:val="24"/>
          <w:szCs w:val="20"/>
          <w:highlight w:val="none"/>
          <w:lang w:eastAsia="zh-CN"/>
        </w:rPr>
        <w:t>24.</w:t>
      </w:r>
      <w:r>
        <w:rPr>
          <w:rStyle w:val="19"/>
          <w:rFonts w:hint="default" w:ascii="宋体" w:eastAsia="宋体"/>
          <w:color w:val="auto"/>
          <w:sz w:val="24"/>
          <w:szCs w:val="20"/>
          <w:highlight w:val="none"/>
          <w:lang w:eastAsia="zh-CN"/>
        </w:rPr>
        <w:t>争议的解决</w:t>
      </w:r>
      <w:bookmarkEnd w:id="1334"/>
      <w:bookmarkEnd w:id="1335"/>
      <w:bookmarkEnd w:id="1336"/>
      <w:bookmarkEnd w:id="1337"/>
      <w:bookmarkEnd w:id="1338"/>
      <w:bookmarkEnd w:id="1339"/>
    </w:p>
    <w:p w14:paraId="2423AEA4">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1340" w:name="bookmark1563"/>
      <w:bookmarkStart w:id="1341" w:name="bookmark1561"/>
      <w:bookmarkStart w:id="1342" w:name="_Toc16058"/>
      <w:bookmarkStart w:id="1343" w:name="_Toc256000172"/>
      <w:bookmarkStart w:id="1344" w:name="bookmark1562"/>
      <w:bookmarkStart w:id="1345" w:name="_Toc12687"/>
      <w:r>
        <w:rPr>
          <w:rStyle w:val="19"/>
          <w:rFonts w:hint="default" w:ascii="宋体" w:hAnsi="宋体" w:eastAsia="宋体"/>
          <w:color w:val="auto"/>
          <w:sz w:val="24"/>
          <w:szCs w:val="20"/>
          <w:highlight w:val="none"/>
          <w:lang w:eastAsia="zh-CN"/>
        </w:rPr>
        <w:t>24.1争议的解决方式</w:t>
      </w:r>
      <w:bookmarkEnd w:id="1340"/>
      <w:bookmarkEnd w:id="1341"/>
      <w:bookmarkEnd w:id="1342"/>
      <w:bookmarkEnd w:id="1343"/>
      <w:bookmarkEnd w:id="1344"/>
      <w:bookmarkEnd w:id="1345"/>
    </w:p>
    <w:p w14:paraId="67A4112D">
      <w:pPr>
        <w:pStyle w:val="31"/>
        <w:pageBreakBefore w:val="0"/>
        <w:widowControl w:val="0"/>
        <w:kinsoku/>
        <w:wordWrap/>
        <w:overflowPunct/>
        <w:topLinePunct w:val="0"/>
        <w:autoSpaceDE/>
        <w:autoSpaceDN/>
        <w:bidi w:val="0"/>
        <w:adjustRightInd/>
        <w:snapToGrid/>
        <w:spacing w:beforeLines="0" w:after="80" w:afterLines="0" w:line="440" w:lineRule="exact"/>
        <w:ind w:firstLine="420"/>
        <w:jc w:val="both"/>
        <w:textAlignment w:val="auto"/>
        <w:rPr>
          <w:rStyle w:val="19"/>
          <w:rFonts w:hint="default"/>
          <w:color w:val="auto"/>
          <w:sz w:val="24"/>
          <w:szCs w:val="20"/>
          <w:highlight w:val="none"/>
        </w:rPr>
      </w:pPr>
      <w:r>
        <w:rPr>
          <w:rStyle w:val="19"/>
          <w:rFonts w:hint="default"/>
          <w:color w:val="auto"/>
          <w:sz w:val="24"/>
          <w:szCs w:val="20"/>
          <w:highlight w:val="none"/>
        </w:rPr>
        <w:t>发包人和承包人在履行合同中发生争议的，可以友好协商解决或者提请争议评审组评审。合同当事人友好协商解决不成、不愿提请争议评审或者不接受争议评审组意见的，可在专用合同条款中约定下列一种方式解决。</w:t>
      </w:r>
    </w:p>
    <w:p w14:paraId="5F614231">
      <w:pPr>
        <w:pStyle w:val="31"/>
        <w:pageBreakBefore w:val="0"/>
        <w:widowControl w:val="0"/>
        <w:numPr>
          <w:ilvl w:val="0"/>
          <w:numId w:val="37"/>
        </w:numPr>
        <w:tabs>
          <w:tab w:val="left" w:pos="901"/>
        </w:tabs>
        <w:kinsoku/>
        <w:wordWrap/>
        <w:overflowPunct/>
        <w:topLinePunct w:val="0"/>
        <w:autoSpaceDE/>
        <w:autoSpaceDN/>
        <w:bidi w:val="0"/>
        <w:adjustRightInd/>
        <w:snapToGrid/>
        <w:spacing w:beforeLines="0" w:afterLines="0" w:line="440" w:lineRule="exact"/>
        <w:ind w:firstLine="420"/>
        <w:jc w:val="both"/>
        <w:textAlignment w:val="auto"/>
        <w:rPr>
          <w:rStyle w:val="19"/>
          <w:rFonts w:hint="default"/>
          <w:color w:val="auto"/>
          <w:sz w:val="24"/>
          <w:szCs w:val="20"/>
          <w:highlight w:val="none"/>
        </w:rPr>
      </w:pPr>
      <w:bookmarkStart w:id="1346" w:name="bookmark1564"/>
      <w:bookmarkEnd w:id="1346"/>
      <w:r>
        <w:rPr>
          <w:rStyle w:val="19"/>
          <w:rFonts w:hint="default"/>
          <w:color w:val="auto"/>
          <w:sz w:val="24"/>
          <w:szCs w:val="20"/>
          <w:highlight w:val="none"/>
        </w:rPr>
        <w:t>向约定的仲裁委员会申请仲裁；</w:t>
      </w:r>
    </w:p>
    <w:p w14:paraId="59D07A99">
      <w:pPr>
        <w:pStyle w:val="31"/>
        <w:pageBreakBefore w:val="0"/>
        <w:widowControl w:val="0"/>
        <w:numPr>
          <w:ilvl w:val="0"/>
          <w:numId w:val="37"/>
        </w:numPr>
        <w:tabs>
          <w:tab w:val="left" w:pos="901"/>
        </w:tabs>
        <w:kinsoku/>
        <w:wordWrap/>
        <w:overflowPunct/>
        <w:topLinePunct w:val="0"/>
        <w:autoSpaceDE/>
        <w:autoSpaceDN/>
        <w:bidi w:val="0"/>
        <w:adjustRightInd/>
        <w:snapToGrid/>
        <w:spacing w:beforeLines="0" w:afterLines="0" w:line="440" w:lineRule="exact"/>
        <w:ind w:firstLine="420"/>
        <w:jc w:val="both"/>
        <w:textAlignment w:val="auto"/>
        <w:rPr>
          <w:rStyle w:val="19"/>
          <w:rFonts w:hint="default"/>
          <w:color w:val="auto"/>
          <w:sz w:val="24"/>
          <w:szCs w:val="20"/>
          <w:highlight w:val="none"/>
        </w:rPr>
      </w:pPr>
      <w:bookmarkStart w:id="1347" w:name="bookmark1565"/>
      <w:bookmarkEnd w:id="1347"/>
      <w:r>
        <w:rPr>
          <w:rStyle w:val="19"/>
          <w:rFonts w:hint="default"/>
          <w:color w:val="auto"/>
          <w:sz w:val="24"/>
          <w:szCs w:val="20"/>
          <w:highlight w:val="none"/>
        </w:rPr>
        <w:t>向有管辖权的人民法院提起诉讼。</w:t>
      </w:r>
    </w:p>
    <w:p w14:paraId="0EFB6016">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1348" w:name="_Toc256000173"/>
      <w:bookmarkStart w:id="1349" w:name="bookmark1567"/>
      <w:bookmarkStart w:id="1350" w:name="bookmark1568"/>
      <w:bookmarkStart w:id="1351" w:name="bookmark1566"/>
      <w:bookmarkStart w:id="1352" w:name="_Toc13288"/>
      <w:bookmarkStart w:id="1353" w:name="_Toc13255"/>
      <w:r>
        <w:rPr>
          <w:rStyle w:val="19"/>
          <w:rFonts w:hint="default" w:ascii="宋体" w:hAnsi="宋体" w:eastAsia="宋体"/>
          <w:color w:val="auto"/>
          <w:sz w:val="24"/>
          <w:szCs w:val="20"/>
          <w:highlight w:val="none"/>
          <w:lang w:eastAsia="zh-CN"/>
        </w:rPr>
        <w:t>24.2友好解决</w:t>
      </w:r>
      <w:bookmarkEnd w:id="1348"/>
      <w:bookmarkEnd w:id="1349"/>
      <w:bookmarkEnd w:id="1350"/>
      <w:bookmarkEnd w:id="1351"/>
      <w:bookmarkEnd w:id="1352"/>
      <w:bookmarkEnd w:id="1353"/>
    </w:p>
    <w:p w14:paraId="66258A9C">
      <w:pPr>
        <w:pStyle w:val="31"/>
        <w:pageBreakBefore w:val="0"/>
        <w:widowControl w:val="0"/>
        <w:kinsoku/>
        <w:wordWrap/>
        <w:overflowPunct/>
        <w:topLinePunct w:val="0"/>
        <w:autoSpaceDE/>
        <w:autoSpaceDN/>
        <w:bidi w:val="0"/>
        <w:adjustRightInd/>
        <w:snapToGrid/>
        <w:spacing w:beforeLines="0" w:after="140" w:afterLines="0" w:line="440" w:lineRule="exact"/>
        <w:ind w:firstLine="440"/>
        <w:jc w:val="both"/>
        <w:textAlignment w:val="auto"/>
        <w:rPr>
          <w:rStyle w:val="19"/>
          <w:rFonts w:hint="default"/>
          <w:color w:val="auto"/>
          <w:sz w:val="24"/>
          <w:szCs w:val="20"/>
          <w:highlight w:val="none"/>
        </w:rPr>
      </w:pPr>
      <w:r>
        <w:rPr>
          <w:rStyle w:val="19"/>
          <w:rFonts w:hint="default"/>
          <w:color w:val="auto"/>
          <w:sz w:val="24"/>
          <w:szCs w:val="20"/>
          <w:highlight w:val="none"/>
        </w:rPr>
        <w:t>在提请争议评审、仲裁或者诉讼前，以及在争议评审、仲裁或诉讼过程中，发包人和承包人均可共同努力友好协商解决争议。</w:t>
      </w:r>
    </w:p>
    <w:p w14:paraId="4A43C6F0">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1354" w:name="_Toc22991"/>
      <w:bookmarkStart w:id="1355" w:name="_Toc256000174"/>
      <w:bookmarkStart w:id="1356" w:name="_Toc12305"/>
      <w:bookmarkStart w:id="1357" w:name="bookmark1570"/>
      <w:bookmarkStart w:id="1358" w:name="bookmark1571"/>
      <w:bookmarkStart w:id="1359" w:name="bookmark1569"/>
      <w:r>
        <w:rPr>
          <w:rStyle w:val="19"/>
          <w:rFonts w:hint="default" w:ascii="宋体" w:hAnsi="宋体" w:eastAsia="宋体"/>
          <w:color w:val="auto"/>
          <w:sz w:val="24"/>
          <w:szCs w:val="20"/>
          <w:highlight w:val="none"/>
          <w:lang w:eastAsia="zh-CN"/>
        </w:rPr>
        <w:t>24.3争议评审</w:t>
      </w:r>
      <w:bookmarkEnd w:id="1354"/>
      <w:bookmarkEnd w:id="1355"/>
      <w:bookmarkEnd w:id="1356"/>
      <w:bookmarkEnd w:id="1357"/>
      <w:bookmarkEnd w:id="1358"/>
      <w:bookmarkEnd w:id="1359"/>
    </w:p>
    <w:p w14:paraId="1679D80F">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24.3.1</w:t>
      </w:r>
      <w:r>
        <w:rPr>
          <w:rStyle w:val="19"/>
          <w:rFonts w:hint="default"/>
          <w:color w:val="auto"/>
          <w:sz w:val="24"/>
          <w:szCs w:val="20"/>
          <w:highlight w:val="none"/>
        </w:rPr>
        <w:t>采用争议评审的，发包人和承包人应在开工日后的</w:t>
      </w:r>
      <w:r>
        <w:rPr>
          <w:rStyle w:val="19"/>
          <w:rFonts w:hint="eastAsia" w:ascii="Times New Roman" w:hAnsi="Times New Roman" w:eastAsia="Times New Roman" w:cs="Times New Roman"/>
          <w:color w:val="auto"/>
          <w:sz w:val="24"/>
          <w:szCs w:val="24"/>
          <w:highlight w:val="none"/>
        </w:rPr>
        <w:t>28</w:t>
      </w:r>
      <w:r>
        <w:rPr>
          <w:rStyle w:val="19"/>
          <w:rFonts w:hint="default"/>
          <w:color w:val="auto"/>
          <w:sz w:val="24"/>
          <w:szCs w:val="20"/>
          <w:highlight w:val="none"/>
        </w:rPr>
        <w:t>天内或在争议发生后, 协商成立争议评审组。争议评审组由有合同管理和工程实践经验的专家组成。</w:t>
      </w:r>
    </w:p>
    <w:p w14:paraId="193FE405">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24.3.2</w:t>
      </w:r>
      <w:r>
        <w:rPr>
          <w:rStyle w:val="19"/>
          <w:rFonts w:hint="default"/>
          <w:color w:val="auto"/>
          <w:sz w:val="24"/>
          <w:szCs w:val="20"/>
          <w:highlight w:val="none"/>
        </w:rPr>
        <w:t>合同双方的争议，应首先由申请人向争议评审组提交一份详细的评审申请报告，并附必要的文件、图纸和证明材料，申请人还应将上述报告的副本同时提交给被申请人和监理人。</w:t>
      </w:r>
    </w:p>
    <w:p w14:paraId="26CAB42A">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24.3.3</w:t>
      </w:r>
      <w:r>
        <w:rPr>
          <w:rStyle w:val="19"/>
          <w:rFonts w:hint="default"/>
          <w:color w:val="auto"/>
          <w:sz w:val="24"/>
          <w:szCs w:val="20"/>
          <w:highlight w:val="none"/>
        </w:rPr>
        <w:t>被申请人在收到申请人评审申请报告副本后的</w:t>
      </w:r>
      <w:r>
        <w:rPr>
          <w:rStyle w:val="19"/>
          <w:rFonts w:hint="eastAsia" w:ascii="Times New Roman" w:hAnsi="Times New Roman" w:eastAsia="Times New Roman" w:cs="Times New Roman"/>
          <w:color w:val="auto"/>
          <w:sz w:val="24"/>
          <w:szCs w:val="24"/>
          <w:highlight w:val="none"/>
        </w:rPr>
        <w:t>28</w:t>
      </w:r>
      <w:r>
        <w:rPr>
          <w:rStyle w:val="19"/>
          <w:rFonts w:hint="default"/>
          <w:color w:val="auto"/>
          <w:sz w:val="24"/>
          <w:szCs w:val="20"/>
          <w:highlight w:val="none"/>
        </w:rPr>
        <w:t>天内，向争议评审组提交一份答辩报告，并附证明材料。被申请人应将答辩报告的副本同时提交给申请人和监理人。</w:t>
      </w:r>
    </w:p>
    <w:p w14:paraId="230E5EEC">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eastAsia" w:ascii="Times New Roman" w:hAnsi="Times New Roman" w:eastAsia="Times New Roman" w:cs="Times New Roman"/>
          <w:color w:val="auto"/>
          <w:sz w:val="24"/>
          <w:szCs w:val="24"/>
          <w:highlight w:val="none"/>
        </w:rPr>
      </w:pPr>
      <w:r>
        <w:rPr>
          <w:rStyle w:val="19"/>
          <w:rFonts w:hint="eastAsia" w:ascii="Times New Roman" w:hAnsi="Times New Roman" w:eastAsia="Times New Roman" w:cs="Times New Roman"/>
          <w:color w:val="auto"/>
          <w:sz w:val="24"/>
          <w:szCs w:val="24"/>
          <w:highlight w:val="none"/>
          <w:lang w:val="en-US" w:bidi="en-US"/>
        </w:rPr>
        <w:t>24.3.4</w:t>
      </w:r>
      <w:r>
        <w:rPr>
          <w:rStyle w:val="19"/>
          <w:rFonts w:hint="default"/>
          <w:color w:val="auto"/>
          <w:sz w:val="24"/>
          <w:szCs w:val="20"/>
          <w:highlight w:val="none"/>
        </w:rPr>
        <w:t>除专用合同条款另有约定外，争议评审组在收到合同双方报告后的</w:t>
      </w:r>
      <w:r>
        <w:rPr>
          <w:rStyle w:val="19"/>
          <w:rFonts w:hint="eastAsia" w:ascii="Times New Roman" w:hAnsi="Times New Roman" w:eastAsia="Times New Roman" w:cs="Times New Roman"/>
          <w:color w:val="auto"/>
          <w:sz w:val="24"/>
          <w:szCs w:val="24"/>
          <w:highlight w:val="none"/>
        </w:rPr>
        <w:t>14</w:t>
      </w:r>
      <w:r>
        <w:rPr>
          <w:rStyle w:val="19"/>
          <w:rFonts w:hint="default"/>
          <w:color w:val="auto"/>
          <w:sz w:val="24"/>
          <w:szCs w:val="20"/>
          <w:highlight w:val="none"/>
        </w:rPr>
        <w:t>天内， 邀请双方代表和有关人员举行调查会，向双方调查争议细节；必要时争议评审组可要求双方进一步提供补</w:t>
      </w:r>
      <w:r>
        <w:rPr>
          <w:rStyle w:val="19"/>
          <w:rFonts w:hint="default" w:hAnsi="Times New Roman" w:cs="Times New Roman"/>
          <w:color w:val="auto"/>
          <w:sz w:val="24"/>
          <w:szCs w:val="24"/>
          <w:highlight w:val="none"/>
        </w:rPr>
        <w:t>充材料。</w:t>
      </w:r>
    </w:p>
    <w:p w14:paraId="6B1C2002">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bookmarkStart w:id="1360" w:name="bookmark1572"/>
      <w:bookmarkEnd w:id="1360"/>
      <w:r>
        <w:rPr>
          <w:rStyle w:val="19"/>
          <w:rFonts w:hint="eastAsia" w:ascii="Times New Roman" w:hAnsi="Times New Roman" w:eastAsia="Times New Roman" w:cs="Times New Roman"/>
          <w:color w:val="auto"/>
          <w:sz w:val="24"/>
          <w:szCs w:val="24"/>
          <w:highlight w:val="none"/>
        </w:rPr>
        <w:t>24.3.5</w:t>
      </w:r>
      <w:r>
        <w:rPr>
          <w:rStyle w:val="19"/>
          <w:rFonts w:hint="default"/>
          <w:color w:val="auto"/>
          <w:sz w:val="24"/>
          <w:szCs w:val="20"/>
          <w:highlight w:val="none"/>
        </w:rPr>
        <w:t>除专用合同条款另有约定外，在调查会结束后的14天内，争议评审组应在不受任何干扰的情况下进行独立、公正的评审，作出书面评审意见，并说明理由。在争议评审期间，争议双方暂按总监理工程师的确定执行。</w:t>
      </w:r>
    </w:p>
    <w:p w14:paraId="31B552EC">
      <w:pPr>
        <w:pStyle w:val="31"/>
        <w:pageBreakBefore w:val="0"/>
        <w:widowControl w:val="0"/>
        <w:kinsoku/>
        <w:wordWrap/>
        <w:overflowPunct/>
        <w:topLinePunct w:val="0"/>
        <w:autoSpaceDE/>
        <w:autoSpaceDN/>
        <w:bidi w:val="0"/>
        <w:adjustRightInd/>
        <w:snapToGrid/>
        <w:spacing w:beforeLines="0" w:afterLines="0" w:line="440" w:lineRule="exact"/>
        <w:ind w:firstLine="44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24.3.6</w:t>
      </w:r>
      <w:r>
        <w:rPr>
          <w:rStyle w:val="19"/>
          <w:rFonts w:hint="default"/>
          <w:color w:val="auto"/>
          <w:sz w:val="24"/>
          <w:szCs w:val="20"/>
          <w:highlight w:val="none"/>
        </w:rPr>
        <w:t>发包人和承包人接受评审意见的，由监理人根据评审意见拟定执行协议，经争议双方签字后作为合同的补充文件，并遵照执行。</w:t>
      </w:r>
    </w:p>
    <w:p w14:paraId="36F6D881">
      <w:pPr>
        <w:pStyle w:val="31"/>
        <w:pageBreakBefore w:val="0"/>
        <w:widowControl w:val="0"/>
        <w:kinsoku/>
        <w:wordWrap/>
        <w:overflowPunct/>
        <w:topLinePunct w:val="0"/>
        <w:autoSpaceDE/>
        <w:autoSpaceDN/>
        <w:bidi w:val="0"/>
        <w:adjustRightInd/>
        <w:snapToGrid/>
        <w:spacing w:beforeLines="0" w:after="140" w:afterLines="0" w:line="440" w:lineRule="exact"/>
        <w:ind w:firstLine="44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24.3.7</w:t>
      </w:r>
      <w:r>
        <w:rPr>
          <w:rStyle w:val="19"/>
          <w:rFonts w:hint="default"/>
          <w:color w:val="auto"/>
          <w:sz w:val="24"/>
          <w:szCs w:val="20"/>
          <w:highlight w:val="none"/>
        </w:rPr>
        <w:t>发包人或承包人不接受评审意见，并要求提交仲裁或提起诉讼的，应在收到评审意见后的</w:t>
      </w:r>
      <w:r>
        <w:rPr>
          <w:rStyle w:val="19"/>
          <w:rFonts w:hint="eastAsia" w:ascii="Times New Roman" w:hAnsi="Times New Roman" w:eastAsia="Times New Roman" w:cs="Times New Roman"/>
          <w:color w:val="auto"/>
          <w:sz w:val="24"/>
          <w:szCs w:val="24"/>
          <w:highlight w:val="none"/>
        </w:rPr>
        <w:t>14</w:t>
      </w:r>
      <w:r>
        <w:rPr>
          <w:rStyle w:val="19"/>
          <w:rFonts w:hint="default"/>
          <w:color w:val="auto"/>
          <w:sz w:val="24"/>
          <w:szCs w:val="20"/>
          <w:highlight w:val="none"/>
        </w:rPr>
        <w:t>天内将仲裁或起诉意向书面通知另一方，并抄送监理人，但在仲裁或诉讼结束前应暂按总监理工程师的确定执行。</w:t>
      </w:r>
    </w:p>
    <w:p w14:paraId="40A06008">
      <w:pPr>
        <w:pStyle w:val="30"/>
        <w:pageBreakBefore w:val="0"/>
        <w:widowControl w:val="0"/>
        <w:kinsoku/>
        <w:wordWrap/>
        <w:overflowPunct/>
        <w:topLinePunct w:val="0"/>
        <w:autoSpaceDE/>
        <w:autoSpaceDN/>
        <w:bidi w:val="0"/>
        <w:adjustRightInd/>
        <w:snapToGrid/>
        <w:spacing w:beforeLines="0" w:afterLines="0" w:line="440" w:lineRule="exact"/>
        <w:textAlignment w:val="auto"/>
        <w:rPr>
          <w:rStyle w:val="19"/>
          <w:rFonts w:hint="default" w:ascii="宋体" w:hAnsi="宋体" w:eastAsia="宋体"/>
          <w:color w:val="auto"/>
          <w:sz w:val="24"/>
          <w:szCs w:val="20"/>
          <w:highlight w:val="none"/>
          <w:lang w:eastAsia="zh-CN"/>
        </w:rPr>
      </w:pPr>
      <w:bookmarkStart w:id="1361" w:name="_Toc10843"/>
      <w:bookmarkStart w:id="1362" w:name="_Toc256000175"/>
      <w:bookmarkStart w:id="1363" w:name="bookmark1574"/>
      <w:bookmarkStart w:id="1364" w:name="bookmark1575"/>
      <w:bookmarkStart w:id="1365" w:name="_Toc548"/>
      <w:bookmarkStart w:id="1366" w:name="bookmark1573"/>
      <w:r>
        <w:rPr>
          <w:rStyle w:val="19"/>
          <w:rFonts w:hint="default" w:ascii="宋体" w:hAnsi="宋体" w:eastAsia="宋体"/>
          <w:color w:val="auto"/>
          <w:sz w:val="24"/>
          <w:szCs w:val="20"/>
          <w:highlight w:val="none"/>
          <w:lang w:eastAsia="zh-CN"/>
        </w:rPr>
        <w:t>24.4仲裁</w:t>
      </w:r>
      <w:bookmarkEnd w:id="1361"/>
      <w:bookmarkEnd w:id="1362"/>
      <w:bookmarkEnd w:id="1363"/>
      <w:bookmarkEnd w:id="1364"/>
      <w:bookmarkEnd w:id="1365"/>
      <w:bookmarkEnd w:id="1366"/>
    </w:p>
    <w:p w14:paraId="33C563F3">
      <w:pPr>
        <w:pStyle w:val="31"/>
        <w:pageBreakBefore w:val="0"/>
        <w:widowControl w:val="0"/>
        <w:kinsoku/>
        <w:wordWrap/>
        <w:overflowPunct/>
        <w:topLinePunct w:val="0"/>
        <w:autoSpaceDE/>
        <w:autoSpaceDN/>
        <w:bidi w:val="0"/>
        <w:adjustRightInd/>
        <w:snapToGrid/>
        <w:spacing w:beforeLines="0" w:afterLines="0" w:line="440" w:lineRule="exact"/>
        <w:ind w:firstLine="42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24.4.1</w:t>
      </w:r>
      <w:r>
        <w:rPr>
          <w:rStyle w:val="19"/>
          <w:rFonts w:hint="default"/>
          <w:color w:val="auto"/>
          <w:sz w:val="24"/>
          <w:szCs w:val="20"/>
          <w:highlight w:val="none"/>
        </w:rPr>
        <w:t>若合同双方商定直接向仲裁机构申请仲裁，应签订仲裁协议并约定仲裁机构。</w:t>
      </w:r>
    </w:p>
    <w:p w14:paraId="6FB18562">
      <w:pPr>
        <w:pStyle w:val="31"/>
        <w:pageBreakBefore w:val="0"/>
        <w:widowControl w:val="0"/>
        <w:kinsoku/>
        <w:wordWrap/>
        <w:overflowPunct/>
        <w:topLinePunct w:val="0"/>
        <w:autoSpaceDE/>
        <w:autoSpaceDN/>
        <w:bidi w:val="0"/>
        <w:adjustRightInd/>
        <w:snapToGrid/>
        <w:spacing w:beforeLines="0" w:after="140" w:afterLines="0" w:line="440" w:lineRule="exact"/>
        <w:ind w:firstLine="440"/>
        <w:jc w:val="both"/>
        <w:textAlignment w:val="auto"/>
        <w:rPr>
          <w:rStyle w:val="19"/>
          <w:rFonts w:hint="default"/>
          <w:color w:val="auto"/>
          <w:sz w:val="24"/>
          <w:szCs w:val="20"/>
          <w:highlight w:val="none"/>
        </w:rPr>
      </w:pPr>
      <w:r>
        <w:rPr>
          <w:rStyle w:val="19"/>
          <w:rFonts w:hint="eastAsia" w:ascii="Times New Roman" w:hAnsi="Times New Roman" w:eastAsia="Times New Roman" w:cs="Times New Roman"/>
          <w:color w:val="auto"/>
          <w:sz w:val="24"/>
          <w:szCs w:val="24"/>
          <w:highlight w:val="none"/>
          <w:lang w:val="en-US" w:bidi="en-US"/>
        </w:rPr>
        <w:t>24.4.2</w:t>
      </w:r>
      <w:r>
        <w:rPr>
          <w:rStyle w:val="19"/>
          <w:rFonts w:hint="default"/>
          <w:color w:val="auto"/>
          <w:sz w:val="24"/>
          <w:szCs w:val="20"/>
          <w:highlight w:val="none"/>
        </w:rPr>
        <w:t>若合同双方未能达成仲裁协议，则本合同的仲裁条款无效，任一方均有权向人民法院提起诉讼。</w:t>
      </w:r>
    </w:p>
    <w:p w14:paraId="1337ADEF">
      <w:pPr>
        <w:pStyle w:val="27"/>
        <w:spacing w:beforeLines="0" w:afterLines="0"/>
        <w:rPr>
          <w:rStyle w:val="19"/>
          <w:rFonts w:hint="eastAsia" w:ascii="Times New Roman" w:hAnsi="Times New Roman" w:eastAsia="Times New Roman"/>
          <w:color w:val="auto"/>
          <w:sz w:val="32"/>
          <w:szCs w:val="21"/>
          <w:highlight w:val="none"/>
          <w:lang w:eastAsia="zh-CN"/>
        </w:rPr>
      </w:pPr>
      <w:bookmarkStart w:id="1367" w:name="_Toc1972"/>
      <w:bookmarkStart w:id="1368" w:name="bookmark1578"/>
      <w:bookmarkStart w:id="1369" w:name="bookmark1576"/>
      <w:bookmarkStart w:id="1370" w:name="bookmark1577"/>
      <w:bookmarkStart w:id="1371" w:name="_Toc27368"/>
      <w:bookmarkStart w:id="1372" w:name="_Toc14907"/>
      <w:r>
        <w:rPr>
          <w:rStyle w:val="19"/>
          <w:rFonts w:hint="eastAsia" w:ascii="Times New Roman" w:hAnsi="Times New Roman" w:eastAsia="Times New Roman"/>
          <w:color w:val="auto"/>
          <w:sz w:val="32"/>
          <w:szCs w:val="21"/>
          <w:highlight w:val="none"/>
          <w:lang w:eastAsia="zh-CN"/>
        </w:rPr>
        <w:br w:type="page"/>
      </w:r>
      <w:bookmarkStart w:id="1373" w:name="_Toc256000176"/>
      <w:r>
        <w:rPr>
          <w:rStyle w:val="19"/>
          <w:rFonts w:hint="default"/>
          <w:color w:val="auto"/>
          <w:sz w:val="32"/>
          <w:szCs w:val="21"/>
          <w:highlight w:val="none"/>
          <w:lang w:eastAsia="zh-CN"/>
        </w:rPr>
        <w:t>第二节 专用合同条款</w:t>
      </w:r>
      <w:bookmarkEnd w:id="1367"/>
      <w:bookmarkEnd w:id="1368"/>
      <w:bookmarkEnd w:id="1369"/>
      <w:bookmarkEnd w:id="1370"/>
      <w:bookmarkEnd w:id="1371"/>
      <w:bookmarkEnd w:id="1372"/>
      <w:bookmarkEnd w:id="1373"/>
    </w:p>
    <w:p w14:paraId="6B646C08">
      <w:pPr>
        <w:pStyle w:val="2"/>
        <w:rPr>
          <w:rFonts w:hint="default"/>
          <w:color w:val="auto"/>
          <w:sz w:val="28"/>
          <w:szCs w:val="32"/>
          <w:highlight w:val="none"/>
        </w:rPr>
      </w:pPr>
      <w:bookmarkStart w:id="1374" w:name="bookmark1581"/>
      <w:bookmarkEnd w:id="1374"/>
      <w:bookmarkStart w:id="1375" w:name="_Toc30818"/>
      <w:bookmarkStart w:id="1376" w:name="bookmark1582"/>
      <w:bookmarkStart w:id="1377" w:name="bookmark1580"/>
      <w:bookmarkStart w:id="1378" w:name="bookmark1579"/>
      <w:bookmarkStart w:id="1379" w:name="_Toc21852"/>
      <w:bookmarkStart w:id="1380" w:name="_Toc14710438"/>
      <w:bookmarkStart w:id="1381" w:name="_Toc10268"/>
      <w:bookmarkStart w:id="1382" w:name="_Toc14930"/>
      <w:bookmarkStart w:id="1383" w:name="bookmark1891"/>
      <w:bookmarkStart w:id="1384" w:name="bookmark1892"/>
      <w:bookmarkStart w:id="1385" w:name="_Toc15420"/>
      <w:bookmarkStart w:id="1386" w:name="bookmark1893"/>
      <w:r>
        <w:rPr>
          <w:rFonts w:hint="default" w:ascii="宋体"/>
          <w:color w:val="auto"/>
          <w:sz w:val="28"/>
          <w:szCs w:val="32"/>
          <w:highlight w:val="none"/>
        </w:rPr>
        <w:t>1. 一般约定</w:t>
      </w:r>
      <w:bookmarkEnd w:id="1375"/>
      <w:bookmarkEnd w:id="1376"/>
      <w:bookmarkEnd w:id="1377"/>
      <w:bookmarkEnd w:id="1378"/>
      <w:bookmarkEnd w:id="1379"/>
      <w:bookmarkEnd w:id="1380"/>
    </w:p>
    <w:p w14:paraId="4EEC9023">
      <w:pPr>
        <w:keepNext w:val="0"/>
        <w:pageBreakBefore w:val="0"/>
        <w:wordWrap/>
        <w:topLinePunct w:val="0"/>
        <w:autoSpaceDE/>
        <w:autoSpaceDN/>
        <w:bidi w:val="0"/>
        <w:adjustRightInd/>
        <w:spacing w:line="440" w:lineRule="exact"/>
        <w:textAlignment w:val="auto"/>
        <w:rPr>
          <w:rFonts w:hint="eastAsia"/>
          <w:b/>
          <w:color w:val="auto"/>
          <w:sz w:val="24"/>
          <w:szCs w:val="24"/>
          <w:highlight w:val="none"/>
        </w:rPr>
      </w:pPr>
      <w:bookmarkStart w:id="1387" w:name="bookmark1584"/>
      <w:bookmarkStart w:id="1388" w:name="bookmark1583"/>
      <w:bookmarkStart w:id="1389" w:name="bookmark1585"/>
      <w:r>
        <w:rPr>
          <w:rFonts w:hint="eastAsia"/>
          <w:b/>
          <w:color w:val="auto"/>
          <w:sz w:val="24"/>
          <w:szCs w:val="24"/>
          <w:highlight w:val="none"/>
        </w:rPr>
        <w:t>1.1</w:t>
      </w:r>
      <w:r>
        <w:rPr>
          <w:rFonts w:hint="default" w:ascii="宋体" w:eastAsia="宋体"/>
          <w:b/>
          <w:color w:val="auto"/>
          <w:sz w:val="24"/>
          <w:szCs w:val="24"/>
          <w:highlight w:val="none"/>
        </w:rPr>
        <w:t>词语定义</w:t>
      </w:r>
      <w:bookmarkEnd w:id="1387"/>
      <w:bookmarkEnd w:id="1388"/>
      <w:bookmarkEnd w:id="1389"/>
    </w:p>
    <w:p w14:paraId="278BD08C">
      <w:pPr>
        <w:pStyle w:val="34"/>
        <w:keepNext w:val="0"/>
        <w:pageBreakBefore w:val="0"/>
        <w:wordWrap/>
        <w:topLinePunct w:val="0"/>
        <w:autoSpaceDE/>
        <w:autoSpaceDN/>
        <w:bidi w:val="0"/>
        <w:adjustRightInd/>
        <w:spacing w:after="100" w:line="440" w:lineRule="exact"/>
        <w:ind w:firstLine="440"/>
        <w:textAlignment w:val="auto"/>
        <w:rPr>
          <w:rFonts w:hint="default"/>
          <w:color w:val="auto"/>
          <w:sz w:val="24"/>
          <w:szCs w:val="24"/>
          <w:highlight w:val="none"/>
        </w:rPr>
      </w:pPr>
      <w:r>
        <w:rPr>
          <w:rFonts w:hint="eastAsia" w:ascii="Times New Roman" w:hAnsi="Times New Roman" w:eastAsia="Times New Roman" w:cs="Times New Roman"/>
          <w:color w:val="auto"/>
          <w:sz w:val="24"/>
          <w:szCs w:val="24"/>
          <w:highlight w:val="none"/>
          <w:lang w:val="en-US" w:bidi="en-US"/>
        </w:rPr>
        <w:t>1.1.2</w:t>
      </w:r>
      <w:r>
        <w:rPr>
          <w:rFonts w:hint="default"/>
          <w:color w:val="auto"/>
          <w:sz w:val="24"/>
          <w:szCs w:val="24"/>
          <w:highlight w:val="none"/>
        </w:rPr>
        <w:t>合同当事人和人员</w:t>
      </w:r>
    </w:p>
    <w:p w14:paraId="642A5B3F">
      <w:pPr>
        <w:pStyle w:val="35"/>
        <w:keepNext w:val="0"/>
        <w:pageBreakBefore w:val="0"/>
        <w:tabs>
          <w:tab w:val="left" w:pos="4064"/>
        </w:tabs>
        <w:wordWrap/>
        <w:topLinePunct w:val="0"/>
        <w:autoSpaceDE/>
        <w:autoSpaceDN/>
        <w:bidi w:val="0"/>
        <w:adjustRightInd/>
        <w:spacing w:after="100" w:line="440" w:lineRule="exact"/>
        <w:ind w:firstLine="440"/>
        <w:textAlignment w:val="auto"/>
        <w:rPr>
          <w:rFonts w:hint="eastAsia"/>
          <w:color w:val="auto"/>
          <w:sz w:val="24"/>
          <w:szCs w:val="24"/>
          <w:highlight w:val="none"/>
        </w:rPr>
      </w:pPr>
      <w:r>
        <w:rPr>
          <w:rFonts w:hint="eastAsia"/>
          <w:color w:val="auto"/>
          <w:sz w:val="24"/>
          <w:szCs w:val="24"/>
          <w:highlight w:val="none"/>
        </w:rPr>
        <w:t xml:space="preserve">1. 1. 2. </w:t>
      </w:r>
      <w:r>
        <w:rPr>
          <w:rFonts w:hint="eastAsia"/>
          <w:color w:val="auto"/>
          <w:sz w:val="24"/>
          <w:szCs w:val="24"/>
          <w:highlight w:val="none"/>
          <w:lang w:val="zh-CN" w:bidi="zh-CN"/>
        </w:rPr>
        <w:t xml:space="preserve">2 </w:t>
      </w:r>
      <w:r>
        <w:rPr>
          <w:rFonts w:hint="default" w:ascii="宋体" w:hAnsi="宋体" w:eastAsia="宋体" w:cs="宋体"/>
          <w:color w:val="auto"/>
          <w:sz w:val="24"/>
          <w:szCs w:val="24"/>
          <w:highlight w:val="none"/>
          <w:lang w:val="zh-CN" w:bidi="zh-CN"/>
        </w:rPr>
        <w:t>发包人：</w:t>
      </w:r>
      <w:r>
        <w:rPr>
          <w:rFonts w:hint="default" w:ascii="宋体" w:eastAsia="宋体"/>
          <w:color w:val="auto"/>
          <w:sz w:val="24"/>
          <w:szCs w:val="24"/>
          <w:highlight w:val="none"/>
          <w:u w:val="single"/>
        </w:rPr>
        <w:t xml:space="preserve">马山县农业农村局 </w:t>
      </w:r>
      <w:r>
        <w:rPr>
          <w:rFonts w:hint="default" w:ascii="宋体" w:eastAsia="宋体"/>
          <w:color w:val="auto"/>
          <w:sz w:val="24"/>
          <w:szCs w:val="24"/>
          <w:highlight w:val="none"/>
        </w:rPr>
        <w:t>。</w:t>
      </w:r>
    </w:p>
    <w:p w14:paraId="1DEA2FCA">
      <w:pPr>
        <w:pStyle w:val="35"/>
        <w:keepNext w:val="0"/>
        <w:pageBreakBefore w:val="0"/>
        <w:tabs>
          <w:tab w:val="left" w:pos="4066"/>
        </w:tabs>
        <w:wordWrap/>
        <w:topLinePunct w:val="0"/>
        <w:autoSpaceDE/>
        <w:autoSpaceDN/>
        <w:bidi w:val="0"/>
        <w:adjustRightInd/>
        <w:spacing w:after="100" w:line="440" w:lineRule="exact"/>
        <w:ind w:firstLine="440"/>
        <w:textAlignment w:val="auto"/>
        <w:rPr>
          <w:rFonts w:hint="eastAsia"/>
          <w:color w:val="auto"/>
          <w:sz w:val="24"/>
          <w:szCs w:val="24"/>
          <w:highlight w:val="none"/>
        </w:rPr>
      </w:pPr>
      <w:r>
        <w:rPr>
          <w:rFonts w:hint="eastAsia"/>
          <w:color w:val="auto"/>
          <w:sz w:val="24"/>
          <w:szCs w:val="24"/>
          <w:highlight w:val="none"/>
        </w:rPr>
        <w:t xml:space="preserve">1. 1. 2. </w:t>
      </w:r>
      <w:r>
        <w:rPr>
          <w:rFonts w:hint="eastAsia"/>
          <w:color w:val="auto"/>
          <w:sz w:val="24"/>
          <w:szCs w:val="24"/>
          <w:highlight w:val="none"/>
          <w:lang w:val="zh-CN" w:bidi="zh-CN"/>
        </w:rPr>
        <w:t xml:space="preserve">3 </w:t>
      </w:r>
      <w:r>
        <w:rPr>
          <w:rFonts w:hint="default" w:ascii="宋体" w:hAnsi="宋体" w:eastAsia="宋体" w:cs="宋体"/>
          <w:color w:val="auto"/>
          <w:sz w:val="24"/>
          <w:szCs w:val="24"/>
          <w:highlight w:val="none"/>
          <w:lang w:val="zh-CN" w:bidi="zh-CN"/>
        </w:rPr>
        <w:t>承包人：</w:t>
      </w:r>
      <w:r>
        <w:rPr>
          <w:rFonts w:hint="eastAsia"/>
          <w:color w:val="auto"/>
          <w:sz w:val="24"/>
          <w:szCs w:val="24"/>
          <w:highlight w:val="none"/>
          <w:u w:val="single"/>
        </w:rPr>
        <w:tab/>
      </w:r>
      <w:r>
        <w:rPr>
          <w:rFonts w:hint="default" w:ascii="宋体" w:eastAsia="宋体"/>
          <w:color w:val="auto"/>
          <w:sz w:val="24"/>
          <w:szCs w:val="24"/>
          <w:highlight w:val="none"/>
        </w:rPr>
        <w:t>。</w:t>
      </w:r>
    </w:p>
    <w:p w14:paraId="02F7E3BE">
      <w:pPr>
        <w:pStyle w:val="35"/>
        <w:keepNext w:val="0"/>
        <w:pageBreakBefore w:val="0"/>
        <w:tabs>
          <w:tab w:val="left" w:pos="4064"/>
        </w:tabs>
        <w:wordWrap/>
        <w:topLinePunct w:val="0"/>
        <w:autoSpaceDE/>
        <w:autoSpaceDN/>
        <w:bidi w:val="0"/>
        <w:adjustRightInd/>
        <w:spacing w:after="100" w:line="440" w:lineRule="exact"/>
        <w:ind w:firstLine="440"/>
        <w:textAlignment w:val="auto"/>
        <w:rPr>
          <w:rFonts w:hint="eastAsia"/>
          <w:color w:val="auto"/>
          <w:sz w:val="24"/>
          <w:szCs w:val="24"/>
          <w:highlight w:val="none"/>
        </w:rPr>
      </w:pPr>
      <w:r>
        <w:rPr>
          <w:rFonts w:hint="eastAsia"/>
          <w:color w:val="auto"/>
          <w:sz w:val="24"/>
          <w:szCs w:val="24"/>
          <w:highlight w:val="none"/>
        </w:rPr>
        <w:t xml:space="preserve">1. 1. 2. </w:t>
      </w:r>
      <w:r>
        <w:rPr>
          <w:rFonts w:hint="eastAsia"/>
          <w:color w:val="auto"/>
          <w:sz w:val="24"/>
          <w:szCs w:val="24"/>
          <w:highlight w:val="none"/>
          <w:lang w:val="zh-CN" w:bidi="zh-CN"/>
        </w:rPr>
        <w:t xml:space="preserve">5 </w:t>
      </w:r>
      <w:r>
        <w:rPr>
          <w:rFonts w:hint="default" w:ascii="宋体" w:hAnsi="宋体" w:eastAsia="宋体" w:cs="宋体"/>
          <w:color w:val="auto"/>
          <w:sz w:val="24"/>
          <w:szCs w:val="24"/>
          <w:highlight w:val="none"/>
          <w:lang w:val="zh-CN" w:bidi="zh-CN"/>
        </w:rPr>
        <w:t>分包人:</w:t>
      </w:r>
      <w:r>
        <w:rPr>
          <w:rFonts w:hint="default" w:ascii="宋体" w:hAnsi="宋体" w:eastAsia="宋体" w:cs="宋体"/>
          <w:color w:val="auto"/>
          <w:sz w:val="24"/>
          <w:szCs w:val="24"/>
          <w:highlight w:val="none"/>
          <w:u w:val="single"/>
          <w:lang w:bidi="zh-CN"/>
        </w:rPr>
        <w:t xml:space="preserve"> </w:t>
      </w:r>
      <w:r>
        <w:rPr>
          <w:rFonts w:hint="default" w:ascii="宋体" w:hAnsi="宋体" w:eastAsia="宋体" w:cs="宋体"/>
          <w:color w:val="auto"/>
          <w:sz w:val="24"/>
          <w:szCs w:val="24"/>
          <w:highlight w:val="none"/>
          <w:u w:val="single"/>
          <w:lang w:val="zh-CN" w:bidi="zh-CN"/>
        </w:rPr>
        <w:t>无</w:t>
      </w:r>
      <w:r>
        <w:rPr>
          <w:rFonts w:hint="default" w:ascii="宋体" w:hAnsi="宋体" w:eastAsia="宋体" w:cs="宋体"/>
          <w:color w:val="auto"/>
          <w:sz w:val="24"/>
          <w:szCs w:val="24"/>
          <w:highlight w:val="none"/>
          <w:u w:val="single"/>
          <w:lang w:bidi="zh-CN"/>
        </w:rPr>
        <w:t xml:space="preserve"> </w:t>
      </w:r>
      <w:r>
        <w:rPr>
          <w:rFonts w:hint="default" w:ascii="宋体" w:eastAsia="宋体"/>
          <w:color w:val="auto"/>
          <w:sz w:val="24"/>
          <w:szCs w:val="24"/>
          <w:highlight w:val="none"/>
        </w:rPr>
        <w:t>。</w:t>
      </w:r>
    </w:p>
    <w:p w14:paraId="45051F04">
      <w:pPr>
        <w:pStyle w:val="35"/>
        <w:keepNext w:val="0"/>
        <w:pageBreakBefore w:val="0"/>
        <w:tabs>
          <w:tab w:val="left" w:pos="4064"/>
        </w:tabs>
        <w:wordWrap/>
        <w:topLinePunct w:val="0"/>
        <w:autoSpaceDE/>
        <w:autoSpaceDN/>
        <w:bidi w:val="0"/>
        <w:adjustRightInd/>
        <w:spacing w:after="100" w:line="440" w:lineRule="exact"/>
        <w:ind w:firstLine="440"/>
        <w:textAlignment w:val="auto"/>
        <w:rPr>
          <w:rFonts w:hint="eastAsia"/>
          <w:color w:val="auto"/>
          <w:sz w:val="24"/>
          <w:szCs w:val="24"/>
          <w:highlight w:val="none"/>
        </w:rPr>
      </w:pPr>
      <w:r>
        <w:rPr>
          <w:rFonts w:hint="eastAsia"/>
          <w:color w:val="auto"/>
          <w:sz w:val="24"/>
          <w:szCs w:val="24"/>
          <w:highlight w:val="none"/>
        </w:rPr>
        <w:t xml:space="preserve">1. 1.2.6 </w:t>
      </w:r>
      <w:r>
        <w:rPr>
          <w:rFonts w:hint="default" w:ascii="宋体" w:hAnsi="宋体" w:eastAsia="宋体" w:cs="宋体"/>
          <w:color w:val="auto"/>
          <w:sz w:val="24"/>
          <w:szCs w:val="24"/>
          <w:highlight w:val="none"/>
          <w:lang w:val="zh-CN" w:bidi="zh-CN"/>
        </w:rPr>
        <w:t>监理人：</w:t>
      </w:r>
      <w:r>
        <w:rPr>
          <w:rFonts w:hint="eastAsia"/>
          <w:color w:val="auto"/>
          <w:sz w:val="24"/>
          <w:szCs w:val="24"/>
          <w:highlight w:val="none"/>
          <w:u w:val="single"/>
        </w:rPr>
        <w:tab/>
      </w:r>
      <w:r>
        <w:rPr>
          <w:rFonts w:hint="default" w:ascii="宋体" w:eastAsia="宋体"/>
          <w:color w:val="auto"/>
          <w:sz w:val="24"/>
          <w:szCs w:val="24"/>
          <w:highlight w:val="none"/>
        </w:rPr>
        <w:t>。</w:t>
      </w:r>
    </w:p>
    <w:p w14:paraId="66DC38D3">
      <w:pPr>
        <w:pStyle w:val="35"/>
        <w:keepNext w:val="0"/>
        <w:pageBreakBefore w:val="0"/>
        <w:tabs>
          <w:tab w:val="left" w:pos="3649"/>
        </w:tabs>
        <w:wordWrap/>
        <w:topLinePunct w:val="0"/>
        <w:autoSpaceDE/>
        <w:autoSpaceDN/>
        <w:bidi w:val="0"/>
        <w:adjustRightInd/>
        <w:spacing w:after="100" w:line="440" w:lineRule="exact"/>
        <w:ind w:firstLine="440"/>
        <w:textAlignment w:val="auto"/>
        <w:rPr>
          <w:rFonts w:hint="eastAsia"/>
          <w:color w:val="auto"/>
          <w:sz w:val="24"/>
          <w:szCs w:val="24"/>
          <w:highlight w:val="none"/>
        </w:rPr>
      </w:pPr>
      <w:r>
        <w:rPr>
          <w:rFonts w:hint="eastAsia"/>
          <w:color w:val="auto"/>
          <w:sz w:val="24"/>
          <w:szCs w:val="24"/>
          <w:highlight w:val="none"/>
        </w:rPr>
        <w:t xml:space="preserve">1.1.4 </w:t>
      </w:r>
      <w:r>
        <w:rPr>
          <w:rFonts w:hint="default" w:ascii="宋体" w:hAnsi="宋体" w:eastAsia="宋体" w:cs="宋体"/>
          <w:color w:val="auto"/>
          <w:sz w:val="24"/>
          <w:szCs w:val="24"/>
          <w:highlight w:val="none"/>
          <w:lang w:val="zh-CN" w:bidi="zh-CN"/>
        </w:rPr>
        <w:t>日期：</w:t>
      </w:r>
      <w:r>
        <w:rPr>
          <w:rFonts w:hint="default" w:ascii="宋体" w:hAnsi="宋体" w:eastAsia="宋体" w:cs="宋体"/>
          <w:color w:val="auto"/>
          <w:sz w:val="24"/>
          <w:szCs w:val="24"/>
          <w:highlight w:val="none"/>
          <w:u w:val="single"/>
          <w:lang w:val="zh-CN" w:bidi="zh-CN"/>
        </w:rPr>
        <w:t xml:space="preserve">   日历天  </w:t>
      </w:r>
      <w:r>
        <w:rPr>
          <w:rFonts w:hint="default" w:ascii="宋体" w:eastAsia="宋体"/>
          <w:color w:val="auto"/>
          <w:sz w:val="24"/>
          <w:szCs w:val="24"/>
          <w:highlight w:val="none"/>
        </w:rPr>
        <w:t>。</w:t>
      </w:r>
    </w:p>
    <w:p w14:paraId="21A10AE1">
      <w:pPr>
        <w:pStyle w:val="34"/>
        <w:keepNext w:val="0"/>
        <w:pageBreakBefore w:val="0"/>
        <w:tabs>
          <w:tab w:val="left" w:pos="6303"/>
        </w:tabs>
        <w:wordWrap/>
        <w:topLinePunct w:val="0"/>
        <w:autoSpaceDE/>
        <w:autoSpaceDN/>
        <w:bidi w:val="0"/>
        <w:adjustRightInd/>
        <w:spacing w:after="240" w:line="440" w:lineRule="exact"/>
        <w:ind w:firstLine="440"/>
        <w:textAlignment w:val="auto"/>
        <w:rPr>
          <w:rFonts w:hint="default"/>
          <w:color w:val="auto"/>
          <w:sz w:val="24"/>
          <w:szCs w:val="24"/>
          <w:highlight w:val="none"/>
        </w:rPr>
      </w:pPr>
      <w:r>
        <w:rPr>
          <w:rFonts w:hint="eastAsia" w:ascii="Times New Roman" w:hAnsi="Times New Roman" w:eastAsia="Times New Roman" w:cs="Times New Roman"/>
          <w:color w:val="auto"/>
          <w:sz w:val="24"/>
          <w:szCs w:val="24"/>
          <w:highlight w:val="none"/>
          <w:lang w:val="en-US" w:bidi="en-US"/>
        </w:rPr>
        <w:t xml:space="preserve">1. 1.4. </w:t>
      </w:r>
      <w:r>
        <w:rPr>
          <w:rFonts w:hint="eastAsia" w:ascii="Times New Roman" w:hAnsi="Times New Roman" w:eastAsia="Times New Roman" w:cs="Times New Roman"/>
          <w:color w:val="auto"/>
          <w:sz w:val="24"/>
          <w:szCs w:val="24"/>
          <w:highlight w:val="none"/>
        </w:rPr>
        <w:t>5</w:t>
      </w:r>
      <w:r>
        <w:rPr>
          <w:rFonts w:hint="default"/>
          <w:color w:val="auto"/>
          <w:sz w:val="24"/>
          <w:szCs w:val="24"/>
          <w:highlight w:val="none"/>
        </w:rPr>
        <w:t>缺陷责任期:</w:t>
      </w:r>
      <w:r>
        <w:rPr>
          <w:rFonts w:hint="default"/>
          <w:color w:val="auto"/>
          <w:sz w:val="24"/>
          <w:szCs w:val="24"/>
          <w:highlight w:val="none"/>
          <w:u w:val="single"/>
        </w:rPr>
        <w:t>工程竣工验收合格之日起计算</w:t>
      </w:r>
      <w:r>
        <w:rPr>
          <w:rStyle w:val="19"/>
          <w:rFonts w:hint="default"/>
          <w:color w:val="auto"/>
          <w:spacing w:val="-10"/>
          <w:sz w:val="24"/>
          <w:szCs w:val="20"/>
          <w:highlight w:val="none"/>
          <w:u w:val="single"/>
          <w:lang w:val="en-US"/>
        </w:rPr>
        <w:t>24</w:t>
      </w:r>
      <w:r>
        <w:rPr>
          <w:rStyle w:val="19"/>
          <w:rFonts w:hint="default"/>
          <w:color w:val="auto"/>
          <w:spacing w:val="-10"/>
          <w:sz w:val="24"/>
          <w:szCs w:val="20"/>
          <w:highlight w:val="none"/>
          <w:u w:val="single"/>
        </w:rPr>
        <w:t xml:space="preserve">个月 </w:t>
      </w:r>
      <w:r>
        <w:rPr>
          <w:rFonts w:hint="default" w:hAnsi="Times New Roman" w:cs="Times New Roman"/>
          <w:color w:val="auto"/>
          <w:sz w:val="24"/>
          <w:szCs w:val="24"/>
          <w:highlight w:val="none"/>
          <w:lang w:val="en-US" w:bidi="en-US"/>
        </w:rPr>
        <w:t>。</w:t>
      </w:r>
    </w:p>
    <w:p w14:paraId="4CB868BD">
      <w:pPr>
        <w:keepNext w:val="0"/>
        <w:pageBreakBefore w:val="0"/>
        <w:wordWrap/>
        <w:topLinePunct w:val="0"/>
        <w:autoSpaceDE/>
        <w:autoSpaceDN/>
        <w:bidi w:val="0"/>
        <w:adjustRightInd/>
        <w:spacing w:line="440" w:lineRule="exact"/>
        <w:textAlignment w:val="auto"/>
        <w:rPr>
          <w:rFonts w:hint="eastAsia"/>
          <w:b/>
          <w:color w:val="auto"/>
          <w:sz w:val="24"/>
          <w:szCs w:val="24"/>
          <w:highlight w:val="none"/>
        </w:rPr>
      </w:pPr>
      <w:r>
        <w:rPr>
          <w:rFonts w:hint="eastAsia"/>
          <w:b/>
          <w:color w:val="auto"/>
          <w:sz w:val="24"/>
          <w:szCs w:val="24"/>
          <w:highlight w:val="none"/>
        </w:rPr>
        <w:t>1.4合同文件的优先顺序</w:t>
      </w:r>
    </w:p>
    <w:p w14:paraId="2F8CC84A">
      <w:pPr>
        <w:pStyle w:val="28"/>
        <w:keepNext w:val="0"/>
        <w:pageBreakBefore w:val="0"/>
        <w:wordWrap/>
        <w:topLinePunct w:val="0"/>
        <w:autoSpaceDE/>
        <w:autoSpaceDN/>
        <w:bidi w:val="0"/>
        <w:adjustRightInd/>
        <w:spacing w:beforeLines="0" w:afterLines="0" w:line="440" w:lineRule="exact"/>
        <w:ind w:firstLine="464"/>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4"/>
          <w:sz w:val="24"/>
          <w:szCs w:val="24"/>
          <w:highlight w:val="none"/>
        </w:rPr>
        <w:t>进入合同的各项文件及其优先顺序如下：</w:t>
      </w:r>
    </w:p>
    <w:p w14:paraId="50827860">
      <w:pPr>
        <w:pStyle w:val="28"/>
        <w:keepNext w:val="0"/>
        <w:pageBreakBefore w:val="0"/>
        <w:wordWrap/>
        <w:topLinePunct w:val="0"/>
        <w:autoSpaceDE/>
        <w:autoSpaceDN/>
        <w:bidi w:val="0"/>
        <w:adjustRightInd/>
        <w:spacing w:beforeLines="0" w:afterLines="0" w:line="440" w:lineRule="exact"/>
        <w:ind w:firstLine="513"/>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1"/>
          <w:sz w:val="24"/>
          <w:szCs w:val="24"/>
          <w:highlight w:val="none"/>
        </w:rPr>
        <w:t>（1）合同协议书(包括补充协议、合同谈判备忘录)；</w:t>
      </w:r>
    </w:p>
    <w:p w14:paraId="2168F2A0">
      <w:pPr>
        <w:pStyle w:val="28"/>
        <w:keepNext w:val="0"/>
        <w:pageBreakBefore w:val="0"/>
        <w:wordWrap/>
        <w:topLinePunct w:val="0"/>
        <w:autoSpaceDE/>
        <w:autoSpaceDN/>
        <w:bidi w:val="0"/>
        <w:adjustRightInd/>
        <w:spacing w:beforeLines="0" w:afterLines="0" w:line="440" w:lineRule="exact"/>
        <w:ind w:firstLine="513"/>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8"/>
          <w:sz w:val="24"/>
          <w:szCs w:val="24"/>
          <w:highlight w:val="none"/>
        </w:rPr>
        <w:t>（2）中标通知书；</w:t>
      </w:r>
    </w:p>
    <w:p w14:paraId="6C684F90">
      <w:pPr>
        <w:pStyle w:val="28"/>
        <w:keepNext w:val="0"/>
        <w:pageBreakBefore w:val="0"/>
        <w:wordWrap/>
        <w:topLinePunct w:val="0"/>
        <w:autoSpaceDE/>
        <w:autoSpaceDN/>
        <w:bidi w:val="0"/>
        <w:adjustRightInd/>
        <w:spacing w:beforeLines="0" w:afterLines="0" w:line="440" w:lineRule="exact"/>
        <w:ind w:firstLine="513"/>
        <w:textAlignment w:val="auto"/>
        <w:rPr>
          <w:rStyle w:val="19"/>
          <w:rFonts w:hint="default" w:ascii="宋体" w:hAnsi="宋体" w:eastAsia="宋体" w:cs="宋体"/>
          <w:color w:val="auto"/>
          <w:spacing w:val="-8"/>
          <w:sz w:val="24"/>
          <w:szCs w:val="24"/>
          <w:highlight w:val="none"/>
        </w:rPr>
      </w:pPr>
      <w:r>
        <w:rPr>
          <w:rStyle w:val="19"/>
          <w:rFonts w:hint="default" w:ascii="宋体" w:hAnsi="宋体" w:eastAsia="宋体" w:cs="宋体"/>
          <w:color w:val="auto"/>
          <w:spacing w:val="-8"/>
          <w:sz w:val="24"/>
          <w:szCs w:val="24"/>
          <w:highlight w:val="none"/>
        </w:rPr>
        <w:t>（3）投标函及投标函附录；</w:t>
      </w:r>
    </w:p>
    <w:p w14:paraId="4E9BE73C">
      <w:pPr>
        <w:pStyle w:val="28"/>
        <w:keepNext w:val="0"/>
        <w:pageBreakBefore w:val="0"/>
        <w:wordWrap/>
        <w:topLinePunct w:val="0"/>
        <w:autoSpaceDE/>
        <w:autoSpaceDN/>
        <w:bidi w:val="0"/>
        <w:adjustRightInd/>
        <w:spacing w:beforeLines="0" w:afterLines="0" w:line="440" w:lineRule="exact"/>
        <w:ind w:firstLine="513"/>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1"/>
          <w:sz w:val="24"/>
          <w:szCs w:val="24"/>
          <w:highlight w:val="none"/>
        </w:rPr>
        <w:t>（4）专用合同条款(含附加条款)；</w:t>
      </w:r>
    </w:p>
    <w:p w14:paraId="34C683F2">
      <w:pPr>
        <w:pStyle w:val="28"/>
        <w:keepNext w:val="0"/>
        <w:pageBreakBefore w:val="0"/>
        <w:wordWrap/>
        <w:topLinePunct w:val="0"/>
        <w:autoSpaceDE/>
        <w:autoSpaceDN/>
        <w:bidi w:val="0"/>
        <w:adjustRightInd/>
        <w:spacing w:beforeLines="0" w:afterLines="0" w:line="440" w:lineRule="exact"/>
        <w:ind w:firstLine="513"/>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7"/>
          <w:sz w:val="24"/>
          <w:szCs w:val="24"/>
          <w:highlight w:val="none"/>
        </w:rPr>
        <w:t>（5）通用合同条款；</w:t>
      </w:r>
    </w:p>
    <w:p w14:paraId="20D57B16">
      <w:pPr>
        <w:pStyle w:val="28"/>
        <w:keepNext w:val="0"/>
        <w:pageBreakBefore w:val="0"/>
        <w:wordWrap/>
        <w:topLinePunct w:val="0"/>
        <w:autoSpaceDE/>
        <w:autoSpaceDN/>
        <w:bidi w:val="0"/>
        <w:adjustRightInd/>
        <w:spacing w:beforeLines="0" w:afterLines="0" w:line="440" w:lineRule="exact"/>
        <w:ind w:firstLine="513"/>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1"/>
          <w:sz w:val="24"/>
          <w:szCs w:val="24"/>
          <w:highlight w:val="none"/>
        </w:rPr>
        <w:t>（6）技术标准和要求(合同技术条款)；</w:t>
      </w:r>
    </w:p>
    <w:p w14:paraId="100817E8">
      <w:pPr>
        <w:pStyle w:val="28"/>
        <w:keepNext w:val="0"/>
        <w:pageBreakBefore w:val="0"/>
        <w:wordWrap/>
        <w:topLinePunct w:val="0"/>
        <w:autoSpaceDE/>
        <w:autoSpaceDN/>
        <w:bidi w:val="0"/>
        <w:adjustRightInd/>
        <w:spacing w:beforeLines="0" w:afterLines="0" w:line="440" w:lineRule="exact"/>
        <w:ind w:firstLine="513"/>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10"/>
          <w:sz w:val="24"/>
          <w:szCs w:val="24"/>
          <w:highlight w:val="none"/>
        </w:rPr>
        <w:t>（7）图纸；</w:t>
      </w:r>
    </w:p>
    <w:p w14:paraId="2F83ADE1">
      <w:pPr>
        <w:pStyle w:val="28"/>
        <w:keepNext w:val="0"/>
        <w:pageBreakBefore w:val="0"/>
        <w:wordWrap/>
        <w:topLinePunct w:val="0"/>
        <w:autoSpaceDE/>
        <w:autoSpaceDN/>
        <w:bidi w:val="0"/>
        <w:adjustRightInd/>
        <w:spacing w:beforeLines="0" w:afterLines="0" w:line="440" w:lineRule="exact"/>
        <w:ind w:firstLine="513"/>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5"/>
          <w:sz w:val="24"/>
          <w:szCs w:val="24"/>
          <w:highlight w:val="none"/>
        </w:rPr>
        <w:t>（8）已标价工程量清单；</w:t>
      </w:r>
    </w:p>
    <w:p w14:paraId="1F81BA19">
      <w:pPr>
        <w:pStyle w:val="28"/>
        <w:keepNext w:val="0"/>
        <w:pageBreakBefore w:val="0"/>
        <w:wordWrap/>
        <w:topLinePunct w:val="0"/>
        <w:autoSpaceDE/>
        <w:autoSpaceDN/>
        <w:bidi w:val="0"/>
        <w:adjustRightInd/>
        <w:spacing w:beforeLines="0" w:afterLines="0" w:line="440" w:lineRule="exact"/>
        <w:ind w:firstLine="513"/>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6"/>
          <w:sz w:val="24"/>
          <w:szCs w:val="24"/>
          <w:highlight w:val="none"/>
        </w:rPr>
        <w:t>（9）投标文件其他内容；</w:t>
      </w:r>
    </w:p>
    <w:p w14:paraId="72A45CCC">
      <w:pPr>
        <w:pStyle w:val="28"/>
        <w:keepNext w:val="0"/>
        <w:pageBreakBefore w:val="0"/>
        <w:wordWrap/>
        <w:topLinePunct w:val="0"/>
        <w:autoSpaceDE/>
        <w:autoSpaceDN/>
        <w:bidi w:val="0"/>
        <w:adjustRightInd/>
        <w:spacing w:beforeLines="0" w:afterLines="0" w:line="440" w:lineRule="exact"/>
        <w:ind w:firstLine="513"/>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5"/>
          <w:sz w:val="24"/>
          <w:szCs w:val="24"/>
          <w:highlight w:val="none"/>
        </w:rPr>
        <w:t>（10）其他合同文件。</w:t>
      </w:r>
    </w:p>
    <w:p w14:paraId="29F9E9DD">
      <w:pPr>
        <w:keepNext w:val="0"/>
        <w:pageBreakBefore w:val="0"/>
        <w:wordWrap/>
        <w:topLinePunct w:val="0"/>
        <w:autoSpaceDE/>
        <w:autoSpaceDN/>
        <w:bidi w:val="0"/>
        <w:adjustRightInd/>
        <w:spacing w:line="440" w:lineRule="exact"/>
        <w:textAlignment w:val="auto"/>
        <w:rPr>
          <w:rFonts w:hint="eastAsia"/>
          <w:b/>
          <w:color w:val="auto"/>
          <w:sz w:val="24"/>
          <w:szCs w:val="24"/>
          <w:highlight w:val="none"/>
        </w:rPr>
      </w:pPr>
      <w:r>
        <w:rPr>
          <w:rFonts w:hint="eastAsia"/>
          <w:b/>
          <w:color w:val="auto"/>
          <w:sz w:val="24"/>
          <w:szCs w:val="24"/>
          <w:highlight w:val="none"/>
        </w:rPr>
        <w:t>1.7联络</w:t>
      </w:r>
    </w:p>
    <w:p w14:paraId="2A7438E3">
      <w:pPr>
        <w:pStyle w:val="28"/>
        <w:keepNext w:val="0"/>
        <w:pageBreakBefore w:val="0"/>
        <w:tabs>
          <w:tab w:val="left" w:pos="1130"/>
        </w:tabs>
        <w:wordWrap/>
        <w:topLinePunct w:val="0"/>
        <w:autoSpaceDE/>
        <w:autoSpaceDN/>
        <w:bidi w:val="0"/>
        <w:adjustRightInd/>
        <w:spacing w:beforeLines="0" w:afterLines="0" w:line="440" w:lineRule="exact"/>
        <w:ind w:firstLine="17"/>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2"/>
          <w:sz w:val="24"/>
          <w:szCs w:val="24"/>
          <w:highlight w:val="none"/>
        </w:rPr>
        <w:t>1.7.2来往函件均应按技术标准和要求(合同技术条款)约定的期限送达</w:t>
      </w:r>
      <w:r>
        <w:rPr>
          <w:rStyle w:val="19"/>
          <w:rFonts w:hint="default" w:ascii="宋体" w:hAnsi="宋体" w:eastAsia="宋体" w:cs="宋体"/>
          <w:color w:val="auto"/>
          <w:spacing w:val="-2"/>
          <w:sz w:val="24"/>
          <w:szCs w:val="24"/>
          <w:highlight w:val="none"/>
          <w:u w:val="single"/>
        </w:rPr>
        <w:t xml:space="preserve"> </w:t>
      </w:r>
      <w:r>
        <w:rPr>
          <w:rStyle w:val="19"/>
          <w:rFonts w:hint="default" w:ascii="宋体" w:hAnsi="宋体" w:eastAsia="宋体" w:cs="宋体"/>
          <w:color w:val="auto"/>
          <w:spacing w:val="-2"/>
          <w:sz w:val="24"/>
          <w:szCs w:val="24"/>
          <w:highlight w:val="none"/>
          <w:u w:val="single"/>
          <w:lang w:eastAsia="zh-CN"/>
        </w:rPr>
        <w:t>各参建方</w:t>
      </w:r>
      <w:r>
        <w:rPr>
          <w:rStyle w:val="19"/>
          <w:rFonts w:hint="default" w:ascii="宋体" w:hAnsi="宋体" w:eastAsia="宋体" w:cs="宋体"/>
          <w:color w:val="auto"/>
          <w:sz w:val="24"/>
          <w:szCs w:val="24"/>
          <w:highlight w:val="none"/>
          <w:u w:val="single"/>
          <w:lang w:eastAsia="zh-CN"/>
        </w:rPr>
        <w:t xml:space="preserve"> </w:t>
      </w:r>
      <w:r>
        <w:rPr>
          <w:rStyle w:val="19"/>
          <w:rFonts w:hint="default" w:ascii="宋体" w:hAnsi="宋体" w:eastAsia="宋体" w:cs="宋体"/>
          <w:color w:val="auto"/>
          <w:sz w:val="24"/>
          <w:szCs w:val="24"/>
          <w:highlight w:val="none"/>
          <w:u w:val="single"/>
        </w:rPr>
        <w:t xml:space="preserve"> </w:t>
      </w:r>
      <w:r>
        <w:rPr>
          <w:rStyle w:val="19"/>
          <w:rFonts w:hint="default" w:ascii="宋体" w:hAnsi="宋体" w:eastAsia="宋体" w:cs="宋体"/>
          <w:color w:val="auto"/>
          <w:sz w:val="24"/>
          <w:szCs w:val="24"/>
          <w:highlight w:val="none"/>
        </w:rPr>
        <w:t>。</w:t>
      </w:r>
    </w:p>
    <w:p w14:paraId="2BAC6ADD">
      <w:pPr>
        <w:pStyle w:val="2"/>
        <w:keepNext w:val="0"/>
        <w:pageBreakBefore w:val="0"/>
        <w:wordWrap/>
        <w:topLinePunct w:val="0"/>
        <w:autoSpaceDE/>
        <w:autoSpaceDN/>
        <w:bidi w:val="0"/>
        <w:adjustRightInd/>
        <w:spacing w:line="440" w:lineRule="exact"/>
        <w:textAlignment w:val="auto"/>
        <w:rPr>
          <w:rFonts w:hint="default" w:ascii="宋体" w:cs="Times New Roman"/>
          <w:color w:val="auto"/>
          <w:sz w:val="28"/>
          <w:szCs w:val="32"/>
          <w:highlight w:val="none"/>
        </w:rPr>
      </w:pPr>
      <w:r>
        <w:rPr>
          <w:rFonts w:hint="default" w:ascii="宋体" w:cs="Times New Roman"/>
          <w:color w:val="auto"/>
          <w:sz w:val="28"/>
          <w:szCs w:val="32"/>
          <w:highlight w:val="none"/>
        </w:rPr>
        <w:t>2.发包人义务</w:t>
      </w:r>
    </w:p>
    <w:p w14:paraId="59E7DF33">
      <w:pPr>
        <w:pStyle w:val="28"/>
        <w:keepNext w:val="0"/>
        <w:pageBreakBefore w:val="0"/>
        <w:wordWrap/>
        <w:topLinePunct w:val="0"/>
        <w:autoSpaceDE/>
        <w:autoSpaceDN/>
        <w:bidi w:val="0"/>
        <w:adjustRightInd/>
        <w:spacing w:beforeLines="0" w:afterLines="0" w:line="440" w:lineRule="exact"/>
        <w:textAlignment w:val="auto"/>
        <w:rPr>
          <w:rStyle w:val="19"/>
          <w:rFonts w:hint="default" w:ascii="Calibri" w:eastAsia="宋体"/>
          <w:color w:val="auto"/>
          <w:sz w:val="20"/>
          <w:szCs w:val="24"/>
          <w:highlight w:val="none"/>
        </w:rPr>
      </w:pPr>
    </w:p>
    <w:p w14:paraId="2F7DEE15">
      <w:pPr>
        <w:keepNext w:val="0"/>
        <w:pageBreakBefore w:val="0"/>
        <w:wordWrap/>
        <w:topLinePunct w:val="0"/>
        <w:autoSpaceDE/>
        <w:autoSpaceDN/>
        <w:bidi w:val="0"/>
        <w:adjustRightInd/>
        <w:spacing w:line="440" w:lineRule="exact"/>
        <w:textAlignment w:val="auto"/>
        <w:rPr>
          <w:rFonts w:hint="eastAsia"/>
          <w:b/>
          <w:color w:val="auto"/>
          <w:sz w:val="24"/>
          <w:szCs w:val="24"/>
          <w:highlight w:val="none"/>
        </w:rPr>
      </w:pPr>
      <w:r>
        <w:rPr>
          <w:rFonts w:hint="eastAsia"/>
          <w:b/>
          <w:color w:val="auto"/>
          <w:sz w:val="24"/>
          <w:szCs w:val="24"/>
          <w:highlight w:val="none"/>
        </w:rPr>
        <w:t>2.3提供施工场地</w:t>
      </w:r>
    </w:p>
    <w:p w14:paraId="3246BC93">
      <w:pPr>
        <w:pStyle w:val="28"/>
        <w:keepNext w:val="0"/>
        <w:pageBreakBefore w:val="0"/>
        <w:wordWrap/>
        <w:topLinePunct w:val="0"/>
        <w:autoSpaceDE/>
        <w:autoSpaceDN/>
        <w:bidi w:val="0"/>
        <w:adjustRightInd/>
        <w:spacing w:beforeLines="0" w:afterLines="0" w:line="440" w:lineRule="exact"/>
        <w:ind w:firstLine="490"/>
        <w:textAlignment w:val="auto"/>
        <w:rPr>
          <w:rStyle w:val="19"/>
          <w:rFonts w:hint="default" w:ascii="宋体" w:hAnsi="宋体" w:eastAsia="宋体" w:cs="宋体"/>
          <w:color w:val="auto"/>
          <w:spacing w:val="-2"/>
          <w:sz w:val="24"/>
          <w:szCs w:val="24"/>
          <w:highlight w:val="none"/>
          <w:u w:val="single"/>
          <w:lang w:eastAsia="zh-CN"/>
        </w:rPr>
      </w:pPr>
      <w:r>
        <w:rPr>
          <w:rStyle w:val="19"/>
          <w:rFonts w:hint="default" w:ascii="宋体" w:hAnsi="宋体" w:eastAsia="宋体" w:cs="宋体"/>
          <w:color w:val="auto"/>
          <w:spacing w:val="-8"/>
          <w:sz w:val="24"/>
          <w:szCs w:val="24"/>
          <w:highlight w:val="none"/>
        </w:rPr>
        <w:t>2.3.2发包人提供的施工场地范围为：</w:t>
      </w:r>
      <w:r>
        <w:rPr>
          <w:rStyle w:val="19"/>
          <w:rFonts w:hint="default" w:ascii="宋体" w:hAnsi="宋体" w:eastAsia="宋体" w:cs="宋体"/>
          <w:color w:val="auto"/>
          <w:spacing w:val="-2"/>
          <w:sz w:val="24"/>
          <w:szCs w:val="24"/>
          <w:highlight w:val="none"/>
          <w:u w:val="single"/>
          <w:lang w:eastAsia="zh-CN"/>
        </w:rPr>
        <w:t>1、发包方负责该工程项目建设红线范围内土地征用、青苗树木补偿、房屋拆迁、清除地面、拆除架空和地下障碍物等事宜。协助承包人办理临时用地租用，协调与电力、供水及当地政府部门的关系 2、向承包人提供施工用地。</w:t>
      </w:r>
    </w:p>
    <w:p w14:paraId="7147F6ED">
      <w:pPr>
        <w:pStyle w:val="28"/>
        <w:keepNext w:val="0"/>
        <w:pageBreakBefore w:val="0"/>
        <w:wordWrap/>
        <w:topLinePunct w:val="0"/>
        <w:autoSpaceDE/>
        <w:autoSpaceDN/>
        <w:bidi w:val="0"/>
        <w:adjustRightInd/>
        <w:spacing w:beforeLines="0" w:afterLines="0" w:line="440" w:lineRule="exact"/>
        <w:ind w:firstLine="490"/>
        <w:textAlignment w:val="auto"/>
        <w:rPr>
          <w:rStyle w:val="19"/>
          <w:rFonts w:hint="default" w:ascii="Calibri" w:eastAsia="宋体"/>
          <w:color w:val="auto"/>
          <w:sz w:val="24"/>
          <w:szCs w:val="24"/>
          <w:highlight w:val="none"/>
        </w:rPr>
      </w:pPr>
      <w:r>
        <w:rPr>
          <w:rStyle w:val="19"/>
          <w:rFonts w:hint="default" w:ascii="宋体" w:hAnsi="宋体" w:eastAsia="宋体" w:cs="宋体"/>
          <w:color w:val="auto"/>
          <w:spacing w:val="-7"/>
          <w:sz w:val="24"/>
          <w:szCs w:val="24"/>
          <w:highlight w:val="none"/>
        </w:rPr>
        <w:t>2.3.3承包人自行勘察的施工场地范围为：</w:t>
      </w:r>
      <w:r>
        <w:rPr>
          <w:rStyle w:val="19"/>
          <w:rFonts w:hint="default" w:ascii="宋体" w:hAnsi="宋体" w:eastAsia="宋体" w:cs="宋体"/>
          <w:color w:val="auto"/>
          <w:spacing w:val="-7"/>
          <w:sz w:val="24"/>
          <w:szCs w:val="24"/>
          <w:highlight w:val="none"/>
          <w:u w:val="single"/>
        </w:rPr>
        <w:t>完成合同工程施工建设任务所</w:t>
      </w:r>
      <w:r>
        <w:rPr>
          <w:rStyle w:val="19"/>
          <w:rFonts w:hint="default" w:ascii="宋体" w:hAnsi="宋体" w:eastAsia="宋体" w:cs="宋体"/>
          <w:color w:val="auto"/>
          <w:spacing w:val="-2"/>
          <w:sz w:val="24"/>
          <w:szCs w:val="24"/>
          <w:highlight w:val="none"/>
          <w:u w:val="single"/>
        </w:rPr>
        <w:t>涉及的所有范围。</w:t>
      </w:r>
    </w:p>
    <w:p w14:paraId="6D40ABC9">
      <w:pPr>
        <w:keepNext w:val="0"/>
        <w:pageBreakBefore w:val="0"/>
        <w:wordWrap/>
        <w:topLinePunct w:val="0"/>
        <w:autoSpaceDE/>
        <w:autoSpaceDN/>
        <w:bidi w:val="0"/>
        <w:adjustRightInd/>
        <w:spacing w:line="440" w:lineRule="exact"/>
        <w:textAlignment w:val="auto"/>
        <w:rPr>
          <w:rFonts w:hint="eastAsia"/>
          <w:b/>
          <w:color w:val="auto"/>
          <w:sz w:val="24"/>
          <w:szCs w:val="24"/>
          <w:highlight w:val="none"/>
        </w:rPr>
      </w:pPr>
      <w:r>
        <w:rPr>
          <w:rFonts w:hint="eastAsia"/>
          <w:b/>
          <w:color w:val="auto"/>
          <w:sz w:val="24"/>
          <w:szCs w:val="24"/>
          <w:highlight w:val="none"/>
        </w:rPr>
        <w:t>2.8其它义务</w:t>
      </w:r>
    </w:p>
    <w:p w14:paraId="5A655DFE">
      <w:pPr>
        <w:pStyle w:val="28"/>
        <w:keepNext w:val="0"/>
        <w:pageBreakBefore w:val="0"/>
        <w:wordWrap/>
        <w:topLinePunct w:val="0"/>
        <w:autoSpaceDE/>
        <w:autoSpaceDN/>
        <w:bidi w:val="0"/>
        <w:adjustRightInd/>
        <w:spacing w:beforeLines="0" w:afterLines="0" w:line="440" w:lineRule="exact"/>
        <w:ind w:firstLine="513"/>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3"/>
          <w:sz w:val="24"/>
          <w:szCs w:val="24"/>
          <w:highlight w:val="none"/>
        </w:rPr>
        <w:t>其他未尽事宜待签订施工合同时双方再协商。</w:t>
      </w:r>
    </w:p>
    <w:p w14:paraId="307EFCC9">
      <w:pPr>
        <w:pStyle w:val="28"/>
        <w:keepNext w:val="0"/>
        <w:pageBreakBefore w:val="0"/>
        <w:wordWrap/>
        <w:topLinePunct w:val="0"/>
        <w:autoSpaceDE/>
        <w:autoSpaceDN/>
        <w:bidi w:val="0"/>
        <w:adjustRightInd/>
        <w:spacing w:beforeLines="0" w:afterLines="0" w:line="440" w:lineRule="exact"/>
        <w:textAlignment w:val="auto"/>
        <w:rPr>
          <w:rStyle w:val="19"/>
          <w:rFonts w:hint="default" w:ascii="Calibri" w:eastAsia="宋体"/>
          <w:color w:val="auto"/>
          <w:sz w:val="20"/>
          <w:szCs w:val="24"/>
          <w:highlight w:val="none"/>
        </w:rPr>
      </w:pPr>
    </w:p>
    <w:p w14:paraId="04B6A66F">
      <w:pPr>
        <w:pStyle w:val="2"/>
        <w:keepNext w:val="0"/>
        <w:pageBreakBefore w:val="0"/>
        <w:wordWrap/>
        <w:topLinePunct w:val="0"/>
        <w:autoSpaceDE/>
        <w:autoSpaceDN/>
        <w:bidi w:val="0"/>
        <w:adjustRightInd/>
        <w:spacing w:line="440" w:lineRule="exact"/>
        <w:textAlignment w:val="auto"/>
        <w:rPr>
          <w:rStyle w:val="19"/>
          <w:rFonts w:hint="default" w:ascii="Calibri" w:hAnsi="Times New Roman" w:cs="Times New Roman"/>
          <w:color w:val="auto"/>
          <w:sz w:val="24"/>
          <w:szCs w:val="24"/>
          <w:highlight w:val="none"/>
        </w:rPr>
      </w:pPr>
      <w:r>
        <w:rPr>
          <w:rFonts w:hint="default" w:ascii="宋体" w:cs="Times New Roman"/>
          <w:color w:val="auto"/>
          <w:sz w:val="28"/>
          <w:szCs w:val="32"/>
          <w:highlight w:val="none"/>
        </w:rPr>
        <w:t>3.监理人</w:t>
      </w:r>
    </w:p>
    <w:p w14:paraId="4627E491">
      <w:pPr>
        <w:keepNext w:val="0"/>
        <w:pageBreakBefore w:val="0"/>
        <w:wordWrap/>
        <w:topLinePunct w:val="0"/>
        <w:autoSpaceDE/>
        <w:autoSpaceDN/>
        <w:bidi w:val="0"/>
        <w:adjustRightInd/>
        <w:spacing w:line="440" w:lineRule="exact"/>
        <w:textAlignment w:val="auto"/>
        <w:rPr>
          <w:rFonts w:hint="eastAsia"/>
          <w:b/>
          <w:color w:val="auto"/>
          <w:sz w:val="24"/>
          <w:szCs w:val="24"/>
          <w:highlight w:val="none"/>
        </w:rPr>
      </w:pPr>
      <w:r>
        <w:rPr>
          <w:rFonts w:hint="eastAsia"/>
          <w:b/>
          <w:color w:val="auto"/>
          <w:sz w:val="24"/>
          <w:szCs w:val="24"/>
          <w:highlight w:val="none"/>
        </w:rPr>
        <w:t>3.1监理人的职责和权力</w:t>
      </w:r>
    </w:p>
    <w:p w14:paraId="5E83E98B">
      <w:pPr>
        <w:pStyle w:val="28"/>
        <w:keepNext w:val="0"/>
        <w:pageBreakBefore w:val="0"/>
        <w:wordWrap/>
        <w:topLinePunct w:val="0"/>
        <w:autoSpaceDE/>
        <w:autoSpaceDN/>
        <w:bidi w:val="0"/>
        <w:adjustRightInd/>
        <w:spacing w:beforeLines="0" w:afterLines="0" w:line="440" w:lineRule="exact"/>
        <w:ind w:left="31" w:right="82" w:firstLine="440"/>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6"/>
          <w:sz w:val="24"/>
          <w:szCs w:val="24"/>
          <w:highlight w:val="none"/>
        </w:rPr>
        <w:t>3.1.1监理人须根据发包人事先批准的权力范围行使权力，发包人批准的权</w:t>
      </w:r>
      <w:r>
        <w:rPr>
          <w:rStyle w:val="19"/>
          <w:rFonts w:hint="default" w:ascii="宋体" w:hAnsi="宋体" w:eastAsia="宋体" w:cs="宋体"/>
          <w:color w:val="auto"/>
          <w:spacing w:val="-14"/>
          <w:sz w:val="24"/>
          <w:szCs w:val="24"/>
          <w:highlight w:val="none"/>
        </w:rPr>
        <w:t>力范围：按本工程委托监理合同。</w:t>
      </w:r>
    </w:p>
    <w:p w14:paraId="36BE1B47">
      <w:pPr>
        <w:pStyle w:val="2"/>
        <w:keepNext w:val="0"/>
        <w:pageBreakBefore w:val="0"/>
        <w:wordWrap/>
        <w:topLinePunct w:val="0"/>
        <w:autoSpaceDE/>
        <w:autoSpaceDN/>
        <w:bidi w:val="0"/>
        <w:adjustRightInd/>
        <w:spacing w:line="440" w:lineRule="exact"/>
        <w:textAlignment w:val="auto"/>
        <w:rPr>
          <w:rFonts w:hint="default" w:ascii="宋体" w:cs="Times New Roman"/>
          <w:color w:val="auto"/>
          <w:sz w:val="28"/>
          <w:szCs w:val="32"/>
          <w:highlight w:val="none"/>
        </w:rPr>
      </w:pPr>
      <w:r>
        <w:rPr>
          <w:rFonts w:hint="default" w:ascii="宋体" w:cs="Times New Roman"/>
          <w:color w:val="auto"/>
          <w:sz w:val="28"/>
          <w:szCs w:val="32"/>
          <w:highlight w:val="none"/>
        </w:rPr>
        <w:t>4.承包人</w:t>
      </w:r>
    </w:p>
    <w:p w14:paraId="3F4E9B72">
      <w:pPr>
        <w:keepNext w:val="0"/>
        <w:pageBreakBefore w:val="0"/>
        <w:wordWrap/>
        <w:topLinePunct w:val="0"/>
        <w:autoSpaceDE/>
        <w:autoSpaceDN/>
        <w:bidi w:val="0"/>
        <w:adjustRightInd/>
        <w:spacing w:line="440" w:lineRule="exact"/>
        <w:textAlignment w:val="auto"/>
        <w:rPr>
          <w:rFonts w:hint="eastAsia"/>
          <w:b/>
          <w:color w:val="auto"/>
          <w:sz w:val="24"/>
          <w:szCs w:val="24"/>
          <w:highlight w:val="none"/>
        </w:rPr>
      </w:pPr>
      <w:r>
        <w:rPr>
          <w:rFonts w:hint="eastAsia"/>
          <w:b/>
          <w:color w:val="auto"/>
          <w:sz w:val="24"/>
          <w:szCs w:val="24"/>
          <w:highlight w:val="none"/>
        </w:rPr>
        <w:t>4.1承包人的一般义务</w:t>
      </w:r>
    </w:p>
    <w:p w14:paraId="4BB34B8C">
      <w:pPr>
        <w:pStyle w:val="28"/>
        <w:keepNext w:val="0"/>
        <w:pageBreakBefore w:val="0"/>
        <w:wordWrap/>
        <w:topLinePunct w:val="0"/>
        <w:autoSpaceDE/>
        <w:autoSpaceDN/>
        <w:bidi w:val="0"/>
        <w:adjustRightInd/>
        <w:spacing w:beforeLines="0" w:afterLines="0" w:line="440" w:lineRule="exact"/>
        <w:ind w:firstLine="446"/>
        <w:textAlignment w:val="auto"/>
        <w:outlineLvl w:val="0"/>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5"/>
          <w:sz w:val="24"/>
          <w:szCs w:val="24"/>
          <w:highlight w:val="none"/>
        </w:rPr>
        <w:t>4.1.10其他义务</w:t>
      </w:r>
    </w:p>
    <w:p w14:paraId="361AE8FB">
      <w:pPr>
        <w:pStyle w:val="28"/>
        <w:keepNext w:val="0"/>
        <w:pageBreakBefore w:val="0"/>
        <w:wordWrap/>
        <w:topLinePunct w:val="0"/>
        <w:autoSpaceDE/>
        <w:autoSpaceDN/>
        <w:bidi w:val="0"/>
        <w:adjustRightInd/>
        <w:spacing w:beforeLines="0" w:afterLines="0" w:line="440" w:lineRule="exact"/>
        <w:ind w:firstLine="526" w:firstLineChars="229"/>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5"/>
          <w:sz w:val="24"/>
          <w:szCs w:val="24"/>
          <w:highlight w:val="none"/>
        </w:rPr>
        <w:t>（</w:t>
      </w:r>
      <w:r>
        <w:rPr>
          <w:rStyle w:val="19"/>
          <w:rFonts w:hint="default" w:ascii="宋体" w:hAnsi="宋体" w:eastAsia="宋体" w:cs="宋体"/>
          <w:color w:val="auto"/>
          <w:spacing w:val="-4"/>
          <w:sz w:val="24"/>
          <w:szCs w:val="24"/>
          <w:highlight w:val="none"/>
        </w:rPr>
        <w:t>一）</w:t>
      </w:r>
      <w:r>
        <w:rPr>
          <w:rStyle w:val="19"/>
          <w:rFonts w:hint="default" w:ascii="宋体" w:hAnsi="宋体" w:eastAsia="宋体" w:cs="宋体"/>
          <w:color w:val="auto"/>
          <w:spacing w:val="-5"/>
          <w:sz w:val="24"/>
          <w:szCs w:val="24"/>
          <w:highlight w:val="none"/>
        </w:rPr>
        <w:t>办理有关保险。</w:t>
      </w:r>
    </w:p>
    <w:p w14:paraId="2F4BAAC1">
      <w:pPr>
        <w:pStyle w:val="28"/>
        <w:keepNext w:val="0"/>
        <w:pageBreakBefore w:val="0"/>
        <w:wordWrap/>
        <w:topLinePunct w:val="0"/>
        <w:autoSpaceDE/>
        <w:autoSpaceDN/>
        <w:bidi w:val="0"/>
        <w:adjustRightInd/>
        <w:spacing w:beforeLines="0" w:afterLines="0" w:line="440" w:lineRule="exact"/>
        <w:ind w:left="28" w:right="80" w:firstLine="440"/>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13"/>
          <w:sz w:val="24"/>
          <w:szCs w:val="24"/>
          <w:highlight w:val="none"/>
        </w:rPr>
        <w:t>按照《建筑法》规定，必须在工程开工前，为参加本合同工程现场施工的所</w:t>
      </w:r>
      <w:r>
        <w:rPr>
          <w:rStyle w:val="19"/>
          <w:rFonts w:hint="default" w:ascii="宋体" w:hAnsi="宋体" w:eastAsia="宋体" w:cs="宋体"/>
          <w:color w:val="auto"/>
          <w:spacing w:val="-10"/>
          <w:sz w:val="24"/>
          <w:szCs w:val="24"/>
          <w:highlight w:val="none"/>
        </w:rPr>
        <w:t>有作业人员及管理人员，包括参加工程建设的管理人员、监理人员、施工人员(含</w:t>
      </w:r>
      <w:r>
        <w:rPr>
          <w:rStyle w:val="19"/>
          <w:rFonts w:hint="default" w:ascii="宋体" w:hAnsi="宋体" w:eastAsia="宋体" w:cs="宋体"/>
          <w:color w:val="auto"/>
          <w:spacing w:val="-6"/>
          <w:sz w:val="24"/>
          <w:szCs w:val="24"/>
          <w:highlight w:val="none"/>
        </w:rPr>
        <w:t>民工)办理工伤保险，并缴纳工伤保险费。保险期限自投保之日(工程开工之日)</w:t>
      </w:r>
      <w:r>
        <w:rPr>
          <w:rStyle w:val="19"/>
          <w:rFonts w:hint="default" w:ascii="宋体" w:hAnsi="宋体" w:eastAsia="宋体" w:cs="宋体"/>
          <w:color w:val="auto"/>
          <w:spacing w:val="-3"/>
          <w:sz w:val="24"/>
          <w:szCs w:val="24"/>
          <w:highlight w:val="none"/>
        </w:rPr>
        <w:t>起至工程竣工验收时止,时间上涵盖施工全过程的任一时段。</w:t>
      </w:r>
    </w:p>
    <w:p w14:paraId="1E503E68">
      <w:pPr>
        <w:pStyle w:val="28"/>
        <w:keepNext w:val="0"/>
        <w:pageBreakBefore w:val="0"/>
        <w:wordWrap/>
        <w:topLinePunct w:val="0"/>
        <w:autoSpaceDE/>
        <w:autoSpaceDN/>
        <w:bidi w:val="0"/>
        <w:adjustRightInd/>
        <w:spacing w:beforeLines="0" w:afterLines="0" w:line="440" w:lineRule="exact"/>
        <w:ind w:firstLine="509"/>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2"/>
          <w:sz w:val="24"/>
          <w:szCs w:val="24"/>
          <w:highlight w:val="none"/>
        </w:rPr>
        <w:t>按照《建筑法》规定，鼓励为从事危险作业的职工办理意外伤害保险。</w:t>
      </w:r>
    </w:p>
    <w:p w14:paraId="789CFA2C">
      <w:pPr>
        <w:pStyle w:val="28"/>
        <w:keepNext w:val="0"/>
        <w:pageBreakBefore w:val="0"/>
        <w:wordWrap/>
        <w:topLinePunct w:val="0"/>
        <w:autoSpaceDE/>
        <w:autoSpaceDN/>
        <w:bidi w:val="0"/>
        <w:adjustRightInd/>
        <w:spacing w:beforeLines="0" w:afterLines="0" w:line="440" w:lineRule="exact"/>
        <w:ind w:firstLine="494" w:firstLineChars="213"/>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4"/>
          <w:sz w:val="24"/>
          <w:szCs w:val="24"/>
          <w:highlight w:val="none"/>
        </w:rPr>
        <w:t>（二）执行广西壮族自治区解决企业拖欠工资问题联席会议关于保障农民工</w:t>
      </w:r>
      <w:r>
        <w:rPr>
          <w:rStyle w:val="19"/>
          <w:rFonts w:hint="default" w:ascii="宋体" w:hAnsi="宋体" w:eastAsia="宋体" w:cs="宋体"/>
          <w:color w:val="auto"/>
          <w:spacing w:val="-3"/>
          <w:sz w:val="24"/>
          <w:szCs w:val="24"/>
          <w:highlight w:val="none"/>
        </w:rPr>
        <w:t>工资支付的有关规定，确保农民工工资无拖欠。</w:t>
      </w:r>
    </w:p>
    <w:p w14:paraId="6AE3EE07">
      <w:pPr>
        <w:pStyle w:val="28"/>
        <w:keepNext w:val="0"/>
        <w:pageBreakBefore w:val="0"/>
        <w:wordWrap/>
        <w:topLinePunct w:val="0"/>
        <w:autoSpaceDE/>
        <w:autoSpaceDN/>
        <w:bidi w:val="0"/>
        <w:adjustRightInd/>
        <w:spacing w:beforeLines="0" w:afterLines="0" w:line="440" w:lineRule="exact"/>
        <w:ind w:right="109" w:firstLine="432" w:firstLineChars="200"/>
        <w:textAlignment w:val="auto"/>
        <w:rPr>
          <w:rStyle w:val="19"/>
          <w:rFonts w:hint="default" w:ascii="宋体" w:hAnsi="宋体" w:eastAsia="宋体" w:cs="宋体"/>
          <w:color w:val="auto"/>
          <w:spacing w:val="-4"/>
          <w:sz w:val="24"/>
          <w:szCs w:val="24"/>
          <w:highlight w:val="none"/>
        </w:rPr>
      </w:pPr>
      <w:r>
        <w:rPr>
          <w:rStyle w:val="19"/>
          <w:rFonts w:hint="default" w:ascii="宋体" w:hAnsi="宋体" w:eastAsia="宋体" w:cs="宋体"/>
          <w:color w:val="auto"/>
          <w:spacing w:val="-12"/>
          <w:sz w:val="24"/>
          <w:szCs w:val="24"/>
          <w:highlight w:val="none"/>
          <w:lang w:eastAsia="zh-CN"/>
        </w:rPr>
        <w:t>（1）</w:t>
      </w:r>
      <w:r>
        <w:rPr>
          <w:rStyle w:val="19"/>
          <w:rFonts w:hint="default" w:ascii="宋体" w:hAnsi="宋体" w:eastAsia="宋体" w:cs="宋体"/>
          <w:color w:val="auto"/>
          <w:spacing w:val="-12"/>
          <w:sz w:val="24"/>
          <w:szCs w:val="24"/>
          <w:highlight w:val="none"/>
        </w:rPr>
        <w:t>依法与招用的农民工签订并履行劳动合同，建立职工名册，及时办理劳动用</w:t>
      </w:r>
      <w:r>
        <w:rPr>
          <w:rStyle w:val="19"/>
          <w:rFonts w:hint="default" w:ascii="宋体" w:hAnsi="宋体" w:eastAsia="宋体" w:cs="宋体"/>
          <w:color w:val="auto"/>
          <w:spacing w:val="-4"/>
          <w:sz w:val="24"/>
          <w:szCs w:val="24"/>
          <w:highlight w:val="none"/>
        </w:rPr>
        <w:t>工备案。</w:t>
      </w:r>
    </w:p>
    <w:p w14:paraId="260AF992">
      <w:pPr>
        <w:pStyle w:val="23"/>
        <w:keepNext w:val="0"/>
        <w:pageBreakBefore w:val="0"/>
        <w:wordWrap/>
        <w:topLinePunct w:val="0"/>
        <w:autoSpaceDE/>
        <w:autoSpaceDN/>
        <w:bidi w:val="0"/>
        <w:adjustRightInd/>
        <w:snapToGrid w:val="0"/>
        <w:spacing w:beforeLines="0" w:afterLines="0" w:line="440" w:lineRule="exact"/>
        <w:ind w:firstLine="432" w:firstLineChars="200"/>
        <w:textAlignment w:val="auto"/>
        <w:rPr>
          <w:rStyle w:val="19"/>
          <w:rFonts w:hint="default" w:ascii="宋体" w:hAnsi="宋体" w:eastAsia="宋体" w:cs="宋体"/>
          <w:color w:val="auto"/>
          <w:spacing w:val="-12"/>
          <w:sz w:val="24"/>
          <w:szCs w:val="24"/>
          <w:highlight w:val="none"/>
          <w:lang w:eastAsia="zh-CN"/>
        </w:rPr>
      </w:pPr>
      <w:r>
        <w:rPr>
          <w:rStyle w:val="19"/>
          <w:rFonts w:hint="default" w:ascii="宋体" w:hAnsi="宋体" w:eastAsia="宋体" w:cs="宋体"/>
          <w:color w:val="auto"/>
          <w:spacing w:val="-12"/>
          <w:sz w:val="24"/>
          <w:szCs w:val="24"/>
          <w:highlight w:val="none"/>
          <w:lang w:eastAsia="zh-CN"/>
        </w:rPr>
        <w:t>（2）</w:t>
      </w:r>
      <w:r>
        <w:rPr>
          <w:rStyle w:val="19"/>
          <w:rFonts w:hint="default" w:ascii="宋体" w:hAnsi="宋体" w:eastAsia="宋体" w:cs="宋体"/>
          <w:color w:val="auto"/>
          <w:spacing w:val="-12"/>
          <w:sz w:val="24"/>
          <w:szCs w:val="24"/>
          <w:highlight w:val="none"/>
        </w:rPr>
        <w:t>根据《关于印发广西壮族自治区工程建设领域工人工资支付专用账户管理办法的通知》桂薪联发[2016]1号、《广西壮族自治区人民政府办公厅关于全面治理拖欠农民工工资问题的实施意见》桂政办发[2016]113号、《广西壮族自治区人力资源和社会保障厅办公室关于开展农民工工资保证金三方监管试点工作的通知》桂人社发[2018]20号文件精神，承包人须与</w:t>
      </w:r>
      <w:r>
        <w:rPr>
          <w:rStyle w:val="19"/>
          <w:rFonts w:hint="default" w:ascii="宋体" w:hAnsi="宋体" w:eastAsia="宋体" w:cs="宋体"/>
          <w:color w:val="auto"/>
          <w:spacing w:val="-12"/>
          <w:sz w:val="24"/>
          <w:szCs w:val="24"/>
          <w:highlight w:val="none"/>
          <w:lang w:eastAsia="zh-CN"/>
        </w:rPr>
        <w:t>马山县</w:t>
      </w:r>
      <w:r>
        <w:rPr>
          <w:rStyle w:val="19"/>
          <w:rFonts w:hint="default" w:ascii="宋体" w:hAnsi="宋体" w:eastAsia="宋体" w:cs="宋体"/>
          <w:color w:val="auto"/>
          <w:spacing w:val="-12"/>
          <w:sz w:val="24"/>
          <w:szCs w:val="24"/>
          <w:highlight w:val="none"/>
        </w:rPr>
        <w:t>人力资源和社会保障局及其遴选的合作银行签订《农民工工资保证金专用账户监管协议》，并将农民工工资保障金转入农民工工资保障金专用账户。工程款中工人工资所占比例不低于建筑业工人工资在建设项目工程造价中所占的平均比例，且能确保足额支付工人工资，并且要建立劳动用工管理台账。发包人拨付工程进度款时将按每期工程款的</w:t>
      </w:r>
      <w:r>
        <w:rPr>
          <w:rStyle w:val="19"/>
          <w:rFonts w:hint="default" w:ascii="宋体" w:hAnsi="宋体" w:eastAsia="宋体" w:cs="宋体"/>
          <w:color w:val="auto"/>
          <w:spacing w:val="-12"/>
          <w:sz w:val="24"/>
          <w:szCs w:val="24"/>
          <w:highlight w:val="none"/>
          <w:lang w:eastAsia="zh-CN"/>
        </w:rPr>
        <w:t xml:space="preserve"> </w:t>
      </w:r>
      <w:r>
        <w:rPr>
          <w:rStyle w:val="19"/>
          <w:rFonts w:hint="eastAsia" w:ascii="宋体" w:hAnsi="宋体" w:eastAsia="宋体" w:cs="宋体"/>
          <w:color w:val="auto"/>
          <w:spacing w:val="-12"/>
          <w:sz w:val="24"/>
          <w:szCs w:val="24"/>
          <w:highlight w:val="none"/>
          <w:lang w:val="en-US" w:eastAsia="zh-CN"/>
        </w:rPr>
        <w:t>20</w:t>
      </w:r>
      <w:r>
        <w:rPr>
          <w:rStyle w:val="19"/>
          <w:rFonts w:hint="default" w:ascii="宋体" w:hAnsi="宋体" w:eastAsia="宋体" w:cs="宋体"/>
          <w:color w:val="auto"/>
          <w:spacing w:val="-12"/>
          <w:sz w:val="24"/>
          <w:szCs w:val="24"/>
          <w:highlight w:val="none"/>
        </w:rPr>
        <w:t>%作为工人工资款项拨入《农民工工资保证金专用账户监管协议》中约定的农民工工资支付专用账户，专款专用</w:t>
      </w:r>
      <w:r>
        <w:rPr>
          <w:rStyle w:val="19"/>
          <w:rFonts w:hint="default" w:ascii="宋体" w:hAnsi="宋体" w:eastAsia="宋体" w:cs="宋体"/>
          <w:color w:val="auto"/>
          <w:spacing w:val="-12"/>
          <w:sz w:val="24"/>
          <w:szCs w:val="24"/>
          <w:highlight w:val="none"/>
          <w:lang w:eastAsia="zh-CN"/>
        </w:rPr>
        <w:t>;</w:t>
      </w:r>
      <w:r>
        <w:rPr>
          <w:rStyle w:val="19"/>
          <w:rFonts w:hint="default" w:ascii="宋体" w:hAnsi="宋体" w:eastAsia="宋体" w:cs="宋体"/>
          <w:color w:val="auto"/>
          <w:spacing w:val="-12"/>
          <w:sz w:val="24"/>
          <w:szCs w:val="24"/>
          <w:highlight w:val="none"/>
        </w:rPr>
        <w:t>总的支付比例占工程款的</w:t>
      </w:r>
      <w:r>
        <w:rPr>
          <w:rStyle w:val="19"/>
          <w:rFonts w:hint="default" w:ascii="宋体" w:hAnsi="宋体" w:eastAsia="宋体" w:cs="宋体"/>
          <w:color w:val="auto"/>
          <w:spacing w:val="-12"/>
          <w:sz w:val="24"/>
          <w:szCs w:val="24"/>
          <w:highlight w:val="none"/>
          <w:lang w:eastAsia="zh-CN"/>
        </w:rPr>
        <w:t xml:space="preserve"> </w:t>
      </w:r>
      <w:r>
        <w:rPr>
          <w:rStyle w:val="19"/>
          <w:rFonts w:hint="eastAsia" w:ascii="宋体" w:hAnsi="宋体" w:eastAsia="宋体" w:cs="宋体"/>
          <w:color w:val="auto"/>
          <w:spacing w:val="-12"/>
          <w:sz w:val="24"/>
          <w:szCs w:val="24"/>
          <w:highlight w:val="none"/>
          <w:lang w:val="en-US" w:eastAsia="zh-CN"/>
        </w:rPr>
        <w:t>20</w:t>
      </w:r>
      <w:r>
        <w:rPr>
          <w:rStyle w:val="19"/>
          <w:rFonts w:hint="default" w:ascii="宋体" w:hAnsi="宋体" w:eastAsia="宋体" w:cs="宋体"/>
          <w:color w:val="auto"/>
          <w:spacing w:val="-12"/>
          <w:sz w:val="24"/>
          <w:szCs w:val="24"/>
          <w:highlight w:val="none"/>
          <w:lang w:eastAsia="zh-CN"/>
        </w:rPr>
        <w:t xml:space="preserve"> </w:t>
      </w:r>
      <w:r>
        <w:rPr>
          <w:rStyle w:val="19"/>
          <w:rFonts w:hint="default" w:ascii="宋体" w:hAnsi="宋体" w:eastAsia="宋体" w:cs="宋体"/>
          <w:color w:val="auto"/>
          <w:spacing w:val="-12"/>
          <w:sz w:val="24"/>
          <w:szCs w:val="24"/>
          <w:highlight w:val="none"/>
        </w:rPr>
        <w:t>%，且工程款拨付达80%时全部支完农民工工资所占比例。</w:t>
      </w:r>
      <w:r>
        <w:rPr>
          <w:rStyle w:val="19"/>
          <w:rFonts w:hint="default" w:ascii="宋体" w:hAnsi="宋体" w:eastAsia="宋体" w:cs="宋体"/>
          <w:color w:val="auto"/>
          <w:spacing w:val="-12"/>
          <w:sz w:val="24"/>
          <w:szCs w:val="24"/>
          <w:highlight w:val="none"/>
          <w:lang w:eastAsia="zh-CN"/>
        </w:rPr>
        <w:t xml:space="preserve">     </w:t>
      </w:r>
    </w:p>
    <w:p w14:paraId="25E6D2F9">
      <w:pPr>
        <w:pStyle w:val="28"/>
        <w:keepNext w:val="0"/>
        <w:pageBreakBefore w:val="0"/>
        <w:wordWrap/>
        <w:topLinePunct w:val="0"/>
        <w:autoSpaceDE/>
        <w:autoSpaceDN/>
        <w:bidi w:val="0"/>
        <w:adjustRightInd/>
        <w:spacing w:beforeLines="0" w:afterLines="0" w:line="440" w:lineRule="exact"/>
        <w:ind w:firstLine="513"/>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2"/>
          <w:sz w:val="24"/>
          <w:szCs w:val="24"/>
          <w:highlight w:val="none"/>
        </w:rPr>
        <w:t>（三）工程施工的义务和责任</w:t>
      </w:r>
    </w:p>
    <w:p w14:paraId="2D95A666">
      <w:pPr>
        <w:pStyle w:val="28"/>
        <w:keepNext w:val="0"/>
        <w:pageBreakBefore w:val="0"/>
        <w:wordWrap/>
        <w:topLinePunct w:val="0"/>
        <w:autoSpaceDE/>
        <w:autoSpaceDN/>
        <w:bidi w:val="0"/>
        <w:adjustRightInd/>
        <w:spacing w:beforeLines="0" w:afterLines="0" w:line="440" w:lineRule="exact"/>
        <w:ind w:left="40" w:right="65" w:firstLine="473"/>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1"/>
          <w:sz w:val="24"/>
          <w:szCs w:val="24"/>
          <w:highlight w:val="none"/>
        </w:rPr>
        <w:t>（1）承包人应负责施工场地内部的水、电等施工管、线路的铺、架设及其</w:t>
      </w:r>
      <w:r>
        <w:rPr>
          <w:rStyle w:val="19"/>
          <w:rFonts w:hint="default" w:ascii="宋体" w:hAnsi="宋体" w:eastAsia="宋体" w:cs="宋体"/>
          <w:color w:val="auto"/>
          <w:spacing w:val="-8"/>
          <w:sz w:val="24"/>
          <w:szCs w:val="24"/>
          <w:highlight w:val="none"/>
        </w:rPr>
        <w:t>费用，并按供电部门规定向供电部门(或发包人)交纳水、电费。发包人提供的接</w:t>
      </w:r>
      <w:r>
        <w:rPr>
          <w:rStyle w:val="19"/>
          <w:rFonts w:hint="default" w:ascii="宋体" w:hAnsi="宋体" w:eastAsia="宋体" w:cs="宋体"/>
          <w:color w:val="auto"/>
          <w:spacing w:val="-2"/>
          <w:sz w:val="24"/>
          <w:szCs w:val="24"/>
          <w:highlight w:val="none"/>
        </w:rPr>
        <w:t>电点在签订合同时明确。另外，施工通讯及设施由承包人负责并承担费用。</w:t>
      </w:r>
    </w:p>
    <w:p w14:paraId="563F2779">
      <w:pPr>
        <w:pStyle w:val="28"/>
        <w:keepNext w:val="0"/>
        <w:pageBreakBefore w:val="0"/>
        <w:wordWrap/>
        <w:topLinePunct w:val="0"/>
        <w:autoSpaceDE/>
        <w:autoSpaceDN/>
        <w:bidi w:val="0"/>
        <w:adjustRightInd/>
        <w:spacing w:beforeLines="0" w:afterLines="0" w:line="440" w:lineRule="exact"/>
        <w:ind w:left="29" w:right="67" w:firstLine="484"/>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1"/>
          <w:sz w:val="24"/>
          <w:szCs w:val="24"/>
          <w:highlight w:val="none"/>
        </w:rPr>
        <w:t>（2）除民房外，承包人应按监理人的指示负责拆除、清理已征用土地上的</w:t>
      </w:r>
      <w:r>
        <w:rPr>
          <w:rStyle w:val="19"/>
          <w:rFonts w:hint="default" w:ascii="宋体" w:hAnsi="宋体" w:eastAsia="宋体" w:cs="宋体"/>
          <w:color w:val="auto"/>
          <w:spacing w:val="-13"/>
          <w:sz w:val="24"/>
          <w:szCs w:val="24"/>
          <w:highlight w:val="none"/>
        </w:rPr>
        <w:t>杂物、灌木、树木、树根、杂草等。</w:t>
      </w:r>
    </w:p>
    <w:p w14:paraId="11C7F0D1">
      <w:pPr>
        <w:pStyle w:val="28"/>
        <w:keepNext w:val="0"/>
        <w:pageBreakBefore w:val="0"/>
        <w:wordWrap/>
        <w:topLinePunct w:val="0"/>
        <w:autoSpaceDE/>
        <w:autoSpaceDN/>
        <w:bidi w:val="0"/>
        <w:adjustRightInd/>
        <w:spacing w:beforeLines="0" w:afterLines="0" w:line="440" w:lineRule="exact"/>
        <w:ind w:left="29" w:right="65" w:firstLine="484"/>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1"/>
          <w:sz w:val="24"/>
          <w:szCs w:val="24"/>
          <w:highlight w:val="none"/>
        </w:rPr>
        <w:t>（3）承包人应充分理解有一些设施(如施工道路、桥梁)可能会有其它人和</w:t>
      </w:r>
      <w:r>
        <w:rPr>
          <w:rStyle w:val="19"/>
          <w:rFonts w:hint="default" w:ascii="宋体" w:hAnsi="宋体" w:eastAsia="宋体" w:cs="宋体"/>
          <w:color w:val="auto"/>
          <w:spacing w:val="-11"/>
          <w:sz w:val="24"/>
          <w:szCs w:val="24"/>
          <w:highlight w:val="none"/>
        </w:rPr>
        <w:t>单位使用通行，在使用过程中发生干扰时，应立即通知监理人并服从监理人的决</w:t>
      </w:r>
      <w:r>
        <w:rPr>
          <w:rStyle w:val="19"/>
          <w:rFonts w:hint="default" w:ascii="宋体" w:hAnsi="宋体" w:eastAsia="宋体" w:cs="宋体"/>
          <w:color w:val="auto"/>
          <w:spacing w:val="-12"/>
          <w:sz w:val="24"/>
          <w:szCs w:val="24"/>
          <w:highlight w:val="none"/>
        </w:rPr>
        <w:t>定。</w:t>
      </w:r>
    </w:p>
    <w:p w14:paraId="2E1B5E91">
      <w:pPr>
        <w:pStyle w:val="28"/>
        <w:keepNext w:val="0"/>
        <w:pageBreakBefore w:val="0"/>
        <w:wordWrap/>
        <w:topLinePunct w:val="0"/>
        <w:autoSpaceDE/>
        <w:autoSpaceDN/>
        <w:bidi w:val="0"/>
        <w:adjustRightInd/>
        <w:spacing w:beforeLines="0" w:afterLines="0" w:line="440" w:lineRule="exact"/>
        <w:ind w:left="47" w:right="64" w:firstLine="466"/>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z w:val="24"/>
          <w:szCs w:val="24"/>
          <w:highlight w:val="none"/>
        </w:rPr>
        <w:t>（4）承包人应为监理人、发包人现场代表对施工现场的检查监督提供必要</w:t>
      </w:r>
      <w:r>
        <w:rPr>
          <w:rStyle w:val="19"/>
          <w:rFonts w:hint="default" w:ascii="宋体" w:hAnsi="宋体" w:eastAsia="宋体" w:cs="宋体"/>
          <w:color w:val="auto"/>
          <w:spacing w:val="-3"/>
          <w:sz w:val="24"/>
          <w:szCs w:val="24"/>
          <w:highlight w:val="none"/>
        </w:rPr>
        <w:t>的配合,并对这种配合对施工的影响应有充分的考虑。</w:t>
      </w:r>
    </w:p>
    <w:p w14:paraId="5B06A776">
      <w:pPr>
        <w:pStyle w:val="28"/>
        <w:keepNext w:val="0"/>
        <w:pageBreakBefore w:val="0"/>
        <w:wordWrap/>
        <w:topLinePunct w:val="0"/>
        <w:autoSpaceDE/>
        <w:autoSpaceDN/>
        <w:bidi w:val="0"/>
        <w:adjustRightInd/>
        <w:spacing w:beforeLines="0" w:afterLines="0" w:line="440" w:lineRule="exact"/>
        <w:ind w:left="27" w:right="67" w:firstLine="486"/>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1"/>
          <w:sz w:val="24"/>
          <w:szCs w:val="24"/>
          <w:highlight w:val="none"/>
        </w:rPr>
        <w:t>（5）工程竣工后，承包人应按监理人的指示清理施工现场直至监理人、发</w:t>
      </w:r>
      <w:r>
        <w:rPr>
          <w:rStyle w:val="19"/>
          <w:rFonts w:hint="default" w:ascii="宋体" w:hAnsi="宋体" w:eastAsia="宋体" w:cs="宋体"/>
          <w:color w:val="auto"/>
          <w:spacing w:val="-6"/>
          <w:sz w:val="24"/>
          <w:szCs w:val="24"/>
          <w:highlight w:val="none"/>
        </w:rPr>
        <w:t>包人满意为止。</w:t>
      </w:r>
    </w:p>
    <w:p w14:paraId="36A2EE8F">
      <w:pPr>
        <w:pStyle w:val="28"/>
        <w:keepNext w:val="0"/>
        <w:pageBreakBefore w:val="0"/>
        <w:wordWrap/>
        <w:topLinePunct w:val="0"/>
        <w:autoSpaceDE/>
        <w:autoSpaceDN/>
        <w:bidi w:val="0"/>
        <w:adjustRightInd/>
        <w:spacing w:beforeLines="0" w:afterLines="0" w:line="440" w:lineRule="exact"/>
        <w:ind w:left="29" w:right="65" w:firstLine="484"/>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3"/>
          <w:sz w:val="24"/>
          <w:szCs w:val="24"/>
          <w:highlight w:val="none"/>
        </w:rPr>
        <w:t>（6）对上述(1)~(5)项工作，费用已包括在有关单价和总价中，发包人不再另行支付由此所发生的一切费用。</w:t>
      </w:r>
    </w:p>
    <w:p w14:paraId="19D6202F">
      <w:pPr>
        <w:pStyle w:val="28"/>
        <w:keepNext w:val="0"/>
        <w:pageBreakBefore w:val="0"/>
        <w:wordWrap/>
        <w:topLinePunct w:val="0"/>
        <w:autoSpaceDE/>
        <w:autoSpaceDN/>
        <w:bidi w:val="0"/>
        <w:adjustRightInd/>
        <w:spacing w:beforeLines="0" w:afterLines="0" w:line="440" w:lineRule="exact"/>
        <w:ind w:left="27" w:right="67" w:firstLine="486"/>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1"/>
          <w:sz w:val="24"/>
          <w:szCs w:val="24"/>
          <w:highlight w:val="none"/>
        </w:rPr>
        <w:t>（7）经过公路、城市道路的施工车辆，必须按交警、城管、环保、环卫等</w:t>
      </w:r>
      <w:r>
        <w:rPr>
          <w:rStyle w:val="19"/>
          <w:rFonts w:hint="default" w:ascii="宋体" w:hAnsi="宋体" w:eastAsia="宋体" w:cs="宋体"/>
          <w:color w:val="auto"/>
          <w:spacing w:val="-4"/>
          <w:sz w:val="24"/>
          <w:szCs w:val="24"/>
          <w:highlight w:val="none"/>
        </w:rPr>
        <w:t>部门规定执行。施工车辆的营运手续办理、清洗等一切费用由承包人承担。由于</w:t>
      </w:r>
      <w:r>
        <w:rPr>
          <w:rStyle w:val="19"/>
          <w:rFonts w:hint="default" w:ascii="宋体" w:hAnsi="宋体" w:eastAsia="宋体" w:cs="宋体"/>
          <w:color w:val="auto"/>
          <w:spacing w:val="-8"/>
          <w:sz w:val="24"/>
          <w:szCs w:val="24"/>
          <w:highlight w:val="none"/>
        </w:rPr>
        <w:t>车辆超载、带泥或洒漏造成的道路损坏、环境污染等，其责任和费用均由承包人</w:t>
      </w:r>
      <w:r>
        <w:rPr>
          <w:rStyle w:val="19"/>
          <w:rFonts w:hint="default" w:ascii="宋体" w:hAnsi="宋体" w:eastAsia="宋体" w:cs="宋体"/>
          <w:color w:val="auto"/>
          <w:spacing w:val="-10"/>
          <w:sz w:val="24"/>
          <w:szCs w:val="24"/>
          <w:highlight w:val="none"/>
        </w:rPr>
        <w:t>承担。</w:t>
      </w:r>
    </w:p>
    <w:p w14:paraId="3831B615">
      <w:pPr>
        <w:pStyle w:val="28"/>
        <w:keepNext w:val="0"/>
        <w:pageBreakBefore w:val="0"/>
        <w:wordWrap/>
        <w:topLinePunct w:val="0"/>
        <w:autoSpaceDE/>
        <w:autoSpaceDN/>
        <w:bidi w:val="0"/>
        <w:adjustRightInd/>
        <w:spacing w:beforeLines="0" w:afterLines="0" w:line="440" w:lineRule="exact"/>
        <w:ind w:left="27" w:right="65" w:firstLine="486"/>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1"/>
          <w:sz w:val="24"/>
          <w:szCs w:val="24"/>
          <w:highlight w:val="none"/>
        </w:rPr>
        <w:t>（8）承包人必须文明、安全施工，在施工期间发生的一切人员伤亡和财产</w:t>
      </w:r>
      <w:r>
        <w:rPr>
          <w:rStyle w:val="19"/>
          <w:rFonts w:hint="default" w:ascii="宋体" w:hAnsi="宋体" w:eastAsia="宋体" w:cs="宋体"/>
          <w:color w:val="auto"/>
          <w:spacing w:val="-2"/>
          <w:sz w:val="24"/>
          <w:szCs w:val="24"/>
          <w:highlight w:val="none"/>
        </w:rPr>
        <w:t>损失等责任事故和所发生的一切费用概由承包人承担。</w:t>
      </w:r>
    </w:p>
    <w:p w14:paraId="5345CB3D">
      <w:pPr>
        <w:pStyle w:val="28"/>
        <w:keepNext w:val="0"/>
        <w:pageBreakBefore w:val="0"/>
        <w:wordWrap/>
        <w:topLinePunct w:val="0"/>
        <w:autoSpaceDE/>
        <w:autoSpaceDN/>
        <w:bidi w:val="0"/>
        <w:adjustRightInd/>
        <w:spacing w:beforeLines="0" w:afterLines="0" w:line="440" w:lineRule="exact"/>
        <w:ind w:left="29" w:right="67" w:firstLine="484"/>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5"/>
          <w:sz w:val="24"/>
          <w:szCs w:val="24"/>
          <w:highlight w:val="none"/>
        </w:rPr>
        <w:t>（9）按照发包人的要求做好安全文明宣传、监督检查宣传等工作，相关费</w:t>
      </w:r>
      <w:r>
        <w:rPr>
          <w:rStyle w:val="19"/>
          <w:rFonts w:hint="default" w:ascii="宋体" w:hAnsi="宋体" w:eastAsia="宋体" w:cs="宋体"/>
          <w:color w:val="auto"/>
          <w:spacing w:val="-6"/>
          <w:sz w:val="24"/>
          <w:szCs w:val="24"/>
          <w:highlight w:val="none"/>
        </w:rPr>
        <w:t>用由承包人承担。</w:t>
      </w:r>
    </w:p>
    <w:p w14:paraId="21319083">
      <w:pPr>
        <w:pStyle w:val="28"/>
        <w:keepNext w:val="0"/>
        <w:pageBreakBefore w:val="0"/>
        <w:wordWrap/>
        <w:topLinePunct w:val="0"/>
        <w:autoSpaceDE/>
        <w:autoSpaceDN/>
        <w:bidi w:val="0"/>
        <w:adjustRightInd/>
        <w:spacing w:beforeLines="0" w:afterLines="0" w:line="440" w:lineRule="exact"/>
        <w:ind w:firstLine="525"/>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4"/>
          <w:position w:val="6"/>
          <w:sz w:val="24"/>
          <w:szCs w:val="24"/>
          <w:highlight w:val="none"/>
        </w:rPr>
        <w:t>1)承包人应按约定时间和要求，完成以下工作：</w:t>
      </w:r>
    </w:p>
    <w:p w14:paraId="72991907">
      <w:pPr>
        <w:pStyle w:val="28"/>
        <w:keepNext w:val="0"/>
        <w:pageBreakBefore w:val="0"/>
        <w:wordWrap/>
        <w:topLinePunct w:val="0"/>
        <w:autoSpaceDE/>
        <w:autoSpaceDN/>
        <w:bidi w:val="0"/>
        <w:adjustRightInd/>
        <w:spacing w:beforeLines="0" w:afterLines="0" w:line="440" w:lineRule="exact"/>
        <w:ind w:left="27" w:firstLine="478"/>
        <w:textAlignment w:val="auto"/>
        <w:rPr>
          <w:rStyle w:val="19"/>
          <w:rFonts w:hint="default" w:ascii="宋体" w:hAnsi="宋体" w:eastAsia="宋体" w:cs="宋体"/>
          <w:color w:val="auto"/>
          <w:spacing w:val="-3"/>
          <w:sz w:val="24"/>
          <w:szCs w:val="24"/>
          <w:highlight w:val="none"/>
        </w:rPr>
      </w:pPr>
      <w:r>
        <w:rPr>
          <w:rStyle w:val="19"/>
          <w:rFonts w:hint="default" w:ascii="宋体" w:hAnsi="宋体" w:eastAsia="宋体" w:cs="宋体"/>
          <w:color w:val="auto"/>
          <w:spacing w:val="-3"/>
          <w:sz w:val="24"/>
          <w:szCs w:val="24"/>
          <w:highlight w:val="none"/>
        </w:rPr>
        <w:t>①按时提交施工组织设计、单位工程的施工方案。</w:t>
      </w:r>
    </w:p>
    <w:p w14:paraId="1F893EB5">
      <w:pPr>
        <w:pStyle w:val="28"/>
        <w:keepNext w:val="0"/>
        <w:pageBreakBefore w:val="0"/>
        <w:wordWrap/>
        <w:topLinePunct w:val="0"/>
        <w:autoSpaceDE/>
        <w:autoSpaceDN/>
        <w:bidi w:val="0"/>
        <w:adjustRightInd/>
        <w:spacing w:beforeLines="0" w:afterLines="0" w:line="440" w:lineRule="exact"/>
        <w:ind w:left="27" w:firstLine="478"/>
        <w:textAlignment w:val="auto"/>
        <w:rPr>
          <w:rStyle w:val="19"/>
          <w:rFonts w:hint="default" w:ascii="宋体" w:hAnsi="宋体" w:eastAsia="宋体" w:cs="宋体"/>
          <w:color w:val="auto"/>
          <w:spacing w:val="-5"/>
          <w:sz w:val="24"/>
          <w:szCs w:val="24"/>
          <w:highlight w:val="none"/>
        </w:rPr>
      </w:pPr>
      <w:r>
        <w:rPr>
          <w:rStyle w:val="19"/>
          <w:rFonts w:hint="default" w:ascii="宋体" w:hAnsi="宋体" w:eastAsia="宋体" w:cs="宋体"/>
          <w:color w:val="auto"/>
          <w:spacing w:val="-3"/>
          <w:sz w:val="24"/>
          <w:szCs w:val="24"/>
          <w:highlight w:val="none"/>
        </w:rPr>
        <w:t>②每</w:t>
      </w:r>
      <w:r>
        <w:rPr>
          <w:rStyle w:val="19"/>
          <w:rFonts w:hint="default" w:ascii="宋体" w:hAnsi="宋体" w:eastAsia="宋体" w:cs="宋体"/>
          <w:color w:val="auto"/>
          <w:spacing w:val="-5"/>
          <w:sz w:val="24"/>
          <w:szCs w:val="24"/>
          <w:highlight w:val="none"/>
        </w:rPr>
        <w:t>月25日向监理人提交当月工程进度报表及下月进度计划。</w:t>
      </w:r>
    </w:p>
    <w:p w14:paraId="619A5653">
      <w:pPr>
        <w:pStyle w:val="28"/>
        <w:keepNext w:val="0"/>
        <w:pageBreakBefore w:val="0"/>
        <w:wordWrap/>
        <w:topLinePunct w:val="0"/>
        <w:autoSpaceDE/>
        <w:autoSpaceDN/>
        <w:bidi w:val="0"/>
        <w:adjustRightInd/>
        <w:spacing w:beforeLines="0" w:afterLines="0" w:line="440" w:lineRule="exact"/>
        <w:ind w:left="27" w:firstLine="478"/>
        <w:textAlignment w:val="auto"/>
        <w:rPr>
          <w:rStyle w:val="19"/>
          <w:rFonts w:hint="default" w:ascii="宋体" w:hAnsi="宋体" w:eastAsia="宋体" w:cs="宋体"/>
          <w:color w:val="auto"/>
          <w:spacing w:val="-2"/>
          <w:sz w:val="24"/>
          <w:szCs w:val="24"/>
          <w:highlight w:val="none"/>
        </w:rPr>
      </w:pPr>
      <w:r>
        <w:rPr>
          <w:rStyle w:val="19"/>
          <w:rFonts w:hint="default" w:ascii="宋体" w:hAnsi="宋体" w:eastAsia="宋体" w:cs="宋体"/>
          <w:color w:val="auto"/>
          <w:spacing w:val="-3"/>
          <w:sz w:val="24"/>
          <w:szCs w:val="24"/>
          <w:highlight w:val="none"/>
        </w:rPr>
        <w:t>③</w:t>
      </w:r>
      <w:r>
        <w:rPr>
          <w:rStyle w:val="19"/>
          <w:rFonts w:hint="default" w:ascii="宋体" w:hAnsi="宋体" w:eastAsia="宋体" w:cs="宋体"/>
          <w:color w:val="auto"/>
          <w:spacing w:val="-2"/>
          <w:sz w:val="24"/>
          <w:szCs w:val="24"/>
          <w:highlight w:val="none"/>
        </w:rPr>
        <w:t>承包人自行负责施工安全保卫工作及夜间施工照明。</w:t>
      </w:r>
    </w:p>
    <w:p w14:paraId="1C025A63">
      <w:pPr>
        <w:pStyle w:val="28"/>
        <w:keepNext w:val="0"/>
        <w:pageBreakBefore w:val="0"/>
        <w:wordWrap/>
        <w:topLinePunct w:val="0"/>
        <w:autoSpaceDE/>
        <w:autoSpaceDN/>
        <w:bidi w:val="0"/>
        <w:adjustRightInd/>
        <w:spacing w:beforeLines="0" w:afterLines="0" w:line="440" w:lineRule="exact"/>
        <w:ind w:left="27" w:firstLine="478"/>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8"/>
          <w:sz w:val="24"/>
          <w:szCs w:val="24"/>
          <w:highlight w:val="none"/>
        </w:rPr>
        <w:t>④需承包人办理的有关施工场地交通、环卫和施工噪音降尘管理等手续：遵</w:t>
      </w:r>
      <w:r>
        <w:rPr>
          <w:rStyle w:val="19"/>
          <w:rFonts w:hint="default" w:ascii="宋体" w:hAnsi="宋体" w:eastAsia="宋体" w:cs="宋体"/>
          <w:color w:val="auto"/>
          <w:spacing w:val="-12"/>
          <w:sz w:val="24"/>
          <w:szCs w:val="24"/>
          <w:highlight w:val="none"/>
        </w:rPr>
        <w:t>守有关部门对施工现场交通、环卫和施工噪音降尘管理规定，如有发生，费用由</w:t>
      </w:r>
      <w:r>
        <w:rPr>
          <w:rStyle w:val="19"/>
          <w:rFonts w:hint="default" w:ascii="宋体" w:hAnsi="宋体" w:eastAsia="宋体" w:cs="宋体"/>
          <w:color w:val="auto"/>
          <w:spacing w:val="-7"/>
          <w:sz w:val="24"/>
          <w:szCs w:val="24"/>
          <w:highlight w:val="none"/>
        </w:rPr>
        <w:t>承包人承担。</w:t>
      </w:r>
    </w:p>
    <w:p w14:paraId="7E3929A1">
      <w:pPr>
        <w:pStyle w:val="28"/>
        <w:keepNext w:val="0"/>
        <w:pageBreakBefore w:val="0"/>
        <w:wordWrap/>
        <w:topLinePunct w:val="0"/>
        <w:autoSpaceDE/>
        <w:autoSpaceDN/>
        <w:bidi w:val="0"/>
        <w:adjustRightInd/>
        <w:spacing w:beforeLines="0" w:afterLines="0" w:line="440" w:lineRule="exact"/>
        <w:ind w:left="27" w:firstLine="478"/>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3"/>
          <w:sz w:val="24"/>
          <w:szCs w:val="24"/>
          <w:highlight w:val="none"/>
        </w:rPr>
        <w:t>⑤已完工程成品保护的特殊要求及费用承担：已完工工程未交付发包人之</w:t>
      </w:r>
      <w:r>
        <w:rPr>
          <w:rStyle w:val="19"/>
          <w:rFonts w:hint="default" w:ascii="宋体" w:hAnsi="宋体" w:eastAsia="宋体" w:cs="宋体"/>
          <w:color w:val="auto"/>
          <w:spacing w:val="-12"/>
          <w:sz w:val="24"/>
          <w:szCs w:val="24"/>
          <w:highlight w:val="none"/>
        </w:rPr>
        <w:t>前，承包人按协议条款约定负责已完成工程的成品保护工作，保护期间发生损坏，</w:t>
      </w:r>
      <w:r>
        <w:rPr>
          <w:rStyle w:val="19"/>
          <w:rFonts w:hint="default" w:ascii="宋体" w:hAnsi="宋体" w:eastAsia="宋体" w:cs="宋体"/>
          <w:color w:val="auto"/>
          <w:spacing w:val="-4"/>
          <w:sz w:val="24"/>
          <w:szCs w:val="24"/>
          <w:highlight w:val="none"/>
        </w:rPr>
        <w:t>承包人自费予以修复。</w:t>
      </w:r>
    </w:p>
    <w:p w14:paraId="715FEA46">
      <w:pPr>
        <w:pStyle w:val="28"/>
        <w:keepNext w:val="0"/>
        <w:pageBreakBefore w:val="0"/>
        <w:wordWrap/>
        <w:topLinePunct w:val="0"/>
        <w:autoSpaceDE/>
        <w:autoSpaceDN/>
        <w:bidi w:val="0"/>
        <w:adjustRightInd/>
        <w:spacing w:beforeLines="0" w:afterLines="0" w:line="440" w:lineRule="exact"/>
        <w:ind w:firstLine="538" w:firstLineChars="232"/>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4"/>
          <w:sz w:val="24"/>
          <w:szCs w:val="24"/>
          <w:highlight w:val="none"/>
        </w:rPr>
        <w:t>⑥承包人有义务对施工场地周围管线(含地上及地下)和邻近建筑物、构筑物(含文物保护建筑)、古树名木等进行探明并负责保护。</w:t>
      </w:r>
    </w:p>
    <w:p w14:paraId="04BDFFE6">
      <w:pPr>
        <w:pStyle w:val="28"/>
        <w:keepNext w:val="0"/>
        <w:pageBreakBefore w:val="0"/>
        <w:wordWrap/>
        <w:topLinePunct w:val="0"/>
        <w:autoSpaceDE/>
        <w:autoSpaceDN/>
        <w:bidi w:val="0"/>
        <w:adjustRightInd/>
        <w:spacing w:beforeLines="0" w:afterLines="0" w:line="440" w:lineRule="exact"/>
        <w:ind w:left="29" w:right="19" w:firstLine="476"/>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19"/>
          <w:sz w:val="24"/>
          <w:szCs w:val="24"/>
          <w:highlight w:val="none"/>
        </w:rPr>
        <w:t>⑦施工场地清洁卫生的要求：按城建卫生有关规定执行，由承包人负责，费</w:t>
      </w:r>
      <w:r>
        <w:rPr>
          <w:rStyle w:val="19"/>
          <w:rFonts w:hint="default" w:ascii="宋体" w:hAnsi="宋体" w:eastAsia="宋体" w:cs="宋体"/>
          <w:color w:val="auto"/>
          <w:spacing w:val="-6"/>
          <w:sz w:val="24"/>
          <w:szCs w:val="24"/>
          <w:highlight w:val="none"/>
        </w:rPr>
        <w:t>用由承包人承担。</w:t>
      </w:r>
    </w:p>
    <w:p w14:paraId="5ACD87A6">
      <w:pPr>
        <w:pStyle w:val="28"/>
        <w:keepNext w:val="0"/>
        <w:pageBreakBefore w:val="0"/>
        <w:wordWrap/>
        <w:topLinePunct w:val="0"/>
        <w:autoSpaceDE/>
        <w:autoSpaceDN/>
        <w:bidi w:val="0"/>
        <w:adjustRightInd/>
        <w:spacing w:beforeLines="0" w:afterLines="0" w:line="440" w:lineRule="exact"/>
        <w:ind w:left="509" w:right="426" w:hanging="4"/>
        <w:textAlignment w:val="auto"/>
        <w:rPr>
          <w:rStyle w:val="19"/>
          <w:rFonts w:hint="default" w:ascii="宋体" w:hAnsi="宋体" w:eastAsia="宋体" w:cs="宋体"/>
          <w:color w:val="auto"/>
          <w:spacing w:val="-2"/>
          <w:sz w:val="24"/>
          <w:szCs w:val="24"/>
          <w:highlight w:val="none"/>
        </w:rPr>
      </w:pPr>
      <w:r>
        <w:rPr>
          <w:rStyle w:val="19"/>
          <w:rFonts w:hint="default" w:ascii="宋体" w:hAnsi="宋体" w:eastAsia="宋体" w:cs="宋体"/>
          <w:color w:val="auto"/>
          <w:spacing w:val="-2"/>
          <w:sz w:val="24"/>
          <w:szCs w:val="24"/>
          <w:highlight w:val="none"/>
        </w:rPr>
        <w:t>⑧承包人承担施工场地、水电及运输通道的修建和维护、清场等费用。</w:t>
      </w:r>
    </w:p>
    <w:p w14:paraId="01200D28">
      <w:pPr>
        <w:pStyle w:val="28"/>
        <w:keepNext w:val="0"/>
        <w:pageBreakBefore w:val="0"/>
        <w:wordWrap/>
        <w:topLinePunct w:val="0"/>
        <w:autoSpaceDE/>
        <w:autoSpaceDN/>
        <w:bidi w:val="0"/>
        <w:adjustRightInd/>
        <w:spacing w:beforeLines="0" w:afterLines="0" w:line="440" w:lineRule="exact"/>
        <w:ind w:left="509" w:right="426" w:hanging="4"/>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4"/>
          <w:sz w:val="24"/>
          <w:szCs w:val="24"/>
          <w:highlight w:val="none"/>
        </w:rPr>
        <w:t>2)双方约定承包人应做的其他工作：</w:t>
      </w:r>
    </w:p>
    <w:p w14:paraId="59C9F4D4">
      <w:pPr>
        <w:pStyle w:val="28"/>
        <w:keepNext w:val="0"/>
        <w:pageBreakBefore w:val="0"/>
        <w:wordWrap/>
        <w:topLinePunct w:val="0"/>
        <w:autoSpaceDE/>
        <w:autoSpaceDN/>
        <w:bidi w:val="0"/>
        <w:adjustRightInd/>
        <w:spacing w:beforeLines="0" w:afterLines="0" w:line="440" w:lineRule="exact"/>
        <w:ind w:left="29" w:right="19" w:firstLine="476"/>
        <w:textAlignment w:val="auto"/>
        <w:rPr>
          <w:rStyle w:val="19"/>
          <w:rFonts w:hint="default" w:ascii="宋体" w:hAnsi="宋体" w:eastAsia="宋体" w:cs="宋体"/>
          <w:color w:val="auto"/>
          <w:spacing w:val="-19"/>
          <w:sz w:val="24"/>
          <w:szCs w:val="24"/>
          <w:highlight w:val="none"/>
        </w:rPr>
      </w:pPr>
      <w:r>
        <w:rPr>
          <w:rStyle w:val="19"/>
          <w:rFonts w:hint="default" w:ascii="宋体" w:hAnsi="宋体" w:eastAsia="宋体" w:cs="宋体"/>
          <w:color w:val="auto"/>
          <w:spacing w:val="-19"/>
          <w:sz w:val="24"/>
          <w:szCs w:val="24"/>
          <w:highlight w:val="none"/>
        </w:rPr>
        <w:t>①凡属于需要承包人交付给其他承包人的工作面以及与其他承包人交叉作业的工作面,承包人必须服从监理人的决定，按规定的完工日期完成并将清理好的工作面移交给发包人,并取得监理人的同意。</w:t>
      </w:r>
    </w:p>
    <w:p w14:paraId="13E09FD3">
      <w:pPr>
        <w:pStyle w:val="28"/>
        <w:keepNext w:val="0"/>
        <w:pageBreakBefore w:val="0"/>
        <w:wordWrap/>
        <w:topLinePunct w:val="0"/>
        <w:autoSpaceDE/>
        <w:autoSpaceDN/>
        <w:bidi w:val="0"/>
        <w:adjustRightInd/>
        <w:spacing w:beforeLines="0" w:afterLines="0" w:line="440" w:lineRule="exact"/>
        <w:ind w:left="29" w:right="19" w:firstLine="476"/>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19"/>
          <w:sz w:val="24"/>
          <w:szCs w:val="24"/>
          <w:highlight w:val="none"/>
        </w:rPr>
        <w:t>②工程完工后，承包人应按监理人的指示清理施工现场。并在工程完工后6个月内完成并提交工程</w:t>
      </w:r>
      <w:r>
        <w:rPr>
          <w:rStyle w:val="19"/>
          <w:rFonts w:hint="default" w:ascii="宋体" w:hAnsi="宋体" w:eastAsia="宋体" w:cs="宋体"/>
          <w:color w:val="auto"/>
          <w:spacing w:val="-7"/>
          <w:sz w:val="24"/>
          <w:szCs w:val="24"/>
          <w:highlight w:val="none"/>
        </w:rPr>
        <w:t>竣工资料和工程结算资料。承包人逾期提交，发包人将</w:t>
      </w:r>
      <w:r>
        <w:rPr>
          <w:rStyle w:val="19"/>
          <w:rFonts w:hint="default" w:ascii="宋体" w:hAnsi="宋体" w:eastAsia="宋体" w:cs="宋体"/>
          <w:color w:val="auto"/>
          <w:spacing w:val="-2"/>
          <w:sz w:val="24"/>
          <w:szCs w:val="24"/>
          <w:highlight w:val="none"/>
        </w:rPr>
        <w:t>对承包人的拖延行为视为违约并按100元/天计算违约金，违约金从承包人应</w:t>
      </w:r>
      <w:r>
        <w:rPr>
          <w:rStyle w:val="19"/>
          <w:rFonts w:hint="default" w:ascii="宋体" w:hAnsi="宋体" w:eastAsia="宋体" w:cs="宋体"/>
          <w:color w:val="auto"/>
          <w:spacing w:val="-6"/>
          <w:sz w:val="24"/>
          <w:szCs w:val="24"/>
          <w:highlight w:val="none"/>
        </w:rPr>
        <w:t>得的工程款中扣除，但其最终的累计总金额与各项逾期完工违约金合计不超过合</w:t>
      </w:r>
      <w:r>
        <w:rPr>
          <w:rStyle w:val="19"/>
          <w:rFonts w:hint="default" w:ascii="宋体" w:hAnsi="宋体" w:eastAsia="宋体" w:cs="宋体"/>
          <w:color w:val="auto"/>
          <w:spacing w:val="-3"/>
          <w:sz w:val="24"/>
          <w:szCs w:val="24"/>
          <w:highlight w:val="none"/>
        </w:rPr>
        <w:t>同价格的2%。</w:t>
      </w:r>
    </w:p>
    <w:p w14:paraId="6F7E2F67">
      <w:pPr>
        <w:pStyle w:val="28"/>
        <w:keepNext w:val="0"/>
        <w:pageBreakBefore w:val="0"/>
        <w:wordWrap/>
        <w:topLinePunct w:val="0"/>
        <w:autoSpaceDE/>
        <w:autoSpaceDN/>
        <w:bidi w:val="0"/>
        <w:adjustRightInd/>
        <w:spacing w:beforeLines="0" w:afterLines="0" w:line="440" w:lineRule="exact"/>
        <w:ind w:firstLine="512"/>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3"/>
          <w:sz w:val="24"/>
          <w:szCs w:val="24"/>
          <w:highlight w:val="none"/>
        </w:rPr>
        <w:t>3)其他未尽事宜待签订施工合同时双方再协商。</w:t>
      </w:r>
    </w:p>
    <w:p w14:paraId="52D51C4B">
      <w:pPr>
        <w:pStyle w:val="28"/>
        <w:keepNext w:val="0"/>
        <w:pageBreakBefore w:val="0"/>
        <w:wordWrap/>
        <w:topLinePunct w:val="0"/>
        <w:autoSpaceDE/>
        <w:autoSpaceDN/>
        <w:bidi w:val="0"/>
        <w:adjustRightInd/>
        <w:spacing w:beforeLines="0" w:afterLines="0" w:line="440" w:lineRule="exact"/>
        <w:ind w:right="14" w:firstLine="468" w:firstLineChars="200"/>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3"/>
          <w:sz w:val="24"/>
          <w:szCs w:val="24"/>
          <w:highlight w:val="none"/>
        </w:rPr>
        <w:t>(四)鼓励承包人根据工程建设实际，吸纳建档立卡贫困劳动力参加工程建</w:t>
      </w:r>
      <w:r>
        <w:rPr>
          <w:rStyle w:val="19"/>
          <w:rFonts w:hint="default" w:ascii="宋体" w:hAnsi="宋体" w:eastAsia="宋体" w:cs="宋体"/>
          <w:color w:val="auto"/>
          <w:spacing w:val="-12"/>
          <w:sz w:val="24"/>
          <w:szCs w:val="24"/>
          <w:highlight w:val="none"/>
        </w:rPr>
        <w:t>设。</w:t>
      </w:r>
    </w:p>
    <w:p w14:paraId="61D6ED30">
      <w:pPr>
        <w:pStyle w:val="28"/>
        <w:keepNext w:val="0"/>
        <w:pageBreakBefore w:val="0"/>
        <w:wordWrap/>
        <w:topLinePunct w:val="0"/>
        <w:autoSpaceDE/>
        <w:autoSpaceDN/>
        <w:bidi w:val="0"/>
        <w:adjustRightInd/>
        <w:spacing w:beforeLines="0" w:afterLines="0" w:line="440" w:lineRule="exact"/>
        <w:ind w:right="17" w:firstLine="440" w:firstLineChars="200"/>
        <w:textAlignment w:val="auto"/>
        <w:rPr>
          <w:rStyle w:val="19"/>
          <w:rFonts w:hint="default" w:ascii="Calibri" w:eastAsia="宋体"/>
          <w:color w:val="auto"/>
          <w:sz w:val="24"/>
          <w:szCs w:val="24"/>
          <w:highlight w:val="none"/>
        </w:rPr>
      </w:pPr>
      <w:r>
        <w:rPr>
          <w:rStyle w:val="19"/>
          <w:rFonts w:hint="default" w:ascii="宋体" w:hAnsi="宋体" w:eastAsia="宋体" w:cs="宋体"/>
          <w:color w:val="auto"/>
          <w:spacing w:val="-10"/>
          <w:sz w:val="24"/>
          <w:szCs w:val="24"/>
          <w:highlight w:val="none"/>
        </w:rPr>
        <w:t>（五）执行自治区关于松材线虫病防控工作的有关规定，工程建设采用的模</w:t>
      </w:r>
      <w:r>
        <w:rPr>
          <w:rStyle w:val="19"/>
          <w:rFonts w:hint="default" w:ascii="宋体" w:hAnsi="宋体" w:eastAsia="宋体" w:cs="宋体"/>
          <w:color w:val="auto"/>
          <w:spacing w:val="-13"/>
          <w:sz w:val="24"/>
          <w:szCs w:val="24"/>
          <w:highlight w:val="none"/>
        </w:rPr>
        <w:t>板、支撑及脚手架以钢模板、钢支撑为主，木质模板及仿材尽量就地采购，避免</w:t>
      </w:r>
      <w:r>
        <w:rPr>
          <w:rStyle w:val="19"/>
          <w:rFonts w:hint="default" w:ascii="宋体" w:hAnsi="宋体" w:eastAsia="宋体" w:cs="宋体"/>
          <w:color w:val="auto"/>
          <w:spacing w:val="-8"/>
          <w:sz w:val="24"/>
          <w:szCs w:val="24"/>
          <w:highlight w:val="none"/>
        </w:rPr>
        <w:t>长途转运。</w:t>
      </w:r>
    </w:p>
    <w:p w14:paraId="7909A578">
      <w:pPr>
        <w:keepNext w:val="0"/>
        <w:pageBreakBefore w:val="0"/>
        <w:wordWrap/>
        <w:topLinePunct w:val="0"/>
        <w:autoSpaceDE/>
        <w:autoSpaceDN/>
        <w:bidi w:val="0"/>
        <w:adjustRightInd/>
        <w:spacing w:line="440" w:lineRule="exact"/>
        <w:textAlignment w:val="auto"/>
        <w:rPr>
          <w:rFonts w:hint="eastAsia"/>
          <w:b/>
          <w:color w:val="auto"/>
          <w:sz w:val="24"/>
          <w:szCs w:val="24"/>
          <w:highlight w:val="none"/>
        </w:rPr>
      </w:pPr>
      <w:r>
        <w:rPr>
          <w:rFonts w:hint="eastAsia"/>
          <w:b/>
          <w:color w:val="auto"/>
          <w:sz w:val="24"/>
          <w:szCs w:val="24"/>
          <w:highlight w:val="none"/>
        </w:rPr>
        <w:t>4.2履约担保</w:t>
      </w:r>
    </w:p>
    <w:p w14:paraId="5A0BF5C1">
      <w:pPr>
        <w:pStyle w:val="28"/>
        <w:keepNext w:val="0"/>
        <w:pageBreakBefore w:val="0"/>
        <w:wordWrap/>
        <w:topLinePunct w:val="0"/>
        <w:autoSpaceDE/>
        <w:autoSpaceDN/>
        <w:bidi w:val="0"/>
        <w:adjustRightInd/>
        <w:spacing w:beforeLines="0" w:afterLines="0" w:line="440" w:lineRule="exact"/>
        <w:ind w:left="27" w:right="17" w:firstLine="399"/>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1"/>
          <w:sz w:val="24"/>
          <w:szCs w:val="24"/>
          <w:highlight w:val="none"/>
        </w:rPr>
        <w:t>4.2.1本工程履约担保采取可以银行保函、银行转账、工程担保或保证保险</w:t>
      </w:r>
      <w:r>
        <w:rPr>
          <w:rStyle w:val="19"/>
          <w:rFonts w:hint="default" w:ascii="宋体" w:hAnsi="宋体" w:eastAsia="宋体" w:cs="宋体"/>
          <w:color w:val="auto"/>
          <w:spacing w:val="-17"/>
          <w:sz w:val="24"/>
          <w:szCs w:val="24"/>
          <w:highlight w:val="none"/>
        </w:rPr>
        <w:t>等形式【备注：严禁要求中标人以现金方式提交保证金的行为】，不计利息；发</w:t>
      </w:r>
      <w:r>
        <w:rPr>
          <w:rStyle w:val="19"/>
          <w:rFonts w:hint="default" w:ascii="宋体" w:hAnsi="宋体" w:eastAsia="宋体" w:cs="宋体"/>
          <w:color w:val="auto"/>
          <w:spacing w:val="-3"/>
          <w:sz w:val="24"/>
          <w:szCs w:val="24"/>
          <w:highlight w:val="none"/>
        </w:rPr>
        <w:t>包人在合同工程完工证书颁布且工程竣工验收合格后28天内将履约担保退还给承包人。</w:t>
      </w:r>
    </w:p>
    <w:p w14:paraId="6A3E5208">
      <w:pPr>
        <w:pStyle w:val="28"/>
        <w:keepNext w:val="0"/>
        <w:pageBreakBefore w:val="0"/>
        <w:wordWrap/>
        <w:topLinePunct w:val="0"/>
        <w:autoSpaceDE/>
        <w:autoSpaceDN/>
        <w:bidi w:val="0"/>
        <w:adjustRightInd/>
        <w:spacing w:beforeLines="0" w:afterLines="0" w:line="440" w:lineRule="exact"/>
        <w:ind w:left="32" w:right="17" w:firstLine="394"/>
        <w:textAlignment w:val="auto"/>
        <w:rPr>
          <w:rStyle w:val="19"/>
          <w:rFonts w:hint="default" w:ascii="宋体" w:hAnsi="宋体" w:eastAsia="宋体" w:cs="宋体"/>
          <w:color w:val="auto"/>
          <w:spacing w:val="-1"/>
          <w:sz w:val="24"/>
          <w:szCs w:val="24"/>
          <w:highlight w:val="none"/>
        </w:rPr>
      </w:pPr>
      <w:r>
        <w:rPr>
          <w:rStyle w:val="19"/>
          <w:rFonts w:hint="default" w:ascii="宋体" w:hAnsi="宋体" w:eastAsia="宋体" w:cs="宋体"/>
          <w:color w:val="auto"/>
          <w:spacing w:val="-1"/>
          <w:sz w:val="24"/>
          <w:szCs w:val="24"/>
          <w:highlight w:val="none"/>
        </w:rPr>
        <w:t>4.2.2履约保证金金额：</w:t>
      </w:r>
      <w:r>
        <w:rPr>
          <w:rStyle w:val="19"/>
          <w:rFonts w:hint="default" w:ascii="宋体" w:hAnsi="宋体" w:eastAsia="宋体" w:cs="宋体"/>
          <w:color w:val="auto"/>
          <w:spacing w:val="-1"/>
          <w:sz w:val="24"/>
          <w:szCs w:val="24"/>
          <w:highlight w:val="none"/>
          <w:u w:val="single"/>
        </w:rPr>
        <w:t xml:space="preserve">  本项目不收取履约保证金 。</w:t>
      </w:r>
    </w:p>
    <w:p w14:paraId="21A296F0">
      <w:pPr>
        <w:pStyle w:val="28"/>
        <w:keepNext w:val="0"/>
        <w:pageBreakBefore w:val="0"/>
        <w:wordWrap/>
        <w:topLinePunct w:val="0"/>
        <w:autoSpaceDE/>
        <w:autoSpaceDN/>
        <w:bidi w:val="0"/>
        <w:adjustRightInd/>
        <w:spacing w:beforeLines="0" w:afterLines="0" w:line="440" w:lineRule="exact"/>
        <w:ind w:left="32" w:right="17" w:firstLine="394"/>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1"/>
          <w:sz w:val="24"/>
          <w:szCs w:val="24"/>
          <w:highlight w:val="none"/>
        </w:rPr>
        <w:t>4.2.3履约保证金递交方式：电汇、转帐、网上银行支付、保函等非现金形</w:t>
      </w:r>
      <w:r>
        <w:rPr>
          <w:rStyle w:val="19"/>
          <w:rFonts w:hint="default" w:ascii="宋体" w:hAnsi="宋体" w:eastAsia="宋体" w:cs="宋体"/>
          <w:color w:val="auto"/>
          <w:spacing w:val="-13"/>
          <w:sz w:val="24"/>
          <w:szCs w:val="24"/>
          <w:highlight w:val="none"/>
        </w:rPr>
        <w:t>式。</w:t>
      </w:r>
    </w:p>
    <w:p w14:paraId="25A14A55">
      <w:pPr>
        <w:pStyle w:val="28"/>
        <w:keepNext w:val="0"/>
        <w:pageBreakBefore w:val="0"/>
        <w:wordWrap/>
        <w:topLinePunct w:val="0"/>
        <w:autoSpaceDE/>
        <w:autoSpaceDN/>
        <w:bidi w:val="0"/>
        <w:adjustRightInd/>
        <w:spacing w:beforeLines="0" w:afterLines="0" w:line="440" w:lineRule="exact"/>
        <w:ind w:left="29" w:right="16" w:firstLine="397"/>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1"/>
          <w:sz w:val="24"/>
          <w:szCs w:val="24"/>
          <w:highlight w:val="none"/>
        </w:rPr>
        <w:t>4.4.4履约保证金退还：履约保证金必须在招标人书面确认项目完成并同意</w:t>
      </w:r>
      <w:r>
        <w:rPr>
          <w:rStyle w:val="19"/>
          <w:rFonts w:hint="default" w:ascii="宋体" w:hAnsi="宋体" w:eastAsia="宋体" w:cs="宋体"/>
          <w:color w:val="auto"/>
          <w:spacing w:val="-2"/>
          <w:sz w:val="24"/>
          <w:szCs w:val="24"/>
          <w:highlight w:val="none"/>
        </w:rPr>
        <w:t>后才能退还，并退还到中标人的基本帐户，退还时中标人须提供以下资料：</w:t>
      </w:r>
    </w:p>
    <w:p w14:paraId="473B4D83">
      <w:pPr>
        <w:pStyle w:val="28"/>
        <w:keepNext w:val="0"/>
        <w:pageBreakBefore w:val="0"/>
        <w:wordWrap/>
        <w:topLinePunct w:val="0"/>
        <w:autoSpaceDE/>
        <w:autoSpaceDN/>
        <w:bidi w:val="0"/>
        <w:adjustRightInd/>
        <w:spacing w:beforeLines="0" w:afterLines="0" w:line="440" w:lineRule="exact"/>
        <w:ind w:firstLine="434"/>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4"/>
          <w:sz w:val="24"/>
          <w:szCs w:val="24"/>
          <w:highlight w:val="none"/>
        </w:rPr>
        <w:t>（1）《履约保证金退付审批表》一式四份；</w:t>
      </w:r>
    </w:p>
    <w:p w14:paraId="408C14C1">
      <w:pPr>
        <w:pStyle w:val="28"/>
        <w:keepNext w:val="0"/>
        <w:pageBreakBefore w:val="0"/>
        <w:wordWrap/>
        <w:topLinePunct w:val="0"/>
        <w:autoSpaceDE/>
        <w:autoSpaceDN/>
        <w:bidi w:val="0"/>
        <w:adjustRightInd/>
        <w:spacing w:beforeLines="0" w:afterLines="0" w:line="440" w:lineRule="exact"/>
        <w:ind w:firstLine="434"/>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6"/>
          <w:sz w:val="24"/>
          <w:szCs w:val="24"/>
          <w:highlight w:val="none"/>
        </w:rPr>
        <w:t>（2）履约保证金收据原件；</w:t>
      </w:r>
    </w:p>
    <w:p w14:paraId="6B2E342B">
      <w:pPr>
        <w:pStyle w:val="28"/>
        <w:keepNext w:val="0"/>
        <w:pageBreakBefore w:val="0"/>
        <w:wordWrap/>
        <w:topLinePunct w:val="0"/>
        <w:autoSpaceDE/>
        <w:autoSpaceDN/>
        <w:bidi w:val="0"/>
        <w:adjustRightInd/>
        <w:spacing w:beforeLines="0" w:afterLines="0" w:line="440" w:lineRule="exact"/>
        <w:ind w:firstLine="434"/>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7"/>
          <w:sz w:val="24"/>
          <w:szCs w:val="24"/>
          <w:highlight w:val="none"/>
        </w:rPr>
        <w:t>（3）《验收证明》；</w:t>
      </w:r>
    </w:p>
    <w:p w14:paraId="45F12180">
      <w:pPr>
        <w:pStyle w:val="28"/>
        <w:keepNext w:val="0"/>
        <w:pageBreakBefore w:val="0"/>
        <w:wordWrap/>
        <w:topLinePunct w:val="0"/>
        <w:autoSpaceDE/>
        <w:autoSpaceDN/>
        <w:bidi w:val="0"/>
        <w:adjustRightInd/>
        <w:spacing w:beforeLines="0" w:afterLines="0" w:line="440" w:lineRule="exact"/>
        <w:ind w:firstLine="434"/>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6"/>
          <w:sz w:val="24"/>
          <w:szCs w:val="24"/>
          <w:highlight w:val="none"/>
        </w:rPr>
        <w:t>（4）《合同》复印件；</w:t>
      </w:r>
    </w:p>
    <w:p w14:paraId="358A73AA">
      <w:pPr>
        <w:pStyle w:val="28"/>
        <w:keepNext w:val="0"/>
        <w:pageBreakBefore w:val="0"/>
        <w:wordWrap/>
        <w:topLinePunct w:val="0"/>
        <w:autoSpaceDE/>
        <w:autoSpaceDN/>
        <w:bidi w:val="0"/>
        <w:adjustRightInd/>
        <w:spacing w:beforeLines="0" w:afterLines="0" w:line="440" w:lineRule="exact"/>
        <w:ind w:firstLine="434"/>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2"/>
          <w:sz w:val="24"/>
          <w:szCs w:val="24"/>
          <w:highlight w:val="none"/>
        </w:rPr>
        <w:t>（5）银行开户许可证或银行转账底单复印件（加盖公章）。</w:t>
      </w:r>
    </w:p>
    <w:p w14:paraId="69273261">
      <w:pPr>
        <w:pStyle w:val="28"/>
        <w:keepNext w:val="0"/>
        <w:pageBreakBefore w:val="0"/>
        <w:wordWrap/>
        <w:topLinePunct w:val="0"/>
        <w:autoSpaceDE/>
        <w:autoSpaceDN/>
        <w:bidi w:val="0"/>
        <w:adjustRightInd/>
        <w:spacing w:beforeLines="0" w:afterLines="0" w:line="440" w:lineRule="exact"/>
        <w:ind w:left="35" w:right="54" w:firstLine="392"/>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12"/>
          <w:sz w:val="24"/>
          <w:szCs w:val="24"/>
          <w:highlight w:val="none"/>
        </w:rPr>
        <w:t>注：开履约保证金收据需要提供的资料：银行转账凭证底单复印件（加盖公章）。</w:t>
      </w:r>
    </w:p>
    <w:p w14:paraId="6DC4AE68">
      <w:pPr>
        <w:pStyle w:val="28"/>
        <w:keepNext w:val="0"/>
        <w:pageBreakBefore w:val="0"/>
        <w:wordWrap/>
        <w:topLinePunct w:val="0"/>
        <w:autoSpaceDE/>
        <w:autoSpaceDN/>
        <w:bidi w:val="0"/>
        <w:adjustRightInd/>
        <w:spacing w:beforeLines="0" w:afterLines="0" w:line="440" w:lineRule="exact"/>
        <w:ind w:left="26" w:right="51" w:firstLine="404"/>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9"/>
          <w:sz w:val="24"/>
          <w:szCs w:val="24"/>
          <w:highlight w:val="none"/>
        </w:rPr>
        <w:t>备注</w:t>
      </w:r>
      <w:r>
        <w:rPr>
          <w:rStyle w:val="19"/>
          <w:rFonts w:hint="default" w:ascii="宋体" w:hAnsi="宋体" w:eastAsia="宋体" w:cs="宋体"/>
          <w:color w:val="auto"/>
          <w:spacing w:val="-10"/>
          <w:sz w:val="24"/>
          <w:szCs w:val="24"/>
          <w:highlight w:val="none"/>
        </w:rPr>
        <w:t>：（</w:t>
      </w:r>
      <w:r>
        <w:rPr>
          <w:rStyle w:val="19"/>
          <w:rFonts w:hint="default" w:ascii="宋体" w:hAnsi="宋体" w:eastAsia="宋体" w:cs="宋体"/>
          <w:color w:val="auto"/>
          <w:spacing w:val="-9"/>
          <w:sz w:val="24"/>
          <w:szCs w:val="24"/>
          <w:highlight w:val="none"/>
        </w:rPr>
        <w:t>1）履约保证金不足额缴纳的，或金融机构、担保机构出具的保函</w:t>
      </w:r>
      <w:r>
        <w:rPr>
          <w:rStyle w:val="19"/>
          <w:rFonts w:hint="default" w:ascii="宋体" w:hAnsi="宋体" w:eastAsia="宋体" w:cs="宋体"/>
          <w:color w:val="auto"/>
          <w:spacing w:val="-4"/>
          <w:sz w:val="24"/>
          <w:szCs w:val="24"/>
          <w:highlight w:val="none"/>
        </w:rPr>
        <w:t>额度不足的或者保函有效期低于合同履行期限（即签订采购合同之日起至履行完</w:t>
      </w:r>
      <w:r>
        <w:rPr>
          <w:rStyle w:val="19"/>
          <w:rFonts w:hint="default" w:ascii="宋体" w:hAnsi="宋体" w:eastAsia="宋体" w:cs="宋体"/>
          <w:color w:val="auto"/>
          <w:sz w:val="24"/>
          <w:szCs w:val="24"/>
          <w:highlight w:val="none"/>
        </w:rPr>
        <w:t>合同约定的权利及义务之日止）的，不予签订合同。（2）采用金融机构、担保</w:t>
      </w:r>
      <w:r>
        <w:rPr>
          <w:rStyle w:val="19"/>
          <w:rFonts w:hint="default" w:ascii="宋体" w:hAnsi="宋体" w:eastAsia="宋体" w:cs="宋体"/>
          <w:color w:val="auto"/>
          <w:spacing w:val="-2"/>
          <w:sz w:val="24"/>
          <w:szCs w:val="24"/>
          <w:highlight w:val="none"/>
        </w:rPr>
        <w:t>机构出具的保函的，必须为无条件保函，否则不予签订合同。</w:t>
      </w:r>
    </w:p>
    <w:p w14:paraId="2A491531">
      <w:pPr>
        <w:keepNext w:val="0"/>
        <w:pageBreakBefore w:val="0"/>
        <w:wordWrap/>
        <w:topLinePunct w:val="0"/>
        <w:autoSpaceDE/>
        <w:autoSpaceDN/>
        <w:bidi w:val="0"/>
        <w:adjustRightInd/>
        <w:spacing w:line="440" w:lineRule="exact"/>
        <w:textAlignment w:val="auto"/>
        <w:rPr>
          <w:rFonts w:hint="eastAsia"/>
          <w:b/>
          <w:color w:val="auto"/>
          <w:sz w:val="24"/>
          <w:szCs w:val="24"/>
          <w:highlight w:val="none"/>
        </w:rPr>
      </w:pPr>
      <w:r>
        <w:rPr>
          <w:rFonts w:hint="eastAsia"/>
          <w:b/>
          <w:color w:val="auto"/>
          <w:sz w:val="24"/>
          <w:szCs w:val="24"/>
          <w:highlight w:val="none"/>
        </w:rPr>
        <w:t>4.3分包</w:t>
      </w:r>
    </w:p>
    <w:p w14:paraId="1B46B23D">
      <w:pPr>
        <w:pStyle w:val="28"/>
        <w:keepNext w:val="0"/>
        <w:pageBreakBefore w:val="0"/>
        <w:wordWrap/>
        <w:topLinePunct w:val="0"/>
        <w:autoSpaceDE/>
        <w:autoSpaceDN/>
        <w:bidi w:val="0"/>
        <w:adjustRightInd/>
        <w:spacing w:beforeLines="0" w:afterLines="0" w:line="440" w:lineRule="exact"/>
        <w:ind w:left="26" w:right="52" w:firstLine="479"/>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6"/>
          <w:sz w:val="24"/>
          <w:szCs w:val="24"/>
          <w:highlight w:val="none"/>
        </w:rPr>
        <w:t>4.3.1承包人不得将其承包的全部工程转包给第三人，或将其承包的全部工</w:t>
      </w:r>
      <w:r>
        <w:rPr>
          <w:rStyle w:val="19"/>
          <w:rFonts w:hint="default" w:ascii="宋体" w:hAnsi="宋体" w:eastAsia="宋体" w:cs="宋体"/>
          <w:color w:val="auto"/>
          <w:spacing w:val="-2"/>
          <w:sz w:val="24"/>
          <w:szCs w:val="24"/>
          <w:highlight w:val="none"/>
        </w:rPr>
        <w:t>程肢解后以分包的名义转包给第三人。具有下列情形之一的，认定为转包：</w:t>
      </w:r>
    </w:p>
    <w:p w14:paraId="0430D43B">
      <w:pPr>
        <w:pStyle w:val="28"/>
        <w:keepNext w:val="0"/>
        <w:pageBreakBefore w:val="0"/>
        <w:wordWrap/>
        <w:topLinePunct w:val="0"/>
        <w:autoSpaceDE/>
        <w:autoSpaceDN/>
        <w:bidi w:val="0"/>
        <w:adjustRightInd/>
        <w:spacing w:beforeLines="0" w:afterLines="0" w:line="440" w:lineRule="exact"/>
        <w:ind w:firstLine="513"/>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3"/>
          <w:sz w:val="24"/>
          <w:szCs w:val="24"/>
          <w:highlight w:val="none"/>
        </w:rPr>
        <w:t>（一）承包人将其承包的全部工程转给其他单位或个人施工的；</w:t>
      </w:r>
    </w:p>
    <w:p w14:paraId="6BE32E9B">
      <w:pPr>
        <w:pStyle w:val="28"/>
        <w:keepNext w:val="0"/>
        <w:pageBreakBefore w:val="0"/>
        <w:wordWrap/>
        <w:topLinePunct w:val="0"/>
        <w:autoSpaceDE/>
        <w:autoSpaceDN/>
        <w:bidi w:val="0"/>
        <w:adjustRightInd/>
        <w:spacing w:beforeLines="0" w:afterLines="0" w:line="440" w:lineRule="exact"/>
        <w:ind w:left="29" w:right="52" w:firstLine="484"/>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4"/>
          <w:sz w:val="24"/>
          <w:szCs w:val="24"/>
          <w:highlight w:val="none"/>
        </w:rPr>
        <w:t>（二）承包人将其承包的全部工程肢解以后以分包的名义转给其他单位或个</w:t>
      </w:r>
      <w:r>
        <w:rPr>
          <w:rStyle w:val="19"/>
          <w:rFonts w:hint="default" w:ascii="宋体" w:hAnsi="宋体" w:eastAsia="宋体" w:cs="宋体"/>
          <w:color w:val="auto"/>
          <w:spacing w:val="-11"/>
          <w:sz w:val="24"/>
          <w:szCs w:val="24"/>
          <w:highlight w:val="none"/>
        </w:rPr>
        <w:t>人施工的;</w:t>
      </w:r>
    </w:p>
    <w:p w14:paraId="6B3AAC07">
      <w:pPr>
        <w:pStyle w:val="28"/>
        <w:keepNext w:val="0"/>
        <w:pageBreakBefore w:val="0"/>
        <w:wordWrap/>
        <w:topLinePunct w:val="0"/>
        <w:autoSpaceDE/>
        <w:autoSpaceDN/>
        <w:bidi w:val="0"/>
        <w:adjustRightInd/>
        <w:spacing w:beforeLines="0" w:afterLines="0" w:line="440" w:lineRule="exact"/>
        <w:ind w:left="25" w:firstLine="488"/>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3"/>
          <w:sz w:val="24"/>
          <w:szCs w:val="24"/>
          <w:highlight w:val="none"/>
        </w:rPr>
        <w:t>（三）承包人将其承包的全部工程以内部承包合同等形式交由分公司施工，</w:t>
      </w:r>
      <w:r>
        <w:rPr>
          <w:rStyle w:val="19"/>
          <w:rFonts w:hint="default" w:ascii="宋体" w:hAnsi="宋体" w:eastAsia="宋体" w:cs="宋体"/>
          <w:color w:val="auto"/>
          <w:spacing w:val="-4"/>
          <w:sz w:val="24"/>
          <w:szCs w:val="24"/>
          <w:highlight w:val="none"/>
        </w:rPr>
        <w:t>但分公司成立未履行合法手续的；</w:t>
      </w:r>
    </w:p>
    <w:p w14:paraId="6ADC9EE1">
      <w:pPr>
        <w:pStyle w:val="28"/>
        <w:keepNext w:val="0"/>
        <w:pageBreakBefore w:val="0"/>
        <w:wordWrap/>
        <w:topLinePunct w:val="0"/>
        <w:autoSpaceDE/>
        <w:autoSpaceDN/>
        <w:bidi w:val="0"/>
        <w:adjustRightInd/>
        <w:spacing w:beforeLines="0" w:afterLines="0" w:line="440" w:lineRule="exact"/>
        <w:ind w:left="56" w:right="52" w:firstLine="457"/>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10"/>
          <w:sz w:val="24"/>
          <w:szCs w:val="24"/>
          <w:highlight w:val="none"/>
        </w:rPr>
        <w:t>（四）采取联营合作等形式的承包人，其中一方将应由其实施的全部工程交</w:t>
      </w:r>
      <w:r>
        <w:rPr>
          <w:rStyle w:val="19"/>
          <w:rFonts w:hint="default" w:ascii="宋体" w:hAnsi="宋体" w:eastAsia="宋体" w:cs="宋体"/>
          <w:color w:val="auto"/>
          <w:spacing w:val="-9"/>
          <w:sz w:val="24"/>
          <w:szCs w:val="24"/>
          <w:highlight w:val="none"/>
        </w:rPr>
        <w:t>由联营合作方施工的；</w:t>
      </w:r>
    </w:p>
    <w:p w14:paraId="23719C05">
      <w:pPr>
        <w:pStyle w:val="28"/>
        <w:keepNext w:val="0"/>
        <w:pageBreakBefore w:val="0"/>
        <w:wordWrap/>
        <w:topLinePunct w:val="0"/>
        <w:autoSpaceDE/>
        <w:autoSpaceDN/>
        <w:bidi w:val="0"/>
        <w:adjustRightInd/>
        <w:spacing w:beforeLines="0" w:afterLines="0" w:line="440" w:lineRule="exact"/>
        <w:ind w:left="29" w:right="52" w:firstLine="484"/>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10"/>
          <w:sz w:val="24"/>
          <w:szCs w:val="24"/>
          <w:highlight w:val="none"/>
        </w:rPr>
        <w:t>（五）全部工程由劳务作业分包单位实施，劳务作业分包单位计取报酬是除</w:t>
      </w:r>
      <w:r>
        <w:rPr>
          <w:rStyle w:val="19"/>
          <w:rFonts w:hint="default" w:ascii="宋体" w:hAnsi="宋体" w:eastAsia="宋体" w:cs="宋体"/>
          <w:color w:val="auto"/>
          <w:spacing w:val="-4"/>
          <w:sz w:val="24"/>
          <w:szCs w:val="24"/>
          <w:highlight w:val="none"/>
        </w:rPr>
        <w:t>上缴给承包人管理费之外全部工程价款的；</w:t>
      </w:r>
    </w:p>
    <w:p w14:paraId="7620B018">
      <w:pPr>
        <w:pStyle w:val="28"/>
        <w:keepNext w:val="0"/>
        <w:pageBreakBefore w:val="0"/>
        <w:wordWrap/>
        <w:topLinePunct w:val="0"/>
        <w:autoSpaceDE/>
        <w:autoSpaceDN/>
        <w:bidi w:val="0"/>
        <w:adjustRightInd/>
        <w:spacing w:beforeLines="0" w:afterLines="0" w:line="440" w:lineRule="exact"/>
        <w:ind w:firstLine="513"/>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4"/>
          <w:sz w:val="24"/>
          <w:szCs w:val="24"/>
          <w:highlight w:val="none"/>
        </w:rPr>
        <w:t>（六）承包人未设立现场管理机构的；</w:t>
      </w:r>
    </w:p>
    <w:p w14:paraId="4A190390">
      <w:pPr>
        <w:pStyle w:val="28"/>
        <w:keepNext w:val="0"/>
        <w:pageBreakBefore w:val="0"/>
        <w:wordWrap/>
        <w:topLinePunct w:val="0"/>
        <w:autoSpaceDE/>
        <w:autoSpaceDN/>
        <w:bidi w:val="0"/>
        <w:adjustRightInd/>
        <w:spacing w:beforeLines="0" w:afterLines="0" w:line="440" w:lineRule="exact"/>
        <w:ind w:left="29" w:right="51" w:firstLine="484"/>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7"/>
          <w:sz w:val="24"/>
          <w:szCs w:val="24"/>
          <w:highlight w:val="none"/>
        </w:rPr>
        <w:t>（七）承包人未派驻项目负责人、技术负责人、财务负责人、质量管理负责</w:t>
      </w:r>
      <w:r>
        <w:rPr>
          <w:rStyle w:val="19"/>
          <w:rFonts w:hint="default" w:ascii="宋体" w:hAnsi="宋体" w:eastAsia="宋体" w:cs="宋体"/>
          <w:color w:val="auto"/>
          <w:spacing w:val="-4"/>
          <w:sz w:val="24"/>
          <w:szCs w:val="24"/>
          <w:highlight w:val="none"/>
        </w:rPr>
        <w:t>人、安全管理负责人等主要管理人员或者派驻的上述人员中全部不是本单位人员</w:t>
      </w:r>
      <w:r>
        <w:rPr>
          <w:rStyle w:val="19"/>
          <w:rFonts w:hint="default" w:ascii="宋体" w:hAnsi="宋体" w:eastAsia="宋体" w:cs="宋体"/>
          <w:color w:val="auto"/>
          <w:spacing w:val="-17"/>
          <w:sz w:val="24"/>
          <w:szCs w:val="24"/>
          <w:highlight w:val="none"/>
        </w:rPr>
        <w:t>的；</w:t>
      </w:r>
    </w:p>
    <w:p w14:paraId="66960860">
      <w:pPr>
        <w:pStyle w:val="28"/>
        <w:keepNext w:val="0"/>
        <w:pageBreakBefore w:val="0"/>
        <w:wordWrap/>
        <w:topLinePunct w:val="0"/>
        <w:autoSpaceDE/>
        <w:autoSpaceDN/>
        <w:bidi w:val="0"/>
        <w:adjustRightInd/>
        <w:spacing w:beforeLines="0" w:afterLines="0" w:line="440" w:lineRule="exact"/>
        <w:ind w:firstLine="513"/>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3"/>
          <w:sz w:val="24"/>
          <w:szCs w:val="24"/>
          <w:highlight w:val="none"/>
        </w:rPr>
        <w:t>（八）承包人不履行管理义务，只向实际施工单位收取管理费的；</w:t>
      </w:r>
    </w:p>
    <w:p w14:paraId="7CC54824">
      <w:pPr>
        <w:pStyle w:val="28"/>
        <w:keepNext w:val="0"/>
        <w:pageBreakBefore w:val="0"/>
        <w:wordWrap/>
        <w:topLinePunct w:val="0"/>
        <w:autoSpaceDE/>
        <w:autoSpaceDN/>
        <w:bidi w:val="0"/>
        <w:adjustRightInd/>
        <w:spacing w:beforeLines="0" w:afterLines="0" w:line="440" w:lineRule="exact"/>
        <w:ind w:firstLine="513"/>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3"/>
          <w:sz w:val="24"/>
          <w:szCs w:val="24"/>
          <w:highlight w:val="none"/>
        </w:rPr>
        <w:t>（九）法律法规规定的其他转包行为。</w:t>
      </w:r>
    </w:p>
    <w:p w14:paraId="3F8C98B3">
      <w:pPr>
        <w:pStyle w:val="28"/>
        <w:keepNext w:val="0"/>
        <w:pageBreakBefore w:val="0"/>
        <w:wordWrap/>
        <w:topLinePunct w:val="0"/>
        <w:autoSpaceDE/>
        <w:autoSpaceDN/>
        <w:bidi w:val="0"/>
        <w:adjustRightInd/>
        <w:spacing w:beforeLines="0" w:afterLines="0" w:line="440" w:lineRule="exact"/>
        <w:ind w:left="28" w:right="52"/>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17"/>
          <w:sz w:val="24"/>
          <w:szCs w:val="24"/>
          <w:highlight w:val="none"/>
        </w:rPr>
        <w:t>本款所称本单位人员，是指在本单位工作，并与本单位签订劳动合同，由本单位</w:t>
      </w:r>
      <w:r>
        <w:rPr>
          <w:rStyle w:val="19"/>
          <w:rFonts w:hint="default" w:ascii="宋体" w:hAnsi="宋体" w:eastAsia="宋体" w:cs="宋体"/>
          <w:color w:val="auto"/>
          <w:spacing w:val="-3"/>
          <w:sz w:val="24"/>
          <w:szCs w:val="24"/>
          <w:highlight w:val="none"/>
        </w:rPr>
        <w:t>支付劳动报酬、缴纳社会保险的人员。</w:t>
      </w:r>
    </w:p>
    <w:p w14:paraId="49007603">
      <w:pPr>
        <w:pStyle w:val="28"/>
        <w:keepNext w:val="0"/>
        <w:pageBreakBefore w:val="0"/>
        <w:wordWrap/>
        <w:topLinePunct w:val="0"/>
        <w:autoSpaceDE/>
        <w:autoSpaceDN/>
        <w:bidi w:val="0"/>
        <w:adjustRightInd/>
        <w:spacing w:beforeLines="0" w:afterLines="0" w:line="440" w:lineRule="exact"/>
        <w:ind w:left="30" w:right="781" w:firstLine="476"/>
        <w:textAlignment w:val="auto"/>
        <w:rPr>
          <w:rStyle w:val="19"/>
          <w:rFonts w:hint="default" w:ascii="宋体" w:hAnsi="宋体" w:eastAsia="宋体" w:cs="宋体"/>
          <w:color w:val="auto"/>
          <w:spacing w:val="-4"/>
          <w:sz w:val="24"/>
          <w:szCs w:val="24"/>
          <w:highlight w:val="none"/>
        </w:rPr>
      </w:pPr>
      <w:r>
        <w:rPr>
          <w:rStyle w:val="19"/>
          <w:rFonts w:hint="default" w:ascii="宋体" w:hAnsi="宋体" w:eastAsia="宋体" w:cs="宋体"/>
          <w:color w:val="auto"/>
          <w:spacing w:val="-4"/>
          <w:sz w:val="24"/>
          <w:szCs w:val="24"/>
          <w:highlight w:val="none"/>
        </w:rPr>
        <w:t>4.3.2允许承包人分包的工程项目、工作内容与分包金额限额为：</w:t>
      </w:r>
    </w:p>
    <w:p w14:paraId="0F421890">
      <w:pPr>
        <w:pStyle w:val="28"/>
        <w:keepNext w:val="0"/>
        <w:pageBreakBefore w:val="0"/>
        <w:wordWrap/>
        <w:topLinePunct w:val="0"/>
        <w:autoSpaceDE/>
        <w:autoSpaceDN/>
        <w:bidi w:val="0"/>
        <w:adjustRightInd/>
        <w:spacing w:beforeLines="0" w:afterLines="0" w:line="440" w:lineRule="exact"/>
        <w:ind w:left="30" w:right="781" w:firstLine="476"/>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6"/>
          <w:sz w:val="24"/>
          <w:szCs w:val="24"/>
          <w:highlight w:val="none"/>
        </w:rPr>
        <w:t>工程项目：</w:t>
      </w:r>
      <w:r>
        <w:rPr>
          <w:rStyle w:val="19"/>
          <w:rFonts w:hint="default" w:ascii="宋体" w:hAnsi="宋体" w:eastAsia="宋体" w:cs="宋体"/>
          <w:color w:val="auto"/>
          <w:spacing w:val="-6"/>
          <w:sz w:val="24"/>
          <w:szCs w:val="24"/>
          <w:highlight w:val="none"/>
          <w:u w:val="single"/>
        </w:rPr>
        <w:t xml:space="preserve">  无  </w:t>
      </w:r>
      <w:r>
        <w:rPr>
          <w:rStyle w:val="19"/>
          <w:rFonts w:hint="default" w:ascii="宋体" w:hAnsi="宋体" w:eastAsia="宋体" w:cs="宋体"/>
          <w:color w:val="auto"/>
          <w:spacing w:val="-6"/>
          <w:sz w:val="24"/>
          <w:szCs w:val="24"/>
          <w:highlight w:val="none"/>
        </w:rPr>
        <w:t>。</w:t>
      </w:r>
    </w:p>
    <w:p w14:paraId="1C998D17">
      <w:pPr>
        <w:pStyle w:val="28"/>
        <w:keepNext w:val="0"/>
        <w:pageBreakBefore w:val="0"/>
        <w:wordWrap/>
        <w:topLinePunct w:val="0"/>
        <w:autoSpaceDE/>
        <w:autoSpaceDN/>
        <w:bidi w:val="0"/>
        <w:adjustRightInd/>
        <w:spacing w:beforeLines="0" w:afterLines="0" w:line="440" w:lineRule="exact"/>
        <w:ind w:firstLine="485" w:firstLineChars="213"/>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6"/>
          <w:sz w:val="24"/>
          <w:szCs w:val="24"/>
          <w:highlight w:val="none"/>
        </w:rPr>
        <w:t>工作内容：</w:t>
      </w:r>
      <w:r>
        <w:rPr>
          <w:rStyle w:val="19"/>
          <w:rFonts w:hint="default" w:ascii="宋体" w:hAnsi="宋体" w:eastAsia="宋体" w:cs="宋体"/>
          <w:color w:val="auto"/>
          <w:spacing w:val="-6"/>
          <w:sz w:val="24"/>
          <w:szCs w:val="24"/>
          <w:highlight w:val="none"/>
          <w:u w:val="single"/>
        </w:rPr>
        <w:t xml:space="preserve">  无  </w:t>
      </w:r>
      <w:r>
        <w:rPr>
          <w:rStyle w:val="19"/>
          <w:rFonts w:hint="default" w:ascii="宋体" w:hAnsi="宋体" w:eastAsia="宋体" w:cs="宋体"/>
          <w:color w:val="auto"/>
          <w:spacing w:val="-6"/>
          <w:sz w:val="24"/>
          <w:szCs w:val="24"/>
          <w:highlight w:val="none"/>
        </w:rPr>
        <w:t>。</w:t>
      </w:r>
    </w:p>
    <w:p w14:paraId="4B7E0A92">
      <w:pPr>
        <w:pStyle w:val="28"/>
        <w:keepNext w:val="0"/>
        <w:pageBreakBefore w:val="0"/>
        <w:wordWrap/>
        <w:topLinePunct w:val="0"/>
        <w:autoSpaceDE/>
        <w:autoSpaceDN/>
        <w:bidi w:val="0"/>
        <w:adjustRightInd/>
        <w:spacing w:beforeLines="0" w:afterLines="0" w:line="440" w:lineRule="exact"/>
        <w:ind w:firstLine="489" w:firstLineChars="213"/>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5"/>
          <w:sz w:val="24"/>
          <w:szCs w:val="24"/>
          <w:highlight w:val="none"/>
        </w:rPr>
        <w:t>分包金额限额：</w:t>
      </w:r>
      <w:r>
        <w:rPr>
          <w:rStyle w:val="19"/>
          <w:rFonts w:hint="default" w:ascii="宋体" w:hAnsi="宋体" w:eastAsia="宋体" w:cs="宋体"/>
          <w:color w:val="auto"/>
          <w:spacing w:val="-5"/>
          <w:sz w:val="24"/>
          <w:szCs w:val="24"/>
          <w:highlight w:val="none"/>
          <w:u w:val="single"/>
        </w:rPr>
        <w:t xml:space="preserve">  无  </w:t>
      </w:r>
      <w:r>
        <w:rPr>
          <w:rStyle w:val="19"/>
          <w:rFonts w:hint="default" w:ascii="宋体" w:hAnsi="宋体" w:eastAsia="宋体" w:cs="宋体"/>
          <w:color w:val="auto"/>
          <w:spacing w:val="-5"/>
          <w:sz w:val="24"/>
          <w:szCs w:val="24"/>
          <w:highlight w:val="none"/>
        </w:rPr>
        <w:t>。</w:t>
      </w:r>
    </w:p>
    <w:p w14:paraId="48A0EF89">
      <w:pPr>
        <w:pStyle w:val="28"/>
        <w:keepNext w:val="0"/>
        <w:pageBreakBefore w:val="0"/>
        <w:wordWrap/>
        <w:topLinePunct w:val="0"/>
        <w:autoSpaceDE/>
        <w:autoSpaceDN/>
        <w:bidi w:val="0"/>
        <w:adjustRightInd/>
        <w:spacing w:beforeLines="0" w:afterLines="0" w:line="440" w:lineRule="exact"/>
        <w:ind w:firstLine="446"/>
        <w:textAlignment w:val="auto"/>
        <w:rPr>
          <w:rStyle w:val="19"/>
          <w:rFonts w:hint="default" w:ascii="Calibri" w:eastAsia="宋体"/>
          <w:color w:val="auto"/>
          <w:sz w:val="24"/>
          <w:szCs w:val="24"/>
          <w:highlight w:val="none"/>
        </w:rPr>
      </w:pPr>
      <w:r>
        <w:rPr>
          <w:rStyle w:val="19"/>
          <w:rFonts w:hint="default" w:ascii="宋体" w:hAnsi="宋体" w:eastAsia="宋体" w:cs="宋体"/>
          <w:color w:val="auto"/>
          <w:spacing w:val="-12"/>
          <w:sz w:val="24"/>
          <w:szCs w:val="24"/>
          <w:highlight w:val="none"/>
        </w:rPr>
        <w:t>4.3.10分包人项目管理机构的设立：</w:t>
      </w:r>
      <w:r>
        <w:rPr>
          <w:rStyle w:val="19"/>
          <w:rFonts w:hint="default" w:ascii="宋体" w:hAnsi="宋体" w:eastAsia="宋体" w:cs="宋体"/>
          <w:color w:val="auto"/>
          <w:spacing w:val="-12"/>
          <w:sz w:val="24"/>
          <w:szCs w:val="24"/>
          <w:highlight w:val="none"/>
          <w:u w:val="single"/>
        </w:rPr>
        <w:t xml:space="preserve">   无  </w:t>
      </w:r>
      <w:r>
        <w:rPr>
          <w:rStyle w:val="19"/>
          <w:rFonts w:hint="default" w:ascii="宋体" w:hAnsi="宋体" w:eastAsia="宋体" w:cs="宋体"/>
          <w:color w:val="auto"/>
          <w:spacing w:val="-12"/>
          <w:sz w:val="24"/>
          <w:szCs w:val="24"/>
          <w:highlight w:val="none"/>
        </w:rPr>
        <w:t>。</w:t>
      </w:r>
    </w:p>
    <w:p w14:paraId="6B108077">
      <w:pPr>
        <w:keepNext w:val="0"/>
        <w:pageBreakBefore w:val="0"/>
        <w:wordWrap/>
        <w:topLinePunct w:val="0"/>
        <w:autoSpaceDE/>
        <w:autoSpaceDN/>
        <w:bidi w:val="0"/>
        <w:adjustRightInd/>
        <w:spacing w:line="440" w:lineRule="exact"/>
        <w:textAlignment w:val="auto"/>
        <w:rPr>
          <w:rFonts w:hint="eastAsia"/>
          <w:b/>
          <w:color w:val="auto"/>
          <w:sz w:val="24"/>
          <w:szCs w:val="24"/>
          <w:highlight w:val="none"/>
        </w:rPr>
      </w:pPr>
      <w:r>
        <w:rPr>
          <w:rFonts w:hint="eastAsia"/>
          <w:b/>
          <w:color w:val="auto"/>
          <w:sz w:val="24"/>
          <w:szCs w:val="24"/>
          <w:highlight w:val="none"/>
        </w:rPr>
        <w:t>4.5承包人项目经理</w:t>
      </w:r>
    </w:p>
    <w:p w14:paraId="6547837E">
      <w:pPr>
        <w:pStyle w:val="36"/>
        <w:keepNext w:val="0"/>
        <w:pageBreakBefore w:val="0"/>
        <w:tabs>
          <w:tab w:val="left" w:pos="5849"/>
        </w:tabs>
        <w:wordWrap/>
        <w:topLinePunct w:val="0"/>
        <w:autoSpaceDE/>
        <w:autoSpaceDN/>
        <w:bidi w:val="0"/>
        <w:adjustRightInd/>
        <w:spacing w:beforeLines="0" w:afterLines="0" w:line="440" w:lineRule="exact"/>
        <w:ind w:firstLine="420"/>
        <w:jc w:val="both"/>
        <w:textAlignment w:val="auto"/>
        <w:rPr>
          <w:rStyle w:val="19"/>
          <w:rFonts w:hint="default" w:ascii="宋体" w:hAnsi="宋体" w:eastAsia="宋体" w:cs="宋体"/>
          <w:snapToGrid w:val="0"/>
          <w:color w:val="auto"/>
          <w:spacing w:val="-9"/>
          <w:sz w:val="24"/>
          <w:szCs w:val="24"/>
          <w:highlight w:val="none"/>
          <w:u w:val="single"/>
          <w:lang w:eastAsia="zh-CN" w:bidi="ar-SA"/>
        </w:rPr>
      </w:pPr>
      <w:r>
        <w:rPr>
          <w:rStyle w:val="19"/>
          <w:rFonts w:hint="default" w:ascii="宋体" w:hAnsi="宋体" w:eastAsia="宋体" w:cs="宋体"/>
          <w:snapToGrid w:val="0"/>
          <w:color w:val="auto"/>
          <w:spacing w:val="-9"/>
          <w:sz w:val="24"/>
          <w:szCs w:val="24"/>
          <w:highlight w:val="none"/>
          <w:lang w:val="zh-CN" w:eastAsia="zh-CN"/>
        </w:rPr>
        <w:t>4</w:t>
      </w:r>
      <w:r>
        <w:rPr>
          <w:rStyle w:val="19"/>
          <w:rFonts w:hint="default" w:ascii="宋体" w:hAnsi="宋体" w:eastAsia="宋体" w:cs="宋体"/>
          <w:snapToGrid w:val="0"/>
          <w:color w:val="auto"/>
          <w:spacing w:val="-9"/>
          <w:sz w:val="24"/>
          <w:szCs w:val="24"/>
          <w:highlight w:val="none"/>
          <w:lang w:eastAsia="zh-CN" w:bidi="ar-SA"/>
        </w:rPr>
        <w:t>.5.1  项目经理姓名：</w:t>
      </w:r>
      <w:r>
        <w:rPr>
          <w:rStyle w:val="19"/>
          <w:rFonts w:hint="default" w:ascii="宋体" w:hAnsi="宋体" w:eastAsia="宋体" w:cs="宋体"/>
          <w:snapToGrid w:val="0"/>
          <w:color w:val="auto"/>
          <w:spacing w:val="-9"/>
          <w:sz w:val="24"/>
          <w:szCs w:val="24"/>
          <w:highlight w:val="none"/>
          <w:u w:val="single"/>
          <w:lang w:eastAsia="zh-CN" w:bidi="ar-SA"/>
        </w:rPr>
        <w:t xml:space="preserve">       </w:t>
      </w:r>
    </w:p>
    <w:p w14:paraId="39A585A9">
      <w:pPr>
        <w:pStyle w:val="36"/>
        <w:keepNext w:val="0"/>
        <w:pageBreakBefore w:val="0"/>
        <w:tabs>
          <w:tab w:val="left" w:pos="5849"/>
        </w:tabs>
        <w:wordWrap/>
        <w:topLinePunct w:val="0"/>
        <w:autoSpaceDE/>
        <w:autoSpaceDN/>
        <w:bidi w:val="0"/>
        <w:adjustRightInd/>
        <w:spacing w:beforeLines="0" w:afterLines="0" w:line="440" w:lineRule="exact"/>
        <w:ind w:firstLine="420"/>
        <w:jc w:val="both"/>
        <w:textAlignment w:val="auto"/>
        <w:rPr>
          <w:rStyle w:val="19"/>
          <w:rFonts w:hint="default" w:ascii="宋体" w:hAnsi="宋体" w:eastAsia="宋体" w:cs="宋体"/>
          <w:snapToGrid w:val="0"/>
          <w:color w:val="auto"/>
          <w:spacing w:val="-9"/>
          <w:sz w:val="24"/>
          <w:szCs w:val="24"/>
          <w:highlight w:val="none"/>
          <w:u w:val="single"/>
          <w:lang w:eastAsia="zh-CN" w:bidi="ar-SA"/>
        </w:rPr>
      </w:pPr>
      <w:r>
        <w:rPr>
          <w:rStyle w:val="19"/>
          <w:rFonts w:hint="default" w:ascii="宋体" w:hAnsi="宋体" w:eastAsia="宋体" w:cs="宋体"/>
          <w:snapToGrid w:val="0"/>
          <w:color w:val="auto"/>
          <w:spacing w:val="-9"/>
          <w:sz w:val="24"/>
          <w:szCs w:val="24"/>
          <w:highlight w:val="none"/>
          <w:lang w:eastAsia="zh-CN" w:bidi="ar-SA"/>
        </w:rPr>
        <w:t>执业资格等级：</w:t>
      </w:r>
      <w:r>
        <w:rPr>
          <w:rStyle w:val="19"/>
          <w:rFonts w:hint="default" w:ascii="宋体" w:hAnsi="宋体" w:eastAsia="宋体" w:cs="宋体"/>
          <w:snapToGrid w:val="0"/>
          <w:color w:val="auto"/>
          <w:spacing w:val="-9"/>
          <w:sz w:val="24"/>
          <w:szCs w:val="24"/>
          <w:highlight w:val="none"/>
          <w:u w:val="single"/>
          <w:lang w:eastAsia="zh-CN" w:bidi="ar-SA"/>
        </w:rPr>
        <w:t xml:space="preserve">       </w:t>
      </w:r>
    </w:p>
    <w:p w14:paraId="603408F7">
      <w:pPr>
        <w:pStyle w:val="36"/>
        <w:keepNext w:val="0"/>
        <w:pageBreakBefore w:val="0"/>
        <w:tabs>
          <w:tab w:val="left" w:pos="5849"/>
        </w:tabs>
        <w:wordWrap/>
        <w:topLinePunct w:val="0"/>
        <w:autoSpaceDE/>
        <w:autoSpaceDN/>
        <w:bidi w:val="0"/>
        <w:adjustRightInd/>
        <w:spacing w:beforeLines="0" w:afterLines="0" w:line="440" w:lineRule="exact"/>
        <w:ind w:firstLine="420"/>
        <w:jc w:val="both"/>
        <w:textAlignment w:val="auto"/>
        <w:rPr>
          <w:rStyle w:val="19"/>
          <w:rFonts w:hint="default" w:ascii="宋体" w:hAnsi="宋体" w:eastAsia="宋体" w:cs="宋体"/>
          <w:snapToGrid w:val="0"/>
          <w:color w:val="auto"/>
          <w:spacing w:val="-9"/>
          <w:sz w:val="24"/>
          <w:szCs w:val="24"/>
          <w:highlight w:val="none"/>
          <w:u w:val="single"/>
          <w:lang w:eastAsia="zh-CN" w:bidi="ar-SA"/>
        </w:rPr>
      </w:pPr>
      <w:r>
        <w:rPr>
          <w:rStyle w:val="19"/>
          <w:rFonts w:hint="default" w:ascii="宋体" w:hAnsi="宋体" w:eastAsia="宋体" w:cs="宋体"/>
          <w:snapToGrid w:val="0"/>
          <w:color w:val="auto"/>
          <w:spacing w:val="-9"/>
          <w:sz w:val="24"/>
          <w:szCs w:val="24"/>
          <w:highlight w:val="none"/>
          <w:lang w:eastAsia="zh-CN" w:bidi="ar-SA"/>
        </w:rPr>
        <w:t>执业资格证书号：</w:t>
      </w:r>
      <w:r>
        <w:rPr>
          <w:rStyle w:val="19"/>
          <w:rFonts w:hint="default" w:ascii="宋体" w:hAnsi="宋体" w:eastAsia="宋体" w:cs="宋体"/>
          <w:snapToGrid w:val="0"/>
          <w:color w:val="auto"/>
          <w:spacing w:val="-9"/>
          <w:sz w:val="24"/>
          <w:szCs w:val="24"/>
          <w:highlight w:val="none"/>
          <w:u w:val="single"/>
          <w:lang w:eastAsia="zh-CN" w:bidi="ar-SA"/>
        </w:rPr>
        <w:t xml:space="preserve">       </w:t>
      </w:r>
    </w:p>
    <w:p w14:paraId="74347EC5">
      <w:pPr>
        <w:pStyle w:val="36"/>
        <w:keepNext w:val="0"/>
        <w:pageBreakBefore w:val="0"/>
        <w:tabs>
          <w:tab w:val="left" w:pos="5849"/>
        </w:tabs>
        <w:wordWrap/>
        <w:topLinePunct w:val="0"/>
        <w:autoSpaceDE/>
        <w:autoSpaceDN/>
        <w:bidi w:val="0"/>
        <w:adjustRightInd/>
        <w:spacing w:beforeLines="0" w:afterLines="0" w:line="440" w:lineRule="exact"/>
        <w:ind w:firstLine="420"/>
        <w:jc w:val="both"/>
        <w:textAlignment w:val="auto"/>
        <w:rPr>
          <w:rStyle w:val="19"/>
          <w:rFonts w:hint="default" w:ascii="宋体" w:hAnsi="宋体" w:eastAsia="宋体" w:cs="宋体"/>
          <w:snapToGrid w:val="0"/>
          <w:color w:val="auto"/>
          <w:spacing w:val="-9"/>
          <w:sz w:val="24"/>
          <w:szCs w:val="24"/>
          <w:highlight w:val="none"/>
          <w:u w:val="single"/>
          <w:lang w:eastAsia="zh-CN" w:bidi="ar-SA"/>
        </w:rPr>
      </w:pPr>
      <w:r>
        <w:rPr>
          <w:rStyle w:val="19"/>
          <w:rFonts w:hint="default" w:ascii="宋体" w:hAnsi="宋体" w:eastAsia="宋体" w:cs="宋体"/>
          <w:snapToGrid w:val="0"/>
          <w:color w:val="auto"/>
          <w:spacing w:val="-9"/>
          <w:sz w:val="24"/>
          <w:szCs w:val="24"/>
          <w:highlight w:val="none"/>
          <w:lang w:eastAsia="zh-CN" w:bidi="ar-SA"/>
        </w:rPr>
        <w:t>注册证书号：</w:t>
      </w:r>
      <w:r>
        <w:rPr>
          <w:rStyle w:val="19"/>
          <w:rFonts w:hint="default" w:ascii="宋体" w:hAnsi="宋体" w:eastAsia="宋体" w:cs="宋体"/>
          <w:snapToGrid w:val="0"/>
          <w:color w:val="auto"/>
          <w:spacing w:val="-9"/>
          <w:sz w:val="24"/>
          <w:szCs w:val="24"/>
          <w:highlight w:val="none"/>
          <w:u w:val="single"/>
          <w:lang w:eastAsia="zh-CN" w:bidi="ar-SA"/>
        </w:rPr>
        <w:t xml:space="preserve">       </w:t>
      </w:r>
    </w:p>
    <w:p w14:paraId="50630087">
      <w:pPr>
        <w:pStyle w:val="36"/>
        <w:keepNext w:val="0"/>
        <w:pageBreakBefore w:val="0"/>
        <w:tabs>
          <w:tab w:val="left" w:pos="5849"/>
        </w:tabs>
        <w:wordWrap/>
        <w:topLinePunct w:val="0"/>
        <w:autoSpaceDE/>
        <w:autoSpaceDN/>
        <w:bidi w:val="0"/>
        <w:adjustRightInd/>
        <w:spacing w:beforeLines="0" w:afterLines="0" w:line="440" w:lineRule="exact"/>
        <w:ind w:firstLine="420"/>
        <w:jc w:val="both"/>
        <w:textAlignment w:val="auto"/>
        <w:rPr>
          <w:rStyle w:val="19"/>
          <w:rFonts w:hint="default" w:ascii="宋体" w:hAnsi="宋体" w:eastAsia="宋体" w:cs="宋体"/>
          <w:snapToGrid w:val="0"/>
          <w:color w:val="auto"/>
          <w:spacing w:val="-9"/>
          <w:sz w:val="24"/>
          <w:szCs w:val="24"/>
          <w:highlight w:val="none"/>
          <w:lang w:eastAsia="zh-CN" w:bidi="ar-SA"/>
        </w:rPr>
      </w:pPr>
      <w:r>
        <w:rPr>
          <w:rStyle w:val="19"/>
          <w:rFonts w:hint="default" w:ascii="宋体" w:hAnsi="宋体" w:eastAsia="宋体" w:cs="宋体"/>
          <w:snapToGrid w:val="0"/>
          <w:color w:val="auto"/>
          <w:spacing w:val="-9"/>
          <w:sz w:val="24"/>
          <w:szCs w:val="24"/>
          <w:highlight w:val="none"/>
          <w:lang w:eastAsia="zh-CN" w:bidi="ar-SA"/>
        </w:rPr>
        <w:t>执业印章号：</w:t>
      </w:r>
      <w:r>
        <w:rPr>
          <w:rStyle w:val="19"/>
          <w:rFonts w:hint="default" w:ascii="宋体" w:hAnsi="宋体" w:eastAsia="宋体" w:cs="宋体"/>
          <w:snapToGrid w:val="0"/>
          <w:color w:val="auto"/>
          <w:spacing w:val="-9"/>
          <w:sz w:val="24"/>
          <w:szCs w:val="24"/>
          <w:highlight w:val="none"/>
          <w:u w:val="single"/>
          <w:lang w:eastAsia="zh-CN" w:bidi="ar-SA"/>
        </w:rPr>
        <w:t xml:space="preserve">       </w:t>
      </w:r>
    </w:p>
    <w:p w14:paraId="26A0D982">
      <w:pPr>
        <w:pStyle w:val="28"/>
        <w:keepNext w:val="0"/>
        <w:pageBreakBefore w:val="0"/>
        <w:wordWrap/>
        <w:topLinePunct w:val="0"/>
        <w:autoSpaceDE/>
        <w:autoSpaceDN/>
        <w:bidi w:val="0"/>
        <w:adjustRightInd/>
        <w:spacing w:beforeLines="0" w:afterLines="0" w:line="440" w:lineRule="exact"/>
        <w:ind w:left="26" w:firstLine="424"/>
        <w:textAlignment w:val="auto"/>
        <w:rPr>
          <w:rFonts w:hint="default" w:ascii="宋体" w:hAnsi="宋体" w:eastAsia="宋体" w:cs="宋体"/>
          <w:color w:val="auto"/>
          <w:sz w:val="24"/>
          <w:szCs w:val="24"/>
          <w:highlight w:val="none"/>
          <w:u w:val="single"/>
        </w:rPr>
      </w:pPr>
      <w:r>
        <w:rPr>
          <w:rStyle w:val="19"/>
          <w:rFonts w:hint="default" w:ascii="宋体" w:hAnsi="宋体" w:eastAsia="宋体" w:cs="宋体"/>
          <w:color w:val="auto"/>
          <w:spacing w:val="-9"/>
          <w:sz w:val="24"/>
          <w:szCs w:val="24"/>
          <w:highlight w:val="none"/>
        </w:rPr>
        <w:t>项目经理职责：负责项目的施工管理，对施工进度，施工质量和施工费用以及施工安全进行全面监控。承包人对项目经理的授权范围如下：1</w:t>
      </w:r>
      <w:r>
        <w:rPr>
          <w:rStyle w:val="19"/>
          <w:rFonts w:hint="default" w:ascii="宋体" w:hAnsi="宋体" w:eastAsia="宋体" w:cs="宋体"/>
          <w:color w:val="auto"/>
          <w:spacing w:val="-6"/>
          <w:sz w:val="24"/>
          <w:szCs w:val="24"/>
          <w:highlight w:val="none"/>
          <w:u w:val="single"/>
        </w:rPr>
        <w:t>）经授权组建项目施工部，提出项目施工部的组织机构，选择、聘用施工部成员，确定施工部人员的职责；2）在授权范围内，按以上项目施工经理职责规定的职责,行使相应的管理权；3）在合同范围内，有权按规</w:t>
      </w:r>
      <w:r>
        <w:rPr>
          <w:rStyle w:val="19"/>
          <w:rFonts w:hint="default" w:ascii="宋体" w:hAnsi="宋体" w:eastAsia="宋体" w:cs="宋体"/>
          <w:color w:val="auto"/>
          <w:spacing w:val="-12"/>
          <w:sz w:val="24"/>
          <w:szCs w:val="24"/>
          <w:highlight w:val="none"/>
          <w:u w:val="single"/>
        </w:rPr>
        <w:t>定程序使用工程总承包企业的相关资源，并取得有关部门的支持；4）主持项目</w:t>
      </w:r>
      <w:r>
        <w:rPr>
          <w:rStyle w:val="19"/>
          <w:rFonts w:hint="default" w:ascii="宋体" w:hAnsi="宋体" w:eastAsia="宋体" w:cs="宋体"/>
          <w:color w:val="auto"/>
          <w:spacing w:val="-6"/>
          <w:sz w:val="24"/>
          <w:szCs w:val="24"/>
          <w:highlight w:val="none"/>
          <w:u w:val="single"/>
        </w:rPr>
        <w:t>施工部的工作，组织制定项目施工的各项管理规定；5）根据企业法定代表人授</w:t>
      </w:r>
      <w:r>
        <w:rPr>
          <w:rStyle w:val="19"/>
          <w:rFonts w:hint="default" w:ascii="宋体" w:hAnsi="宋体" w:eastAsia="宋体" w:cs="宋体"/>
          <w:color w:val="auto"/>
          <w:spacing w:val="-16"/>
          <w:sz w:val="24"/>
          <w:szCs w:val="24"/>
          <w:highlight w:val="none"/>
          <w:u w:val="single"/>
        </w:rPr>
        <w:t>权，协调和处理与项目施工有关的内、外部事项。6)负责工地的文明施工，并对</w:t>
      </w:r>
      <w:r>
        <w:rPr>
          <w:rStyle w:val="19"/>
          <w:rFonts w:hint="default" w:ascii="宋体" w:hAnsi="宋体" w:eastAsia="宋体" w:cs="宋体"/>
          <w:color w:val="auto"/>
          <w:spacing w:val="-5"/>
          <w:sz w:val="24"/>
          <w:szCs w:val="24"/>
          <w:highlight w:val="none"/>
          <w:u w:val="single"/>
        </w:rPr>
        <w:t>整个项目施工安全全面负责。7）项目施工经理仅限于工程的现场施工管理，但</w:t>
      </w:r>
      <w:r>
        <w:rPr>
          <w:rStyle w:val="19"/>
          <w:rFonts w:hint="default" w:ascii="宋体" w:hAnsi="宋体" w:eastAsia="宋体" w:cs="宋体"/>
          <w:color w:val="auto"/>
          <w:spacing w:val="-10"/>
          <w:sz w:val="24"/>
          <w:szCs w:val="24"/>
          <w:highlight w:val="none"/>
          <w:u w:val="single"/>
        </w:rPr>
        <w:t>未经承包人盖章同意，不得以承包人名义向外采购材料设备、租用建筑周转材料、</w:t>
      </w:r>
      <w:r>
        <w:rPr>
          <w:rStyle w:val="19"/>
          <w:rFonts w:hint="default" w:ascii="宋体" w:hAnsi="宋体" w:eastAsia="宋体" w:cs="宋体"/>
          <w:color w:val="auto"/>
          <w:spacing w:val="-2"/>
          <w:sz w:val="24"/>
          <w:szCs w:val="24"/>
          <w:highlight w:val="none"/>
          <w:u w:val="single"/>
        </w:rPr>
        <w:t>雇用劳动力、签订分包合同等从事一切为承包人设立义务或责任的行为</w:t>
      </w:r>
      <w:r>
        <w:rPr>
          <w:rFonts w:hint="default" w:ascii="宋体" w:hAnsi="宋体" w:eastAsia="宋体" w:cs="宋体"/>
          <w:color w:val="auto"/>
          <w:sz w:val="24"/>
          <w:szCs w:val="24"/>
          <w:highlight w:val="none"/>
          <w:u w:val="single"/>
        </w:rPr>
        <w:t>。</w:t>
      </w:r>
    </w:p>
    <w:p w14:paraId="7DA56632">
      <w:pPr>
        <w:pStyle w:val="23"/>
        <w:keepNext w:val="0"/>
        <w:pageBreakBefore w:val="0"/>
        <w:wordWrap/>
        <w:topLinePunct w:val="0"/>
        <w:autoSpaceDE/>
        <w:autoSpaceDN/>
        <w:bidi w:val="0"/>
        <w:adjustRightInd/>
        <w:spacing w:beforeLines="0" w:afterLines="0" w:line="440" w:lineRule="exact"/>
        <w:ind w:firstLine="456" w:firstLineChars="200"/>
        <w:textAlignment w:val="auto"/>
        <w:rPr>
          <w:rStyle w:val="19"/>
          <w:rFonts w:hint="default" w:ascii="宋体" w:hAnsi="宋体" w:eastAsia="宋体" w:cs="宋体"/>
          <w:color w:val="auto"/>
          <w:spacing w:val="-6"/>
          <w:sz w:val="24"/>
          <w:szCs w:val="24"/>
          <w:highlight w:val="none"/>
          <w:u w:val="single"/>
        </w:rPr>
      </w:pPr>
      <w:r>
        <w:rPr>
          <w:rStyle w:val="19"/>
          <w:rFonts w:hint="default" w:ascii="宋体" w:hAnsi="宋体" w:eastAsia="宋体" w:cs="宋体"/>
          <w:color w:val="auto"/>
          <w:spacing w:val="-6"/>
          <w:sz w:val="24"/>
          <w:szCs w:val="24"/>
          <w:highlight w:val="none"/>
          <w:lang w:eastAsia="zh-CN"/>
        </w:rPr>
        <w:t>4.5.1.1</w:t>
      </w:r>
      <w:r>
        <w:rPr>
          <w:rStyle w:val="19"/>
          <w:rFonts w:hint="default" w:ascii="宋体" w:hAnsi="宋体" w:eastAsia="宋体" w:cs="宋体"/>
          <w:color w:val="auto"/>
          <w:spacing w:val="-6"/>
          <w:sz w:val="24"/>
          <w:szCs w:val="24"/>
          <w:highlight w:val="none"/>
        </w:rPr>
        <w:t>关于项目经理每月在施工现场的时间要求：</w:t>
      </w:r>
      <w:r>
        <w:rPr>
          <w:rStyle w:val="19"/>
          <w:rFonts w:hint="default" w:ascii="宋体" w:hAnsi="宋体" w:eastAsia="宋体" w:cs="宋体"/>
          <w:color w:val="auto"/>
          <w:spacing w:val="-6"/>
          <w:sz w:val="24"/>
          <w:szCs w:val="24"/>
          <w:highlight w:val="none"/>
          <w:u w:val="single"/>
        </w:rPr>
        <w:t>21天以上，如投标文件承诺时间超过21天的，按投标文件执行。</w:t>
      </w:r>
    </w:p>
    <w:p w14:paraId="586EA703">
      <w:pPr>
        <w:pStyle w:val="37"/>
        <w:keepNext w:val="0"/>
        <w:pageBreakBefore w:val="0"/>
        <w:wordWrap/>
        <w:topLinePunct w:val="0"/>
        <w:autoSpaceDE/>
        <w:autoSpaceDN/>
        <w:bidi w:val="0"/>
        <w:adjustRightInd/>
        <w:spacing w:beforeLines="0" w:afterLines="0" w:line="440" w:lineRule="exact"/>
        <w:ind w:firstLine="456" w:firstLineChars="200"/>
        <w:textAlignment w:val="auto"/>
        <w:rPr>
          <w:rStyle w:val="19"/>
          <w:rFonts w:hint="default" w:ascii="宋体" w:hAnsi="宋体" w:eastAsia="宋体" w:cs="宋体"/>
          <w:color w:val="auto"/>
          <w:spacing w:val="-6"/>
          <w:sz w:val="24"/>
          <w:szCs w:val="24"/>
          <w:highlight w:val="none"/>
          <w:u w:val="single"/>
        </w:rPr>
      </w:pPr>
      <w:r>
        <w:rPr>
          <w:rStyle w:val="19"/>
          <w:rFonts w:hint="default" w:ascii="宋体" w:hAnsi="宋体" w:eastAsia="宋体" w:cs="宋体"/>
          <w:color w:val="auto"/>
          <w:spacing w:val="-6"/>
          <w:sz w:val="24"/>
          <w:szCs w:val="24"/>
          <w:highlight w:val="none"/>
        </w:rPr>
        <w:t>承包人未提交劳动合同，以及没有为项目经理缴纳社会保险证明的违约责任：</w:t>
      </w:r>
      <w:r>
        <w:rPr>
          <w:rStyle w:val="19"/>
          <w:rFonts w:hint="default" w:ascii="宋体" w:hAnsi="宋体" w:eastAsia="宋体" w:cs="宋体"/>
          <w:color w:val="auto"/>
          <w:spacing w:val="-6"/>
          <w:sz w:val="24"/>
          <w:szCs w:val="24"/>
          <w:highlight w:val="none"/>
          <w:u w:val="single"/>
        </w:rPr>
        <w:t>责令限期提交劳动合同并补缴社会保险。</w:t>
      </w:r>
    </w:p>
    <w:p w14:paraId="3278865B">
      <w:pPr>
        <w:pStyle w:val="23"/>
        <w:keepNext w:val="0"/>
        <w:pageBreakBefore w:val="0"/>
        <w:wordWrap/>
        <w:topLinePunct w:val="0"/>
        <w:autoSpaceDE/>
        <w:autoSpaceDN/>
        <w:bidi w:val="0"/>
        <w:adjustRightInd/>
        <w:spacing w:beforeLines="0" w:afterLines="0" w:line="440" w:lineRule="exact"/>
        <w:ind w:firstLine="456" w:firstLineChars="200"/>
        <w:textAlignment w:val="auto"/>
        <w:rPr>
          <w:rStyle w:val="19"/>
          <w:rFonts w:hint="default" w:ascii="宋体" w:hAnsi="宋体" w:eastAsia="宋体" w:cs="宋体"/>
          <w:color w:val="auto"/>
          <w:spacing w:val="-6"/>
          <w:sz w:val="24"/>
          <w:szCs w:val="24"/>
          <w:highlight w:val="none"/>
          <w:u w:val="single"/>
        </w:rPr>
      </w:pPr>
      <w:r>
        <w:rPr>
          <w:rStyle w:val="19"/>
          <w:rFonts w:hint="default" w:ascii="宋体" w:hAnsi="宋体" w:eastAsia="宋体" w:cs="宋体"/>
          <w:color w:val="auto"/>
          <w:spacing w:val="-6"/>
          <w:sz w:val="24"/>
          <w:szCs w:val="24"/>
          <w:highlight w:val="none"/>
        </w:rPr>
        <w:t>项目经理未经批准，擅自离开施工现场的违约责任：</w:t>
      </w:r>
      <w:r>
        <w:rPr>
          <w:rStyle w:val="19"/>
          <w:rFonts w:hint="default" w:ascii="宋体" w:hAnsi="宋体" w:eastAsia="宋体" w:cs="宋体"/>
          <w:color w:val="auto"/>
          <w:spacing w:val="-6"/>
          <w:sz w:val="24"/>
          <w:szCs w:val="24"/>
          <w:highlight w:val="none"/>
          <w:u w:val="single"/>
        </w:rPr>
        <w:t>项目经理每月在岗带班时间不得少于当月施工时间的80%。未经发包人同意或正当理由，项目经理每月在岗带班时间少于当月施工时间80%的，少在岗带班一天，发包人有权处违约金 2000元/日（人民币）。</w:t>
      </w:r>
    </w:p>
    <w:p w14:paraId="5894DDA4">
      <w:pPr>
        <w:pStyle w:val="23"/>
        <w:keepNext w:val="0"/>
        <w:pageBreakBefore w:val="0"/>
        <w:wordWrap/>
        <w:topLinePunct w:val="0"/>
        <w:autoSpaceDE/>
        <w:autoSpaceDN/>
        <w:bidi w:val="0"/>
        <w:adjustRightInd/>
        <w:spacing w:beforeLines="0" w:afterLines="0" w:line="440" w:lineRule="exact"/>
        <w:ind w:firstLine="456" w:firstLineChars="200"/>
        <w:textAlignment w:val="auto"/>
        <w:rPr>
          <w:rStyle w:val="19"/>
          <w:rFonts w:hint="default" w:ascii="宋体" w:hAnsi="宋体" w:eastAsia="宋体" w:cs="宋体"/>
          <w:color w:val="auto"/>
          <w:spacing w:val="-6"/>
          <w:sz w:val="24"/>
          <w:szCs w:val="24"/>
          <w:highlight w:val="none"/>
          <w:u w:val="single"/>
        </w:rPr>
      </w:pPr>
      <w:r>
        <w:rPr>
          <w:rStyle w:val="19"/>
          <w:rFonts w:hint="default" w:ascii="宋体" w:hAnsi="宋体" w:eastAsia="宋体" w:cs="宋体"/>
          <w:color w:val="auto"/>
          <w:spacing w:val="-6"/>
          <w:sz w:val="24"/>
          <w:szCs w:val="24"/>
          <w:highlight w:val="none"/>
          <w:lang w:eastAsia="zh-CN"/>
        </w:rPr>
        <w:t>4.5.1.2</w:t>
      </w:r>
      <w:r>
        <w:rPr>
          <w:rStyle w:val="19"/>
          <w:rFonts w:hint="default" w:ascii="宋体" w:hAnsi="宋体" w:eastAsia="宋体" w:cs="宋体"/>
          <w:color w:val="auto"/>
          <w:spacing w:val="-6"/>
          <w:sz w:val="24"/>
          <w:szCs w:val="24"/>
          <w:highlight w:val="none"/>
        </w:rPr>
        <w:t xml:space="preserve"> 承包人擅自更换项目经理的违约责任：</w:t>
      </w:r>
      <w:r>
        <w:rPr>
          <w:rStyle w:val="19"/>
          <w:rFonts w:hint="default" w:ascii="宋体" w:hAnsi="宋体" w:eastAsia="宋体" w:cs="宋体"/>
          <w:color w:val="auto"/>
          <w:spacing w:val="-6"/>
          <w:sz w:val="24"/>
          <w:szCs w:val="24"/>
          <w:highlight w:val="none"/>
          <w:u w:val="single"/>
        </w:rPr>
        <w:t>承包人项目经理必须与承包人投标时所承诺的人员一致，并在（开工日期）前到任。在监理人向承包人颁发（竣工证明材料）前，项目经理不得同时兼任其他任何项目的项目经理（符合桂建管﹝2013﹞17号和桂建管﹝2014﹞25号文除外）。未经发包人书面同意，承包人擅自更换项目经理的视为违约，违约金处20000元/人•次（人民币） 。</w:t>
      </w:r>
    </w:p>
    <w:p w14:paraId="38B3F55F">
      <w:pPr>
        <w:pStyle w:val="23"/>
        <w:keepNext w:val="0"/>
        <w:pageBreakBefore w:val="0"/>
        <w:wordWrap/>
        <w:topLinePunct w:val="0"/>
        <w:autoSpaceDE/>
        <w:autoSpaceDN/>
        <w:bidi w:val="0"/>
        <w:adjustRightInd/>
        <w:spacing w:beforeLines="0" w:afterLines="0" w:line="440" w:lineRule="exact"/>
        <w:ind w:firstLine="456" w:firstLineChars="200"/>
        <w:textAlignment w:val="auto"/>
        <w:rPr>
          <w:rStyle w:val="19"/>
          <w:rFonts w:hint="default" w:ascii="宋体" w:hAnsi="宋体" w:eastAsia="宋体" w:cs="宋体"/>
          <w:color w:val="auto"/>
          <w:spacing w:val="-9"/>
          <w:sz w:val="24"/>
          <w:szCs w:val="24"/>
          <w:highlight w:val="none"/>
        </w:rPr>
      </w:pPr>
      <w:r>
        <w:rPr>
          <w:rStyle w:val="19"/>
          <w:rFonts w:hint="default" w:ascii="宋体" w:hAnsi="宋体" w:eastAsia="宋体" w:cs="宋体"/>
          <w:color w:val="auto"/>
          <w:spacing w:val="-6"/>
          <w:sz w:val="24"/>
          <w:szCs w:val="24"/>
          <w:highlight w:val="none"/>
        </w:rPr>
        <w:t xml:space="preserve"> </w:t>
      </w:r>
      <w:bookmarkStart w:id="1390" w:name="_Toc29939"/>
      <w:r>
        <w:rPr>
          <w:rStyle w:val="19"/>
          <w:rFonts w:hint="default" w:ascii="宋体" w:hAnsi="宋体" w:eastAsia="宋体" w:cs="宋体"/>
          <w:color w:val="auto"/>
          <w:spacing w:val="-6"/>
          <w:sz w:val="24"/>
          <w:szCs w:val="24"/>
          <w:highlight w:val="none"/>
          <w:lang w:eastAsia="zh-CN"/>
        </w:rPr>
        <w:t>4.5.1.3</w:t>
      </w:r>
      <w:r>
        <w:rPr>
          <w:rStyle w:val="19"/>
          <w:rFonts w:hint="default" w:ascii="宋体" w:hAnsi="宋体" w:eastAsia="宋体" w:cs="宋体"/>
          <w:color w:val="auto"/>
          <w:spacing w:val="-6"/>
          <w:sz w:val="24"/>
          <w:szCs w:val="24"/>
          <w:highlight w:val="none"/>
        </w:rPr>
        <w:t>承包人无正当理由拒绝更换项目经理的违约责任：</w:t>
      </w:r>
      <w:r>
        <w:rPr>
          <w:rStyle w:val="19"/>
          <w:rFonts w:hint="default" w:ascii="宋体" w:hAnsi="宋体" w:eastAsia="宋体" w:cs="宋体"/>
          <w:color w:val="auto"/>
          <w:spacing w:val="-6"/>
          <w:sz w:val="24"/>
          <w:szCs w:val="24"/>
          <w:highlight w:val="none"/>
          <w:u w:val="single"/>
        </w:rPr>
        <w:t xml:space="preserve">  因承包人项目经理不称职，发包人要求调换而未及时调换的，视为承包人违约，必须向发包人交纳处罚金20000元/人•次（人民币）。</w:t>
      </w:r>
      <w:bookmarkEnd w:id="1390"/>
    </w:p>
    <w:p w14:paraId="09CFB103">
      <w:pPr>
        <w:keepNext w:val="0"/>
        <w:pageBreakBefore w:val="0"/>
        <w:wordWrap/>
        <w:topLinePunct w:val="0"/>
        <w:autoSpaceDE/>
        <w:autoSpaceDN/>
        <w:bidi w:val="0"/>
        <w:adjustRightInd/>
        <w:spacing w:line="440" w:lineRule="exact"/>
        <w:textAlignment w:val="auto"/>
        <w:rPr>
          <w:rFonts w:hint="eastAsia"/>
          <w:b/>
          <w:color w:val="auto"/>
          <w:sz w:val="24"/>
          <w:szCs w:val="24"/>
          <w:highlight w:val="none"/>
        </w:rPr>
      </w:pPr>
      <w:r>
        <w:rPr>
          <w:rFonts w:hint="eastAsia"/>
          <w:b/>
          <w:color w:val="auto"/>
          <w:sz w:val="24"/>
          <w:szCs w:val="24"/>
          <w:highlight w:val="none"/>
        </w:rPr>
        <w:t>4.6承包人人员的管理</w:t>
      </w:r>
    </w:p>
    <w:p w14:paraId="0E6A83CB">
      <w:pPr>
        <w:pStyle w:val="23"/>
        <w:keepNext w:val="0"/>
        <w:pageBreakBefore w:val="0"/>
        <w:wordWrap/>
        <w:topLinePunct w:val="0"/>
        <w:autoSpaceDE/>
        <w:autoSpaceDN/>
        <w:bidi w:val="0"/>
        <w:adjustRightInd/>
        <w:spacing w:beforeLines="0" w:afterLines="0" w:line="440" w:lineRule="exact"/>
        <w:ind w:firstLine="456" w:firstLineChars="200"/>
        <w:textAlignment w:val="auto"/>
        <w:rPr>
          <w:rStyle w:val="19"/>
          <w:rFonts w:hint="default" w:ascii="宋体" w:hAnsi="宋体" w:eastAsia="宋体" w:cs="宋体"/>
          <w:color w:val="auto"/>
          <w:spacing w:val="-6"/>
          <w:sz w:val="24"/>
          <w:szCs w:val="24"/>
          <w:highlight w:val="none"/>
        </w:rPr>
      </w:pPr>
      <w:r>
        <w:rPr>
          <w:rStyle w:val="19"/>
          <w:rFonts w:hint="default" w:ascii="宋体" w:hAnsi="宋体" w:eastAsia="宋体" w:cs="宋体"/>
          <w:color w:val="auto"/>
          <w:spacing w:val="-6"/>
          <w:sz w:val="24"/>
          <w:szCs w:val="24"/>
          <w:highlight w:val="none"/>
          <w:lang w:eastAsia="zh-CN"/>
        </w:rPr>
        <w:t>4</w:t>
      </w:r>
      <w:r>
        <w:rPr>
          <w:rStyle w:val="19"/>
          <w:rFonts w:hint="default" w:ascii="宋体" w:hAnsi="宋体" w:eastAsia="宋体" w:cs="宋体"/>
          <w:color w:val="auto"/>
          <w:spacing w:val="-6"/>
          <w:sz w:val="24"/>
          <w:szCs w:val="24"/>
          <w:highlight w:val="none"/>
        </w:rPr>
        <w:t>.</w:t>
      </w:r>
      <w:r>
        <w:rPr>
          <w:rStyle w:val="19"/>
          <w:rFonts w:hint="default" w:ascii="宋体" w:hAnsi="宋体" w:eastAsia="宋体" w:cs="宋体"/>
          <w:color w:val="auto"/>
          <w:spacing w:val="-6"/>
          <w:sz w:val="24"/>
          <w:szCs w:val="24"/>
          <w:highlight w:val="none"/>
          <w:lang w:eastAsia="zh-CN"/>
        </w:rPr>
        <w:t>6</w:t>
      </w:r>
      <w:r>
        <w:rPr>
          <w:rStyle w:val="19"/>
          <w:rFonts w:hint="default" w:ascii="宋体" w:hAnsi="宋体" w:eastAsia="宋体" w:cs="宋体"/>
          <w:color w:val="auto"/>
          <w:spacing w:val="-6"/>
          <w:sz w:val="24"/>
          <w:szCs w:val="24"/>
          <w:highlight w:val="none"/>
        </w:rPr>
        <w:t>.1 承包人提交项目管理机构及施工现场管理人员安排报告的期限：接到开工通知后7天内。</w:t>
      </w:r>
    </w:p>
    <w:p w14:paraId="1C6DFCAC">
      <w:pPr>
        <w:pStyle w:val="23"/>
        <w:keepNext w:val="0"/>
        <w:pageBreakBefore w:val="0"/>
        <w:wordWrap/>
        <w:topLinePunct w:val="0"/>
        <w:autoSpaceDE/>
        <w:autoSpaceDN/>
        <w:bidi w:val="0"/>
        <w:adjustRightInd/>
        <w:spacing w:beforeLines="0" w:afterLines="0" w:line="440" w:lineRule="exact"/>
        <w:ind w:firstLine="456" w:firstLineChars="200"/>
        <w:textAlignment w:val="auto"/>
        <w:rPr>
          <w:rStyle w:val="19"/>
          <w:rFonts w:hint="default" w:ascii="宋体" w:hAnsi="宋体" w:eastAsia="宋体" w:cs="宋体"/>
          <w:color w:val="auto"/>
          <w:spacing w:val="-6"/>
          <w:sz w:val="24"/>
          <w:szCs w:val="24"/>
          <w:highlight w:val="none"/>
        </w:rPr>
      </w:pPr>
      <w:r>
        <w:rPr>
          <w:rStyle w:val="19"/>
          <w:rFonts w:hint="default" w:ascii="宋体" w:hAnsi="宋体" w:eastAsia="宋体" w:cs="宋体"/>
          <w:color w:val="auto"/>
          <w:spacing w:val="-6"/>
          <w:sz w:val="24"/>
          <w:szCs w:val="24"/>
          <w:highlight w:val="none"/>
          <w:lang w:eastAsia="zh-CN"/>
        </w:rPr>
        <w:t>4</w:t>
      </w:r>
      <w:r>
        <w:rPr>
          <w:rStyle w:val="19"/>
          <w:rFonts w:hint="default" w:ascii="宋体" w:hAnsi="宋体" w:eastAsia="宋体" w:cs="宋体"/>
          <w:color w:val="auto"/>
          <w:spacing w:val="-6"/>
          <w:sz w:val="24"/>
          <w:szCs w:val="24"/>
          <w:highlight w:val="none"/>
        </w:rPr>
        <w:t>.</w:t>
      </w:r>
      <w:r>
        <w:rPr>
          <w:rStyle w:val="19"/>
          <w:rFonts w:hint="default" w:ascii="宋体" w:hAnsi="宋体" w:eastAsia="宋体" w:cs="宋体"/>
          <w:color w:val="auto"/>
          <w:spacing w:val="-6"/>
          <w:sz w:val="24"/>
          <w:szCs w:val="24"/>
          <w:highlight w:val="none"/>
          <w:lang w:eastAsia="zh-CN"/>
        </w:rPr>
        <w:t>6</w:t>
      </w:r>
      <w:r>
        <w:rPr>
          <w:rStyle w:val="19"/>
          <w:rFonts w:hint="default" w:ascii="宋体" w:hAnsi="宋体" w:eastAsia="宋体" w:cs="宋体"/>
          <w:color w:val="auto"/>
          <w:spacing w:val="-6"/>
          <w:sz w:val="24"/>
          <w:szCs w:val="24"/>
          <w:highlight w:val="none"/>
        </w:rPr>
        <w:t>.</w:t>
      </w:r>
      <w:r>
        <w:rPr>
          <w:rStyle w:val="19"/>
          <w:rFonts w:hint="default" w:ascii="宋体" w:hAnsi="宋体" w:eastAsia="宋体" w:cs="宋体"/>
          <w:color w:val="auto"/>
          <w:spacing w:val="-6"/>
          <w:sz w:val="24"/>
          <w:szCs w:val="24"/>
          <w:highlight w:val="none"/>
          <w:lang w:eastAsia="zh-CN"/>
        </w:rPr>
        <w:t>5</w:t>
      </w:r>
      <w:r>
        <w:rPr>
          <w:rStyle w:val="19"/>
          <w:rFonts w:hint="default" w:ascii="宋体" w:hAnsi="宋体" w:eastAsia="宋体" w:cs="宋体"/>
          <w:color w:val="auto"/>
          <w:spacing w:val="-6"/>
          <w:sz w:val="24"/>
          <w:szCs w:val="24"/>
          <w:highlight w:val="none"/>
        </w:rPr>
        <w:t>承包人无正当理由拒绝撤换主要施工管理人员的违约责任：因承包人主要施工管理人员不称职，发包人要求调换而无正当理由拒绝撤换或未及时调换的，视为承包人违约，必须向发包人交纳处罚金，处罚标准：技术负责人10000元/人•次（人民币）；专业工程师10000元/人•次（人民币）。</w:t>
      </w:r>
    </w:p>
    <w:p w14:paraId="583DE730">
      <w:pPr>
        <w:pStyle w:val="23"/>
        <w:keepNext w:val="0"/>
        <w:pageBreakBefore w:val="0"/>
        <w:wordWrap/>
        <w:topLinePunct w:val="0"/>
        <w:autoSpaceDE/>
        <w:autoSpaceDN/>
        <w:bidi w:val="0"/>
        <w:adjustRightInd/>
        <w:spacing w:beforeLines="0" w:afterLines="0" w:line="440" w:lineRule="exact"/>
        <w:ind w:firstLine="456" w:firstLineChars="200"/>
        <w:textAlignment w:val="auto"/>
        <w:rPr>
          <w:rStyle w:val="19"/>
          <w:rFonts w:hint="default" w:ascii="宋体" w:hAnsi="宋体" w:eastAsia="宋体" w:cs="宋体"/>
          <w:color w:val="auto"/>
          <w:spacing w:val="-6"/>
          <w:sz w:val="24"/>
          <w:szCs w:val="24"/>
          <w:highlight w:val="none"/>
        </w:rPr>
      </w:pPr>
      <w:r>
        <w:rPr>
          <w:rStyle w:val="19"/>
          <w:rFonts w:hint="default" w:ascii="宋体" w:hAnsi="宋体" w:eastAsia="宋体" w:cs="宋体"/>
          <w:color w:val="auto"/>
          <w:spacing w:val="-6"/>
          <w:sz w:val="24"/>
          <w:szCs w:val="24"/>
          <w:highlight w:val="none"/>
          <w:lang w:eastAsia="zh-CN"/>
        </w:rPr>
        <w:t>4</w:t>
      </w:r>
      <w:r>
        <w:rPr>
          <w:rStyle w:val="19"/>
          <w:rFonts w:hint="default" w:ascii="宋体" w:hAnsi="宋体" w:eastAsia="宋体" w:cs="宋体"/>
          <w:color w:val="auto"/>
          <w:spacing w:val="-6"/>
          <w:sz w:val="24"/>
          <w:szCs w:val="24"/>
          <w:highlight w:val="none"/>
        </w:rPr>
        <w:t>.</w:t>
      </w:r>
      <w:r>
        <w:rPr>
          <w:rStyle w:val="19"/>
          <w:rFonts w:hint="default" w:ascii="宋体" w:hAnsi="宋体" w:eastAsia="宋体" w:cs="宋体"/>
          <w:color w:val="auto"/>
          <w:spacing w:val="-6"/>
          <w:sz w:val="24"/>
          <w:szCs w:val="24"/>
          <w:highlight w:val="none"/>
          <w:lang w:eastAsia="zh-CN"/>
        </w:rPr>
        <w:t>6</w:t>
      </w:r>
      <w:r>
        <w:rPr>
          <w:rStyle w:val="19"/>
          <w:rFonts w:hint="default" w:ascii="宋体" w:hAnsi="宋体" w:eastAsia="宋体" w:cs="宋体"/>
          <w:color w:val="auto"/>
          <w:spacing w:val="-6"/>
          <w:sz w:val="24"/>
          <w:szCs w:val="24"/>
          <w:highlight w:val="none"/>
        </w:rPr>
        <w:t>.</w:t>
      </w:r>
      <w:r>
        <w:rPr>
          <w:rStyle w:val="19"/>
          <w:rFonts w:hint="default" w:ascii="宋体" w:hAnsi="宋体" w:eastAsia="宋体" w:cs="宋体"/>
          <w:color w:val="auto"/>
          <w:spacing w:val="-6"/>
          <w:sz w:val="24"/>
          <w:szCs w:val="24"/>
          <w:highlight w:val="none"/>
          <w:lang w:eastAsia="zh-CN"/>
        </w:rPr>
        <w:t>6</w:t>
      </w:r>
      <w:r>
        <w:rPr>
          <w:rStyle w:val="19"/>
          <w:rFonts w:hint="default" w:ascii="宋体" w:hAnsi="宋体" w:eastAsia="宋体" w:cs="宋体"/>
          <w:color w:val="auto"/>
          <w:spacing w:val="-6"/>
          <w:sz w:val="24"/>
          <w:szCs w:val="24"/>
          <w:highlight w:val="none"/>
        </w:rPr>
        <w:t xml:space="preserve"> 承包人主要施工管理人员离开施工现场的批准要求：由总监理工程师批准，发包人认可后方可离开。</w:t>
      </w:r>
    </w:p>
    <w:p w14:paraId="405A50DE">
      <w:pPr>
        <w:pStyle w:val="23"/>
        <w:keepNext w:val="0"/>
        <w:pageBreakBefore w:val="0"/>
        <w:wordWrap/>
        <w:topLinePunct w:val="0"/>
        <w:autoSpaceDE/>
        <w:autoSpaceDN/>
        <w:bidi w:val="0"/>
        <w:adjustRightInd/>
        <w:spacing w:beforeLines="0" w:afterLines="0" w:line="440" w:lineRule="exact"/>
        <w:ind w:firstLine="456" w:firstLineChars="200"/>
        <w:textAlignment w:val="auto"/>
        <w:rPr>
          <w:rStyle w:val="19"/>
          <w:rFonts w:hint="default" w:ascii="宋体" w:hAnsi="宋体" w:eastAsia="宋体" w:cs="宋体"/>
          <w:color w:val="auto"/>
          <w:spacing w:val="-6"/>
          <w:sz w:val="24"/>
          <w:szCs w:val="24"/>
          <w:highlight w:val="none"/>
        </w:rPr>
      </w:pPr>
      <w:r>
        <w:rPr>
          <w:rStyle w:val="19"/>
          <w:rFonts w:hint="default" w:ascii="宋体" w:hAnsi="宋体" w:eastAsia="宋体" w:cs="宋体"/>
          <w:color w:val="auto"/>
          <w:spacing w:val="-6"/>
          <w:sz w:val="24"/>
          <w:szCs w:val="24"/>
          <w:highlight w:val="none"/>
          <w:lang w:eastAsia="zh-CN"/>
        </w:rPr>
        <w:t>4</w:t>
      </w:r>
      <w:r>
        <w:rPr>
          <w:rStyle w:val="19"/>
          <w:rFonts w:hint="default" w:ascii="宋体" w:hAnsi="宋体" w:eastAsia="宋体" w:cs="宋体"/>
          <w:color w:val="auto"/>
          <w:spacing w:val="-6"/>
          <w:sz w:val="24"/>
          <w:szCs w:val="24"/>
          <w:highlight w:val="none"/>
        </w:rPr>
        <w:t>.</w:t>
      </w:r>
      <w:r>
        <w:rPr>
          <w:rStyle w:val="19"/>
          <w:rFonts w:hint="default" w:ascii="宋体" w:hAnsi="宋体" w:eastAsia="宋体" w:cs="宋体"/>
          <w:color w:val="auto"/>
          <w:spacing w:val="-6"/>
          <w:sz w:val="24"/>
          <w:szCs w:val="24"/>
          <w:highlight w:val="none"/>
          <w:lang w:eastAsia="zh-CN"/>
        </w:rPr>
        <w:t>6</w:t>
      </w:r>
      <w:r>
        <w:rPr>
          <w:rStyle w:val="19"/>
          <w:rFonts w:hint="default" w:ascii="宋体" w:hAnsi="宋体" w:eastAsia="宋体" w:cs="宋体"/>
          <w:color w:val="auto"/>
          <w:spacing w:val="-6"/>
          <w:sz w:val="24"/>
          <w:szCs w:val="24"/>
          <w:highlight w:val="none"/>
        </w:rPr>
        <w:t>.</w:t>
      </w:r>
      <w:r>
        <w:rPr>
          <w:rStyle w:val="19"/>
          <w:rFonts w:hint="default" w:ascii="宋体" w:hAnsi="宋体" w:eastAsia="宋体" w:cs="宋体"/>
          <w:color w:val="auto"/>
          <w:spacing w:val="-6"/>
          <w:sz w:val="24"/>
          <w:szCs w:val="24"/>
          <w:highlight w:val="none"/>
          <w:lang w:eastAsia="zh-CN"/>
        </w:rPr>
        <w:t>7</w:t>
      </w:r>
      <w:r>
        <w:rPr>
          <w:rStyle w:val="19"/>
          <w:rFonts w:hint="default" w:ascii="宋体" w:hAnsi="宋体" w:eastAsia="宋体" w:cs="宋体"/>
          <w:color w:val="auto"/>
          <w:spacing w:val="-6"/>
          <w:sz w:val="24"/>
          <w:szCs w:val="24"/>
          <w:highlight w:val="none"/>
        </w:rPr>
        <w:t>承包人擅自更换主要施工管理人员的违约责任：项目技术负责人、专职安全员及其承诺的其它在场管理人员未经发包人书面同意不准擅自更换，擅自更换项目技术负责人处10000 元/人•次（人民币）违约金；擅自更换专职安全员处10000元/人•次（人民币）违约金；擅自更换其它在场管理人员处5000元/人•次（人民币）违约金 。</w:t>
      </w:r>
    </w:p>
    <w:p w14:paraId="0A799EF5">
      <w:pPr>
        <w:pStyle w:val="23"/>
        <w:keepNext w:val="0"/>
        <w:pageBreakBefore w:val="0"/>
        <w:wordWrap/>
        <w:topLinePunct w:val="0"/>
        <w:autoSpaceDE/>
        <w:autoSpaceDN/>
        <w:bidi w:val="0"/>
        <w:adjustRightInd/>
        <w:spacing w:beforeLines="0" w:afterLines="0" w:line="440" w:lineRule="exact"/>
        <w:ind w:firstLine="456" w:firstLineChars="200"/>
        <w:textAlignment w:val="auto"/>
        <w:rPr>
          <w:rStyle w:val="19"/>
          <w:rFonts w:hint="default" w:ascii="宋体" w:hAnsi="宋体" w:eastAsia="宋体" w:cs="宋体"/>
          <w:color w:val="auto"/>
          <w:spacing w:val="-6"/>
          <w:sz w:val="24"/>
          <w:szCs w:val="24"/>
          <w:highlight w:val="none"/>
        </w:rPr>
      </w:pPr>
      <w:r>
        <w:rPr>
          <w:rStyle w:val="19"/>
          <w:rFonts w:hint="default" w:ascii="宋体" w:hAnsi="宋体" w:eastAsia="宋体" w:cs="宋体"/>
          <w:color w:val="auto"/>
          <w:spacing w:val="-6"/>
          <w:sz w:val="24"/>
          <w:szCs w:val="24"/>
          <w:highlight w:val="none"/>
          <w:lang w:eastAsia="zh-CN"/>
        </w:rPr>
        <w:t>4.6.8</w:t>
      </w:r>
      <w:r>
        <w:rPr>
          <w:rStyle w:val="19"/>
          <w:rFonts w:hint="default" w:ascii="宋体" w:hAnsi="宋体" w:eastAsia="宋体" w:cs="宋体"/>
          <w:color w:val="auto"/>
          <w:spacing w:val="-6"/>
          <w:sz w:val="24"/>
          <w:szCs w:val="24"/>
          <w:highlight w:val="none"/>
        </w:rPr>
        <w:t>承包人主要施工管理人员擅自离开施工现场的违约责任：未经发包人同意，项目技术负责人擅自离岗的，视为承包人违约，发包人有权处违约金2000元/人•次（人民币）；未经发包人同意，专职安全员擅自离岗的，视为承包人违约，发包人有权处违约金2000元/人•次（人民币）；其它在场管理人员擅自离岗的，视为承包人违约，发包人有权处违约金2000元/人•次（人民币） 。</w:t>
      </w:r>
    </w:p>
    <w:p w14:paraId="6F671D91">
      <w:pPr>
        <w:keepNext w:val="0"/>
        <w:pageBreakBefore w:val="0"/>
        <w:wordWrap/>
        <w:topLinePunct w:val="0"/>
        <w:autoSpaceDE/>
        <w:autoSpaceDN/>
        <w:bidi w:val="0"/>
        <w:adjustRightInd/>
        <w:spacing w:line="440" w:lineRule="exact"/>
        <w:textAlignment w:val="auto"/>
        <w:rPr>
          <w:rFonts w:hint="eastAsia"/>
          <w:b/>
          <w:color w:val="auto"/>
          <w:sz w:val="24"/>
          <w:szCs w:val="24"/>
          <w:highlight w:val="none"/>
        </w:rPr>
      </w:pPr>
      <w:r>
        <w:rPr>
          <w:rFonts w:hint="eastAsia"/>
          <w:b/>
          <w:color w:val="auto"/>
          <w:sz w:val="24"/>
          <w:szCs w:val="24"/>
          <w:highlight w:val="none"/>
        </w:rPr>
        <w:t>4.7撤换承包人项目经理和其他人员</w:t>
      </w:r>
    </w:p>
    <w:p w14:paraId="0C984418">
      <w:pPr>
        <w:pStyle w:val="28"/>
        <w:keepNext w:val="0"/>
        <w:pageBreakBefore w:val="0"/>
        <w:wordWrap/>
        <w:topLinePunct w:val="0"/>
        <w:autoSpaceDE/>
        <w:autoSpaceDN/>
        <w:bidi w:val="0"/>
        <w:adjustRightInd/>
        <w:spacing w:beforeLines="0" w:afterLines="0" w:line="440" w:lineRule="exact"/>
        <w:ind w:left="29" w:right="15" w:firstLine="442"/>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4"/>
          <w:sz w:val="24"/>
          <w:szCs w:val="24"/>
          <w:highlight w:val="none"/>
        </w:rPr>
        <w:t>□4.7.1中标人根据投标文件的承诺，投入本项目的项目经理、技术负责</w:t>
      </w:r>
      <w:r>
        <w:rPr>
          <w:rStyle w:val="19"/>
          <w:rFonts w:hint="default" w:ascii="宋体" w:hAnsi="宋体" w:eastAsia="宋体" w:cs="宋体"/>
          <w:color w:val="auto"/>
          <w:sz w:val="24"/>
          <w:szCs w:val="24"/>
          <w:highlight w:val="none"/>
        </w:rPr>
        <w:t>人、质量管理员、安全管理员等主要管理人员中标后不得更换(除因故去世、调</w:t>
      </w:r>
      <w:r>
        <w:rPr>
          <w:rStyle w:val="19"/>
          <w:rFonts w:hint="default" w:ascii="宋体" w:hAnsi="宋体" w:eastAsia="宋体" w:cs="宋体"/>
          <w:color w:val="auto"/>
          <w:spacing w:val="-2"/>
          <w:sz w:val="24"/>
          <w:szCs w:val="24"/>
          <w:highlight w:val="none"/>
        </w:rPr>
        <w:t>离本单位外)。</w:t>
      </w:r>
    </w:p>
    <w:p w14:paraId="7D6F84EF">
      <w:pPr>
        <w:pStyle w:val="28"/>
        <w:keepNext w:val="0"/>
        <w:pageBreakBefore w:val="0"/>
        <w:wordWrap/>
        <w:topLinePunct w:val="0"/>
        <w:autoSpaceDE/>
        <w:autoSpaceDN/>
        <w:bidi w:val="0"/>
        <w:adjustRightInd/>
        <w:spacing w:beforeLines="0" w:afterLines="0" w:line="440" w:lineRule="exact"/>
        <w:ind w:firstLine="464" w:firstLineChars="200"/>
        <w:textAlignment w:val="auto"/>
        <w:rPr>
          <w:rStyle w:val="19"/>
          <w:rFonts w:hint="default" w:ascii="宋体" w:hAnsi="宋体" w:eastAsia="宋体" w:cs="宋体"/>
          <w:color w:val="auto"/>
          <w:sz w:val="24"/>
          <w:szCs w:val="24"/>
          <w:highlight w:val="none"/>
        </w:rPr>
      </w:pPr>
      <w:r>
        <w:rPr>
          <w:rStyle w:val="19"/>
          <w:rFonts w:hint="default" w:ascii="Segoe UI Symbol" w:hAnsi="Segoe UI Symbol" w:eastAsia="Segoe UI Symbol" w:cs="Segoe UI Symbol"/>
          <w:color w:val="auto"/>
          <w:spacing w:val="-4"/>
          <w:sz w:val="24"/>
          <w:szCs w:val="24"/>
          <w:highlight w:val="none"/>
        </w:rPr>
        <w:t>☑</w:t>
      </w:r>
      <w:r>
        <w:rPr>
          <w:rStyle w:val="19"/>
          <w:rFonts w:hint="default" w:ascii="宋体" w:hAnsi="宋体" w:eastAsia="宋体" w:cs="宋体"/>
          <w:color w:val="auto"/>
          <w:spacing w:val="-4"/>
          <w:sz w:val="24"/>
          <w:szCs w:val="24"/>
          <w:highlight w:val="none"/>
        </w:rPr>
        <w:t>4.7.1投入本项目的项目经理、技术负责人、质量管理员、</w:t>
      </w:r>
      <w:r>
        <w:rPr>
          <w:rStyle w:val="19"/>
          <w:rFonts w:hint="default" w:ascii="宋体" w:hAnsi="宋体" w:eastAsia="宋体" w:cs="宋体"/>
          <w:color w:val="auto"/>
          <w:spacing w:val="-4"/>
          <w:sz w:val="24"/>
          <w:szCs w:val="24"/>
          <w:highlight w:val="none"/>
          <w:lang w:eastAsia="zh-CN"/>
        </w:rPr>
        <w:t>安</w:t>
      </w:r>
      <w:r>
        <w:rPr>
          <w:rStyle w:val="19"/>
          <w:rFonts w:hint="default" w:ascii="宋体" w:hAnsi="宋体" w:eastAsia="宋体" w:cs="宋体"/>
          <w:color w:val="auto"/>
          <w:spacing w:val="-4"/>
          <w:sz w:val="24"/>
          <w:szCs w:val="24"/>
          <w:highlight w:val="none"/>
        </w:rPr>
        <w:t>全管理员</w:t>
      </w:r>
      <w:r>
        <w:rPr>
          <w:rStyle w:val="19"/>
          <w:rFonts w:hint="default" w:ascii="宋体" w:hAnsi="宋体" w:eastAsia="宋体" w:cs="宋体"/>
          <w:color w:val="auto"/>
          <w:spacing w:val="-8"/>
          <w:sz w:val="24"/>
          <w:szCs w:val="24"/>
          <w:highlight w:val="none"/>
        </w:rPr>
        <w:t>等主要管理人员中标后，经中标人申请、监理机构审核允许、招标人同意后方可</w:t>
      </w:r>
      <w:r>
        <w:rPr>
          <w:rStyle w:val="19"/>
          <w:rFonts w:hint="default" w:ascii="宋体" w:hAnsi="宋体" w:eastAsia="宋体" w:cs="宋体"/>
          <w:color w:val="auto"/>
          <w:spacing w:val="-4"/>
          <w:sz w:val="24"/>
          <w:szCs w:val="24"/>
          <w:highlight w:val="none"/>
        </w:rPr>
        <w:t>变更为不低于同等条件的人员。</w:t>
      </w:r>
    </w:p>
    <w:p w14:paraId="060D461B">
      <w:pPr>
        <w:pStyle w:val="28"/>
        <w:keepNext w:val="0"/>
        <w:pageBreakBefore w:val="0"/>
        <w:wordWrap/>
        <w:topLinePunct w:val="0"/>
        <w:autoSpaceDE/>
        <w:autoSpaceDN/>
        <w:bidi w:val="0"/>
        <w:adjustRightInd/>
        <w:spacing w:beforeLines="0" w:afterLines="0" w:line="440" w:lineRule="exact"/>
        <w:ind w:left="26" w:right="84" w:firstLine="439"/>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3"/>
          <w:sz w:val="24"/>
          <w:szCs w:val="24"/>
          <w:highlight w:val="none"/>
        </w:rPr>
        <w:t>4.7.2项目经理每月在工地时间少于</w:t>
      </w:r>
      <w:r>
        <w:rPr>
          <w:rStyle w:val="19"/>
          <w:rFonts w:hint="default" w:ascii="宋体" w:hAnsi="宋体" w:eastAsia="宋体" w:cs="宋体"/>
          <w:color w:val="auto"/>
          <w:spacing w:val="-3"/>
          <w:sz w:val="24"/>
          <w:szCs w:val="24"/>
          <w:highlight w:val="none"/>
          <w:u w:val="single"/>
        </w:rPr>
        <w:t xml:space="preserve"> 22 </w:t>
      </w:r>
      <w:r>
        <w:rPr>
          <w:rStyle w:val="19"/>
          <w:rFonts w:hint="default" w:ascii="宋体" w:hAnsi="宋体" w:eastAsia="宋体" w:cs="宋体"/>
          <w:color w:val="auto"/>
          <w:spacing w:val="-3"/>
          <w:sz w:val="24"/>
          <w:szCs w:val="24"/>
          <w:highlight w:val="none"/>
        </w:rPr>
        <w:t>日，且未经招标人同意的，按未履</w:t>
      </w:r>
      <w:r>
        <w:rPr>
          <w:rStyle w:val="19"/>
          <w:rFonts w:hint="default" w:ascii="宋体" w:hAnsi="宋体" w:eastAsia="宋体" w:cs="宋体"/>
          <w:color w:val="auto"/>
          <w:spacing w:val="-6"/>
          <w:sz w:val="24"/>
          <w:szCs w:val="24"/>
          <w:highlight w:val="none"/>
        </w:rPr>
        <w:t>职处理，由有关行政监督部门处理后报请自治区有关行政监督部门将结果记入市</w:t>
      </w:r>
      <w:r>
        <w:rPr>
          <w:rStyle w:val="19"/>
          <w:rFonts w:hint="default" w:ascii="宋体" w:hAnsi="宋体" w:eastAsia="宋体" w:cs="宋体"/>
          <w:color w:val="auto"/>
          <w:spacing w:val="-3"/>
          <w:sz w:val="24"/>
          <w:szCs w:val="24"/>
          <w:highlight w:val="none"/>
        </w:rPr>
        <w:t>场主体信用档案，公布不良行为记录。</w:t>
      </w:r>
    </w:p>
    <w:p w14:paraId="71935C8C">
      <w:pPr>
        <w:keepNext w:val="0"/>
        <w:pageBreakBefore w:val="0"/>
        <w:wordWrap/>
        <w:topLinePunct w:val="0"/>
        <w:autoSpaceDE/>
        <w:autoSpaceDN/>
        <w:bidi w:val="0"/>
        <w:adjustRightInd/>
        <w:spacing w:line="440" w:lineRule="exact"/>
        <w:textAlignment w:val="auto"/>
        <w:rPr>
          <w:rFonts w:hint="eastAsia"/>
          <w:b/>
          <w:color w:val="auto"/>
          <w:sz w:val="24"/>
          <w:szCs w:val="24"/>
          <w:highlight w:val="none"/>
        </w:rPr>
      </w:pPr>
      <w:r>
        <w:rPr>
          <w:rFonts w:hint="eastAsia"/>
          <w:b/>
          <w:color w:val="auto"/>
          <w:sz w:val="24"/>
          <w:szCs w:val="24"/>
          <w:highlight w:val="none"/>
        </w:rPr>
        <w:t>4.11不利物质条件</w:t>
      </w:r>
    </w:p>
    <w:p w14:paraId="7B93C105">
      <w:pPr>
        <w:pStyle w:val="28"/>
        <w:keepNext w:val="0"/>
        <w:pageBreakBefore w:val="0"/>
        <w:wordWrap/>
        <w:topLinePunct w:val="0"/>
        <w:autoSpaceDE/>
        <w:autoSpaceDN/>
        <w:bidi w:val="0"/>
        <w:adjustRightInd/>
        <w:spacing w:beforeLines="0" w:afterLines="0" w:line="440" w:lineRule="exact"/>
        <w:ind w:left="28" w:right="85" w:firstLine="418"/>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8"/>
          <w:sz w:val="24"/>
          <w:szCs w:val="24"/>
          <w:highlight w:val="none"/>
        </w:rPr>
        <w:t>4.11.1不利物质条件的范围：</w:t>
      </w:r>
      <w:r>
        <w:rPr>
          <w:rStyle w:val="19"/>
          <w:rFonts w:hint="default" w:ascii="宋体" w:hAnsi="宋体" w:eastAsia="宋体" w:cs="宋体"/>
          <w:color w:val="auto"/>
          <w:spacing w:val="-8"/>
          <w:sz w:val="24"/>
          <w:szCs w:val="24"/>
          <w:highlight w:val="none"/>
          <w:u w:val="single"/>
        </w:rPr>
        <w:t xml:space="preserve"> 不可预见的自然物质条件、非自然的物质障碍</w:t>
      </w:r>
      <w:r>
        <w:rPr>
          <w:rStyle w:val="19"/>
          <w:rFonts w:hint="default" w:ascii="宋体" w:hAnsi="宋体" w:eastAsia="宋体" w:cs="宋体"/>
          <w:color w:val="auto"/>
          <w:spacing w:val="-18"/>
          <w:sz w:val="24"/>
          <w:szCs w:val="24"/>
          <w:highlight w:val="none"/>
          <w:u w:val="single"/>
        </w:rPr>
        <w:t>和污染物，包括地下和水文条件，但不包括气候条件，由发包人、监理人和承包</w:t>
      </w:r>
      <w:r>
        <w:rPr>
          <w:rStyle w:val="19"/>
          <w:rFonts w:hint="default" w:ascii="宋体" w:hAnsi="宋体" w:eastAsia="宋体" w:cs="宋体"/>
          <w:color w:val="auto"/>
          <w:spacing w:val="-2"/>
          <w:sz w:val="24"/>
          <w:szCs w:val="24"/>
          <w:highlight w:val="none"/>
          <w:u w:val="single"/>
        </w:rPr>
        <w:t xml:space="preserve">人现场确定 </w:t>
      </w:r>
      <w:r>
        <w:rPr>
          <w:rStyle w:val="19"/>
          <w:rFonts w:hint="default" w:ascii="宋体" w:hAnsi="宋体" w:eastAsia="宋体" w:cs="宋体"/>
          <w:color w:val="auto"/>
          <w:spacing w:val="-2"/>
          <w:sz w:val="24"/>
          <w:szCs w:val="24"/>
          <w:highlight w:val="none"/>
        </w:rPr>
        <w:t>。</w:t>
      </w:r>
    </w:p>
    <w:p w14:paraId="7F6F5A40">
      <w:pPr>
        <w:pStyle w:val="2"/>
        <w:keepNext w:val="0"/>
        <w:pageBreakBefore w:val="0"/>
        <w:wordWrap/>
        <w:topLinePunct w:val="0"/>
        <w:autoSpaceDE/>
        <w:autoSpaceDN/>
        <w:bidi w:val="0"/>
        <w:adjustRightInd/>
        <w:spacing w:line="440" w:lineRule="exact"/>
        <w:textAlignment w:val="auto"/>
        <w:rPr>
          <w:rStyle w:val="19"/>
          <w:rFonts w:hint="default" w:ascii="Calibri" w:hAnsi="Times New Roman" w:cs="Times New Roman"/>
          <w:color w:val="auto"/>
          <w:sz w:val="20"/>
          <w:szCs w:val="20"/>
          <w:highlight w:val="none"/>
        </w:rPr>
      </w:pPr>
      <w:r>
        <w:rPr>
          <w:rFonts w:hint="default" w:ascii="宋体" w:cs="Times New Roman"/>
          <w:color w:val="auto"/>
          <w:sz w:val="28"/>
          <w:szCs w:val="32"/>
          <w:highlight w:val="none"/>
        </w:rPr>
        <w:t>5.材料和工程设备</w:t>
      </w:r>
    </w:p>
    <w:p w14:paraId="6469D098">
      <w:pPr>
        <w:pStyle w:val="28"/>
        <w:keepNext w:val="0"/>
        <w:pageBreakBefore w:val="0"/>
        <w:wordWrap/>
        <w:topLinePunct w:val="0"/>
        <w:autoSpaceDE/>
        <w:autoSpaceDN/>
        <w:bidi w:val="0"/>
        <w:adjustRightInd/>
        <w:spacing w:beforeLines="0" w:afterLines="0" w:line="440" w:lineRule="exact"/>
        <w:ind w:left="26" w:firstLine="406"/>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8"/>
          <w:sz w:val="24"/>
          <w:szCs w:val="24"/>
          <w:highlight w:val="none"/>
        </w:rPr>
        <w:t>5.1.1除第5.2款约定由发包人提供的材料和工程设备外，承包人负责采购、</w:t>
      </w:r>
      <w:r>
        <w:rPr>
          <w:rStyle w:val="19"/>
          <w:rFonts w:hint="default" w:ascii="宋体" w:hAnsi="宋体" w:eastAsia="宋体" w:cs="宋体"/>
          <w:color w:val="auto"/>
          <w:spacing w:val="-1"/>
          <w:sz w:val="24"/>
          <w:szCs w:val="24"/>
          <w:highlight w:val="none"/>
        </w:rPr>
        <w:t>运输和保管完成本合同工作所需的材料和工程设备。设备采购前需报发包人审</w:t>
      </w:r>
      <w:r>
        <w:rPr>
          <w:rStyle w:val="19"/>
          <w:rFonts w:hint="default" w:ascii="宋体" w:hAnsi="宋体" w:eastAsia="宋体" w:cs="宋体"/>
          <w:color w:val="auto"/>
          <w:spacing w:val="-11"/>
          <w:sz w:val="24"/>
          <w:szCs w:val="24"/>
          <w:highlight w:val="none"/>
        </w:rPr>
        <w:t>批，必须提供三家以上的业内信誉好的品牌或厂家，经发包人考察签字同意后方</w:t>
      </w:r>
      <w:r>
        <w:rPr>
          <w:rStyle w:val="19"/>
          <w:rFonts w:hint="default" w:ascii="宋体" w:hAnsi="宋体" w:eastAsia="宋体" w:cs="宋体"/>
          <w:color w:val="auto"/>
          <w:spacing w:val="-8"/>
          <w:sz w:val="24"/>
          <w:szCs w:val="24"/>
          <w:highlight w:val="none"/>
        </w:rPr>
        <w:t>可采购。发包人可到设备厂家进行监造，</w:t>
      </w:r>
      <w:r>
        <w:rPr>
          <w:rStyle w:val="19"/>
          <w:rFonts w:hint="default" w:ascii="宋体" w:hAnsi="宋体" w:eastAsia="宋体" w:cs="宋体"/>
          <w:color w:val="auto"/>
          <w:spacing w:val="-8"/>
          <w:sz w:val="24"/>
          <w:szCs w:val="24"/>
          <w:highlight w:val="none"/>
          <w:lang w:eastAsia="zh-CN"/>
        </w:rPr>
        <w:t>行程</w:t>
      </w:r>
      <w:r>
        <w:rPr>
          <w:rStyle w:val="19"/>
          <w:rFonts w:hint="default" w:ascii="宋体" w:hAnsi="宋体" w:eastAsia="宋体" w:cs="宋体"/>
          <w:color w:val="auto"/>
          <w:spacing w:val="-8"/>
          <w:sz w:val="24"/>
          <w:szCs w:val="24"/>
          <w:highlight w:val="none"/>
        </w:rPr>
        <w:t>费用发包人自行解决。所有包括在设备里的材料都应该是最适合于本工程项目的工作条件、环境且必需是新的，必须为</w:t>
      </w:r>
      <w:r>
        <w:rPr>
          <w:rStyle w:val="19"/>
          <w:rFonts w:hint="default" w:ascii="宋体" w:hAnsi="宋体" w:eastAsia="宋体" w:cs="宋体"/>
          <w:color w:val="auto"/>
          <w:spacing w:val="-2"/>
          <w:sz w:val="24"/>
          <w:szCs w:val="24"/>
          <w:highlight w:val="none"/>
        </w:rPr>
        <w:t>相关行业内的知名品牌并没有任何质量缺陷的；材料的选择应考虑到使用期长，</w:t>
      </w:r>
      <w:r>
        <w:rPr>
          <w:rStyle w:val="19"/>
          <w:rFonts w:hint="default" w:ascii="宋体" w:hAnsi="宋体" w:eastAsia="宋体" w:cs="宋体"/>
          <w:color w:val="auto"/>
          <w:spacing w:val="-4"/>
          <w:sz w:val="24"/>
          <w:szCs w:val="24"/>
          <w:highlight w:val="none"/>
        </w:rPr>
        <w:t>维修费用低。所有的材料都应设计成能抵抗工作时的应力、周围的恶劣环境而不</w:t>
      </w:r>
      <w:r>
        <w:rPr>
          <w:rStyle w:val="19"/>
          <w:rFonts w:hint="default" w:ascii="宋体" w:hAnsi="宋体" w:eastAsia="宋体" w:cs="宋体"/>
          <w:color w:val="auto"/>
          <w:spacing w:val="-2"/>
          <w:sz w:val="24"/>
          <w:szCs w:val="24"/>
          <w:highlight w:val="none"/>
        </w:rPr>
        <w:t>会造成变形或损坏，影响相应材料设备的效率和可靠性）。</w:t>
      </w:r>
    </w:p>
    <w:p w14:paraId="4CE7B9AB">
      <w:pPr>
        <w:pStyle w:val="28"/>
        <w:keepNext w:val="0"/>
        <w:pageBreakBefore w:val="0"/>
        <w:wordWrap/>
        <w:topLinePunct w:val="0"/>
        <w:autoSpaceDE/>
        <w:autoSpaceDN/>
        <w:bidi w:val="0"/>
        <w:adjustRightInd/>
        <w:spacing w:beforeLines="0" w:afterLines="0" w:line="440" w:lineRule="exact"/>
        <w:ind w:left="31" w:right="85" w:firstLine="479"/>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6"/>
          <w:sz w:val="24"/>
          <w:szCs w:val="24"/>
          <w:highlight w:val="none"/>
        </w:rPr>
        <w:t>发包人对承包人采购的设备进行全过程监督管理，所采购的设备质量须达到</w:t>
      </w:r>
      <w:r>
        <w:rPr>
          <w:rStyle w:val="19"/>
          <w:rFonts w:hint="default" w:ascii="宋体" w:hAnsi="宋体" w:eastAsia="宋体" w:cs="宋体"/>
          <w:color w:val="auto"/>
          <w:spacing w:val="-12"/>
          <w:sz w:val="24"/>
          <w:szCs w:val="24"/>
          <w:highlight w:val="none"/>
        </w:rPr>
        <w:t>国家或行业相关标准，并提供所采购的设备（包括其主要附件）的合格证书或相</w:t>
      </w:r>
      <w:r>
        <w:rPr>
          <w:rStyle w:val="19"/>
          <w:rFonts w:hint="default" w:ascii="宋体" w:hAnsi="宋体" w:eastAsia="宋体" w:cs="宋体"/>
          <w:color w:val="auto"/>
          <w:spacing w:val="-3"/>
          <w:sz w:val="24"/>
          <w:szCs w:val="24"/>
          <w:highlight w:val="none"/>
        </w:rPr>
        <w:t>关权威机构（部门）出具的检验合格资料。</w:t>
      </w:r>
    </w:p>
    <w:p w14:paraId="48274638">
      <w:pPr>
        <w:keepNext w:val="0"/>
        <w:pageBreakBefore w:val="0"/>
        <w:wordWrap/>
        <w:topLinePunct w:val="0"/>
        <w:autoSpaceDE/>
        <w:autoSpaceDN/>
        <w:bidi w:val="0"/>
        <w:adjustRightInd/>
        <w:spacing w:line="440" w:lineRule="exact"/>
        <w:textAlignment w:val="auto"/>
        <w:rPr>
          <w:rFonts w:hint="eastAsia"/>
          <w:b/>
          <w:color w:val="auto"/>
          <w:sz w:val="24"/>
          <w:szCs w:val="24"/>
          <w:highlight w:val="none"/>
        </w:rPr>
      </w:pPr>
      <w:r>
        <w:rPr>
          <w:rFonts w:hint="eastAsia"/>
          <w:b/>
          <w:color w:val="auto"/>
          <w:sz w:val="24"/>
          <w:szCs w:val="24"/>
          <w:highlight w:val="none"/>
        </w:rPr>
        <w:t>5.2发包人提供的材料和工程设备</w:t>
      </w:r>
    </w:p>
    <w:p w14:paraId="4280B9CE">
      <w:pPr>
        <w:pStyle w:val="28"/>
        <w:keepNext w:val="0"/>
        <w:pageBreakBefore w:val="0"/>
        <w:wordWrap/>
        <w:topLinePunct w:val="0"/>
        <w:autoSpaceDE/>
        <w:autoSpaceDN/>
        <w:bidi w:val="0"/>
        <w:adjustRightInd/>
        <w:spacing w:beforeLines="0" w:afterLines="0" w:line="440" w:lineRule="exact"/>
        <w:ind w:left="27" w:right="85" w:firstLine="244"/>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6"/>
          <w:sz w:val="24"/>
          <w:szCs w:val="24"/>
          <w:highlight w:val="none"/>
        </w:rPr>
        <w:t>5.2.1发包人与承包人签订的施工合同中约定是否提供材料和工程设备：不提</w:t>
      </w:r>
      <w:r>
        <w:rPr>
          <w:rStyle w:val="19"/>
          <w:rFonts w:hint="default" w:ascii="宋体" w:hAnsi="宋体" w:eastAsia="宋体" w:cs="宋体"/>
          <w:color w:val="auto"/>
          <w:spacing w:val="-12"/>
          <w:sz w:val="24"/>
          <w:szCs w:val="24"/>
          <w:highlight w:val="none"/>
        </w:rPr>
        <w:t>供。</w:t>
      </w:r>
    </w:p>
    <w:p w14:paraId="74DEBC43">
      <w:pPr>
        <w:pStyle w:val="2"/>
        <w:keepNext w:val="0"/>
        <w:pageBreakBefore w:val="0"/>
        <w:wordWrap/>
        <w:topLinePunct w:val="0"/>
        <w:autoSpaceDE/>
        <w:autoSpaceDN/>
        <w:bidi w:val="0"/>
        <w:adjustRightInd/>
        <w:spacing w:line="440" w:lineRule="exact"/>
        <w:textAlignment w:val="auto"/>
        <w:rPr>
          <w:rStyle w:val="19"/>
          <w:rFonts w:hint="default" w:ascii="Calibri" w:hAnsi="Times New Roman" w:cs="Times New Roman"/>
          <w:color w:val="auto"/>
          <w:sz w:val="20"/>
          <w:szCs w:val="20"/>
          <w:highlight w:val="none"/>
        </w:rPr>
      </w:pPr>
      <w:r>
        <w:rPr>
          <w:rFonts w:hint="default" w:ascii="宋体" w:cs="Times New Roman"/>
          <w:color w:val="auto"/>
          <w:sz w:val="28"/>
          <w:szCs w:val="32"/>
          <w:highlight w:val="none"/>
        </w:rPr>
        <w:t>6.施工设备和临时设施</w:t>
      </w:r>
    </w:p>
    <w:p w14:paraId="2EFEA6C9">
      <w:pPr>
        <w:keepNext w:val="0"/>
        <w:pageBreakBefore w:val="0"/>
        <w:wordWrap/>
        <w:topLinePunct w:val="0"/>
        <w:autoSpaceDE/>
        <w:autoSpaceDN/>
        <w:bidi w:val="0"/>
        <w:adjustRightInd/>
        <w:spacing w:line="440" w:lineRule="exact"/>
        <w:textAlignment w:val="auto"/>
        <w:rPr>
          <w:rFonts w:hint="eastAsia"/>
          <w:b/>
          <w:color w:val="auto"/>
          <w:sz w:val="24"/>
          <w:szCs w:val="24"/>
          <w:highlight w:val="none"/>
        </w:rPr>
      </w:pPr>
      <w:r>
        <w:rPr>
          <w:rFonts w:hint="eastAsia"/>
          <w:b/>
          <w:color w:val="auto"/>
          <w:sz w:val="24"/>
          <w:szCs w:val="24"/>
          <w:highlight w:val="none"/>
        </w:rPr>
        <w:t>6.1承包人提供的施工设备和临时设施</w:t>
      </w:r>
    </w:p>
    <w:p w14:paraId="77DFC862">
      <w:pPr>
        <w:pStyle w:val="28"/>
        <w:keepNext w:val="0"/>
        <w:pageBreakBefore w:val="0"/>
        <w:wordWrap/>
        <w:topLinePunct w:val="0"/>
        <w:autoSpaceDE/>
        <w:autoSpaceDN/>
        <w:bidi w:val="0"/>
        <w:adjustRightInd/>
        <w:spacing w:beforeLines="0" w:afterLines="0" w:line="440" w:lineRule="exact"/>
        <w:ind w:left="30" w:right="85" w:firstLine="438"/>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2"/>
          <w:sz w:val="24"/>
          <w:szCs w:val="24"/>
          <w:highlight w:val="none"/>
        </w:rPr>
        <w:t>6.1.2承包人自行承担修建临时设施的费用，需要临时占地的，由承包人办理相关申请手续，发包人予以协助，发生的相关费用由承包人承担。</w:t>
      </w:r>
    </w:p>
    <w:p w14:paraId="27718F68">
      <w:pPr>
        <w:keepNext w:val="0"/>
        <w:pageBreakBefore w:val="0"/>
        <w:wordWrap/>
        <w:topLinePunct w:val="0"/>
        <w:autoSpaceDE/>
        <w:autoSpaceDN/>
        <w:bidi w:val="0"/>
        <w:adjustRightInd/>
        <w:spacing w:line="440" w:lineRule="exact"/>
        <w:textAlignment w:val="auto"/>
        <w:rPr>
          <w:rFonts w:hint="eastAsia"/>
          <w:b/>
          <w:color w:val="auto"/>
          <w:sz w:val="24"/>
          <w:szCs w:val="24"/>
          <w:highlight w:val="none"/>
        </w:rPr>
      </w:pPr>
      <w:r>
        <w:rPr>
          <w:rFonts w:hint="eastAsia"/>
          <w:b/>
          <w:color w:val="auto"/>
          <w:sz w:val="24"/>
          <w:szCs w:val="24"/>
          <w:highlight w:val="none"/>
        </w:rPr>
        <w:t>6.2发包人提供的施工设备和临时设施</w:t>
      </w:r>
    </w:p>
    <w:p w14:paraId="0EF76A9E">
      <w:pPr>
        <w:pStyle w:val="28"/>
        <w:keepNext w:val="0"/>
        <w:pageBreakBefore w:val="0"/>
        <w:wordWrap/>
        <w:topLinePunct w:val="0"/>
        <w:autoSpaceDE/>
        <w:autoSpaceDN/>
        <w:bidi w:val="0"/>
        <w:adjustRightInd/>
        <w:spacing w:beforeLines="0" w:afterLines="0" w:line="440" w:lineRule="exact"/>
        <w:ind w:left="30" w:right="85" w:firstLine="438"/>
        <w:textAlignment w:val="auto"/>
        <w:rPr>
          <w:rStyle w:val="19"/>
          <w:rFonts w:hint="default" w:ascii="宋体" w:hAnsi="宋体" w:eastAsia="宋体" w:cs="宋体"/>
          <w:color w:val="auto"/>
          <w:spacing w:val="-2"/>
          <w:sz w:val="24"/>
          <w:szCs w:val="24"/>
          <w:highlight w:val="none"/>
        </w:rPr>
      </w:pPr>
      <w:r>
        <w:rPr>
          <w:rStyle w:val="19"/>
          <w:rFonts w:hint="default" w:ascii="宋体" w:hAnsi="宋体" w:eastAsia="宋体" w:cs="宋体"/>
          <w:color w:val="auto"/>
          <w:spacing w:val="-2"/>
          <w:sz w:val="24"/>
          <w:szCs w:val="24"/>
          <w:highlight w:val="none"/>
        </w:rPr>
        <w:t>(1)发包人提供的施工设备：</w:t>
      </w:r>
      <w:r>
        <w:rPr>
          <w:rStyle w:val="19"/>
          <w:rFonts w:hint="default" w:ascii="宋体" w:hAnsi="宋体" w:eastAsia="宋体" w:cs="宋体"/>
          <w:color w:val="auto"/>
          <w:spacing w:val="-2"/>
          <w:sz w:val="24"/>
          <w:szCs w:val="24"/>
          <w:highlight w:val="none"/>
          <w:u w:val="single"/>
        </w:rPr>
        <w:t xml:space="preserve">  无  </w:t>
      </w:r>
      <w:r>
        <w:rPr>
          <w:rStyle w:val="19"/>
          <w:rFonts w:hint="default" w:ascii="宋体" w:hAnsi="宋体" w:eastAsia="宋体" w:cs="宋体"/>
          <w:color w:val="auto"/>
          <w:spacing w:val="-2"/>
          <w:sz w:val="24"/>
          <w:szCs w:val="24"/>
          <w:highlight w:val="none"/>
        </w:rPr>
        <w:t>。</w:t>
      </w:r>
    </w:p>
    <w:p w14:paraId="75B9302C">
      <w:pPr>
        <w:pStyle w:val="28"/>
        <w:keepNext w:val="0"/>
        <w:pageBreakBefore w:val="0"/>
        <w:wordWrap/>
        <w:topLinePunct w:val="0"/>
        <w:autoSpaceDE/>
        <w:autoSpaceDN/>
        <w:bidi w:val="0"/>
        <w:adjustRightInd/>
        <w:spacing w:beforeLines="0" w:afterLines="0" w:line="440" w:lineRule="exact"/>
        <w:ind w:firstLine="497" w:firstLineChars="211"/>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2"/>
          <w:sz w:val="24"/>
          <w:szCs w:val="24"/>
          <w:highlight w:val="none"/>
        </w:rPr>
        <w:t>(2)发包人提供的临时设施：</w:t>
      </w:r>
      <w:r>
        <w:rPr>
          <w:rStyle w:val="19"/>
          <w:rFonts w:hint="default" w:ascii="宋体" w:hAnsi="宋体" w:eastAsia="宋体" w:cs="宋体"/>
          <w:color w:val="auto"/>
          <w:spacing w:val="-2"/>
          <w:sz w:val="24"/>
          <w:szCs w:val="24"/>
          <w:highlight w:val="none"/>
          <w:u w:val="single"/>
        </w:rPr>
        <w:t xml:space="preserve">  无  </w:t>
      </w:r>
      <w:r>
        <w:rPr>
          <w:rStyle w:val="19"/>
          <w:rFonts w:hint="default" w:ascii="宋体" w:hAnsi="宋体" w:eastAsia="宋体" w:cs="宋体"/>
          <w:color w:val="auto"/>
          <w:spacing w:val="-2"/>
          <w:sz w:val="24"/>
          <w:szCs w:val="24"/>
          <w:highlight w:val="none"/>
        </w:rPr>
        <w:t>。</w:t>
      </w:r>
    </w:p>
    <w:p w14:paraId="1A900AD0">
      <w:pPr>
        <w:pStyle w:val="2"/>
        <w:keepNext w:val="0"/>
        <w:pageBreakBefore w:val="0"/>
        <w:wordWrap/>
        <w:topLinePunct w:val="0"/>
        <w:autoSpaceDE/>
        <w:autoSpaceDN/>
        <w:bidi w:val="0"/>
        <w:adjustRightInd/>
        <w:spacing w:line="440" w:lineRule="exact"/>
        <w:textAlignment w:val="auto"/>
        <w:rPr>
          <w:rStyle w:val="19"/>
          <w:rFonts w:hint="default" w:ascii="Calibri" w:hAnsi="Times New Roman" w:cs="Times New Roman"/>
          <w:color w:val="auto"/>
          <w:sz w:val="20"/>
          <w:szCs w:val="20"/>
          <w:highlight w:val="none"/>
        </w:rPr>
      </w:pPr>
      <w:r>
        <w:rPr>
          <w:rFonts w:hint="default" w:ascii="宋体" w:cs="Times New Roman"/>
          <w:color w:val="auto"/>
          <w:sz w:val="28"/>
          <w:szCs w:val="32"/>
          <w:highlight w:val="none"/>
        </w:rPr>
        <w:t>7.交通运输</w:t>
      </w:r>
    </w:p>
    <w:p w14:paraId="5D70161D">
      <w:pPr>
        <w:keepNext w:val="0"/>
        <w:pageBreakBefore w:val="0"/>
        <w:wordWrap/>
        <w:topLinePunct w:val="0"/>
        <w:autoSpaceDE/>
        <w:autoSpaceDN/>
        <w:bidi w:val="0"/>
        <w:adjustRightInd/>
        <w:spacing w:line="440" w:lineRule="exact"/>
        <w:textAlignment w:val="auto"/>
        <w:rPr>
          <w:rFonts w:hint="eastAsia"/>
          <w:b/>
          <w:color w:val="auto"/>
          <w:sz w:val="24"/>
          <w:szCs w:val="24"/>
          <w:highlight w:val="none"/>
        </w:rPr>
      </w:pPr>
      <w:r>
        <w:rPr>
          <w:rFonts w:hint="eastAsia"/>
          <w:b/>
          <w:color w:val="auto"/>
          <w:sz w:val="24"/>
          <w:szCs w:val="24"/>
          <w:highlight w:val="none"/>
        </w:rPr>
        <w:t>7.1道路通行权和场外设施</w:t>
      </w:r>
    </w:p>
    <w:p w14:paraId="1BF668AF">
      <w:pPr>
        <w:pStyle w:val="28"/>
        <w:keepNext w:val="0"/>
        <w:pageBreakBefore w:val="0"/>
        <w:wordWrap/>
        <w:topLinePunct w:val="0"/>
        <w:autoSpaceDE/>
        <w:autoSpaceDN/>
        <w:bidi w:val="0"/>
        <w:adjustRightInd/>
        <w:spacing w:beforeLines="0" w:afterLines="0" w:line="440" w:lineRule="exact"/>
        <w:ind w:left="26" w:right="89" w:firstLine="419"/>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12"/>
          <w:sz w:val="24"/>
          <w:szCs w:val="24"/>
          <w:highlight w:val="none"/>
        </w:rPr>
        <w:t>道路通行权和场外设施的约定：</w:t>
      </w:r>
      <w:r>
        <w:rPr>
          <w:rStyle w:val="19"/>
          <w:rFonts w:hint="default" w:ascii="宋体" w:hAnsi="宋体" w:eastAsia="宋体" w:cs="宋体"/>
          <w:color w:val="auto"/>
          <w:spacing w:val="-12"/>
          <w:sz w:val="24"/>
          <w:szCs w:val="24"/>
          <w:highlight w:val="none"/>
          <w:u w:val="single"/>
        </w:rPr>
        <w:t>承包人应根据合同工程的施工需要，负责办</w:t>
      </w:r>
      <w:r>
        <w:rPr>
          <w:rStyle w:val="19"/>
          <w:rFonts w:hint="default" w:ascii="宋体" w:hAnsi="宋体" w:eastAsia="宋体" w:cs="宋体"/>
          <w:color w:val="auto"/>
          <w:spacing w:val="-7"/>
          <w:sz w:val="24"/>
          <w:szCs w:val="24"/>
          <w:highlight w:val="none"/>
          <w:u w:val="single"/>
        </w:rPr>
        <w:t>理取得出入施工场地的专用和临时道路的通行权，以及取得为工程建设所需修建</w:t>
      </w:r>
      <w:r>
        <w:rPr>
          <w:rStyle w:val="19"/>
          <w:rFonts w:hint="default" w:ascii="宋体" w:hAnsi="宋体" w:eastAsia="宋体" w:cs="宋体"/>
          <w:color w:val="auto"/>
          <w:spacing w:val="-1"/>
          <w:sz w:val="24"/>
          <w:szCs w:val="24"/>
          <w:highlight w:val="none"/>
          <w:u w:val="single"/>
        </w:rPr>
        <w:t xml:space="preserve">场外设施的权利 </w:t>
      </w:r>
      <w:r>
        <w:rPr>
          <w:rStyle w:val="19"/>
          <w:rFonts w:hint="default" w:ascii="宋体" w:hAnsi="宋体" w:eastAsia="宋体" w:cs="宋体"/>
          <w:color w:val="auto"/>
          <w:spacing w:val="-1"/>
          <w:sz w:val="24"/>
          <w:szCs w:val="24"/>
          <w:highlight w:val="none"/>
        </w:rPr>
        <w:t>。</w:t>
      </w:r>
    </w:p>
    <w:p w14:paraId="4D731F6D">
      <w:pPr>
        <w:pStyle w:val="2"/>
        <w:keepNext w:val="0"/>
        <w:pageBreakBefore w:val="0"/>
        <w:wordWrap/>
        <w:topLinePunct w:val="0"/>
        <w:autoSpaceDE/>
        <w:autoSpaceDN/>
        <w:bidi w:val="0"/>
        <w:adjustRightInd/>
        <w:spacing w:line="440" w:lineRule="exact"/>
        <w:textAlignment w:val="auto"/>
        <w:rPr>
          <w:rStyle w:val="19"/>
          <w:rFonts w:hint="default" w:ascii="Calibri" w:hAnsi="Times New Roman" w:cs="Times New Roman"/>
          <w:color w:val="auto"/>
          <w:sz w:val="20"/>
          <w:szCs w:val="20"/>
          <w:highlight w:val="none"/>
        </w:rPr>
      </w:pPr>
      <w:r>
        <w:rPr>
          <w:rFonts w:hint="default" w:ascii="宋体" w:cs="Times New Roman"/>
          <w:color w:val="auto"/>
          <w:sz w:val="28"/>
          <w:szCs w:val="32"/>
          <w:highlight w:val="none"/>
        </w:rPr>
        <w:t>8.测量放线</w:t>
      </w:r>
    </w:p>
    <w:p w14:paraId="01C5C28F">
      <w:pPr>
        <w:keepNext w:val="0"/>
        <w:pageBreakBefore w:val="0"/>
        <w:wordWrap/>
        <w:topLinePunct w:val="0"/>
        <w:autoSpaceDE/>
        <w:autoSpaceDN/>
        <w:bidi w:val="0"/>
        <w:adjustRightInd/>
        <w:spacing w:line="440" w:lineRule="exact"/>
        <w:textAlignment w:val="auto"/>
        <w:rPr>
          <w:rFonts w:hint="eastAsia"/>
          <w:b/>
          <w:color w:val="auto"/>
          <w:sz w:val="24"/>
          <w:szCs w:val="24"/>
          <w:highlight w:val="none"/>
        </w:rPr>
      </w:pPr>
      <w:r>
        <w:rPr>
          <w:rFonts w:hint="eastAsia"/>
          <w:b/>
          <w:color w:val="auto"/>
          <w:sz w:val="24"/>
          <w:szCs w:val="24"/>
          <w:highlight w:val="none"/>
        </w:rPr>
        <w:t>8.1施工控制网</w:t>
      </w:r>
    </w:p>
    <w:p w14:paraId="1B6EBA44">
      <w:pPr>
        <w:keepNext w:val="0"/>
        <w:pageBreakBefore w:val="0"/>
        <w:wordWrap/>
        <w:topLinePunct w:val="0"/>
        <w:autoSpaceDE/>
        <w:autoSpaceDN/>
        <w:bidi w:val="0"/>
        <w:adjustRightInd/>
        <w:spacing w:line="440" w:lineRule="exact"/>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1"/>
          <w:sz w:val="24"/>
          <w:szCs w:val="24"/>
          <w:highlight w:val="none"/>
        </w:rPr>
        <w:t>8.1.1施工控制网的约定：</w:t>
      </w:r>
      <w:r>
        <w:rPr>
          <w:rStyle w:val="19"/>
          <w:rFonts w:hint="default" w:ascii="宋体" w:hAnsi="宋体" w:eastAsia="宋体" w:cs="宋体"/>
          <w:color w:val="auto"/>
          <w:spacing w:val="-1"/>
          <w:sz w:val="24"/>
          <w:szCs w:val="24"/>
          <w:highlight w:val="none"/>
          <w:u w:val="single"/>
        </w:rPr>
        <w:t xml:space="preserve"> </w:t>
      </w:r>
      <w:r>
        <w:rPr>
          <w:rStyle w:val="19"/>
          <w:rFonts w:hint="default" w:ascii="宋体" w:hAnsi="宋体" w:eastAsia="宋体" w:cs="宋体"/>
          <w:color w:val="auto"/>
          <w:spacing w:val="-7"/>
          <w:sz w:val="24"/>
          <w:szCs w:val="24"/>
          <w:highlight w:val="none"/>
          <w:u w:val="single"/>
        </w:rPr>
        <w:t xml:space="preserve">由承包人负责测设，并报监理人审批，相关费用由承包人承担 </w:t>
      </w:r>
      <w:r>
        <w:rPr>
          <w:rStyle w:val="19"/>
          <w:rFonts w:hint="default" w:ascii="宋体" w:hAnsi="宋体" w:eastAsia="宋体" w:cs="宋体"/>
          <w:color w:val="auto"/>
          <w:spacing w:val="-6"/>
          <w:sz w:val="24"/>
          <w:szCs w:val="24"/>
          <w:highlight w:val="none"/>
        </w:rPr>
        <w:t>。</w:t>
      </w:r>
    </w:p>
    <w:p w14:paraId="412AF184">
      <w:pPr>
        <w:pStyle w:val="28"/>
        <w:keepNext w:val="0"/>
        <w:pageBreakBefore w:val="0"/>
        <w:wordWrap/>
        <w:topLinePunct w:val="0"/>
        <w:autoSpaceDE/>
        <w:autoSpaceDN/>
        <w:bidi w:val="0"/>
        <w:adjustRightInd/>
        <w:spacing w:beforeLines="0" w:afterLines="0" w:line="440" w:lineRule="exact"/>
        <w:textAlignment w:val="auto"/>
        <w:rPr>
          <w:rStyle w:val="19"/>
          <w:rFonts w:hint="default" w:ascii="Calibri" w:eastAsia="宋体"/>
          <w:color w:val="auto"/>
          <w:sz w:val="24"/>
          <w:szCs w:val="24"/>
          <w:highlight w:val="none"/>
        </w:rPr>
      </w:pPr>
      <w:r>
        <w:rPr>
          <w:rStyle w:val="19"/>
          <w:rFonts w:hint="default" w:ascii="宋体" w:hAnsi="宋体" w:eastAsia="宋体" w:cs="宋体"/>
          <w:color w:val="auto"/>
          <w:spacing w:val="-1"/>
          <w:sz w:val="24"/>
          <w:szCs w:val="24"/>
          <w:highlight w:val="none"/>
        </w:rPr>
        <w:t>8.1.</w:t>
      </w:r>
      <w:r>
        <w:rPr>
          <w:rStyle w:val="19"/>
          <w:rFonts w:hint="default" w:ascii="宋体" w:hAnsi="宋体" w:eastAsia="宋体" w:cs="宋体"/>
          <w:color w:val="auto"/>
          <w:spacing w:val="-1"/>
          <w:sz w:val="24"/>
          <w:szCs w:val="24"/>
          <w:highlight w:val="none"/>
          <w:lang w:eastAsia="zh-CN"/>
        </w:rPr>
        <w:t>1</w:t>
      </w:r>
      <w:r>
        <w:rPr>
          <w:rStyle w:val="19"/>
          <w:rFonts w:hint="default" w:ascii="宋体" w:hAnsi="宋体" w:eastAsia="宋体" w:cs="宋体"/>
          <w:color w:val="auto"/>
          <w:spacing w:val="-1"/>
          <w:sz w:val="24"/>
          <w:szCs w:val="24"/>
          <w:highlight w:val="none"/>
        </w:rPr>
        <w:t>对基准坐标资料的内容的确认与维护</w:t>
      </w:r>
    </w:p>
    <w:p w14:paraId="57678B4D">
      <w:pPr>
        <w:pStyle w:val="28"/>
        <w:keepNext w:val="0"/>
        <w:pageBreakBefore w:val="0"/>
        <w:numPr>
          <w:ilvl w:val="0"/>
          <w:numId w:val="38"/>
        </w:numPr>
        <w:wordWrap/>
        <w:topLinePunct w:val="0"/>
        <w:autoSpaceDE/>
        <w:autoSpaceDN/>
        <w:bidi w:val="0"/>
        <w:adjustRightInd/>
        <w:spacing w:beforeLines="0" w:afterLines="0" w:line="440" w:lineRule="exact"/>
        <w:ind w:right="79"/>
        <w:textAlignment w:val="auto"/>
        <w:rPr>
          <w:rStyle w:val="19"/>
          <w:rFonts w:hint="default" w:ascii="宋体" w:hAnsi="宋体" w:eastAsia="宋体" w:cs="宋体"/>
          <w:color w:val="auto"/>
          <w:spacing w:val="-2"/>
          <w:sz w:val="24"/>
          <w:szCs w:val="24"/>
          <w:highlight w:val="none"/>
        </w:rPr>
      </w:pPr>
      <w:r>
        <w:rPr>
          <w:rStyle w:val="19"/>
          <w:rFonts w:hint="default" w:ascii="宋体" w:hAnsi="宋体" w:eastAsia="宋体" w:cs="宋体"/>
          <w:color w:val="auto"/>
          <w:spacing w:val="-11"/>
          <w:sz w:val="24"/>
          <w:szCs w:val="24"/>
          <w:highlight w:val="none"/>
        </w:rPr>
        <w:t>承包人应根据发包人书面移交的控制网数据，负责对原始控制网数</w:t>
      </w:r>
      <w:r>
        <w:rPr>
          <w:rStyle w:val="19"/>
          <w:rFonts w:hint="default" w:ascii="宋体" w:hAnsi="宋体" w:eastAsia="宋体" w:cs="宋体"/>
          <w:color w:val="auto"/>
          <w:spacing w:val="-7"/>
          <w:sz w:val="24"/>
          <w:szCs w:val="24"/>
          <w:highlight w:val="none"/>
        </w:rPr>
        <w:t>据的复测，根据工程施工放样的需要对控制网进行加密。承包人有义务提出</w:t>
      </w:r>
      <w:r>
        <w:rPr>
          <w:rStyle w:val="19"/>
          <w:rFonts w:hint="default" w:ascii="宋体" w:hAnsi="宋体" w:eastAsia="宋体" w:cs="宋体"/>
          <w:color w:val="auto"/>
          <w:spacing w:val="-2"/>
          <w:sz w:val="24"/>
          <w:szCs w:val="24"/>
          <w:highlight w:val="none"/>
        </w:rPr>
        <w:t>并纠正发包人提供的基本坐标资料中的差错，并对所有放线的准确性负责。</w:t>
      </w:r>
    </w:p>
    <w:p w14:paraId="0D0F4F2B">
      <w:pPr>
        <w:pStyle w:val="28"/>
        <w:keepNext w:val="0"/>
        <w:pageBreakBefore w:val="0"/>
        <w:numPr>
          <w:ilvl w:val="0"/>
          <w:numId w:val="0"/>
        </w:numPr>
        <w:wordWrap/>
        <w:topLinePunct w:val="0"/>
        <w:autoSpaceDE/>
        <w:autoSpaceDN/>
        <w:bidi w:val="0"/>
        <w:adjustRightInd/>
        <w:spacing w:beforeLines="0" w:afterLines="0" w:line="440" w:lineRule="exact"/>
        <w:ind w:right="79"/>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10"/>
          <w:sz w:val="24"/>
          <w:szCs w:val="24"/>
          <w:highlight w:val="none"/>
        </w:rPr>
        <w:t>（2）对因自身原因造成原始控制点的破坏，不得因此向发包人索取可能</w:t>
      </w:r>
      <w:r>
        <w:rPr>
          <w:rStyle w:val="19"/>
          <w:rFonts w:hint="default" w:ascii="宋体" w:hAnsi="宋体" w:eastAsia="宋体" w:cs="宋体"/>
          <w:color w:val="auto"/>
          <w:spacing w:val="-5"/>
          <w:sz w:val="24"/>
          <w:szCs w:val="24"/>
          <w:highlight w:val="none"/>
        </w:rPr>
        <w:t>延长的工期和可能增加的费用；</w:t>
      </w:r>
    </w:p>
    <w:p w14:paraId="506503CF">
      <w:pPr>
        <w:pStyle w:val="28"/>
        <w:keepNext w:val="0"/>
        <w:pageBreakBefore w:val="0"/>
        <w:wordWrap/>
        <w:topLinePunct w:val="0"/>
        <w:autoSpaceDE/>
        <w:autoSpaceDN/>
        <w:bidi w:val="0"/>
        <w:adjustRightInd/>
        <w:spacing w:beforeLines="0" w:afterLines="0" w:line="440" w:lineRule="exact"/>
        <w:textAlignment w:val="auto"/>
        <w:rPr>
          <w:rStyle w:val="19"/>
          <w:rFonts w:hint="default" w:ascii="Calibri" w:eastAsia="宋体"/>
          <w:color w:val="auto"/>
          <w:sz w:val="24"/>
          <w:szCs w:val="24"/>
          <w:highlight w:val="none"/>
        </w:rPr>
      </w:pPr>
      <w:r>
        <w:rPr>
          <w:rStyle w:val="19"/>
          <w:rFonts w:hint="default" w:ascii="宋体" w:hAnsi="宋体" w:eastAsia="宋体" w:cs="宋体"/>
          <w:color w:val="auto"/>
          <w:spacing w:val="-2"/>
          <w:sz w:val="24"/>
          <w:szCs w:val="24"/>
          <w:highlight w:val="none"/>
        </w:rPr>
        <w:t>（3）施工控制网允许发包人、监理人以及其它承包人使用。</w:t>
      </w:r>
    </w:p>
    <w:p w14:paraId="7BECAB31">
      <w:pPr>
        <w:keepNext w:val="0"/>
        <w:pageBreakBefore w:val="0"/>
        <w:wordWrap/>
        <w:topLinePunct w:val="0"/>
        <w:autoSpaceDE/>
        <w:autoSpaceDN/>
        <w:bidi w:val="0"/>
        <w:adjustRightInd/>
        <w:spacing w:line="440" w:lineRule="exact"/>
        <w:textAlignment w:val="auto"/>
        <w:rPr>
          <w:rFonts w:hint="eastAsia"/>
          <w:b/>
          <w:color w:val="auto"/>
          <w:sz w:val="20"/>
          <w:szCs w:val="20"/>
          <w:highlight w:val="none"/>
        </w:rPr>
      </w:pPr>
      <w:r>
        <w:rPr>
          <w:rFonts w:hint="eastAsia"/>
          <w:b/>
          <w:color w:val="auto"/>
          <w:sz w:val="20"/>
          <w:szCs w:val="20"/>
          <w:highlight w:val="none"/>
        </w:rPr>
        <w:t>8.3基准资料错误的责任</w:t>
      </w:r>
    </w:p>
    <w:p w14:paraId="7C60507F">
      <w:pPr>
        <w:pStyle w:val="28"/>
        <w:keepNext w:val="0"/>
        <w:pageBreakBefore w:val="0"/>
        <w:wordWrap/>
        <w:topLinePunct w:val="0"/>
        <w:autoSpaceDE/>
        <w:autoSpaceDN/>
        <w:bidi w:val="0"/>
        <w:adjustRightInd/>
        <w:spacing w:beforeLines="0" w:afterLines="0" w:line="440" w:lineRule="exact"/>
        <w:ind w:left="26" w:firstLine="480"/>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4"/>
          <w:sz w:val="24"/>
          <w:szCs w:val="24"/>
          <w:highlight w:val="none"/>
          <w:lang w:eastAsia="zh-CN"/>
        </w:rPr>
        <w:t>发包人于</w:t>
      </w:r>
      <w:r>
        <w:rPr>
          <w:rStyle w:val="19"/>
          <w:rFonts w:hint="default" w:ascii="宋体" w:hAnsi="宋体" w:eastAsia="宋体" w:cs="宋体"/>
          <w:color w:val="auto"/>
          <w:spacing w:val="-4"/>
          <w:sz w:val="24"/>
          <w:szCs w:val="24"/>
          <w:highlight w:val="none"/>
        </w:rPr>
        <w:t>开工日期前7天通过监理人向承包人提供测量基准点、基准线和水准点及其书面资料</w:t>
      </w:r>
      <w:r>
        <w:rPr>
          <w:rStyle w:val="19"/>
          <w:rFonts w:hint="default" w:ascii="宋体" w:hAnsi="宋体" w:eastAsia="宋体" w:cs="宋体"/>
          <w:color w:val="auto"/>
          <w:spacing w:val="-4"/>
          <w:sz w:val="24"/>
          <w:szCs w:val="24"/>
          <w:highlight w:val="none"/>
          <w:lang w:eastAsia="zh-CN"/>
        </w:rPr>
        <w:t>，</w:t>
      </w:r>
      <w:r>
        <w:rPr>
          <w:rStyle w:val="19"/>
          <w:rFonts w:hint="default" w:ascii="宋体" w:hAnsi="宋体" w:eastAsia="宋体" w:cs="宋体"/>
          <w:color w:val="auto"/>
          <w:spacing w:val="-4"/>
          <w:sz w:val="24"/>
          <w:szCs w:val="24"/>
          <w:highlight w:val="none"/>
        </w:rPr>
        <w:t>承包人应对发包人所提供的测量基准点、基准线和水准点及其书面资料的真</w:t>
      </w:r>
      <w:r>
        <w:rPr>
          <w:rStyle w:val="19"/>
          <w:rFonts w:hint="default" w:ascii="宋体" w:hAnsi="宋体" w:eastAsia="宋体" w:cs="宋体"/>
          <w:color w:val="auto"/>
          <w:spacing w:val="-8"/>
          <w:sz w:val="24"/>
          <w:szCs w:val="24"/>
          <w:highlight w:val="none"/>
        </w:rPr>
        <w:t>实性、准确性和完整性进行复核，并对复核成果负责。承包人因使用复核成果导</w:t>
      </w:r>
      <w:r>
        <w:rPr>
          <w:rStyle w:val="19"/>
          <w:rFonts w:hint="default" w:ascii="宋体" w:hAnsi="宋体" w:eastAsia="宋体" w:cs="宋体"/>
          <w:color w:val="auto"/>
          <w:spacing w:val="-1"/>
          <w:sz w:val="24"/>
          <w:szCs w:val="24"/>
          <w:highlight w:val="none"/>
        </w:rPr>
        <w:t>致测量放线工作返工或造成工程损失的，由承包人承担由此增加的费用和（或）</w:t>
      </w:r>
      <w:r>
        <w:rPr>
          <w:rStyle w:val="19"/>
          <w:rFonts w:hint="default" w:ascii="宋体" w:hAnsi="宋体" w:eastAsia="宋体" w:cs="宋体"/>
          <w:color w:val="auto"/>
          <w:spacing w:val="-12"/>
          <w:sz w:val="24"/>
          <w:szCs w:val="24"/>
          <w:highlight w:val="none"/>
        </w:rPr>
        <w:t>相应的工期延误。承包人复核时，发现上述基准资料存在明显错误或疏忽的，应</w:t>
      </w:r>
      <w:r>
        <w:rPr>
          <w:rStyle w:val="19"/>
          <w:rFonts w:hint="default" w:ascii="宋体" w:hAnsi="宋体" w:eastAsia="宋体" w:cs="宋体"/>
          <w:color w:val="auto"/>
          <w:spacing w:val="-5"/>
          <w:sz w:val="24"/>
          <w:szCs w:val="24"/>
          <w:highlight w:val="none"/>
        </w:rPr>
        <w:t>及时通知监理人。</w:t>
      </w:r>
    </w:p>
    <w:p w14:paraId="620040BF">
      <w:pPr>
        <w:pStyle w:val="28"/>
        <w:keepNext w:val="0"/>
        <w:pageBreakBefore w:val="0"/>
        <w:wordWrap/>
        <w:topLinePunct w:val="0"/>
        <w:autoSpaceDE/>
        <w:autoSpaceDN/>
        <w:bidi w:val="0"/>
        <w:adjustRightInd/>
        <w:spacing w:beforeLines="0" w:afterLines="0" w:line="440" w:lineRule="exact"/>
        <w:ind w:firstLine="28"/>
        <w:textAlignment w:val="auto"/>
        <w:outlineLvl w:val="2"/>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2"/>
          <w:sz w:val="24"/>
          <w:szCs w:val="24"/>
          <w:highlight w:val="none"/>
        </w:rPr>
        <w:t>8.5补充地质勘察</w:t>
      </w:r>
    </w:p>
    <w:p w14:paraId="15D457A9">
      <w:pPr>
        <w:pStyle w:val="28"/>
        <w:keepNext w:val="0"/>
        <w:pageBreakBefore w:val="0"/>
        <w:wordWrap/>
        <w:topLinePunct w:val="0"/>
        <w:autoSpaceDE/>
        <w:autoSpaceDN/>
        <w:bidi w:val="0"/>
        <w:adjustRightInd/>
        <w:spacing w:beforeLines="0" w:afterLines="0" w:line="440" w:lineRule="exact"/>
        <w:ind w:left="27" w:right="17" w:firstLine="472" w:firstLineChars="200"/>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2"/>
          <w:sz w:val="24"/>
          <w:szCs w:val="24"/>
          <w:highlight w:val="none"/>
        </w:rPr>
        <w:t>合同实施期间，承包人根据施工现场情况决定是否需要开展补充地质勘探；</w:t>
      </w:r>
      <w:r>
        <w:rPr>
          <w:rStyle w:val="19"/>
          <w:rFonts w:hint="default" w:ascii="宋体" w:hAnsi="宋体" w:eastAsia="宋体" w:cs="宋体"/>
          <w:color w:val="auto"/>
          <w:spacing w:val="-11"/>
          <w:sz w:val="24"/>
          <w:szCs w:val="24"/>
          <w:highlight w:val="none"/>
        </w:rPr>
        <w:t>承包人为本合同永久工程施工的需要进行补充地质勘探时，须经监理人批准，并</w:t>
      </w:r>
      <w:r>
        <w:rPr>
          <w:rStyle w:val="19"/>
          <w:rFonts w:hint="default" w:ascii="宋体" w:hAnsi="宋体" w:eastAsia="宋体" w:cs="宋体"/>
          <w:color w:val="auto"/>
          <w:spacing w:val="-8"/>
          <w:sz w:val="24"/>
          <w:szCs w:val="24"/>
          <w:highlight w:val="none"/>
        </w:rPr>
        <w:t>应向监理人提交有关资料，上述补充勘探的费用由发包人自行承担。承包人为其</w:t>
      </w:r>
      <w:r>
        <w:rPr>
          <w:rStyle w:val="19"/>
          <w:rFonts w:hint="default" w:ascii="宋体" w:hAnsi="宋体" w:eastAsia="宋体" w:cs="宋体"/>
          <w:color w:val="auto"/>
          <w:spacing w:val="-1"/>
          <w:sz w:val="24"/>
          <w:szCs w:val="24"/>
          <w:highlight w:val="none"/>
        </w:rPr>
        <w:t>临时工程所需进行的补充地质勘探，其费用由承包人承担。</w:t>
      </w:r>
    </w:p>
    <w:p w14:paraId="3E217244">
      <w:pPr>
        <w:pStyle w:val="2"/>
        <w:keepNext w:val="0"/>
        <w:pageBreakBefore w:val="0"/>
        <w:wordWrap/>
        <w:topLinePunct w:val="0"/>
        <w:autoSpaceDE/>
        <w:autoSpaceDN/>
        <w:bidi w:val="0"/>
        <w:adjustRightInd/>
        <w:spacing w:line="440" w:lineRule="exact"/>
        <w:textAlignment w:val="auto"/>
        <w:rPr>
          <w:rStyle w:val="19"/>
          <w:rFonts w:hint="default" w:ascii="Calibri" w:hAnsi="Times New Roman" w:cs="Times New Roman"/>
          <w:color w:val="auto"/>
          <w:sz w:val="24"/>
          <w:szCs w:val="24"/>
          <w:highlight w:val="none"/>
        </w:rPr>
      </w:pPr>
      <w:r>
        <w:rPr>
          <w:rFonts w:hint="default" w:ascii="宋体" w:cs="Times New Roman"/>
          <w:color w:val="auto"/>
          <w:sz w:val="24"/>
          <w:szCs w:val="24"/>
          <w:highlight w:val="none"/>
        </w:rPr>
        <w:t>9.施工安全、治安保卫和环境保护</w:t>
      </w:r>
    </w:p>
    <w:p w14:paraId="7A153BE3">
      <w:pPr>
        <w:keepNext w:val="0"/>
        <w:pageBreakBefore w:val="0"/>
        <w:wordWrap/>
        <w:topLinePunct w:val="0"/>
        <w:autoSpaceDE/>
        <w:autoSpaceDN/>
        <w:bidi w:val="0"/>
        <w:adjustRightInd/>
        <w:spacing w:line="440" w:lineRule="exact"/>
        <w:textAlignment w:val="auto"/>
        <w:rPr>
          <w:rFonts w:hint="eastAsia"/>
          <w:b/>
          <w:color w:val="auto"/>
          <w:sz w:val="24"/>
          <w:szCs w:val="24"/>
          <w:highlight w:val="none"/>
        </w:rPr>
      </w:pPr>
      <w:r>
        <w:rPr>
          <w:rFonts w:hint="eastAsia"/>
          <w:b/>
          <w:color w:val="auto"/>
          <w:sz w:val="24"/>
          <w:szCs w:val="24"/>
          <w:highlight w:val="none"/>
        </w:rPr>
        <w:t>9.1发包人的施工安全责任</w:t>
      </w:r>
    </w:p>
    <w:p w14:paraId="0AB77248">
      <w:pPr>
        <w:pStyle w:val="28"/>
        <w:keepNext w:val="0"/>
        <w:pageBreakBefore w:val="0"/>
        <w:wordWrap/>
        <w:topLinePunct w:val="0"/>
        <w:autoSpaceDE/>
        <w:autoSpaceDN/>
        <w:bidi w:val="0"/>
        <w:adjustRightInd/>
        <w:spacing w:beforeLines="0" w:afterLines="0" w:line="440" w:lineRule="exact"/>
        <w:ind w:firstLine="508"/>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2"/>
          <w:sz w:val="24"/>
          <w:szCs w:val="24"/>
          <w:highlight w:val="none"/>
        </w:rPr>
        <w:t>9.1.</w:t>
      </w:r>
      <w:r>
        <w:rPr>
          <w:rStyle w:val="19"/>
          <w:rFonts w:hint="default" w:ascii="宋体" w:hAnsi="宋体" w:eastAsia="宋体" w:cs="宋体"/>
          <w:color w:val="auto"/>
          <w:spacing w:val="-2"/>
          <w:sz w:val="24"/>
          <w:szCs w:val="24"/>
          <w:highlight w:val="none"/>
          <w:lang w:eastAsia="zh-CN"/>
        </w:rPr>
        <w:t>2</w:t>
      </w:r>
      <w:r>
        <w:rPr>
          <w:rStyle w:val="19"/>
          <w:rFonts w:hint="default" w:ascii="宋体" w:hAnsi="宋体" w:eastAsia="宋体" w:cs="宋体"/>
          <w:color w:val="auto"/>
          <w:spacing w:val="-2"/>
          <w:sz w:val="24"/>
          <w:szCs w:val="24"/>
          <w:highlight w:val="none"/>
        </w:rPr>
        <w:t>本款补充：但由于承包人原因造成的应由承包人承担责任。</w:t>
      </w:r>
    </w:p>
    <w:p w14:paraId="2949AB9F">
      <w:pPr>
        <w:pStyle w:val="28"/>
        <w:keepNext w:val="0"/>
        <w:pageBreakBefore w:val="0"/>
        <w:wordWrap/>
        <w:topLinePunct w:val="0"/>
        <w:autoSpaceDE/>
        <w:autoSpaceDN/>
        <w:bidi w:val="0"/>
        <w:adjustRightInd/>
        <w:spacing w:beforeLines="0" w:afterLines="0" w:line="440" w:lineRule="exact"/>
        <w:ind w:left="26" w:right="17" w:firstLine="481"/>
        <w:textAlignment w:val="auto"/>
        <w:rPr>
          <w:rStyle w:val="19"/>
          <w:rFonts w:hint="default" w:ascii="Calibri" w:eastAsia="宋体"/>
          <w:color w:val="auto"/>
          <w:sz w:val="24"/>
          <w:szCs w:val="24"/>
          <w:highlight w:val="none"/>
        </w:rPr>
      </w:pPr>
      <w:r>
        <w:rPr>
          <w:rStyle w:val="19"/>
          <w:rFonts w:hint="default" w:ascii="宋体" w:hAnsi="宋体" w:eastAsia="宋体" w:cs="宋体"/>
          <w:color w:val="auto"/>
          <w:spacing w:val="-7"/>
          <w:sz w:val="24"/>
          <w:szCs w:val="24"/>
          <w:highlight w:val="none"/>
        </w:rPr>
        <w:t>9.1.</w:t>
      </w:r>
      <w:r>
        <w:rPr>
          <w:rStyle w:val="19"/>
          <w:rFonts w:hint="default" w:ascii="宋体" w:hAnsi="宋体" w:eastAsia="宋体" w:cs="宋体"/>
          <w:color w:val="auto"/>
          <w:spacing w:val="-7"/>
          <w:sz w:val="24"/>
          <w:szCs w:val="24"/>
          <w:highlight w:val="none"/>
          <w:lang w:eastAsia="zh-CN"/>
        </w:rPr>
        <w:t>4</w:t>
      </w:r>
      <w:r>
        <w:rPr>
          <w:rStyle w:val="19"/>
          <w:rFonts w:hint="default" w:ascii="宋体" w:hAnsi="宋体" w:eastAsia="宋体" w:cs="宋体"/>
          <w:color w:val="auto"/>
          <w:spacing w:val="-7"/>
          <w:sz w:val="24"/>
          <w:szCs w:val="24"/>
          <w:highlight w:val="none"/>
        </w:rPr>
        <w:t>除专用合同条款另有约定外，承包人应自行调查施工现场及施工可能</w:t>
      </w:r>
      <w:r>
        <w:rPr>
          <w:rStyle w:val="19"/>
          <w:rFonts w:hint="default" w:ascii="宋体" w:hAnsi="宋体" w:eastAsia="宋体" w:cs="宋体"/>
          <w:color w:val="auto"/>
          <w:spacing w:val="-4"/>
          <w:sz w:val="24"/>
          <w:szCs w:val="24"/>
          <w:highlight w:val="none"/>
        </w:rPr>
        <w:t>影响的毗邻区域内供水、排水、供电、供气、供热、通信、广播电视等地下管线</w:t>
      </w:r>
      <w:r>
        <w:rPr>
          <w:rStyle w:val="19"/>
          <w:rFonts w:hint="default" w:ascii="宋体" w:hAnsi="宋体" w:eastAsia="宋体" w:cs="宋体"/>
          <w:color w:val="auto"/>
          <w:spacing w:val="-11"/>
          <w:sz w:val="24"/>
          <w:szCs w:val="24"/>
          <w:highlight w:val="none"/>
        </w:rPr>
        <w:t>资料，气象和水文观测资料，拟建工程可能影响的相邻建筑物地下工程的有关资</w:t>
      </w:r>
      <w:r>
        <w:rPr>
          <w:rStyle w:val="19"/>
          <w:rFonts w:hint="default" w:ascii="宋体" w:hAnsi="宋体" w:eastAsia="宋体" w:cs="宋体"/>
          <w:color w:val="auto"/>
          <w:spacing w:val="-17"/>
          <w:sz w:val="24"/>
          <w:szCs w:val="24"/>
          <w:highlight w:val="none"/>
        </w:rPr>
        <w:t>料，应承包人要求，发包人可以提供协助；由于承包人调查不清楚而造成施工现</w:t>
      </w:r>
      <w:r>
        <w:rPr>
          <w:rStyle w:val="19"/>
          <w:rFonts w:hint="default" w:ascii="宋体" w:hAnsi="宋体" w:eastAsia="宋体" w:cs="宋体"/>
          <w:color w:val="auto"/>
          <w:spacing w:val="-7"/>
          <w:sz w:val="24"/>
          <w:szCs w:val="24"/>
          <w:highlight w:val="none"/>
        </w:rPr>
        <w:t>场及施工可能影响的毗邻区域内工程建筑物或管线损坏的，由承包人负责恢复并</w:t>
      </w:r>
      <w:r>
        <w:rPr>
          <w:rStyle w:val="19"/>
          <w:rFonts w:hint="default" w:ascii="宋体" w:hAnsi="宋体" w:eastAsia="宋体" w:cs="宋体"/>
          <w:color w:val="auto"/>
          <w:spacing w:val="-2"/>
          <w:sz w:val="24"/>
          <w:szCs w:val="24"/>
          <w:highlight w:val="none"/>
        </w:rPr>
        <w:t>承担经济损失。其费用已包含在合同价格中，发包人不另行支付。</w:t>
      </w:r>
    </w:p>
    <w:p w14:paraId="5A9F8B8E">
      <w:pPr>
        <w:keepNext w:val="0"/>
        <w:pageBreakBefore w:val="0"/>
        <w:wordWrap/>
        <w:topLinePunct w:val="0"/>
        <w:autoSpaceDE/>
        <w:autoSpaceDN/>
        <w:bidi w:val="0"/>
        <w:adjustRightInd/>
        <w:spacing w:line="440" w:lineRule="exact"/>
        <w:textAlignment w:val="auto"/>
        <w:rPr>
          <w:rFonts w:hint="eastAsia"/>
          <w:b/>
          <w:color w:val="auto"/>
          <w:sz w:val="24"/>
          <w:szCs w:val="24"/>
          <w:highlight w:val="none"/>
        </w:rPr>
      </w:pPr>
      <w:r>
        <w:rPr>
          <w:rFonts w:hint="eastAsia"/>
          <w:b/>
          <w:color w:val="auto"/>
          <w:sz w:val="24"/>
          <w:szCs w:val="24"/>
          <w:highlight w:val="none"/>
        </w:rPr>
        <w:t>9.2承包人的施工安全责任</w:t>
      </w:r>
    </w:p>
    <w:p w14:paraId="0529CE65">
      <w:pPr>
        <w:pStyle w:val="28"/>
        <w:keepNext w:val="0"/>
        <w:pageBreakBefore w:val="0"/>
        <w:wordWrap/>
        <w:topLinePunct w:val="0"/>
        <w:autoSpaceDE/>
        <w:autoSpaceDN/>
        <w:bidi w:val="0"/>
        <w:adjustRightInd/>
        <w:spacing w:beforeLines="0" w:afterLines="0" w:line="440" w:lineRule="exact"/>
        <w:ind w:firstLine="448"/>
        <w:textAlignment w:val="auto"/>
        <w:rPr>
          <w:rStyle w:val="19"/>
          <w:rFonts w:hint="default" w:ascii="宋体" w:hAnsi="宋体" w:eastAsia="宋体" w:cs="宋体"/>
          <w:color w:val="auto"/>
          <w:spacing w:val="-3"/>
          <w:sz w:val="24"/>
          <w:szCs w:val="24"/>
          <w:highlight w:val="none"/>
        </w:rPr>
      </w:pPr>
      <w:r>
        <w:rPr>
          <w:rStyle w:val="19"/>
          <w:rFonts w:hint="default" w:ascii="宋体" w:hAnsi="宋体" w:eastAsia="宋体" w:cs="宋体"/>
          <w:color w:val="auto"/>
          <w:spacing w:val="-3"/>
          <w:sz w:val="24"/>
          <w:szCs w:val="24"/>
          <w:highlight w:val="none"/>
        </w:rPr>
        <w:t>9.2.8安全施工措施所需费用在投标时不得做竞争调整。</w:t>
      </w:r>
    </w:p>
    <w:p w14:paraId="48A59841">
      <w:pPr>
        <w:pStyle w:val="38"/>
        <w:keepNext w:val="0"/>
        <w:pageBreakBefore w:val="0"/>
        <w:wordWrap/>
        <w:topLinePunct w:val="0"/>
        <w:autoSpaceDE/>
        <w:autoSpaceDN/>
        <w:bidi w:val="0"/>
        <w:adjustRightInd/>
        <w:spacing w:beforeLines="0" w:afterLines="0" w:line="440" w:lineRule="exact"/>
        <w:ind w:right="249" w:firstLine="468" w:firstLineChars="200"/>
        <w:textAlignment w:val="auto"/>
        <w:rPr>
          <w:rStyle w:val="19"/>
          <w:rFonts w:hint="default" w:ascii="宋体" w:hAnsi="宋体" w:eastAsia="宋体" w:cs="宋体"/>
          <w:color w:val="auto"/>
          <w:spacing w:val="-3"/>
          <w:sz w:val="24"/>
          <w:szCs w:val="24"/>
          <w:highlight w:val="none"/>
        </w:rPr>
      </w:pPr>
      <w:r>
        <w:rPr>
          <w:rStyle w:val="19"/>
          <w:rFonts w:hint="default" w:ascii="宋体" w:hAnsi="宋体" w:eastAsia="宋体" w:cs="宋体"/>
          <w:color w:val="auto"/>
          <w:spacing w:val="-3"/>
          <w:sz w:val="24"/>
          <w:szCs w:val="24"/>
          <w:highlight w:val="none"/>
        </w:rPr>
        <w:t>9.2.12下列工程应编制专项施工方案：</w:t>
      </w:r>
    </w:p>
    <w:p w14:paraId="17FEF5BE">
      <w:pPr>
        <w:pStyle w:val="38"/>
        <w:keepNext w:val="0"/>
        <w:pageBreakBefore w:val="0"/>
        <w:wordWrap/>
        <w:topLinePunct w:val="0"/>
        <w:autoSpaceDE/>
        <w:autoSpaceDN/>
        <w:bidi w:val="0"/>
        <w:adjustRightInd/>
        <w:spacing w:beforeLines="0" w:afterLines="0" w:line="440" w:lineRule="exact"/>
        <w:ind w:right="249" w:firstLine="480" w:firstLineChars="200"/>
        <w:textAlignment w:val="auto"/>
        <w:rPr>
          <w:rStyle w:val="19"/>
          <w:rFonts w:hint="default" w:ascii="宋体" w:hAnsi="宋体" w:eastAsia="宋体" w:cs="宋体"/>
          <w:color w:val="auto"/>
          <w:sz w:val="24"/>
          <w:szCs w:val="24"/>
          <w:highlight w:val="none"/>
          <w:lang w:eastAsia="zh-CN"/>
        </w:rPr>
      </w:pPr>
      <w:r>
        <w:rPr>
          <w:rStyle w:val="19"/>
          <w:rFonts w:hint="default" w:ascii="宋体" w:hAnsi="宋体" w:eastAsia="宋体" w:cs="宋体"/>
          <w:color w:val="auto"/>
          <w:sz w:val="24"/>
          <w:szCs w:val="24"/>
          <w:highlight w:val="none"/>
          <w:lang w:eastAsia="zh-CN"/>
        </w:rPr>
        <w:t>（1）土方和石方开挖工程，包括拆除、爆破，料场开挖及运输等；</w:t>
      </w:r>
    </w:p>
    <w:p w14:paraId="5D99C304">
      <w:pPr>
        <w:pStyle w:val="38"/>
        <w:keepNext w:val="0"/>
        <w:pageBreakBefore w:val="0"/>
        <w:wordWrap/>
        <w:topLinePunct w:val="0"/>
        <w:autoSpaceDE/>
        <w:autoSpaceDN/>
        <w:bidi w:val="0"/>
        <w:adjustRightInd/>
        <w:spacing w:beforeLines="0" w:afterLines="0" w:line="440" w:lineRule="exact"/>
        <w:ind w:right="249" w:firstLine="480" w:firstLineChars="200"/>
        <w:textAlignment w:val="auto"/>
        <w:rPr>
          <w:rStyle w:val="19"/>
          <w:rFonts w:hint="default" w:ascii="宋体" w:hAnsi="宋体" w:eastAsia="宋体" w:cs="宋体"/>
          <w:color w:val="auto"/>
          <w:sz w:val="24"/>
          <w:szCs w:val="24"/>
          <w:highlight w:val="none"/>
          <w:lang w:eastAsia="zh-CN"/>
        </w:rPr>
      </w:pPr>
      <w:r>
        <w:rPr>
          <w:rStyle w:val="19"/>
          <w:rFonts w:hint="default" w:ascii="宋体" w:hAnsi="宋体" w:eastAsia="宋体" w:cs="宋体"/>
          <w:color w:val="auto"/>
          <w:sz w:val="24"/>
          <w:szCs w:val="24"/>
          <w:highlight w:val="none"/>
          <w:lang w:eastAsia="zh-CN"/>
        </w:rPr>
        <w:t>（2）基础处理，包括基础灌浆等；</w:t>
      </w:r>
    </w:p>
    <w:p w14:paraId="3CFE7B16">
      <w:pPr>
        <w:pStyle w:val="38"/>
        <w:keepNext w:val="0"/>
        <w:pageBreakBefore w:val="0"/>
        <w:wordWrap/>
        <w:topLinePunct w:val="0"/>
        <w:autoSpaceDE/>
        <w:autoSpaceDN/>
        <w:bidi w:val="0"/>
        <w:adjustRightInd/>
        <w:spacing w:beforeLines="0" w:afterLines="0" w:line="440" w:lineRule="exact"/>
        <w:ind w:right="249" w:firstLine="480" w:firstLineChars="200"/>
        <w:textAlignment w:val="auto"/>
        <w:rPr>
          <w:rStyle w:val="19"/>
          <w:rFonts w:hint="default" w:ascii="宋体" w:hAnsi="宋体" w:eastAsia="宋体" w:cs="宋体"/>
          <w:color w:val="auto"/>
          <w:sz w:val="24"/>
          <w:szCs w:val="24"/>
          <w:highlight w:val="none"/>
          <w:lang w:eastAsia="zh-CN"/>
        </w:rPr>
      </w:pPr>
      <w:r>
        <w:rPr>
          <w:rStyle w:val="19"/>
          <w:rFonts w:hint="default" w:ascii="宋体" w:hAnsi="宋体" w:eastAsia="宋体" w:cs="宋体"/>
          <w:color w:val="auto"/>
          <w:sz w:val="24"/>
          <w:szCs w:val="24"/>
          <w:highlight w:val="none"/>
          <w:lang w:eastAsia="zh-CN"/>
        </w:rPr>
        <w:t>（3）高边坡和基坑支护与降水工程；</w:t>
      </w:r>
    </w:p>
    <w:p w14:paraId="156AAFF1">
      <w:pPr>
        <w:pStyle w:val="38"/>
        <w:keepNext w:val="0"/>
        <w:pageBreakBefore w:val="0"/>
        <w:wordWrap/>
        <w:topLinePunct w:val="0"/>
        <w:autoSpaceDE/>
        <w:autoSpaceDN/>
        <w:bidi w:val="0"/>
        <w:adjustRightInd/>
        <w:spacing w:beforeLines="0" w:afterLines="0" w:line="440" w:lineRule="exact"/>
        <w:ind w:right="249" w:firstLine="480" w:firstLineChars="200"/>
        <w:textAlignment w:val="auto"/>
        <w:rPr>
          <w:rStyle w:val="19"/>
          <w:rFonts w:hint="default" w:ascii="宋体" w:hAnsi="宋体" w:eastAsia="宋体" w:cs="宋体"/>
          <w:color w:val="auto"/>
          <w:sz w:val="24"/>
          <w:szCs w:val="24"/>
          <w:highlight w:val="none"/>
          <w:lang w:eastAsia="zh-CN"/>
        </w:rPr>
      </w:pPr>
      <w:r>
        <w:rPr>
          <w:rStyle w:val="19"/>
          <w:rFonts w:hint="default" w:ascii="宋体" w:hAnsi="宋体" w:eastAsia="宋体" w:cs="宋体"/>
          <w:color w:val="auto"/>
          <w:sz w:val="24"/>
          <w:szCs w:val="24"/>
          <w:highlight w:val="none"/>
          <w:lang w:eastAsia="zh-CN"/>
        </w:rPr>
        <w:t>（4）混凝土施工配合比设计，混凝土浇筑的温度控制；</w:t>
      </w:r>
    </w:p>
    <w:p w14:paraId="2C9DDB3D">
      <w:pPr>
        <w:pStyle w:val="38"/>
        <w:keepNext w:val="0"/>
        <w:pageBreakBefore w:val="0"/>
        <w:wordWrap/>
        <w:topLinePunct w:val="0"/>
        <w:autoSpaceDE/>
        <w:autoSpaceDN/>
        <w:bidi w:val="0"/>
        <w:adjustRightInd/>
        <w:spacing w:beforeLines="0" w:afterLines="0" w:line="440" w:lineRule="exact"/>
        <w:ind w:right="249" w:firstLine="480" w:firstLineChars="200"/>
        <w:textAlignment w:val="auto"/>
        <w:rPr>
          <w:rStyle w:val="19"/>
          <w:rFonts w:hint="default" w:ascii="宋体" w:hAnsi="宋体" w:eastAsia="宋体" w:cs="宋体"/>
          <w:color w:val="auto"/>
          <w:sz w:val="24"/>
          <w:szCs w:val="24"/>
          <w:highlight w:val="none"/>
          <w:lang w:eastAsia="zh-CN"/>
        </w:rPr>
      </w:pPr>
      <w:r>
        <w:rPr>
          <w:rStyle w:val="19"/>
          <w:rFonts w:hint="default" w:ascii="宋体" w:hAnsi="宋体" w:eastAsia="宋体" w:cs="宋体"/>
          <w:color w:val="auto"/>
          <w:sz w:val="24"/>
          <w:szCs w:val="24"/>
          <w:highlight w:val="none"/>
          <w:lang w:eastAsia="zh-CN"/>
        </w:rPr>
        <w:t>（5）金属结构安装；</w:t>
      </w:r>
    </w:p>
    <w:p w14:paraId="16825022">
      <w:pPr>
        <w:pStyle w:val="38"/>
        <w:keepNext w:val="0"/>
        <w:pageBreakBefore w:val="0"/>
        <w:wordWrap/>
        <w:topLinePunct w:val="0"/>
        <w:autoSpaceDE/>
        <w:autoSpaceDN/>
        <w:bidi w:val="0"/>
        <w:adjustRightInd/>
        <w:spacing w:beforeLines="0" w:afterLines="0" w:line="440" w:lineRule="exact"/>
        <w:ind w:right="249" w:firstLine="480" w:firstLineChars="200"/>
        <w:textAlignment w:val="auto"/>
        <w:rPr>
          <w:rStyle w:val="19"/>
          <w:rFonts w:hint="default" w:ascii="宋体" w:hAnsi="宋体" w:eastAsia="宋体" w:cs="宋体"/>
          <w:color w:val="auto"/>
          <w:spacing w:val="-3"/>
          <w:sz w:val="24"/>
          <w:szCs w:val="24"/>
          <w:highlight w:val="none"/>
        </w:rPr>
      </w:pPr>
      <w:r>
        <w:rPr>
          <w:rStyle w:val="19"/>
          <w:rFonts w:hint="default" w:ascii="宋体" w:hAnsi="宋体" w:eastAsia="宋体" w:cs="宋体"/>
          <w:color w:val="auto"/>
          <w:sz w:val="24"/>
          <w:szCs w:val="24"/>
          <w:highlight w:val="none"/>
          <w:lang w:eastAsia="zh-CN"/>
        </w:rPr>
        <w:t>（6）其他危险性较大的工程。</w:t>
      </w:r>
    </w:p>
    <w:p w14:paraId="0C9C10FC">
      <w:pPr>
        <w:pStyle w:val="28"/>
        <w:keepNext w:val="0"/>
        <w:pageBreakBefore w:val="0"/>
        <w:wordWrap/>
        <w:topLinePunct w:val="0"/>
        <w:autoSpaceDE/>
        <w:autoSpaceDN/>
        <w:bidi w:val="0"/>
        <w:adjustRightInd/>
        <w:spacing w:beforeLines="0" w:afterLines="0" w:line="440" w:lineRule="exact"/>
        <w:ind w:firstLine="732" w:firstLineChars="313"/>
        <w:textAlignment w:val="auto"/>
        <w:rPr>
          <w:rStyle w:val="19"/>
          <w:rFonts w:hint="default" w:ascii="宋体" w:hAnsi="宋体" w:eastAsia="宋体" w:cs="宋体"/>
          <w:color w:val="auto"/>
          <w:spacing w:val="-3"/>
          <w:sz w:val="24"/>
          <w:szCs w:val="24"/>
          <w:highlight w:val="none"/>
        </w:rPr>
      </w:pPr>
      <w:r>
        <w:rPr>
          <w:rStyle w:val="19"/>
          <w:rFonts w:hint="default" w:ascii="宋体" w:hAnsi="宋体" w:eastAsia="宋体" w:cs="宋体"/>
          <w:color w:val="auto"/>
          <w:spacing w:val="-3"/>
          <w:sz w:val="24"/>
          <w:szCs w:val="24"/>
          <w:highlight w:val="none"/>
        </w:rPr>
        <w:t>专项施工方案评审发生的费用由承包人负责。</w:t>
      </w:r>
    </w:p>
    <w:p w14:paraId="797D036B">
      <w:pPr>
        <w:pStyle w:val="28"/>
        <w:keepNext w:val="0"/>
        <w:pageBreakBefore w:val="0"/>
        <w:wordWrap/>
        <w:topLinePunct w:val="0"/>
        <w:autoSpaceDE/>
        <w:autoSpaceDN/>
        <w:bidi w:val="0"/>
        <w:adjustRightInd/>
        <w:spacing w:beforeLines="0" w:afterLines="0" w:line="440" w:lineRule="exact"/>
        <w:ind w:firstLine="666" w:firstLineChars="300"/>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9"/>
          <w:sz w:val="24"/>
          <w:szCs w:val="24"/>
          <w:highlight w:val="none"/>
        </w:rPr>
        <w:t>其中应组织专家论证和审查的专项施工方案：</w:t>
      </w:r>
      <w:r>
        <w:rPr>
          <w:rStyle w:val="19"/>
          <w:rFonts w:hint="default" w:ascii="宋体" w:hAnsi="宋体" w:eastAsia="宋体" w:cs="宋体"/>
          <w:color w:val="auto"/>
          <w:spacing w:val="-9"/>
          <w:sz w:val="24"/>
          <w:szCs w:val="24"/>
          <w:highlight w:val="none"/>
          <w:u w:val="single"/>
        </w:rPr>
        <w:t xml:space="preserve"> </w:t>
      </w:r>
      <w:r>
        <w:rPr>
          <w:rStyle w:val="19"/>
          <w:rFonts w:hint="default" w:ascii="宋体" w:hAnsi="宋体" w:eastAsia="宋体" w:cs="宋体"/>
          <w:color w:val="auto"/>
          <w:sz w:val="24"/>
          <w:szCs w:val="24"/>
          <w:highlight w:val="none"/>
          <w:u w:val="single"/>
          <w:lang w:eastAsia="zh-CN"/>
        </w:rPr>
        <w:t>高边坡、深基坑、高大模板工程的专项施工方案，专项施工方案评审发生的费用由承包人负责</w:t>
      </w:r>
      <w:r>
        <w:rPr>
          <w:rStyle w:val="19"/>
          <w:rFonts w:hint="default" w:ascii="宋体" w:hAnsi="宋体" w:eastAsia="宋体" w:cs="宋体"/>
          <w:color w:val="auto"/>
          <w:spacing w:val="-9"/>
          <w:sz w:val="24"/>
          <w:szCs w:val="24"/>
          <w:highlight w:val="none"/>
          <w:u w:val="single"/>
        </w:rPr>
        <w:t xml:space="preserve">    </w:t>
      </w:r>
      <w:r>
        <w:rPr>
          <w:rStyle w:val="19"/>
          <w:rFonts w:hint="default" w:ascii="宋体" w:hAnsi="宋体" w:eastAsia="宋体" w:cs="宋体"/>
          <w:color w:val="auto"/>
          <w:spacing w:val="-9"/>
          <w:sz w:val="24"/>
          <w:szCs w:val="24"/>
          <w:highlight w:val="none"/>
        </w:rPr>
        <w:t>。</w:t>
      </w:r>
    </w:p>
    <w:p w14:paraId="452ADB4A">
      <w:pPr>
        <w:pStyle w:val="28"/>
        <w:keepNext w:val="0"/>
        <w:pageBreakBefore w:val="0"/>
        <w:wordWrap/>
        <w:topLinePunct w:val="0"/>
        <w:autoSpaceDE/>
        <w:autoSpaceDN/>
        <w:bidi w:val="0"/>
        <w:adjustRightInd/>
        <w:spacing w:beforeLines="0" w:afterLines="0" w:line="440" w:lineRule="exact"/>
        <w:textAlignment w:val="auto"/>
        <w:rPr>
          <w:rStyle w:val="19"/>
          <w:rFonts w:hint="default" w:ascii="Calibri" w:eastAsia="宋体"/>
          <w:color w:val="auto"/>
          <w:sz w:val="20"/>
          <w:szCs w:val="24"/>
          <w:highlight w:val="none"/>
        </w:rPr>
      </w:pPr>
    </w:p>
    <w:p w14:paraId="43B7E2E2">
      <w:pPr>
        <w:keepNext w:val="0"/>
        <w:pageBreakBefore w:val="0"/>
        <w:wordWrap/>
        <w:topLinePunct w:val="0"/>
        <w:autoSpaceDE/>
        <w:autoSpaceDN/>
        <w:bidi w:val="0"/>
        <w:adjustRightInd/>
        <w:spacing w:line="440" w:lineRule="exact"/>
        <w:textAlignment w:val="auto"/>
        <w:rPr>
          <w:rFonts w:hint="eastAsia"/>
          <w:b/>
          <w:color w:val="auto"/>
          <w:sz w:val="24"/>
          <w:szCs w:val="24"/>
          <w:highlight w:val="none"/>
        </w:rPr>
      </w:pPr>
      <w:r>
        <w:rPr>
          <w:rFonts w:hint="eastAsia"/>
          <w:b/>
          <w:color w:val="auto"/>
          <w:sz w:val="24"/>
          <w:szCs w:val="24"/>
          <w:highlight w:val="none"/>
        </w:rPr>
        <w:t>9.7文明工地</w:t>
      </w:r>
    </w:p>
    <w:p w14:paraId="694B35EA">
      <w:pPr>
        <w:pStyle w:val="28"/>
        <w:keepNext w:val="0"/>
        <w:pageBreakBefore w:val="0"/>
        <w:wordWrap/>
        <w:topLinePunct w:val="0"/>
        <w:autoSpaceDE/>
        <w:autoSpaceDN/>
        <w:bidi w:val="0"/>
        <w:adjustRightInd/>
        <w:spacing w:beforeLines="0" w:afterLines="0" w:line="440" w:lineRule="exact"/>
        <w:ind w:left="27" w:right="16" w:firstLine="420"/>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8"/>
          <w:sz w:val="24"/>
          <w:szCs w:val="24"/>
          <w:highlight w:val="none"/>
        </w:rPr>
        <w:t>9.7.1本合同文明工地的约定：</w:t>
      </w:r>
      <w:r>
        <w:rPr>
          <w:rStyle w:val="19"/>
          <w:rFonts w:hint="default" w:ascii="宋体" w:hAnsi="宋体" w:eastAsia="宋体" w:cs="宋体"/>
          <w:color w:val="auto"/>
          <w:spacing w:val="-8"/>
          <w:sz w:val="24"/>
          <w:szCs w:val="24"/>
          <w:highlight w:val="none"/>
          <w:u w:val="single"/>
        </w:rPr>
        <w:t>按现行政策文件规定，并遵守发包人单位</w:t>
      </w:r>
      <w:r>
        <w:rPr>
          <w:rStyle w:val="19"/>
          <w:rFonts w:hint="default" w:ascii="宋体" w:hAnsi="宋体" w:eastAsia="宋体" w:cs="宋体"/>
          <w:color w:val="auto"/>
          <w:spacing w:val="-2"/>
          <w:sz w:val="24"/>
          <w:szCs w:val="24"/>
          <w:highlight w:val="none"/>
          <w:u w:val="single"/>
        </w:rPr>
        <w:t>相应管理规定</w:t>
      </w:r>
      <w:r>
        <w:rPr>
          <w:rStyle w:val="19"/>
          <w:rFonts w:hint="default" w:ascii="宋体" w:hAnsi="宋体" w:eastAsia="宋体" w:cs="宋体"/>
          <w:color w:val="auto"/>
          <w:spacing w:val="-2"/>
          <w:sz w:val="24"/>
          <w:szCs w:val="24"/>
          <w:highlight w:val="none"/>
        </w:rPr>
        <w:t>。</w:t>
      </w:r>
    </w:p>
    <w:p w14:paraId="506CEF06">
      <w:pPr>
        <w:pStyle w:val="2"/>
        <w:keepNext w:val="0"/>
        <w:pageBreakBefore w:val="0"/>
        <w:wordWrap/>
        <w:topLinePunct w:val="0"/>
        <w:autoSpaceDE/>
        <w:autoSpaceDN/>
        <w:bidi w:val="0"/>
        <w:adjustRightInd/>
        <w:spacing w:line="440" w:lineRule="exact"/>
        <w:textAlignment w:val="auto"/>
        <w:rPr>
          <w:rStyle w:val="19"/>
          <w:rFonts w:hint="default" w:ascii="Calibri" w:hAnsi="Times New Roman" w:cs="Times New Roman"/>
          <w:color w:val="auto"/>
          <w:sz w:val="24"/>
          <w:szCs w:val="24"/>
          <w:highlight w:val="none"/>
        </w:rPr>
      </w:pPr>
      <w:r>
        <w:rPr>
          <w:rFonts w:hint="default" w:ascii="宋体" w:cs="Times New Roman"/>
          <w:color w:val="auto"/>
          <w:sz w:val="24"/>
          <w:szCs w:val="24"/>
          <w:highlight w:val="none"/>
        </w:rPr>
        <w:t>11.开工和竣工（完工）</w:t>
      </w:r>
    </w:p>
    <w:p w14:paraId="26167502">
      <w:pPr>
        <w:pStyle w:val="28"/>
        <w:keepNext w:val="0"/>
        <w:pageBreakBefore w:val="0"/>
        <w:wordWrap/>
        <w:topLinePunct w:val="0"/>
        <w:autoSpaceDE/>
        <w:autoSpaceDN/>
        <w:bidi w:val="0"/>
        <w:adjustRightInd/>
        <w:spacing w:beforeLines="0" w:afterLines="0" w:line="440" w:lineRule="exact"/>
        <w:ind w:right="1610"/>
        <w:textAlignment w:val="auto"/>
        <w:rPr>
          <w:rStyle w:val="19"/>
          <w:rFonts w:hint="default" w:ascii="宋体" w:hAnsi="宋体" w:eastAsia="宋体" w:cs="宋体"/>
          <w:color w:val="auto"/>
          <w:spacing w:val="-11"/>
          <w:w w:val="98"/>
          <w:sz w:val="24"/>
          <w:szCs w:val="24"/>
          <w:highlight w:val="none"/>
        </w:rPr>
      </w:pPr>
      <w:r>
        <w:rPr>
          <w:rFonts w:hint="eastAsia"/>
          <w:b/>
          <w:color w:val="auto"/>
          <w:sz w:val="24"/>
          <w:szCs w:val="24"/>
          <w:highlight w:val="none"/>
          <w:lang w:eastAsia="zh-CN"/>
        </w:rPr>
        <w:t>11.2本工程主体工程完工时间为：</w:t>
      </w:r>
      <w:r>
        <w:rPr>
          <w:rFonts w:hint="eastAsia"/>
          <w:b/>
          <w:color w:val="auto"/>
          <w:sz w:val="24"/>
          <w:szCs w:val="24"/>
          <w:highlight w:val="none"/>
          <w:u w:val="single"/>
          <w:lang w:eastAsia="zh-CN"/>
        </w:rPr>
        <w:t xml:space="preserve">            </w:t>
      </w:r>
      <w:r>
        <w:rPr>
          <w:rStyle w:val="19"/>
          <w:rFonts w:hint="default" w:ascii="宋体" w:hAnsi="宋体" w:eastAsia="宋体" w:cs="宋体"/>
          <w:color w:val="auto"/>
          <w:spacing w:val="-11"/>
          <w:w w:val="98"/>
          <w:sz w:val="24"/>
          <w:szCs w:val="24"/>
          <w:highlight w:val="none"/>
        </w:rPr>
        <w:t>。</w:t>
      </w:r>
    </w:p>
    <w:p w14:paraId="333E7612">
      <w:pPr>
        <w:keepNext w:val="0"/>
        <w:pageBreakBefore w:val="0"/>
        <w:wordWrap/>
        <w:topLinePunct w:val="0"/>
        <w:autoSpaceDE/>
        <w:autoSpaceDN/>
        <w:bidi w:val="0"/>
        <w:adjustRightInd/>
        <w:spacing w:line="440" w:lineRule="exact"/>
        <w:textAlignment w:val="auto"/>
        <w:rPr>
          <w:rFonts w:hint="eastAsia"/>
          <w:b/>
          <w:color w:val="auto"/>
          <w:sz w:val="24"/>
          <w:szCs w:val="24"/>
          <w:highlight w:val="none"/>
        </w:rPr>
      </w:pPr>
      <w:r>
        <w:rPr>
          <w:rFonts w:hint="eastAsia"/>
          <w:b/>
          <w:color w:val="auto"/>
          <w:sz w:val="24"/>
          <w:szCs w:val="24"/>
          <w:highlight w:val="none"/>
        </w:rPr>
        <w:t>11.3发包人的工期延误</w:t>
      </w:r>
    </w:p>
    <w:p w14:paraId="6499B8E8">
      <w:pPr>
        <w:pStyle w:val="17"/>
        <w:keepNext w:val="0"/>
        <w:pageBreakBefore w:val="0"/>
        <w:wordWrap/>
        <w:topLinePunct w:val="0"/>
        <w:autoSpaceDE/>
        <w:autoSpaceDN/>
        <w:bidi w:val="0"/>
        <w:adjustRightInd/>
        <w:spacing w:line="440" w:lineRule="exact"/>
        <w:textAlignment w:val="auto"/>
        <w:rPr>
          <w:rFonts w:hint="default" w:ascii="宋体" w:eastAsia="宋体"/>
          <w:color w:val="auto"/>
          <w:sz w:val="24"/>
          <w:szCs w:val="24"/>
          <w:highlight w:val="none"/>
        </w:rPr>
      </w:pPr>
      <w:r>
        <w:rPr>
          <w:rStyle w:val="19"/>
          <w:rFonts w:hint="default" w:ascii="宋体" w:eastAsia="宋体"/>
          <w:color w:val="auto"/>
          <w:sz w:val="24"/>
          <w:szCs w:val="24"/>
          <w:highlight w:val="none"/>
        </w:rPr>
        <w:t>（</w:t>
      </w:r>
      <w:r>
        <w:rPr>
          <w:rStyle w:val="19"/>
          <w:rFonts w:hint="eastAsia"/>
          <w:color w:val="auto"/>
          <w:sz w:val="24"/>
          <w:szCs w:val="24"/>
          <w:highlight w:val="none"/>
        </w:rPr>
        <w:t>7</w:t>
      </w:r>
      <w:r>
        <w:rPr>
          <w:rStyle w:val="19"/>
          <w:rFonts w:hint="default" w:ascii="宋体" w:eastAsia="宋体"/>
          <w:color w:val="auto"/>
          <w:sz w:val="24"/>
          <w:szCs w:val="24"/>
          <w:highlight w:val="none"/>
        </w:rPr>
        <w:t>）发包人造成工期延误的其他原因：</w:t>
      </w:r>
      <w:r>
        <w:rPr>
          <w:rFonts w:hint="default" w:ascii="宋体" w:hAnsi="宋体" w:eastAsia="宋体" w:cs="宋体"/>
          <w:color w:val="auto"/>
          <w:sz w:val="24"/>
          <w:szCs w:val="24"/>
          <w:highlight w:val="none"/>
          <w:u w:val="single"/>
        </w:rPr>
        <w:t>未按合同约定期限提供施工场地的；发包人手续不全致使施工不能正常进行；重大设计变更影响施工进度和工程量增加；未按时支付工程款并确实影响施工进度；因不可抗力，7天内须办理签证，逾期不办理的不予认可；政策问题影响施工进度。</w:t>
      </w:r>
    </w:p>
    <w:p w14:paraId="64E85749">
      <w:pPr>
        <w:keepNext w:val="0"/>
        <w:pageBreakBefore w:val="0"/>
        <w:wordWrap/>
        <w:topLinePunct w:val="0"/>
        <w:autoSpaceDE/>
        <w:autoSpaceDN/>
        <w:bidi w:val="0"/>
        <w:adjustRightInd/>
        <w:spacing w:line="440" w:lineRule="exact"/>
        <w:textAlignment w:val="auto"/>
        <w:rPr>
          <w:rFonts w:hint="eastAsia"/>
          <w:b/>
          <w:color w:val="auto"/>
          <w:sz w:val="24"/>
          <w:szCs w:val="24"/>
          <w:highlight w:val="none"/>
        </w:rPr>
      </w:pPr>
      <w:r>
        <w:rPr>
          <w:rFonts w:hint="eastAsia"/>
          <w:b/>
          <w:color w:val="auto"/>
          <w:sz w:val="24"/>
          <w:szCs w:val="24"/>
          <w:highlight w:val="none"/>
        </w:rPr>
        <w:t>11.4异常恶劣的气候条件</w:t>
      </w:r>
    </w:p>
    <w:p w14:paraId="22697E1B">
      <w:pPr>
        <w:pStyle w:val="28"/>
        <w:keepNext w:val="0"/>
        <w:pageBreakBefore w:val="0"/>
        <w:wordWrap/>
        <w:topLinePunct w:val="0"/>
        <w:autoSpaceDE/>
        <w:autoSpaceDN/>
        <w:bidi w:val="0"/>
        <w:adjustRightInd/>
        <w:spacing w:beforeLines="0" w:afterLines="0" w:line="440" w:lineRule="exact"/>
        <w:ind w:firstLine="465"/>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4"/>
          <w:sz w:val="24"/>
          <w:szCs w:val="24"/>
          <w:highlight w:val="none"/>
        </w:rPr>
        <w:t>11.4.3本合同工程界定异常恶劣气候条件的范围为：</w:t>
      </w:r>
    </w:p>
    <w:p w14:paraId="3A673187">
      <w:pPr>
        <w:pStyle w:val="28"/>
        <w:keepNext w:val="0"/>
        <w:pageBreakBefore w:val="0"/>
        <w:wordWrap/>
        <w:topLinePunct w:val="0"/>
        <w:autoSpaceDE/>
        <w:autoSpaceDN/>
        <w:bidi w:val="0"/>
        <w:adjustRightInd/>
        <w:spacing w:beforeLines="0" w:afterLines="0" w:line="440" w:lineRule="exact"/>
        <w:ind w:firstLine="805" w:firstLineChars="347"/>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4"/>
          <w:sz w:val="24"/>
          <w:szCs w:val="24"/>
          <w:highlight w:val="none"/>
        </w:rPr>
        <w:t>①降</w:t>
      </w:r>
      <w:r>
        <w:rPr>
          <w:rStyle w:val="19"/>
          <w:rFonts w:hint="default" w:ascii="宋体" w:hAnsi="宋体" w:eastAsia="宋体" w:cs="宋体"/>
          <w:color w:val="auto"/>
          <w:spacing w:val="-7"/>
          <w:sz w:val="24"/>
          <w:szCs w:val="24"/>
          <w:highlight w:val="none"/>
        </w:rPr>
        <w:t>雨量大于</w:t>
      </w:r>
      <w:r>
        <w:rPr>
          <w:rStyle w:val="19"/>
          <w:rFonts w:hint="default" w:ascii="宋体" w:hAnsi="宋体" w:eastAsia="宋体" w:cs="宋体"/>
          <w:color w:val="auto"/>
          <w:spacing w:val="-7"/>
          <w:sz w:val="24"/>
          <w:szCs w:val="24"/>
          <w:highlight w:val="none"/>
          <w:u w:val="single"/>
        </w:rPr>
        <w:t>200</w:t>
      </w:r>
      <w:r>
        <w:rPr>
          <w:rStyle w:val="19"/>
          <w:rFonts w:hint="default" w:ascii="宋体" w:hAnsi="宋体" w:eastAsia="宋体" w:cs="宋体"/>
          <w:color w:val="auto"/>
          <w:spacing w:val="-7"/>
          <w:sz w:val="24"/>
          <w:szCs w:val="24"/>
          <w:highlight w:val="none"/>
        </w:rPr>
        <w:t>mm的雨日超过</w:t>
      </w:r>
      <w:r>
        <w:rPr>
          <w:rStyle w:val="19"/>
          <w:rFonts w:hint="default" w:ascii="宋体" w:hAnsi="宋体" w:eastAsia="宋体" w:cs="宋体"/>
          <w:color w:val="auto"/>
          <w:spacing w:val="-7"/>
          <w:sz w:val="24"/>
          <w:szCs w:val="24"/>
          <w:highlight w:val="none"/>
          <w:u w:val="single"/>
        </w:rPr>
        <w:t xml:space="preserve"> 1 </w:t>
      </w:r>
      <w:r>
        <w:rPr>
          <w:rStyle w:val="19"/>
          <w:rFonts w:hint="default" w:ascii="宋体" w:hAnsi="宋体" w:eastAsia="宋体" w:cs="宋体"/>
          <w:color w:val="auto"/>
          <w:spacing w:val="-7"/>
          <w:sz w:val="24"/>
          <w:szCs w:val="24"/>
          <w:highlight w:val="none"/>
        </w:rPr>
        <w:t>天；</w:t>
      </w:r>
    </w:p>
    <w:p w14:paraId="5FAFE1F9">
      <w:pPr>
        <w:pStyle w:val="28"/>
        <w:keepNext w:val="0"/>
        <w:pageBreakBefore w:val="0"/>
        <w:wordWrap/>
        <w:topLinePunct w:val="0"/>
        <w:autoSpaceDE/>
        <w:autoSpaceDN/>
        <w:bidi w:val="0"/>
        <w:adjustRightInd/>
        <w:spacing w:beforeLines="0" w:afterLines="0" w:line="440" w:lineRule="exact"/>
        <w:ind w:firstLine="820"/>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7"/>
          <w:sz w:val="24"/>
          <w:szCs w:val="24"/>
          <w:highlight w:val="none"/>
        </w:rPr>
        <w:t>②风速大于</w:t>
      </w:r>
      <w:r>
        <w:rPr>
          <w:rStyle w:val="19"/>
          <w:rFonts w:hint="default" w:ascii="宋体" w:hAnsi="宋体" w:eastAsia="宋体" w:cs="宋体"/>
          <w:color w:val="auto"/>
          <w:spacing w:val="-7"/>
          <w:sz w:val="24"/>
          <w:szCs w:val="24"/>
          <w:highlight w:val="none"/>
          <w:u w:val="single"/>
        </w:rPr>
        <w:t>24.5m/s</w:t>
      </w:r>
      <w:r>
        <w:rPr>
          <w:rStyle w:val="19"/>
          <w:rFonts w:hint="default" w:ascii="宋体" w:hAnsi="宋体" w:eastAsia="宋体" w:cs="宋体"/>
          <w:color w:val="auto"/>
          <w:spacing w:val="-7"/>
          <w:sz w:val="24"/>
          <w:szCs w:val="24"/>
          <w:highlight w:val="none"/>
        </w:rPr>
        <w:t>的10级以上台风灾害；</w:t>
      </w:r>
    </w:p>
    <w:p w14:paraId="60091331">
      <w:pPr>
        <w:pStyle w:val="28"/>
        <w:keepNext w:val="0"/>
        <w:pageBreakBefore w:val="0"/>
        <w:wordWrap/>
        <w:topLinePunct w:val="0"/>
        <w:autoSpaceDE/>
        <w:autoSpaceDN/>
        <w:bidi w:val="0"/>
        <w:adjustRightInd/>
        <w:spacing w:beforeLines="0" w:afterLines="0" w:line="440" w:lineRule="exact"/>
        <w:ind w:firstLine="820"/>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4"/>
          <w:sz w:val="24"/>
          <w:szCs w:val="24"/>
          <w:highlight w:val="none"/>
        </w:rPr>
        <w:t>③</w:t>
      </w:r>
      <w:r>
        <w:rPr>
          <w:rStyle w:val="19"/>
          <w:rFonts w:hint="default" w:ascii="宋体" w:hAnsi="宋体" w:eastAsia="宋体" w:cs="宋体"/>
          <w:color w:val="auto"/>
          <w:spacing w:val="-5"/>
          <w:sz w:val="24"/>
          <w:szCs w:val="24"/>
          <w:highlight w:val="none"/>
        </w:rPr>
        <w:t>日气温超过</w:t>
      </w:r>
      <w:r>
        <w:rPr>
          <w:rStyle w:val="19"/>
          <w:rFonts w:hint="default" w:ascii="宋体" w:hAnsi="宋体" w:eastAsia="宋体" w:cs="宋体"/>
          <w:color w:val="auto"/>
          <w:spacing w:val="-5"/>
          <w:sz w:val="24"/>
          <w:szCs w:val="24"/>
          <w:highlight w:val="none"/>
          <w:u w:val="single"/>
        </w:rPr>
        <w:t>40</w:t>
      </w:r>
      <w:r>
        <w:rPr>
          <w:rStyle w:val="19"/>
          <w:rFonts w:hint="default" w:ascii="宋体" w:hAnsi="宋体" w:eastAsia="宋体" w:cs="宋体"/>
          <w:color w:val="auto"/>
          <w:spacing w:val="-5"/>
          <w:sz w:val="24"/>
          <w:szCs w:val="24"/>
          <w:highlight w:val="none"/>
        </w:rPr>
        <w:t>℃的高温大于</w:t>
      </w:r>
      <w:r>
        <w:rPr>
          <w:rStyle w:val="19"/>
          <w:rFonts w:hint="default" w:ascii="宋体" w:hAnsi="宋体" w:eastAsia="宋体" w:cs="宋体"/>
          <w:color w:val="auto"/>
          <w:spacing w:val="-5"/>
          <w:sz w:val="24"/>
          <w:szCs w:val="24"/>
          <w:highlight w:val="none"/>
          <w:u w:val="single"/>
        </w:rPr>
        <w:t xml:space="preserve"> 2 </w:t>
      </w:r>
      <w:r>
        <w:rPr>
          <w:rStyle w:val="19"/>
          <w:rFonts w:hint="default" w:ascii="宋体" w:hAnsi="宋体" w:eastAsia="宋体" w:cs="宋体"/>
          <w:color w:val="auto"/>
          <w:spacing w:val="-5"/>
          <w:sz w:val="24"/>
          <w:szCs w:val="24"/>
          <w:highlight w:val="none"/>
        </w:rPr>
        <w:t>天；</w:t>
      </w:r>
    </w:p>
    <w:p w14:paraId="696039AB">
      <w:pPr>
        <w:pStyle w:val="28"/>
        <w:keepNext w:val="0"/>
        <w:pageBreakBefore w:val="0"/>
        <w:wordWrap/>
        <w:topLinePunct w:val="0"/>
        <w:autoSpaceDE/>
        <w:autoSpaceDN/>
        <w:bidi w:val="0"/>
        <w:adjustRightInd/>
        <w:spacing w:beforeLines="0" w:afterLines="0" w:line="440" w:lineRule="exact"/>
        <w:ind w:firstLine="806"/>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3"/>
          <w:sz w:val="24"/>
          <w:szCs w:val="24"/>
          <w:highlight w:val="none"/>
        </w:rPr>
        <w:t>④日气温低于</w:t>
      </w:r>
      <w:r>
        <w:rPr>
          <w:rStyle w:val="19"/>
          <w:rFonts w:hint="default" w:ascii="宋体" w:hAnsi="宋体" w:eastAsia="宋体" w:cs="宋体"/>
          <w:color w:val="auto"/>
          <w:spacing w:val="-3"/>
          <w:sz w:val="24"/>
          <w:szCs w:val="24"/>
          <w:highlight w:val="none"/>
          <w:u w:val="single"/>
        </w:rPr>
        <w:t>-10</w:t>
      </w:r>
      <w:r>
        <w:rPr>
          <w:rStyle w:val="19"/>
          <w:rFonts w:hint="default" w:ascii="宋体" w:hAnsi="宋体" w:eastAsia="宋体" w:cs="宋体"/>
          <w:color w:val="auto"/>
          <w:spacing w:val="-3"/>
          <w:sz w:val="24"/>
          <w:szCs w:val="24"/>
          <w:highlight w:val="none"/>
        </w:rPr>
        <w:t>℃的严寒大于</w:t>
      </w:r>
      <w:r>
        <w:rPr>
          <w:rStyle w:val="19"/>
          <w:rFonts w:hint="default" w:ascii="宋体" w:hAnsi="宋体" w:eastAsia="宋体" w:cs="宋体"/>
          <w:color w:val="auto"/>
          <w:spacing w:val="-3"/>
          <w:sz w:val="24"/>
          <w:szCs w:val="24"/>
          <w:highlight w:val="none"/>
          <w:u w:val="single"/>
        </w:rPr>
        <w:t xml:space="preserve"> 2 </w:t>
      </w:r>
      <w:r>
        <w:rPr>
          <w:rStyle w:val="19"/>
          <w:rFonts w:hint="default" w:ascii="宋体" w:hAnsi="宋体" w:eastAsia="宋体" w:cs="宋体"/>
          <w:color w:val="auto"/>
          <w:spacing w:val="-3"/>
          <w:sz w:val="24"/>
          <w:szCs w:val="24"/>
          <w:highlight w:val="none"/>
        </w:rPr>
        <w:t>天。</w:t>
      </w:r>
    </w:p>
    <w:p w14:paraId="3351A828">
      <w:pPr>
        <w:pStyle w:val="28"/>
        <w:keepNext w:val="0"/>
        <w:pageBreakBefore w:val="0"/>
        <w:wordWrap/>
        <w:topLinePunct w:val="0"/>
        <w:autoSpaceDE/>
        <w:autoSpaceDN/>
        <w:bidi w:val="0"/>
        <w:adjustRightInd/>
        <w:spacing w:beforeLines="0" w:afterLines="0" w:line="440" w:lineRule="exact"/>
        <w:ind w:firstLine="806"/>
        <w:textAlignment w:val="auto"/>
        <w:rPr>
          <w:rStyle w:val="19"/>
          <w:rFonts w:hint="default" w:ascii="宋体" w:hAnsi="宋体" w:eastAsia="宋体" w:cs="宋体"/>
          <w:color w:val="auto"/>
          <w:spacing w:val="-4"/>
          <w:sz w:val="24"/>
          <w:szCs w:val="24"/>
          <w:highlight w:val="none"/>
        </w:rPr>
      </w:pPr>
      <w:r>
        <w:rPr>
          <w:rStyle w:val="19"/>
          <w:rFonts w:hint="default" w:ascii="宋体" w:hAnsi="宋体" w:eastAsia="宋体" w:cs="宋体"/>
          <w:color w:val="auto"/>
          <w:spacing w:val="-4"/>
          <w:sz w:val="24"/>
          <w:szCs w:val="24"/>
          <w:highlight w:val="none"/>
        </w:rPr>
        <w:t>⑤造成工程损坏的冰雹和大雪灾害；</w:t>
      </w:r>
    </w:p>
    <w:p w14:paraId="755E6648">
      <w:pPr>
        <w:pStyle w:val="28"/>
        <w:keepNext w:val="0"/>
        <w:pageBreakBefore w:val="0"/>
        <w:wordWrap/>
        <w:topLinePunct w:val="0"/>
        <w:autoSpaceDE/>
        <w:autoSpaceDN/>
        <w:bidi w:val="0"/>
        <w:adjustRightInd/>
        <w:spacing w:beforeLines="0" w:afterLines="0" w:line="440" w:lineRule="exact"/>
        <w:ind w:firstLine="806"/>
        <w:textAlignment w:val="auto"/>
        <w:rPr>
          <w:rStyle w:val="19"/>
          <w:rFonts w:hint="default" w:ascii="宋体" w:hAnsi="宋体" w:eastAsia="宋体" w:cs="宋体"/>
          <w:color w:val="auto"/>
          <w:spacing w:val="-4"/>
          <w:sz w:val="24"/>
          <w:szCs w:val="24"/>
          <w:highlight w:val="none"/>
        </w:rPr>
      </w:pPr>
      <w:r>
        <w:rPr>
          <w:rStyle w:val="19"/>
          <w:rFonts w:hint="default" w:ascii="宋体" w:hAnsi="宋体" w:eastAsia="宋体" w:cs="宋体"/>
          <w:color w:val="auto"/>
          <w:spacing w:val="-4"/>
          <w:sz w:val="24"/>
          <w:szCs w:val="24"/>
          <w:highlight w:val="none"/>
        </w:rPr>
        <w:t>⑥</w:t>
      </w:r>
      <w:r>
        <w:rPr>
          <w:rStyle w:val="19"/>
          <w:rFonts w:hint="default" w:ascii="宋体" w:hAnsi="宋体" w:eastAsia="宋体" w:cs="宋体"/>
          <w:color w:val="auto"/>
          <w:spacing w:val="-4"/>
          <w:sz w:val="24"/>
          <w:szCs w:val="24"/>
          <w:highlight w:val="none"/>
          <w:u w:val="single"/>
        </w:rPr>
        <w:t xml:space="preserve">6级 </w:t>
      </w:r>
      <w:r>
        <w:rPr>
          <w:rStyle w:val="19"/>
          <w:rFonts w:hint="default" w:ascii="宋体" w:hAnsi="宋体" w:eastAsia="宋体" w:cs="宋体"/>
          <w:color w:val="auto"/>
          <w:spacing w:val="-4"/>
          <w:sz w:val="24"/>
          <w:szCs w:val="24"/>
          <w:highlight w:val="none"/>
        </w:rPr>
        <w:t>以上的地震；</w:t>
      </w:r>
    </w:p>
    <w:p w14:paraId="46D420C6">
      <w:pPr>
        <w:pStyle w:val="28"/>
        <w:keepNext w:val="0"/>
        <w:pageBreakBefore w:val="0"/>
        <w:wordWrap/>
        <w:topLinePunct w:val="0"/>
        <w:autoSpaceDE/>
        <w:autoSpaceDN/>
        <w:bidi w:val="0"/>
        <w:adjustRightInd/>
        <w:spacing w:beforeLines="0" w:afterLines="0" w:line="440" w:lineRule="exact"/>
        <w:ind w:firstLine="806"/>
        <w:textAlignment w:val="auto"/>
        <w:rPr>
          <w:rStyle w:val="19"/>
          <w:rFonts w:hint="default" w:ascii="宋体" w:hAnsi="宋体" w:eastAsia="宋体" w:cs="宋体"/>
          <w:color w:val="auto"/>
          <w:spacing w:val="-4"/>
          <w:sz w:val="24"/>
          <w:szCs w:val="24"/>
          <w:highlight w:val="none"/>
        </w:rPr>
      </w:pPr>
      <w:r>
        <w:rPr>
          <w:rStyle w:val="19"/>
          <w:rFonts w:hint="default" w:ascii="宋体" w:hAnsi="宋体" w:eastAsia="宋体" w:cs="宋体"/>
          <w:color w:val="auto"/>
          <w:spacing w:val="-4"/>
          <w:sz w:val="24"/>
          <w:szCs w:val="24"/>
          <w:highlight w:val="none"/>
        </w:rPr>
        <w:t>⑦</w:t>
      </w:r>
      <w:r>
        <w:rPr>
          <w:rStyle w:val="19"/>
          <w:rFonts w:hint="default" w:ascii="宋体" w:hAnsi="宋体" w:eastAsia="宋体" w:cs="宋体"/>
          <w:color w:val="auto"/>
          <w:spacing w:val="-4"/>
          <w:sz w:val="24"/>
          <w:szCs w:val="24"/>
          <w:highlight w:val="none"/>
          <w:u w:val="single"/>
        </w:rPr>
        <w:t>50年</w:t>
      </w:r>
      <w:r>
        <w:rPr>
          <w:rStyle w:val="19"/>
          <w:rFonts w:hint="default" w:ascii="宋体" w:hAnsi="宋体" w:eastAsia="宋体" w:cs="宋体"/>
          <w:color w:val="auto"/>
          <w:spacing w:val="-4"/>
          <w:sz w:val="24"/>
          <w:szCs w:val="24"/>
          <w:highlight w:val="none"/>
        </w:rPr>
        <w:t>一遇及以上的洪水；</w:t>
      </w:r>
    </w:p>
    <w:p w14:paraId="03EB5B30">
      <w:pPr>
        <w:pStyle w:val="28"/>
        <w:keepNext w:val="0"/>
        <w:pageBreakBefore w:val="0"/>
        <w:wordWrap/>
        <w:topLinePunct w:val="0"/>
        <w:autoSpaceDE/>
        <w:autoSpaceDN/>
        <w:bidi w:val="0"/>
        <w:adjustRightInd/>
        <w:spacing w:beforeLines="0" w:afterLines="0" w:line="440" w:lineRule="exact"/>
        <w:ind w:firstLine="806"/>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4"/>
          <w:sz w:val="24"/>
          <w:szCs w:val="24"/>
          <w:highlight w:val="none"/>
        </w:rPr>
        <w:t>⑧其他异常恶劣气候灾害。</w:t>
      </w:r>
    </w:p>
    <w:p w14:paraId="6BB339FC">
      <w:pPr>
        <w:pStyle w:val="28"/>
        <w:keepNext w:val="0"/>
        <w:pageBreakBefore w:val="0"/>
        <w:wordWrap/>
        <w:topLinePunct w:val="0"/>
        <w:autoSpaceDE/>
        <w:autoSpaceDN/>
        <w:bidi w:val="0"/>
        <w:adjustRightInd/>
        <w:spacing w:beforeLines="0" w:afterLines="0" w:line="440" w:lineRule="exact"/>
        <w:ind w:firstLine="766"/>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3"/>
          <w:sz w:val="24"/>
          <w:szCs w:val="24"/>
          <w:highlight w:val="none"/>
        </w:rPr>
        <w:t>11.5承包人工期延误</w:t>
      </w:r>
    </w:p>
    <w:p w14:paraId="1EAF9770">
      <w:pPr>
        <w:pStyle w:val="28"/>
        <w:keepNext w:val="0"/>
        <w:pageBreakBefore w:val="0"/>
        <w:wordWrap/>
        <w:topLinePunct w:val="0"/>
        <w:autoSpaceDE/>
        <w:autoSpaceDN/>
        <w:bidi w:val="0"/>
        <w:adjustRightInd/>
        <w:spacing w:beforeLines="0" w:afterLines="0" w:line="440" w:lineRule="exact"/>
        <w:ind w:firstLine="790"/>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3"/>
          <w:sz w:val="24"/>
          <w:szCs w:val="24"/>
          <w:highlight w:val="none"/>
        </w:rPr>
        <w:t>(1)逾期完工违约金表(参考格式)</w:t>
      </w:r>
    </w:p>
    <w:p w14:paraId="6BAF22E0">
      <w:pPr>
        <w:pStyle w:val="28"/>
        <w:keepNext w:val="0"/>
        <w:pageBreakBefore w:val="0"/>
        <w:wordWrap/>
        <w:topLinePunct w:val="0"/>
        <w:autoSpaceDE/>
        <w:autoSpaceDN/>
        <w:bidi w:val="0"/>
        <w:adjustRightInd/>
        <w:spacing w:beforeLines="0" w:afterLines="0" w:line="440" w:lineRule="exact"/>
        <w:textAlignment w:val="auto"/>
        <w:rPr>
          <w:rStyle w:val="19"/>
          <w:rFonts w:hint="default"/>
          <w:color w:val="auto"/>
          <w:sz w:val="24"/>
          <w:szCs w:val="24"/>
          <w:highlight w:val="none"/>
        </w:rPr>
      </w:pPr>
    </w:p>
    <w:tbl>
      <w:tblPr>
        <w:tblStyle w:val="18"/>
        <w:tblW w:w="4998"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566"/>
        <w:gridCol w:w="2897"/>
        <w:gridCol w:w="3203"/>
        <w:gridCol w:w="2067"/>
      </w:tblGrid>
      <w:tr w14:paraId="3CC96E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324" w:type="pct"/>
            <w:tcBorders>
              <w:top w:val="single" w:color="000000" w:sz="2" w:space="0"/>
              <w:left w:val="single" w:color="000000" w:sz="2" w:space="0"/>
              <w:bottom w:val="single" w:color="000000" w:sz="2" w:space="0"/>
              <w:right w:val="single" w:color="000000" w:sz="2" w:space="0"/>
              <w:tl2br w:val="nil"/>
              <w:tr2bl w:val="nil"/>
            </w:tcBorders>
            <w:shd w:val="clear" w:color="auto" w:fill="FFFFFF"/>
            <w:noWrap w:val="0"/>
            <w:vAlign w:val="top"/>
          </w:tcPr>
          <w:p w14:paraId="017FEA09">
            <w:pPr>
              <w:pStyle w:val="28"/>
              <w:keepNext w:val="0"/>
              <w:pageBreakBefore w:val="0"/>
              <w:wordWrap/>
              <w:topLinePunct w:val="0"/>
              <w:autoSpaceDE/>
              <w:autoSpaceDN/>
              <w:bidi w:val="0"/>
              <w:adjustRightInd/>
              <w:spacing w:beforeLines="0" w:afterLines="0" w:line="440" w:lineRule="exact"/>
              <w:ind w:firstLine="58"/>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3"/>
                <w:sz w:val="24"/>
                <w:szCs w:val="24"/>
                <w:highlight w:val="none"/>
              </w:rPr>
              <w:t>序号</w:t>
            </w:r>
          </w:p>
        </w:tc>
        <w:tc>
          <w:tcPr>
            <w:tcW w:w="1658" w:type="pct"/>
            <w:tcBorders>
              <w:top w:val="single" w:color="000000" w:sz="2" w:space="0"/>
              <w:left w:val="single" w:color="000000" w:sz="2" w:space="0"/>
              <w:bottom w:val="single" w:color="000000" w:sz="2" w:space="0"/>
              <w:right w:val="single" w:color="000000" w:sz="2" w:space="0"/>
              <w:tl2br w:val="nil"/>
              <w:tr2bl w:val="nil"/>
            </w:tcBorders>
            <w:shd w:val="clear" w:color="auto" w:fill="FFFFFF"/>
            <w:noWrap w:val="0"/>
            <w:vAlign w:val="top"/>
          </w:tcPr>
          <w:p w14:paraId="04A0AE44">
            <w:pPr>
              <w:pStyle w:val="28"/>
              <w:keepNext w:val="0"/>
              <w:pageBreakBefore w:val="0"/>
              <w:wordWrap/>
              <w:topLinePunct w:val="0"/>
              <w:autoSpaceDE/>
              <w:autoSpaceDN/>
              <w:bidi w:val="0"/>
              <w:adjustRightInd/>
              <w:spacing w:beforeLines="0" w:afterLines="0" w:line="440" w:lineRule="exact"/>
              <w:ind w:firstLine="769"/>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2"/>
                <w:sz w:val="24"/>
                <w:szCs w:val="24"/>
                <w:highlight w:val="none"/>
              </w:rPr>
              <w:t>项目及其说明</w:t>
            </w:r>
          </w:p>
        </w:tc>
        <w:tc>
          <w:tcPr>
            <w:tcW w:w="1833" w:type="pct"/>
            <w:tcBorders>
              <w:top w:val="single" w:color="000000" w:sz="2" w:space="0"/>
              <w:left w:val="single" w:color="000000" w:sz="2" w:space="0"/>
              <w:bottom w:val="single" w:color="000000" w:sz="2" w:space="0"/>
              <w:right w:val="single" w:color="000000" w:sz="2" w:space="0"/>
              <w:tl2br w:val="nil"/>
              <w:tr2bl w:val="nil"/>
            </w:tcBorders>
            <w:shd w:val="clear" w:color="auto" w:fill="FFFFFF"/>
            <w:noWrap w:val="0"/>
            <w:vAlign w:val="top"/>
          </w:tcPr>
          <w:p w14:paraId="7C189008">
            <w:pPr>
              <w:pStyle w:val="28"/>
              <w:keepNext w:val="0"/>
              <w:pageBreakBefore w:val="0"/>
              <w:wordWrap/>
              <w:topLinePunct w:val="0"/>
              <w:autoSpaceDE/>
              <w:autoSpaceDN/>
              <w:bidi w:val="0"/>
              <w:adjustRightInd/>
              <w:spacing w:beforeLines="0" w:afterLines="0" w:line="440" w:lineRule="exact"/>
              <w:ind w:firstLine="925"/>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2"/>
                <w:sz w:val="24"/>
                <w:szCs w:val="24"/>
                <w:highlight w:val="none"/>
              </w:rPr>
              <w:t>要求完工日期</w:t>
            </w:r>
          </w:p>
        </w:tc>
        <w:tc>
          <w:tcPr>
            <w:tcW w:w="1183" w:type="pct"/>
            <w:tcBorders>
              <w:top w:val="single" w:color="000000" w:sz="2" w:space="0"/>
              <w:left w:val="single" w:color="000000" w:sz="2" w:space="0"/>
              <w:bottom w:val="single" w:color="000000" w:sz="2" w:space="0"/>
              <w:right w:val="single" w:color="000000" w:sz="2" w:space="0"/>
              <w:tl2br w:val="nil"/>
              <w:tr2bl w:val="nil"/>
            </w:tcBorders>
            <w:shd w:val="clear" w:color="auto" w:fill="FFFFFF"/>
            <w:noWrap w:val="0"/>
            <w:vAlign w:val="top"/>
          </w:tcPr>
          <w:p w14:paraId="2B04C222">
            <w:pPr>
              <w:pStyle w:val="28"/>
              <w:keepNext w:val="0"/>
              <w:pageBreakBefore w:val="0"/>
              <w:wordWrap/>
              <w:topLinePunct w:val="0"/>
              <w:autoSpaceDE/>
              <w:autoSpaceDN/>
              <w:bidi w:val="0"/>
              <w:adjustRightInd/>
              <w:spacing w:beforeLines="0" w:afterLines="0" w:line="440" w:lineRule="exact"/>
              <w:ind w:firstLine="284"/>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2"/>
                <w:sz w:val="24"/>
                <w:szCs w:val="24"/>
                <w:highlight w:val="none"/>
              </w:rPr>
              <w:t>违约金(元/天)</w:t>
            </w:r>
          </w:p>
        </w:tc>
      </w:tr>
      <w:tr w14:paraId="6362EF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324" w:type="pct"/>
            <w:tcBorders>
              <w:top w:val="single" w:color="000000" w:sz="2" w:space="0"/>
              <w:left w:val="single" w:color="000000" w:sz="2" w:space="0"/>
              <w:bottom w:val="single" w:color="000000" w:sz="2" w:space="0"/>
              <w:right w:val="single" w:color="000000" w:sz="2" w:space="0"/>
              <w:tl2br w:val="nil"/>
              <w:tr2bl w:val="nil"/>
            </w:tcBorders>
            <w:shd w:val="clear" w:color="auto" w:fill="FFFFFF"/>
            <w:noWrap w:val="0"/>
            <w:vAlign w:val="top"/>
          </w:tcPr>
          <w:p w14:paraId="0E1E8D09">
            <w:pPr>
              <w:pStyle w:val="28"/>
              <w:keepNext w:val="0"/>
              <w:pageBreakBefore w:val="0"/>
              <w:wordWrap/>
              <w:topLinePunct w:val="0"/>
              <w:autoSpaceDE/>
              <w:autoSpaceDN/>
              <w:bidi w:val="0"/>
              <w:adjustRightInd/>
              <w:spacing w:beforeLines="0" w:afterLines="0" w:line="440" w:lineRule="exact"/>
              <w:textAlignment w:val="auto"/>
              <w:rPr>
                <w:rStyle w:val="19"/>
                <w:rFonts w:hint="default" w:ascii="Calibri" w:eastAsia="宋体"/>
                <w:color w:val="auto"/>
                <w:sz w:val="24"/>
                <w:szCs w:val="24"/>
                <w:highlight w:val="none"/>
              </w:rPr>
            </w:pPr>
          </w:p>
        </w:tc>
        <w:tc>
          <w:tcPr>
            <w:tcW w:w="1658" w:type="pct"/>
            <w:tcBorders>
              <w:top w:val="single" w:color="000000" w:sz="2" w:space="0"/>
              <w:left w:val="single" w:color="000000" w:sz="2" w:space="0"/>
              <w:bottom w:val="single" w:color="000000" w:sz="2" w:space="0"/>
              <w:right w:val="single" w:color="000000" w:sz="2" w:space="0"/>
              <w:tl2br w:val="nil"/>
              <w:tr2bl w:val="nil"/>
            </w:tcBorders>
            <w:shd w:val="clear" w:color="auto" w:fill="FFFFFF"/>
            <w:noWrap w:val="0"/>
            <w:vAlign w:val="top"/>
          </w:tcPr>
          <w:p w14:paraId="08EFA387">
            <w:pPr>
              <w:pStyle w:val="28"/>
              <w:keepNext w:val="0"/>
              <w:pageBreakBefore w:val="0"/>
              <w:wordWrap/>
              <w:topLinePunct w:val="0"/>
              <w:autoSpaceDE/>
              <w:autoSpaceDN/>
              <w:bidi w:val="0"/>
              <w:adjustRightInd/>
              <w:spacing w:beforeLines="0" w:afterLines="0" w:line="440" w:lineRule="exact"/>
              <w:ind w:firstLine="17"/>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2"/>
                <w:sz w:val="24"/>
                <w:szCs w:val="24"/>
                <w:highlight w:val="none"/>
              </w:rPr>
              <w:t>全部工程</w:t>
            </w:r>
          </w:p>
        </w:tc>
        <w:tc>
          <w:tcPr>
            <w:tcW w:w="1833" w:type="pct"/>
            <w:tcBorders>
              <w:top w:val="single" w:color="000000" w:sz="2" w:space="0"/>
              <w:left w:val="single" w:color="000000" w:sz="2" w:space="0"/>
              <w:bottom w:val="single" w:color="000000" w:sz="2" w:space="0"/>
              <w:right w:val="single" w:color="000000" w:sz="2" w:space="0"/>
              <w:tl2br w:val="nil"/>
              <w:tr2bl w:val="nil"/>
            </w:tcBorders>
            <w:shd w:val="clear" w:color="auto" w:fill="FFFFFF"/>
            <w:noWrap w:val="0"/>
            <w:vAlign w:val="top"/>
          </w:tcPr>
          <w:p w14:paraId="5843E9C9">
            <w:pPr>
              <w:pStyle w:val="28"/>
              <w:keepNext w:val="0"/>
              <w:pageBreakBefore w:val="0"/>
              <w:wordWrap/>
              <w:topLinePunct w:val="0"/>
              <w:autoSpaceDE/>
              <w:autoSpaceDN/>
              <w:bidi w:val="0"/>
              <w:adjustRightInd/>
              <w:spacing w:beforeLines="0" w:afterLines="0" w:line="440" w:lineRule="exact"/>
              <w:ind w:firstLine="17"/>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1"/>
                <w:sz w:val="24"/>
                <w:szCs w:val="24"/>
                <w:highlight w:val="none"/>
              </w:rPr>
              <w:t>招标文件约定的完工时间</w:t>
            </w:r>
          </w:p>
        </w:tc>
        <w:tc>
          <w:tcPr>
            <w:tcW w:w="1183" w:type="pct"/>
            <w:tcBorders>
              <w:top w:val="single" w:color="000000" w:sz="2" w:space="0"/>
              <w:left w:val="single" w:color="000000" w:sz="2" w:space="0"/>
              <w:bottom w:val="single" w:color="000000" w:sz="2" w:space="0"/>
              <w:right w:val="single" w:color="000000" w:sz="2" w:space="0"/>
              <w:tl2br w:val="nil"/>
              <w:tr2bl w:val="nil"/>
            </w:tcBorders>
            <w:shd w:val="clear" w:color="auto" w:fill="FFFFFF"/>
            <w:noWrap w:val="0"/>
            <w:vAlign w:val="top"/>
          </w:tcPr>
          <w:p w14:paraId="0F506294">
            <w:pPr>
              <w:pStyle w:val="28"/>
              <w:keepNext w:val="0"/>
              <w:pageBreakBefore w:val="0"/>
              <w:wordWrap/>
              <w:topLinePunct w:val="0"/>
              <w:autoSpaceDE/>
              <w:autoSpaceDN/>
              <w:bidi w:val="0"/>
              <w:adjustRightInd/>
              <w:spacing w:beforeLines="0" w:afterLines="0" w:line="440" w:lineRule="exact"/>
              <w:ind w:firstLine="38"/>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6"/>
                <w:sz w:val="24"/>
                <w:szCs w:val="24"/>
                <w:highlight w:val="none"/>
              </w:rPr>
              <w:t>1000</w:t>
            </w:r>
          </w:p>
        </w:tc>
      </w:tr>
      <w:tr w14:paraId="5044C0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0" w:hRule="atLeast"/>
        </w:trPr>
        <w:tc>
          <w:tcPr>
            <w:tcW w:w="324" w:type="pct"/>
            <w:tcBorders>
              <w:top w:val="single" w:color="000000" w:sz="2" w:space="0"/>
              <w:left w:val="single" w:color="000000" w:sz="2" w:space="0"/>
              <w:bottom w:val="single" w:color="000000" w:sz="2" w:space="0"/>
              <w:right w:val="single" w:color="000000" w:sz="2" w:space="0"/>
              <w:tl2br w:val="nil"/>
              <w:tr2bl w:val="nil"/>
            </w:tcBorders>
            <w:shd w:val="clear" w:color="auto" w:fill="FFFFFF"/>
            <w:noWrap w:val="0"/>
            <w:vAlign w:val="top"/>
          </w:tcPr>
          <w:p w14:paraId="54238AA6">
            <w:pPr>
              <w:pStyle w:val="28"/>
              <w:keepNext w:val="0"/>
              <w:pageBreakBefore w:val="0"/>
              <w:wordWrap/>
              <w:topLinePunct w:val="0"/>
              <w:autoSpaceDE/>
              <w:autoSpaceDN/>
              <w:bidi w:val="0"/>
              <w:adjustRightInd/>
              <w:spacing w:beforeLines="0" w:afterLines="0" w:line="440" w:lineRule="exact"/>
              <w:textAlignment w:val="auto"/>
              <w:rPr>
                <w:rStyle w:val="19"/>
                <w:rFonts w:hint="default" w:ascii="Calibri" w:eastAsia="宋体"/>
                <w:color w:val="auto"/>
                <w:sz w:val="24"/>
                <w:szCs w:val="24"/>
                <w:highlight w:val="none"/>
              </w:rPr>
            </w:pPr>
          </w:p>
        </w:tc>
        <w:tc>
          <w:tcPr>
            <w:tcW w:w="1658" w:type="pct"/>
            <w:tcBorders>
              <w:top w:val="single" w:color="000000" w:sz="2" w:space="0"/>
              <w:left w:val="single" w:color="000000" w:sz="2" w:space="0"/>
              <w:bottom w:val="single" w:color="000000" w:sz="2" w:space="0"/>
              <w:right w:val="single" w:color="000000" w:sz="2" w:space="0"/>
              <w:tl2br w:val="nil"/>
              <w:tr2bl w:val="nil"/>
            </w:tcBorders>
            <w:shd w:val="clear" w:color="auto" w:fill="FFFFFF"/>
            <w:noWrap w:val="0"/>
            <w:vAlign w:val="top"/>
          </w:tcPr>
          <w:p w14:paraId="1E167539">
            <w:pPr>
              <w:pStyle w:val="28"/>
              <w:keepNext w:val="0"/>
              <w:pageBreakBefore w:val="0"/>
              <w:wordWrap/>
              <w:topLinePunct w:val="0"/>
              <w:autoSpaceDE/>
              <w:autoSpaceDN/>
              <w:bidi w:val="0"/>
              <w:adjustRightInd/>
              <w:spacing w:beforeLines="0" w:afterLines="0" w:line="440" w:lineRule="exact"/>
              <w:textAlignment w:val="auto"/>
              <w:rPr>
                <w:rStyle w:val="19"/>
                <w:rFonts w:hint="default" w:ascii="Calibri" w:eastAsia="宋体"/>
                <w:color w:val="auto"/>
                <w:sz w:val="24"/>
                <w:szCs w:val="24"/>
                <w:highlight w:val="none"/>
              </w:rPr>
            </w:pPr>
          </w:p>
        </w:tc>
        <w:tc>
          <w:tcPr>
            <w:tcW w:w="1833" w:type="pct"/>
            <w:tcBorders>
              <w:top w:val="single" w:color="000000" w:sz="2" w:space="0"/>
              <w:left w:val="single" w:color="000000" w:sz="2" w:space="0"/>
              <w:bottom w:val="single" w:color="000000" w:sz="2" w:space="0"/>
              <w:right w:val="single" w:color="000000" w:sz="2" w:space="0"/>
              <w:tl2br w:val="nil"/>
              <w:tr2bl w:val="nil"/>
            </w:tcBorders>
            <w:shd w:val="clear" w:color="auto" w:fill="FFFFFF"/>
            <w:noWrap w:val="0"/>
            <w:vAlign w:val="top"/>
          </w:tcPr>
          <w:p w14:paraId="77EB2107">
            <w:pPr>
              <w:pStyle w:val="28"/>
              <w:keepNext w:val="0"/>
              <w:pageBreakBefore w:val="0"/>
              <w:wordWrap/>
              <w:topLinePunct w:val="0"/>
              <w:autoSpaceDE/>
              <w:autoSpaceDN/>
              <w:bidi w:val="0"/>
              <w:adjustRightInd/>
              <w:spacing w:beforeLines="0" w:afterLines="0" w:line="440" w:lineRule="exact"/>
              <w:textAlignment w:val="auto"/>
              <w:rPr>
                <w:rStyle w:val="19"/>
                <w:rFonts w:hint="default" w:ascii="Calibri" w:eastAsia="宋体"/>
                <w:color w:val="auto"/>
                <w:sz w:val="24"/>
                <w:szCs w:val="24"/>
                <w:highlight w:val="none"/>
              </w:rPr>
            </w:pPr>
          </w:p>
        </w:tc>
        <w:tc>
          <w:tcPr>
            <w:tcW w:w="1183" w:type="pct"/>
            <w:tcBorders>
              <w:top w:val="single" w:color="000000" w:sz="2" w:space="0"/>
              <w:left w:val="single" w:color="000000" w:sz="2" w:space="0"/>
              <w:bottom w:val="single" w:color="000000" w:sz="2" w:space="0"/>
              <w:right w:val="single" w:color="000000" w:sz="2" w:space="0"/>
              <w:tl2br w:val="nil"/>
              <w:tr2bl w:val="nil"/>
            </w:tcBorders>
            <w:shd w:val="clear" w:color="auto" w:fill="FFFFFF"/>
            <w:noWrap w:val="0"/>
            <w:vAlign w:val="top"/>
          </w:tcPr>
          <w:p w14:paraId="6C5078D0">
            <w:pPr>
              <w:pStyle w:val="28"/>
              <w:keepNext w:val="0"/>
              <w:pageBreakBefore w:val="0"/>
              <w:wordWrap/>
              <w:topLinePunct w:val="0"/>
              <w:autoSpaceDE/>
              <w:autoSpaceDN/>
              <w:bidi w:val="0"/>
              <w:adjustRightInd/>
              <w:spacing w:beforeLines="0" w:afterLines="0" w:line="440" w:lineRule="exact"/>
              <w:textAlignment w:val="auto"/>
              <w:rPr>
                <w:rStyle w:val="19"/>
                <w:rFonts w:hint="default" w:ascii="Calibri" w:eastAsia="宋体"/>
                <w:color w:val="auto"/>
                <w:sz w:val="24"/>
                <w:szCs w:val="24"/>
                <w:highlight w:val="none"/>
              </w:rPr>
            </w:pPr>
          </w:p>
        </w:tc>
      </w:tr>
      <w:tr w14:paraId="6EF8EE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324" w:type="pct"/>
            <w:tcBorders>
              <w:top w:val="single" w:color="000000" w:sz="2" w:space="0"/>
              <w:left w:val="single" w:color="000000" w:sz="2" w:space="0"/>
              <w:bottom w:val="single" w:color="000000" w:sz="2" w:space="0"/>
              <w:right w:val="single" w:color="000000" w:sz="2" w:space="0"/>
              <w:tl2br w:val="nil"/>
              <w:tr2bl w:val="nil"/>
            </w:tcBorders>
            <w:shd w:val="clear" w:color="auto" w:fill="FFFFFF"/>
            <w:noWrap w:val="0"/>
            <w:vAlign w:val="top"/>
          </w:tcPr>
          <w:p w14:paraId="424F48E7">
            <w:pPr>
              <w:pStyle w:val="28"/>
              <w:keepNext w:val="0"/>
              <w:pageBreakBefore w:val="0"/>
              <w:wordWrap/>
              <w:topLinePunct w:val="0"/>
              <w:autoSpaceDE/>
              <w:autoSpaceDN/>
              <w:bidi w:val="0"/>
              <w:adjustRightInd/>
              <w:spacing w:beforeLines="0" w:afterLines="0" w:line="440" w:lineRule="exact"/>
              <w:textAlignment w:val="auto"/>
              <w:rPr>
                <w:rStyle w:val="19"/>
                <w:rFonts w:hint="default" w:ascii="Calibri" w:eastAsia="宋体"/>
                <w:color w:val="auto"/>
                <w:sz w:val="24"/>
                <w:szCs w:val="24"/>
                <w:highlight w:val="none"/>
              </w:rPr>
            </w:pPr>
          </w:p>
        </w:tc>
        <w:tc>
          <w:tcPr>
            <w:tcW w:w="1658" w:type="pct"/>
            <w:tcBorders>
              <w:top w:val="single" w:color="000000" w:sz="2" w:space="0"/>
              <w:left w:val="single" w:color="000000" w:sz="2" w:space="0"/>
              <w:bottom w:val="single" w:color="000000" w:sz="2" w:space="0"/>
              <w:right w:val="single" w:color="000000" w:sz="2" w:space="0"/>
              <w:tl2br w:val="nil"/>
              <w:tr2bl w:val="nil"/>
            </w:tcBorders>
            <w:shd w:val="clear" w:color="auto" w:fill="FFFFFF"/>
            <w:noWrap w:val="0"/>
            <w:vAlign w:val="top"/>
          </w:tcPr>
          <w:p w14:paraId="3122BFDC">
            <w:pPr>
              <w:pStyle w:val="28"/>
              <w:keepNext w:val="0"/>
              <w:pageBreakBefore w:val="0"/>
              <w:wordWrap/>
              <w:topLinePunct w:val="0"/>
              <w:autoSpaceDE/>
              <w:autoSpaceDN/>
              <w:bidi w:val="0"/>
              <w:adjustRightInd/>
              <w:spacing w:beforeLines="0" w:afterLines="0" w:line="440" w:lineRule="exact"/>
              <w:textAlignment w:val="auto"/>
              <w:rPr>
                <w:rStyle w:val="19"/>
                <w:rFonts w:hint="default" w:ascii="Calibri" w:eastAsia="宋体"/>
                <w:color w:val="auto"/>
                <w:sz w:val="24"/>
                <w:szCs w:val="24"/>
                <w:highlight w:val="none"/>
              </w:rPr>
            </w:pPr>
          </w:p>
        </w:tc>
        <w:tc>
          <w:tcPr>
            <w:tcW w:w="1833" w:type="pct"/>
            <w:tcBorders>
              <w:top w:val="single" w:color="000000" w:sz="2" w:space="0"/>
              <w:left w:val="single" w:color="000000" w:sz="2" w:space="0"/>
              <w:bottom w:val="single" w:color="000000" w:sz="2" w:space="0"/>
              <w:right w:val="single" w:color="000000" w:sz="2" w:space="0"/>
              <w:tl2br w:val="nil"/>
              <w:tr2bl w:val="nil"/>
            </w:tcBorders>
            <w:shd w:val="clear" w:color="auto" w:fill="FFFFFF"/>
            <w:noWrap w:val="0"/>
            <w:vAlign w:val="top"/>
          </w:tcPr>
          <w:p w14:paraId="5FAB75C6">
            <w:pPr>
              <w:pStyle w:val="28"/>
              <w:keepNext w:val="0"/>
              <w:pageBreakBefore w:val="0"/>
              <w:wordWrap/>
              <w:topLinePunct w:val="0"/>
              <w:autoSpaceDE/>
              <w:autoSpaceDN/>
              <w:bidi w:val="0"/>
              <w:adjustRightInd/>
              <w:spacing w:beforeLines="0" w:afterLines="0" w:line="440" w:lineRule="exact"/>
              <w:textAlignment w:val="auto"/>
              <w:rPr>
                <w:rStyle w:val="19"/>
                <w:rFonts w:hint="default" w:ascii="Calibri" w:eastAsia="宋体"/>
                <w:color w:val="auto"/>
                <w:sz w:val="24"/>
                <w:szCs w:val="24"/>
                <w:highlight w:val="none"/>
              </w:rPr>
            </w:pPr>
          </w:p>
        </w:tc>
        <w:tc>
          <w:tcPr>
            <w:tcW w:w="1183" w:type="pct"/>
            <w:tcBorders>
              <w:top w:val="single" w:color="000000" w:sz="2" w:space="0"/>
              <w:left w:val="single" w:color="000000" w:sz="2" w:space="0"/>
              <w:bottom w:val="single" w:color="000000" w:sz="2" w:space="0"/>
              <w:right w:val="single" w:color="000000" w:sz="2" w:space="0"/>
              <w:tl2br w:val="nil"/>
              <w:tr2bl w:val="nil"/>
            </w:tcBorders>
            <w:shd w:val="clear" w:color="auto" w:fill="FFFFFF"/>
            <w:noWrap w:val="0"/>
            <w:vAlign w:val="top"/>
          </w:tcPr>
          <w:p w14:paraId="3FDF85E8">
            <w:pPr>
              <w:pStyle w:val="28"/>
              <w:keepNext w:val="0"/>
              <w:pageBreakBefore w:val="0"/>
              <w:wordWrap/>
              <w:topLinePunct w:val="0"/>
              <w:autoSpaceDE/>
              <w:autoSpaceDN/>
              <w:bidi w:val="0"/>
              <w:adjustRightInd/>
              <w:spacing w:beforeLines="0" w:afterLines="0" w:line="440" w:lineRule="exact"/>
              <w:textAlignment w:val="auto"/>
              <w:rPr>
                <w:rStyle w:val="19"/>
                <w:rFonts w:hint="default" w:ascii="Calibri" w:eastAsia="宋体"/>
                <w:color w:val="auto"/>
                <w:sz w:val="24"/>
                <w:szCs w:val="24"/>
                <w:highlight w:val="none"/>
              </w:rPr>
            </w:pPr>
          </w:p>
        </w:tc>
      </w:tr>
      <w:tr w14:paraId="64ADC2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4" w:hRule="atLeast"/>
        </w:trPr>
        <w:tc>
          <w:tcPr>
            <w:tcW w:w="324" w:type="pct"/>
            <w:tcBorders>
              <w:top w:val="single" w:color="000000" w:sz="2" w:space="0"/>
              <w:left w:val="single" w:color="000000" w:sz="2" w:space="0"/>
              <w:bottom w:val="single" w:color="000000" w:sz="2" w:space="0"/>
              <w:right w:val="single" w:color="000000" w:sz="2" w:space="0"/>
              <w:tl2br w:val="nil"/>
              <w:tr2bl w:val="nil"/>
            </w:tcBorders>
            <w:shd w:val="clear" w:color="auto" w:fill="FFFFFF"/>
            <w:noWrap w:val="0"/>
            <w:vAlign w:val="top"/>
          </w:tcPr>
          <w:p w14:paraId="42CB0DB6">
            <w:pPr>
              <w:pStyle w:val="28"/>
              <w:keepNext w:val="0"/>
              <w:pageBreakBefore w:val="0"/>
              <w:wordWrap/>
              <w:topLinePunct w:val="0"/>
              <w:autoSpaceDE/>
              <w:autoSpaceDN/>
              <w:bidi w:val="0"/>
              <w:adjustRightInd/>
              <w:spacing w:beforeLines="0" w:afterLines="0" w:line="440" w:lineRule="exact"/>
              <w:textAlignment w:val="auto"/>
              <w:rPr>
                <w:rStyle w:val="19"/>
                <w:rFonts w:hint="default" w:ascii="Calibri" w:eastAsia="宋体"/>
                <w:color w:val="auto"/>
                <w:sz w:val="24"/>
                <w:szCs w:val="24"/>
                <w:highlight w:val="none"/>
              </w:rPr>
            </w:pPr>
          </w:p>
        </w:tc>
        <w:tc>
          <w:tcPr>
            <w:tcW w:w="1658" w:type="pct"/>
            <w:tcBorders>
              <w:top w:val="single" w:color="000000" w:sz="2" w:space="0"/>
              <w:left w:val="single" w:color="000000" w:sz="2" w:space="0"/>
              <w:bottom w:val="single" w:color="000000" w:sz="2" w:space="0"/>
              <w:right w:val="single" w:color="000000" w:sz="2" w:space="0"/>
              <w:tl2br w:val="nil"/>
              <w:tr2bl w:val="nil"/>
            </w:tcBorders>
            <w:shd w:val="clear" w:color="auto" w:fill="FFFFFF"/>
            <w:noWrap w:val="0"/>
            <w:vAlign w:val="top"/>
          </w:tcPr>
          <w:p w14:paraId="0EF25C39">
            <w:pPr>
              <w:pStyle w:val="28"/>
              <w:keepNext w:val="0"/>
              <w:pageBreakBefore w:val="0"/>
              <w:wordWrap/>
              <w:topLinePunct w:val="0"/>
              <w:autoSpaceDE/>
              <w:autoSpaceDN/>
              <w:bidi w:val="0"/>
              <w:adjustRightInd/>
              <w:spacing w:beforeLines="0" w:afterLines="0" w:line="440" w:lineRule="exact"/>
              <w:textAlignment w:val="auto"/>
              <w:rPr>
                <w:rStyle w:val="19"/>
                <w:rFonts w:hint="default" w:ascii="Calibri" w:eastAsia="宋体"/>
                <w:color w:val="auto"/>
                <w:sz w:val="24"/>
                <w:szCs w:val="24"/>
                <w:highlight w:val="none"/>
              </w:rPr>
            </w:pPr>
          </w:p>
        </w:tc>
        <w:tc>
          <w:tcPr>
            <w:tcW w:w="1833" w:type="pct"/>
            <w:tcBorders>
              <w:top w:val="single" w:color="000000" w:sz="2" w:space="0"/>
              <w:left w:val="single" w:color="000000" w:sz="2" w:space="0"/>
              <w:bottom w:val="single" w:color="000000" w:sz="2" w:space="0"/>
              <w:right w:val="single" w:color="000000" w:sz="2" w:space="0"/>
              <w:tl2br w:val="nil"/>
              <w:tr2bl w:val="nil"/>
            </w:tcBorders>
            <w:shd w:val="clear" w:color="auto" w:fill="FFFFFF"/>
            <w:noWrap w:val="0"/>
            <w:vAlign w:val="top"/>
          </w:tcPr>
          <w:p w14:paraId="4E6CF7ED">
            <w:pPr>
              <w:pStyle w:val="28"/>
              <w:keepNext w:val="0"/>
              <w:pageBreakBefore w:val="0"/>
              <w:wordWrap/>
              <w:topLinePunct w:val="0"/>
              <w:autoSpaceDE/>
              <w:autoSpaceDN/>
              <w:bidi w:val="0"/>
              <w:adjustRightInd/>
              <w:spacing w:beforeLines="0" w:afterLines="0" w:line="440" w:lineRule="exact"/>
              <w:textAlignment w:val="auto"/>
              <w:rPr>
                <w:rStyle w:val="19"/>
                <w:rFonts w:hint="default" w:ascii="Calibri" w:eastAsia="宋体"/>
                <w:color w:val="auto"/>
                <w:sz w:val="24"/>
                <w:szCs w:val="24"/>
                <w:highlight w:val="none"/>
              </w:rPr>
            </w:pPr>
          </w:p>
        </w:tc>
        <w:tc>
          <w:tcPr>
            <w:tcW w:w="1183" w:type="pct"/>
            <w:tcBorders>
              <w:top w:val="single" w:color="000000" w:sz="2" w:space="0"/>
              <w:left w:val="single" w:color="000000" w:sz="2" w:space="0"/>
              <w:bottom w:val="single" w:color="000000" w:sz="2" w:space="0"/>
              <w:right w:val="single" w:color="000000" w:sz="2" w:space="0"/>
              <w:tl2br w:val="nil"/>
              <w:tr2bl w:val="nil"/>
            </w:tcBorders>
            <w:shd w:val="clear" w:color="auto" w:fill="FFFFFF"/>
            <w:noWrap w:val="0"/>
            <w:vAlign w:val="top"/>
          </w:tcPr>
          <w:p w14:paraId="6F394625">
            <w:pPr>
              <w:pStyle w:val="28"/>
              <w:keepNext w:val="0"/>
              <w:pageBreakBefore w:val="0"/>
              <w:wordWrap/>
              <w:topLinePunct w:val="0"/>
              <w:autoSpaceDE/>
              <w:autoSpaceDN/>
              <w:bidi w:val="0"/>
              <w:adjustRightInd/>
              <w:spacing w:beforeLines="0" w:afterLines="0" w:line="440" w:lineRule="exact"/>
              <w:textAlignment w:val="auto"/>
              <w:rPr>
                <w:rStyle w:val="19"/>
                <w:rFonts w:hint="default" w:ascii="Calibri" w:eastAsia="宋体"/>
                <w:color w:val="auto"/>
                <w:sz w:val="24"/>
                <w:szCs w:val="24"/>
                <w:highlight w:val="none"/>
              </w:rPr>
            </w:pPr>
          </w:p>
        </w:tc>
      </w:tr>
    </w:tbl>
    <w:p w14:paraId="1F364959">
      <w:pPr>
        <w:pStyle w:val="28"/>
        <w:keepNext w:val="0"/>
        <w:pageBreakBefore w:val="0"/>
        <w:wordWrap/>
        <w:topLinePunct w:val="0"/>
        <w:autoSpaceDE/>
        <w:autoSpaceDN/>
        <w:bidi w:val="0"/>
        <w:adjustRightInd/>
        <w:spacing w:beforeLines="0" w:afterLines="0" w:line="440" w:lineRule="exact"/>
        <w:textAlignment w:val="auto"/>
        <w:rPr>
          <w:rStyle w:val="19"/>
          <w:rFonts w:hint="default" w:ascii="Calibri" w:eastAsia="宋体"/>
          <w:color w:val="auto"/>
          <w:sz w:val="24"/>
          <w:szCs w:val="24"/>
          <w:highlight w:val="none"/>
        </w:rPr>
      </w:pPr>
    </w:p>
    <w:p w14:paraId="4749B34D">
      <w:pPr>
        <w:pStyle w:val="28"/>
        <w:keepNext w:val="0"/>
        <w:pageBreakBefore w:val="0"/>
        <w:wordWrap/>
        <w:topLinePunct w:val="0"/>
        <w:autoSpaceDE/>
        <w:autoSpaceDN/>
        <w:bidi w:val="0"/>
        <w:adjustRightInd/>
        <w:spacing w:beforeLines="0" w:afterLines="0" w:line="440" w:lineRule="exact"/>
        <w:ind w:right="316" w:firstLine="452" w:firstLineChars="200"/>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7"/>
          <w:sz w:val="24"/>
          <w:szCs w:val="24"/>
          <w:highlight w:val="none"/>
        </w:rPr>
        <w:t>承包人如未能按上表各节点要求的完工日期前完工，逾期完工违约金按</w:t>
      </w:r>
      <w:r>
        <w:rPr>
          <w:rStyle w:val="19"/>
          <w:rFonts w:hint="default" w:ascii="宋体" w:hAnsi="宋体" w:eastAsia="宋体" w:cs="宋体"/>
          <w:color w:val="auto"/>
          <w:spacing w:val="-7"/>
          <w:sz w:val="24"/>
          <w:szCs w:val="24"/>
          <w:highlight w:val="none"/>
          <w:u w:val="single"/>
        </w:rPr>
        <w:t>1000</w:t>
      </w:r>
      <w:r>
        <w:rPr>
          <w:rStyle w:val="19"/>
          <w:rFonts w:hint="default" w:ascii="宋体" w:hAnsi="宋体" w:eastAsia="宋体" w:cs="宋体"/>
          <w:color w:val="auto"/>
          <w:spacing w:val="-7"/>
          <w:sz w:val="24"/>
          <w:szCs w:val="24"/>
          <w:highlight w:val="none"/>
        </w:rPr>
        <w:t>元/天计算。</w:t>
      </w:r>
    </w:p>
    <w:p w14:paraId="701D54DF">
      <w:pPr>
        <w:pStyle w:val="28"/>
        <w:keepNext w:val="0"/>
        <w:pageBreakBefore w:val="0"/>
        <w:wordWrap/>
        <w:topLinePunct w:val="0"/>
        <w:autoSpaceDE/>
        <w:autoSpaceDN/>
        <w:bidi w:val="0"/>
        <w:adjustRightInd/>
        <w:spacing w:beforeLines="0" w:afterLines="0" w:line="440" w:lineRule="exact"/>
        <w:ind w:left="328" w:right="317" w:firstLine="246"/>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1"/>
          <w:sz w:val="24"/>
          <w:szCs w:val="24"/>
          <w:highlight w:val="none"/>
        </w:rPr>
        <w:t>（2）全部逾期完工违约金的总限额不超过合同总价的</w:t>
      </w:r>
      <w:r>
        <w:rPr>
          <w:rStyle w:val="19"/>
          <w:rFonts w:hint="default" w:ascii="宋体" w:hAnsi="宋体" w:eastAsia="宋体" w:cs="宋体"/>
          <w:color w:val="auto"/>
          <w:spacing w:val="-1"/>
          <w:sz w:val="24"/>
          <w:szCs w:val="24"/>
          <w:highlight w:val="none"/>
          <w:u w:val="single"/>
        </w:rPr>
        <w:t xml:space="preserve"> </w:t>
      </w:r>
      <w:r>
        <w:rPr>
          <w:rStyle w:val="19"/>
          <w:rFonts w:hint="default" w:ascii="宋体" w:hAnsi="宋体" w:eastAsia="宋体" w:cs="宋体"/>
          <w:color w:val="auto"/>
          <w:spacing w:val="-1"/>
          <w:sz w:val="24"/>
          <w:szCs w:val="24"/>
          <w:highlight w:val="none"/>
          <w:u w:val="single"/>
          <w:lang w:eastAsia="zh-CN"/>
        </w:rPr>
        <w:t>5</w:t>
      </w:r>
      <w:r>
        <w:rPr>
          <w:rStyle w:val="19"/>
          <w:rFonts w:hint="default" w:ascii="宋体" w:hAnsi="宋体" w:eastAsia="宋体" w:cs="宋体"/>
          <w:color w:val="auto"/>
          <w:spacing w:val="-1"/>
          <w:sz w:val="24"/>
          <w:szCs w:val="24"/>
          <w:highlight w:val="none"/>
          <w:u w:val="single"/>
        </w:rPr>
        <w:t xml:space="preserve"> </w:t>
      </w:r>
      <w:r>
        <w:rPr>
          <w:rStyle w:val="19"/>
          <w:rFonts w:hint="default" w:ascii="宋体" w:hAnsi="宋体" w:eastAsia="宋体" w:cs="宋体"/>
          <w:color w:val="auto"/>
          <w:spacing w:val="-1"/>
          <w:sz w:val="24"/>
          <w:szCs w:val="24"/>
          <w:highlight w:val="none"/>
        </w:rPr>
        <w:t>%,发包人可从应向承</w:t>
      </w:r>
      <w:r>
        <w:rPr>
          <w:rStyle w:val="19"/>
          <w:rFonts w:hint="default" w:ascii="宋体" w:hAnsi="宋体" w:eastAsia="宋体" w:cs="宋体"/>
          <w:color w:val="auto"/>
          <w:spacing w:val="-6"/>
          <w:sz w:val="24"/>
          <w:szCs w:val="24"/>
          <w:highlight w:val="none"/>
        </w:rPr>
        <w:t>包人支付的任何金额中扣除此项违约金或以其他方式收回此款，此违约金的支付</w:t>
      </w:r>
      <w:r>
        <w:rPr>
          <w:rStyle w:val="19"/>
          <w:rFonts w:hint="default" w:ascii="宋体" w:hAnsi="宋体" w:eastAsia="宋体" w:cs="宋体"/>
          <w:color w:val="auto"/>
          <w:spacing w:val="-2"/>
          <w:sz w:val="24"/>
          <w:szCs w:val="24"/>
          <w:highlight w:val="none"/>
        </w:rPr>
        <w:t>并不能解除承包人应完成工程的责任或合同规定的其他责任。</w:t>
      </w:r>
    </w:p>
    <w:p w14:paraId="0DE707E8">
      <w:pPr>
        <w:pStyle w:val="28"/>
        <w:keepNext w:val="0"/>
        <w:pageBreakBefore w:val="0"/>
        <w:wordWrap/>
        <w:topLinePunct w:val="0"/>
        <w:autoSpaceDE/>
        <w:autoSpaceDN/>
        <w:bidi w:val="0"/>
        <w:adjustRightInd/>
        <w:spacing w:beforeLines="0" w:afterLines="0" w:line="440" w:lineRule="exact"/>
        <w:ind w:left="331" w:right="318" w:firstLine="243"/>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1"/>
          <w:sz w:val="24"/>
          <w:szCs w:val="24"/>
          <w:highlight w:val="none"/>
        </w:rPr>
        <w:t>（3）若因施工现场征地拆迁、重大设计变更等甲方原因导致工期延误的，工</w:t>
      </w:r>
      <w:r>
        <w:rPr>
          <w:rStyle w:val="19"/>
          <w:rFonts w:hint="default" w:ascii="宋体" w:hAnsi="宋体" w:eastAsia="宋体" w:cs="宋体"/>
          <w:color w:val="auto"/>
          <w:spacing w:val="-13"/>
          <w:sz w:val="24"/>
          <w:szCs w:val="24"/>
          <w:highlight w:val="none"/>
        </w:rPr>
        <w:t>期应相应顺延，承包人应自行收集整理相关证明材料，因征地拆迁、重大设计变</w:t>
      </w:r>
      <w:r>
        <w:rPr>
          <w:rStyle w:val="19"/>
          <w:rFonts w:hint="default" w:ascii="宋体" w:hAnsi="宋体" w:eastAsia="宋体" w:cs="宋体"/>
          <w:color w:val="auto"/>
          <w:spacing w:val="-3"/>
          <w:sz w:val="24"/>
          <w:szCs w:val="24"/>
          <w:highlight w:val="none"/>
        </w:rPr>
        <w:t>更引起的工期延误根据实际情况进行工期索赔。</w:t>
      </w:r>
    </w:p>
    <w:p w14:paraId="00B9D57D">
      <w:pPr>
        <w:pStyle w:val="28"/>
        <w:keepNext w:val="0"/>
        <w:pageBreakBefore w:val="0"/>
        <w:wordWrap/>
        <w:topLinePunct w:val="0"/>
        <w:autoSpaceDE/>
        <w:autoSpaceDN/>
        <w:bidi w:val="0"/>
        <w:adjustRightInd/>
        <w:spacing w:beforeLines="0" w:afterLines="0" w:line="440" w:lineRule="exact"/>
        <w:ind w:left="327" w:right="251" w:firstLine="247"/>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1"/>
          <w:sz w:val="24"/>
          <w:szCs w:val="24"/>
          <w:highlight w:val="none"/>
        </w:rPr>
        <w:t>（4）因以下原因造成工期延误，经监理工程师确认，工期相应顺延，可归责</w:t>
      </w:r>
      <w:r>
        <w:rPr>
          <w:rStyle w:val="19"/>
          <w:rFonts w:hint="default" w:ascii="宋体" w:hAnsi="宋体" w:eastAsia="宋体" w:cs="宋体"/>
          <w:color w:val="auto"/>
          <w:spacing w:val="-13"/>
          <w:sz w:val="24"/>
          <w:szCs w:val="24"/>
          <w:highlight w:val="none"/>
        </w:rPr>
        <w:t>于发包人的，由发包人依据自身责任大小，适当补偿承包人因此遭受的相应损失，</w:t>
      </w:r>
      <w:r>
        <w:rPr>
          <w:rStyle w:val="19"/>
          <w:rFonts w:hint="default" w:ascii="宋体" w:hAnsi="宋体" w:eastAsia="宋体" w:cs="宋体"/>
          <w:color w:val="auto"/>
          <w:spacing w:val="-8"/>
          <w:sz w:val="24"/>
          <w:szCs w:val="24"/>
          <w:highlight w:val="none"/>
        </w:rPr>
        <w:t>①重大图纸变更影响关</w:t>
      </w:r>
      <w:r>
        <w:rPr>
          <w:rStyle w:val="19"/>
          <w:rFonts w:hint="default" w:ascii="宋体" w:hAnsi="宋体" w:eastAsia="宋体" w:cs="宋体"/>
          <w:color w:val="auto"/>
          <w:spacing w:val="-8"/>
          <w:sz w:val="24"/>
          <w:szCs w:val="24"/>
          <w:highlight w:val="none"/>
          <w:lang w:eastAsia="zh-CN"/>
        </w:rPr>
        <w:t>键</w:t>
      </w:r>
      <w:r>
        <w:rPr>
          <w:rStyle w:val="19"/>
          <w:rFonts w:hint="default" w:ascii="宋体" w:hAnsi="宋体" w:eastAsia="宋体" w:cs="宋体"/>
          <w:color w:val="auto"/>
          <w:spacing w:val="-8"/>
          <w:sz w:val="24"/>
          <w:szCs w:val="24"/>
          <w:highlight w:val="none"/>
        </w:rPr>
        <w:t>线路工序施工；②施工期间如因停电、停水连续8小时以上或一周内间歇性停水、停电累计8小时（含8小时）影响正常施工的。③政</w:t>
      </w:r>
      <w:r>
        <w:rPr>
          <w:rStyle w:val="19"/>
          <w:rFonts w:hint="default" w:ascii="宋体" w:hAnsi="宋体" w:eastAsia="宋体" w:cs="宋体"/>
          <w:color w:val="auto"/>
          <w:spacing w:val="-4"/>
          <w:sz w:val="24"/>
          <w:szCs w:val="24"/>
          <w:highlight w:val="none"/>
        </w:rPr>
        <w:t>府指令性停工</w:t>
      </w:r>
      <w:r>
        <w:rPr>
          <w:rStyle w:val="19"/>
          <w:rFonts w:hint="default" w:ascii="宋体" w:hAnsi="宋体" w:eastAsia="宋体" w:cs="宋体"/>
          <w:color w:val="auto"/>
          <w:spacing w:val="-2"/>
          <w:sz w:val="24"/>
          <w:szCs w:val="24"/>
          <w:highlight w:val="none"/>
          <w:lang w:eastAsia="zh-CN"/>
        </w:rPr>
        <w:t>（重要会议）</w:t>
      </w:r>
      <w:r>
        <w:rPr>
          <w:rStyle w:val="19"/>
          <w:rFonts w:hint="default" w:ascii="宋体" w:hAnsi="宋体" w:eastAsia="宋体" w:cs="宋体"/>
          <w:color w:val="auto"/>
          <w:spacing w:val="-4"/>
          <w:sz w:val="24"/>
          <w:szCs w:val="24"/>
          <w:highlight w:val="none"/>
        </w:rPr>
        <w:t>。④在施工过程中遇到地下障碍物、淤泥、流沙、溶洞、岩石、文物或地下管线的。⑤因发包人未能及时确认变更价格或甲供材料提供延误的。⑥非承包人的责</w:t>
      </w:r>
      <w:r>
        <w:rPr>
          <w:rStyle w:val="19"/>
          <w:rFonts w:hint="default" w:ascii="宋体" w:hAnsi="宋体" w:eastAsia="宋体" w:cs="宋体"/>
          <w:color w:val="auto"/>
          <w:spacing w:val="-1"/>
          <w:sz w:val="24"/>
          <w:szCs w:val="24"/>
          <w:highlight w:val="none"/>
        </w:rPr>
        <w:t>任造成的工期延误其他情形。⑦设计方案(包括施工图纸)未能及时提供延误施</w:t>
      </w:r>
      <w:r>
        <w:rPr>
          <w:rStyle w:val="19"/>
          <w:rFonts w:hint="default" w:ascii="宋体" w:hAnsi="宋体" w:eastAsia="宋体" w:cs="宋体"/>
          <w:color w:val="auto"/>
          <w:spacing w:val="-12"/>
          <w:sz w:val="24"/>
          <w:szCs w:val="24"/>
          <w:highlight w:val="none"/>
        </w:rPr>
        <w:t>工的；发包人、监理或设计提出修改意向，承包人必需等待书面答复意见而延误</w:t>
      </w:r>
      <w:r>
        <w:rPr>
          <w:rStyle w:val="19"/>
          <w:rFonts w:hint="default" w:ascii="宋体" w:hAnsi="宋体" w:eastAsia="宋体" w:cs="宋体"/>
          <w:color w:val="auto"/>
          <w:spacing w:val="-11"/>
          <w:sz w:val="24"/>
          <w:szCs w:val="24"/>
          <w:highlight w:val="none"/>
        </w:rPr>
        <w:t>关键线路施工的；⑧因发包人原因施工所需证件未能及时办理而延误的；⑨开发</w:t>
      </w:r>
      <w:r>
        <w:rPr>
          <w:rStyle w:val="19"/>
          <w:rFonts w:hint="default" w:ascii="宋体" w:hAnsi="宋体" w:eastAsia="宋体" w:cs="宋体"/>
          <w:color w:val="auto"/>
          <w:spacing w:val="-2"/>
          <w:sz w:val="24"/>
          <w:szCs w:val="24"/>
          <w:highlight w:val="none"/>
        </w:rPr>
        <w:t>资金未能及时到位而延误的；⑩受气候等因素影响材料运输、工人窝工的。</w:t>
      </w:r>
    </w:p>
    <w:p w14:paraId="6129AD4C">
      <w:pPr>
        <w:keepNext w:val="0"/>
        <w:pageBreakBefore w:val="0"/>
        <w:wordWrap/>
        <w:topLinePunct w:val="0"/>
        <w:autoSpaceDE/>
        <w:autoSpaceDN/>
        <w:bidi w:val="0"/>
        <w:adjustRightInd/>
        <w:spacing w:line="440" w:lineRule="exact"/>
        <w:textAlignment w:val="auto"/>
        <w:rPr>
          <w:rFonts w:hint="eastAsia"/>
          <w:b/>
          <w:color w:val="auto"/>
          <w:sz w:val="24"/>
          <w:szCs w:val="24"/>
          <w:highlight w:val="none"/>
        </w:rPr>
      </w:pPr>
      <w:r>
        <w:rPr>
          <w:rFonts w:hint="eastAsia"/>
          <w:b/>
          <w:color w:val="auto"/>
          <w:sz w:val="24"/>
          <w:szCs w:val="24"/>
          <w:highlight w:val="none"/>
        </w:rPr>
        <w:t>11.6工期提前</w:t>
      </w:r>
    </w:p>
    <w:p w14:paraId="526FA3E7">
      <w:pPr>
        <w:pStyle w:val="28"/>
        <w:keepNext w:val="0"/>
        <w:pageBreakBefore w:val="0"/>
        <w:wordWrap/>
        <w:topLinePunct w:val="0"/>
        <w:autoSpaceDE/>
        <w:autoSpaceDN/>
        <w:bidi w:val="0"/>
        <w:adjustRightInd/>
        <w:spacing w:beforeLines="0" w:afterLines="0" w:line="440" w:lineRule="exact"/>
        <w:ind w:left="30" w:right="113" w:firstLine="419"/>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12"/>
          <w:sz w:val="24"/>
          <w:szCs w:val="24"/>
          <w:highlight w:val="none"/>
        </w:rPr>
        <w:t>工期提前的资金约定：</w:t>
      </w:r>
      <w:r>
        <w:rPr>
          <w:rStyle w:val="19"/>
          <w:rFonts w:hint="default" w:ascii="宋体" w:hAnsi="宋体" w:eastAsia="宋体" w:cs="宋体"/>
          <w:color w:val="auto"/>
          <w:spacing w:val="-12"/>
          <w:sz w:val="24"/>
          <w:szCs w:val="24"/>
          <w:highlight w:val="none"/>
          <w:u w:val="single"/>
        </w:rPr>
        <w:t>在保证工程质量的前提下，发包人鼓励承包人提前完</w:t>
      </w:r>
      <w:r>
        <w:rPr>
          <w:rStyle w:val="19"/>
          <w:rFonts w:hint="default" w:ascii="宋体" w:hAnsi="宋体" w:eastAsia="宋体" w:cs="宋体"/>
          <w:color w:val="auto"/>
          <w:spacing w:val="-1"/>
          <w:sz w:val="24"/>
          <w:szCs w:val="24"/>
          <w:highlight w:val="none"/>
          <w:u w:val="single"/>
        </w:rPr>
        <w:t>工，但本合同工程无提前工期奖金</w:t>
      </w:r>
      <w:r>
        <w:rPr>
          <w:rStyle w:val="19"/>
          <w:rFonts w:hint="default" w:ascii="宋体" w:hAnsi="宋体" w:eastAsia="宋体" w:cs="宋体"/>
          <w:color w:val="auto"/>
          <w:spacing w:val="-1"/>
          <w:sz w:val="24"/>
          <w:szCs w:val="24"/>
          <w:highlight w:val="none"/>
        </w:rPr>
        <w:t>。</w:t>
      </w:r>
    </w:p>
    <w:p w14:paraId="04460026">
      <w:pPr>
        <w:pStyle w:val="2"/>
        <w:keepNext w:val="0"/>
        <w:pageBreakBefore w:val="0"/>
        <w:wordWrap/>
        <w:topLinePunct w:val="0"/>
        <w:autoSpaceDE/>
        <w:autoSpaceDN/>
        <w:bidi w:val="0"/>
        <w:adjustRightInd/>
        <w:spacing w:line="440" w:lineRule="exact"/>
        <w:textAlignment w:val="auto"/>
        <w:rPr>
          <w:rFonts w:hint="default" w:ascii="宋体" w:cs="Times New Roman"/>
          <w:color w:val="auto"/>
          <w:sz w:val="28"/>
          <w:szCs w:val="32"/>
          <w:highlight w:val="none"/>
        </w:rPr>
      </w:pPr>
      <w:r>
        <w:rPr>
          <w:rFonts w:hint="default" w:ascii="宋体" w:cs="Times New Roman"/>
          <w:color w:val="auto"/>
          <w:sz w:val="28"/>
          <w:szCs w:val="32"/>
          <w:highlight w:val="none"/>
        </w:rPr>
        <w:t>12.暂停施工</w:t>
      </w:r>
    </w:p>
    <w:p w14:paraId="7E2BE577">
      <w:pPr>
        <w:pStyle w:val="28"/>
        <w:keepNext w:val="0"/>
        <w:pageBreakBefore w:val="0"/>
        <w:wordWrap/>
        <w:topLinePunct w:val="0"/>
        <w:autoSpaceDE/>
        <w:autoSpaceDN/>
        <w:bidi w:val="0"/>
        <w:adjustRightInd/>
        <w:spacing w:beforeLines="0" w:afterLines="0" w:line="440" w:lineRule="exact"/>
        <w:textAlignment w:val="auto"/>
        <w:rPr>
          <w:rStyle w:val="19"/>
          <w:rFonts w:hint="default" w:ascii="Calibri" w:eastAsia="宋体"/>
          <w:color w:val="auto"/>
          <w:sz w:val="20"/>
          <w:szCs w:val="24"/>
          <w:highlight w:val="none"/>
        </w:rPr>
      </w:pPr>
    </w:p>
    <w:p w14:paraId="3E593608">
      <w:pPr>
        <w:keepNext w:val="0"/>
        <w:pageBreakBefore w:val="0"/>
        <w:wordWrap/>
        <w:topLinePunct w:val="0"/>
        <w:autoSpaceDE/>
        <w:autoSpaceDN/>
        <w:bidi w:val="0"/>
        <w:adjustRightInd/>
        <w:spacing w:line="440" w:lineRule="exact"/>
        <w:textAlignment w:val="auto"/>
        <w:rPr>
          <w:rFonts w:hint="eastAsia"/>
          <w:b/>
          <w:color w:val="auto"/>
          <w:sz w:val="24"/>
          <w:szCs w:val="24"/>
          <w:highlight w:val="none"/>
        </w:rPr>
      </w:pPr>
      <w:r>
        <w:rPr>
          <w:rFonts w:hint="eastAsia"/>
          <w:b/>
          <w:color w:val="auto"/>
          <w:sz w:val="24"/>
          <w:szCs w:val="24"/>
          <w:highlight w:val="none"/>
        </w:rPr>
        <w:t>12.1承包人暂停施工的责任</w:t>
      </w:r>
    </w:p>
    <w:p w14:paraId="16E78BD0">
      <w:pPr>
        <w:pStyle w:val="28"/>
        <w:keepNext w:val="0"/>
        <w:pageBreakBefore w:val="0"/>
        <w:wordWrap/>
        <w:topLinePunct w:val="0"/>
        <w:autoSpaceDE/>
        <w:autoSpaceDN/>
        <w:bidi w:val="0"/>
        <w:adjustRightInd/>
        <w:spacing w:beforeLines="0" w:afterLines="0" w:line="440" w:lineRule="exact"/>
        <w:ind w:left="30" w:right="111" w:firstLine="477"/>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7"/>
          <w:sz w:val="24"/>
          <w:szCs w:val="24"/>
          <w:highlight w:val="none"/>
        </w:rPr>
        <w:t>承包人承担暂停施工责任的其它情形：</w:t>
      </w:r>
      <w:r>
        <w:rPr>
          <w:rStyle w:val="19"/>
          <w:rFonts w:hint="default" w:ascii="宋体" w:hAnsi="宋体" w:eastAsia="宋体" w:cs="宋体"/>
          <w:color w:val="auto"/>
          <w:spacing w:val="-7"/>
          <w:sz w:val="24"/>
          <w:szCs w:val="24"/>
          <w:highlight w:val="none"/>
          <w:u w:val="single"/>
        </w:rPr>
        <w:t>由于承包人资金、人员、材料、设</w:t>
      </w:r>
      <w:r>
        <w:rPr>
          <w:rStyle w:val="19"/>
          <w:rFonts w:hint="default" w:ascii="宋体" w:hAnsi="宋体" w:eastAsia="宋体" w:cs="宋体"/>
          <w:color w:val="auto"/>
          <w:spacing w:val="-6"/>
          <w:sz w:val="24"/>
          <w:szCs w:val="24"/>
          <w:highlight w:val="none"/>
          <w:u w:val="single"/>
        </w:rPr>
        <w:t>备不能按时到位的由承包人承担停工责任，或由于承包人原因造成的质量事故及安全事故引起的暂停施工，发包人不再补偿停工所造成的工程费用增加和工期延</w:t>
      </w:r>
      <w:r>
        <w:rPr>
          <w:rStyle w:val="19"/>
          <w:rFonts w:hint="default" w:ascii="宋体" w:hAnsi="宋体" w:eastAsia="宋体" w:cs="宋体"/>
          <w:color w:val="auto"/>
          <w:spacing w:val="-7"/>
          <w:sz w:val="24"/>
          <w:szCs w:val="24"/>
          <w:highlight w:val="none"/>
          <w:u w:val="single"/>
        </w:rPr>
        <w:t>误</w:t>
      </w:r>
      <w:r>
        <w:rPr>
          <w:rStyle w:val="19"/>
          <w:rFonts w:hint="default" w:ascii="宋体" w:hAnsi="宋体" w:eastAsia="宋体" w:cs="宋体"/>
          <w:color w:val="auto"/>
          <w:spacing w:val="-7"/>
          <w:sz w:val="24"/>
          <w:szCs w:val="24"/>
          <w:highlight w:val="none"/>
        </w:rPr>
        <w:t>。</w:t>
      </w:r>
    </w:p>
    <w:p w14:paraId="6AA2BEB6">
      <w:pPr>
        <w:keepNext w:val="0"/>
        <w:pageBreakBefore w:val="0"/>
        <w:wordWrap/>
        <w:topLinePunct w:val="0"/>
        <w:autoSpaceDE/>
        <w:autoSpaceDN/>
        <w:bidi w:val="0"/>
        <w:adjustRightInd/>
        <w:spacing w:line="440" w:lineRule="exact"/>
        <w:textAlignment w:val="auto"/>
        <w:rPr>
          <w:rFonts w:hint="eastAsia"/>
          <w:b/>
          <w:color w:val="auto"/>
          <w:sz w:val="24"/>
          <w:szCs w:val="24"/>
          <w:highlight w:val="none"/>
        </w:rPr>
      </w:pPr>
      <w:r>
        <w:rPr>
          <w:rFonts w:hint="eastAsia"/>
          <w:b/>
          <w:color w:val="auto"/>
          <w:sz w:val="24"/>
          <w:szCs w:val="24"/>
          <w:highlight w:val="none"/>
        </w:rPr>
        <w:t>12.2发包人暂停施工的责任</w:t>
      </w:r>
    </w:p>
    <w:p w14:paraId="2205C265">
      <w:pPr>
        <w:pStyle w:val="28"/>
        <w:keepNext w:val="0"/>
        <w:pageBreakBefore w:val="0"/>
        <w:wordWrap/>
        <w:topLinePunct w:val="0"/>
        <w:autoSpaceDE/>
        <w:autoSpaceDN/>
        <w:bidi w:val="0"/>
        <w:adjustRightInd/>
        <w:spacing w:beforeLines="0" w:afterLines="0" w:line="440" w:lineRule="exact"/>
        <w:ind w:left="28" w:right="110" w:firstLine="482"/>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12"/>
          <w:sz w:val="24"/>
          <w:szCs w:val="24"/>
          <w:highlight w:val="none"/>
        </w:rPr>
        <w:t>发包人承担暂停施工责任的其它情形：</w:t>
      </w:r>
      <w:r>
        <w:rPr>
          <w:rStyle w:val="19"/>
          <w:rFonts w:hint="default" w:ascii="宋体" w:hAnsi="宋体" w:eastAsia="宋体" w:cs="宋体"/>
          <w:color w:val="auto"/>
          <w:spacing w:val="-12"/>
          <w:sz w:val="24"/>
          <w:szCs w:val="24"/>
          <w:highlight w:val="none"/>
          <w:u w:val="single"/>
        </w:rPr>
        <w:t>如因发包人原因导致的停工，工期应</w:t>
      </w:r>
      <w:r>
        <w:rPr>
          <w:rStyle w:val="19"/>
          <w:rFonts w:hint="default" w:ascii="宋体" w:hAnsi="宋体" w:eastAsia="宋体" w:cs="宋体"/>
          <w:color w:val="auto"/>
          <w:spacing w:val="-1"/>
          <w:sz w:val="24"/>
          <w:szCs w:val="24"/>
          <w:highlight w:val="none"/>
          <w:u w:val="single"/>
        </w:rPr>
        <w:t>顺延，造成经济损失的可以索赔</w:t>
      </w:r>
      <w:r>
        <w:rPr>
          <w:rStyle w:val="19"/>
          <w:rFonts w:hint="default" w:ascii="宋体" w:hAnsi="宋体" w:eastAsia="宋体" w:cs="宋体"/>
          <w:color w:val="auto"/>
          <w:spacing w:val="-1"/>
          <w:sz w:val="24"/>
          <w:szCs w:val="24"/>
          <w:highlight w:val="none"/>
        </w:rPr>
        <w:t>。</w:t>
      </w:r>
    </w:p>
    <w:p w14:paraId="17FC7A68">
      <w:pPr>
        <w:pStyle w:val="2"/>
        <w:keepNext w:val="0"/>
        <w:pageBreakBefore w:val="0"/>
        <w:wordWrap/>
        <w:topLinePunct w:val="0"/>
        <w:autoSpaceDE/>
        <w:autoSpaceDN/>
        <w:bidi w:val="0"/>
        <w:adjustRightInd/>
        <w:spacing w:line="440" w:lineRule="exact"/>
        <w:textAlignment w:val="auto"/>
        <w:rPr>
          <w:rStyle w:val="19"/>
          <w:rFonts w:hint="default" w:ascii="Calibri" w:hAnsi="Times New Roman" w:cs="Times New Roman"/>
          <w:color w:val="auto"/>
          <w:sz w:val="20"/>
          <w:szCs w:val="20"/>
          <w:highlight w:val="none"/>
        </w:rPr>
      </w:pPr>
      <w:r>
        <w:rPr>
          <w:rFonts w:hint="default" w:ascii="宋体" w:cs="Times New Roman"/>
          <w:color w:val="auto"/>
          <w:sz w:val="28"/>
          <w:szCs w:val="32"/>
          <w:highlight w:val="none"/>
        </w:rPr>
        <w:t>13.工程质量</w:t>
      </w:r>
    </w:p>
    <w:p w14:paraId="1EFC0461">
      <w:pPr>
        <w:keepNext w:val="0"/>
        <w:pageBreakBefore w:val="0"/>
        <w:wordWrap/>
        <w:topLinePunct w:val="0"/>
        <w:autoSpaceDE/>
        <w:autoSpaceDN/>
        <w:bidi w:val="0"/>
        <w:adjustRightInd/>
        <w:spacing w:line="440" w:lineRule="exact"/>
        <w:textAlignment w:val="auto"/>
        <w:rPr>
          <w:rFonts w:hint="eastAsia"/>
          <w:b/>
          <w:color w:val="auto"/>
          <w:sz w:val="24"/>
          <w:szCs w:val="24"/>
          <w:highlight w:val="none"/>
        </w:rPr>
      </w:pPr>
      <w:r>
        <w:rPr>
          <w:rFonts w:hint="eastAsia"/>
          <w:b/>
          <w:color w:val="auto"/>
          <w:sz w:val="24"/>
          <w:szCs w:val="24"/>
          <w:highlight w:val="none"/>
        </w:rPr>
        <w:t>13.7质量评定</w:t>
      </w:r>
    </w:p>
    <w:p w14:paraId="508959A0">
      <w:pPr>
        <w:pStyle w:val="28"/>
        <w:keepNext w:val="0"/>
        <w:pageBreakBefore w:val="0"/>
        <w:wordWrap/>
        <w:topLinePunct w:val="0"/>
        <w:autoSpaceDE/>
        <w:autoSpaceDN/>
        <w:bidi w:val="0"/>
        <w:adjustRightInd/>
        <w:spacing w:beforeLines="0" w:afterLines="0" w:line="440" w:lineRule="exact"/>
        <w:textAlignment w:val="auto"/>
        <w:rPr>
          <w:rStyle w:val="19"/>
          <w:rFonts w:hint="default" w:ascii="Calibri" w:eastAsia="宋体"/>
          <w:color w:val="auto"/>
          <w:sz w:val="24"/>
          <w:szCs w:val="24"/>
          <w:highlight w:val="none"/>
        </w:rPr>
      </w:pPr>
    </w:p>
    <w:p w14:paraId="7C4211A4">
      <w:pPr>
        <w:pStyle w:val="28"/>
        <w:keepNext w:val="0"/>
        <w:pageBreakBefore w:val="0"/>
        <w:wordWrap/>
        <w:topLinePunct w:val="0"/>
        <w:autoSpaceDE/>
        <w:autoSpaceDN/>
        <w:bidi w:val="0"/>
        <w:adjustRightInd/>
        <w:spacing w:beforeLines="0" w:afterLines="0" w:line="440" w:lineRule="exact"/>
        <w:ind w:left="30" w:right="110" w:firstLine="454"/>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7"/>
          <w:sz w:val="24"/>
          <w:szCs w:val="24"/>
          <w:highlight w:val="none"/>
        </w:rPr>
        <w:t>13.7.4重要隐蔽单元工程和关键部位单元工程质量评定的约定：</w:t>
      </w:r>
      <w:r>
        <w:rPr>
          <w:rStyle w:val="19"/>
          <w:rFonts w:hint="default" w:ascii="宋体" w:hAnsi="宋体" w:eastAsia="宋体" w:cs="宋体"/>
          <w:color w:val="auto"/>
          <w:spacing w:val="-7"/>
          <w:sz w:val="24"/>
          <w:szCs w:val="24"/>
          <w:highlight w:val="none"/>
          <w:u w:val="single"/>
        </w:rPr>
        <w:t>在签订施</w:t>
      </w:r>
      <w:r>
        <w:rPr>
          <w:rStyle w:val="19"/>
          <w:rFonts w:hint="default" w:ascii="宋体" w:hAnsi="宋体" w:eastAsia="宋体" w:cs="宋体"/>
          <w:color w:val="auto"/>
          <w:spacing w:val="-2"/>
          <w:sz w:val="24"/>
          <w:szCs w:val="24"/>
          <w:highlight w:val="none"/>
          <w:u w:val="single"/>
        </w:rPr>
        <w:t>工承包合同时商定</w:t>
      </w:r>
      <w:r>
        <w:rPr>
          <w:rStyle w:val="19"/>
          <w:rFonts w:hint="default" w:ascii="宋体" w:hAnsi="宋体" w:eastAsia="宋体" w:cs="宋体"/>
          <w:color w:val="auto"/>
          <w:spacing w:val="-2"/>
          <w:sz w:val="24"/>
          <w:szCs w:val="24"/>
          <w:highlight w:val="none"/>
        </w:rPr>
        <w:t>。</w:t>
      </w:r>
    </w:p>
    <w:p w14:paraId="4D6B42CB">
      <w:pPr>
        <w:pStyle w:val="28"/>
        <w:keepNext w:val="0"/>
        <w:pageBreakBefore w:val="0"/>
        <w:tabs>
          <w:tab w:val="left" w:pos="153"/>
        </w:tabs>
        <w:wordWrap/>
        <w:topLinePunct w:val="0"/>
        <w:autoSpaceDE/>
        <w:autoSpaceDN/>
        <w:bidi w:val="0"/>
        <w:adjustRightInd/>
        <w:spacing w:beforeLines="0" w:afterLines="0" w:line="440" w:lineRule="exact"/>
        <w:ind w:left="17" w:firstLine="466"/>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9"/>
          <w:sz w:val="24"/>
          <w:szCs w:val="24"/>
          <w:highlight w:val="none"/>
        </w:rPr>
        <w:t>13.7.7工程合格标准为：</w:t>
      </w:r>
      <w:r>
        <w:rPr>
          <w:rStyle w:val="19"/>
          <w:rFonts w:hint="default" w:ascii="宋体" w:hAnsi="宋体" w:eastAsia="宋体" w:cs="宋体"/>
          <w:color w:val="auto"/>
          <w:spacing w:val="-9"/>
          <w:sz w:val="24"/>
          <w:szCs w:val="24"/>
          <w:highlight w:val="none"/>
          <w:u w:val="single"/>
        </w:rPr>
        <w:t>执行《水利水电工程施工质量检验与评定规程》（SL176—2007</w:t>
      </w:r>
      <w:r>
        <w:rPr>
          <w:rStyle w:val="19"/>
          <w:rFonts w:hint="default" w:ascii="宋体" w:hAnsi="宋体" w:eastAsia="宋体" w:cs="宋体"/>
          <w:color w:val="auto"/>
          <w:spacing w:val="-71"/>
          <w:sz w:val="24"/>
          <w:szCs w:val="24"/>
          <w:highlight w:val="none"/>
          <w:u w:val="single"/>
        </w:rPr>
        <w:t>）</w:t>
      </w:r>
      <w:r>
        <w:rPr>
          <w:rStyle w:val="19"/>
          <w:rFonts w:hint="default" w:ascii="宋体" w:hAnsi="宋体" w:eastAsia="宋体" w:cs="宋体"/>
          <w:color w:val="auto"/>
          <w:spacing w:val="-71"/>
          <w:sz w:val="24"/>
          <w:szCs w:val="24"/>
          <w:highlight w:val="none"/>
        </w:rPr>
        <w:t>；</w:t>
      </w:r>
      <w:r>
        <w:rPr>
          <w:rStyle w:val="19"/>
          <w:rFonts w:hint="default" w:ascii="宋体" w:hAnsi="宋体" w:eastAsia="宋体" w:cs="宋体"/>
          <w:color w:val="auto"/>
          <w:spacing w:val="-9"/>
          <w:sz w:val="24"/>
          <w:szCs w:val="24"/>
          <w:highlight w:val="none"/>
        </w:rPr>
        <w:t>优良标准为：</w:t>
      </w:r>
      <w:r>
        <w:rPr>
          <w:rStyle w:val="19"/>
          <w:rFonts w:hint="default" w:ascii="宋体" w:hAnsi="宋体" w:eastAsia="宋体" w:cs="宋体"/>
          <w:color w:val="auto"/>
          <w:spacing w:val="-9"/>
          <w:sz w:val="24"/>
          <w:szCs w:val="24"/>
          <w:highlight w:val="none"/>
          <w:u w:val="single"/>
        </w:rPr>
        <w:t>执行《水利水电工程施工质量检验与评定规程》</w:t>
      </w:r>
      <w:r>
        <w:rPr>
          <w:rStyle w:val="19"/>
          <w:rFonts w:hint="default" w:ascii="Calibri" w:hAnsi="Calibri" w:eastAsia="Calibri" w:cs="Calibri"/>
          <w:color w:val="auto"/>
          <w:sz w:val="24"/>
          <w:szCs w:val="24"/>
          <w:highlight w:val="none"/>
          <w:u w:val="single"/>
        </w:rPr>
        <w:tab/>
      </w:r>
      <w:r>
        <w:rPr>
          <w:rStyle w:val="19"/>
          <w:rFonts w:hint="default" w:ascii="宋体" w:hAnsi="宋体" w:eastAsia="宋体" w:cs="宋体"/>
          <w:color w:val="auto"/>
          <w:spacing w:val="-9"/>
          <w:sz w:val="24"/>
          <w:szCs w:val="24"/>
          <w:highlight w:val="none"/>
          <w:u w:val="single"/>
        </w:rPr>
        <w:t>（SL176—2007）</w:t>
      </w:r>
      <w:r>
        <w:rPr>
          <w:rStyle w:val="19"/>
          <w:rFonts w:hint="default" w:ascii="宋体" w:hAnsi="宋体" w:eastAsia="宋体" w:cs="宋体"/>
          <w:color w:val="auto"/>
          <w:spacing w:val="-9"/>
          <w:sz w:val="24"/>
          <w:szCs w:val="24"/>
          <w:highlight w:val="none"/>
        </w:rPr>
        <w:t>。达到优良的奖金为：</w:t>
      </w:r>
      <w:r>
        <w:rPr>
          <w:rStyle w:val="19"/>
          <w:rFonts w:hint="default" w:ascii="宋体" w:hAnsi="宋体" w:eastAsia="宋体" w:cs="宋体"/>
          <w:color w:val="auto"/>
          <w:spacing w:val="-9"/>
          <w:sz w:val="24"/>
          <w:szCs w:val="24"/>
          <w:highlight w:val="none"/>
          <w:u w:val="single"/>
        </w:rPr>
        <w:t xml:space="preserve"> 无 </w:t>
      </w:r>
      <w:r>
        <w:rPr>
          <w:rStyle w:val="19"/>
          <w:rFonts w:hint="default" w:ascii="宋体" w:hAnsi="宋体" w:eastAsia="宋体" w:cs="宋体"/>
          <w:color w:val="auto"/>
          <w:spacing w:val="-11"/>
          <w:w w:val="95"/>
          <w:sz w:val="24"/>
          <w:szCs w:val="24"/>
          <w:highlight w:val="none"/>
        </w:rPr>
        <w:t>。</w:t>
      </w:r>
    </w:p>
    <w:p w14:paraId="42E994AA">
      <w:pPr>
        <w:keepNext w:val="0"/>
        <w:pageBreakBefore w:val="0"/>
        <w:wordWrap/>
        <w:topLinePunct w:val="0"/>
        <w:autoSpaceDE/>
        <w:autoSpaceDN/>
        <w:bidi w:val="0"/>
        <w:adjustRightInd/>
        <w:spacing w:line="440" w:lineRule="exact"/>
        <w:textAlignment w:val="auto"/>
        <w:rPr>
          <w:rFonts w:hint="eastAsia"/>
          <w:b/>
          <w:color w:val="auto"/>
          <w:sz w:val="24"/>
          <w:szCs w:val="24"/>
          <w:highlight w:val="none"/>
        </w:rPr>
      </w:pPr>
      <w:r>
        <w:rPr>
          <w:rFonts w:hint="eastAsia"/>
          <w:b/>
          <w:color w:val="auto"/>
          <w:sz w:val="24"/>
          <w:szCs w:val="24"/>
          <w:highlight w:val="none"/>
        </w:rPr>
        <w:t>13.8质量事故处理</w:t>
      </w:r>
    </w:p>
    <w:p w14:paraId="32CD5473">
      <w:pPr>
        <w:pStyle w:val="28"/>
        <w:keepNext w:val="0"/>
        <w:pageBreakBefore w:val="0"/>
        <w:wordWrap/>
        <w:topLinePunct w:val="0"/>
        <w:autoSpaceDE/>
        <w:autoSpaceDN/>
        <w:bidi w:val="0"/>
        <w:adjustRightInd/>
        <w:spacing w:beforeLines="0" w:afterLines="0" w:line="440" w:lineRule="exact"/>
        <w:textAlignment w:val="auto"/>
        <w:rPr>
          <w:rStyle w:val="19"/>
          <w:rFonts w:hint="default" w:ascii="Calibri" w:eastAsia="宋体"/>
          <w:color w:val="auto"/>
          <w:sz w:val="24"/>
          <w:szCs w:val="24"/>
          <w:highlight w:val="none"/>
        </w:rPr>
      </w:pPr>
    </w:p>
    <w:p w14:paraId="77A6520A">
      <w:pPr>
        <w:pStyle w:val="28"/>
        <w:keepNext w:val="0"/>
        <w:pageBreakBefore w:val="0"/>
        <w:wordWrap/>
        <w:topLinePunct w:val="0"/>
        <w:autoSpaceDE/>
        <w:autoSpaceDN/>
        <w:bidi w:val="0"/>
        <w:adjustRightInd/>
        <w:spacing w:beforeLines="0" w:afterLines="0" w:line="440" w:lineRule="exact"/>
        <w:ind w:left="42" w:right="111" w:firstLine="441"/>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5"/>
          <w:sz w:val="24"/>
          <w:szCs w:val="24"/>
          <w:highlight w:val="none"/>
        </w:rPr>
        <w:t>13.8.4工程竣工验收时，</w:t>
      </w:r>
      <w:r>
        <w:rPr>
          <w:rStyle w:val="19"/>
          <w:rFonts w:hint="default" w:ascii="宋体" w:hAnsi="宋体" w:eastAsia="宋体" w:cs="宋体"/>
          <w:color w:val="auto"/>
          <w:spacing w:val="-5"/>
          <w:sz w:val="24"/>
          <w:szCs w:val="24"/>
          <w:highlight w:val="none"/>
          <w:u w:val="single"/>
        </w:rPr>
        <w:t xml:space="preserve"> 发包人 </w:t>
      </w:r>
      <w:r>
        <w:rPr>
          <w:rStyle w:val="19"/>
          <w:rFonts w:hint="default" w:ascii="宋体" w:hAnsi="宋体" w:eastAsia="宋体" w:cs="宋体"/>
          <w:color w:val="auto"/>
          <w:spacing w:val="-5"/>
          <w:sz w:val="24"/>
          <w:szCs w:val="24"/>
          <w:highlight w:val="none"/>
        </w:rPr>
        <w:t>向竣工验收委员会汇报并提交历次质量缺</w:t>
      </w:r>
      <w:r>
        <w:rPr>
          <w:rStyle w:val="19"/>
          <w:rFonts w:hint="default" w:ascii="宋体" w:hAnsi="宋体" w:eastAsia="宋体" w:cs="宋体"/>
          <w:color w:val="auto"/>
          <w:spacing w:val="-6"/>
          <w:sz w:val="24"/>
          <w:szCs w:val="24"/>
          <w:highlight w:val="none"/>
        </w:rPr>
        <w:t>陷处理的备案资料。</w:t>
      </w:r>
    </w:p>
    <w:p w14:paraId="1707BBE2">
      <w:pPr>
        <w:pStyle w:val="2"/>
        <w:keepNext w:val="0"/>
        <w:pageBreakBefore w:val="0"/>
        <w:wordWrap/>
        <w:topLinePunct w:val="0"/>
        <w:autoSpaceDE/>
        <w:autoSpaceDN/>
        <w:bidi w:val="0"/>
        <w:adjustRightInd/>
        <w:spacing w:line="440" w:lineRule="exact"/>
        <w:textAlignment w:val="auto"/>
        <w:rPr>
          <w:rStyle w:val="19"/>
          <w:rFonts w:hint="default" w:ascii="Calibri" w:hAnsi="Times New Roman" w:cs="Times New Roman"/>
          <w:color w:val="auto"/>
          <w:sz w:val="24"/>
          <w:szCs w:val="24"/>
          <w:highlight w:val="none"/>
        </w:rPr>
      </w:pPr>
      <w:r>
        <w:rPr>
          <w:rFonts w:hint="default" w:ascii="宋体" w:cs="Times New Roman"/>
          <w:color w:val="auto"/>
          <w:sz w:val="28"/>
          <w:szCs w:val="32"/>
          <w:highlight w:val="none"/>
        </w:rPr>
        <w:t>14.试验和检验</w:t>
      </w:r>
    </w:p>
    <w:p w14:paraId="5264CF94">
      <w:pPr>
        <w:keepNext w:val="0"/>
        <w:pageBreakBefore w:val="0"/>
        <w:wordWrap/>
        <w:topLinePunct w:val="0"/>
        <w:autoSpaceDE/>
        <w:autoSpaceDN/>
        <w:bidi w:val="0"/>
        <w:adjustRightInd/>
        <w:spacing w:line="440" w:lineRule="exact"/>
        <w:textAlignment w:val="auto"/>
        <w:rPr>
          <w:rFonts w:hint="eastAsia"/>
          <w:b/>
          <w:color w:val="auto"/>
          <w:sz w:val="24"/>
          <w:szCs w:val="24"/>
          <w:highlight w:val="none"/>
        </w:rPr>
      </w:pPr>
      <w:r>
        <w:rPr>
          <w:rFonts w:hint="eastAsia"/>
          <w:b/>
          <w:color w:val="auto"/>
          <w:sz w:val="24"/>
          <w:szCs w:val="24"/>
          <w:highlight w:val="none"/>
        </w:rPr>
        <w:t>14.1材料、工程设备和工程的试验和检验</w:t>
      </w:r>
    </w:p>
    <w:p w14:paraId="757F51A8">
      <w:pPr>
        <w:pStyle w:val="28"/>
        <w:keepNext w:val="0"/>
        <w:pageBreakBefore w:val="0"/>
        <w:wordWrap/>
        <w:topLinePunct w:val="0"/>
        <w:autoSpaceDE/>
        <w:autoSpaceDN/>
        <w:bidi w:val="0"/>
        <w:adjustRightInd/>
        <w:spacing w:beforeLines="0" w:afterLines="0" w:line="440" w:lineRule="exact"/>
        <w:textAlignment w:val="auto"/>
        <w:rPr>
          <w:rStyle w:val="19"/>
          <w:rFonts w:hint="default" w:ascii="Calibri" w:eastAsia="宋体"/>
          <w:color w:val="auto"/>
          <w:sz w:val="24"/>
          <w:szCs w:val="24"/>
          <w:highlight w:val="none"/>
        </w:rPr>
      </w:pPr>
    </w:p>
    <w:p w14:paraId="2F211C82">
      <w:pPr>
        <w:pStyle w:val="28"/>
        <w:keepNext w:val="0"/>
        <w:pageBreakBefore w:val="0"/>
        <w:wordWrap/>
        <w:topLinePunct w:val="0"/>
        <w:autoSpaceDE/>
        <w:autoSpaceDN/>
        <w:bidi w:val="0"/>
        <w:adjustRightInd/>
        <w:spacing w:beforeLines="0" w:afterLines="0" w:line="440" w:lineRule="exact"/>
        <w:ind w:left="27" w:right="114" w:firstLine="456"/>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5"/>
          <w:sz w:val="24"/>
          <w:szCs w:val="24"/>
          <w:highlight w:val="none"/>
        </w:rPr>
        <w:t>14.1.5水工金属结构、启闭机及机电产品进场后的交货检查和验收中，承</w:t>
      </w:r>
      <w:r>
        <w:rPr>
          <w:rStyle w:val="19"/>
          <w:rFonts w:hint="default" w:ascii="宋体" w:hAnsi="宋体" w:eastAsia="宋体" w:cs="宋体"/>
          <w:color w:val="auto"/>
          <w:spacing w:val="-15"/>
          <w:sz w:val="24"/>
          <w:szCs w:val="24"/>
          <w:highlight w:val="none"/>
        </w:rPr>
        <w:t>包人负责：</w:t>
      </w:r>
      <w:r>
        <w:rPr>
          <w:rStyle w:val="19"/>
          <w:rFonts w:hint="default" w:ascii="宋体" w:hAnsi="宋体" w:eastAsia="宋体" w:cs="宋体"/>
          <w:color w:val="auto"/>
          <w:spacing w:val="-15"/>
          <w:sz w:val="24"/>
          <w:szCs w:val="24"/>
          <w:highlight w:val="none"/>
          <w:u w:val="single"/>
        </w:rPr>
        <w:t>按通用条款执行</w:t>
      </w:r>
      <w:r>
        <w:rPr>
          <w:rStyle w:val="19"/>
          <w:rFonts w:hint="default" w:ascii="宋体" w:hAnsi="宋体" w:eastAsia="宋体" w:cs="宋体"/>
          <w:color w:val="auto"/>
          <w:spacing w:val="-15"/>
          <w:sz w:val="24"/>
          <w:szCs w:val="24"/>
          <w:highlight w:val="none"/>
        </w:rPr>
        <w:t>。</w:t>
      </w:r>
    </w:p>
    <w:p w14:paraId="69551FA9">
      <w:pPr>
        <w:pStyle w:val="28"/>
        <w:keepNext w:val="0"/>
        <w:pageBreakBefore w:val="0"/>
        <w:wordWrap/>
        <w:topLinePunct w:val="0"/>
        <w:autoSpaceDE/>
        <w:autoSpaceDN/>
        <w:bidi w:val="0"/>
        <w:adjustRightInd/>
        <w:spacing w:beforeLines="0" w:afterLines="0" w:line="440" w:lineRule="exact"/>
        <w:ind w:firstLine="484"/>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7"/>
          <w:sz w:val="24"/>
          <w:szCs w:val="24"/>
          <w:highlight w:val="none"/>
        </w:rPr>
        <w:t>14.1.6本工程实行见证取样的试块、试件及有关材料：</w:t>
      </w:r>
      <w:r>
        <w:rPr>
          <w:rStyle w:val="19"/>
          <w:rFonts w:hint="default" w:ascii="宋体" w:hAnsi="宋体" w:eastAsia="宋体" w:cs="宋体"/>
          <w:color w:val="auto"/>
          <w:spacing w:val="-7"/>
          <w:sz w:val="24"/>
          <w:szCs w:val="24"/>
          <w:highlight w:val="none"/>
          <w:u w:val="single"/>
        </w:rPr>
        <w:t>按通用条款执行</w:t>
      </w:r>
      <w:r>
        <w:rPr>
          <w:rStyle w:val="19"/>
          <w:rFonts w:hint="default" w:ascii="宋体" w:hAnsi="宋体" w:eastAsia="宋体" w:cs="宋体"/>
          <w:color w:val="auto"/>
          <w:spacing w:val="-7"/>
          <w:sz w:val="24"/>
          <w:szCs w:val="24"/>
          <w:highlight w:val="none"/>
        </w:rPr>
        <w:t>。</w:t>
      </w:r>
    </w:p>
    <w:p w14:paraId="19C81A03">
      <w:pPr>
        <w:pStyle w:val="2"/>
        <w:keepNext w:val="0"/>
        <w:pageBreakBefore w:val="0"/>
        <w:wordWrap/>
        <w:topLinePunct w:val="0"/>
        <w:autoSpaceDE/>
        <w:autoSpaceDN/>
        <w:bidi w:val="0"/>
        <w:adjustRightInd/>
        <w:spacing w:line="440" w:lineRule="exact"/>
        <w:textAlignment w:val="auto"/>
        <w:rPr>
          <w:rFonts w:hint="default" w:ascii="宋体" w:cs="Times New Roman"/>
          <w:color w:val="auto"/>
          <w:sz w:val="28"/>
          <w:szCs w:val="32"/>
          <w:highlight w:val="none"/>
        </w:rPr>
      </w:pPr>
      <w:r>
        <w:rPr>
          <w:rFonts w:hint="default" w:ascii="宋体" w:cs="Times New Roman"/>
          <w:color w:val="auto"/>
          <w:sz w:val="28"/>
          <w:szCs w:val="32"/>
          <w:highlight w:val="none"/>
        </w:rPr>
        <w:t>15.变更</w:t>
      </w:r>
    </w:p>
    <w:p w14:paraId="2C09C05F">
      <w:pPr>
        <w:keepNext w:val="0"/>
        <w:pageBreakBefore w:val="0"/>
        <w:wordWrap/>
        <w:topLinePunct w:val="0"/>
        <w:autoSpaceDE/>
        <w:autoSpaceDN/>
        <w:bidi w:val="0"/>
        <w:adjustRightInd/>
        <w:spacing w:line="440" w:lineRule="exact"/>
        <w:textAlignment w:val="auto"/>
        <w:rPr>
          <w:rFonts w:hint="eastAsia"/>
          <w:b/>
          <w:color w:val="auto"/>
          <w:sz w:val="24"/>
          <w:szCs w:val="24"/>
          <w:highlight w:val="none"/>
        </w:rPr>
      </w:pPr>
      <w:r>
        <w:rPr>
          <w:rFonts w:hint="eastAsia"/>
          <w:b/>
          <w:color w:val="auto"/>
          <w:sz w:val="24"/>
          <w:szCs w:val="24"/>
          <w:highlight w:val="none"/>
        </w:rPr>
        <w:t>15.1变更的范围和内容</w:t>
      </w:r>
    </w:p>
    <w:p w14:paraId="35058753">
      <w:pPr>
        <w:pStyle w:val="28"/>
        <w:keepNext w:val="0"/>
        <w:pageBreakBefore w:val="0"/>
        <w:numPr>
          <w:ilvl w:val="0"/>
          <w:numId w:val="39"/>
        </w:numPr>
        <w:wordWrap/>
        <w:topLinePunct w:val="0"/>
        <w:autoSpaceDE/>
        <w:autoSpaceDN/>
        <w:bidi w:val="0"/>
        <w:adjustRightInd/>
        <w:spacing w:beforeLines="0" w:afterLines="0" w:line="440" w:lineRule="exact"/>
        <w:ind w:left="470" w:right="62" w:firstLine="2"/>
        <w:textAlignment w:val="auto"/>
        <w:rPr>
          <w:rStyle w:val="19"/>
          <w:rFonts w:hint="default" w:ascii="宋体" w:hAnsi="宋体" w:eastAsia="宋体" w:cs="宋体"/>
          <w:color w:val="auto"/>
          <w:spacing w:val="-2"/>
          <w:sz w:val="24"/>
          <w:szCs w:val="24"/>
          <w:highlight w:val="none"/>
        </w:rPr>
      </w:pPr>
      <w:r>
        <w:rPr>
          <w:rStyle w:val="19"/>
          <w:rFonts w:hint="default" w:ascii="宋体" w:hAnsi="宋体" w:eastAsia="宋体" w:cs="宋体"/>
          <w:color w:val="auto"/>
          <w:spacing w:val="-2"/>
          <w:sz w:val="24"/>
          <w:szCs w:val="24"/>
          <w:highlight w:val="none"/>
        </w:rPr>
        <w:t xml:space="preserve">增加或减少合同中关键项目的工程量超过其项目工程总量的 </w:t>
      </w:r>
      <w:r>
        <w:rPr>
          <w:rStyle w:val="19"/>
          <w:rFonts w:hint="default" w:ascii="宋体" w:hAnsi="宋体" w:eastAsia="宋体" w:cs="宋体"/>
          <w:color w:val="auto"/>
          <w:spacing w:val="-2"/>
          <w:sz w:val="24"/>
          <w:szCs w:val="24"/>
          <w:highlight w:val="none"/>
          <w:u w:val="single"/>
        </w:rPr>
        <w:t xml:space="preserve"> /  </w:t>
      </w:r>
      <w:r>
        <w:rPr>
          <w:rStyle w:val="19"/>
          <w:rFonts w:hint="default" w:ascii="宋体" w:hAnsi="宋体" w:eastAsia="宋体" w:cs="宋体"/>
          <w:color w:val="auto"/>
          <w:spacing w:val="-2"/>
          <w:sz w:val="24"/>
          <w:szCs w:val="24"/>
          <w:highlight w:val="none"/>
        </w:rPr>
        <w:t>%,关键项目：</w:t>
      </w:r>
      <w:r>
        <w:rPr>
          <w:rStyle w:val="19"/>
          <w:rFonts w:hint="default" w:ascii="宋体" w:hAnsi="宋体" w:eastAsia="宋体" w:cs="宋体"/>
          <w:color w:val="auto"/>
          <w:spacing w:val="-2"/>
          <w:sz w:val="24"/>
          <w:szCs w:val="24"/>
          <w:highlight w:val="none"/>
          <w:u w:val="single"/>
        </w:rPr>
        <w:t xml:space="preserve">  /  </w:t>
      </w:r>
      <w:r>
        <w:rPr>
          <w:rStyle w:val="19"/>
          <w:rFonts w:hint="default" w:ascii="宋体" w:hAnsi="宋体" w:eastAsia="宋体" w:cs="宋体"/>
          <w:color w:val="auto"/>
          <w:spacing w:val="-2"/>
          <w:sz w:val="24"/>
          <w:szCs w:val="24"/>
          <w:highlight w:val="none"/>
        </w:rPr>
        <w:t>,单价调整方式：</w:t>
      </w:r>
      <w:r>
        <w:rPr>
          <w:rStyle w:val="19"/>
          <w:rFonts w:hint="default" w:ascii="宋体" w:hAnsi="宋体" w:eastAsia="宋体" w:cs="宋体"/>
          <w:color w:val="auto"/>
          <w:spacing w:val="-2"/>
          <w:sz w:val="24"/>
          <w:szCs w:val="24"/>
          <w:highlight w:val="none"/>
          <w:u w:val="single"/>
        </w:rPr>
        <w:t xml:space="preserve">  无  </w:t>
      </w:r>
      <w:r>
        <w:rPr>
          <w:rStyle w:val="19"/>
          <w:rFonts w:hint="default" w:ascii="宋体" w:hAnsi="宋体" w:eastAsia="宋体" w:cs="宋体"/>
          <w:color w:val="auto"/>
          <w:spacing w:val="-2"/>
          <w:sz w:val="24"/>
          <w:szCs w:val="24"/>
          <w:highlight w:val="none"/>
        </w:rPr>
        <w:t>。</w:t>
      </w:r>
    </w:p>
    <w:p w14:paraId="437372C0">
      <w:pPr>
        <w:pStyle w:val="29"/>
        <w:keepNext w:val="0"/>
        <w:pageBreakBefore w:val="0"/>
        <w:wordWrap/>
        <w:topLinePunct w:val="0"/>
        <w:autoSpaceDE/>
        <w:autoSpaceDN/>
        <w:bidi w:val="0"/>
        <w:adjustRightInd/>
        <w:spacing w:beforeLines="0" w:afterLines="0" w:line="440" w:lineRule="exact"/>
        <w:textAlignment w:val="auto"/>
        <w:rPr>
          <w:rStyle w:val="19"/>
          <w:rFonts w:hint="default" w:ascii="宋体" w:hAnsi="宋体" w:eastAsia="宋体" w:cs="宋体"/>
          <w:color w:val="auto"/>
          <w:spacing w:val="-2"/>
          <w:sz w:val="24"/>
          <w:szCs w:val="24"/>
          <w:highlight w:val="none"/>
        </w:rPr>
      </w:pPr>
    </w:p>
    <w:p w14:paraId="11C17903">
      <w:pPr>
        <w:keepNext w:val="0"/>
        <w:pageBreakBefore w:val="0"/>
        <w:wordWrap/>
        <w:topLinePunct w:val="0"/>
        <w:autoSpaceDE/>
        <w:autoSpaceDN/>
        <w:bidi w:val="0"/>
        <w:adjustRightInd/>
        <w:spacing w:line="440" w:lineRule="exact"/>
        <w:textAlignment w:val="auto"/>
        <w:rPr>
          <w:rFonts w:hint="eastAsia"/>
          <w:b/>
          <w:color w:val="auto"/>
          <w:sz w:val="24"/>
          <w:szCs w:val="24"/>
          <w:highlight w:val="none"/>
        </w:rPr>
      </w:pPr>
      <w:r>
        <w:rPr>
          <w:rFonts w:hint="eastAsia"/>
          <w:b/>
          <w:color w:val="auto"/>
          <w:sz w:val="24"/>
          <w:szCs w:val="24"/>
          <w:highlight w:val="none"/>
        </w:rPr>
        <w:t>15.4变更的估价原则</w:t>
      </w:r>
    </w:p>
    <w:p w14:paraId="099F7993">
      <w:pPr>
        <w:pStyle w:val="28"/>
        <w:keepNext w:val="0"/>
        <w:pageBreakBefore w:val="0"/>
        <w:wordWrap/>
        <w:topLinePunct w:val="0"/>
        <w:autoSpaceDE/>
        <w:autoSpaceDN/>
        <w:bidi w:val="0"/>
        <w:adjustRightInd/>
        <w:spacing w:beforeLines="0" w:afterLines="0" w:line="440" w:lineRule="exact"/>
        <w:textAlignment w:val="auto"/>
        <w:rPr>
          <w:rStyle w:val="19"/>
          <w:rFonts w:hint="default" w:ascii="Calibri" w:eastAsia="宋体"/>
          <w:color w:val="auto"/>
          <w:sz w:val="24"/>
          <w:szCs w:val="24"/>
          <w:highlight w:val="none"/>
        </w:rPr>
      </w:pPr>
    </w:p>
    <w:p w14:paraId="43D993DF">
      <w:pPr>
        <w:pStyle w:val="28"/>
        <w:keepNext w:val="0"/>
        <w:pageBreakBefore w:val="0"/>
        <w:wordWrap/>
        <w:topLinePunct w:val="0"/>
        <w:autoSpaceDE/>
        <w:autoSpaceDN/>
        <w:bidi w:val="0"/>
        <w:adjustRightInd/>
        <w:spacing w:beforeLines="0" w:afterLines="0" w:line="440" w:lineRule="exact"/>
        <w:ind w:firstLine="484"/>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9"/>
          <w:sz w:val="24"/>
          <w:szCs w:val="24"/>
          <w:highlight w:val="none"/>
        </w:rPr>
        <w:t>15.4.3已标价工程量清单中无适用或类似子目的单价，按照以下原则确定：</w:t>
      </w:r>
    </w:p>
    <w:p w14:paraId="15BCBD2E">
      <w:pPr>
        <w:pStyle w:val="28"/>
        <w:keepNext w:val="0"/>
        <w:pageBreakBefore w:val="0"/>
        <w:wordWrap/>
        <w:topLinePunct w:val="0"/>
        <w:autoSpaceDE/>
        <w:autoSpaceDN/>
        <w:bidi w:val="0"/>
        <w:adjustRightInd/>
        <w:spacing w:beforeLines="0" w:afterLines="0" w:line="440" w:lineRule="exact"/>
        <w:ind w:firstLine="484"/>
        <w:textAlignment w:val="auto"/>
        <w:rPr>
          <w:rStyle w:val="19"/>
          <w:rFonts w:hint="default" w:ascii="宋体" w:hAnsi="宋体" w:eastAsia="宋体" w:cs="宋体"/>
          <w:color w:val="auto"/>
          <w:sz w:val="24"/>
          <w:szCs w:val="24"/>
          <w:highlight w:val="none"/>
        </w:rPr>
      </w:pPr>
      <w:r>
        <w:rPr>
          <w:rFonts w:hint="default" w:ascii="宋体" w:hAnsi="宋体" w:eastAsia="宋体" w:cs="宋体"/>
          <w:color w:val="auto"/>
          <w:kern w:val="2"/>
          <w:sz w:val="24"/>
          <w:szCs w:val="24"/>
          <w:highlight w:val="none"/>
          <w:u w:val="single"/>
          <w:lang w:eastAsia="zh-CN" w:bidi="ar-SA"/>
        </w:rPr>
        <w:t>①因深化设计、设计变更、工程量清单缺项（或漏项）引起工程项目和工程量变化的，按以下办法计算费用：工程量清单中有相同细目的，按投标人相同细目的中标单价进行结算。工程量清单中有类似细目的，按投标人类似细目的中标单价进行结算。新增项目或工程量清单说明为暂定价的内容，结算综合单价按本招标文件约定定额并乘以中标下浮系数（中标价/本工程招标控制价）进行计算。其中材料价格有信息价的按施工当期的信息价，无信息价或无定额可套的，由承、发包双方市场询价后报经监理工程师确认，最后由审核机构审定为准；②本工程最终结算价以审核机构审定为准</w:t>
      </w:r>
      <w:r>
        <w:rPr>
          <w:rFonts w:hint="default" w:ascii="宋体" w:hAnsi="宋体" w:eastAsia="宋体" w:cs="宋体"/>
          <w:color w:val="auto"/>
          <w:kern w:val="2"/>
          <w:sz w:val="24"/>
          <w:szCs w:val="24"/>
          <w:highlight w:val="none"/>
          <w:lang w:eastAsia="zh-CN" w:bidi="ar-SA"/>
        </w:rPr>
        <w:t>。</w:t>
      </w:r>
    </w:p>
    <w:p w14:paraId="5805317C">
      <w:pPr>
        <w:keepNext w:val="0"/>
        <w:pageBreakBefore w:val="0"/>
        <w:wordWrap/>
        <w:topLinePunct w:val="0"/>
        <w:autoSpaceDE/>
        <w:autoSpaceDN/>
        <w:bidi w:val="0"/>
        <w:adjustRightInd/>
        <w:spacing w:line="440" w:lineRule="exact"/>
        <w:textAlignment w:val="auto"/>
        <w:rPr>
          <w:rFonts w:hint="eastAsia"/>
          <w:b/>
          <w:color w:val="auto"/>
          <w:sz w:val="24"/>
          <w:szCs w:val="24"/>
          <w:highlight w:val="none"/>
        </w:rPr>
      </w:pPr>
    </w:p>
    <w:p w14:paraId="2693CB59">
      <w:pPr>
        <w:keepNext w:val="0"/>
        <w:pageBreakBefore w:val="0"/>
        <w:wordWrap/>
        <w:topLinePunct w:val="0"/>
        <w:autoSpaceDE/>
        <w:autoSpaceDN/>
        <w:bidi w:val="0"/>
        <w:adjustRightInd/>
        <w:spacing w:line="440" w:lineRule="exact"/>
        <w:textAlignment w:val="auto"/>
        <w:rPr>
          <w:rStyle w:val="19"/>
          <w:rFonts w:hint="default" w:ascii="Calibri" w:eastAsia="宋体"/>
          <w:color w:val="auto"/>
          <w:sz w:val="24"/>
          <w:szCs w:val="24"/>
          <w:highlight w:val="none"/>
        </w:rPr>
      </w:pPr>
      <w:r>
        <w:rPr>
          <w:rFonts w:hint="eastAsia"/>
          <w:b/>
          <w:color w:val="auto"/>
          <w:sz w:val="24"/>
          <w:szCs w:val="24"/>
          <w:highlight w:val="none"/>
        </w:rPr>
        <w:t>15.5承包人的合理化建议</w:t>
      </w:r>
    </w:p>
    <w:p w14:paraId="31B6F50B">
      <w:pPr>
        <w:pStyle w:val="28"/>
        <w:keepNext w:val="0"/>
        <w:pageBreakBefore w:val="0"/>
        <w:wordWrap/>
        <w:topLinePunct w:val="0"/>
        <w:autoSpaceDE/>
        <w:autoSpaceDN/>
        <w:bidi w:val="0"/>
        <w:adjustRightInd/>
        <w:spacing w:beforeLines="0" w:afterLines="0" w:line="440" w:lineRule="exact"/>
        <w:ind w:firstLine="465"/>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10"/>
          <w:sz w:val="24"/>
          <w:szCs w:val="24"/>
          <w:highlight w:val="none"/>
        </w:rPr>
        <w:t>15.5.2承包人实现合理化建议的奖励金额为：</w:t>
      </w:r>
      <w:r>
        <w:rPr>
          <w:rStyle w:val="19"/>
          <w:rFonts w:hint="default" w:ascii="宋体" w:hAnsi="宋体" w:eastAsia="宋体" w:cs="宋体"/>
          <w:color w:val="auto"/>
          <w:spacing w:val="-10"/>
          <w:sz w:val="24"/>
          <w:szCs w:val="24"/>
          <w:highlight w:val="none"/>
          <w:u w:val="single"/>
        </w:rPr>
        <w:t>无</w:t>
      </w:r>
      <w:r>
        <w:rPr>
          <w:rStyle w:val="19"/>
          <w:rFonts w:hint="default" w:ascii="宋体" w:hAnsi="宋体" w:eastAsia="宋体" w:cs="宋体"/>
          <w:color w:val="auto"/>
          <w:spacing w:val="-10"/>
          <w:sz w:val="24"/>
          <w:szCs w:val="24"/>
          <w:highlight w:val="none"/>
        </w:rPr>
        <w:t>。</w:t>
      </w:r>
    </w:p>
    <w:p w14:paraId="69F436D0">
      <w:pPr>
        <w:pStyle w:val="2"/>
        <w:keepNext w:val="0"/>
        <w:pageBreakBefore w:val="0"/>
        <w:wordWrap/>
        <w:topLinePunct w:val="0"/>
        <w:autoSpaceDE/>
        <w:autoSpaceDN/>
        <w:bidi w:val="0"/>
        <w:adjustRightInd/>
        <w:spacing w:line="440" w:lineRule="exact"/>
        <w:textAlignment w:val="auto"/>
        <w:rPr>
          <w:rFonts w:hint="default" w:ascii="宋体" w:cs="Times New Roman"/>
          <w:color w:val="auto"/>
          <w:sz w:val="28"/>
          <w:szCs w:val="32"/>
          <w:highlight w:val="none"/>
        </w:rPr>
      </w:pPr>
      <w:r>
        <w:rPr>
          <w:rFonts w:hint="default" w:ascii="宋体" w:cs="Times New Roman"/>
          <w:color w:val="auto"/>
          <w:sz w:val="28"/>
          <w:szCs w:val="32"/>
          <w:highlight w:val="none"/>
        </w:rPr>
        <w:t>16.价格调整</w:t>
      </w:r>
    </w:p>
    <w:p w14:paraId="4AF302D0">
      <w:pPr>
        <w:keepNext w:val="0"/>
        <w:pageBreakBefore w:val="0"/>
        <w:wordWrap/>
        <w:topLinePunct w:val="0"/>
        <w:autoSpaceDE/>
        <w:autoSpaceDN/>
        <w:bidi w:val="0"/>
        <w:adjustRightInd/>
        <w:spacing w:line="440" w:lineRule="exact"/>
        <w:textAlignment w:val="auto"/>
        <w:rPr>
          <w:rFonts w:hint="eastAsia"/>
          <w:b/>
          <w:color w:val="auto"/>
          <w:sz w:val="24"/>
          <w:szCs w:val="24"/>
          <w:highlight w:val="none"/>
        </w:rPr>
      </w:pPr>
      <w:r>
        <w:rPr>
          <w:rFonts w:hint="eastAsia"/>
          <w:b/>
          <w:color w:val="auto"/>
          <w:sz w:val="24"/>
          <w:szCs w:val="24"/>
          <w:highlight w:val="none"/>
        </w:rPr>
        <w:t>16.1物价波动引起的价格调整</w:t>
      </w:r>
    </w:p>
    <w:p w14:paraId="7ECC9805">
      <w:pPr>
        <w:pStyle w:val="28"/>
        <w:keepNext w:val="0"/>
        <w:pageBreakBefore w:val="0"/>
        <w:wordWrap/>
        <w:topLinePunct w:val="0"/>
        <w:autoSpaceDE/>
        <w:autoSpaceDN/>
        <w:bidi w:val="0"/>
        <w:adjustRightInd/>
        <w:spacing w:beforeLines="0" w:afterLines="0" w:line="440" w:lineRule="exact"/>
        <w:textAlignment w:val="auto"/>
        <w:rPr>
          <w:rStyle w:val="19"/>
          <w:rFonts w:hint="default" w:ascii="Calibri" w:eastAsia="宋体"/>
          <w:color w:val="auto"/>
          <w:sz w:val="24"/>
          <w:szCs w:val="24"/>
          <w:highlight w:val="none"/>
        </w:rPr>
      </w:pPr>
    </w:p>
    <w:p w14:paraId="15275C59">
      <w:pPr>
        <w:pStyle w:val="28"/>
        <w:keepNext w:val="0"/>
        <w:pageBreakBefore w:val="0"/>
        <w:wordWrap/>
        <w:topLinePunct w:val="0"/>
        <w:autoSpaceDE/>
        <w:autoSpaceDN/>
        <w:bidi w:val="0"/>
        <w:adjustRightInd/>
        <w:spacing w:beforeLines="0" w:afterLines="0" w:line="440" w:lineRule="exact"/>
        <w:ind w:firstLine="471"/>
        <w:textAlignment w:val="auto"/>
        <w:rPr>
          <w:rStyle w:val="19"/>
          <w:rFonts w:hint="default" w:ascii="宋体" w:hAnsi="宋体" w:eastAsia="宋体" w:cs="宋体"/>
          <w:color w:val="auto"/>
          <w:sz w:val="24"/>
          <w:szCs w:val="24"/>
          <w:highlight w:val="none"/>
        </w:rPr>
      </w:pPr>
      <w:r>
        <w:rPr>
          <w:rStyle w:val="19"/>
          <w:rFonts w:hint="default" w:ascii="宋体" w:hAnsi="Segoe UI Symbol" w:eastAsia="宋体" w:cs="Segoe UI Symbol"/>
          <w:color w:val="auto"/>
          <w:spacing w:val="-7"/>
          <w:sz w:val="24"/>
          <w:szCs w:val="24"/>
          <w:highlight w:val="none"/>
          <w:lang w:eastAsia="zh-CN"/>
        </w:rPr>
        <w:t>□</w:t>
      </w:r>
      <w:r>
        <w:rPr>
          <w:rStyle w:val="19"/>
          <w:rFonts w:hint="default" w:ascii="宋体" w:hAnsi="宋体" w:eastAsia="宋体" w:cs="宋体"/>
          <w:color w:val="auto"/>
          <w:spacing w:val="-3"/>
          <w:sz w:val="24"/>
          <w:szCs w:val="24"/>
          <w:highlight w:val="none"/>
        </w:rPr>
        <w:t>本项目不因为物价波动原因引起合同价格变动而调整。</w:t>
      </w:r>
    </w:p>
    <w:p w14:paraId="164C5485">
      <w:pPr>
        <w:pStyle w:val="28"/>
        <w:keepNext w:val="0"/>
        <w:pageBreakBefore w:val="0"/>
        <w:wordWrap/>
        <w:topLinePunct w:val="0"/>
        <w:autoSpaceDE/>
        <w:autoSpaceDN/>
        <w:bidi w:val="0"/>
        <w:adjustRightInd/>
        <w:spacing w:beforeLines="0" w:afterLines="0" w:line="440" w:lineRule="exact"/>
        <w:ind w:left="29" w:right="64" w:firstLine="428"/>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3"/>
          <w:sz w:val="24"/>
          <w:szCs w:val="24"/>
          <w:highlight w:val="none"/>
          <w:lang w:eastAsia="zh-CN"/>
        </w:rPr>
        <w:t>☑</w:t>
      </w:r>
      <w:r>
        <w:rPr>
          <w:rStyle w:val="19"/>
          <w:rFonts w:hint="default" w:ascii="宋体" w:hAnsi="宋体" w:eastAsia="宋体" w:cs="宋体"/>
          <w:color w:val="auto"/>
          <w:spacing w:val="-7"/>
          <w:sz w:val="24"/>
          <w:szCs w:val="24"/>
          <w:highlight w:val="none"/>
        </w:rPr>
        <w:t>本项目由于物价波动原因引起合同价格变动时，对其价格按下列方式进行</w:t>
      </w:r>
      <w:r>
        <w:rPr>
          <w:rStyle w:val="19"/>
          <w:rFonts w:hint="default" w:ascii="宋体" w:hAnsi="宋体" w:eastAsia="宋体" w:cs="宋体"/>
          <w:color w:val="auto"/>
          <w:spacing w:val="-11"/>
          <w:sz w:val="24"/>
          <w:szCs w:val="24"/>
          <w:highlight w:val="none"/>
        </w:rPr>
        <w:t>调整。</w:t>
      </w:r>
    </w:p>
    <w:p w14:paraId="4545A304">
      <w:pPr>
        <w:pStyle w:val="28"/>
        <w:keepNext w:val="0"/>
        <w:pageBreakBefore w:val="0"/>
        <w:wordWrap/>
        <w:topLinePunct w:val="0"/>
        <w:autoSpaceDE/>
        <w:autoSpaceDN/>
        <w:bidi w:val="0"/>
        <w:adjustRightInd/>
        <w:spacing w:beforeLines="0" w:afterLines="0" w:line="440" w:lineRule="exact"/>
        <w:ind w:firstLine="525"/>
        <w:textAlignment w:val="auto"/>
        <w:rPr>
          <w:rStyle w:val="19"/>
          <w:rFonts w:hint="default" w:ascii="宋体" w:hAnsi="宋体" w:eastAsia="宋体" w:cs="宋体"/>
          <w:color w:val="auto"/>
          <w:spacing w:val="-1"/>
          <w:sz w:val="24"/>
          <w:szCs w:val="24"/>
          <w:highlight w:val="none"/>
        </w:rPr>
      </w:pPr>
      <w:r>
        <w:rPr>
          <w:rStyle w:val="19"/>
          <w:rFonts w:hint="default" w:ascii="宋体" w:hAnsi="宋体" w:eastAsia="宋体" w:cs="宋体"/>
          <w:color w:val="auto"/>
          <w:spacing w:val="-6"/>
          <w:sz w:val="24"/>
          <w:szCs w:val="24"/>
          <w:highlight w:val="none"/>
        </w:rPr>
        <w:t>16.1.1物价波动引起的价格调整方式：</w:t>
      </w:r>
      <w:r>
        <w:rPr>
          <w:rStyle w:val="19"/>
          <w:rFonts w:hint="default" w:ascii="宋体" w:hAnsi="宋体" w:eastAsia="宋体" w:cs="宋体"/>
          <w:color w:val="auto"/>
          <w:spacing w:val="-1"/>
          <w:sz w:val="24"/>
          <w:szCs w:val="24"/>
          <w:highlight w:val="none"/>
          <w:u w:val="single"/>
        </w:rPr>
        <w:t>采用造价信息进行价格调整。</w:t>
      </w:r>
    </w:p>
    <w:p w14:paraId="329CE5ED">
      <w:pPr>
        <w:pStyle w:val="40"/>
        <w:keepNext w:val="0"/>
        <w:pageBreakBefore w:val="0"/>
        <w:kinsoku w:val="0"/>
        <w:wordWrap/>
        <w:overflowPunct w:val="0"/>
        <w:topLinePunct w:val="0"/>
        <w:autoSpaceDE/>
        <w:autoSpaceDN/>
        <w:bidi w:val="0"/>
        <w:adjustRightInd/>
        <w:spacing w:before="21" w:beforeLines="0" w:afterLines="0" w:line="440" w:lineRule="exact"/>
        <w:ind w:right="63" w:firstLine="476" w:firstLineChars="200"/>
        <w:textAlignment w:val="auto"/>
        <w:rPr>
          <w:rStyle w:val="19"/>
          <w:rFonts w:hint="default" w:ascii="宋体" w:hAnsi="宋体" w:eastAsia="宋体" w:cs="宋体"/>
          <w:color w:val="auto"/>
          <w:spacing w:val="-1"/>
          <w:sz w:val="24"/>
          <w:szCs w:val="24"/>
          <w:highlight w:val="none"/>
          <w:lang w:bidi="en-US"/>
        </w:rPr>
      </w:pPr>
      <w:r>
        <w:rPr>
          <w:rStyle w:val="19"/>
          <w:rFonts w:hint="default" w:ascii="宋体" w:hAnsi="宋体" w:eastAsia="宋体" w:cs="宋体"/>
          <w:color w:val="auto"/>
          <w:spacing w:val="-1"/>
          <w:sz w:val="24"/>
          <w:szCs w:val="24"/>
          <w:highlight w:val="none"/>
          <w:lang w:bidi="en-US"/>
        </w:rPr>
        <w:t>（</w:t>
      </w:r>
      <w:r>
        <w:rPr>
          <w:rStyle w:val="19"/>
          <w:rFonts w:hint="default" w:ascii="宋体" w:hAnsi="宋体" w:eastAsia="宋体" w:cs="宋体"/>
          <w:color w:val="auto"/>
          <w:spacing w:val="-1"/>
          <w:sz w:val="24"/>
          <w:szCs w:val="24"/>
          <w:highlight w:val="none"/>
          <w:lang w:eastAsia="zh-CN" w:bidi="en-US"/>
        </w:rPr>
        <w:t>1</w:t>
      </w:r>
      <w:r>
        <w:rPr>
          <w:rStyle w:val="19"/>
          <w:rFonts w:hint="default" w:ascii="宋体" w:hAnsi="宋体" w:eastAsia="宋体" w:cs="宋体"/>
          <w:color w:val="auto"/>
          <w:spacing w:val="-1"/>
          <w:sz w:val="24"/>
          <w:szCs w:val="24"/>
          <w:highlight w:val="none"/>
          <w:lang w:bidi="en-US"/>
        </w:rPr>
        <w:t>）关于基准价格的约定： 各分项工程</w:t>
      </w:r>
      <w:r>
        <w:rPr>
          <w:rStyle w:val="19"/>
          <w:rFonts w:hint="default" w:ascii="宋体" w:hAnsi="宋体" w:eastAsia="宋体" w:cs="宋体"/>
          <w:color w:val="auto"/>
          <w:spacing w:val="-1"/>
          <w:sz w:val="24"/>
          <w:szCs w:val="24"/>
          <w:highlight w:val="none"/>
          <w:lang w:bidi="en-US"/>
        </w:rPr>
        <mc:AlternateContent>
          <mc:Choice Requires="wps">
            <w:drawing>
              <wp:anchor distT="0" distB="0" distL="114300" distR="114300" simplePos="0" relativeHeight="251661312" behindDoc="0" locked="0" layoutInCell="1" allowOverlap="1">
                <wp:simplePos x="0" y="0"/>
                <wp:positionH relativeFrom="page">
                  <wp:posOffset>0</wp:posOffset>
                </wp:positionH>
                <wp:positionV relativeFrom="page">
                  <wp:posOffset>10696575</wp:posOffset>
                </wp:positionV>
                <wp:extent cx="12700" cy="12700"/>
                <wp:effectExtent l="6350" t="6350" r="19050" b="9525"/>
                <wp:wrapNone/>
                <wp:docPr id="11" name="文本框 11"/>
                <wp:cNvGraphicFramePr/>
                <a:graphic xmlns:a="http://schemas.openxmlformats.org/drawingml/2006/main">
                  <a:graphicData uri="http://schemas.microsoft.com/office/word/2010/wordprocessingShape">
                    <wps:wsp>
                      <wps:cNvSpPr txBox="1"/>
                      <wps:spPr>
                        <a:xfrm>
                          <a:off x="0" y="0"/>
                          <a:ext cx="12700" cy="12700"/>
                        </a:xfrm>
                        <a:prstGeom prst="rect">
                          <a:avLst/>
                        </a:prstGeom>
                        <a:solidFill>
                          <a:srgbClr val="FFFF4C">
                            <a:alpha val="70000"/>
                          </a:srgbClr>
                        </a:solidFill>
                        <a:ln w="12700" cap="flat" cmpd="sng">
                          <a:solidFill>
                            <a:srgbClr val="000000"/>
                          </a:solidFill>
                          <a:prstDash val="solid"/>
                          <a:miter/>
                          <a:headEnd type="none" w="med" len="med"/>
                          <a:tailEnd type="none" w="med" len="med"/>
                        </a:ln>
                      </wps:spPr>
                      <wps:txbx>
                        <w:txbxContent>
                          <w:p w14:paraId="69F92B2A">
                            <w:pPr>
                              <w:pStyle w:val="40"/>
                              <w:kinsoku w:val="0"/>
                              <w:overflowPunct w:val="0"/>
                              <w:spacing w:before="92" w:beforeLines="0" w:afterLines="0"/>
                              <w:ind w:left="103" w:right="63" w:hanging="40"/>
                              <w:jc w:val="right"/>
                              <w:rPr>
                                <w:rFonts w:hint="default" w:ascii="Arial" w:hAnsi="Arial" w:eastAsia="宋体"/>
                                <w:color w:val="auto"/>
                                <w:sz w:val="21"/>
                                <w:szCs w:val="24"/>
                              </w:rPr>
                            </w:pPr>
                            <w:r>
                              <w:rPr>
                                <w:rFonts w:hint="default" w:ascii="Arial" w:hAnsi="Arial" w:eastAsia="宋体"/>
                                <w:color w:val="auto"/>
                                <w:sz w:val="21"/>
                                <w:szCs w:val="24"/>
                              </w:rPr>
                              <w:t>--------------------------------------------</w:t>
                            </w:r>
                          </w:p>
                          <w:p w14:paraId="6D4545C0">
                            <w:pPr>
                              <w:pStyle w:val="40"/>
                              <w:kinsoku w:val="0"/>
                              <w:overflowPunct w:val="0"/>
                              <w:spacing w:beforeLines="0" w:afterLines="0" w:line="330" w:lineRule="exact"/>
                              <w:ind w:left="103" w:right="63" w:hanging="40"/>
                              <w:jc w:val="right"/>
                              <w:rPr>
                                <w:rFonts w:hint="default" w:ascii="Arial" w:hAnsi="Arial" w:eastAsia="宋体"/>
                                <w:color w:val="auto"/>
                                <w:sz w:val="16"/>
                                <w:szCs w:val="24"/>
                              </w:rPr>
                            </w:pPr>
                            <w:r>
                              <w:rPr>
                                <w:rFonts w:hint="default" w:ascii="Arial" w:hAnsi="Arial" w:eastAsia="宋体"/>
                                <w:i/>
                                <w:color w:val="auto"/>
                                <w:sz w:val="16"/>
                                <w:szCs w:val="24"/>
                              </w:rPr>
                              <w:t xml:space="preserve"> </w:t>
                            </w:r>
                          </w:p>
                        </w:txbxContent>
                      </wps:txbx>
                      <wps:bodyPr lIns="0" tIns="0" rIns="0" bIns="0" upright="1"/>
                    </wps:wsp>
                  </a:graphicData>
                </a:graphic>
              </wp:anchor>
            </w:drawing>
          </mc:Choice>
          <mc:Fallback>
            <w:pict>
              <v:shape id="_x0000_s1026" o:spid="_x0000_s1026" o:spt="202" type="#_x0000_t202" style="position:absolute;left:0pt;margin-left:0pt;margin-top:842.25pt;height:1pt;width:1pt;mso-position-horizontal-relative:page;mso-position-vertical-relative:page;z-index:251661312;mso-width-relative:page;mso-height-relative:page;" fillcolor="#FFFF4C" filled="t" stroked="t" coordsize="21600,21600" o:gfxdata="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CzmrinRAAAACAEA&#10;AA8AAAAAAAAAAQAgAAAAIgAAAGRycy9kb3ducmV2LnhtbFBLAQIUABQAAAAIAIdO4kC/SF6BIQIA&#10;AHsEAAAOAAAAAAAAAAEAIAAAACABAABkcnMvZTJvRG9jLnhtbFBLBQYAAAAABgAGAFkBAACzBQAA&#10;AAA=&#10;">
                <v:fill on="t" opacity="45875f" focussize="0,0"/>
                <v:stroke weight="1pt" color="#000000" joinstyle="miter"/>
                <v:imagedata o:title=""/>
                <o:lock v:ext="edit" aspectratio="f"/>
                <v:textbox inset="0mm,0mm,0mm,0mm">
                  <w:txbxContent>
                    <w:p w14:paraId="69F92B2A">
                      <w:pPr>
                        <w:pStyle w:val="40"/>
                        <w:kinsoku w:val="0"/>
                        <w:overflowPunct w:val="0"/>
                        <w:spacing w:before="92" w:beforeLines="0" w:afterLines="0"/>
                        <w:ind w:left="103" w:right="63" w:hanging="40"/>
                        <w:jc w:val="right"/>
                        <w:rPr>
                          <w:rFonts w:hint="default" w:ascii="Arial" w:hAnsi="Arial" w:eastAsia="宋体"/>
                          <w:color w:val="auto"/>
                          <w:sz w:val="21"/>
                          <w:szCs w:val="24"/>
                        </w:rPr>
                      </w:pPr>
                      <w:r>
                        <w:rPr>
                          <w:rFonts w:hint="default" w:ascii="Arial" w:hAnsi="Arial" w:eastAsia="宋体"/>
                          <w:color w:val="auto"/>
                          <w:sz w:val="21"/>
                          <w:szCs w:val="24"/>
                        </w:rPr>
                        <w:t>--------------------------------------------</w:t>
                      </w:r>
                    </w:p>
                    <w:p w14:paraId="6D4545C0">
                      <w:pPr>
                        <w:pStyle w:val="40"/>
                        <w:kinsoku w:val="0"/>
                        <w:overflowPunct w:val="0"/>
                        <w:spacing w:beforeLines="0" w:afterLines="0" w:line="330" w:lineRule="exact"/>
                        <w:ind w:left="103" w:right="63" w:hanging="40"/>
                        <w:jc w:val="right"/>
                        <w:rPr>
                          <w:rFonts w:hint="default" w:ascii="Arial" w:hAnsi="Arial" w:eastAsia="宋体"/>
                          <w:color w:val="auto"/>
                          <w:sz w:val="16"/>
                          <w:szCs w:val="24"/>
                        </w:rPr>
                      </w:pPr>
                      <w:r>
                        <w:rPr>
                          <w:rFonts w:hint="default" w:ascii="Arial" w:hAnsi="Arial" w:eastAsia="宋体"/>
                          <w:i/>
                          <w:color w:val="auto"/>
                          <w:sz w:val="16"/>
                          <w:szCs w:val="24"/>
                        </w:rPr>
                        <w:t xml:space="preserve"> </w:t>
                      </w:r>
                    </w:p>
                  </w:txbxContent>
                </v:textbox>
              </v:shape>
            </w:pict>
          </mc:Fallback>
        </mc:AlternateContent>
      </w:r>
      <w:r>
        <w:rPr>
          <w:rStyle w:val="19"/>
          <w:rFonts w:hint="default" w:ascii="宋体" w:hAnsi="宋体" w:eastAsia="宋体" w:cs="宋体"/>
          <w:color w:val="auto"/>
          <w:spacing w:val="-1"/>
          <w:sz w:val="24"/>
          <w:szCs w:val="24"/>
          <w:highlight w:val="none"/>
          <w:lang w:bidi="en-US"/>
        </w:rPr>
        <w:t>施工期间主要材料价格涨幅按《南宁建设工程造价信</w:t>
      </w:r>
      <w:r>
        <w:rPr>
          <w:rStyle w:val="19"/>
          <w:rFonts w:hint="default" w:ascii="宋体" w:hAnsi="宋体" w:eastAsia="宋体" w:cs="宋体"/>
          <w:color w:val="auto"/>
          <w:spacing w:val="-1"/>
          <w:sz w:val="24"/>
          <w:szCs w:val="24"/>
          <w:highlight w:val="none"/>
          <w:u w:val="single"/>
          <w:lang w:bidi="en-US"/>
        </w:rPr>
        <w:t>息》</w:t>
      </w:r>
      <w:r>
        <w:rPr>
          <w:rStyle w:val="19"/>
          <w:rFonts w:hint="default" w:ascii="宋体" w:hAnsi="宋体" w:eastAsia="宋体" w:cs="宋体"/>
          <w:color w:val="auto"/>
          <w:spacing w:val="-1"/>
          <w:sz w:val="24"/>
          <w:szCs w:val="24"/>
          <w:highlight w:val="none"/>
          <w:u w:val="single"/>
          <w:lang w:eastAsia="zh-CN" w:bidi="en-US"/>
        </w:rPr>
        <w:t>202</w:t>
      </w:r>
      <w:r>
        <w:rPr>
          <w:rStyle w:val="19"/>
          <w:rFonts w:hint="eastAsia" w:ascii="宋体" w:hAnsi="宋体" w:eastAsia="宋体" w:cs="宋体"/>
          <w:color w:val="auto"/>
          <w:spacing w:val="-1"/>
          <w:sz w:val="24"/>
          <w:szCs w:val="24"/>
          <w:highlight w:val="none"/>
          <w:u w:val="single"/>
          <w:lang w:val="en-US" w:eastAsia="zh-CN" w:bidi="en-US"/>
        </w:rPr>
        <w:t>6</w:t>
      </w:r>
      <w:r>
        <w:rPr>
          <w:rStyle w:val="19"/>
          <w:rFonts w:hint="default" w:ascii="宋体" w:hAnsi="宋体" w:eastAsia="宋体" w:cs="宋体"/>
          <w:color w:val="auto"/>
          <w:spacing w:val="-1"/>
          <w:sz w:val="24"/>
          <w:szCs w:val="24"/>
          <w:highlight w:val="none"/>
          <w:u w:val="single"/>
          <w:lang w:bidi="en-US"/>
        </w:rPr>
        <w:t>年</w:t>
      </w:r>
      <w:r>
        <w:rPr>
          <w:rStyle w:val="19"/>
          <w:rFonts w:hint="eastAsia" w:ascii="宋体" w:hAnsi="宋体" w:eastAsia="宋体" w:cs="宋体"/>
          <w:color w:val="auto"/>
          <w:spacing w:val="-1"/>
          <w:sz w:val="24"/>
          <w:szCs w:val="24"/>
          <w:highlight w:val="none"/>
          <w:u w:val="single"/>
          <w:lang w:val="en-US" w:eastAsia="zh-CN" w:bidi="en-US"/>
        </w:rPr>
        <w:t>5</w:t>
      </w:r>
      <w:r>
        <w:rPr>
          <w:rStyle w:val="19"/>
          <w:rFonts w:hint="default" w:ascii="宋体" w:hAnsi="宋体" w:eastAsia="宋体" w:cs="宋体"/>
          <w:color w:val="auto"/>
          <w:spacing w:val="-1"/>
          <w:sz w:val="24"/>
          <w:szCs w:val="24"/>
          <w:highlight w:val="none"/>
          <w:u w:val="single"/>
          <w:lang w:bidi="en-US"/>
        </w:rPr>
        <w:t>月</w:t>
      </w:r>
      <w:r>
        <w:rPr>
          <w:rStyle w:val="19"/>
          <w:rFonts w:hint="eastAsia" w:ascii="宋体" w:hAnsi="宋体" w:eastAsia="宋体" w:cs="宋体"/>
          <w:color w:val="auto"/>
          <w:spacing w:val="-1"/>
          <w:sz w:val="24"/>
          <w:szCs w:val="24"/>
          <w:highlight w:val="none"/>
          <w:u w:val="single"/>
          <w:lang w:val="en-US" w:eastAsia="zh-CN" w:bidi="en-US"/>
        </w:rPr>
        <w:t>上半月</w:t>
      </w:r>
      <w:r>
        <w:rPr>
          <w:rStyle w:val="19"/>
          <w:rFonts w:hint="default" w:ascii="宋体" w:hAnsi="宋体" w:eastAsia="宋体" w:cs="宋体"/>
          <w:color w:val="auto"/>
          <w:spacing w:val="-1"/>
          <w:sz w:val="24"/>
          <w:szCs w:val="24"/>
          <w:highlight w:val="none"/>
          <w:u w:val="single"/>
          <w:lang w:bidi="en-US"/>
        </w:rPr>
        <w:t>刊发</w:t>
      </w:r>
      <w:r>
        <w:rPr>
          <w:rStyle w:val="19"/>
          <w:rFonts w:hint="default" w:ascii="宋体" w:hAnsi="宋体" w:eastAsia="宋体" w:cs="宋体"/>
          <w:color w:val="auto"/>
          <w:spacing w:val="-1"/>
          <w:sz w:val="24"/>
          <w:szCs w:val="24"/>
          <w:highlight w:val="none"/>
          <w:lang w:bidi="en-US"/>
        </w:rPr>
        <w:t>布的材料价作为基准价计取，其中</w:t>
      </w:r>
      <w:r>
        <w:rPr>
          <w:rStyle w:val="19"/>
          <w:rFonts w:hint="default" w:ascii="宋体" w:hAnsi="宋体" w:eastAsia="宋体" w:cs="宋体"/>
          <w:color w:val="auto"/>
          <w:spacing w:val="-1"/>
          <w:sz w:val="24"/>
          <w:szCs w:val="24"/>
          <w:highlight w:val="none"/>
          <w:lang w:eastAsia="zh-CN" w:bidi="en-US"/>
        </w:rPr>
        <w:t>马山县</w:t>
      </w:r>
      <w:r>
        <w:rPr>
          <w:rStyle w:val="19"/>
          <w:rFonts w:hint="default" w:ascii="宋体" w:hAnsi="宋体" w:eastAsia="宋体" w:cs="宋体"/>
          <w:color w:val="auto"/>
          <w:spacing w:val="-1"/>
          <w:sz w:val="24"/>
          <w:szCs w:val="24"/>
          <w:highlight w:val="none"/>
          <w:lang w:bidi="en-US"/>
        </w:rPr>
        <w:t>有信息价格的按</w:t>
      </w:r>
      <w:r>
        <w:rPr>
          <w:rStyle w:val="19"/>
          <w:rFonts w:hint="default" w:ascii="宋体" w:hAnsi="宋体" w:eastAsia="宋体" w:cs="宋体"/>
          <w:color w:val="auto"/>
          <w:spacing w:val="-1"/>
          <w:sz w:val="24"/>
          <w:szCs w:val="24"/>
          <w:highlight w:val="none"/>
          <w:lang w:eastAsia="zh-CN" w:bidi="en-US"/>
        </w:rPr>
        <w:t>马山县</w:t>
      </w:r>
      <w:r>
        <w:rPr>
          <w:rStyle w:val="19"/>
          <w:rFonts w:hint="default" w:ascii="宋体" w:hAnsi="宋体" w:eastAsia="宋体" w:cs="宋体"/>
          <w:color w:val="auto"/>
          <w:spacing w:val="-1"/>
          <w:sz w:val="24"/>
          <w:szCs w:val="24"/>
          <w:highlight w:val="none"/>
          <w:lang w:bidi="en-US"/>
        </w:rPr>
        <w:t>信息价格，</w:t>
      </w:r>
      <w:r>
        <w:rPr>
          <w:rStyle w:val="19"/>
          <w:rFonts w:hint="default" w:ascii="宋体" w:hAnsi="宋体" w:eastAsia="宋体" w:cs="宋体"/>
          <w:color w:val="auto"/>
          <w:spacing w:val="-1"/>
          <w:sz w:val="24"/>
          <w:szCs w:val="24"/>
          <w:highlight w:val="none"/>
          <w:lang w:eastAsia="zh-CN" w:bidi="en-US"/>
        </w:rPr>
        <w:t>马山县</w:t>
      </w:r>
      <w:r>
        <w:rPr>
          <w:rStyle w:val="19"/>
          <w:rFonts w:hint="default" w:ascii="宋体" w:hAnsi="宋体" w:eastAsia="宋体" w:cs="宋体"/>
          <w:color w:val="auto"/>
          <w:spacing w:val="-1"/>
          <w:sz w:val="24"/>
          <w:szCs w:val="24"/>
          <w:highlight w:val="none"/>
          <w:lang w:bidi="en-US"/>
        </w:rPr>
        <w:t>无信息价格 的按南宁市信息价格，缺项部分按市场询价，涨幅超过±5%时可对超过部分价差进行调整。调整方式：∑（（各分项工程施工期间《南宁市建设工程造价信息》发布的市场平均单价-招标时的材料单价×（1±5%））×对应材 料消耗量），差价作税内独立费计算</w:t>
      </w:r>
      <w:r>
        <w:rPr>
          <w:rStyle w:val="19"/>
          <w:rFonts w:hint="default" w:ascii="宋体" w:hAnsi="宋体" w:eastAsia="宋体" w:cs="宋体"/>
          <w:color w:val="auto"/>
          <w:spacing w:val="-1"/>
          <w:sz w:val="24"/>
          <w:szCs w:val="24"/>
          <w:highlight w:val="none"/>
          <w:lang w:eastAsia="zh-CN" w:bidi="en-US"/>
        </w:rPr>
        <w:t>，最终由审核单位审定为准</w:t>
      </w:r>
      <w:r>
        <w:rPr>
          <w:rStyle w:val="19"/>
          <w:rFonts w:hint="default" w:ascii="宋体" w:hAnsi="宋体" w:eastAsia="宋体" w:cs="宋体"/>
          <w:color w:val="auto"/>
          <w:spacing w:val="-1"/>
          <w:sz w:val="24"/>
          <w:szCs w:val="24"/>
          <w:highlight w:val="none"/>
          <w:lang w:bidi="en-US"/>
        </w:rPr>
        <w:t>。</w:t>
      </w:r>
    </w:p>
    <w:p w14:paraId="727AB4EE">
      <w:pPr>
        <w:pStyle w:val="23"/>
        <w:keepNext w:val="0"/>
        <w:pageBreakBefore w:val="0"/>
        <w:wordWrap/>
        <w:topLinePunct w:val="0"/>
        <w:autoSpaceDE/>
        <w:autoSpaceDN/>
        <w:bidi w:val="0"/>
        <w:adjustRightInd/>
        <w:spacing w:beforeLines="0" w:afterLines="0" w:line="440" w:lineRule="exact"/>
        <w:ind w:firstLine="476" w:firstLineChars="200"/>
        <w:textAlignment w:val="auto"/>
        <w:rPr>
          <w:rStyle w:val="19"/>
          <w:rFonts w:hint="default" w:ascii="宋体" w:hAnsi="宋体" w:eastAsia="宋体" w:cs="宋体"/>
          <w:color w:val="auto"/>
          <w:spacing w:val="-1"/>
          <w:sz w:val="24"/>
          <w:szCs w:val="24"/>
          <w:highlight w:val="none"/>
        </w:rPr>
      </w:pPr>
      <w:r>
        <w:rPr>
          <w:rStyle w:val="19"/>
          <w:rFonts w:hint="default" w:ascii="宋体" w:hAnsi="宋体" w:eastAsia="宋体" w:cs="宋体"/>
          <w:color w:val="auto"/>
          <w:spacing w:val="-1"/>
          <w:sz w:val="24"/>
          <w:szCs w:val="24"/>
          <w:highlight w:val="none"/>
        </w:rPr>
        <w:t>专用合同条款①承包人在已标价工程量清单或预算书中载明的材料单价低于基准价格的：专用合同条款合同履行期间材料单价涨幅以基准价格为基础超过 5  %时，或材料单价跌幅以已标价工程量清单或预算书中载明材料单价为基础超过  5 %时，其超过部分据实调整。</w:t>
      </w:r>
    </w:p>
    <w:p w14:paraId="354C7F93">
      <w:pPr>
        <w:pStyle w:val="23"/>
        <w:keepNext w:val="0"/>
        <w:pageBreakBefore w:val="0"/>
        <w:wordWrap/>
        <w:topLinePunct w:val="0"/>
        <w:autoSpaceDE/>
        <w:autoSpaceDN/>
        <w:bidi w:val="0"/>
        <w:adjustRightInd/>
        <w:spacing w:beforeLines="0" w:afterLines="0" w:line="440" w:lineRule="exact"/>
        <w:ind w:firstLine="476" w:firstLineChars="200"/>
        <w:textAlignment w:val="auto"/>
        <w:rPr>
          <w:rStyle w:val="19"/>
          <w:rFonts w:hint="default" w:ascii="宋体" w:hAnsi="宋体" w:eastAsia="宋体" w:cs="宋体"/>
          <w:color w:val="auto"/>
          <w:spacing w:val="-1"/>
          <w:sz w:val="24"/>
          <w:szCs w:val="24"/>
          <w:highlight w:val="none"/>
        </w:rPr>
      </w:pPr>
      <w:r>
        <w:rPr>
          <w:rStyle w:val="19"/>
          <w:rFonts w:hint="default" w:ascii="宋体" w:hAnsi="宋体" w:eastAsia="宋体" w:cs="宋体"/>
          <w:color w:val="auto"/>
          <w:spacing w:val="-1"/>
          <w:sz w:val="24"/>
          <w:szCs w:val="24"/>
          <w:highlight w:val="none"/>
        </w:rPr>
        <w:t>②承包人在已标价工程量清单或预算书中载明的材料单价高于基准价格的：专用合同条款合同履行期间材料单价跌幅以基准价格为基础超过 5 %时，材料单价涨幅以已标价工程量清单或预算书中载明材料单价为基础超过 5  %时，其超过部分据实调整。</w:t>
      </w:r>
    </w:p>
    <w:p w14:paraId="23CBCA0E">
      <w:pPr>
        <w:pStyle w:val="23"/>
        <w:keepNext w:val="0"/>
        <w:pageBreakBefore w:val="0"/>
        <w:wordWrap/>
        <w:topLinePunct w:val="0"/>
        <w:autoSpaceDE/>
        <w:autoSpaceDN/>
        <w:bidi w:val="0"/>
        <w:adjustRightInd/>
        <w:spacing w:beforeLines="0" w:afterLines="0" w:line="440" w:lineRule="exact"/>
        <w:ind w:firstLine="645"/>
        <w:textAlignment w:val="auto"/>
        <w:rPr>
          <w:rStyle w:val="19"/>
          <w:rFonts w:hint="default" w:ascii="宋体" w:hAnsi="宋体" w:eastAsia="宋体" w:cs="宋体"/>
          <w:color w:val="auto"/>
          <w:spacing w:val="-1"/>
          <w:sz w:val="24"/>
          <w:szCs w:val="24"/>
          <w:highlight w:val="none"/>
        </w:rPr>
      </w:pPr>
      <w:r>
        <w:rPr>
          <w:rStyle w:val="19"/>
          <w:rFonts w:hint="default" w:ascii="宋体" w:hAnsi="宋体" w:eastAsia="宋体" w:cs="宋体"/>
          <w:color w:val="auto"/>
          <w:spacing w:val="-1"/>
          <w:sz w:val="24"/>
          <w:szCs w:val="24"/>
          <w:highlight w:val="none"/>
        </w:rPr>
        <w:t>③承包人在已标价工程量清单或预算书中载明的材料单价等于基准单价的：专用合同条款合同履行期间材料单价涨跌幅以基准单价为基础超过± 5  %时，其超过部分据实调整。</w:t>
      </w:r>
    </w:p>
    <w:p w14:paraId="2E2DE761">
      <w:pPr>
        <w:pStyle w:val="23"/>
        <w:keepNext w:val="0"/>
        <w:pageBreakBefore w:val="0"/>
        <w:wordWrap/>
        <w:topLinePunct w:val="0"/>
        <w:autoSpaceDE/>
        <w:autoSpaceDN/>
        <w:bidi w:val="0"/>
        <w:adjustRightInd/>
        <w:spacing w:beforeLines="0" w:afterLines="0" w:line="440" w:lineRule="exact"/>
        <w:ind w:firstLine="238" w:firstLineChars="100"/>
        <w:textAlignment w:val="auto"/>
        <w:rPr>
          <w:rStyle w:val="19"/>
          <w:rFonts w:hint="default" w:ascii="宋体" w:hAnsi="宋体" w:eastAsia="宋体" w:cs="宋体"/>
          <w:color w:val="auto"/>
          <w:spacing w:val="-1"/>
          <w:sz w:val="24"/>
          <w:szCs w:val="24"/>
          <w:highlight w:val="none"/>
        </w:rPr>
      </w:pPr>
      <w:r>
        <w:rPr>
          <w:rStyle w:val="19"/>
          <w:rFonts w:hint="default" w:ascii="宋体" w:hAnsi="宋体" w:eastAsia="宋体" w:cs="宋体"/>
          <w:color w:val="auto"/>
          <w:spacing w:val="-1"/>
          <w:sz w:val="24"/>
          <w:szCs w:val="24"/>
          <w:highlight w:val="none"/>
        </w:rPr>
        <w:t>人工费最终结算调整以施工期间项目所在市级现行的最新发布的人工费单价为准。</w:t>
      </w:r>
    </w:p>
    <w:p w14:paraId="7AA0A7E5">
      <w:pPr>
        <w:pStyle w:val="28"/>
        <w:keepNext w:val="0"/>
        <w:pageBreakBefore w:val="0"/>
        <w:wordWrap/>
        <w:topLinePunct w:val="0"/>
        <w:autoSpaceDE/>
        <w:autoSpaceDN/>
        <w:bidi w:val="0"/>
        <w:adjustRightInd/>
        <w:spacing w:beforeLines="0" w:afterLines="0" w:line="440" w:lineRule="exact"/>
        <w:ind w:right="66" w:firstLine="432" w:firstLineChars="200"/>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12"/>
          <w:sz w:val="24"/>
          <w:szCs w:val="24"/>
          <w:highlight w:val="none"/>
          <w:lang w:eastAsia="zh-CN"/>
        </w:rPr>
        <w:t>（2）</w:t>
      </w:r>
      <w:r>
        <w:rPr>
          <w:rStyle w:val="19"/>
          <w:rFonts w:hint="default" w:ascii="宋体" w:hAnsi="宋体" w:eastAsia="宋体" w:cs="宋体"/>
          <w:color w:val="auto"/>
          <w:spacing w:val="-12"/>
          <w:sz w:val="24"/>
          <w:szCs w:val="24"/>
          <w:highlight w:val="none"/>
        </w:rPr>
        <w:t>要进行价格调整的材料，其单价和采购数应由监理人复核，发包人确认需调</w:t>
      </w:r>
      <w:r>
        <w:rPr>
          <w:rStyle w:val="19"/>
          <w:rFonts w:hint="default" w:ascii="宋体" w:hAnsi="宋体" w:eastAsia="宋体" w:cs="宋体"/>
          <w:color w:val="auto"/>
          <w:spacing w:val="-6"/>
          <w:sz w:val="24"/>
          <w:szCs w:val="24"/>
          <w:highlight w:val="none"/>
        </w:rPr>
        <w:t>整的材料单价及数量并报</w:t>
      </w:r>
      <w:r>
        <w:rPr>
          <w:rStyle w:val="19"/>
          <w:rFonts w:hint="default" w:ascii="宋体" w:hAnsi="宋体" w:eastAsia="宋体" w:cs="宋体"/>
          <w:color w:val="auto"/>
          <w:spacing w:val="-12"/>
          <w:sz w:val="24"/>
          <w:szCs w:val="24"/>
          <w:highlight w:val="none"/>
          <w:u w:val="single"/>
          <w:lang w:eastAsia="zh-CN"/>
        </w:rPr>
        <w:t>马山县</w:t>
      </w:r>
      <w:r>
        <w:rPr>
          <w:rStyle w:val="19"/>
          <w:rFonts w:hint="default" w:ascii="宋体" w:hAnsi="宋体" w:eastAsia="宋体" w:cs="宋体"/>
          <w:color w:val="auto"/>
          <w:spacing w:val="-6"/>
          <w:sz w:val="24"/>
          <w:szCs w:val="24"/>
          <w:highlight w:val="none"/>
        </w:rPr>
        <w:t>财政投资项目评审中心审定后，作为调整</w:t>
      </w:r>
      <w:r>
        <w:rPr>
          <w:rStyle w:val="19"/>
          <w:rFonts w:hint="default" w:ascii="宋体" w:hAnsi="宋体" w:eastAsia="宋体" w:cs="宋体"/>
          <w:color w:val="auto"/>
          <w:spacing w:val="-4"/>
          <w:sz w:val="24"/>
          <w:szCs w:val="24"/>
          <w:highlight w:val="none"/>
        </w:rPr>
        <w:t>工程合同价格差额的依据。</w:t>
      </w:r>
    </w:p>
    <w:p w14:paraId="762C965D">
      <w:pPr>
        <w:pStyle w:val="28"/>
        <w:keepNext w:val="0"/>
        <w:pageBreakBefore w:val="0"/>
        <w:wordWrap/>
        <w:topLinePunct w:val="0"/>
        <w:autoSpaceDE/>
        <w:autoSpaceDN/>
        <w:bidi w:val="0"/>
        <w:adjustRightInd/>
        <w:spacing w:beforeLines="0" w:afterLines="0" w:line="440" w:lineRule="exact"/>
        <w:ind w:firstLine="525"/>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3"/>
          <w:sz w:val="24"/>
          <w:szCs w:val="24"/>
          <w:highlight w:val="none"/>
        </w:rPr>
        <w:t>16.1.2调整价格的主要材料：</w:t>
      </w:r>
      <w:r>
        <w:rPr>
          <w:rStyle w:val="19"/>
          <w:rFonts w:hint="default" w:ascii="宋体" w:hAnsi="宋体" w:eastAsia="宋体" w:cs="宋体"/>
          <w:color w:val="auto"/>
          <w:spacing w:val="-4"/>
          <w:sz w:val="24"/>
          <w:szCs w:val="24"/>
          <w:highlight w:val="none"/>
        </w:rPr>
        <w:t>水泥、混凝土、</w:t>
      </w:r>
      <w:r>
        <w:rPr>
          <w:rStyle w:val="19"/>
          <w:rFonts w:hint="default" w:ascii="宋体" w:hAnsi="宋体" w:eastAsia="宋体" w:cs="宋体"/>
          <w:color w:val="auto"/>
          <w:spacing w:val="-1"/>
          <w:sz w:val="24"/>
          <w:szCs w:val="24"/>
          <w:highlight w:val="none"/>
        </w:rPr>
        <w:t>钢材</w:t>
      </w:r>
      <w:r>
        <w:rPr>
          <w:rStyle w:val="19"/>
          <w:rFonts w:hint="default" w:ascii="宋体" w:hAnsi="宋体" w:eastAsia="宋体" w:cs="宋体"/>
          <w:color w:val="auto"/>
          <w:spacing w:val="-3"/>
          <w:sz w:val="24"/>
          <w:szCs w:val="24"/>
          <w:highlight w:val="none"/>
        </w:rPr>
        <w:t>。</w:t>
      </w:r>
    </w:p>
    <w:p w14:paraId="73432227">
      <w:pPr>
        <w:pStyle w:val="15"/>
        <w:keepNext w:val="0"/>
        <w:pageBreakBefore w:val="0"/>
        <w:wordWrap/>
        <w:topLinePunct w:val="0"/>
        <w:autoSpaceDE/>
        <w:autoSpaceDN/>
        <w:bidi w:val="0"/>
        <w:adjustRightInd/>
        <w:spacing w:line="440" w:lineRule="exact"/>
        <w:ind w:left="1284" w:leftChars="200" w:hanging="864" w:hangingChars="400"/>
        <w:textAlignment w:val="auto"/>
        <w:rPr>
          <w:rStyle w:val="19"/>
          <w:rFonts w:hint="default"/>
          <w:color w:val="auto"/>
          <w:spacing w:val="-4"/>
          <w:sz w:val="24"/>
          <w:szCs w:val="24"/>
          <w:highlight w:val="none"/>
          <w:u w:val="single"/>
          <w:lang w:bidi="en-US"/>
        </w:rPr>
      </w:pPr>
      <w:r>
        <w:rPr>
          <w:rStyle w:val="19"/>
          <w:rFonts w:hint="default"/>
          <w:color w:val="auto"/>
          <w:spacing w:val="-12"/>
          <w:sz w:val="24"/>
          <w:szCs w:val="24"/>
          <w:highlight w:val="none"/>
        </w:rPr>
        <w:t>16.1.3主要材料补差的计算方法</w:t>
      </w:r>
      <w:r>
        <w:rPr>
          <w:rStyle w:val="19"/>
          <w:rFonts w:hint="default"/>
          <w:color w:val="auto"/>
          <w:spacing w:val="-4"/>
          <w:sz w:val="24"/>
          <w:szCs w:val="24"/>
          <w:highlight w:val="none"/>
          <w:u w:val="single"/>
          <w:lang w:eastAsia="en-US" w:bidi="en-US"/>
        </w:rPr>
        <w:t>：采用造价信息调整价格差额法</w:t>
      </w:r>
      <w:r>
        <w:rPr>
          <w:rStyle w:val="19"/>
          <w:rFonts w:hint="default"/>
          <w:color w:val="auto"/>
          <w:spacing w:val="-4"/>
          <w:sz w:val="24"/>
          <w:szCs w:val="24"/>
          <w:highlight w:val="none"/>
          <w:u w:val="single"/>
          <w:lang w:bidi="en-US"/>
        </w:rPr>
        <w:t>；</w:t>
      </w:r>
    </w:p>
    <w:p w14:paraId="36F0E367">
      <w:pPr>
        <w:pStyle w:val="15"/>
        <w:keepNext w:val="0"/>
        <w:pageBreakBefore w:val="0"/>
        <w:wordWrap/>
        <w:topLinePunct w:val="0"/>
        <w:autoSpaceDE/>
        <w:autoSpaceDN/>
        <w:bidi w:val="0"/>
        <w:adjustRightInd/>
        <w:spacing w:line="440" w:lineRule="exact"/>
        <w:ind w:firstLine="464" w:firstLineChars="200"/>
        <w:jc w:val="both"/>
        <w:textAlignment w:val="auto"/>
        <w:rPr>
          <w:rStyle w:val="19"/>
          <w:rFonts w:hint="default"/>
          <w:color w:val="auto"/>
          <w:spacing w:val="-4"/>
          <w:sz w:val="24"/>
          <w:szCs w:val="24"/>
          <w:highlight w:val="none"/>
          <w:u w:val="single"/>
          <w:lang w:eastAsia="en-US" w:bidi="en-US"/>
        </w:rPr>
      </w:pPr>
      <w:r>
        <w:rPr>
          <w:rStyle w:val="19"/>
          <w:rFonts w:hint="default"/>
          <w:color w:val="auto"/>
          <w:spacing w:val="-4"/>
          <w:sz w:val="24"/>
          <w:szCs w:val="24"/>
          <w:highlight w:val="none"/>
          <w:lang w:eastAsia="en-US" w:bidi="en-US"/>
        </w:rPr>
        <w:t>关于基准价格的约定：</w:t>
      </w:r>
      <w:r>
        <w:rPr>
          <w:rStyle w:val="19"/>
          <w:rFonts w:hint="default"/>
          <w:color w:val="auto"/>
          <w:spacing w:val="-4"/>
          <w:sz w:val="24"/>
          <w:szCs w:val="24"/>
          <w:highlight w:val="none"/>
          <w:u w:val="single"/>
          <w:lang w:eastAsia="en-US" w:bidi="en-US"/>
        </w:rPr>
        <w:t>允许调整的主要材料设备基准价格和承包人承担的风险系数需符合（关于印发《南宁市政府投资建设工程施工期间主要建筑材料调价结算指导意见》的通知）规定执行，具体详见工程量清单。</w:t>
      </w:r>
    </w:p>
    <w:p w14:paraId="767D135C">
      <w:pPr>
        <w:pStyle w:val="28"/>
        <w:keepNext w:val="0"/>
        <w:pageBreakBefore w:val="0"/>
        <w:wordWrap/>
        <w:topLinePunct w:val="0"/>
        <w:autoSpaceDE/>
        <w:autoSpaceDN/>
        <w:bidi w:val="0"/>
        <w:adjustRightInd/>
        <w:spacing w:beforeLines="0" w:afterLines="0" w:line="440" w:lineRule="exact"/>
        <w:ind w:firstLine="408" w:firstLineChars="200"/>
        <w:textAlignment w:val="auto"/>
        <w:rPr>
          <w:rStyle w:val="19"/>
          <w:rFonts w:hint="default" w:ascii="宋体" w:hAnsi="宋体" w:eastAsia="宋体" w:cs="宋体"/>
          <w:color w:val="auto"/>
          <w:sz w:val="24"/>
          <w:szCs w:val="24"/>
          <w:highlight w:val="none"/>
          <w:u w:val="single"/>
        </w:rPr>
      </w:pPr>
      <w:r>
        <w:rPr>
          <w:rStyle w:val="19"/>
          <w:rFonts w:hint="default" w:ascii="宋体" w:hAnsi="宋体" w:eastAsia="宋体" w:cs="宋体"/>
          <w:color w:val="auto"/>
          <w:spacing w:val="-18"/>
          <w:position w:val="7"/>
          <w:sz w:val="24"/>
          <w:szCs w:val="24"/>
          <w:highlight w:val="none"/>
        </w:rPr>
        <w:t>工程造价信息的来源：</w:t>
      </w:r>
      <w:r>
        <w:rPr>
          <w:rStyle w:val="19"/>
          <w:rFonts w:hint="default" w:ascii="宋体" w:hAnsi="宋体" w:eastAsia="宋体" w:cs="宋体"/>
          <w:color w:val="auto"/>
          <w:spacing w:val="-4"/>
          <w:sz w:val="24"/>
          <w:szCs w:val="24"/>
          <w:highlight w:val="none"/>
          <w:u w:val="single"/>
        </w:rPr>
        <w:t xml:space="preserve"> </w:t>
      </w:r>
      <w:r>
        <w:rPr>
          <w:rStyle w:val="19"/>
          <w:rFonts w:hint="default" w:ascii="宋体" w:hAnsi="宋体" w:eastAsia="宋体" w:cs="宋体"/>
          <w:color w:val="auto"/>
          <w:spacing w:val="-4"/>
          <w:sz w:val="24"/>
          <w:szCs w:val="24"/>
          <w:highlight w:val="none"/>
          <w:u w:val="single"/>
          <w:lang w:eastAsia="zh-CN"/>
        </w:rPr>
        <w:t>《</w:t>
      </w:r>
      <w:r>
        <w:rPr>
          <w:rStyle w:val="19"/>
          <w:rFonts w:hint="default" w:ascii="宋体" w:hAnsi="宋体" w:eastAsia="宋体" w:cs="宋体"/>
          <w:color w:val="auto"/>
          <w:spacing w:val="-4"/>
          <w:sz w:val="24"/>
          <w:szCs w:val="24"/>
          <w:highlight w:val="none"/>
          <w:u w:val="single"/>
        </w:rPr>
        <w:t xml:space="preserve">南宁建设工程造价信息》 </w:t>
      </w:r>
      <w:r>
        <w:rPr>
          <w:rStyle w:val="19"/>
          <w:rFonts w:hint="default" w:ascii="宋体" w:hAnsi="宋体" w:eastAsia="宋体" w:cs="宋体"/>
          <w:color w:val="auto"/>
          <w:spacing w:val="-18"/>
          <w:position w:val="7"/>
          <w:sz w:val="24"/>
          <w:szCs w:val="24"/>
          <w:highlight w:val="none"/>
        </w:rPr>
        <w:t>。</w:t>
      </w:r>
    </w:p>
    <w:p w14:paraId="45E0AD97">
      <w:pPr>
        <w:pStyle w:val="28"/>
        <w:keepNext w:val="0"/>
        <w:pageBreakBefore w:val="0"/>
        <w:wordWrap/>
        <w:topLinePunct w:val="0"/>
        <w:autoSpaceDE/>
        <w:autoSpaceDN/>
        <w:bidi w:val="0"/>
        <w:adjustRightInd/>
        <w:spacing w:beforeLines="0" w:afterLines="0" w:line="440" w:lineRule="exact"/>
        <w:ind w:firstLine="448"/>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16"/>
          <w:sz w:val="24"/>
          <w:szCs w:val="24"/>
          <w:highlight w:val="none"/>
        </w:rPr>
        <w:t>价格调整的项目和系数：</w:t>
      </w:r>
      <w:r>
        <w:rPr>
          <w:rStyle w:val="19"/>
          <w:rFonts w:hint="default" w:ascii="宋体" w:hAnsi="宋体" w:eastAsia="宋体" w:cs="宋体"/>
          <w:color w:val="auto"/>
          <w:spacing w:val="-16"/>
          <w:sz w:val="24"/>
          <w:szCs w:val="24"/>
          <w:highlight w:val="none"/>
          <w:u w:val="single"/>
        </w:rPr>
        <w:t xml:space="preserve">  </w:t>
      </w:r>
      <w:r>
        <w:rPr>
          <w:rStyle w:val="19"/>
          <w:rFonts w:hint="default" w:ascii="宋体" w:hAnsi="宋体" w:eastAsia="宋体" w:cs="宋体"/>
          <w:color w:val="auto"/>
          <w:spacing w:val="-16"/>
          <w:sz w:val="24"/>
          <w:szCs w:val="24"/>
          <w:highlight w:val="none"/>
          <w:u w:val="single"/>
          <w:lang w:eastAsia="zh-CN"/>
        </w:rPr>
        <w:t>/</w:t>
      </w:r>
      <w:r>
        <w:rPr>
          <w:rStyle w:val="19"/>
          <w:rFonts w:hint="default" w:ascii="宋体" w:hAnsi="宋体" w:eastAsia="宋体" w:cs="宋体"/>
          <w:color w:val="auto"/>
          <w:spacing w:val="-16"/>
          <w:sz w:val="24"/>
          <w:szCs w:val="24"/>
          <w:highlight w:val="none"/>
          <w:u w:val="single"/>
        </w:rPr>
        <w:t xml:space="preserve">   </w:t>
      </w:r>
      <w:r>
        <w:rPr>
          <w:rStyle w:val="19"/>
          <w:rFonts w:hint="default" w:ascii="宋体" w:hAnsi="宋体" w:eastAsia="宋体" w:cs="宋体"/>
          <w:color w:val="auto"/>
          <w:spacing w:val="-16"/>
          <w:sz w:val="24"/>
          <w:szCs w:val="24"/>
          <w:highlight w:val="none"/>
        </w:rPr>
        <w:t>。</w:t>
      </w:r>
    </w:p>
    <w:p w14:paraId="1957C95E">
      <w:pPr>
        <w:pStyle w:val="2"/>
        <w:keepNext w:val="0"/>
        <w:pageBreakBefore w:val="0"/>
        <w:wordWrap/>
        <w:topLinePunct w:val="0"/>
        <w:autoSpaceDE/>
        <w:autoSpaceDN/>
        <w:bidi w:val="0"/>
        <w:adjustRightInd/>
        <w:spacing w:line="440" w:lineRule="exact"/>
        <w:textAlignment w:val="auto"/>
        <w:rPr>
          <w:rStyle w:val="19"/>
          <w:rFonts w:hint="default" w:ascii="Calibri" w:hAnsi="Times New Roman" w:cs="Times New Roman"/>
          <w:color w:val="auto"/>
          <w:sz w:val="20"/>
          <w:szCs w:val="20"/>
          <w:highlight w:val="none"/>
        </w:rPr>
      </w:pPr>
      <w:r>
        <w:rPr>
          <w:rFonts w:hint="default" w:ascii="宋体" w:cs="Times New Roman"/>
          <w:color w:val="auto"/>
          <w:sz w:val="28"/>
          <w:szCs w:val="32"/>
          <w:highlight w:val="none"/>
        </w:rPr>
        <w:t>17.计量与支付</w:t>
      </w:r>
    </w:p>
    <w:p w14:paraId="53F94073">
      <w:pPr>
        <w:keepNext w:val="0"/>
        <w:pageBreakBefore w:val="0"/>
        <w:wordWrap/>
        <w:topLinePunct w:val="0"/>
        <w:autoSpaceDE/>
        <w:autoSpaceDN/>
        <w:bidi w:val="0"/>
        <w:adjustRightInd/>
        <w:spacing w:line="440" w:lineRule="exact"/>
        <w:textAlignment w:val="auto"/>
        <w:rPr>
          <w:rFonts w:hint="eastAsia"/>
          <w:b/>
          <w:color w:val="auto"/>
          <w:sz w:val="24"/>
          <w:szCs w:val="24"/>
          <w:highlight w:val="none"/>
        </w:rPr>
      </w:pPr>
      <w:r>
        <w:rPr>
          <w:rFonts w:hint="eastAsia"/>
          <w:b/>
          <w:color w:val="auto"/>
          <w:sz w:val="24"/>
          <w:szCs w:val="24"/>
          <w:highlight w:val="none"/>
        </w:rPr>
        <w:t>17.2预付款</w:t>
      </w:r>
    </w:p>
    <w:p w14:paraId="3F497AF8">
      <w:pPr>
        <w:pStyle w:val="28"/>
        <w:keepNext w:val="0"/>
        <w:pageBreakBefore w:val="0"/>
        <w:wordWrap/>
        <w:topLinePunct w:val="0"/>
        <w:autoSpaceDE/>
        <w:autoSpaceDN/>
        <w:bidi w:val="0"/>
        <w:adjustRightInd/>
        <w:spacing w:beforeLines="0" w:afterLines="0" w:line="440" w:lineRule="exact"/>
        <w:ind w:firstLine="465"/>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4"/>
          <w:sz w:val="24"/>
          <w:szCs w:val="24"/>
          <w:highlight w:val="none"/>
        </w:rPr>
        <w:t>17.2.1预付款</w:t>
      </w:r>
    </w:p>
    <w:p w14:paraId="66F4BD0D">
      <w:pPr>
        <w:pStyle w:val="28"/>
        <w:keepNext w:val="0"/>
        <w:pageBreakBefore w:val="0"/>
        <w:wordWrap/>
        <w:topLinePunct w:val="0"/>
        <w:autoSpaceDE/>
        <w:autoSpaceDN/>
        <w:bidi w:val="0"/>
        <w:adjustRightInd/>
        <w:spacing w:beforeLines="0" w:afterLines="0" w:line="440" w:lineRule="exact"/>
        <w:ind w:left="28" w:right="139" w:firstLine="485"/>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3"/>
          <w:sz w:val="24"/>
          <w:szCs w:val="24"/>
          <w:highlight w:val="none"/>
        </w:rPr>
        <w:t>（1）工程预付款的总金额为签约合同价(扣除暂列金额）后的</w:t>
      </w:r>
      <w:r>
        <w:rPr>
          <w:rStyle w:val="19"/>
          <w:rFonts w:hint="default" w:ascii="宋体" w:hAnsi="宋体" w:eastAsia="宋体" w:cs="宋体"/>
          <w:color w:val="auto"/>
          <w:spacing w:val="-3"/>
          <w:sz w:val="24"/>
          <w:szCs w:val="24"/>
          <w:highlight w:val="none"/>
          <w:u w:val="single"/>
        </w:rPr>
        <w:t xml:space="preserve"> </w:t>
      </w:r>
      <w:r>
        <w:rPr>
          <w:rFonts w:hint="default" w:ascii="宋体" w:hAnsi="宋体" w:eastAsia="宋体" w:cs="宋体"/>
          <w:color w:val="auto"/>
          <w:kern w:val="2"/>
          <w:sz w:val="24"/>
          <w:szCs w:val="24"/>
          <w:highlight w:val="none"/>
          <w:u w:val="single"/>
          <w:lang w:eastAsia="zh-CN" w:bidi="ar-SA"/>
        </w:rPr>
        <w:t xml:space="preserve"> 30</w:t>
      </w:r>
      <w:r>
        <w:rPr>
          <w:rStyle w:val="19"/>
          <w:rFonts w:hint="default" w:ascii="宋体" w:hAnsi="宋体" w:eastAsia="宋体" w:cs="宋体"/>
          <w:color w:val="auto"/>
          <w:spacing w:val="-3"/>
          <w:sz w:val="24"/>
          <w:szCs w:val="24"/>
          <w:highlight w:val="none"/>
          <w:u w:val="single"/>
        </w:rPr>
        <w:t xml:space="preserve"> </w:t>
      </w:r>
      <w:r>
        <w:rPr>
          <w:rStyle w:val="19"/>
          <w:rFonts w:hint="default" w:ascii="宋体" w:hAnsi="宋体" w:eastAsia="宋体" w:cs="宋体"/>
          <w:color w:val="auto"/>
          <w:spacing w:val="-3"/>
          <w:sz w:val="24"/>
          <w:szCs w:val="24"/>
          <w:highlight w:val="none"/>
        </w:rPr>
        <w:t>%,分</w:t>
      </w:r>
      <w:r>
        <w:rPr>
          <w:rStyle w:val="19"/>
          <w:rFonts w:hint="default" w:ascii="宋体" w:hAnsi="宋体" w:eastAsia="宋体" w:cs="宋体"/>
          <w:color w:val="auto"/>
          <w:spacing w:val="-3"/>
          <w:sz w:val="24"/>
          <w:szCs w:val="24"/>
          <w:highlight w:val="none"/>
          <w:u w:val="single"/>
        </w:rPr>
        <w:t xml:space="preserve"> </w:t>
      </w:r>
      <w:r>
        <w:rPr>
          <w:rFonts w:hint="default" w:ascii="宋体" w:hAnsi="宋体" w:eastAsia="宋体" w:cs="宋体"/>
          <w:color w:val="auto"/>
          <w:kern w:val="2"/>
          <w:sz w:val="24"/>
          <w:szCs w:val="24"/>
          <w:highlight w:val="none"/>
          <w:u w:val="single"/>
          <w:lang w:eastAsia="zh-CN" w:bidi="ar-SA"/>
        </w:rPr>
        <w:t xml:space="preserve"> 1 </w:t>
      </w:r>
      <w:r>
        <w:rPr>
          <w:rStyle w:val="19"/>
          <w:rFonts w:hint="default" w:ascii="宋体" w:hAnsi="宋体" w:eastAsia="宋体" w:cs="宋体"/>
          <w:color w:val="auto"/>
          <w:spacing w:val="-3"/>
          <w:sz w:val="24"/>
          <w:szCs w:val="24"/>
          <w:highlight w:val="none"/>
          <w:u w:val="single"/>
        </w:rPr>
        <w:t xml:space="preserve"> </w:t>
      </w:r>
      <w:r>
        <w:rPr>
          <w:rStyle w:val="19"/>
          <w:rFonts w:hint="default" w:ascii="宋体" w:hAnsi="宋体" w:eastAsia="宋体" w:cs="宋体"/>
          <w:color w:val="auto"/>
          <w:spacing w:val="-3"/>
          <w:sz w:val="24"/>
          <w:szCs w:val="24"/>
          <w:highlight w:val="none"/>
        </w:rPr>
        <w:t>次支付给承包人。各次预付款的支付额度和付款时间为：</w:t>
      </w:r>
    </w:p>
    <w:p w14:paraId="1B577DFB">
      <w:pPr>
        <w:pStyle w:val="28"/>
        <w:keepNext w:val="0"/>
        <w:pageBreakBefore w:val="0"/>
        <w:wordWrap/>
        <w:topLinePunct w:val="0"/>
        <w:autoSpaceDE/>
        <w:autoSpaceDN/>
        <w:bidi w:val="0"/>
        <w:adjustRightInd/>
        <w:spacing w:beforeLines="0" w:afterLines="0" w:line="440" w:lineRule="exact"/>
        <w:ind w:left="25" w:firstLine="499"/>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5"/>
          <w:sz w:val="24"/>
          <w:szCs w:val="24"/>
          <w:highlight w:val="none"/>
        </w:rPr>
        <w:t>1）第一次预付款金额为工程预付款总金额的</w:t>
      </w:r>
      <w:r>
        <w:rPr>
          <w:rStyle w:val="19"/>
          <w:rFonts w:hint="default" w:ascii="宋体" w:hAnsi="宋体" w:eastAsia="宋体" w:cs="宋体"/>
          <w:color w:val="auto"/>
          <w:spacing w:val="-5"/>
          <w:sz w:val="24"/>
          <w:szCs w:val="24"/>
          <w:highlight w:val="none"/>
          <w:u w:val="single"/>
        </w:rPr>
        <w:t xml:space="preserve"> </w:t>
      </w:r>
      <w:r>
        <w:rPr>
          <w:rFonts w:hint="default" w:ascii="宋体" w:hAnsi="宋体" w:eastAsia="宋体" w:cs="宋体"/>
          <w:color w:val="auto"/>
          <w:kern w:val="2"/>
          <w:sz w:val="24"/>
          <w:szCs w:val="24"/>
          <w:highlight w:val="none"/>
          <w:u w:val="single"/>
          <w:lang w:eastAsia="zh-CN" w:bidi="ar-SA"/>
        </w:rPr>
        <w:t xml:space="preserve"> / </w:t>
      </w:r>
      <w:r>
        <w:rPr>
          <w:rStyle w:val="19"/>
          <w:rFonts w:hint="default" w:ascii="宋体" w:hAnsi="宋体" w:eastAsia="宋体" w:cs="宋体"/>
          <w:color w:val="auto"/>
          <w:spacing w:val="-5"/>
          <w:sz w:val="24"/>
          <w:szCs w:val="24"/>
          <w:highlight w:val="none"/>
          <w:u w:val="single"/>
        </w:rPr>
        <w:t xml:space="preserve"> </w:t>
      </w:r>
      <w:r>
        <w:rPr>
          <w:rStyle w:val="19"/>
          <w:rFonts w:hint="default" w:ascii="宋体" w:hAnsi="宋体" w:eastAsia="宋体" w:cs="宋体"/>
          <w:color w:val="auto"/>
          <w:spacing w:val="-5"/>
          <w:sz w:val="24"/>
          <w:szCs w:val="24"/>
          <w:highlight w:val="none"/>
        </w:rPr>
        <w:t>%,付款时间应在合同协议</w:t>
      </w:r>
      <w:r>
        <w:rPr>
          <w:rStyle w:val="19"/>
          <w:rFonts w:hint="default" w:ascii="宋体" w:hAnsi="宋体" w:eastAsia="宋体" w:cs="宋体"/>
          <w:color w:val="auto"/>
          <w:spacing w:val="-13"/>
          <w:sz w:val="24"/>
          <w:szCs w:val="24"/>
          <w:highlight w:val="none"/>
        </w:rPr>
        <w:t>书签订后，</w:t>
      </w:r>
      <w:r>
        <w:rPr>
          <w:rStyle w:val="19"/>
          <w:rFonts w:hint="default" w:ascii="宋体" w:hAnsi="宋体" w:eastAsia="宋体" w:cs="宋体"/>
          <w:color w:val="auto"/>
          <w:spacing w:val="-13"/>
          <w:sz w:val="24"/>
          <w:szCs w:val="24"/>
          <w:highlight w:val="none"/>
          <w:lang w:eastAsia="zh-CN"/>
        </w:rPr>
        <w:t>承包人进场施工后，</w:t>
      </w:r>
      <w:r>
        <w:rPr>
          <w:rStyle w:val="19"/>
          <w:rFonts w:hint="default" w:ascii="宋体" w:hAnsi="宋体" w:eastAsia="宋体" w:cs="宋体"/>
          <w:color w:val="auto"/>
          <w:spacing w:val="-13"/>
          <w:sz w:val="24"/>
          <w:szCs w:val="24"/>
          <w:highlight w:val="none"/>
        </w:rPr>
        <w:t>由承包人向发包人提交了工程预付款担保，并经监理人出具付款证书，</w:t>
      </w:r>
      <w:r>
        <w:rPr>
          <w:rStyle w:val="19"/>
          <w:rFonts w:hint="default" w:ascii="宋体" w:hAnsi="宋体" w:eastAsia="宋体" w:cs="宋体"/>
          <w:color w:val="auto"/>
          <w:spacing w:val="-5"/>
          <w:sz w:val="24"/>
          <w:szCs w:val="24"/>
          <w:highlight w:val="none"/>
        </w:rPr>
        <w:t>报送发包人批准后14天内予以支付。</w:t>
      </w:r>
    </w:p>
    <w:p w14:paraId="70BD2FB9">
      <w:pPr>
        <w:pStyle w:val="28"/>
        <w:keepNext w:val="0"/>
        <w:pageBreakBefore w:val="0"/>
        <w:wordWrap/>
        <w:topLinePunct w:val="0"/>
        <w:autoSpaceDE/>
        <w:autoSpaceDN/>
        <w:bidi w:val="0"/>
        <w:adjustRightInd/>
        <w:spacing w:beforeLines="0" w:afterLines="0" w:line="440" w:lineRule="exact"/>
        <w:ind w:left="28" w:right="90" w:firstLine="481"/>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1"/>
          <w:sz w:val="24"/>
          <w:szCs w:val="24"/>
          <w:highlight w:val="none"/>
        </w:rPr>
        <w:t>2）预付款支付期限：经相关部门审批通过准许开工，达到工程开工条件达</w:t>
      </w:r>
      <w:r>
        <w:rPr>
          <w:rStyle w:val="19"/>
          <w:rFonts w:hint="default" w:ascii="宋体" w:hAnsi="宋体" w:eastAsia="宋体" w:cs="宋体"/>
          <w:color w:val="auto"/>
          <w:spacing w:val="-2"/>
          <w:sz w:val="24"/>
          <w:szCs w:val="24"/>
          <w:highlight w:val="none"/>
        </w:rPr>
        <w:t>标的，可申请预付款支付，按南宁市财政局相关文件执行。</w:t>
      </w:r>
    </w:p>
    <w:p w14:paraId="2D0EA32A">
      <w:pPr>
        <w:pStyle w:val="28"/>
        <w:keepNext w:val="0"/>
        <w:pageBreakBefore w:val="0"/>
        <w:wordWrap/>
        <w:topLinePunct w:val="0"/>
        <w:autoSpaceDE/>
        <w:autoSpaceDN/>
        <w:bidi w:val="0"/>
        <w:adjustRightInd/>
        <w:spacing w:beforeLines="0" w:afterLines="0" w:line="440" w:lineRule="exact"/>
        <w:ind w:firstLine="513"/>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9"/>
          <w:sz w:val="24"/>
          <w:szCs w:val="24"/>
          <w:highlight w:val="none"/>
        </w:rPr>
        <w:t>（2）工程材料预付款的额度和预付办法约定为：</w:t>
      </w:r>
      <w:r>
        <w:rPr>
          <w:rStyle w:val="19"/>
          <w:rFonts w:hint="default" w:ascii="宋体" w:hAnsi="宋体" w:eastAsia="宋体" w:cs="宋体"/>
          <w:color w:val="auto"/>
          <w:spacing w:val="-9"/>
          <w:sz w:val="24"/>
          <w:szCs w:val="24"/>
          <w:highlight w:val="none"/>
          <w:u w:val="single"/>
        </w:rPr>
        <w:t>无</w:t>
      </w:r>
      <w:r>
        <w:rPr>
          <w:rStyle w:val="19"/>
          <w:rFonts w:hint="default" w:ascii="宋体" w:hAnsi="宋体" w:eastAsia="宋体" w:cs="宋体"/>
          <w:color w:val="auto"/>
          <w:spacing w:val="-9"/>
          <w:sz w:val="24"/>
          <w:szCs w:val="24"/>
          <w:highlight w:val="none"/>
        </w:rPr>
        <w:t>。</w:t>
      </w:r>
    </w:p>
    <w:p w14:paraId="3771F737">
      <w:pPr>
        <w:pStyle w:val="28"/>
        <w:keepNext w:val="0"/>
        <w:pageBreakBefore w:val="0"/>
        <w:wordWrap/>
        <w:topLinePunct w:val="0"/>
        <w:autoSpaceDE/>
        <w:autoSpaceDN/>
        <w:bidi w:val="0"/>
        <w:adjustRightInd/>
        <w:spacing w:beforeLines="0" w:afterLines="0" w:line="440" w:lineRule="exact"/>
        <w:ind w:firstLine="465"/>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3"/>
          <w:sz w:val="24"/>
          <w:szCs w:val="24"/>
          <w:highlight w:val="none"/>
        </w:rPr>
        <w:t>17.2.2预付款保函(担保)</w:t>
      </w:r>
    </w:p>
    <w:p w14:paraId="2A72F59D">
      <w:pPr>
        <w:pStyle w:val="28"/>
        <w:keepNext w:val="0"/>
        <w:pageBreakBefore w:val="0"/>
        <w:wordWrap/>
        <w:topLinePunct w:val="0"/>
        <w:autoSpaceDE/>
        <w:autoSpaceDN/>
        <w:bidi w:val="0"/>
        <w:adjustRightInd/>
        <w:spacing w:beforeLines="0" w:afterLines="0" w:line="440" w:lineRule="exact"/>
        <w:ind w:firstLine="489"/>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10"/>
          <w:sz w:val="24"/>
          <w:szCs w:val="24"/>
          <w:highlight w:val="none"/>
        </w:rPr>
        <w:t>(2)工程材料预付款的担保约定为：</w:t>
      </w:r>
      <w:r>
        <w:rPr>
          <w:rStyle w:val="19"/>
          <w:rFonts w:hint="default" w:ascii="宋体" w:hAnsi="宋体" w:eastAsia="宋体" w:cs="宋体"/>
          <w:color w:val="auto"/>
          <w:spacing w:val="-10"/>
          <w:sz w:val="24"/>
          <w:szCs w:val="24"/>
          <w:highlight w:val="none"/>
          <w:u w:val="single"/>
        </w:rPr>
        <w:t xml:space="preserve"> </w:t>
      </w:r>
      <w:r>
        <w:rPr>
          <w:rFonts w:hint="default" w:ascii="宋体" w:hAnsi="宋体" w:eastAsia="宋体" w:cs="宋体"/>
          <w:color w:val="auto"/>
          <w:kern w:val="2"/>
          <w:sz w:val="24"/>
          <w:szCs w:val="24"/>
          <w:highlight w:val="none"/>
          <w:u w:val="single"/>
          <w:lang w:eastAsia="zh-CN" w:bidi="ar-SA"/>
        </w:rPr>
        <w:t xml:space="preserve"> / </w:t>
      </w:r>
      <w:r>
        <w:rPr>
          <w:rStyle w:val="19"/>
          <w:rFonts w:hint="default" w:ascii="宋体" w:hAnsi="宋体" w:eastAsia="宋体" w:cs="宋体"/>
          <w:color w:val="auto"/>
          <w:spacing w:val="-10"/>
          <w:sz w:val="24"/>
          <w:szCs w:val="24"/>
          <w:highlight w:val="none"/>
          <w:u w:val="single"/>
        </w:rPr>
        <w:t xml:space="preserve"> </w:t>
      </w:r>
      <w:r>
        <w:rPr>
          <w:rStyle w:val="19"/>
          <w:rFonts w:hint="default" w:ascii="宋体" w:hAnsi="宋体" w:eastAsia="宋体" w:cs="宋体"/>
          <w:color w:val="auto"/>
          <w:spacing w:val="-10"/>
          <w:sz w:val="24"/>
          <w:szCs w:val="24"/>
          <w:highlight w:val="none"/>
        </w:rPr>
        <w:t>。</w:t>
      </w:r>
    </w:p>
    <w:p w14:paraId="67474708">
      <w:pPr>
        <w:pStyle w:val="28"/>
        <w:keepNext w:val="0"/>
        <w:pageBreakBefore w:val="0"/>
        <w:wordWrap/>
        <w:topLinePunct w:val="0"/>
        <w:autoSpaceDE/>
        <w:autoSpaceDN/>
        <w:bidi w:val="0"/>
        <w:adjustRightInd/>
        <w:spacing w:beforeLines="0" w:afterLines="0" w:line="440" w:lineRule="exact"/>
        <w:ind w:firstLine="465"/>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3"/>
          <w:sz w:val="24"/>
          <w:szCs w:val="24"/>
          <w:highlight w:val="none"/>
        </w:rPr>
        <w:t>17.2.3预付款的扣回与还清</w:t>
      </w:r>
    </w:p>
    <w:p w14:paraId="0351C650">
      <w:pPr>
        <w:pStyle w:val="28"/>
        <w:keepNext w:val="0"/>
        <w:pageBreakBefore w:val="0"/>
        <w:numPr>
          <w:ilvl w:val="0"/>
          <w:numId w:val="0"/>
        </w:numPr>
        <w:wordWrap/>
        <w:topLinePunct w:val="0"/>
        <w:autoSpaceDE/>
        <w:autoSpaceDN/>
        <w:bidi w:val="0"/>
        <w:adjustRightInd/>
        <w:spacing w:beforeLines="0" w:afterLines="0" w:line="440" w:lineRule="exact"/>
        <w:ind w:left="508" w:right="65"/>
        <w:textAlignment w:val="auto"/>
        <w:rPr>
          <w:rStyle w:val="19"/>
          <w:rFonts w:hint="default" w:ascii="宋体" w:hAnsi="宋体" w:eastAsia="宋体" w:cs="宋体"/>
          <w:color w:val="auto"/>
          <w:spacing w:val="-2"/>
          <w:sz w:val="24"/>
          <w:szCs w:val="24"/>
          <w:highlight w:val="none"/>
        </w:rPr>
      </w:pPr>
      <w:r>
        <w:rPr>
          <w:rStyle w:val="19"/>
          <w:rFonts w:hint="default" w:ascii="宋体" w:hAnsi="宋体" w:eastAsia="宋体" w:cs="宋体"/>
          <w:color w:val="auto"/>
          <w:spacing w:val="-6"/>
          <w:sz w:val="24"/>
          <w:szCs w:val="24"/>
          <w:highlight w:val="none"/>
          <w:lang w:eastAsia="zh-CN"/>
        </w:rPr>
        <w:t>（1）</w:t>
      </w:r>
      <w:r>
        <w:rPr>
          <w:rStyle w:val="19"/>
          <w:rFonts w:hint="default" w:ascii="宋体" w:hAnsi="宋体" w:eastAsia="宋体" w:cs="宋体"/>
          <w:color w:val="auto"/>
          <w:spacing w:val="-6"/>
          <w:sz w:val="24"/>
          <w:szCs w:val="24"/>
          <w:highlight w:val="none"/>
        </w:rPr>
        <w:t>工程预付款在合同累计完成金额达到签约合同价格的</w:t>
      </w:r>
      <w:r>
        <w:rPr>
          <w:rFonts w:hint="default" w:ascii="宋体" w:hAnsi="宋体" w:eastAsia="宋体" w:cs="宋体"/>
          <w:color w:val="auto"/>
          <w:kern w:val="2"/>
          <w:sz w:val="24"/>
          <w:szCs w:val="24"/>
          <w:highlight w:val="none"/>
          <w:u w:val="single"/>
          <w:lang w:eastAsia="zh-CN" w:bidi="ar-SA"/>
        </w:rPr>
        <w:t xml:space="preserve"> 40 </w:t>
      </w:r>
      <w:r>
        <w:rPr>
          <w:rStyle w:val="19"/>
          <w:rFonts w:hint="default" w:ascii="宋体" w:hAnsi="宋体" w:eastAsia="宋体" w:cs="宋体"/>
          <w:color w:val="auto"/>
          <w:spacing w:val="-6"/>
          <w:sz w:val="24"/>
          <w:szCs w:val="24"/>
          <w:highlight w:val="none"/>
        </w:rPr>
        <w:t>%时开始扣款，直</w:t>
      </w:r>
      <w:r>
        <w:rPr>
          <w:rStyle w:val="19"/>
          <w:rFonts w:hint="default" w:ascii="宋体" w:hAnsi="宋体" w:eastAsia="宋体" w:cs="宋体"/>
          <w:color w:val="auto"/>
          <w:spacing w:val="-2"/>
          <w:sz w:val="24"/>
          <w:szCs w:val="24"/>
          <w:highlight w:val="none"/>
        </w:rPr>
        <w:t>至合同累计完成金额达到签约合同价的</w:t>
      </w:r>
      <w:r>
        <w:rPr>
          <w:rStyle w:val="19"/>
          <w:rFonts w:hint="default" w:ascii="宋体" w:hAnsi="宋体" w:eastAsia="宋体" w:cs="宋体"/>
          <w:color w:val="auto"/>
          <w:spacing w:val="-2"/>
          <w:sz w:val="24"/>
          <w:szCs w:val="24"/>
          <w:highlight w:val="none"/>
          <w:u w:val="single"/>
        </w:rPr>
        <w:t xml:space="preserve"> / </w:t>
      </w:r>
      <w:r>
        <w:rPr>
          <w:rStyle w:val="19"/>
          <w:rFonts w:hint="default" w:ascii="宋体" w:hAnsi="宋体" w:eastAsia="宋体" w:cs="宋体"/>
          <w:color w:val="auto"/>
          <w:spacing w:val="-2"/>
          <w:sz w:val="24"/>
          <w:szCs w:val="24"/>
          <w:highlight w:val="none"/>
        </w:rPr>
        <w:t>%时全部扣清。</w:t>
      </w:r>
    </w:p>
    <w:p w14:paraId="63FB297B">
      <w:pPr>
        <w:pStyle w:val="29"/>
        <w:keepNext w:val="0"/>
        <w:pageBreakBefore w:val="0"/>
        <w:numPr>
          <w:ilvl w:val="0"/>
          <w:numId w:val="0"/>
        </w:numPr>
        <w:wordWrap/>
        <w:topLinePunct w:val="0"/>
        <w:autoSpaceDE/>
        <w:autoSpaceDN/>
        <w:bidi w:val="0"/>
        <w:adjustRightInd/>
        <w:spacing w:beforeLines="0" w:afterLines="0" w:line="440" w:lineRule="exact"/>
        <w:textAlignment w:val="auto"/>
        <w:rPr>
          <w:rFonts w:hint="eastAsia"/>
          <w:color w:val="auto"/>
          <w:sz w:val="24"/>
          <w:szCs w:val="24"/>
          <w:highlight w:val="none"/>
        </w:rPr>
      </w:pPr>
    </w:p>
    <w:p w14:paraId="0A963B08">
      <w:pPr>
        <w:pStyle w:val="29"/>
        <w:keepNext w:val="0"/>
        <w:pageBreakBefore w:val="0"/>
        <w:numPr>
          <w:ilvl w:val="0"/>
          <w:numId w:val="0"/>
        </w:numPr>
        <w:wordWrap/>
        <w:topLinePunct w:val="0"/>
        <w:autoSpaceDE/>
        <w:autoSpaceDN/>
        <w:bidi w:val="0"/>
        <w:adjustRightInd/>
        <w:spacing w:beforeLines="0" w:afterLines="0" w:line="440" w:lineRule="exact"/>
        <w:textAlignment w:val="auto"/>
        <w:rPr>
          <w:rFonts w:hint="eastAsia"/>
          <w:color w:val="auto"/>
          <w:sz w:val="24"/>
          <w:szCs w:val="24"/>
          <w:highlight w:val="none"/>
        </w:rPr>
      </w:pPr>
      <w:r>
        <w:rPr>
          <w:rFonts w:hint="default" w:eastAsia="宋体"/>
          <w:color w:val="auto"/>
          <w:sz w:val="24"/>
          <w:szCs w:val="24"/>
          <w:highlight w:val="none"/>
          <w:lang w:bidi="mn-Mong-CN"/>
        </w:rPr>
        <w:pict>
          <v:shape id="Object 4" o:spid="_x0000_s1029" o:spt="75" type="#_x0000_t75" style="position:absolute;left:0pt;margin-left:55.5pt;margin-top:3.6pt;height:31.5pt;width:126.5pt;mso-wrap-distance-bottom:0pt;mso-wrap-distance-left:9pt;mso-wrap-distance-right:9pt;mso-wrap-distance-top:0pt;z-index:251662336;mso-width-relative:page;mso-height-relative:page;" o:ole="t" filled="f" o:preferrelative="t" stroked="f" coordsize="21600,21600">
            <v:path/>
            <v:fill on="f" focussize="0,0"/>
            <v:stroke on="f"/>
            <v:imagedata r:id="rId19" o:title=""/>
            <o:lock v:ext="edit" aspectratio="f"/>
            <w10:wrap type="square"/>
          </v:shape>
          <o:OLEObject Type="Embed" ProgID="" ShapeID="Object 4" DrawAspect="Content" ObjectID="_1468075726" r:id="rId18">
            <o:LockedField>false</o:LockedField>
          </o:OLEObject>
        </w:pict>
      </w:r>
    </w:p>
    <w:p w14:paraId="4330318F">
      <w:pPr>
        <w:pStyle w:val="29"/>
        <w:keepNext w:val="0"/>
        <w:pageBreakBefore w:val="0"/>
        <w:numPr>
          <w:ilvl w:val="0"/>
          <w:numId w:val="0"/>
        </w:numPr>
        <w:wordWrap/>
        <w:topLinePunct w:val="0"/>
        <w:autoSpaceDE/>
        <w:autoSpaceDN/>
        <w:bidi w:val="0"/>
        <w:adjustRightInd/>
        <w:spacing w:beforeLines="0" w:afterLines="0" w:line="440" w:lineRule="exact"/>
        <w:textAlignment w:val="auto"/>
        <w:rPr>
          <w:rFonts w:hint="eastAsia"/>
          <w:color w:val="auto"/>
          <w:sz w:val="24"/>
          <w:szCs w:val="24"/>
          <w:highlight w:val="none"/>
        </w:rPr>
      </w:pPr>
    </w:p>
    <w:p w14:paraId="7D6239AA">
      <w:pPr>
        <w:pStyle w:val="28"/>
        <w:keepNext w:val="0"/>
        <w:pageBreakBefore w:val="0"/>
        <w:wordWrap/>
        <w:topLinePunct w:val="0"/>
        <w:autoSpaceDE/>
        <w:autoSpaceDN/>
        <w:bidi w:val="0"/>
        <w:adjustRightInd/>
        <w:spacing w:beforeLines="0" w:afterLines="0" w:line="440" w:lineRule="exact"/>
        <w:textAlignment w:val="auto"/>
        <w:rPr>
          <w:rStyle w:val="19"/>
          <w:rFonts w:hint="default" w:ascii="Calibri" w:eastAsia="宋体"/>
          <w:color w:val="auto"/>
          <w:sz w:val="24"/>
          <w:szCs w:val="24"/>
          <w:highlight w:val="none"/>
        </w:rPr>
      </w:pPr>
    </w:p>
    <w:p w14:paraId="64735A5F">
      <w:pPr>
        <w:pStyle w:val="28"/>
        <w:keepNext w:val="0"/>
        <w:pageBreakBefore w:val="0"/>
        <w:wordWrap/>
        <w:topLinePunct w:val="0"/>
        <w:autoSpaceDE/>
        <w:autoSpaceDN/>
        <w:bidi w:val="0"/>
        <w:adjustRightInd/>
        <w:spacing w:beforeLines="0" w:afterLines="0" w:line="440" w:lineRule="exact"/>
        <w:ind w:firstLine="452"/>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12"/>
          <w:sz w:val="24"/>
          <w:szCs w:val="24"/>
          <w:highlight w:val="none"/>
        </w:rPr>
        <w:t>式中：R——每次进度付款中累计扣回的金额；</w:t>
      </w:r>
    </w:p>
    <w:p w14:paraId="4E4C4AC9">
      <w:pPr>
        <w:pStyle w:val="28"/>
        <w:keepNext w:val="0"/>
        <w:pageBreakBefore w:val="0"/>
        <w:wordWrap/>
        <w:topLinePunct w:val="0"/>
        <w:autoSpaceDE/>
        <w:autoSpaceDN/>
        <w:bidi w:val="0"/>
        <w:adjustRightInd/>
        <w:spacing w:beforeLines="0" w:afterLines="0" w:line="440" w:lineRule="exact"/>
        <w:ind w:firstLine="1159"/>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5"/>
          <w:position w:val="7"/>
          <w:sz w:val="24"/>
          <w:szCs w:val="24"/>
          <w:highlight w:val="none"/>
        </w:rPr>
        <w:t>A——工程预付款总金额；</w:t>
      </w:r>
    </w:p>
    <w:p w14:paraId="4109623F">
      <w:pPr>
        <w:pStyle w:val="28"/>
        <w:keepNext w:val="0"/>
        <w:pageBreakBefore w:val="0"/>
        <w:wordWrap/>
        <w:topLinePunct w:val="0"/>
        <w:autoSpaceDE/>
        <w:autoSpaceDN/>
        <w:bidi w:val="0"/>
        <w:adjustRightInd/>
        <w:spacing w:beforeLines="0" w:afterLines="0" w:line="440" w:lineRule="exact"/>
        <w:ind w:firstLine="1168"/>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6"/>
          <w:sz w:val="24"/>
          <w:szCs w:val="24"/>
          <w:highlight w:val="none"/>
        </w:rPr>
        <w:t>S——签约合同价格；</w:t>
      </w:r>
    </w:p>
    <w:p w14:paraId="05F8A3C0">
      <w:pPr>
        <w:pStyle w:val="28"/>
        <w:keepNext w:val="0"/>
        <w:pageBreakBefore w:val="0"/>
        <w:wordWrap/>
        <w:topLinePunct w:val="0"/>
        <w:autoSpaceDE/>
        <w:autoSpaceDN/>
        <w:bidi w:val="0"/>
        <w:adjustRightInd/>
        <w:spacing w:beforeLines="0" w:afterLines="0" w:line="440" w:lineRule="exact"/>
        <w:ind w:firstLine="1165"/>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5"/>
          <w:sz w:val="24"/>
          <w:szCs w:val="24"/>
          <w:highlight w:val="none"/>
        </w:rPr>
        <w:t>C——合同累计完成金额；</w:t>
      </w:r>
    </w:p>
    <w:p w14:paraId="794DCBD2">
      <w:pPr>
        <w:pStyle w:val="28"/>
        <w:keepNext w:val="0"/>
        <w:pageBreakBefore w:val="0"/>
        <w:wordWrap/>
        <w:topLinePunct w:val="0"/>
        <w:autoSpaceDE/>
        <w:autoSpaceDN/>
        <w:bidi w:val="0"/>
        <w:adjustRightInd/>
        <w:spacing w:beforeLines="0" w:afterLines="0" w:line="440" w:lineRule="exact"/>
        <w:ind w:left="1163" w:right="545"/>
        <w:textAlignment w:val="auto"/>
        <w:rPr>
          <w:rStyle w:val="19"/>
          <w:rFonts w:hint="default" w:ascii="宋体" w:hAnsi="宋体" w:eastAsia="宋体" w:cs="宋体"/>
          <w:color w:val="auto"/>
          <w:spacing w:val="-3"/>
          <w:sz w:val="24"/>
          <w:szCs w:val="24"/>
          <w:highlight w:val="none"/>
        </w:rPr>
      </w:pPr>
      <w:r>
        <w:rPr>
          <w:rStyle w:val="19"/>
          <w:rFonts w:hint="default" w:ascii="宋体" w:hAnsi="宋体" w:eastAsia="宋体" w:cs="宋体"/>
          <w:color w:val="auto"/>
          <w:spacing w:val="-3"/>
          <w:sz w:val="24"/>
          <w:szCs w:val="24"/>
          <w:highlight w:val="none"/>
        </w:rPr>
        <w:t>F</w:t>
      </w:r>
      <w:r>
        <w:rPr>
          <w:rStyle w:val="19"/>
          <w:rFonts w:hint="default" w:ascii="宋体" w:hAnsi="宋体" w:eastAsia="宋体" w:cs="宋体"/>
          <w:color w:val="auto"/>
          <w:spacing w:val="-3"/>
          <w:position w:val="-1"/>
          <w:sz w:val="24"/>
          <w:szCs w:val="24"/>
          <w:highlight w:val="none"/>
        </w:rPr>
        <w:t>1</w:t>
      </w:r>
      <w:r>
        <w:rPr>
          <w:rStyle w:val="19"/>
          <w:rFonts w:hint="default" w:ascii="宋体" w:hAnsi="宋体" w:eastAsia="宋体" w:cs="宋体"/>
          <w:color w:val="auto"/>
          <w:spacing w:val="-3"/>
          <w:sz w:val="24"/>
          <w:szCs w:val="24"/>
          <w:highlight w:val="none"/>
        </w:rPr>
        <w:t>——开始扣款时合同累计完成金额达到签约合同价格的比例；</w:t>
      </w:r>
    </w:p>
    <w:p w14:paraId="39DEAD7B">
      <w:pPr>
        <w:pStyle w:val="28"/>
        <w:keepNext w:val="0"/>
        <w:pageBreakBefore w:val="0"/>
        <w:wordWrap/>
        <w:topLinePunct w:val="0"/>
        <w:autoSpaceDE/>
        <w:autoSpaceDN/>
        <w:bidi w:val="0"/>
        <w:adjustRightInd/>
        <w:spacing w:beforeLines="0" w:afterLines="0" w:line="440" w:lineRule="exact"/>
        <w:ind w:left="1163" w:right="545"/>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2"/>
          <w:sz w:val="24"/>
          <w:szCs w:val="24"/>
          <w:highlight w:val="none"/>
        </w:rPr>
        <w:t>F</w:t>
      </w:r>
      <w:r>
        <w:rPr>
          <w:rStyle w:val="19"/>
          <w:rFonts w:hint="default" w:ascii="宋体" w:hAnsi="宋体" w:eastAsia="宋体" w:cs="宋体"/>
          <w:color w:val="auto"/>
          <w:spacing w:val="-2"/>
          <w:position w:val="-1"/>
          <w:sz w:val="24"/>
          <w:szCs w:val="24"/>
          <w:highlight w:val="none"/>
        </w:rPr>
        <w:t>2</w:t>
      </w:r>
      <w:r>
        <w:rPr>
          <w:rStyle w:val="19"/>
          <w:rFonts w:hint="default" w:ascii="宋体" w:hAnsi="宋体" w:eastAsia="宋体" w:cs="宋体"/>
          <w:color w:val="auto"/>
          <w:spacing w:val="-2"/>
          <w:sz w:val="24"/>
          <w:szCs w:val="24"/>
          <w:highlight w:val="none"/>
        </w:rPr>
        <w:t>——全部扣清时合同累计完成金额达到签约合同价格的比例。</w:t>
      </w:r>
    </w:p>
    <w:p w14:paraId="682792AC">
      <w:pPr>
        <w:pStyle w:val="28"/>
        <w:keepNext w:val="0"/>
        <w:pageBreakBefore w:val="0"/>
        <w:wordWrap/>
        <w:topLinePunct w:val="0"/>
        <w:autoSpaceDE/>
        <w:autoSpaceDN/>
        <w:bidi w:val="0"/>
        <w:adjustRightInd/>
        <w:spacing w:beforeLines="0" w:afterLines="0" w:line="440" w:lineRule="exact"/>
        <w:ind w:firstLine="449"/>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2"/>
          <w:sz w:val="24"/>
          <w:szCs w:val="24"/>
          <w:highlight w:val="none"/>
        </w:rPr>
        <w:t>上述合同累计完成金额均指价格调整前未扣质量保证金的金额。</w:t>
      </w:r>
    </w:p>
    <w:p w14:paraId="6211DFC2">
      <w:pPr>
        <w:pStyle w:val="29"/>
        <w:keepNext w:val="0"/>
        <w:pageBreakBefore w:val="0"/>
        <w:numPr>
          <w:ilvl w:val="0"/>
          <w:numId w:val="0"/>
        </w:numPr>
        <w:wordWrap/>
        <w:topLinePunct w:val="0"/>
        <w:autoSpaceDE/>
        <w:autoSpaceDN/>
        <w:bidi w:val="0"/>
        <w:adjustRightInd/>
        <w:spacing w:beforeLines="0" w:afterLines="0" w:line="440" w:lineRule="exact"/>
        <w:ind w:firstLine="452" w:firstLineChars="200"/>
        <w:textAlignment w:val="auto"/>
        <w:rPr>
          <w:rFonts w:hint="default" w:ascii="宋体" w:eastAsia="宋体"/>
          <w:color w:val="auto"/>
          <w:sz w:val="21"/>
          <w:szCs w:val="24"/>
          <w:highlight w:val="none"/>
          <w:u w:val="single"/>
        </w:rPr>
      </w:pPr>
      <w:r>
        <w:rPr>
          <w:rStyle w:val="19"/>
          <w:rFonts w:hint="default" w:ascii="宋体" w:hAnsi="宋体" w:eastAsia="宋体" w:cs="宋体"/>
          <w:color w:val="auto"/>
          <w:spacing w:val="-7"/>
          <w:sz w:val="24"/>
          <w:szCs w:val="24"/>
          <w:highlight w:val="none"/>
        </w:rPr>
        <w:t>工程材料预付款的扣回与还清约定为：</w:t>
      </w:r>
      <w:r>
        <w:rPr>
          <w:rFonts w:hint="default" w:ascii="宋体" w:eastAsia="宋体"/>
          <w:color w:val="auto"/>
          <w:sz w:val="24"/>
          <w:szCs w:val="24"/>
          <w:highlight w:val="none"/>
          <w:u w:val="single"/>
        </w:rPr>
        <w:t>当工程完成投资达到合同价40%后，对预付款实行一次性扣回。</w:t>
      </w:r>
    </w:p>
    <w:p w14:paraId="4537F7C3">
      <w:pPr>
        <w:keepNext w:val="0"/>
        <w:pageBreakBefore w:val="0"/>
        <w:wordWrap/>
        <w:topLinePunct w:val="0"/>
        <w:autoSpaceDE/>
        <w:autoSpaceDN/>
        <w:bidi w:val="0"/>
        <w:adjustRightInd/>
        <w:spacing w:line="440" w:lineRule="exact"/>
        <w:textAlignment w:val="auto"/>
        <w:rPr>
          <w:rFonts w:hint="eastAsia"/>
          <w:b/>
          <w:color w:val="auto"/>
          <w:sz w:val="24"/>
          <w:szCs w:val="24"/>
          <w:highlight w:val="none"/>
        </w:rPr>
      </w:pPr>
      <w:r>
        <w:rPr>
          <w:rFonts w:hint="eastAsia"/>
          <w:b/>
          <w:color w:val="auto"/>
          <w:sz w:val="24"/>
          <w:szCs w:val="24"/>
          <w:highlight w:val="none"/>
        </w:rPr>
        <w:t>17.3工程进度付款</w:t>
      </w:r>
    </w:p>
    <w:p w14:paraId="1F62ACC0">
      <w:pPr>
        <w:pStyle w:val="28"/>
        <w:keepNext w:val="0"/>
        <w:pageBreakBefore w:val="0"/>
        <w:wordWrap/>
        <w:topLinePunct w:val="0"/>
        <w:autoSpaceDE/>
        <w:autoSpaceDN/>
        <w:bidi w:val="0"/>
        <w:adjustRightInd/>
        <w:spacing w:beforeLines="0" w:afterLines="0" w:line="440" w:lineRule="exact"/>
        <w:ind w:firstLine="465"/>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3"/>
          <w:sz w:val="24"/>
          <w:szCs w:val="24"/>
          <w:highlight w:val="none"/>
        </w:rPr>
        <w:t>17.3.2进度付款申请单</w:t>
      </w:r>
    </w:p>
    <w:p w14:paraId="5DEE76BC">
      <w:pPr>
        <w:pStyle w:val="28"/>
        <w:keepNext w:val="0"/>
        <w:pageBreakBefore w:val="0"/>
        <w:wordWrap/>
        <w:topLinePunct w:val="0"/>
        <w:autoSpaceDE/>
        <w:autoSpaceDN/>
        <w:bidi w:val="0"/>
        <w:adjustRightInd/>
        <w:spacing w:beforeLines="0" w:afterLines="0" w:line="440" w:lineRule="exact"/>
        <w:ind w:firstLine="507"/>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7"/>
          <w:sz w:val="24"/>
          <w:szCs w:val="24"/>
          <w:highlight w:val="none"/>
        </w:rPr>
        <w:t>承包人提交进度付款申请单的份数：</w:t>
      </w:r>
      <w:r>
        <w:rPr>
          <w:rStyle w:val="19"/>
          <w:rFonts w:hint="default" w:ascii="宋体" w:hAnsi="宋体" w:eastAsia="宋体" w:cs="宋体"/>
          <w:color w:val="auto"/>
          <w:spacing w:val="-7"/>
          <w:sz w:val="24"/>
          <w:szCs w:val="24"/>
          <w:highlight w:val="none"/>
          <w:u w:val="single"/>
        </w:rPr>
        <w:t xml:space="preserve"> 在签订施工承包合同时约定 </w:t>
      </w:r>
      <w:r>
        <w:rPr>
          <w:rStyle w:val="19"/>
          <w:rFonts w:hint="default" w:ascii="宋体" w:hAnsi="宋体" w:eastAsia="宋体" w:cs="宋体"/>
          <w:color w:val="auto"/>
          <w:spacing w:val="-7"/>
          <w:sz w:val="24"/>
          <w:szCs w:val="24"/>
          <w:highlight w:val="none"/>
        </w:rPr>
        <w:t>。</w:t>
      </w:r>
    </w:p>
    <w:p w14:paraId="032077E7">
      <w:pPr>
        <w:pStyle w:val="28"/>
        <w:keepNext w:val="0"/>
        <w:pageBreakBefore w:val="0"/>
        <w:wordWrap/>
        <w:topLinePunct w:val="0"/>
        <w:autoSpaceDE/>
        <w:autoSpaceDN/>
        <w:bidi w:val="0"/>
        <w:adjustRightInd/>
        <w:spacing w:beforeLines="0" w:afterLines="0" w:line="440" w:lineRule="exact"/>
        <w:ind w:firstLine="726"/>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2"/>
          <w:sz w:val="24"/>
          <w:szCs w:val="24"/>
          <w:highlight w:val="none"/>
        </w:rPr>
        <w:t>17.3.3进度付款证书和支付时间</w:t>
      </w:r>
    </w:p>
    <w:p w14:paraId="676279DB">
      <w:pPr>
        <w:pStyle w:val="28"/>
        <w:keepNext w:val="0"/>
        <w:pageBreakBefore w:val="0"/>
        <w:wordWrap/>
        <w:topLinePunct w:val="0"/>
        <w:autoSpaceDE/>
        <w:autoSpaceDN/>
        <w:bidi w:val="0"/>
        <w:adjustRightInd/>
        <w:spacing w:beforeLines="0" w:afterLines="0" w:line="440" w:lineRule="exact"/>
        <w:ind w:left="29" w:right="17" w:firstLine="520"/>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2"/>
          <w:sz w:val="24"/>
          <w:szCs w:val="24"/>
          <w:highlight w:val="none"/>
        </w:rPr>
        <w:t>(2)本款“专用合同条款的约定支付逾期付款违约金”为按中国人民银行规</w:t>
      </w:r>
      <w:r>
        <w:rPr>
          <w:rStyle w:val="19"/>
          <w:rFonts w:hint="default" w:ascii="宋体" w:hAnsi="宋体" w:eastAsia="宋体" w:cs="宋体"/>
          <w:color w:val="auto"/>
          <w:spacing w:val="-4"/>
          <w:sz w:val="24"/>
          <w:szCs w:val="24"/>
          <w:highlight w:val="none"/>
        </w:rPr>
        <w:t>定的同期贷款市场报价利率（LPR）计算的逾期付款金额的利息。由于财政资金审批延误等非发包</w:t>
      </w:r>
      <w:r>
        <w:rPr>
          <w:rStyle w:val="19"/>
          <w:rFonts w:hint="default" w:ascii="宋体" w:hAnsi="宋体" w:eastAsia="宋体" w:cs="宋体"/>
          <w:color w:val="auto"/>
          <w:spacing w:val="-2"/>
          <w:sz w:val="24"/>
          <w:szCs w:val="24"/>
          <w:highlight w:val="none"/>
        </w:rPr>
        <w:t>人原因造成工程款支付延误，发包人不承担违约责任。</w:t>
      </w:r>
    </w:p>
    <w:p w14:paraId="77CAEDF0">
      <w:pPr>
        <w:pStyle w:val="28"/>
        <w:keepNext w:val="0"/>
        <w:pageBreakBefore w:val="0"/>
        <w:wordWrap/>
        <w:topLinePunct w:val="0"/>
        <w:autoSpaceDE/>
        <w:autoSpaceDN/>
        <w:bidi w:val="0"/>
        <w:adjustRightInd/>
        <w:spacing w:beforeLines="0" w:afterLines="0" w:line="440" w:lineRule="exact"/>
        <w:ind w:firstLine="465"/>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3"/>
          <w:sz w:val="24"/>
          <w:szCs w:val="24"/>
          <w:highlight w:val="none"/>
        </w:rPr>
        <w:t>17.3.5工程进度付款的支付比例</w:t>
      </w:r>
    </w:p>
    <w:p w14:paraId="2645CB2D">
      <w:pPr>
        <w:pStyle w:val="23"/>
        <w:keepNext w:val="0"/>
        <w:pageBreakBefore w:val="0"/>
        <w:wordWrap/>
        <w:topLinePunct w:val="0"/>
        <w:autoSpaceDE/>
        <w:autoSpaceDN/>
        <w:bidi w:val="0"/>
        <w:adjustRightInd/>
        <w:spacing w:beforeLines="0" w:afterLines="0" w:line="440" w:lineRule="exact"/>
        <w:ind w:firstLine="464" w:firstLineChars="200"/>
        <w:textAlignment w:val="auto"/>
        <w:rPr>
          <w:rStyle w:val="19"/>
          <w:rFonts w:hint="default" w:ascii="宋体" w:hAnsi="宋体" w:eastAsia="宋体" w:cs="宋体"/>
          <w:color w:val="auto"/>
          <w:spacing w:val="-4"/>
          <w:sz w:val="24"/>
          <w:szCs w:val="24"/>
          <w:highlight w:val="none"/>
          <w:u w:val="single"/>
        </w:rPr>
      </w:pPr>
      <w:r>
        <w:rPr>
          <w:rStyle w:val="19"/>
          <w:rFonts w:hint="default" w:ascii="宋体" w:hAnsi="宋体" w:eastAsia="宋体" w:cs="宋体"/>
          <w:color w:val="auto"/>
          <w:spacing w:val="-4"/>
          <w:sz w:val="24"/>
          <w:szCs w:val="24"/>
          <w:highlight w:val="none"/>
          <w:u w:val="single"/>
        </w:rPr>
        <w:t>（1）进度款：根据确定的工程计量结果，工程进度款不低于工程价款的60%，不高于工程价款的</w:t>
      </w:r>
      <w:r>
        <w:rPr>
          <w:rStyle w:val="19"/>
          <w:rFonts w:hint="eastAsia" w:ascii="宋体" w:hAnsi="宋体" w:eastAsia="宋体" w:cs="宋体"/>
          <w:color w:val="auto"/>
          <w:spacing w:val="-4"/>
          <w:sz w:val="24"/>
          <w:szCs w:val="24"/>
          <w:highlight w:val="none"/>
          <w:u w:val="single"/>
          <w:lang w:val="en-US" w:eastAsia="zh-CN"/>
        </w:rPr>
        <w:t>8</w:t>
      </w:r>
      <w:r>
        <w:rPr>
          <w:rStyle w:val="19"/>
          <w:rFonts w:hint="default" w:ascii="宋体" w:hAnsi="宋体" w:eastAsia="宋体" w:cs="宋体"/>
          <w:color w:val="auto"/>
          <w:spacing w:val="-4"/>
          <w:sz w:val="24"/>
          <w:szCs w:val="24"/>
          <w:highlight w:val="none"/>
          <w:u w:val="single"/>
        </w:rPr>
        <w:t>0%（不超合同价）。</w:t>
      </w:r>
    </w:p>
    <w:p w14:paraId="2BEEB8F5">
      <w:pPr>
        <w:pStyle w:val="23"/>
        <w:keepNext w:val="0"/>
        <w:pageBreakBefore w:val="0"/>
        <w:wordWrap/>
        <w:topLinePunct w:val="0"/>
        <w:autoSpaceDE/>
        <w:autoSpaceDN/>
        <w:bidi w:val="0"/>
        <w:adjustRightInd/>
        <w:spacing w:beforeLines="0" w:afterLines="0" w:line="440" w:lineRule="exact"/>
        <w:ind w:firstLine="464" w:firstLineChars="200"/>
        <w:textAlignment w:val="auto"/>
        <w:rPr>
          <w:rStyle w:val="19"/>
          <w:rFonts w:hint="default" w:ascii="宋体" w:hAnsi="宋体" w:eastAsia="宋体" w:cs="宋体"/>
          <w:color w:val="auto"/>
          <w:spacing w:val="-4"/>
          <w:sz w:val="24"/>
          <w:szCs w:val="24"/>
          <w:highlight w:val="none"/>
          <w:u w:val="single"/>
        </w:rPr>
      </w:pPr>
      <w:r>
        <w:rPr>
          <w:rStyle w:val="19"/>
          <w:rFonts w:hint="default" w:ascii="宋体" w:hAnsi="宋体" w:eastAsia="宋体" w:cs="宋体"/>
          <w:color w:val="auto"/>
          <w:spacing w:val="-4"/>
          <w:sz w:val="24"/>
          <w:szCs w:val="24"/>
          <w:highlight w:val="none"/>
          <w:u w:val="single"/>
          <w:lang w:eastAsia="zh-CN"/>
        </w:rPr>
        <w:t>（2）</w:t>
      </w:r>
      <w:r>
        <w:rPr>
          <w:rStyle w:val="19"/>
          <w:rFonts w:hint="default" w:ascii="宋体" w:hAnsi="宋体" w:eastAsia="宋体" w:cs="宋体"/>
          <w:color w:val="auto"/>
          <w:spacing w:val="-4"/>
          <w:sz w:val="24"/>
          <w:szCs w:val="24"/>
          <w:highlight w:val="none"/>
          <w:u w:val="single"/>
        </w:rPr>
        <w:t>尾  款：工程完工验收达到质量要求并经有关部门审定结算后，工程款支付至结算总价的97%（含已支付工程款）。若承包人将质量保修金（审计结算价的3%）存入发包人指定账户，发包人则按审计结算价全额支付工程款。</w:t>
      </w:r>
    </w:p>
    <w:p w14:paraId="1B2218F1">
      <w:pPr>
        <w:pStyle w:val="23"/>
        <w:keepNext w:val="0"/>
        <w:pageBreakBefore w:val="0"/>
        <w:wordWrap/>
        <w:topLinePunct w:val="0"/>
        <w:autoSpaceDE/>
        <w:autoSpaceDN/>
        <w:bidi w:val="0"/>
        <w:adjustRightInd/>
        <w:spacing w:beforeLines="0" w:afterLines="0" w:line="440" w:lineRule="exact"/>
        <w:ind w:firstLine="464" w:firstLineChars="200"/>
        <w:textAlignment w:val="auto"/>
        <w:rPr>
          <w:rStyle w:val="19"/>
          <w:rFonts w:hint="default" w:ascii="宋体" w:hAnsi="宋体" w:eastAsia="宋体" w:cs="宋体"/>
          <w:color w:val="auto"/>
          <w:spacing w:val="-4"/>
          <w:sz w:val="24"/>
          <w:szCs w:val="24"/>
          <w:highlight w:val="none"/>
          <w:u w:val="single"/>
        </w:rPr>
      </w:pPr>
      <w:r>
        <w:rPr>
          <w:rStyle w:val="19"/>
          <w:rFonts w:hint="default" w:ascii="宋体" w:hAnsi="宋体" w:eastAsia="宋体" w:cs="宋体"/>
          <w:color w:val="auto"/>
          <w:spacing w:val="-4"/>
          <w:sz w:val="24"/>
          <w:szCs w:val="24"/>
          <w:highlight w:val="none"/>
          <w:u w:val="single"/>
          <w:lang w:eastAsia="zh-CN"/>
        </w:rPr>
        <w:t>（3）</w:t>
      </w:r>
      <w:r>
        <w:rPr>
          <w:rStyle w:val="19"/>
          <w:rFonts w:hint="default" w:ascii="宋体" w:hAnsi="宋体" w:eastAsia="宋体" w:cs="宋体"/>
          <w:color w:val="auto"/>
          <w:spacing w:val="-4"/>
          <w:sz w:val="24"/>
          <w:szCs w:val="24"/>
          <w:highlight w:val="none"/>
          <w:u w:val="single"/>
        </w:rPr>
        <w:t>质保金：工程质量保修期满，发包人复验无质量问题后签发工程缺陷责任期终止证书并返还缴存的质保金。</w:t>
      </w:r>
    </w:p>
    <w:p w14:paraId="6541566E">
      <w:pPr>
        <w:pStyle w:val="23"/>
        <w:keepNext w:val="0"/>
        <w:pageBreakBefore w:val="0"/>
        <w:wordWrap/>
        <w:topLinePunct w:val="0"/>
        <w:autoSpaceDE/>
        <w:autoSpaceDN/>
        <w:bidi w:val="0"/>
        <w:adjustRightInd/>
        <w:spacing w:beforeLines="0" w:afterLines="0" w:line="440" w:lineRule="exact"/>
        <w:ind w:firstLine="464" w:firstLineChars="200"/>
        <w:textAlignment w:val="auto"/>
        <w:rPr>
          <w:rStyle w:val="19"/>
          <w:rFonts w:hint="default" w:ascii="宋体" w:hAnsi="宋体" w:eastAsia="宋体" w:cs="宋体"/>
          <w:color w:val="auto"/>
          <w:spacing w:val="-4"/>
          <w:sz w:val="24"/>
          <w:szCs w:val="24"/>
          <w:highlight w:val="none"/>
          <w:u w:val="single"/>
        </w:rPr>
      </w:pPr>
      <w:r>
        <w:rPr>
          <w:rStyle w:val="19"/>
          <w:rFonts w:hint="default" w:ascii="宋体" w:hAnsi="宋体" w:eastAsia="宋体" w:cs="宋体"/>
          <w:color w:val="auto"/>
          <w:spacing w:val="-4"/>
          <w:sz w:val="24"/>
          <w:szCs w:val="24"/>
          <w:highlight w:val="none"/>
          <w:u w:val="single"/>
          <w:lang w:eastAsia="zh-CN"/>
        </w:rPr>
        <w:t>（4）</w:t>
      </w:r>
      <w:r>
        <w:rPr>
          <w:rStyle w:val="19"/>
          <w:rFonts w:hint="default" w:ascii="宋体" w:hAnsi="宋体" w:eastAsia="宋体" w:cs="宋体"/>
          <w:color w:val="auto"/>
          <w:spacing w:val="-4"/>
          <w:sz w:val="24"/>
          <w:szCs w:val="24"/>
          <w:highlight w:val="none"/>
          <w:u w:val="single"/>
        </w:rPr>
        <w:t>双方约定合同外工程款的支付方式和时间：施工过程中产生的合同外的工程量，必须经过发包人及监理方签字确认后方可生效。未经以上程序的，承包人均无权主张。</w:t>
      </w:r>
    </w:p>
    <w:p w14:paraId="1D201CFB">
      <w:pPr>
        <w:pStyle w:val="23"/>
        <w:keepNext w:val="0"/>
        <w:pageBreakBefore w:val="0"/>
        <w:wordWrap/>
        <w:topLinePunct w:val="0"/>
        <w:autoSpaceDE/>
        <w:autoSpaceDN/>
        <w:bidi w:val="0"/>
        <w:adjustRightInd/>
        <w:spacing w:beforeLines="0" w:afterLines="0" w:line="440" w:lineRule="exact"/>
        <w:ind w:firstLine="464" w:firstLineChars="200"/>
        <w:textAlignment w:val="auto"/>
        <w:rPr>
          <w:rStyle w:val="19"/>
          <w:rFonts w:hint="default" w:ascii="宋体" w:hAnsi="宋体" w:eastAsia="宋体" w:cs="宋体"/>
          <w:color w:val="auto"/>
          <w:spacing w:val="-4"/>
          <w:sz w:val="24"/>
          <w:szCs w:val="24"/>
          <w:highlight w:val="none"/>
          <w:u w:val="single"/>
        </w:rPr>
      </w:pPr>
      <w:r>
        <w:rPr>
          <w:rStyle w:val="19"/>
          <w:rFonts w:hint="default" w:ascii="宋体" w:hAnsi="宋体" w:eastAsia="宋体" w:cs="宋体"/>
          <w:color w:val="auto"/>
          <w:spacing w:val="-4"/>
          <w:sz w:val="24"/>
          <w:szCs w:val="24"/>
          <w:highlight w:val="none"/>
          <w:u w:val="single"/>
          <w:lang w:eastAsia="zh-CN"/>
        </w:rPr>
        <w:t>（5）</w:t>
      </w:r>
      <w:r>
        <w:rPr>
          <w:rStyle w:val="19"/>
          <w:rFonts w:hint="default" w:ascii="宋体" w:hAnsi="宋体" w:eastAsia="宋体" w:cs="宋体"/>
          <w:color w:val="auto"/>
          <w:spacing w:val="-4"/>
          <w:sz w:val="24"/>
          <w:szCs w:val="24"/>
          <w:highlight w:val="none"/>
          <w:u w:val="single"/>
        </w:rPr>
        <w:t>在未交付使用前，成交供应商应采取一切合理的预防措施，防止人员伤亡，财产损失，费用由成交供应商自行承担。</w:t>
      </w:r>
    </w:p>
    <w:p w14:paraId="3FF2D5D4">
      <w:pPr>
        <w:pStyle w:val="28"/>
        <w:keepNext w:val="0"/>
        <w:pageBreakBefore w:val="0"/>
        <w:tabs>
          <w:tab w:val="left" w:pos="632"/>
        </w:tabs>
        <w:wordWrap/>
        <w:topLinePunct w:val="0"/>
        <w:autoSpaceDE/>
        <w:autoSpaceDN/>
        <w:bidi w:val="0"/>
        <w:adjustRightInd/>
        <w:spacing w:beforeLines="0" w:afterLines="0" w:line="440" w:lineRule="exact"/>
        <w:ind w:right="17" w:firstLine="480" w:firstLineChars="200"/>
        <w:textAlignment w:val="auto"/>
        <w:rPr>
          <w:rStyle w:val="19"/>
          <w:rFonts w:hint="default" w:ascii="宋体" w:hAnsi="宋体" w:eastAsia="宋体" w:cs="宋体"/>
          <w:color w:val="auto"/>
          <w:spacing w:val="-6"/>
          <w:sz w:val="24"/>
          <w:szCs w:val="24"/>
          <w:highlight w:val="none"/>
        </w:rPr>
      </w:pPr>
      <w:r>
        <w:rPr>
          <w:rFonts w:ascii="宋体" w:hAnsi="宋体" w:eastAsia="宋体" w:cs="宋体"/>
          <w:sz w:val="24"/>
          <w:szCs w:val="24"/>
        </w:rPr>
        <w:t>（6）农民工工资保证金应在项目开工前，由成交供应商按合同价的 1% 缴存至工程项目所在地商业银行开设的农民工工资保证金专用账户；成交供应商可按规定以银行保函替代现金缴存。（注：农民工工资保证金实行三方监管的，保证金缴存、使用及退还按照三方监管协议及相关政策规定执行）。</w:t>
      </w:r>
      <w:r>
        <w:rPr>
          <w:rStyle w:val="19"/>
          <w:rFonts w:hint="default" w:ascii="宋体" w:hAnsi="宋体" w:eastAsia="宋体" w:cs="宋体"/>
          <w:color w:val="auto"/>
          <w:spacing w:val="-6"/>
          <w:sz w:val="24"/>
          <w:szCs w:val="24"/>
          <w:highlight w:val="none"/>
          <w:lang w:eastAsia="zh-CN"/>
        </w:rPr>
        <w:t xml:space="preserve">         </w:t>
      </w:r>
    </w:p>
    <w:p w14:paraId="32621611">
      <w:pPr>
        <w:pStyle w:val="29"/>
        <w:keepNext w:val="0"/>
        <w:pageBreakBefore w:val="0"/>
        <w:wordWrap/>
        <w:topLinePunct w:val="0"/>
        <w:autoSpaceDE/>
        <w:autoSpaceDN/>
        <w:bidi w:val="0"/>
        <w:adjustRightInd/>
        <w:spacing w:beforeLines="0" w:afterLines="0" w:line="440" w:lineRule="exact"/>
        <w:textAlignment w:val="auto"/>
        <w:rPr>
          <w:rStyle w:val="19"/>
          <w:rFonts w:hint="default" w:ascii="宋体" w:hAnsi="宋体" w:eastAsia="宋体" w:cs="宋体"/>
          <w:b/>
          <w:color w:val="auto"/>
          <w:sz w:val="24"/>
          <w:szCs w:val="24"/>
          <w:highlight w:val="none"/>
        </w:rPr>
      </w:pPr>
    </w:p>
    <w:p w14:paraId="49A2CEEC">
      <w:pPr>
        <w:keepNext w:val="0"/>
        <w:pageBreakBefore w:val="0"/>
        <w:wordWrap/>
        <w:topLinePunct w:val="0"/>
        <w:autoSpaceDE/>
        <w:autoSpaceDN/>
        <w:bidi w:val="0"/>
        <w:adjustRightInd/>
        <w:spacing w:line="440" w:lineRule="exact"/>
        <w:textAlignment w:val="auto"/>
        <w:rPr>
          <w:rFonts w:hint="eastAsia"/>
          <w:b/>
          <w:color w:val="auto"/>
          <w:sz w:val="24"/>
          <w:szCs w:val="24"/>
          <w:highlight w:val="none"/>
        </w:rPr>
      </w:pPr>
      <w:r>
        <w:rPr>
          <w:rFonts w:hint="eastAsia"/>
          <w:b/>
          <w:color w:val="auto"/>
          <w:sz w:val="24"/>
          <w:szCs w:val="24"/>
          <w:highlight w:val="none"/>
        </w:rPr>
        <w:t>17.4质量保证金</w:t>
      </w:r>
    </w:p>
    <w:p w14:paraId="6F150EDE">
      <w:pPr>
        <w:pStyle w:val="28"/>
        <w:keepNext w:val="0"/>
        <w:pageBreakBefore w:val="0"/>
        <w:wordWrap/>
        <w:topLinePunct w:val="0"/>
        <w:autoSpaceDE/>
        <w:autoSpaceDN/>
        <w:bidi w:val="0"/>
        <w:adjustRightInd/>
        <w:spacing w:beforeLines="0" w:afterLines="0" w:line="440" w:lineRule="exact"/>
        <w:textAlignment w:val="auto"/>
        <w:rPr>
          <w:rStyle w:val="19"/>
          <w:rFonts w:hint="default" w:ascii="Calibri" w:eastAsia="宋体"/>
          <w:color w:val="auto"/>
          <w:sz w:val="24"/>
          <w:szCs w:val="24"/>
          <w:highlight w:val="none"/>
        </w:rPr>
      </w:pPr>
    </w:p>
    <w:p w14:paraId="1F316D19">
      <w:pPr>
        <w:pStyle w:val="28"/>
        <w:keepNext w:val="0"/>
        <w:pageBreakBefore w:val="0"/>
        <w:wordWrap/>
        <w:topLinePunct w:val="0"/>
        <w:autoSpaceDE/>
        <w:autoSpaceDN/>
        <w:bidi w:val="0"/>
        <w:adjustRightInd/>
        <w:spacing w:beforeLines="0" w:afterLines="0" w:line="440" w:lineRule="exact"/>
        <w:ind w:left="28" w:right="106" w:firstLine="462"/>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3"/>
          <w:sz w:val="24"/>
          <w:szCs w:val="24"/>
          <w:highlight w:val="none"/>
        </w:rPr>
        <w:t>□17.4.1.1质量保证金为工程款的3%，扣留的</w:t>
      </w:r>
      <w:r>
        <w:rPr>
          <w:rStyle w:val="19"/>
          <w:rFonts w:hint="default" w:ascii="宋体" w:hAnsi="宋体" w:eastAsia="宋体" w:cs="宋体"/>
          <w:color w:val="auto"/>
          <w:spacing w:val="-2"/>
          <w:sz w:val="24"/>
          <w:szCs w:val="24"/>
          <w:highlight w:val="none"/>
        </w:rPr>
        <w:t>质量保证金总额为工程价款结算总额的3%。</w:t>
      </w:r>
    </w:p>
    <w:p w14:paraId="7F971396">
      <w:pPr>
        <w:pStyle w:val="28"/>
        <w:keepNext w:val="0"/>
        <w:pageBreakBefore w:val="0"/>
        <w:wordWrap/>
        <w:topLinePunct w:val="0"/>
        <w:autoSpaceDE/>
        <w:autoSpaceDN/>
        <w:bidi w:val="0"/>
        <w:adjustRightInd/>
        <w:spacing w:beforeLines="0" w:afterLines="0" w:line="440" w:lineRule="exact"/>
        <w:ind w:left="33" w:right="83" w:firstLine="442"/>
        <w:textAlignment w:val="auto"/>
        <w:rPr>
          <w:rStyle w:val="19"/>
          <w:rFonts w:hint="default" w:ascii="宋体" w:hAnsi="宋体" w:eastAsia="宋体" w:cs="宋体"/>
          <w:color w:val="auto"/>
          <w:sz w:val="24"/>
          <w:szCs w:val="24"/>
          <w:highlight w:val="none"/>
        </w:rPr>
      </w:pPr>
      <w:r>
        <w:rPr>
          <w:rStyle w:val="19"/>
          <w:rFonts w:hint="default" w:ascii="Segoe UI Symbol" w:hAnsi="Segoe UI Symbol" w:eastAsia="Segoe UI Symbol" w:cs="Segoe UI Symbol"/>
          <w:color w:val="auto"/>
          <w:spacing w:val="-13"/>
          <w:sz w:val="24"/>
          <w:szCs w:val="24"/>
          <w:highlight w:val="none"/>
        </w:rPr>
        <w:t>☑</w:t>
      </w:r>
      <w:r>
        <w:rPr>
          <w:rStyle w:val="19"/>
          <w:rFonts w:hint="default" w:ascii="宋体" w:hAnsi="宋体" w:eastAsia="宋体" w:cs="宋体"/>
          <w:color w:val="auto"/>
          <w:spacing w:val="-13"/>
          <w:sz w:val="24"/>
          <w:szCs w:val="24"/>
          <w:highlight w:val="none"/>
        </w:rPr>
        <w:t>17.4.1.2工程完工验收后，工程结算经</w:t>
      </w:r>
      <w:r>
        <w:rPr>
          <w:rStyle w:val="19"/>
          <w:rFonts w:hint="default" w:ascii="宋体" w:hAnsi="宋体" w:eastAsia="宋体" w:cs="宋体"/>
          <w:color w:val="auto"/>
          <w:spacing w:val="-12"/>
          <w:sz w:val="24"/>
          <w:szCs w:val="24"/>
          <w:highlight w:val="none"/>
          <w:u w:val="single"/>
          <w:lang w:eastAsia="zh-CN"/>
        </w:rPr>
        <w:t>马山县</w:t>
      </w:r>
      <w:r>
        <w:rPr>
          <w:rStyle w:val="19"/>
          <w:rFonts w:hint="default" w:ascii="宋体" w:hAnsi="宋体" w:eastAsia="宋体" w:cs="宋体"/>
          <w:color w:val="auto"/>
          <w:spacing w:val="-13"/>
          <w:sz w:val="24"/>
          <w:szCs w:val="24"/>
          <w:highlight w:val="none"/>
        </w:rPr>
        <w:t>财政或审计部门审定后，一</w:t>
      </w:r>
      <w:r>
        <w:rPr>
          <w:rStyle w:val="19"/>
          <w:rFonts w:hint="default" w:ascii="宋体" w:hAnsi="宋体" w:eastAsia="宋体" w:cs="宋体"/>
          <w:color w:val="auto"/>
          <w:spacing w:val="-2"/>
          <w:sz w:val="24"/>
          <w:szCs w:val="24"/>
          <w:highlight w:val="none"/>
        </w:rPr>
        <w:t>次性扣留的质量保证金总额为工程价款结算总额的3%。</w:t>
      </w:r>
    </w:p>
    <w:p w14:paraId="40E38328">
      <w:pPr>
        <w:pStyle w:val="28"/>
        <w:keepNext w:val="0"/>
        <w:pageBreakBefore w:val="0"/>
        <w:wordWrap/>
        <w:topLinePunct w:val="0"/>
        <w:autoSpaceDE/>
        <w:autoSpaceDN/>
        <w:bidi w:val="0"/>
        <w:adjustRightInd/>
        <w:spacing w:beforeLines="0" w:afterLines="0" w:line="440" w:lineRule="exact"/>
        <w:ind w:left="45" w:right="92" w:firstLine="439"/>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11"/>
          <w:sz w:val="24"/>
          <w:szCs w:val="24"/>
          <w:highlight w:val="none"/>
        </w:rPr>
        <w:t>17.4.1.3在工程项目完工前，已经缴纳履约保证金的，发包人不得同时扣</w:t>
      </w:r>
      <w:r>
        <w:rPr>
          <w:rStyle w:val="19"/>
          <w:rFonts w:hint="default" w:ascii="宋体" w:hAnsi="宋体" w:eastAsia="宋体" w:cs="宋体"/>
          <w:color w:val="auto"/>
          <w:spacing w:val="-7"/>
          <w:sz w:val="24"/>
          <w:szCs w:val="24"/>
          <w:highlight w:val="none"/>
        </w:rPr>
        <w:t>留工程质量保证金。</w:t>
      </w:r>
    </w:p>
    <w:p w14:paraId="204CB979">
      <w:pPr>
        <w:keepNext w:val="0"/>
        <w:pageBreakBefore w:val="0"/>
        <w:wordWrap/>
        <w:topLinePunct w:val="0"/>
        <w:autoSpaceDE/>
        <w:autoSpaceDN/>
        <w:bidi w:val="0"/>
        <w:adjustRightInd/>
        <w:spacing w:line="440" w:lineRule="exact"/>
        <w:textAlignment w:val="auto"/>
        <w:rPr>
          <w:rFonts w:hint="eastAsia"/>
          <w:b/>
          <w:color w:val="auto"/>
          <w:sz w:val="24"/>
          <w:szCs w:val="24"/>
          <w:highlight w:val="none"/>
        </w:rPr>
      </w:pPr>
      <w:r>
        <w:rPr>
          <w:rFonts w:hint="eastAsia"/>
          <w:b/>
          <w:color w:val="auto"/>
          <w:sz w:val="24"/>
          <w:szCs w:val="24"/>
          <w:highlight w:val="none"/>
        </w:rPr>
        <w:t>17.5竣工（完工）结算</w:t>
      </w:r>
    </w:p>
    <w:p w14:paraId="1101129E">
      <w:pPr>
        <w:pStyle w:val="28"/>
        <w:keepNext w:val="0"/>
        <w:pageBreakBefore w:val="0"/>
        <w:wordWrap/>
        <w:topLinePunct w:val="0"/>
        <w:autoSpaceDE/>
        <w:autoSpaceDN/>
        <w:bidi w:val="0"/>
        <w:adjustRightInd/>
        <w:spacing w:beforeLines="0" w:afterLines="0" w:line="440" w:lineRule="exact"/>
        <w:ind w:firstLine="465"/>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3"/>
          <w:sz w:val="24"/>
          <w:szCs w:val="24"/>
          <w:highlight w:val="none"/>
        </w:rPr>
        <w:t>17.5.1竣工（完工）付款申请单</w:t>
      </w:r>
    </w:p>
    <w:p w14:paraId="1220AFD7">
      <w:pPr>
        <w:pStyle w:val="28"/>
        <w:keepNext w:val="0"/>
        <w:pageBreakBefore w:val="0"/>
        <w:numPr>
          <w:ilvl w:val="0"/>
          <w:numId w:val="40"/>
        </w:numPr>
        <w:wordWrap/>
        <w:topLinePunct w:val="0"/>
        <w:autoSpaceDE/>
        <w:autoSpaceDN/>
        <w:bidi w:val="0"/>
        <w:adjustRightInd/>
        <w:spacing w:beforeLines="0" w:afterLines="0" w:line="440" w:lineRule="exact"/>
        <w:ind w:firstLine="453"/>
        <w:textAlignment w:val="auto"/>
        <w:rPr>
          <w:rStyle w:val="19"/>
          <w:rFonts w:hint="default" w:ascii="宋体" w:hAnsi="宋体" w:eastAsia="宋体" w:cs="宋体"/>
          <w:color w:val="auto"/>
          <w:spacing w:val="-9"/>
          <w:sz w:val="24"/>
          <w:szCs w:val="24"/>
          <w:highlight w:val="none"/>
        </w:rPr>
      </w:pPr>
      <w:r>
        <w:rPr>
          <w:rStyle w:val="19"/>
          <w:rFonts w:hint="default" w:ascii="宋体" w:hAnsi="宋体" w:eastAsia="宋体" w:cs="宋体"/>
          <w:color w:val="auto"/>
          <w:spacing w:val="-9"/>
          <w:sz w:val="24"/>
          <w:szCs w:val="24"/>
          <w:highlight w:val="none"/>
        </w:rPr>
        <w:t>承包人应提交竣工付款申请单份数：</w:t>
      </w:r>
      <w:r>
        <w:rPr>
          <w:rStyle w:val="19"/>
          <w:rFonts w:hint="default" w:ascii="宋体" w:hAnsi="宋体" w:eastAsia="宋体" w:cs="宋体"/>
          <w:color w:val="auto"/>
          <w:spacing w:val="-9"/>
          <w:sz w:val="24"/>
          <w:szCs w:val="24"/>
          <w:highlight w:val="none"/>
          <w:u w:val="single"/>
        </w:rPr>
        <w:t xml:space="preserve">一式四份 </w:t>
      </w:r>
      <w:r>
        <w:rPr>
          <w:rStyle w:val="19"/>
          <w:rFonts w:hint="default" w:ascii="宋体" w:hAnsi="宋体" w:eastAsia="宋体" w:cs="宋体"/>
          <w:color w:val="auto"/>
          <w:spacing w:val="-9"/>
          <w:sz w:val="24"/>
          <w:szCs w:val="24"/>
          <w:highlight w:val="none"/>
        </w:rPr>
        <w:t>。</w:t>
      </w:r>
    </w:p>
    <w:p w14:paraId="00D4BA04">
      <w:pPr>
        <w:keepNext w:val="0"/>
        <w:pageBreakBefore w:val="0"/>
        <w:wordWrap/>
        <w:topLinePunct w:val="0"/>
        <w:autoSpaceDE/>
        <w:autoSpaceDN/>
        <w:bidi w:val="0"/>
        <w:adjustRightInd/>
        <w:spacing w:line="440" w:lineRule="exact"/>
        <w:ind w:firstLine="480" w:firstLineChars="200"/>
        <w:textAlignment w:val="auto"/>
        <w:rPr>
          <w:rStyle w:val="19"/>
          <w:rFonts w:hint="default" w:ascii="宋体" w:hAnsi="宋体" w:eastAsia="宋体" w:cs="宋体"/>
          <w:color w:val="auto"/>
          <w:spacing w:val="-9"/>
          <w:kern w:val="0"/>
          <w:sz w:val="24"/>
          <w:szCs w:val="24"/>
          <w:highlight w:val="none"/>
          <w:u w:val="single"/>
          <w:lang w:eastAsia="en-US" w:bidi="en-US"/>
        </w:rPr>
      </w:pPr>
      <w:r>
        <w:rPr>
          <w:rFonts w:hint="default" w:ascii="宋体" w:hAnsi="宋体" w:eastAsia="宋体" w:cs="宋体"/>
          <w:color w:val="auto"/>
          <w:sz w:val="24"/>
          <w:szCs w:val="24"/>
          <w:highlight w:val="none"/>
        </w:rPr>
        <w:t>（2）承包人提交竣工结算申请的时间：</w:t>
      </w:r>
      <w:r>
        <w:rPr>
          <w:rStyle w:val="19"/>
          <w:rFonts w:hint="default" w:ascii="宋体" w:hAnsi="宋体" w:eastAsia="宋体" w:cs="宋体"/>
          <w:color w:val="auto"/>
          <w:spacing w:val="-9"/>
          <w:kern w:val="0"/>
          <w:sz w:val="24"/>
          <w:szCs w:val="24"/>
          <w:highlight w:val="none"/>
          <w:u w:val="single"/>
          <w:lang w:eastAsia="en-US" w:bidi="en-US"/>
        </w:rPr>
        <w:t>项目竣工验收合格后60日内提交完整结算资料至发包人审核，如逾期提交或提交的资料不完整的，结算期限相应顺延，发包人不承担逾期结算、逾期支付竣工结算款等的责任。且发包人有权聘请有资质的第三方审核单位进行单方面结算或由财评中心委托的第三方审核单位进行结算审核，结算审核结果为最终结算审定价，由此产生的第三方结算审核费用从结算款中扣除支付。</w:t>
      </w:r>
    </w:p>
    <w:p w14:paraId="2ED8E6B6">
      <w:pPr>
        <w:pStyle w:val="28"/>
        <w:keepNext w:val="0"/>
        <w:pageBreakBefore w:val="0"/>
        <w:wordWrap/>
        <w:topLinePunct w:val="0"/>
        <w:autoSpaceDE/>
        <w:autoSpaceDN/>
        <w:bidi w:val="0"/>
        <w:adjustRightInd/>
        <w:spacing w:beforeLines="0" w:afterLines="0" w:line="440" w:lineRule="exact"/>
        <w:ind w:left="26" w:right="89" w:firstLine="457"/>
        <w:textAlignment w:val="auto"/>
        <w:rPr>
          <w:rStyle w:val="19"/>
          <w:rFonts w:hint="default" w:ascii="宋体" w:hAnsi="宋体" w:eastAsia="宋体" w:cs="宋体"/>
          <w:color w:val="auto"/>
          <w:sz w:val="24"/>
          <w:szCs w:val="24"/>
          <w:highlight w:val="none"/>
          <w:u w:val="single"/>
        </w:rPr>
      </w:pPr>
      <w:r>
        <w:rPr>
          <w:rStyle w:val="19"/>
          <w:rFonts w:hint="default" w:ascii="宋体" w:hAnsi="宋体" w:eastAsia="宋体" w:cs="宋体"/>
          <w:color w:val="auto"/>
          <w:spacing w:val="-5"/>
          <w:sz w:val="24"/>
          <w:szCs w:val="24"/>
          <w:highlight w:val="none"/>
        </w:rPr>
        <w:t>17.5.</w:t>
      </w:r>
      <w:r>
        <w:rPr>
          <w:rStyle w:val="19"/>
          <w:rFonts w:hint="default" w:ascii="宋体" w:hAnsi="宋体" w:eastAsia="宋体" w:cs="宋体"/>
          <w:color w:val="auto"/>
          <w:spacing w:val="-5"/>
          <w:sz w:val="24"/>
          <w:szCs w:val="24"/>
          <w:highlight w:val="none"/>
          <w:lang w:eastAsia="zh-CN"/>
        </w:rPr>
        <w:t>2</w:t>
      </w:r>
      <w:r>
        <w:rPr>
          <w:rStyle w:val="19"/>
          <w:rFonts w:hint="default" w:ascii="宋体" w:hAnsi="宋体" w:eastAsia="宋体" w:cs="宋体"/>
          <w:color w:val="auto"/>
          <w:spacing w:val="-5"/>
          <w:sz w:val="24"/>
          <w:szCs w:val="24"/>
          <w:highlight w:val="none"/>
        </w:rPr>
        <w:t>除按通用合同条款所说的内容外，增加以下内容：</w:t>
      </w:r>
      <w:r>
        <w:rPr>
          <w:rStyle w:val="19"/>
          <w:rFonts w:hint="default" w:ascii="宋体" w:hAnsi="宋体" w:eastAsia="宋体" w:cs="宋体"/>
          <w:color w:val="auto"/>
          <w:spacing w:val="-5"/>
          <w:sz w:val="24"/>
          <w:szCs w:val="24"/>
          <w:highlight w:val="none"/>
          <w:u w:val="single"/>
        </w:rPr>
        <w:t>最终结算以财政</w:t>
      </w:r>
      <w:r>
        <w:rPr>
          <w:rStyle w:val="19"/>
          <w:rFonts w:hint="default" w:ascii="宋体" w:hAnsi="宋体" w:eastAsia="宋体" w:cs="宋体"/>
          <w:color w:val="auto"/>
          <w:spacing w:val="-6"/>
          <w:sz w:val="24"/>
          <w:szCs w:val="24"/>
          <w:highlight w:val="none"/>
          <w:u w:val="single"/>
        </w:rPr>
        <w:t>评审结果为准。</w:t>
      </w:r>
    </w:p>
    <w:p w14:paraId="42F3AF24">
      <w:pPr>
        <w:keepNext w:val="0"/>
        <w:pageBreakBefore w:val="0"/>
        <w:wordWrap/>
        <w:topLinePunct w:val="0"/>
        <w:autoSpaceDE/>
        <w:autoSpaceDN/>
        <w:bidi w:val="0"/>
        <w:adjustRightInd/>
        <w:spacing w:line="440" w:lineRule="exact"/>
        <w:textAlignment w:val="auto"/>
        <w:rPr>
          <w:rFonts w:hint="eastAsia"/>
          <w:b/>
          <w:color w:val="auto"/>
          <w:sz w:val="24"/>
          <w:szCs w:val="24"/>
          <w:highlight w:val="none"/>
        </w:rPr>
      </w:pPr>
      <w:r>
        <w:rPr>
          <w:rFonts w:hint="eastAsia"/>
          <w:b/>
          <w:color w:val="auto"/>
          <w:sz w:val="24"/>
          <w:szCs w:val="24"/>
          <w:highlight w:val="none"/>
        </w:rPr>
        <w:t>17.6最终结清</w:t>
      </w:r>
    </w:p>
    <w:p w14:paraId="66A6A72B">
      <w:pPr>
        <w:pStyle w:val="28"/>
        <w:keepNext w:val="0"/>
        <w:pageBreakBefore w:val="0"/>
        <w:wordWrap/>
        <w:topLinePunct w:val="0"/>
        <w:autoSpaceDE/>
        <w:autoSpaceDN/>
        <w:bidi w:val="0"/>
        <w:adjustRightInd/>
        <w:spacing w:beforeLines="0" w:afterLines="0" w:line="440" w:lineRule="exact"/>
        <w:ind w:firstLine="465"/>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3"/>
          <w:sz w:val="24"/>
          <w:szCs w:val="24"/>
          <w:highlight w:val="none"/>
        </w:rPr>
        <w:t>17.6.1最终结清申请单</w:t>
      </w:r>
    </w:p>
    <w:p w14:paraId="246166B8">
      <w:pPr>
        <w:pStyle w:val="28"/>
        <w:keepNext w:val="0"/>
        <w:pageBreakBefore w:val="0"/>
        <w:wordWrap/>
        <w:topLinePunct w:val="0"/>
        <w:autoSpaceDE/>
        <w:autoSpaceDN/>
        <w:bidi w:val="0"/>
        <w:adjustRightInd/>
        <w:spacing w:beforeLines="0" w:afterLines="0" w:line="440" w:lineRule="exact"/>
        <w:ind w:firstLine="453"/>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9"/>
          <w:sz w:val="24"/>
          <w:szCs w:val="24"/>
          <w:highlight w:val="none"/>
        </w:rPr>
        <w:t>（1）承包人应提交最终结清申请单份数：</w:t>
      </w:r>
      <w:r>
        <w:rPr>
          <w:rStyle w:val="19"/>
          <w:rFonts w:hint="default" w:ascii="宋体" w:hAnsi="宋体" w:eastAsia="宋体" w:cs="宋体"/>
          <w:color w:val="auto"/>
          <w:spacing w:val="-9"/>
          <w:sz w:val="24"/>
          <w:szCs w:val="24"/>
          <w:highlight w:val="none"/>
          <w:u w:val="single"/>
        </w:rPr>
        <w:t xml:space="preserve">一式四份 </w:t>
      </w:r>
      <w:r>
        <w:rPr>
          <w:rStyle w:val="19"/>
          <w:rFonts w:hint="default" w:ascii="宋体" w:hAnsi="宋体" w:eastAsia="宋体" w:cs="宋体"/>
          <w:color w:val="auto"/>
          <w:spacing w:val="-9"/>
          <w:sz w:val="24"/>
          <w:szCs w:val="24"/>
          <w:highlight w:val="none"/>
        </w:rPr>
        <w:t>。</w:t>
      </w:r>
    </w:p>
    <w:p w14:paraId="67DC05CB">
      <w:pPr>
        <w:keepNext w:val="0"/>
        <w:pageBreakBefore w:val="0"/>
        <w:wordWrap/>
        <w:topLinePunct w:val="0"/>
        <w:autoSpaceDE/>
        <w:autoSpaceDN/>
        <w:bidi w:val="0"/>
        <w:adjustRightInd/>
        <w:spacing w:line="440" w:lineRule="exact"/>
        <w:textAlignment w:val="auto"/>
        <w:rPr>
          <w:rFonts w:hint="eastAsia"/>
          <w:b/>
          <w:color w:val="auto"/>
          <w:sz w:val="24"/>
          <w:szCs w:val="24"/>
          <w:highlight w:val="none"/>
        </w:rPr>
      </w:pPr>
      <w:r>
        <w:rPr>
          <w:rFonts w:hint="eastAsia"/>
          <w:b/>
          <w:color w:val="auto"/>
          <w:sz w:val="24"/>
          <w:szCs w:val="24"/>
          <w:highlight w:val="none"/>
        </w:rPr>
        <w:t>17.7竣工财务决算</w:t>
      </w:r>
    </w:p>
    <w:p w14:paraId="78F514F3">
      <w:pPr>
        <w:pStyle w:val="28"/>
        <w:keepNext w:val="0"/>
        <w:pageBreakBefore w:val="0"/>
        <w:wordWrap/>
        <w:topLinePunct w:val="0"/>
        <w:autoSpaceDE/>
        <w:autoSpaceDN/>
        <w:bidi w:val="0"/>
        <w:adjustRightInd/>
        <w:spacing w:beforeLines="0" w:afterLines="0" w:line="440" w:lineRule="exact"/>
        <w:ind w:firstLine="447"/>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10"/>
          <w:sz w:val="24"/>
          <w:szCs w:val="24"/>
          <w:highlight w:val="none"/>
        </w:rPr>
        <w:t>承包人应为竣工财务决算编制提供的资料：</w:t>
      </w:r>
      <w:r>
        <w:rPr>
          <w:rStyle w:val="19"/>
          <w:rFonts w:hint="default" w:ascii="宋体" w:hAnsi="宋体" w:eastAsia="宋体" w:cs="宋体"/>
          <w:color w:val="auto"/>
          <w:spacing w:val="-10"/>
          <w:sz w:val="24"/>
          <w:szCs w:val="24"/>
          <w:highlight w:val="none"/>
          <w:u w:val="single"/>
        </w:rPr>
        <w:t xml:space="preserve"> </w:t>
      </w:r>
      <w:r>
        <w:rPr>
          <w:rStyle w:val="19"/>
          <w:rFonts w:hint="default" w:ascii="宋体" w:hAnsi="宋体" w:eastAsia="宋体" w:cs="宋体"/>
          <w:color w:val="auto"/>
          <w:spacing w:val="-10"/>
          <w:sz w:val="24"/>
          <w:szCs w:val="24"/>
          <w:highlight w:val="none"/>
          <w:u w:val="single"/>
          <w:lang w:eastAsia="zh-CN"/>
        </w:rPr>
        <w:t xml:space="preserve">  应发包人需求做好配合提供材料工作</w:t>
      </w:r>
      <w:r>
        <w:rPr>
          <w:rStyle w:val="19"/>
          <w:rFonts w:hint="default" w:ascii="宋体" w:hAnsi="宋体" w:eastAsia="宋体" w:cs="宋体"/>
          <w:color w:val="auto"/>
          <w:spacing w:val="-10"/>
          <w:sz w:val="24"/>
          <w:szCs w:val="24"/>
          <w:highlight w:val="none"/>
          <w:u w:val="single"/>
        </w:rPr>
        <w:t xml:space="preserve">  </w:t>
      </w:r>
      <w:r>
        <w:rPr>
          <w:rStyle w:val="19"/>
          <w:rFonts w:hint="default" w:ascii="宋体" w:hAnsi="宋体" w:eastAsia="宋体" w:cs="宋体"/>
          <w:color w:val="auto"/>
          <w:spacing w:val="-10"/>
          <w:sz w:val="24"/>
          <w:szCs w:val="24"/>
          <w:highlight w:val="none"/>
        </w:rPr>
        <w:t>。</w:t>
      </w:r>
    </w:p>
    <w:p w14:paraId="63548CB5">
      <w:pPr>
        <w:pStyle w:val="2"/>
        <w:keepNext w:val="0"/>
        <w:pageBreakBefore w:val="0"/>
        <w:wordWrap/>
        <w:topLinePunct w:val="0"/>
        <w:autoSpaceDE/>
        <w:autoSpaceDN/>
        <w:bidi w:val="0"/>
        <w:adjustRightInd/>
        <w:spacing w:line="440" w:lineRule="exact"/>
        <w:textAlignment w:val="auto"/>
        <w:rPr>
          <w:rStyle w:val="19"/>
          <w:rFonts w:hint="default" w:ascii="Calibri" w:hAnsi="Times New Roman" w:cs="Times New Roman"/>
          <w:color w:val="auto"/>
          <w:sz w:val="20"/>
          <w:szCs w:val="20"/>
          <w:highlight w:val="none"/>
        </w:rPr>
      </w:pPr>
      <w:r>
        <w:rPr>
          <w:rFonts w:hint="default" w:ascii="宋体" w:cs="Times New Roman"/>
          <w:color w:val="auto"/>
          <w:sz w:val="28"/>
          <w:szCs w:val="32"/>
          <w:highlight w:val="none"/>
        </w:rPr>
        <w:t>18.竣工验收（验收）</w:t>
      </w:r>
    </w:p>
    <w:p w14:paraId="178A5A56">
      <w:pPr>
        <w:keepNext w:val="0"/>
        <w:pageBreakBefore w:val="0"/>
        <w:wordWrap/>
        <w:topLinePunct w:val="0"/>
        <w:autoSpaceDE/>
        <w:autoSpaceDN/>
        <w:bidi w:val="0"/>
        <w:adjustRightInd/>
        <w:spacing w:line="440" w:lineRule="exact"/>
        <w:textAlignment w:val="auto"/>
        <w:rPr>
          <w:rFonts w:hint="eastAsia"/>
          <w:b/>
          <w:color w:val="auto"/>
          <w:sz w:val="24"/>
          <w:szCs w:val="24"/>
          <w:highlight w:val="none"/>
        </w:rPr>
      </w:pPr>
      <w:r>
        <w:rPr>
          <w:rFonts w:hint="eastAsia"/>
          <w:b/>
          <w:color w:val="auto"/>
          <w:sz w:val="24"/>
          <w:szCs w:val="24"/>
          <w:highlight w:val="none"/>
        </w:rPr>
        <w:t>18.1验收工作分类</w:t>
      </w:r>
    </w:p>
    <w:p w14:paraId="5EFD17C7">
      <w:pPr>
        <w:pStyle w:val="28"/>
        <w:keepNext w:val="0"/>
        <w:pageBreakBefore w:val="0"/>
        <w:wordWrap/>
        <w:topLinePunct w:val="0"/>
        <w:autoSpaceDE/>
        <w:autoSpaceDN/>
        <w:bidi w:val="0"/>
        <w:adjustRightInd/>
        <w:spacing w:beforeLines="0" w:afterLines="0" w:line="440" w:lineRule="exact"/>
        <w:ind w:left="55" w:right="85" w:firstLine="411"/>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2"/>
          <w:sz w:val="24"/>
          <w:szCs w:val="24"/>
          <w:highlight w:val="none"/>
        </w:rPr>
        <w:t>根据《水利工程建设项目验收管理规定》（水利部令第30号）和《水利水</w:t>
      </w:r>
      <w:r>
        <w:rPr>
          <w:rStyle w:val="19"/>
          <w:rFonts w:hint="default" w:ascii="宋体" w:hAnsi="宋体" w:eastAsia="宋体" w:cs="宋体"/>
          <w:color w:val="auto"/>
          <w:spacing w:val="-16"/>
          <w:sz w:val="24"/>
          <w:szCs w:val="24"/>
          <w:highlight w:val="none"/>
        </w:rPr>
        <w:t>电建设工程验收规程》（SL223）2008）的相关规定执行。</w:t>
      </w:r>
    </w:p>
    <w:p w14:paraId="795159AD">
      <w:pPr>
        <w:keepNext w:val="0"/>
        <w:pageBreakBefore w:val="0"/>
        <w:wordWrap/>
        <w:topLinePunct w:val="0"/>
        <w:autoSpaceDE/>
        <w:autoSpaceDN/>
        <w:bidi w:val="0"/>
        <w:adjustRightInd/>
        <w:spacing w:line="440" w:lineRule="exact"/>
        <w:textAlignment w:val="auto"/>
        <w:rPr>
          <w:rFonts w:hint="eastAsia"/>
          <w:b/>
          <w:color w:val="auto"/>
          <w:sz w:val="24"/>
          <w:szCs w:val="24"/>
          <w:highlight w:val="none"/>
        </w:rPr>
      </w:pPr>
      <w:r>
        <w:rPr>
          <w:rFonts w:hint="eastAsia"/>
          <w:b/>
          <w:color w:val="auto"/>
          <w:sz w:val="24"/>
          <w:szCs w:val="24"/>
          <w:highlight w:val="none"/>
        </w:rPr>
        <w:t>18.2分部工程验收</w:t>
      </w:r>
    </w:p>
    <w:p w14:paraId="6CFE85E7">
      <w:pPr>
        <w:pStyle w:val="28"/>
        <w:keepNext w:val="0"/>
        <w:pageBreakBefore w:val="0"/>
        <w:wordWrap/>
        <w:topLinePunct w:val="0"/>
        <w:autoSpaceDE/>
        <w:autoSpaceDN/>
        <w:bidi w:val="0"/>
        <w:adjustRightInd/>
        <w:spacing w:beforeLines="0" w:afterLines="0" w:line="440" w:lineRule="exact"/>
        <w:ind w:left="30" w:right="15" w:firstLine="454"/>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7"/>
          <w:sz w:val="24"/>
          <w:szCs w:val="24"/>
          <w:highlight w:val="none"/>
        </w:rPr>
        <w:t>18.2.2本工程由发包人主持的分部工程验收为：</w:t>
      </w:r>
      <w:r>
        <w:rPr>
          <w:rStyle w:val="19"/>
          <w:rFonts w:hint="default" w:ascii="宋体" w:hAnsi="宋体" w:eastAsia="宋体" w:cs="宋体"/>
          <w:color w:val="auto"/>
          <w:spacing w:val="-7"/>
          <w:sz w:val="24"/>
          <w:szCs w:val="24"/>
          <w:highlight w:val="none"/>
          <w:u w:val="single"/>
        </w:rPr>
        <w:t>按相关规范规定</w:t>
      </w:r>
      <w:r>
        <w:rPr>
          <w:rStyle w:val="19"/>
          <w:rFonts w:hint="default" w:ascii="宋体" w:hAnsi="宋体" w:eastAsia="宋体" w:cs="宋体"/>
          <w:color w:val="auto"/>
          <w:spacing w:val="-7"/>
          <w:sz w:val="24"/>
          <w:szCs w:val="24"/>
          <w:highlight w:val="none"/>
        </w:rPr>
        <w:t>,其余由监</w:t>
      </w:r>
      <w:r>
        <w:rPr>
          <w:rStyle w:val="19"/>
          <w:rFonts w:hint="default" w:ascii="宋体" w:hAnsi="宋体" w:eastAsia="宋体" w:cs="宋体"/>
          <w:color w:val="auto"/>
          <w:spacing w:val="-11"/>
          <w:sz w:val="24"/>
          <w:szCs w:val="24"/>
          <w:highlight w:val="none"/>
        </w:rPr>
        <w:t>理主持。</w:t>
      </w:r>
    </w:p>
    <w:p w14:paraId="6ECBD36C">
      <w:pPr>
        <w:keepNext w:val="0"/>
        <w:pageBreakBefore w:val="0"/>
        <w:wordWrap/>
        <w:topLinePunct w:val="0"/>
        <w:autoSpaceDE/>
        <w:autoSpaceDN/>
        <w:bidi w:val="0"/>
        <w:adjustRightInd/>
        <w:spacing w:line="440" w:lineRule="exact"/>
        <w:textAlignment w:val="auto"/>
        <w:rPr>
          <w:rFonts w:hint="eastAsia"/>
          <w:b/>
          <w:color w:val="auto"/>
          <w:sz w:val="24"/>
          <w:szCs w:val="24"/>
          <w:highlight w:val="none"/>
        </w:rPr>
      </w:pPr>
      <w:r>
        <w:rPr>
          <w:rFonts w:hint="eastAsia"/>
          <w:b/>
          <w:color w:val="auto"/>
          <w:sz w:val="24"/>
          <w:szCs w:val="24"/>
          <w:highlight w:val="none"/>
        </w:rPr>
        <w:t>18.3单位工程验收</w:t>
      </w:r>
    </w:p>
    <w:p w14:paraId="3A7719DF">
      <w:pPr>
        <w:pStyle w:val="28"/>
        <w:keepNext w:val="0"/>
        <w:pageBreakBefore w:val="0"/>
        <w:wordWrap/>
        <w:topLinePunct w:val="0"/>
        <w:autoSpaceDE/>
        <w:autoSpaceDN/>
        <w:bidi w:val="0"/>
        <w:adjustRightInd/>
        <w:spacing w:beforeLines="0" w:afterLines="0" w:line="440" w:lineRule="exact"/>
        <w:ind w:firstLine="465"/>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8"/>
          <w:sz w:val="24"/>
          <w:szCs w:val="24"/>
          <w:highlight w:val="none"/>
        </w:rPr>
        <w:t>18.3.4提前投入使用的单位工程包括：</w:t>
      </w:r>
      <w:r>
        <w:rPr>
          <w:rStyle w:val="19"/>
          <w:rFonts w:hint="default" w:ascii="宋体" w:hAnsi="宋体" w:eastAsia="宋体" w:cs="宋体"/>
          <w:color w:val="auto"/>
          <w:spacing w:val="-8"/>
          <w:sz w:val="24"/>
          <w:szCs w:val="24"/>
          <w:highlight w:val="none"/>
          <w:u w:val="single"/>
        </w:rPr>
        <w:t xml:space="preserve">按相关规范规定 </w:t>
      </w:r>
      <w:r>
        <w:rPr>
          <w:rStyle w:val="19"/>
          <w:rFonts w:hint="default" w:ascii="宋体" w:hAnsi="宋体" w:eastAsia="宋体" w:cs="宋体"/>
          <w:color w:val="auto"/>
          <w:spacing w:val="-8"/>
          <w:sz w:val="24"/>
          <w:szCs w:val="24"/>
          <w:highlight w:val="none"/>
        </w:rPr>
        <w:t>。</w:t>
      </w:r>
    </w:p>
    <w:p w14:paraId="0737B56F">
      <w:pPr>
        <w:keepNext w:val="0"/>
        <w:pageBreakBefore w:val="0"/>
        <w:wordWrap/>
        <w:topLinePunct w:val="0"/>
        <w:autoSpaceDE/>
        <w:autoSpaceDN/>
        <w:bidi w:val="0"/>
        <w:adjustRightInd/>
        <w:spacing w:line="440" w:lineRule="exact"/>
        <w:textAlignment w:val="auto"/>
        <w:rPr>
          <w:rFonts w:hint="eastAsia"/>
          <w:b/>
          <w:color w:val="auto"/>
          <w:sz w:val="24"/>
          <w:szCs w:val="24"/>
          <w:highlight w:val="none"/>
        </w:rPr>
      </w:pPr>
      <w:r>
        <w:rPr>
          <w:rFonts w:hint="eastAsia"/>
          <w:b/>
          <w:color w:val="auto"/>
          <w:sz w:val="24"/>
          <w:szCs w:val="24"/>
          <w:highlight w:val="none"/>
        </w:rPr>
        <w:t>18.5阶段验收</w:t>
      </w:r>
    </w:p>
    <w:p w14:paraId="24FFA67A">
      <w:pPr>
        <w:pStyle w:val="28"/>
        <w:keepNext w:val="0"/>
        <w:pageBreakBefore w:val="0"/>
        <w:wordWrap/>
        <w:topLinePunct w:val="0"/>
        <w:autoSpaceDE/>
        <w:autoSpaceDN/>
        <w:bidi w:val="0"/>
        <w:adjustRightInd/>
        <w:spacing w:beforeLines="0" w:afterLines="0" w:line="440" w:lineRule="exact"/>
        <w:ind w:firstLine="465"/>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8"/>
          <w:sz w:val="24"/>
          <w:szCs w:val="24"/>
          <w:highlight w:val="none"/>
        </w:rPr>
        <w:t>18.5.1本合同工程阶段验收类别包括：</w:t>
      </w:r>
      <w:r>
        <w:rPr>
          <w:rStyle w:val="19"/>
          <w:rFonts w:hint="default" w:ascii="宋体" w:hAnsi="宋体" w:eastAsia="宋体" w:cs="宋体"/>
          <w:color w:val="auto"/>
          <w:spacing w:val="-8"/>
          <w:sz w:val="24"/>
          <w:szCs w:val="24"/>
          <w:highlight w:val="none"/>
          <w:u w:val="single"/>
        </w:rPr>
        <w:t xml:space="preserve">按相关规范规定 </w:t>
      </w:r>
      <w:r>
        <w:rPr>
          <w:rStyle w:val="19"/>
          <w:rFonts w:hint="default" w:ascii="宋体" w:hAnsi="宋体" w:eastAsia="宋体" w:cs="宋体"/>
          <w:color w:val="auto"/>
          <w:spacing w:val="-8"/>
          <w:sz w:val="24"/>
          <w:szCs w:val="24"/>
          <w:highlight w:val="none"/>
        </w:rPr>
        <w:t>。</w:t>
      </w:r>
    </w:p>
    <w:p w14:paraId="6E96FA3F">
      <w:pPr>
        <w:keepNext w:val="0"/>
        <w:pageBreakBefore w:val="0"/>
        <w:wordWrap/>
        <w:topLinePunct w:val="0"/>
        <w:autoSpaceDE/>
        <w:autoSpaceDN/>
        <w:bidi w:val="0"/>
        <w:adjustRightInd/>
        <w:spacing w:line="440" w:lineRule="exact"/>
        <w:textAlignment w:val="auto"/>
        <w:rPr>
          <w:rFonts w:hint="eastAsia"/>
          <w:b/>
          <w:color w:val="auto"/>
          <w:sz w:val="24"/>
          <w:szCs w:val="24"/>
          <w:highlight w:val="none"/>
        </w:rPr>
      </w:pPr>
      <w:r>
        <w:rPr>
          <w:rFonts w:hint="eastAsia"/>
          <w:b/>
          <w:color w:val="auto"/>
          <w:sz w:val="24"/>
          <w:szCs w:val="24"/>
          <w:highlight w:val="none"/>
        </w:rPr>
        <w:t>18.6专项验收</w:t>
      </w:r>
    </w:p>
    <w:p w14:paraId="72F21967">
      <w:pPr>
        <w:pStyle w:val="28"/>
        <w:keepNext w:val="0"/>
        <w:pageBreakBefore w:val="0"/>
        <w:wordWrap/>
        <w:topLinePunct w:val="0"/>
        <w:autoSpaceDE/>
        <w:autoSpaceDN/>
        <w:bidi w:val="0"/>
        <w:adjustRightInd/>
        <w:spacing w:beforeLines="0" w:afterLines="0" w:line="440" w:lineRule="exact"/>
        <w:ind w:firstLine="465"/>
        <w:textAlignment w:val="auto"/>
        <w:rPr>
          <w:rStyle w:val="19"/>
          <w:rFonts w:hint="default" w:ascii="宋体" w:hAnsi="宋体" w:eastAsia="宋体" w:cs="宋体"/>
          <w:color w:val="auto"/>
          <w:spacing w:val="-8"/>
          <w:sz w:val="24"/>
          <w:szCs w:val="24"/>
          <w:highlight w:val="none"/>
        </w:rPr>
      </w:pPr>
      <w:r>
        <w:rPr>
          <w:rStyle w:val="19"/>
          <w:rFonts w:hint="default" w:ascii="宋体" w:hAnsi="宋体" w:eastAsia="宋体" w:cs="宋体"/>
          <w:color w:val="auto"/>
          <w:spacing w:val="-8"/>
          <w:sz w:val="24"/>
          <w:szCs w:val="24"/>
          <w:highlight w:val="none"/>
        </w:rPr>
        <w:t>18.6.2本合同工程专项验收类别包括：</w:t>
      </w:r>
      <w:r>
        <w:rPr>
          <w:rStyle w:val="19"/>
          <w:rFonts w:hint="default" w:ascii="宋体" w:hAnsi="宋体" w:eastAsia="宋体" w:cs="宋体"/>
          <w:color w:val="auto"/>
          <w:spacing w:val="-8"/>
          <w:sz w:val="24"/>
          <w:szCs w:val="24"/>
          <w:highlight w:val="none"/>
          <w:u w:val="single"/>
        </w:rPr>
        <w:t xml:space="preserve">按相关规范规定 </w:t>
      </w:r>
      <w:r>
        <w:rPr>
          <w:rStyle w:val="19"/>
          <w:rFonts w:hint="default" w:ascii="宋体" w:hAnsi="宋体" w:eastAsia="宋体" w:cs="宋体"/>
          <w:color w:val="auto"/>
          <w:spacing w:val="-8"/>
          <w:sz w:val="24"/>
          <w:szCs w:val="24"/>
          <w:highlight w:val="none"/>
        </w:rPr>
        <w:t>。</w:t>
      </w:r>
    </w:p>
    <w:p w14:paraId="7C8682EA">
      <w:pPr>
        <w:keepNext w:val="0"/>
        <w:pageBreakBefore w:val="0"/>
        <w:wordWrap/>
        <w:topLinePunct w:val="0"/>
        <w:autoSpaceDE/>
        <w:autoSpaceDN/>
        <w:bidi w:val="0"/>
        <w:adjustRightInd/>
        <w:spacing w:line="440" w:lineRule="exact"/>
        <w:textAlignment w:val="auto"/>
        <w:rPr>
          <w:rFonts w:hint="eastAsia"/>
          <w:b/>
          <w:color w:val="auto"/>
          <w:sz w:val="24"/>
          <w:szCs w:val="24"/>
          <w:highlight w:val="none"/>
        </w:rPr>
      </w:pPr>
      <w:r>
        <w:rPr>
          <w:rFonts w:hint="eastAsia"/>
          <w:b/>
          <w:color w:val="auto"/>
          <w:sz w:val="24"/>
          <w:szCs w:val="24"/>
          <w:highlight w:val="none"/>
        </w:rPr>
        <w:t>18.8施工期运行</w:t>
      </w:r>
    </w:p>
    <w:p w14:paraId="6FDFD566">
      <w:pPr>
        <w:pStyle w:val="28"/>
        <w:keepNext w:val="0"/>
        <w:pageBreakBefore w:val="0"/>
        <w:wordWrap/>
        <w:topLinePunct w:val="0"/>
        <w:autoSpaceDE/>
        <w:autoSpaceDN/>
        <w:bidi w:val="0"/>
        <w:adjustRightInd/>
        <w:spacing w:beforeLines="0" w:afterLines="0" w:line="440" w:lineRule="exact"/>
        <w:ind w:firstLine="465"/>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9"/>
          <w:sz w:val="24"/>
          <w:szCs w:val="24"/>
          <w:highlight w:val="none"/>
        </w:rPr>
        <w:t>18.8.1需要在施工期运行的单位工程或工程设备为：</w:t>
      </w:r>
      <w:r>
        <w:rPr>
          <w:rStyle w:val="19"/>
          <w:rFonts w:hint="default" w:ascii="宋体" w:hAnsi="宋体" w:eastAsia="宋体" w:cs="宋体"/>
          <w:color w:val="auto"/>
          <w:spacing w:val="-9"/>
          <w:sz w:val="24"/>
          <w:szCs w:val="24"/>
          <w:highlight w:val="none"/>
          <w:u w:val="single"/>
        </w:rPr>
        <w:t xml:space="preserve"> 无 </w:t>
      </w:r>
      <w:r>
        <w:rPr>
          <w:rStyle w:val="19"/>
          <w:rFonts w:hint="default" w:ascii="宋体" w:hAnsi="宋体" w:eastAsia="宋体" w:cs="宋体"/>
          <w:color w:val="auto"/>
          <w:spacing w:val="-9"/>
          <w:sz w:val="24"/>
          <w:szCs w:val="24"/>
          <w:highlight w:val="none"/>
        </w:rPr>
        <w:t>。</w:t>
      </w:r>
    </w:p>
    <w:p w14:paraId="53DAE15B">
      <w:pPr>
        <w:keepNext w:val="0"/>
        <w:pageBreakBefore w:val="0"/>
        <w:wordWrap/>
        <w:topLinePunct w:val="0"/>
        <w:autoSpaceDE/>
        <w:autoSpaceDN/>
        <w:bidi w:val="0"/>
        <w:adjustRightInd/>
        <w:spacing w:line="440" w:lineRule="exact"/>
        <w:textAlignment w:val="auto"/>
        <w:rPr>
          <w:rFonts w:hint="eastAsia"/>
          <w:b/>
          <w:color w:val="auto"/>
          <w:sz w:val="24"/>
          <w:szCs w:val="24"/>
          <w:highlight w:val="none"/>
        </w:rPr>
      </w:pPr>
      <w:r>
        <w:rPr>
          <w:rFonts w:hint="eastAsia"/>
          <w:b/>
          <w:color w:val="auto"/>
          <w:sz w:val="24"/>
          <w:szCs w:val="24"/>
          <w:highlight w:val="none"/>
        </w:rPr>
        <w:t>18.9试运行</w:t>
      </w:r>
    </w:p>
    <w:p w14:paraId="7B87899F">
      <w:pPr>
        <w:pStyle w:val="28"/>
        <w:keepNext w:val="0"/>
        <w:pageBreakBefore w:val="0"/>
        <w:wordWrap/>
        <w:topLinePunct w:val="0"/>
        <w:autoSpaceDE/>
        <w:autoSpaceDN/>
        <w:bidi w:val="0"/>
        <w:adjustRightInd/>
        <w:spacing w:beforeLines="0" w:afterLines="0" w:line="440" w:lineRule="exact"/>
        <w:ind w:firstLine="465"/>
        <w:textAlignment w:val="auto"/>
        <w:rPr>
          <w:rStyle w:val="19"/>
          <w:rFonts w:hint="default" w:ascii="Calibri" w:eastAsia="宋体"/>
          <w:color w:val="auto"/>
          <w:sz w:val="24"/>
          <w:szCs w:val="24"/>
          <w:highlight w:val="none"/>
        </w:rPr>
      </w:pPr>
      <w:r>
        <w:rPr>
          <w:rStyle w:val="19"/>
          <w:rFonts w:hint="default" w:ascii="宋体" w:hAnsi="宋体" w:eastAsia="宋体" w:cs="宋体"/>
          <w:color w:val="auto"/>
          <w:spacing w:val="-9"/>
          <w:sz w:val="24"/>
          <w:szCs w:val="24"/>
          <w:highlight w:val="none"/>
        </w:rPr>
        <w:t>18.9.1试运行的组织：</w:t>
      </w:r>
      <w:r>
        <w:rPr>
          <w:rStyle w:val="19"/>
          <w:rFonts w:hint="default" w:ascii="宋体" w:hAnsi="宋体" w:eastAsia="宋体" w:cs="宋体"/>
          <w:color w:val="auto"/>
          <w:spacing w:val="-9"/>
          <w:sz w:val="24"/>
          <w:szCs w:val="24"/>
          <w:highlight w:val="none"/>
          <w:u w:val="single"/>
        </w:rPr>
        <w:t xml:space="preserve"> 发包人 </w:t>
      </w:r>
      <w:r>
        <w:rPr>
          <w:rStyle w:val="19"/>
          <w:rFonts w:hint="default" w:ascii="宋体" w:hAnsi="宋体" w:eastAsia="宋体" w:cs="宋体"/>
          <w:color w:val="auto"/>
          <w:spacing w:val="-11"/>
          <w:w w:val="98"/>
          <w:sz w:val="24"/>
          <w:szCs w:val="24"/>
          <w:highlight w:val="none"/>
        </w:rPr>
        <w:t>。</w:t>
      </w:r>
    </w:p>
    <w:p w14:paraId="13057A96">
      <w:pPr>
        <w:pStyle w:val="2"/>
        <w:keepNext w:val="0"/>
        <w:pageBreakBefore w:val="0"/>
        <w:wordWrap/>
        <w:topLinePunct w:val="0"/>
        <w:autoSpaceDE/>
        <w:autoSpaceDN/>
        <w:bidi w:val="0"/>
        <w:adjustRightInd/>
        <w:spacing w:line="440" w:lineRule="exact"/>
        <w:textAlignment w:val="auto"/>
        <w:rPr>
          <w:rFonts w:hint="default" w:ascii="宋体" w:cs="Times New Roman"/>
          <w:color w:val="auto"/>
          <w:sz w:val="28"/>
          <w:szCs w:val="32"/>
          <w:highlight w:val="none"/>
        </w:rPr>
      </w:pPr>
      <w:r>
        <w:rPr>
          <w:rFonts w:hint="default" w:ascii="宋体" w:cs="Times New Roman"/>
          <w:color w:val="auto"/>
          <w:sz w:val="28"/>
          <w:szCs w:val="32"/>
          <w:highlight w:val="none"/>
        </w:rPr>
        <w:t>19.缺陷责任与保修责任</w:t>
      </w:r>
    </w:p>
    <w:p w14:paraId="7618C819">
      <w:pPr>
        <w:keepNext w:val="0"/>
        <w:pageBreakBefore w:val="0"/>
        <w:wordWrap/>
        <w:topLinePunct w:val="0"/>
        <w:autoSpaceDE/>
        <w:autoSpaceDN/>
        <w:bidi w:val="0"/>
        <w:adjustRightInd/>
        <w:spacing w:line="440" w:lineRule="exact"/>
        <w:textAlignment w:val="auto"/>
        <w:rPr>
          <w:rFonts w:hint="eastAsia"/>
          <w:b/>
          <w:color w:val="auto"/>
          <w:sz w:val="24"/>
          <w:szCs w:val="24"/>
          <w:highlight w:val="none"/>
        </w:rPr>
      </w:pPr>
      <w:r>
        <w:rPr>
          <w:rFonts w:hint="eastAsia"/>
          <w:b/>
          <w:color w:val="auto"/>
          <w:sz w:val="24"/>
          <w:szCs w:val="24"/>
          <w:highlight w:val="none"/>
        </w:rPr>
        <w:t>19.1缺陷责任期的起算时间</w:t>
      </w:r>
    </w:p>
    <w:p w14:paraId="39048941">
      <w:pPr>
        <w:pStyle w:val="28"/>
        <w:keepNext w:val="0"/>
        <w:pageBreakBefore w:val="0"/>
        <w:wordWrap/>
        <w:topLinePunct w:val="0"/>
        <w:autoSpaceDE/>
        <w:autoSpaceDN/>
        <w:bidi w:val="0"/>
        <w:adjustRightInd/>
        <w:spacing w:beforeLines="0" w:afterLines="0" w:line="440" w:lineRule="exact"/>
        <w:ind w:firstLine="467"/>
        <w:textAlignment w:val="auto"/>
        <w:rPr>
          <w:rStyle w:val="19"/>
          <w:rFonts w:hint="default" w:ascii="Calibri" w:eastAsia="宋体"/>
          <w:color w:val="auto"/>
          <w:sz w:val="24"/>
          <w:szCs w:val="24"/>
          <w:highlight w:val="none"/>
        </w:rPr>
      </w:pPr>
      <w:r>
        <w:rPr>
          <w:rStyle w:val="19"/>
          <w:rFonts w:hint="default" w:ascii="宋体" w:hAnsi="宋体" w:eastAsia="宋体" w:cs="宋体"/>
          <w:color w:val="auto"/>
          <w:spacing w:val="-5"/>
          <w:sz w:val="24"/>
          <w:szCs w:val="24"/>
          <w:highlight w:val="none"/>
        </w:rPr>
        <w:t>本工程缺陷责任期计算如下：起算日按通用条款19.1和19.7的约定。</w:t>
      </w:r>
    </w:p>
    <w:p w14:paraId="6804CA3D">
      <w:pPr>
        <w:keepNext w:val="0"/>
        <w:pageBreakBefore w:val="0"/>
        <w:wordWrap/>
        <w:topLinePunct w:val="0"/>
        <w:autoSpaceDE/>
        <w:autoSpaceDN/>
        <w:bidi w:val="0"/>
        <w:adjustRightInd/>
        <w:spacing w:line="440" w:lineRule="exact"/>
        <w:textAlignment w:val="auto"/>
        <w:rPr>
          <w:rFonts w:hint="eastAsia"/>
          <w:b/>
          <w:color w:val="auto"/>
          <w:sz w:val="24"/>
          <w:szCs w:val="24"/>
          <w:highlight w:val="none"/>
        </w:rPr>
      </w:pPr>
      <w:r>
        <w:rPr>
          <w:rFonts w:hint="eastAsia"/>
          <w:b/>
          <w:color w:val="auto"/>
          <w:sz w:val="24"/>
          <w:szCs w:val="24"/>
          <w:highlight w:val="none"/>
        </w:rPr>
        <w:t>19.7保修责任</w:t>
      </w:r>
    </w:p>
    <w:p w14:paraId="51AC1206">
      <w:pPr>
        <w:pStyle w:val="28"/>
        <w:keepNext w:val="0"/>
        <w:pageBreakBefore w:val="0"/>
        <w:wordWrap/>
        <w:topLinePunct w:val="0"/>
        <w:autoSpaceDE/>
        <w:autoSpaceDN/>
        <w:bidi w:val="0"/>
        <w:adjustRightInd/>
        <w:spacing w:beforeLines="0" w:afterLines="0" w:line="440" w:lineRule="exact"/>
        <w:ind w:firstLine="467"/>
        <w:textAlignment w:val="auto"/>
        <w:rPr>
          <w:rStyle w:val="19"/>
          <w:rFonts w:hint="default" w:ascii="宋体" w:hAnsi="宋体" w:eastAsia="宋体" w:cs="宋体"/>
          <w:color w:val="auto"/>
          <w:spacing w:val="-5"/>
          <w:sz w:val="24"/>
          <w:szCs w:val="24"/>
          <w:highlight w:val="none"/>
        </w:rPr>
      </w:pPr>
      <w:r>
        <w:rPr>
          <w:rStyle w:val="19"/>
          <w:rFonts w:hint="default" w:ascii="宋体" w:hAnsi="宋体" w:eastAsia="宋体" w:cs="宋体"/>
          <w:color w:val="auto"/>
          <w:spacing w:val="-19"/>
          <w:sz w:val="24"/>
          <w:szCs w:val="24"/>
          <w:highlight w:val="none"/>
        </w:rPr>
        <w:t>在</w:t>
      </w:r>
      <w:r>
        <w:rPr>
          <w:rStyle w:val="19"/>
          <w:rFonts w:hint="default" w:ascii="宋体" w:hAnsi="宋体" w:eastAsia="宋体" w:cs="宋体"/>
          <w:color w:val="auto"/>
          <w:spacing w:val="-5"/>
          <w:sz w:val="24"/>
          <w:szCs w:val="24"/>
          <w:highlight w:val="none"/>
        </w:rPr>
        <w:t>保修期内，因承包原因造成工程的缺陷、损坏，承包人负责修复，并承担修复的费用；因发包人使用不当造成的缺陷、损坏，可以委托承包人修复，但发包人应承担修复的费用；因其他原因造成工程的缺陷、损坏，可以委托承包人修复，发包人应承担修复的费用，因工程的缺陷、损坏造成人身伤害和财产损失由责任方承担。</w:t>
      </w:r>
    </w:p>
    <w:p w14:paraId="1D1A17C2">
      <w:pPr>
        <w:pStyle w:val="28"/>
        <w:keepNext w:val="0"/>
        <w:pageBreakBefore w:val="0"/>
        <w:wordWrap/>
        <w:topLinePunct w:val="0"/>
        <w:autoSpaceDE/>
        <w:autoSpaceDN/>
        <w:bidi w:val="0"/>
        <w:adjustRightInd/>
        <w:spacing w:beforeLines="0" w:afterLines="0" w:line="440" w:lineRule="exact"/>
        <w:ind w:firstLine="467"/>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5"/>
          <w:sz w:val="24"/>
          <w:szCs w:val="24"/>
          <w:highlight w:val="none"/>
        </w:rPr>
        <w:t>保修期限为</w:t>
      </w:r>
      <w:r>
        <w:rPr>
          <w:rStyle w:val="19"/>
          <w:rFonts w:hint="eastAsia" w:ascii="宋体" w:hAnsi="宋体" w:eastAsia="宋体" w:cs="宋体"/>
          <w:color w:val="auto"/>
          <w:spacing w:val="-5"/>
          <w:sz w:val="24"/>
          <w:szCs w:val="24"/>
          <w:highlight w:val="none"/>
          <w:lang w:val="en-US" w:eastAsia="zh-CN"/>
        </w:rPr>
        <w:t>1</w:t>
      </w:r>
      <w:r>
        <w:rPr>
          <w:rStyle w:val="19"/>
          <w:rFonts w:hint="default" w:ascii="宋体" w:hAnsi="宋体" w:eastAsia="宋体" w:cs="宋体"/>
          <w:color w:val="auto"/>
          <w:spacing w:val="-5"/>
          <w:sz w:val="24"/>
          <w:szCs w:val="24"/>
          <w:highlight w:val="none"/>
        </w:rPr>
        <w:t>年。</w:t>
      </w:r>
    </w:p>
    <w:p w14:paraId="5FBDBD28">
      <w:pPr>
        <w:pStyle w:val="2"/>
        <w:keepNext w:val="0"/>
        <w:pageBreakBefore w:val="0"/>
        <w:wordWrap/>
        <w:topLinePunct w:val="0"/>
        <w:autoSpaceDE/>
        <w:autoSpaceDN/>
        <w:bidi w:val="0"/>
        <w:adjustRightInd/>
        <w:spacing w:line="440" w:lineRule="exact"/>
        <w:textAlignment w:val="auto"/>
        <w:rPr>
          <w:rFonts w:hint="default" w:ascii="宋体" w:cs="Times New Roman"/>
          <w:color w:val="auto"/>
          <w:sz w:val="28"/>
          <w:szCs w:val="32"/>
          <w:highlight w:val="none"/>
        </w:rPr>
      </w:pPr>
      <w:bookmarkStart w:id="1391" w:name="_Toc3197"/>
      <w:bookmarkStart w:id="1392" w:name="bookmark1841"/>
      <w:bookmarkStart w:id="1393" w:name="_Toc49083467"/>
      <w:bookmarkStart w:id="1394" w:name="_Toc5968"/>
      <w:bookmarkStart w:id="1395" w:name="bookmark1839"/>
      <w:bookmarkStart w:id="1396" w:name="bookmark1838"/>
      <w:r>
        <w:rPr>
          <w:rFonts w:hint="default" w:ascii="宋体" w:cs="Times New Roman"/>
          <w:color w:val="auto"/>
          <w:sz w:val="28"/>
          <w:szCs w:val="32"/>
          <w:highlight w:val="none"/>
        </w:rPr>
        <w:t>20. 保险</w:t>
      </w:r>
      <w:bookmarkEnd w:id="1391"/>
      <w:bookmarkEnd w:id="1392"/>
      <w:bookmarkEnd w:id="1393"/>
      <w:bookmarkEnd w:id="1394"/>
    </w:p>
    <w:p w14:paraId="19CC04A5">
      <w:pPr>
        <w:keepNext w:val="0"/>
        <w:pageBreakBefore w:val="0"/>
        <w:wordWrap/>
        <w:topLinePunct w:val="0"/>
        <w:autoSpaceDE/>
        <w:autoSpaceDN/>
        <w:bidi w:val="0"/>
        <w:adjustRightInd/>
        <w:spacing w:line="440" w:lineRule="exact"/>
        <w:textAlignment w:val="auto"/>
        <w:rPr>
          <w:rFonts w:hint="eastAsia"/>
          <w:b/>
          <w:color w:val="auto"/>
          <w:sz w:val="24"/>
          <w:szCs w:val="24"/>
          <w:highlight w:val="none"/>
          <w:lang w:val="zh-CN"/>
        </w:rPr>
      </w:pPr>
      <w:bookmarkStart w:id="1397" w:name="bookmark1842"/>
      <w:r>
        <w:rPr>
          <w:rFonts w:hint="eastAsia"/>
          <w:b/>
          <w:color w:val="auto"/>
          <w:sz w:val="24"/>
          <w:szCs w:val="24"/>
          <w:highlight w:val="none"/>
          <w:lang w:val="zh-CN"/>
        </w:rPr>
        <w:t>20.1工程保险</w:t>
      </w:r>
      <w:bookmarkEnd w:id="1395"/>
      <w:bookmarkEnd w:id="1396"/>
      <w:bookmarkEnd w:id="1397"/>
    </w:p>
    <w:p w14:paraId="44C4FD63">
      <w:pPr>
        <w:pStyle w:val="36"/>
        <w:keepNext w:val="0"/>
        <w:pageBreakBefore w:val="0"/>
        <w:tabs>
          <w:tab w:val="left" w:pos="8220"/>
        </w:tabs>
        <w:wordWrap/>
        <w:topLinePunct w:val="0"/>
        <w:autoSpaceDE/>
        <w:autoSpaceDN/>
        <w:bidi w:val="0"/>
        <w:adjustRightInd/>
        <w:spacing w:beforeLines="0" w:after="120" w:afterLines="0" w:line="440" w:lineRule="exact"/>
        <w:ind w:left="420" w:firstLine="20"/>
        <w:textAlignment w:val="auto"/>
        <w:rPr>
          <w:rStyle w:val="19"/>
          <w:rFonts w:hint="default" w:ascii="宋体" w:hAnsi="宋体" w:eastAsia="宋体" w:cs="宋体"/>
          <w:color w:val="auto"/>
          <w:sz w:val="24"/>
          <w:szCs w:val="24"/>
          <w:highlight w:val="none"/>
          <w:lang w:val="zh-CN" w:eastAsia="zh-CN" w:bidi="zh-CN"/>
        </w:rPr>
      </w:pPr>
      <w:r>
        <w:rPr>
          <w:rStyle w:val="19"/>
          <w:rFonts w:hint="default" w:ascii="宋体" w:hAnsi="宋体" w:eastAsia="宋体" w:cs="宋体"/>
          <w:color w:val="auto"/>
          <w:sz w:val="24"/>
          <w:szCs w:val="24"/>
          <w:highlight w:val="none"/>
          <w:lang w:val="zh-CN" w:eastAsia="zh-CN" w:bidi="zh-CN"/>
        </w:rPr>
        <w:t xml:space="preserve">建筑工程一切险和（或）安装工程一切险投保人： </w:t>
      </w:r>
      <w:r>
        <w:rPr>
          <w:rStyle w:val="19"/>
          <w:rFonts w:hint="default" w:ascii="宋体" w:hAnsi="宋体" w:eastAsia="宋体" w:cs="宋体"/>
          <w:color w:val="auto"/>
          <w:sz w:val="24"/>
          <w:szCs w:val="24"/>
          <w:highlight w:val="none"/>
          <w:u w:val="single"/>
          <w:lang w:val="zh-CN" w:eastAsia="zh-CN" w:bidi="zh-CN"/>
        </w:rPr>
        <w:t xml:space="preserve"> </w:t>
      </w:r>
      <w:r>
        <w:rPr>
          <w:rStyle w:val="19"/>
          <w:rFonts w:hint="default" w:ascii="宋体" w:hAnsi="宋体" w:eastAsia="宋体" w:cs="宋体"/>
          <w:color w:val="auto"/>
          <w:sz w:val="24"/>
          <w:szCs w:val="24"/>
          <w:highlight w:val="none"/>
          <w:u w:val="single"/>
          <w:lang w:eastAsia="zh-CN" w:bidi="zh-CN"/>
        </w:rPr>
        <w:t>承包人</w:t>
      </w:r>
      <w:r>
        <w:rPr>
          <w:rStyle w:val="19"/>
          <w:rFonts w:hint="default" w:ascii="宋体" w:hAnsi="宋体" w:eastAsia="宋体" w:cs="宋体"/>
          <w:color w:val="auto"/>
          <w:sz w:val="24"/>
          <w:szCs w:val="24"/>
          <w:highlight w:val="none"/>
          <w:lang w:val="zh-CN" w:eastAsia="zh-CN" w:bidi="zh-CN"/>
        </w:rPr>
        <w:t xml:space="preserve">； </w:t>
      </w:r>
    </w:p>
    <w:p w14:paraId="610B225F">
      <w:pPr>
        <w:pStyle w:val="36"/>
        <w:keepNext w:val="0"/>
        <w:pageBreakBefore w:val="0"/>
        <w:tabs>
          <w:tab w:val="left" w:pos="8220"/>
        </w:tabs>
        <w:wordWrap/>
        <w:topLinePunct w:val="0"/>
        <w:autoSpaceDE/>
        <w:autoSpaceDN/>
        <w:bidi w:val="0"/>
        <w:adjustRightInd/>
        <w:spacing w:beforeLines="0" w:after="120" w:afterLines="0" w:line="440" w:lineRule="exact"/>
        <w:ind w:firstLine="440"/>
        <w:textAlignment w:val="auto"/>
        <w:rPr>
          <w:rStyle w:val="19"/>
          <w:rFonts w:hint="default" w:ascii="宋体" w:hAnsi="宋体" w:eastAsia="宋体" w:cs="宋体"/>
          <w:color w:val="auto"/>
          <w:sz w:val="24"/>
          <w:szCs w:val="24"/>
          <w:highlight w:val="none"/>
          <w:lang w:val="zh-CN" w:eastAsia="zh-CN" w:bidi="zh-CN"/>
        </w:rPr>
      </w:pPr>
      <w:r>
        <w:rPr>
          <w:rStyle w:val="19"/>
          <w:rFonts w:hint="default" w:ascii="宋体" w:hAnsi="宋体" w:eastAsia="宋体" w:cs="宋体"/>
          <w:color w:val="auto"/>
          <w:sz w:val="24"/>
          <w:szCs w:val="24"/>
          <w:highlight w:val="none"/>
          <w:lang w:val="zh-CN" w:eastAsia="zh-CN" w:bidi="zh-CN"/>
        </w:rPr>
        <w:t>投保内容：</w:t>
      </w:r>
      <w:r>
        <w:rPr>
          <w:rStyle w:val="19"/>
          <w:rFonts w:hint="default" w:ascii="宋体" w:hAnsi="宋体" w:eastAsia="宋体" w:cs="宋体"/>
          <w:color w:val="auto"/>
          <w:sz w:val="24"/>
          <w:szCs w:val="24"/>
          <w:highlight w:val="none"/>
          <w:u w:val="single"/>
          <w:lang w:val="zh-CN" w:eastAsia="zh-CN" w:bidi="zh-CN"/>
        </w:rPr>
        <w:t xml:space="preserve">  承包人必须为本合同工程派遣或雇用的任何人员</w:t>
      </w:r>
      <w:r>
        <w:rPr>
          <w:rStyle w:val="19"/>
          <w:rFonts w:hint="default" w:ascii="宋体" w:hAnsi="宋体" w:eastAsia="宋体" w:cs="宋体"/>
          <w:color w:val="auto"/>
          <w:sz w:val="24"/>
          <w:szCs w:val="24"/>
          <w:highlight w:val="none"/>
          <w:u w:val="single"/>
          <w:lang w:eastAsia="zh-CN" w:bidi="zh-CN"/>
        </w:rPr>
        <w:t>购买</w:t>
      </w:r>
      <w:r>
        <w:rPr>
          <w:rStyle w:val="19"/>
          <w:rFonts w:hint="default" w:ascii="宋体" w:hAnsi="宋体" w:eastAsia="宋体" w:cs="宋体"/>
          <w:color w:val="auto"/>
          <w:sz w:val="24"/>
          <w:szCs w:val="24"/>
          <w:highlight w:val="none"/>
          <w:u w:val="single"/>
          <w:lang w:val="zh-CN" w:eastAsia="zh-CN" w:bidi="zh-CN"/>
        </w:rPr>
        <w:t>意外伤亡和人身事故保险，保险费用包含在工程报价中</w:t>
      </w:r>
      <w:r>
        <w:rPr>
          <w:rStyle w:val="19"/>
          <w:rFonts w:hint="default" w:ascii="宋体" w:hAnsi="宋体" w:eastAsia="宋体" w:cs="宋体"/>
          <w:color w:val="auto"/>
          <w:sz w:val="24"/>
          <w:szCs w:val="24"/>
          <w:highlight w:val="none"/>
          <w:lang w:val="zh-CN" w:eastAsia="zh-CN" w:bidi="zh-CN"/>
        </w:rPr>
        <w:t xml:space="preserve">； </w:t>
      </w:r>
    </w:p>
    <w:p w14:paraId="665925F7">
      <w:pPr>
        <w:pStyle w:val="36"/>
        <w:keepNext w:val="0"/>
        <w:pageBreakBefore w:val="0"/>
        <w:tabs>
          <w:tab w:val="left" w:pos="8220"/>
        </w:tabs>
        <w:wordWrap/>
        <w:topLinePunct w:val="0"/>
        <w:autoSpaceDE/>
        <w:autoSpaceDN/>
        <w:bidi w:val="0"/>
        <w:adjustRightInd/>
        <w:spacing w:beforeLines="0" w:after="120" w:afterLines="0" w:line="440" w:lineRule="exact"/>
        <w:ind w:left="420" w:firstLine="20"/>
        <w:textAlignment w:val="auto"/>
        <w:rPr>
          <w:rStyle w:val="19"/>
          <w:rFonts w:hint="default" w:ascii="宋体" w:hAnsi="宋体" w:eastAsia="宋体" w:cs="宋体"/>
          <w:color w:val="auto"/>
          <w:sz w:val="24"/>
          <w:szCs w:val="24"/>
          <w:highlight w:val="none"/>
          <w:lang w:val="zh-CN" w:eastAsia="zh-CN" w:bidi="zh-CN"/>
        </w:rPr>
      </w:pPr>
      <w:r>
        <w:rPr>
          <w:rStyle w:val="19"/>
          <w:rFonts w:hint="default" w:ascii="宋体" w:hAnsi="宋体" w:eastAsia="宋体" w:cs="宋体"/>
          <w:color w:val="auto"/>
          <w:sz w:val="24"/>
          <w:szCs w:val="24"/>
          <w:highlight w:val="none"/>
          <w:lang w:val="zh-CN" w:eastAsia="zh-CN" w:bidi="zh-CN"/>
        </w:rPr>
        <w:t>保险金额、保险费率和保险期限：</w:t>
      </w:r>
      <w:r>
        <w:rPr>
          <w:rStyle w:val="19"/>
          <w:rFonts w:hint="default" w:ascii="宋体" w:hAnsi="宋体" w:eastAsia="宋体" w:cs="宋体"/>
          <w:color w:val="auto"/>
          <w:sz w:val="24"/>
          <w:szCs w:val="24"/>
          <w:highlight w:val="none"/>
          <w:u w:val="single"/>
          <w:lang w:val="zh-CN" w:eastAsia="zh-CN" w:bidi="zh-CN"/>
        </w:rPr>
        <w:t xml:space="preserve">  在签订施工承包合同时明确</w:t>
      </w:r>
      <w:r>
        <w:rPr>
          <w:rStyle w:val="19"/>
          <w:rFonts w:hint="default" w:ascii="宋体" w:hAnsi="宋体" w:eastAsia="宋体" w:cs="宋体"/>
          <w:color w:val="auto"/>
          <w:sz w:val="24"/>
          <w:szCs w:val="24"/>
          <w:highlight w:val="none"/>
          <w:lang w:eastAsia="zh-CN"/>
        </w:rPr>
        <w:t>。</w:t>
      </w:r>
    </w:p>
    <w:p w14:paraId="15F24792">
      <w:pPr>
        <w:keepNext w:val="0"/>
        <w:pageBreakBefore w:val="0"/>
        <w:wordWrap/>
        <w:topLinePunct w:val="0"/>
        <w:autoSpaceDE/>
        <w:autoSpaceDN/>
        <w:bidi w:val="0"/>
        <w:adjustRightInd/>
        <w:spacing w:line="440" w:lineRule="exact"/>
        <w:textAlignment w:val="auto"/>
        <w:rPr>
          <w:rFonts w:hint="eastAsia"/>
          <w:b/>
          <w:color w:val="auto"/>
          <w:sz w:val="24"/>
          <w:szCs w:val="24"/>
          <w:highlight w:val="none"/>
          <w:lang w:val="zh-CN"/>
        </w:rPr>
      </w:pPr>
      <w:bookmarkStart w:id="1398" w:name="bookmark1843"/>
      <w:bookmarkStart w:id="1399" w:name="bookmark1844"/>
      <w:bookmarkStart w:id="1400" w:name="bookmark1845"/>
      <w:bookmarkStart w:id="1401" w:name="_Toc49083468"/>
      <w:r>
        <w:rPr>
          <w:rFonts w:hint="eastAsia"/>
          <w:b/>
          <w:color w:val="auto"/>
          <w:sz w:val="24"/>
          <w:szCs w:val="24"/>
          <w:highlight w:val="none"/>
          <w:lang w:val="zh-CN"/>
        </w:rPr>
        <w:t>20.4第三者责任险</w:t>
      </w:r>
      <w:bookmarkEnd w:id="1398"/>
      <w:bookmarkEnd w:id="1399"/>
      <w:bookmarkEnd w:id="1400"/>
      <w:bookmarkEnd w:id="1401"/>
    </w:p>
    <w:p w14:paraId="635D166A">
      <w:pPr>
        <w:pStyle w:val="36"/>
        <w:keepNext w:val="0"/>
        <w:pageBreakBefore w:val="0"/>
        <w:tabs>
          <w:tab w:val="left" w:pos="8225"/>
        </w:tabs>
        <w:wordWrap/>
        <w:topLinePunct w:val="0"/>
        <w:autoSpaceDE/>
        <w:autoSpaceDN/>
        <w:bidi w:val="0"/>
        <w:adjustRightInd/>
        <w:spacing w:beforeLines="0" w:after="120" w:afterLines="0" w:line="440" w:lineRule="exact"/>
        <w:ind w:left="420" w:firstLine="20"/>
        <w:textAlignment w:val="auto"/>
        <w:rPr>
          <w:rStyle w:val="19"/>
          <w:rFonts w:hint="default" w:ascii="宋体" w:hAnsi="宋体" w:eastAsia="宋体" w:cs="宋体"/>
          <w:color w:val="auto"/>
          <w:sz w:val="24"/>
          <w:szCs w:val="24"/>
          <w:highlight w:val="none"/>
          <w:lang w:val="zh-CN" w:eastAsia="zh-CN" w:bidi="zh-CN"/>
        </w:rPr>
      </w:pPr>
      <w:r>
        <w:rPr>
          <w:rStyle w:val="19"/>
          <w:rFonts w:hint="default" w:ascii="宋体" w:hAnsi="宋体" w:eastAsia="宋体" w:cs="宋体"/>
          <w:color w:val="auto"/>
          <w:sz w:val="24"/>
          <w:szCs w:val="24"/>
          <w:highlight w:val="none"/>
          <w:lang w:eastAsia="zh-CN"/>
        </w:rPr>
        <w:t xml:space="preserve">20.4.2 </w:t>
      </w:r>
      <w:r>
        <w:rPr>
          <w:rStyle w:val="19"/>
          <w:rFonts w:hint="default" w:ascii="宋体" w:hAnsi="宋体" w:eastAsia="宋体" w:cs="宋体"/>
          <w:color w:val="auto"/>
          <w:sz w:val="24"/>
          <w:szCs w:val="24"/>
          <w:highlight w:val="none"/>
          <w:lang w:val="zh-CN" w:eastAsia="zh-CN" w:bidi="zh-CN"/>
        </w:rPr>
        <w:t xml:space="preserve">第三者责任险保险费率： </w:t>
      </w:r>
      <w:r>
        <w:rPr>
          <w:rStyle w:val="19"/>
          <w:rFonts w:hint="default" w:ascii="宋体" w:hAnsi="宋体" w:eastAsia="宋体" w:cs="宋体"/>
          <w:color w:val="auto"/>
          <w:sz w:val="24"/>
          <w:szCs w:val="24"/>
          <w:highlight w:val="none"/>
          <w:u w:val="single"/>
          <w:lang w:eastAsia="zh-CN" w:bidi="zh-CN"/>
        </w:rPr>
        <w:t xml:space="preserve">     </w:t>
      </w:r>
      <w:r>
        <w:rPr>
          <w:rStyle w:val="19"/>
          <w:rFonts w:hint="default" w:ascii="宋体" w:hAnsi="宋体" w:eastAsia="宋体" w:cs="宋体"/>
          <w:color w:val="auto"/>
          <w:sz w:val="24"/>
          <w:szCs w:val="24"/>
          <w:highlight w:val="none"/>
          <w:lang w:val="zh-CN" w:eastAsia="zh-CN" w:bidi="zh-CN"/>
        </w:rPr>
        <w:t>； 第三者责任险保险金额：</w:t>
      </w:r>
      <w:r>
        <w:rPr>
          <w:rStyle w:val="19"/>
          <w:rFonts w:hint="default" w:ascii="宋体" w:hAnsi="宋体" w:eastAsia="宋体" w:cs="宋体"/>
          <w:color w:val="auto"/>
          <w:sz w:val="24"/>
          <w:szCs w:val="24"/>
          <w:highlight w:val="none"/>
          <w:u w:val="single"/>
          <w:lang w:val="zh-CN" w:eastAsia="zh-CN" w:bidi="zh-CN"/>
        </w:rPr>
        <w:t xml:space="preserve">    /</w:t>
      </w:r>
      <w:r>
        <w:rPr>
          <w:rStyle w:val="19"/>
          <w:rFonts w:hint="default" w:ascii="宋体" w:hAnsi="宋体" w:eastAsia="宋体" w:cs="宋体"/>
          <w:color w:val="auto"/>
          <w:sz w:val="24"/>
          <w:szCs w:val="24"/>
          <w:highlight w:val="none"/>
          <w:u w:val="single"/>
          <w:lang w:eastAsia="zh-CN" w:bidi="zh-CN"/>
        </w:rPr>
        <w:t xml:space="preserve">   </w:t>
      </w:r>
      <w:r>
        <w:rPr>
          <w:rStyle w:val="19"/>
          <w:rFonts w:hint="default" w:ascii="宋体" w:hAnsi="宋体" w:eastAsia="宋体" w:cs="宋体"/>
          <w:color w:val="auto"/>
          <w:sz w:val="24"/>
          <w:szCs w:val="24"/>
          <w:highlight w:val="none"/>
          <w:lang w:eastAsia="zh-CN"/>
        </w:rPr>
        <w:t>。</w:t>
      </w:r>
    </w:p>
    <w:p w14:paraId="09EC8041">
      <w:pPr>
        <w:keepNext w:val="0"/>
        <w:pageBreakBefore w:val="0"/>
        <w:wordWrap/>
        <w:topLinePunct w:val="0"/>
        <w:autoSpaceDE/>
        <w:autoSpaceDN/>
        <w:bidi w:val="0"/>
        <w:adjustRightInd/>
        <w:spacing w:line="440" w:lineRule="exact"/>
        <w:textAlignment w:val="auto"/>
        <w:rPr>
          <w:rFonts w:hint="eastAsia"/>
          <w:b/>
          <w:color w:val="auto"/>
          <w:sz w:val="24"/>
          <w:szCs w:val="24"/>
          <w:highlight w:val="none"/>
          <w:lang w:val="zh-CN"/>
        </w:rPr>
      </w:pPr>
      <w:bookmarkStart w:id="1402" w:name="bookmark1846"/>
      <w:bookmarkStart w:id="1403" w:name="bookmark1848"/>
      <w:bookmarkStart w:id="1404" w:name="bookmark1847"/>
      <w:r>
        <w:rPr>
          <w:rFonts w:hint="eastAsia"/>
          <w:b/>
          <w:color w:val="auto"/>
          <w:sz w:val="24"/>
          <w:szCs w:val="24"/>
          <w:highlight w:val="none"/>
          <w:lang w:val="zh-CN"/>
        </w:rPr>
        <w:t>20.5其他保险</w:t>
      </w:r>
      <w:bookmarkEnd w:id="1402"/>
      <w:bookmarkEnd w:id="1403"/>
      <w:bookmarkEnd w:id="1404"/>
    </w:p>
    <w:p w14:paraId="5E99AA9E">
      <w:pPr>
        <w:pStyle w:val="36"/>
        <w:keepNext w:val="0"/>
        <w:pageBreakBefore w:val="0"/>
        <w:tabs>
          <w:tab w:val="left" w:pos="8220"/>
        </w:tabs>
        <w:wordWrap/>
        <w:topLinePunct w:val="0"/>
        <w:autoSpaceDE/>
        <w:autoSpaceDN/>
        <w:bidi w:val="0"/>
        <w:adjustRightInd/>
        <w:spacing w:beforeLines="0" w:after="120" w:afterLines="0" w:line="440" w:lineRule="exact"/>
        <w:ind w:left="420" w:firstLine="20"/>
        <w:textAlignment w:val="auto"/>
        <w:rPr>
          <w:rStyle w:val="19"/>
          <w:rFonts w:hint="default" w:ascii="宋体" w:hAnsi="宋体" w:eastAsia="宋体" w:cs="宋体"/>
          <w:color w:val="auto"/>
          <w:sz w:val="24"/>
          <w:szCs w:val="24"/>
          <w:highlight w:val="none"/>
          <w:lang w:val="zh-CN" w:eastAsia="zh-CN" w:bidi="zh-CN"/>
        </w:rPr>
      </w:pPr>
      <w:r>
        <w:rPr>
          <w:rStyle w:val="19"/>
          <w:rFonts w:hint="default" w:ascii="宋体" w:hAnsi="宋体" w:eastAsia="宋体" w:cs="宋体"/>
          <w:color w:val="auto"/>
          <w:sz w:val="24"/>
          <w:szCs w:val="24"/>
          <w:highlight w:val="none"/>
          <w:lang w:val="zh-CN" w:eastAsia="zh-CN" w:bidi="zh-CN"/>
        </w:rPr>
        <w:t xml:space="preserve">需要投保的其他内容： </w:t>
      </w:r>
      <w:r>
        <w:rPr>
          <w:rStyle w:val="19"/>
          <w:rFonts w:hint="default" w:ascii="宋体" w:hAnsi="宋体" w:eastAsia="宋体" w:cs="宋体"/>
          <w:color w:val="auto"/>
          <w:sz w:val="24"/>
          <w:szCs w:val="24"/>
          <w:highlight w:val="none"/>
          <w:u w:val="single"/>
          <w:lang w:val="zh-CN" w:eastAsia="zh-CN" w:bidi="zh-CN"/>
        </w:rPr>
        <w:t xml:space="preserve"> </w:t>
      </w:r>
      <w:r>
        <w:rPr>
          <w:rFonts w:hint="default" w:ascii="宋体" w:hAnsi="Calibri" w:eastAsia="宋体"/>
          <w:color w:val="auto"/>
          <w:kern w:val="2"/>
          <w:sz w:val="24"/>
          <w:szCs w:val="24"/>
          <w:highlight w:val="none"/>
          <w:u w:val="single"/>
          <w:lang w:eastAsia="zh-CN" w:bidi="ar-SA"/>
        </w:rPr>
        <w:t>按“通用条款”执行</w:t>
      </w:r>
      <w:r>
        <w:rPr>
          <w:rStyle w:val="19"/>
          <w:rFonts w:hint="default" w:ascii="宋体" w:hAnsi="宋体" w:eastAsia="宋体" w:cs="宋体"/>
          <w:color w:val="auto"/>
          <w:sz w:val="24"/>
          <w:szCs w:val="24"/>
          <w:highlight w:val="none"/>
          <w:lang w:val="zh-CN" w:eastAsia="zh-CN" w:bidi="zh-CN"/>
        </w:rPr>
        <w:t>；</w:t>
      </w:r>
    </w:p>
    <w:p w14:paraId="5A2BAB46">
      <w:pPr>
        <w:pStyle w:val="36"/>
        <w:keepNext w:val="0"/>
        <w:pageBreakBefore w:val="0"/>
        <w:tabs>
          <w:tab w:val="left" w:pos="8220"/>
        </w:tabs>
        <w:wordWrap/>
        <w:topLinePunct w:val="0"/>
        <w:autoSpaceDE/>
        <w:autoSpaceDN/>
        <w:bidi w:val="0"/>
        <w:adjustRightInd/>
        <w:spacing w:beforeLines="0" w:after="120" w:afterLines="0" w:line="440" w:lineRule="exact"/>
        <w:ind w:left="420" w:firstLine="20"/>
        <w:textAlignment w:val="auto"/>
        <w:rPr>
          <w:rStyle w:val="19"/>
          <w:rFonts w:hint="default" w:ascii="宋体" w:hAnsi="宋体" w:eastAsia="宋体" w:cs="宋体"/>
          <w:color w:val="auto"/>
          <w:sz w:val="24"/>
          <w:szCs w:val="24"/>
          <w:highlight w:val="none"/>
          <w:lang w:val="zh-CN" w:eastAsia="zh-CN" w:bidi="zh-CN"/>
        </w:rPr>
      </w:pPr>
      <w:r>
        <w:rPr>
          <w:rStyle w:val="19"/>
          <w:rFonts w:hint="default" w:ascii="宋体" w:hAnsi="宋体" w:eastAsia="宋体" w:cs="宋体"/>
          <w:color w:val="auto"/>
          <w:sz w:val="24"/>
          <w:szCs w:val="24"/>
          <w:highlight w:val="none"/>
          <w:lang w:val="zh-CN" w:eastAsia="zh-CN" w:bidi="zh-CN"/>
        </w:rPr>
        <w:t xml:space="preserve">保险金额、保险费率和保险期限： </w:t>
      </w:r>
      <w:r>
        <w:rPr>
          <w:rStyle w:val="19"/>
          <w:rFonts w:hint="default" w:ascii="宋体" w:hAnsi="宋体" w:eastAsia="宋体" w:cs="宋体"/>
          <w:color w:val="auto"/>
          <w:sz w:val="24"/>
          <w:szCs w:val="24"/>
          <w:highlight w:val="none"/>
          <w:u w:val="single"/>
          <w:lang w:val="zh-CN" w:eastAsia="zh-CN" w:bidi="zh-CN"/>
        </w:rPr>
        <w:t xml:space="preserve"> 在签订施工承包合同时明确</w:t>
      </w:r>
      <w:r>
        <w:rPr>
          <w:rStyle w:val="19"/>
          <w:rFonts w:hint="default" w:ascii="宋体" w:hAnsi="宋体" w:eastAsia="宋体" w:cs="宋体"/>
          <w:color w:val="auto"/>
          <w:sz w:val="24"/>
          <w:szCs w:val="24"/>
          <w:highlight w:val="none"/>
          <w:lang w:val="zh-CN" w:eastAsia="zh-CN" w:bidi="zh-CN"/>
        </w:rPr>
        <w:t>；</w:t>
      </w:r>
    </w:p>
    <w:p w14:paraId="03A0D2CB">
      <w:pPr>
        <w:keepNext w:val="0"/>
        <w:pageBreakBefore w:val="0"/>
        <w:wordWrap/>
        <w:topLinePunct w:val="0"/>
        <w:autoSpaceDE/>
        <w:autoSpaceDN/>
        <w:bidi w:val="0"/>
        <w:adjustRightInd/>
        <w:spacing w:line="440" w:lineRule="exact"/>
        <w:textAlignment w:val="auto"/>
        <w:rPr>
          <w:rFonts w:hint="eastAsia"/>
          <w:b/>
          <w:color w:val="auto"/>
          <w:sz w:val="24"/>
          <w:szCs w:val="24"/>
          <w:highlight w:val="none"/>
          <w:lang w:val="zh-CN"/>
        </w:rPr>
      </w:pPr>
      <w:bookmarkStart w:id="1405" w:name="bookmark1849"/>
      <w:bookmarkStart w:id="1406" w:name="bookmark1851"/>
      <w:bookmarkStart w:id="1407" w:name="_Toc49083469"/>
      <w:bookmarkStart w:id="1408" w:name="bookmark1850"/>
      <w:r>
        <w:rPr>
          <w:rFonts w:hint="eastAsia"/>
          <w:b/>
          <w:color w:val="auto"/>
          <w:sz w:val="24"/>
          <w:szCs w:val="24"/>
          <w:highlight w:val="none"/>
          <w:lang w:val="zh-CN"/>
        </w:rPr>
        <w:t>20.6对各项保险的一般要求</w:t>
      </w:r>
      <w:bookmarkEnd w:id="1405"/>
      <w:bookmarkEnd w:id="1406"/>
      <w:bookmarkEnd w:id="1407"/>
      <w:bookmarkEnd w:id="1408"/>
    </w:p>
    <w:p w14:paraId="75D2C02E">
      <w:pPr>
        <w:pStyle w:val="36"/>
        <w:keepNext w:val="0"/>
        <w:pageBreakBefore w:val="0"/>
        <w:wordWrap/>
        <w:topLinePunct w:val="0"/>
        <w:autoSpaceDE/>
        <w:autoSpaceDN/>
        <w:bidi w:val="0"/>
        <w:adjustRightInd/>
        <w:spacing w:beforeLines="0" w:afterLines="0" w:line="440" w:lineRule="exact"/>
        <w:ind w:firstLine="420"/>
        <w:textAlignment w:val="auto"/>
        <w:outlineLvl w:val="0"/>
        <w:rPr>
          <w:rStyle w:val="19"/>
          <w:rFonts w:hint="default" w:ascii="宋体" w:hAnsi="宋体" w:eastAsia="宋体" w:cs="宋体"/>
          <w:color w:val="auto"/>
          <w:sz w:val="24"/>
          <w:szCs w:val="24"/>
          <w:highlight w:val="none"/>
          <w:lang w:eastAsia="zh-CN"/>
        </w:rPr>
      </w:pPr>
      <w:bookmarkStart w:id="1409" w:name="_Toc49083470"/>
      <w:r>
        <w:rPr>
          <w:rStyle w:val="19"/>
          <w:rFonts w:hint="default" w:ascii="宋体" w:hAnsi="宋体" w:eastAsia="宋体" w:cs="宋体"/>
          <w:color w:val="auto"/>
          <w:sz w:val="24"/>
          <w:szCs w:val="24"/>
          <w:highlight w:val="none"/>
          <w:lang w:eastAsia="zh-CN"/>
        </w:rPr>
        <w:t>20. 6.</w:t>
      </w:r>
      <w:r>
        <w:rPr>
          <w:rStyle w:val="19"/>
          <w:rFonts w:hint="default" w:ascii="宋体" w:hAnsi="宋体" w:eastAsia="宋体" w:cs="宋体"/>
          <w:color w:val="auto"/>
          <w:sz w:val="24"/>
          <w:szCs w:val="24"/>
          <w:highlight w:val="none"/>
          <w:lang w:val="zh-CN" w:eastAsia="zh-CN" w:bidi="zh-CN"/>
        </w:rPr>
        <w:t>1保险凭证</w:t>
      </w:r>
      <w:bookmarkEnd w:id="1409"/>
    </w:p>
    <w:p w14:paraId="10ECBAC2">
      <w:pPr>
        <w:pStyle w:val="36"/>
        <w:keepNext w:val="0"/>
        <w:pageBreakBefore w:val="0"/>
        <w:tabs>
          <w:tab w:val="left" w:pos="8220"/>
        </w:tabs>
        <w:wordWrap/>
        <w:topLinePunct w:val="0"/>
        <w:autoSpaceDE/>
        <w:autoSpaceDN/>
        <w:bidi w:val="0"/>
        <w:adjustRightInd/>
        <w:spacing w:beforeLines="0" w:afterLines="0" w:line="440" w:lineRule="exact"/>
        <w:ind w:left="420" w:firstLine="20"/>
        <w:textAlignment w:val="auto"/>
        <w:rPr>
          <w:rStyle w:val="19"/>
          <w:rFonts w:hint="default" w:ascii="宋体" w:hAnsi="宋体" w:eastAsia="宋体" w:cs="宋体"/>
          <w:color w:val="auto"/>
          <w:sz w:val="24"/>
          <w:szCs w:val="24"/>
          <w:highlight w:val="none"/>
          <w:lang w:val="zh-CN" w:eastAsia="zh-CN" w:bidi="zh-CN"/>
        </w:rPr>
      </w:pPr>
      <w:r>
        <w:rPr>
          <w:rStyle w:val="19"/>
          <w:rFonts w:hint="default" w:ascii="宋体" w:hAnsi="宋体" w:eastAsia="宋体" w:cs="宋体"/>
          <w:color w:val="auto"/>
          <w:sz w:val="24"/>
          <w:szCs w:val="24"/>
          <w:highlight w:val="none"/>
          <w:lang w:val="zh-CN" w:eastAsia="zh-CN" w:bidi="zh-CN"/>
        </w:rPr>
        <w:t>承包人提交保险凭证的期限：</w:t>
      </w:r>
      <w:r>
        <w:rPr>
          <w:rStyle w:val="19"/>
          <w:rFonts w:hint="default" w:ascii="宋体" w:hAnsi="宋体" w:eastAsia="宋体" w:cs="宋体"/>
          <w:color w:val="auto"/>
          <w:sz w:val="24"/>
          <w:szCs w:val="24"/>
          <w:highlight w:val="none"/>
          <w:u w:val="single"/>
          <w:lang w:val="zh-CN" w:eastAsia="zh-CN" w:bidi="zh-CN"/>
        </w:rPr>
        <w:t xml:space="preserve">  /</w:t>
      </w:r>
      <w:r>
        <w:rPr>
          <w:rStyle w:val="19"/>
          <w:rFonts w:hint="default" w:ascii="宋体" w:hAnsi="宋体" w:eastAsia="宋体" w:cs="宋体"/>
          <w:color w:val="auto"/>
          <w:sz w:val="24"/>
          <w:szCs w:val="24"/>
          <w:highlight w:val="none"/>
          <w:lang w:val="zh-CN" w:eastAsia="zh-CN" w:bidi="zh-CN"/>
        </w:rPr>
        <w:t>； 保险条件：</w:t>
      </w:r>
      <w:r>
        <w:rPr>
          <w:rStyle w:val="19"/>
          <w:rFonts w:hint="default" w:ascii="宋体" w:hAnsi="宋体" w:eastAsia="宋体" w:cs="宋体"/>
          <w:color w:val="auto"/>
          <w:sz w:val="24"/>
          <w:szCs w:val="24"/>
          <w:highlight w:val="none"/>
          <w:u w:val="single"/>
          <w:lang w:val="zh-CN" w:eastAsia="zh-CN" w:bidi="zh-CN"/>
        </w:rPr>
        <w:t xml:space="preserve">   /</w:t>
      </w:r>
      <w:r>
        <w:rPr>
          <w:rStyle w:val="19"/>
          <w:rFonts w:hint="default" w:ascii="宋体" w:hAnsi="宋体" w:eastAsia="宋体" w:cs="宋体"/>
          <w:color w:val="auto"/>
          <w:sz w:val="24"/>
          <w:szCs w:val="24"/>
          <w:highlight w:val="none"/>
          <w:lang w:eastAsia="zh-CN"/>
        </w:rPr>
        <w:t>。</w:t>
      </w:r>
    </w:p>
    <w:p w14:paraId="0DD12BB5">
      <w:pPr>
        <w:pStyle w:val="36"/>
        <w:keepNext w:val="0"/>
        <w:pageBreakBefore w:val="0"/>
        <w:wordWrap/>
        <w:topLinePunct w:val="0"/>
        <w:autoSpaceDE/>
        <w:autoSpaceDN/>
        <w:bidi w:val="0"/>
        <w:adjustRightInd/>
        <w:spacing w:beforeLines="0" w:afterLines="0" w:line="440" w:lineRule="exact"/>
        <w:ind w:firstLine="420"/>
        <w:textAlignment w:val="auto"/>
        <w:rPr>
          <w:rStyle w:val="19"/>
          <w:rFonts w:hint="default" w:ascii="宋体" w:hAnsi="宋体" w:eastAsia="宋体" w:cs="宋体"/>
          <w:color w:val="auto"/>
          <w:sz w:val="24"/>
          <w:szCs w:val="24"/>
          <w:highlight w:val="none"/>
          <w:lang w:val="zh-CN" w:eastAsia="zh-CN" w:bidi="zh-CN"/>
        </w:rPr>
      </w:pPr>
      <w:r>
        <w:rPr>
          <w:rStyle w:val="19"/>
          <w:rFonts w:hint="default" w:ascii="宋体" w:hAnsi="宋体" w:eastAsia="宋体" w:cs="宋体"/>
          <w:color w:val="auto"/>
          <w:sz w:val="24"/>
          <w:szCs w:val="24"/>
          <w:highlight w:val="none"/>
          <w:lang w:eastAsia="zh-CN"/>
        </w:rPr>
        <w:t>20. 6.</w:t>
      </w:r>
      <w:r>
        <w:rPr>
          <w:rStyle w:val="19"/>
          <w:rFonts w:hint="default" w:ascii="宋体" w:hAnsi="宋体" w:eastAsia="宋体" w:cs="宋体"/>
          <w:color w:val="auto"/>
          <w:sz w:val="24"/>
          <w:szCs w:val="24"/>
          <w:highlight w:val="none"/>
          <w:lang w:val="zh-CN" w:eastAsia="zh-CN" w:bidi="zh-CN"/>
        </w:rPr>
        <w:t>4保险金不足的补偿</w:t>
      </w:r>
    </w:p>
    <w:p w14:paraId="3B6929A9">
      <w:pPr>
        <w:pStyle w:val="28"/>
        <w:keepNext w:val="0"/>
        <w:pageBreakBefore w:val="0"/>
        <w:wordWrap/>
        <w:topLinePunct w:val="0"/>
        <w:autoSpaceDE/>
        <w:autoSpaceDN/>
        <w:bidi w:val="0"/>
        <w:adjustRightInd/>
        <w:spacing w:beforeLines="0" w:afterLines="0" w:line="440" w:lineRule="exact"/>
        <w:ind w:firstLine="508" w:firstLineChars="212"/>
        <w:textAlignment w:val="auto"/>
        <w:outlineLvl w:val="1"/>
        <w:rPr>
          <w:rStyle w:val="19"/>
          <w:rFonts w:hint="default" w:ascii="宋体" w:hAnsi="宋体" w:eastAsia="宋体" w:cs="宋体"/>
          <w:color w:val="auto"/>
          <w:sz w:val="24"/>
          <w:szCs w:val="24"/>
          <w:highlight w:val="none"/>
          <w:lang w:val="zh-CN" w:bidi="zh-CN"/>
        </w:rPr>
      </w:pPr>
      <w:r>
        <w:rPr>
          <w:rStyle w:val="19"/>
          <w:rFonts w:hint="default" w:ascii="宋体" w:hAnsi="宋体" w:eastAsia="宋体" w:cs="宋体"/>
          <w:color w:val="auto"/>
          <w:sz w:val="24"/>
          <w:szCs w:val="24"/>
          <w:highlight w:val="none"/>
          <w:lang w:val="zh-CN" w:bidi="zh-CN"/>
        </w:rPr>
        <w:t xml:space="preserve">承包人负责补偿的范围与金额： </w:t>
      </w:r>
      <w:r>
        <w:rPr>
          <w:rStyle w:val="19"/>
          <w:rFonts w:hint="default" w:ascii="宋体" w:hAnsi="宋体" w:eastAsia="宋体" w:cs="宋体"/>
          <w:color w:val="auto"/>
          <w:sz w:val="24"/>
          <w:szCs w:val="24"/>
          <w:highlight w:val="none"/>
          <w:u w:val="single"/>
          <w:lang w:val="zh-CN" w:bidi="zh-CN"/>
        </w:rPr>
        <w:t xml:space="preserve">  /</w:t>
      </w:r>
      <w:r>
        <w:rPr>
          <w:rStyle w:val="19"/>
          <w:rFonts w:hint="default" w:ascii="宋体" w:hAnsi="宋体" w:eastAsia="宋体" w:cs="宋体"/>
          <w:color w:val="auto"/>
          <w:sz w:val="24"/>
          <w:szCs w:val="24"/>
          <w:highlight w:val="none"/>
          <w:u w:val="single"/>
          <w:lang w:val="zh-CN" w:bidi="zh-CN"/>
        </w:rPr>
        <w:tab/>
      </w:r>
      <w:r>
        <w:rPr>
          <w:rStyle w:val="19"/>
          <w:rFonts w:hint="default" w:ascii="宋体" w:hAnsi="宋体" w:eastAsia="宋体" w:cs="宋体"/>
          <w:color w:val="auto"/>
          <w:sz w:val="24"/>
          <w:szCs w:val="24"/>
          <w:highlight w:val="none"/>
          <w:lang w:val="zh-CN" w:bidi="zh-CN"/>
        </w:rPr>
        <w:t xml:space="preserve">； </w:t>
      </w:r>
    </w:p>
    <w:p w14:paraId="0324C2E1">
      <w:pPr>
        <w:pStyle w:val="28"/>
        <w:keepNext w:val="0"/>
        <w:pageBreakBefore w:val="0"/>
        <w:wordWrap/>
        <w:topLinePunct w:val="0"/>
        <w:autoSpaceDE/>
        <w:autoSpaceDN/>
        <w:bidi w:val="0"/>
        <w:adjustRightInd/>
        <w:spacing w:beforeLines="0" w:afterLines="0" w:line="440" w:lineRule="exact"/>
        <w:ind w:firstLine="508" w:firstLineChars="212"/>
        <w:textAlignment w:val="auto"/>
        <w:outlineLvl w:val="1"/>
        <w:rPr>
          <w:rStyle w:val="19"/>
          <w:rFonts w:hint="default" w:ascii="宋体" w:hAnsi="宋体" w:eastAsia="宋体" w:cs="宋体"/>
          <w:color w:val="auto"/>
          <w:sz w:val="24"/>
          <w:szCs w:val="24"/>
          <w:highlight w:val="none"/>
          <w:lang w:val="zh-CN" w:bidi="zh-CN"/>
        </w:rPr>
      </w:pPr>
      <w:r>
        <w:rPr>
          <w:rStyle w:val="19"/>
          <w:rFonts w:hint="default" w:ascii="宋体" w:hAnsi="宋体" w:eastAsia="宋体" w:cs="宋体"/>
          <w:color w:val="auto"/>
          <w:sz w:val="24"/>
          <w:szCs w:val="24"/>
          <w:highlight w:val="none"/>
          <w:lang w:val="zh-CN" w:bidi="zh-CN"/>
        </w:rPr>
        <w:t>发包人负责补偿的范围与金额：</w:t>
      </w:r>
      <w:r>
        <w:rPr>
          <w:rStyle w:val="19"/>
          <w:rFonts w:hint="default" w:ascii="宋体" w:hAnsi="宋体" w:eastAsia="宋体" w:cs="宋体"/>
          <w:color w:val="auto"/>
          <w:sz w:val="24"/>
          <w:szCs w:val="24"/>
          <w:highlight w:val="none"/>
          <w:u w:val="single"/>
          <w:lang w:val="zh-CN" w:bidi="zh-CN"/>
        </w:rPr>
        <w:t xml:space="preserve">   /</w:t>
      </w:r>
      <w:r>
        <w:rPr>
          <w:rStyle w:val="19"/>
          <w:rFonts w:hint="default" w:ascii="宋体" w:hAnsi="宋体" w:eastAsia="宋体" w:cs="宋体"/>
          <w:color w:val="auto"/>
          <w:sz w:val="24"/>
          <w:szCs w:val="24"/>
          <w:highlight w:val="none"/>
          <w:u w:val="single"/>
          <w:lang w:val="zh-CN" w:bidi="zh-CN"/>
        </w:rPr>
        <w:tab/>
      </w:r>
      <w:r>
        <w:rPr>
          <w:rStyle w:val="19"/>
          <w:rFonts w:hint="default" w:ascii="宋体" w:hAnsi="宋体" w:eastAsia="宋体" w:cs="宋体"/>
          <w:color w:val="auto"/>
          <w:sz w:val="24"/>
          <w:szCs w:val="24"/>
          <w:highlight w:val="none"/>
          <w:lang w:val="zh-CN" w:bidi="zh-CN"/>
        </w:rPr>
        <w:t>。</w:t>
      </w:r>
    </w:p>
    <w:p w14:paraId="7696D79E">
      <w:pPr>
        <w:pStyle w:val="2"/>
        <w:keepNext w:val="0"/>
        <w:pageBreakBefore w:val="0"/>
        <w:wordWrap/>
        <w:topLinePunct w:val="0"/>
        <w:autoSpaceDE/>
        <w:autoSpaceDN/>
        <w:bidi w:val="0"/>
        <w:adjustRightInd/>
        <w:spacing w:line="440" w:lineRule="exact"/>
        <w:textAlignment w:val="auto"/>
        <w:rPr>
          <w:rFonts w:hint="default" w:ascii="宋体" w:cs="Times New Roman"/>
          <w:color w:val="auto"/>
          <w:sz w:val="28"/>
          <w:szCs w:val="32"/>
          <w:highlight w:val="none"/>
        </w:rPr>
      </w:pPr>
      <w:r>
        <w:rPr>
          <w:rFonts w:hint="default" w:ascii="宋体" w:cs="Times New Roman"/>
          <w:color w:val="auto"/>
          <w:sz w:val="28"/>
          <w:szCs w:val="32"/>
          <w:highlight w:val="none"/>
        </w:rPr>
        <w:t>21.不可抗力</w:t>
      </w:r>
    </w:p>
    <w:p w14:paraId="5F1B4051">
      <w:pPr>
        <w:keepNext w:val="0"/>
        <w:pageBreakBefore w:val="0"/>
        <w:wordWrap/>
        <w:topLinePunct w:val="0"/>
        <w:autoSpaceDE/>
        <w:autoSpaceDN/>
        <w:bidi w:val="0"/>
        <w:adjustRightInd/>
        <w:spacing w:line="440" w:lineRule="exact"/>
        <w:textAlignment w:val="auto"/>
        <w:rPr>
          <w:rFonts w:hint="eastAsia"/>
          <w:b/>
          <w:color w:val="auto"/>
          <w:sz w:val="24"/>
          <w:szCs w:val="24"/>
          <w:highlight w:val="none"/>
        </w:rPr>
      </w:pPr>
      <w:r>
        <w:rPr>
          <w:rFonts w:hint="eastAsia"/>
          <w:b/>
          <w:color w:val="auto"/>
          <w:sz w:val="24"/>
          <w:szCs w:val="24"/>
          <w:highlight w:val="none"/>
        </w:rPr>
        <w:t>21.1不可抗力的确认</w:t>
      </w:r>
    </w:p>
    <w:p w14:paraId="11BEFC31">
      <w:pPr>
        <w:pStyle w:val="28"/>
        <w:keepNext w:val="0"/>
        <w:pageBreakBefore w:val="0"/>
        <w:wordWrap/>
        <w:topLinePunct w:val="0"/>
        <w:autoSpaceDE/>
        <w:autoSpaceDN/>
        <w:bidi w:val="0"/>
        <w:adjustRightInd/>
        <w:spacing w:beforeLines="0" w:afterLines="0" w:line="440" w:lineRule="exact"/>
        <w:ind w:left="25" w:firstLine="443"/>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5"/>
          <w:sz w:val="24"/>
          <w:szCs w:val="24"/>
          <w:highlight w:val="none"/>
        </w:rPr>
        <w:t>21.1.1不可抗力是指承包人和发包人在订立合同时不可预见，在工程施工</w:t>
      </w:r>
      <w:r>
        <w:rPr>
          <w:rStyle w:val="19"/>
          <w:rFonts w:hint="default" w:ascii="宋体" w:hAnsi="宋体" w:eastAsia="宋体" w:cs="宋体"/>
          <w:color w:val="auto"/>
          <w:spacing w:val="-2"/>
          <w:sz w:val="24"/>
          <w:szCs w:val="24"/>
          <w:highlight w:val="none"/>
        </w:rPr>
        <w:t>过程中不可避免发生并不能克服的自然灾害和社会性突发事件，如地震、海啸、</w:t>
      </w:r>
      <w:r>
        <w:rPr>
          <w:rStyle w:val="19"/>
          <w:rFonts w:hint="default" w:ascii="宋体" w:hAnsi="宋体" w:eastAsia="宋体" w:cs="宋体"/>
          <w:color w:val="auto"/>
          <w:spacing w:val="-8"/>
          <w:sz w:val="24"/>
          <w:szCs w:val="24"/>
          <w:highlight w:val="none"/>
        </w:rPr>
        <w:t>瘟疫、水灾、骚乱、暴动、战争、大规模公共卫生事件和本合同专用合同条款第11.4款的约定。</w:t>
      </w:r>
    </w:p>
    <w:p w14:paraId="0DDEE716">
      <w:pPr>
        <w:pStyle w:val="2"/>
        <w:keepNext w:val="0"/>
        <w:pageBreakBefore w:val="0"/>
        <w:wordWrap/>
        <w:topLinePunct w:val="0"/>
        <w:autoSpaceDE/>
        <w:autoSpaceDN/>
        <w:bidi w:val="0"/>
        <w:adjustRightInd/>
        <w:spacing w:line="440" w:lineRule="exact"/>
        <w:textAlignment w:val="auto"/>
        <w:rPr>
          <w:rStyle w:val="19"/>
          <w:rFonts w:hint="default" w:ascii="Calibri" w:hAnsi="Times New Roman" w:cs="Times New Roman"/>
          <w:color w:val="auto"/>
          <w:sz w:val="20"/>
          <w:szCs w:val="20"/>
          <w:highlight w:val="none"/>
        </w:rPr>
      </w:pPr>
      <w:r>
        <w:rPr>
          <w:rFonts w:hint="default" w:ascii="宋体" w:cs="Times New Roman"/>
          <w:color w:val="auto"/>
          <w:sz w:val="28"/>
          <w:szCs w:val="32"/>
          <w:highlight w:val="none"/>
        </w:rPr>
        <w:t>24.争议的解决</w:t>
      </w:r>
    </w:p>
    <w:p w14:paraId="6EADBAFF">
      <w:pPr>
        <w:keepNext w:val="0"/>
        <w:pageBreakBefore w:val="0"/>
        <w:wordWrap/>
        <w:topLinePunct w:val="0"/>
        <w:autoSpaceDE/>
        <w:autoSpaceDN/>
        <w:bidi w:val="0"/>
        <w:adjustRightInd/>
        <w:spacing w:line="440" w:lineRule="exact"/>
        <w:textAlignment w:val="auto"/>
        <w:rPr>
          <w:rFonts w:hint="eastAsia"/>
          <w:b/>
          <w:color w:val="auto"/>
          <w:sz w:val="24"/>
          <w:szCs w:val="24"/>
          <w:highlight w:val="none"/>
        </w:rPr>
      </w:pPr>
      <w:r>
        <w:rPr>
          <w:rFonts w:hint="eastAsia"/>
          <w:b/>
          <w:color w:val="auto"/>
          <w:sz w:val="24"/>
          <w:szCs w:val="24"/>
          <w:highlight w:val="none"/>
        </w:rPr>
        <w:t>24.1争议的解决方式</w:t>
      </w:r>
    </w:p>
    <w:p w14:paraId="1106CC97">
      <w:pPr>
        <w:pStyle w:val="28"/>
        <w:keepNext w:val="0"/>
        <w:pageBreakBefore w:val="0"/>
        <w:wordWrap/>
        <w:topLinePunct w:val="0"/>
        <w:autoSpaceDE/>
        <w:autoSpaceDN/>
        <w:bidi w:val="0"/>
        <w:adjustRightInd/>
        <w:spacing w:beforeLines="0" w:afterLines="0" w:line="440" w:lineRule="exact"/>
        <w:textAlignment w:val="auto"/>
        <w:rPr>
          <w:rStyle w:val="19"/>
          <w:rFonts w:hint="default"/>
          <w:color w:val="auto"/>
          <w:sz w:val="24"/>
          <w:szCs w:val="24"/>
          <w:highlight w:val="none"/>
        </w:rPr>
      </w:pPr>
    </w:p>
    <w:p w14:paraId="6553BAC8">
      <w:pPr>
        <w:pStyle w:val="28"/>
        <w:keepNext w:val="0"/>
        <w:pageBreakBefore w:val="0"/>
        <w:wordWrap/>
        <w:topLinePunct w:val="0"/>
        <w:autoSpaceDE/>
        <w:autoSpaceDN/>
        <w:bidi w:val="0"/>
        <w:adjustRightInd/>
        <w:spacing w:beforeLines="0" w:afterLines="0" w:line="440" w:lineRule="exact"/>
        <w:ind w:left="47" w:right="87" w:firstLine="420"/>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3"/>
          <w:sz w:val="24"/>
          <w:szCs w:val="24"/>
          <w:highlight w:val="none"/>
        </w:rPr>
        <w:t>合同当事人友好协商解决不成、不愿提请争议评审或不接受争议评审组意见的，约定的合同争议解决方式为以下第（2）项：</w:t>
      </w:r>
    </w:p>
    <w:p w14:paraId="7F8CC8F7">
      <w:pPr>
        <w:pStyle w:val="28"/>
        <w:keepNext w:val="0"/>
        <w:pageBreakBefore w:val="0"/>
        <w:wordWrap/>
        <w:topLinePunct w:val="0"/>
        <w:autoSpaceDE/>
        <w:autoSpaceDN/>
        <w:bidi w:val="0"/>
        <w:adjustRightInd/>
        <w:spacing w:beforeLines="0" w:afterLines="0" w:line="440" w:lineRule="exact"/>
        <w:ind w:firstLine="472"/>
        <w:textAlignment w:val="auto"/>
        <w:rPr>
          <w:rStyle w:val="19"/>
          <w:rFonts w:hint="default" w:ascii="宋体" w:hAnsi="宋体" w:eastAsia="宋体" w:cs="宋体"/>
          <w:color w:val="auto"/>
          <w:sz w:val="24"/>
          <w:szCs w:val="24"/>
          <w:highlight w:val="none"/>
        </w:rPr>
      </w:pPr>
      <w:r>
        <w:rPr>
          <w:rStyle w:val="19"/>
          <w:rFonts w:hint="default" w:ascii="宋体" w:hAnsi="宋体" w:eastAsia="宋体" w:cs="宋体"/>
          <w:color w:val="auto"/>
          <w:spacing w:val="-5"/>
          <w:sz w:val="24"/>
          <w:szCs w:val="24"/>
          <w:highlight w:val="none"/>
        </w:rPr>
        <w:t>（1）向约定的仲裁委员会申请仲裁；</w:t>
      </w:r>
    </w:p>
    <w:p w14:paraId="14952D57">
      <w:pPr>
        <w:pStyle w:val="34"/>
        <w:keepNext w:val="0"/>
        <w:pageBreakBefore w:val="0"/>
        <w:tabs>
          <w:tab w:val="left" w:pos="8198"/>
        </w:tabs>
        <w:wordWrap/>
        <w:topLinePunct w:val="0"/>
        <w:autoSpaceDE/>
        <w:autoSpaceDN/>
        <w:bidi w:val="0"/>
        <w:adjustRightInd/>
        <w:spacing w:after="120" w:line="440" w:lineRule="exact"/>
        <w:ind w:firstLine="440"/>
        <w:textAlignment w:val="auto"/>
        <w:rPr>
          <w:rFonts w:hint="default"/>
          <w:color w:val="auto"/>
          <w:sz w:val="24"/>
          <w:szCs w:val="24"/>
          <w:highlight w:val="none"/>
        </w:rPr>
      </w:pPr>
      <w:r>
        <w:rPr>
          <w:rStyle w:val="19"/>
          <w:rFonts w:hint="default"/>
          <w:color w:val="auto"/>
          <w:spacing w:val="-10"/>
          <w:sz w:val="24"/>
          <w:szCs w:val="20"/>
          <w:highlight w:val="none"/>
        </w:rPr>
        <w:t>（2）向</w:t>
      </w:r>
      <w:r>
        <w:rPr>
          <w:rStyle w:val="19"/>
          <w:rFonts w:hint="default"/>
          <w:color w:val="auto"/>
          <w:spacing w:val="-10"/>
          <w:sz w:val="24"/>
          <w:szCs w:val="20"/>
          <w:highlight w:val="none"/>
          <w:u w:val="single"/>
        </w:rPr>
        <w:t xml:space="preserve"> 马山县</w:t>
      </w:r>
      <w:r>
        <w:rPr>
          <w:rStyle w:val="19"/>
          <w:rFonts w:hint="default"/>
          <w:color w:val="auto"/>
          <w:spacing w:val="-10"/>
          <w:sz w:val="24"/>
          <w:szCs w:val="20"/>
          <w:highlight w:val="none"/>
        </w:rPr>
        <w:t>人民法院起诉。</w:t>
      </w:r>
    </w:p>
    <w:p w14:paraId="1186CC8D">
      <w:pPr>
        <w:pStyle w:val="2"/>
        <w:keepNext w:val="0"/>
        <w:pageBreakBefore w:val="0"/>
        <w:wordWrap/>
        <w:topLinePunct w:val="0"/>
        <w:autoSpaceDE/>
        <w:autoSpaceDN/>
        <w:bidi w:val="0"/>
        <w:adjustRightInd/>
        <w:spacing w:line="440" w:lineRule="exact"/>
        <w:textAlignment w:val="auto"/>
        <w:rPr>
          <w:rFonts w:hint="default"/>
          <w:color w:val="auto"/>
          <w:sz w:val="28"/>
          <w:szCs w:val="32"/>
          <w:highlight w:val="none"/>
        </w:rPr>
      </w:pPr>
      <w:bookmarkStart w:id="1410" w:name="_Toc26089"/>
      <w:bookmarkStart w:id="1411" w:name="bookmark1864"/>
      <w:bookmarkStart w:id="1412" w:name="bookmark1863"/>
      <w:bookmarkStart w:id="1413" w:name="_Toc14710459"/>
      <w:bookmarkStart w:id="1414" w:name="_Toc30466"/>
      <w:bookmarkStart w:id="1415" w:name="bookmark1865"/>
      <w:r>
        <w:rPr>
          <w:rFonts w:hint="default"/>
          <w:color w:val="auto"/>
          <w:sz w:val="28"/>
          <w:szCs w:val="32"/>
          <w:highlight w:val="none"/>
        </w:rPr>
        <w:t>25.</w:t>
      </w:r>
      <w:r>
        <w:rPr>
          <w:rFonts w:hint="default" w:ascii="宋体"/>
          <w:color w:val="auto"/>
          <w:sz w:val="28"/>
          <w:szCs w:val="32"/>
          <w:highlight w:val="none"/>
        </w:rPr>
        <w:t xml:space="preserve"> 附加条款</w:t>
      </w:r>
      <w:bookmarkEnd w:id="1410"/>
      <w:bookmarkEnd w:id="1411"/>
      <w:bookmarkEnd w:id="1412"/>
      <w:bookmarkEnd w:id="1413"/>
      <w:bookmarkEnd w:id="1414"/>
      <w:bookmarkEnd w:id="1415"/>
    </w:p>
    <w:p w14:paraId="2DB3AB86">
      <w:pPr>
        <w:keepNext w:val="0"/>
        <w:pageBreakBefore w:val="0"/>
        <w:wordWrap/>
        <w:topLinePunct w:val="0"/>
        <w:autoSpaceDE/>
        <w:autoSpaceDN/>
        <w:bidi w:val="0"/>
        <w:adjustRightInd/>
        <w:spacing w:line="440" w:lineRule="exact"/>
        <w:textAlignment w:val="auto"/>
        <w:rPr>
          <w:rFonts w:hint="eastAsia"/>
          <w:b/>
          <w:color w:val="auto"/>
          <w:sz w:val="24"/>
          <w:szCs w:val="24"/>
          <w:highlight w:val="none"/>
        </w:rPr>
      </w:pPr>
      <w:bookmarkStart w:id="1416" w:name="bookmark1866"/>
      <w:bookmarkStart w:id="1417" w:name="bookmark1867"/>
      <w:bookmarkStart w:id="1418" w:name="bookmark1868"/>
      <w:r>
        <w:rPr>
          <w:rFonts w:hint="eastAsia"/>
          <w:b/>
          <w:color w:val="auto"/>
          <w:sz w:val="24"/>
          <w:szCs w:val="24"/>
          <w:highlight w:val="none"/>
        </w:rPr>
        <w:t>25.1对承包人的要求</w:t>
      </w:r>
      <w:bookmarkEnd w:id="1416"/>
      <w:bookmarkEnd w:id="1417"/>
      <w:bookmarkEnd w:id="1418"/>
    </w:p>
    <w:p w14:paraId="6E350169">
      <w:pPr>
        <w:pStyle w:val="34"/>
        <w:keepNext w:val="0"/>
        <w:pageBreakBefore w:val="0"/>
        <w:numPr>
          <w:ilvl w:val="0"/>
          <w:numId w:val="41"/>
        </w:numPr>
        <w:tabs>
          <w:tab w:val="left" w:pos="707"/>
        </w:tabs>
        <w:wordWrap/>
        <w:topLinePunct w:val="0"/>
        <w:autoSpaceDE/>
        <w:autoSpaceDN/>
        <w:bidi w:val="0"/>
        <w:adjustRightInd/>
        <w:spacing w:line="440" w:lineRule="exact"/>
        <w:ind w:firstLine="440"/>
        <w:textAlignment w:val="auto"/>
        <w:rPr>
          <w:rFonts w:hint="default"/>
          <w:color w:val="auto"/>
          <w:sz w:val="24"/>
          <w:szCs w:val="24"/>
          <w:highlight w:val="none"/>
        </w:rPr>
      </w:pPr>
      <w:bookmarkStart w:id="1419" w:name="bookmark1869"/>
      <w:bookmarkEnd w:id="1419"/>
      <w:r>
        <w:rPr>
          <w:rFonts w:hint="default"/>
          <w:color w:val="auto"/>
          <w:sz w:val="24"/>
          <w:szCs w:val="24"/>
          <w:highlight w:val="none"/>
        </w:rPr>
        <w:t>因承包人的原因造成施工进度计划滞后，承包人均应按发包人和监理人的指示，采取有效措施赶上进度。若施工进度仍然满足不了发包人的要求，视为承包人已经构成违约，发包人可通知承包人解除合同。发包人可在发出通知</w:t>
      </w:r>
      <w:r>
        <w:rPr>
          <w:rFonts w:hint="eastAsia" w:ascii="Times New Roman" w:hAnsi="Times New Roman" w:eastAsia="Times New Roman" w:cs="Times New Roman"/>
          <w:color w:val="auto"/>
          <w:sz w:val="24"/>
          <w:szCs w:val="24"/>
          <w:highlight w:val="none"/>
        </w:rPr>
        <w:t>5</w:t>
      </w:r>
      <w:r>
        <w:rPr>
          <w:rFonts w:hint="default"/>
          <w:color w:val="auto"/>
          <w:sz w:val="24"/>
          <w:szCs w:val="24"/>
          <w:highlight w:val="none"/>
        </w:rPr>
        <w:t>天后派员进驻工地直接监管工程, 使用承包人设备、临时工程和材料，另行组织人员或委托其他承包人施工，但发包人的这一行为不免除承包人按合同规定应负的责任。</w:t>
      </w:r>
    </w:p>
    <w:p w14:paraId="3DF4ED29">
      <w:pPr>
        <w:pStyle w:val="34"/>
        <w:keepNext w:val="0"/>
        <w:pageBreakBefore w:val="0"/>
        <w:numPr>
          <w:ilvl w:val="0"/>
          <w:numId w:val="41"/>
        </w:numPr>
        <w:tabs>
          <w:tab w:val="left" w:pos="707"/>
        </w:tabs>
        <w:wordWrap/>
        <w:topLinePunct w:val="0"/>
        <w:autoSpaceDE/>
        <w:autoSpaceDN/>
        <w:bidi w:val="0"/>
        <w:adjustRightInd/>
        <w:spacing w:line="440" w:lineRule="exact"/>
        <w:ind w:firstLine="440"/>
        <w:textAlignment w:val="auto"/>
        <w:rPr>
          <w:rFonts w:hint="default"/>
          <w:color w:val="auto"/>
          <w:sz w:val="24"/>
          <w:szCs w:val="24"/>
          <w:highlight w:val="none"/>
        </w:rPr>
      </w:pPr>
      <w:bookmarkStart w:id="1420" w:name="bookmark1870"/>
      <w:bookmarkEnd w:id="1420"/>
      <w:r>
        <w:rPr>
          <w:rFonts w:hint="default"/>
          <w:color w:val="auto"/>
          <w:sz w:val="24"/>
          <w:szCs w:val="24"/>
          <w:highlight w:val="none"/>
        </w:rPr>
        <w:t>遵守国务院《建设工程质量管理条例》，根据水利部、自治区和水利厅的有关质量管理规定，建立健全质量管理机构，结合工程实际制定完善的可操作性强的质量管理制度，施工质量等级达到合同约定等级。</w:t>
      </w:r>
    </w:p>
    <w:p w14:paraId="7D44111D">
      <w:pPr>
        <w:pStyle w:val="34"/>
        <w:keepNext w:val="0"/>
        <w:pageBreakBefore w:val="0"/>
        <w:numPr>
          <w:ilvl w:val="0"/>
          <w:numId w:val="41"/>
        </w:numPr>
        <w:tabs>
          <w:tab w:val="left" w:pos="707"/>
        </w:tabs>
        <w:wordWrap/>
        <w:topLinePunct w:val="0"/>
        <w:autoSpaceDE/>
        <w:autoSpaceDN/>
        <w:bidi w:val="0"/>
        <w:adjustRightInd/>
        <w:spacing w:line="440" w:lineRule="exact"/>
        <w:ind w:firstLine="440"/>
        <w:textAlignment w:val="auto"/>
        <w:rPr>
          <w:rFonts w:hint="default"/>
          <w:color w:val="auto"/>
          <w:sz w:val="24"/>
          <w:szCs w:val="24"/>
          <w:highlight w:val="none"/>
        </w:rPr>
      </w:pPr>
      <w:bookmarkStart w:id="1421" w:name="bookmark1871"/>
      <w:bookmarkEnd w:id="1421"/>
      <w:r>
        <w:rPr>
          <w:rFonts w:hint="default"/>
          <w:color w:val="auto"/>
          <w:sz w:val="24"/>
          <w:szCs w:val="24"/>
          <w:highlight w:val="none"/>
        </w:rPr>
        <w:t>按国家《中华人民共和国生产安全法》、《建设工程安全生产管理条例》、自治区安全生产法规和水利水电工程施工安全操作规程的规定建立健全安全管理机构和安全管理制度，采取安全施工保障措施保障工程施工安全。</w:t>
      </w:r>
    </w:p>
    <w:p w14:paraId="33DF4F5F">
      <w:pPr>
        <w:pStyle w:val="34"/>
        <w:keepNext w:val="0"/>
        <w:pageBreakBefore w:val="0"/>
        <w:numPr>
          <w:ilvl w:val="0"/>
          <w:numId w:val="41"/>
        </w:numPr>
        <w:tabs>
          <w:tab w:val="left" w:pos="705"/>
        </w:tabs>
        <w:wordWrap/>
        <w:topLinePunct w:val="0"/>
        <w:autoSpaceDE/>
        <w:autoSpaceDN/>
        <w:bidi w:val="0"/>
        <w:adjustRightInd/>
        <w:spacing w:line="440" w:lineRule="exact"/>
        <w:ind w:firstLine="440"/>
        <w:textAlignment w:val="auto"/>
        <w:rPr>
          <w:rFonts w:hint="default"/>
          <w:color w:val="auto"/>
          <w:sz w:val="24"/>
          <w:szCs w:val="24"/>
          <w:highlight w:val="none"/>
        </w:rPr>
      </w:pPr>
      <w:bookmarkStart w:id="1422" w:name="bookmark1872"/>
      <w:bookmarkEnd w:id="1422"/>
      <w:r>
        <w:rPr>
          <w:rFonts w:hint="default"/>
          <w:color w:val="auto"/>
          <w:sz w:val="24"/>
          <w:szCs w:val="24"/>
          <w:highlight w:val="none"/>
        </w:rPr>
        <w:t>按有关施工规程规范及本招标文件技术条款进行组织施工并实施施工过程和移交前工程保护措施。</w:t>
      </w:r>
    </w:p>
    <w:p w14:paraId="67D146A4">
      <w:pPr>
        <w:pStyle w:val="34"/>
        <w:keepNext w:val="0"/>
        <w:pageBreakBefore w:val="0"/>
        <w:numPr>
          <w:ilvl w:val="0"/>
          <w:numId w:val="41"/>
        </w:numPr>
        <w:tabs>
          <w:tab w:val="left" w:pos="710"/>
        </w:tabs>
        <w:wordWrap/>
        <w:topLinePunct w:val="0"/>
        <w:autoSpaceDE/>
        <w:autoSpaceDN/>
        <w:bidi w:val="0"/>
        <w:adjustRightInd/>
        <w:spacing w:line="440" w:lineRule="exact"/>
        <w:ind w:firstLine="440"/>
        <w:textAlignment w:val="auto"/>
        <w:rPr>
          <w:rFonts w:hint="default"/>
          <w:color w:val="auto"/>
          <w:sz w:val="24"/>
          <w:szCs w:val="24"/>
          <w:highlight w:val="none"/>
        </w:rPr>
      </w:pPr>
      <w:bookmarkStart w:id="1423" w:name="bookmark1873"/>
      <w:bookmarkEnd w:id="1423"/>
      <w:r>
        <w:rPr>
          <w:rFonts w:hint="default"/>
          <w:color w:val="auto"/>
          <w:sz w:val="24"/>
          <w:szCs w:val="24"/>
          <w:highlight w:val="none"/>
        </w:rPr>
        <w:t>承包人违约有以下情况之一者，发包人有权采取合同规定的以下措施处理，并视情节轻重处予违约金。</w:t>
      </w:r>
    </w:p>
    <w:p w14:paraId="36E7DBD4">
      <w:pPr>
        <w:pStyle w:val="34"/>
        <w:keepNext w:val="0"/>
        <w:pageBreakBefore w:val="0"/>
        <w:numPr>
          <w:ilvl w:val="0"/>
          <w:numId w:val="42"/>
        </w:numPr>
        <w:tabs>
          <w:tab w:val="left" w:pos="883"/>
        </w:tabs>
        <w:wordWrap/>
        <w:topLinePunct w:val="0"/>
        <w:autoSpaceDE/>
        <w:autoSpaceDN/>
        <w:bidi w:val="0"/>
        <w:adjustRightInd/>
        <w:spacing w:line="440" w:lineRule="exact"/>
        <w:ind w:firstLine="440"/>
        <w:textAlignment w:val="auto"/>
        <w:rPr>
          <w:rFonts w:hint="default"/>
          <w:color w:val="auto"/>
          <w:sz w:val="24"/>
          <w:szCs w:val="24"/>
          <w:highlight w:val="none"/>
        </w:rPr>
      </w:pPr>
      <w:bookmarkStart w:id="1424" w:name="bookmark1874"/>
      <w:bookmarkEnd w:id="1424"/>
      <w:r>
        <w:rPr>
          <w:rFonts w:hint="default"/>
          <w:color w:val="auto"/>
          <w:sz w:val="24"/>
          <w:szCs w:val="24"/>
          <w:highlight w:val="none"/>
        </w:rPr>
        <w:t>未经发包人批准，施工期内承包人调走主要施工技术人员(包括建造师、专业工程师)，经发现不及时调回的，违约金额为履约保证金金额的</w:t>
      </w:r>
      <w:r>
        <w:rPr>
          <w:rFonts w:hint="eastAsia" w:ascii="Times New Roman" w:hAnsi="Times New Roman" w:eastAsia="Times New Roman" w:cs="Times New Roman"/>
          <w:color w:val="auto"/>
          <w:sz w:val="24"/>
          <w:szCs w:val="24"/>
          <w:highlight w:val="none"/>
        </w:rPr>
        <w:t xml:space="preserve">5% ~20% </w:t>
      </w:r>
      <w:r>
        <w:rPr>
          <w:rFonts w:hint="default"/>
          <w:color w:val="auto"/>
          <w:sz w:val="24"/>
          <w:szCs w:val="24"/>
          <w:highlight w:val="none"/>
        </w:rPr>
        <w:t>(视情节严重而定)</w:t>
      </w:r>
      <w:r>
        <w:rPr>
          <w:rFonts w:hint="default" w:hAnsi="Times New Roman" w:cs="Times New Roman"/>
          <w:color w:val="auto"/>
          <w:sz w:val="24"/>
          <w:szCs w:val="24"/>
          <w:highlight w:val="none"/>
          <w:lang w:val="en-US" w:bidi="en-US"/>
        </w:rPr>
        <w:t>。</w:t>
      </w:r>
    </w:p>
    <w:p w14:paraId="70A422A8">
      <w:pPr>
        <w:pStyle w:val="34"/>
        <w:keepNext w:val="0"/>
        <w:pageBreakBefore w:val="0"/>
        <w:numPr>
          <w:ilvl w:val="0"/>
          <w:numId w:val="42"/>
        </w:numPr>
        <w:tabs>
          <w:tab w:val="left" w:pos="880"/>
        </w:tabs>
        <w:wordWrap/>
        <w:topLinePunct w:val="0"/>
        <w:autoSpaceDE/>
        <w:autoSpaceDN/>
        <w:bidi w:val="0"/>
        <w:adjustRightInd/>
        <w:spacing w:line="440" w:lineRule="exact"/>
        <w:ind w:firstLine="440"/>
        <w:textAlignment w:val="auto"/>
        <w:rPr>
          <w:rFonts w:hint="default"/>
          <w:color w:val="auto"/>
          <w:sz w:val="24"/>
          <w:szCs w:val="24"/>
          <w:highlight w:val="none"/>
        </w:rPr>
      </w:pPr>
      <w:bookmarkStart w:id="1425" w:name="bookmark1875"/>
      <w:bookmarkEnd w:id="1425"/>
      <w:r>
        <w:rPr>
          <w:rFonts w:hint="default"/>
          <w:color w:val="auto"/>
          <w:sz w:val="24"/>
          <w:szCs w:val="24"/>
          <w:highlight w:val="none"/>
        </w:rPr>
        <w:t>未经发包人批准，施工期内自行调走主要施工机械，经发现不及时调回的，违约金额为履约保证金金额的</w:t>
      </w:r>
      <w:r>
        <w:rPr>
          <w:rFonts w:hint="eastAsia" w:ascii="Times New Roman" w:hAnsi="Times New Roman" w:eastAsia="Times New Roman" w:cs="Times New Roman"/>
          <w:color w:val="auto"/>
          <w:sz w:val="24"/>
          <w:szCs w:val="24"/>
          <w:highlight w:val="none"/>
        </w:rPr>
        <w:t xml:space="preserve">5% ~ 20% </w:t>
      </w:r>
      <w:r>
        <w:rPr>
          <w:rFonts w:hint="default"/>
          <w:color w:val="auto"/>
          <w:sz w:val="24"/>
          <w:szCs w:val="24"/>
          <w:highlight w:val="none"/>
        </w:rPr>
        <w:t>(视情节严重而定)</w:t>
      </w:r>
      <w:r>
        <w:rPr>
          <w:rFonts w:hint="default" w:hAnsi="Times New Roman" w:cs="Times New Roman"/>
          <w:color w:val="auto"/>
          <w:sz w:val="24"/>
          <w:szCs w:val="24"/>
          <w:highlight w:val="none"/>
          <w:lang w:val="en-US" w:bidi="en-US"/>
        </w:rPr>
        <w:t>。</w:t>
      </w:r>
    </w:p>
    <w:p w14:paraId="7AA85492">
      <w:pPr>
        <w:pStyle w:val="34"/>
        <w:keepNext w:val="0"/>
        <w:pageBreakBefore w:val="0"/>
        <w:numPr>
          <w:ilvl w:val="0"/>
          <w:numId w:val="42"/>
        </w:numPr>
        <w:tabs>
          <w:tab w:val="left" w:pos="883"/>
        </w:tabs>
        <w:wordWrap/>
        <w:topLinePunct w:val="0"/>
        <w:autoSpaceDE/>
        <w:autoSpaceDN/>
        <w:bidi w:val="0"/>
        <w:adjustRightInd/>
        <w:spacing w:line="440" w:lineRule="exact"/>
        <w:ind w:firstLine="440"/>
        <w:textAlignment w:val="auto"/>
        <w:rPr>
          <w:rFonts w:hint="default"/>
          <w:color w:val="auto"/>
          <w:sz w:val="24"/>
          <w:szCs w:val="24"/>
          <w:highlight w:val="none"/>
        </w:rPr>
      </w:pPr>
      <w:bookmarkStart w:id="1426" w:name="bookmark1876"/>
      <w:bookmarkEnd w:id="1426"/>
      <w:r>
        <w:rPr>
          <w:rFonts w:hint="default"/>
          <w:color w:val="auto"/>
          <w:sz w:val="24"/>
          <w:szCs w:val="24"/>
          <w:highlight w:val="none"/>
        </w:rPr>
        <w:t>所有以上违约金额均在承包人的履约保证金(包括银行利息)及计量支付款内扣 除，承包人履约保证金被扣除后，由发包人从最后一次计量支付时扣相应金额补足履约保证金。</w:t>
      </w:r>
    </w:p>
    <w:p w14:paraId="40489161">
      <w:pPr>
        <w:pStyle w:val="34"/>
        <w:keepNext w:val="0"/>
        <w:pageBreakBefore w:val="0"/>
        <w:numPr>
          <w:ilvl w:val="0"/>
          <w:numId w:val="42"/>
        </w:numPr>
        <w:tabs>
          <w:tab w:val="left" w:pos="885"/>
        </w:tabs>
        <w:wordWrap/>
        <w:topLinePunct w:val="0"/>
        <w:autoSpaceDE/>
        <w:autoSpaceDN/>
        <w:bidi w:val="0"/>
        <w:adjustRightInd/>
        <w:spacing w:line="440" w:lineRule="exact"/>
        <w:ind w:firstLine="440"/>
        <w:textAlignment w:val="auto"/>
        <w:rPr>
          <w:rFonts w:hint="default"/>
          <w:color w:val="auto"/>
          <w:sz w:val="24"/>
          <w:szCs w:val="24"/>
          <w:highlight w:val="none"/>
        </w:rPr>
      </w:pPr>
      <w:bookmarkStart w:id="1427" w:name="bookmark1877"/>
      <w:bookmarkEnd w:id="1427"/>
      <w:r>
        <w:rPr>
          <w:rFonts w:hint="default"/>
          <w:color w:val="auto"/>
          <w:sz w:val="24"/>
          <w:szCs w:val="24"/>
          <w:highlight w:val="none"/>
        </w:rPr>
        <w:t>承包人的人员机械进场必须按照合同书或根据工程实际调整经监理人和发包人确认的人员和机械进场时间表进场，承包人不得拖延、调换或减少。主要机械的数量、型号和劳动力、材料的投入，应与合同相符，若发包人或建设主管部门认为合同规定的进场机 械、材料和劳动力不能满足施工进度要求，有权指令承包人增加机械、材料和劳动力投入, 承包人不得拒绝。</w:t>
      </w:r>
    </w:p>
    <w:p w14:paraId="297AC533">
      <w:pPr>
        <w:pStyle w:val="34"/>
        <w:keepNext w:val="0"/>
        <w:pageBreakBefore w:val="0"/>
        <w:numPr>
          <w:ilvl w:val="0"/>
          <w:numId w:val="42"/>
        </w:numPr>
        <w:tabs>
          <w:tab w:val="left" w:pos="883"/>
        </w:tabs>
        <w:wordWrap/>
        <w:topLinePunct w:val="0"/>
        <w:autoSpaceDE/>
        <w:autoSpaceDN/>
        <w:bidi w:val="0"/>
        <w:adjustRightInd/>
        <w:spacing w:line="440" w:lineRule="exact"/>
        <w:ind w:firstLine="440"/>
        <w:textAlignment w:val="auto"/>
        <w:rPr>
          <w:rFonts w:hint="default"/>
          <w:color w:val="auto"/>
          <w:sz w:val="24"/>
          <w:szCs w:val="24"/>
          <w:highlight w:val="none"/>
        </w:rPr>
      </w:pPr>
      <w:bookmarkStart w:id="1428" w:name="bookmark1878"/>
      <w:bookmarkEnd w:id="1428"/>
      <w:r>
        <w:rPr>
          <w:rFonts w:hint="default"/>
          <w:color w:val="auto"/>
          <w:sz w:val="24"/>
          <w:szCs w:val="24"/>
          <w:highlight w:val="none"/>
        </w:rPr>
        <w:t>合同签订之日起</w:t>
      </w:r>
      <w:r>
        <w:rPr>
          <w:rFonts w:hint="eastAsia" w:ascii="Times New Roman" w:hAnsi="Times New Roman" w:eastAsia="Times New Roman" w:cs="Times New Roman"/>
          <w:color w:val="auto"/>
          <w:sz w:val="24"/>
          <w:szCs w:val="24"/>
          <w:highlight w:val="none"/>
        </w:rPr>
        <w:t>15</w:t>
      </w:r>
      <w:r>
        <w:rPr>
          <w:rFonts w:hint="default"/>
          <w:color w:val="auto"/>
          <w:sz w:val="24"/>
          <w:szCs w:val="24"/>
          <w:highlight w:val="none"/>
        </w:rPr>
        <w:t>日内，承包人无法按合同规定进场全部人员和机械时，作为承包人违约，发包人可解除合同，没收其全部履约保证金，另行发包工程。</w:t>
      </w:r>
    </w:p>
    <w:p w14:paraId="5C19DC18">
      <w:pPr>
        <w:pStyle w:val="34"/>
        <w:keepNext w:val="0"/>
        <w:pageBreakBefore w:val="0"/>
        <w:numPr>
          <w:ilvl w:val="0"/>
          <w:numId w:val="42"/>
        </w:numPr>
        <w:tabs>
          <w:tab w:val="left" w:pos="880"/>
        </w:tabs>
        <w:wordWrap/>
        <w:topLinePunct w:val="0"/>
        <w:autoSpaceDE/>
        <w:autoSpaceDN/>
        <w:bidi w:val="0"/>
        <w:adjustRightInd/>
        <w:spacing w:line="440" w:lineRule="exact"/>
        <w:ind w:firstLine="440"/>
        <w:textAlignment w:val="auto"/>
        <w:rPr>
          <w:rFonts w:hint="default"/>
          <w:color w:val="auto"/>
          <w:sz w:val="24"/>
          <w:szCs w:val="24"/>
          <w:highlight w:val="none"/>
        </w:rPr>
      </w:pPr>
      <w:bookmarkStart w:id="1429" w:name="bookmark1879"/>
      <w:bookmarkEnd w:id="1429"/>
      <w:r>
        <w:rPr>
          <w:rFonts w:hint="default"/>
          <w:color w:val="auto"/>
          <w:sz w:val="24"/>
          <w:szCs w:val="24"/>
          <w:highlight w:val="none"/>
        </w:rPr>
        <w:t>合同履行过程中，承包人未按规定要求落实安全生产措施费用专款专用，挪用、 扣减安全生产措施费用，且不服从发包人或监理人的安全生产管理，发包人有权对违反安 全生产相关规定的行为处以罚款直至终止合同。</w:t>
      </w:r>
    </w:p>
    <w:p w14:paraId="463AC903">
      <w:pPr>
        <w:pStyle w:val="34"/>
        <w:keepNext w:val="0"/>
        <w:pageBreakBefore w:val="0"/>
        <w:numPr>
          <w:ilvl w:val="0"/>
          <w:numId w:val="41"/>
        </w:numPr>
        <w:tabs>
          <w:tab w:val="left" w:pos="739"/>
        </w:tabs>
        <w:wordWrap/>
        <w:topLinePunct w:val="0"/>
        <w:autoSpaceDE/>
        <w:autoSpaceDN/>
        <w:bidi w:val="0"/>
        <w:adjustRightInd/>
        <w:spacing w:line="440" w:lineRule="exact"/>
        <w:ind w:firstLine="440"/>
        <w:textAlignment w:val="auto"/>
        <w:rPr>
          <w:rFonts w:hint="default"/>
          <w:color w:val="auto"/>
          <w:sz w:val="24"/>
          <w:szCs w:val="24"/>
          <w:highlight w:val="none"/>
        </w:rPr>
      </w:pPr>
      <w:bookmarkStart w:id="1430" w:name="bookmark1880"/>
      <w:bookmarkEnd w:id="1430"/>
      <w:r>
        <w:rPr>
          <w:rFonts w:hint="default"/>
          <w:color w:val="auto"/>
          <w:sz w:val="24"/>
          <w:szCs w:val="24"/>
          <w:highlight w:val="none"/>
        </w:rPr>
        <w:t>承包人生活设施及施工场地，应自费配备消防设备，防止火灾发生。</w:t>
      </w:r>
    </w:p>
    <w:p w14:paraId="1AE2D953">
      <w:pPr>
        <w:pStyle w:val="34"/>
        <w:keepNext w:val="0"/>
        <w:pageBreakBefore w:val="0"/>
        <w:numPr>
          <w:ilvl w:val="0"/>
          <w:numId w:val="41"/>
        </w:numPr>
        <w:tabs>
          <w:tab w:val="left" w:pos="719"/>
        </w:tabs>
        <w:wordWrap/>
        <w:topLinePunct w:val="0"/>
        <w:autoSpaceDE/>
        <w:autoSpaceDN/>
        <w:bidi w:val="0"/>
        <w:adjustRightInd/>
        <w:spacing w:line="440" w:lineRule="exact"/>
        <w:ind w:firstLine="420"/>
        <w:textAlignment w:val="auto"/>
        <w:rPr>
          <w:rFonts w:hint="default"/>
          <w:color w:val="auto"/>
          <w:sz w:val="24"/>
          <w:szCs w:val="24"/>
          <w:highlight w:val="none"/>
        </w:rPr>
      </w:pPr>
      <w:bookmarkStart w:id="1431" w:name="bookmark1881"/>
      <w:bookmarkEnd w:id="1431"/>
      <w:r>
        <w:rPr>
          <w:rFonts w:hint="default"/>
          <w:color w:val="auto"/>
          <w:sz w:val="24"/>
          <w:szCs w:val="24"/>
          <w:highlight w:val="none"/>
        </w:rPr>
        <w:t>承包人使用的劳动力均应进行保险，否则不准安排工作，禁止使用童工。</w:t>
      </w:r>
    </w:p>
    <w:p w14:paraId="35A24D57">
      <w:pPr>
        <w:pStyle w:val="34"/>
        <w:keepNext w:val="0"/>
        <w:pageBreakBefore w:val="0"/>
        <w:tabs>
          <w:tab w:val="left" w:pos="880"/>
        </w:tabs>
        <w:wordWrap/>
        <w:topLinePunct w:val="0"/>
        <w:autoSpaceDE/>
        <w:autoSpaceDN/>
        <w:bidi w:val="0"/>
        <w:adjustRightInd/>
        <w:spacing w:line="440" w:lineRule="exact"/>
        <w:ind w:firstLine="511" w:firstLineChars="213"/>
        <w:textAlignment w:val="auto"/>
        <w:rPr>
          <w:rFonts w:hint="default"/>
          <w:color w:val="auto"/>
          <w:sz w:val="24"/>
          <w:szCs w:val="24"/>
          <w:highlight w:val="none"/>
        </w:rPr>
      </w:pPr>
      <w:r>
        <w:rPr>
          <w:rFonts w:hint="default"/>
          <w:color w:val="auto"/>
          <w:sz w:val="24"/>
          <w:szCs w:val="24"/>
          <w:highlight w:val="none"/>
        </w:rPr>
        <w:t>8. 凡招标文件的合同条件、技术规范、设计图纸没有明显提及或明显遗漏或明显错误的，应以国内现行规范解释为依据，或以国内惯例解释处理。承包人发现后应及时向监理工程师报告，防止造成损失，并不利用以上文件的含糊、遗漏、错误或缺点索取利益。</w:t>
      </w:r>
    </w:p>
    <w:p w14:paraId="714A1098">
      <w:pPr>
        <w:pStyle w:val="34"/>
        <w:keepNext w:val="0"/>
        <w:pageBreakBefore w:val="0"/>
        <w:tabs>
          <w:tab w:val="left" w:pos="734"/>
        </w:tabs>
        <w:wordWrap/>
        <w:topLinePunct w:val="0"/>
        <w:autoSpaceDE/>
        <w:autoSpaceDN/>
        <w:bidi w:val="0"/>
        <w:adjustRightInd/>
        <w:spacing w:line="440" w:lineRule="exact"/>
        <w:ind w:firstLineChars="200"/>
        <w:textAlignment w:val="auto"/>
        <w:rPr>
          <w:rFonts w:hint="default"/>
          <w:color w:val="auto"/>
          <w:sz w:val="24"/>
          <w:szCs w:val="24"/>
          <w:highlight w:val="none"/>
        </w:rPr>
      </w:pPr>
      <w:bookmarkStart w:id="1432" w:name="bookmark1883"/>
      <w:bookmarkEnd w:id="1432"/>
      <w:r>
        <w:rPr>
          <w:rFonts w:hint="default"/>
          <w:color w:val="auto"/>
          <w:sz w:val="24"/>
          <w:szCs w:val="24"/>
          <w:highlight w:val="none"/>
        </w:rPr>
        <w:t>9. 承包人未能按时完成当月合同进度计划</w:t>
      </w:r>
      <w:r>
        <w:rPr>
          <w:rFonts w:hint="eastAsia" w:ascii="Times New Roman" w:hAnsi="Times New Roman" w:eastAsia="Times New Roman" w:cs="Times New Roman"/>
          <w:color w:val="auto"/>
          <w:sz w:val="24"/>
          <w:szCs w:val="24"/>
          <w:highlight w:val="none"/>
        </w:rPr>
        <w:t xml:space="preserve">70% </w:t>
      </w:r>
      <w:r>
        <w:rPr>
          <w:rFonts w:hint="default" w:hAnsi="Times New Roman" w:cs="Times New Roman"/>
          <w:color w:val="auto"/>
          <w:sz w:val="24"/>
          <w:szCs w:val="24"/>
          <w:highlight w:val="none"/>
        </w:rPr>
        <w:t>工</w:t>
      </w:r>
      <w:r>
        <w:rPr>
          <w:rFonts w:hint="default"/>
          <w:color w:val="auto"/>
          <w:sz w:val="24"/>
          <w:szCs w:val="24"/>
          <w:highlight w:val="none"/>
        </w:rPr>
        <w:t>程量的，发包人有权自行组织施工， 以不超过投标报价的</w:t>
      </w:r>
      <w:r>
        <w:rPr>
          <w:rFonts w:hint="eastAsia" w:ascii="Times New Roman" w:hAnsi="Times New Roman" w:eastAsia="Times New Roman" w:cs="Times New Roman"/>
          <w:color w:val="auto"/>
          <w:sz w:val="24"/>
          <w:szCs w:val="24"/>
          <w:highlight w:val="none"/>
        </w:rPr>
        <w:t>2</w:t>
      </w:r>
      <w:r>
        <w:rPr>
          <w:rFonts w:hint="default"/>
          <w:color w:val="auto"/>
          <w:sz w:val="24"/>
          <w:szCs w:val="24"/>
          <w:highlight w:val="none"/>
        </w:rPr>
        <w:t>倍单价扣减承包人的进度款，支付自行组织施工完成的工程款。也有权终止本合同并清退承包人，承包人须在</w:t>
      </w:r>
      <w:r>
        <w:rPr>
          <w:rFonts w:hint="eastAsia" w:ascii="Times New Roman" w:hAnsi="Times New Roman" w:eastAsia="Times New Roman" w:cs="Times New Roman"/>
          <w:color w:val="auto"/>
          <w:sz w:val="24"/>
          <w:szCs w:val="24"/>
          <w:highlight w:val="none"/>
        </w:rPr>
        <w:t>10</w:t>
      </w:r>
      <w:r>
        <w:rPr>
          <w:rFonts w:hint="default"/>
          <w:color w:val="auto"/>
          <w:sz w:val="24"/>
          <w:szCs w:val="24"/>
          <w:highlight w:val="none"/>
        </w:rPr>
        <w:t>天内离场，否则发包人将强行撤出所有施工 设备，所造成的全部损失由承包人承担。</w:t>
      </w:r>
    </w:p>
    <w:p w14:paraId="42E4F559">
      <w:pPr>
        <w:pStyle w:val="34"/>
        <w:keepNext w:val="0"/>
        <w:pageBreakBefore w:val="0"/>
        <w:tabs>
          <w:tab w:val="left" w:pos="801"/>
        </w:tabs>
        <w:wordWrap/>
        <w:topLinePunct w:val="0"/>
        <w:autoSpaceDE/>
        <w:autoSpaceDN/>
        <w:bidi w:val="0"/>
        <w:adjustRightInd/>
        <w:spacing w:line="440" w:lineRule="exact"/>
        <w:textAlignment w:val="auto"/>
        <w:rPr>
          <w:rFonts w:hint="default"/>
          <w:color w:val="auto"/>
          <w:sz w:val="24"/>
          <w:szCs w:val="24"/>
          <w:highlight w:val="none"/>
        </w:rPr>
      </w:pPr>
      <w:bookmarkStart w:id="1433" w:name="bookmark1884"/>
      <w:bookmarkEnd w:id="1433"/>
      <w:r>
        <w:rPr>
          <w:rFonts w:hint="default"/>
          <w:color w:val="auto"/>
          <w:sz w:val="24"/>
          <w:szCs w:val="24"/>
          <w:highlight w:val="none"/>
        </w:rPr>
        <w:t>10. 有关主管部门及发包人检查发现问题时，承包人应按要求整改。在规定时间内不进 行整改或整改无效的，发包人有权终止本施工合同并清退承包人。承包人须在</w:t>
      </w:r>
      <w:r>
        <w:rPr>
          <w:rFonts w:hint="eastAsia" w:ascii="Times New Roman" w:hAnsi="Times New Roman" w:eastAsia="Times New Roman" w:cs="Times New Roman"/>
          <w:color w:val="auto"/>
          <w:sz w:val="24"/>
          <w:szCs w:val="24"/>
          <w:highlight w:val="none"/>
        </w:rPr>
        <w:t>10</w:t>
      </w:r>
      <w:r>
        <w:rPr>
          <w:rFonts w:hint="default"/>
          <w:color w:val="auto"/>
          <w:sz w:val="24"/>
          <w:szCs w:val="24"/>
          <w:highlight w:val="none"/>
        </w:rPr>
        <w:t>天内离 场，否则发包人将强行撤出所有施工设备，所造成的全部损失由承包人承担。</w:t>
      </w:r>
    </w:p>
    <w:p w14:paraId="038CA44E">
      <w:pPr>
        <w:keepNext w:val="0"/>
        <w:pageBreakBefore w:val="0"/>
        <w:wordWrap/>
        <w:topLinePunct w:val="0"/>
        <w:autoSpaceDE/>
        <w:autoSpaceDN/>
        <w:bidi w:val="0"/>
        <w:adjustRightInd/>
        <w:spacing w:line="440" w:lineRule="exact"/>
        <w:textAlignment w:val="auto"/>
        <w:rPr>
          <w:rFonts w:hint="eastAsia"/>
          <w:b/>
          <w:color w:val="auto"/>
          <w:sz w:val="24"/>
          <w:szCs w:val="24"/>
          <w:highlight w:val="none"/>
        </w:rPr>
      </w:pPr>
      <w:bookmarkStart w:id="1434" w:name="bookmark1887"/>
      <w:bookmarkStart w:id="1435" w:name="bookmark1886"/>
      <w:bookmarkStart w:id="1436" w:name="bookmark1885"/>
      <w:r>
        <w:rPr>
          <w:rFonts w:hint="eastAsia"/>
          <w:b/>
          <w:color w:val="auto"/>
          <w:sz w:val="24"/>
          <w:szCs w:val="24"/>
          <w:highlight w:val="none"/>
        </w:rPr>
        <w:t>25.2</w:t>
      </w:r>
      <w:r>
        <w:rPr>
          <w:rFonts w:hint="default" w:ascii="宋体" w:hAnsi="宋体" w:eastAsia="宋体" w:cs="宋体"/>
          <w:color w:val="auto"/>
          <w:sz w:val="24"/>
          <w:szCs w:val="24"/>
          <w:highlight w:val="none"/>
        </w:rPr>
        <w:t>发包人所有付款（含预付款）均转入如下承包人单位基本账户</w:t>
      </w:r>
      <w:r>
        <w:rPr>
          <w:rFonts w:hint="eastAsia"/>
          <w:color w:val="auto"/>
          <w:sz w:val="24"/>
          <w:szCs w:val="24"/>
          <w:highlight w:val="none"/>
        </w:rPr>
        <w:tab/>
      </w:r>
      <w:r>
        <w:rPr>
          <w:rFonts w:hint="default" w:ascii="宋体" w:hAnsi="宋体" w:eastAsia="宋体" w:cs="宋体"/>
          <w:color w:val="auto"/>
          <w:sz w:val="24"/>
          <w:szCs w:val="24"/>
          <w:highlight w:val="none"/>
        </w:rPr>
        <w:t>（签订施工合同时标明），承包人单位基本账户发生改变时，承包人应书面通知</w:t>
      </w:r>
      <w:r>
        <w:rPr>
          <w:rFonts w:hint="eastAsia"/>
          <w:color w:val="auto"/>
          <w:sz w:val="24"/>
          <w:szCs w:val="24"/>
          <w:highlight w:val="none"/>
        </w:rPr>
        <w:t xml:space="preserve"> </w:t>
      </w:r>
      <w:r>
        <w:rPr>
          <w:rFonts w:hint="default" w:ascii="宋体" w:hAnsi="宋体" w:eastAsia="宋体" w:cs="宋体"/>
          <w:color w:val="auto"/>
          <w:sz w:val="24"/>
          <w:szCs w:val="24"/>
          <w:highlight w:val="none"/>
        </w:rPr>
        <w:t>（法定代表人签字并加盖单位公章）发包人。</w:t>
      </w:r>
      <w:bookmarkEnd w:id="1434"/>
      <w:bookmarkEnd w:id="1435"/>
      <w:bookmarkEnd w:id="1436"/>
    </w:p>
    <w:p w14:paraId="4C15DC14">
      <w:pPr>
        <w:keepNext w:val="0"/>
        <w:pageBreakBefore w:val="0"/>
        <w:wordWrap/>
        <w:topLinePunct w:val="0"/>
        <w:autoSpaceDE/>
        <w:autoSpaceDN/>
        <w:bidi w:val="0"/>
        <w:adjustRightInd/>
        <w:spacing w:line="440" w:lineRule="exact"/>
        <w:textAlignment w:val="auto"/>
        <w:rPr>
          <w:rFonts w:hint="default" w:ascii="宋体" w:hAnsi="宋体" w:eastAsia="宋体" w:cs="宋体"/>
          <w:color w:val="auto"/>
          <w:sz w:val="24"/>
          <w:szCs w:val="24"/>
          <w:highlight w:val="none"/>
        </w:rPr>
      </w:pPr>
      <w:bookmarkStart w:id="1437" w:name="bookmark1888"/>
      <w:bookmarkStart w:id="1438" w:name="bookmark1890"/>
      <w:bookmarkStart w:id="1439" w:name="bookmark1889"/>
      <w:r>
        <w:rPr>
          <w:rFonts w:hint="eastAsia"/>
          <w:b/>
          <w:color w:val="auto"/>
          <w:sz w:val="24"/>
          <w:szCs w:val="24"/>
          <w:highlight w:val="none"/>
        </w:rPr>
        <w:t>25.3</w:t>
      </w:r>
      <w:r>
        <w:rPr>
          <w:rFonts w:hint="default" w:ascii="宋体" w:hAnsi="宋体" w:eastAsia="宋体" w:cs="宋体"/>
          <w:color w:val="auto"/>
          <w:sz w:val="24"/>
          <w:szCs w:val="24"/>
          <w:highlight w:val="none"/>
        </w:rPr>
        <w:t>专用合同条款中未尽事宜，在签订施工合同时双方再商定。</w:t>
      </w:r>
      <w:bookmarkEnd w:id="1437"/>
      <w:bookmarkEnd w:id="1438"/>
      <w:bookmarkEnd w:id="1439"/>
    </w:p>
    <w:p w14:paraId="7767B352">
      <w:pPr>
        <w:pStyle w:val="41"/>
        <w:keepNext w:val="0"/>
        <w:pageBreakBefore w:val="0"/>
        <w:wordWrap/>
        <w:topLinePunct w:val="0"/>
        <w:autoSpaceDE/>
        <w:autoSpaceDN/>
        <w:bidi w:val="0"/>
        <w:adjustRightInd/>
        <w:spacing w:beforeLines="0" w:afterLines="0" w:line="440" w:lineRule="exact"/>
        <w:textAlignment w:val="auto"/>
        <w:rPr>
          <w:rFonts w:hint="default" w:ascii="宋体" w:hAnsi="宋体" w:cs="宋体"/>
          <w:color w:val="auto"/>
          <w:sz w:val="24"/>
          <w:szCs w:val="24"/>
          <w:highlight w:val="none"/>
        </w:rPr>
      </w:pPr>
      <w:r>
        <w:rPr>
          <w:rFonts w:hint="default" w:ascii="宋体" w:hAnsi="宋体" w:cs="宋体"/>
          <w:b/>
          <w:color w:val="auto"/>
          <w:sz w:val="24"/>
          <w:szCs w:val="24"/>
          <w:highlight w:val="none"/>
        </w:rPr>
        <w:t>25.4</w:t>
      </w:r>
      <w:r>
        <w:rPr>
          <w:rFonts w:hint="default" w:ascii="宋体" w:hAnsi="宋体" w:cs="宋体"/>
          <w:color w:val="auto"/>
          <w:sz w:val="24"/>
          <w:szCs w:val="24"/>
          <w:highlight w:val="none"/>
        </w:rPr>
        <w:t>承包人签订《送审承诺书》，不得虚报。工程竣工结算审计，审减额超过送审值3%的部分，产生的结算审计费用由承包人支付。</w:t>
      </w:r>
      <w:r>
        <w:rPr>
          <w:rFonts w:hint="default" w:ascii="宋体" w:hAnsi="宋体" w:cs="宋体"/>
          <w:color w:val="auto"/>
          <w:sz w:val="24"/>
          <w:szCs w:val="24"/>
          <w:highlight w:val="none"/>
        </w:rPr>
        <w:br w:type="textWrapping"/>
      </w:r>
      <w:r>
        <w:rPr>
          <w:rFonts w:hint="default" w:ascii="宋体" w:hAnsi="宋体" w:cs="宋体"/>
          <w:b/>
          <w:color w:val="auto"/>
          <w:sz w:val="24"/>
          <w:szCs w:val="24"/>
          <w:highlight w:val="none"/>
        </w:rPr>
        <w:t>25.5</w:t>
      </w:r>
      <w:r>
        <w:rPr>
          <w:rFonts w:hint="default" w:ascii="宋体" w:hAnsi="宋体" w:cs="宋体"/>
          <w:color w:val="auto"/>
          <w:sz w:val="24"/>
          <w:szCs w:val="24"/>
          <w:highlight w:val="none"/>
        </w:rPr>
        <w:t>承包人在进场施工前，须委托具有测绘资质的机构复测原地面高程及开挖到设计标高后的地面高程，在进行现场测量时，发承包人、监理单位务必在场并签字确认测量数据，最终测绘结果必须加盖测绘机构的公章，否则不能作为土石方工程的结算依据。</w:t>
      </w:r>
    </w:p>
    <w:p w14:paraId="225271CB">
      <w:pPr>
        <w:keepNext w:val="0"/>
        <w:pageBreakBefore w:val="0"/>
        <w:wordWrap/>
        <w:topLinePunct w:val="0"/>
        <w:autoSpaceDE/>
        <w:autoSpaceDN/>
        <w:bidi w:val="0"/>
        <w:adjustRightInd/>
        <w:spacing w:line="440" w:lineRule="exact"/>
        <w:textAlignment w:val="auto"/>
        <w:rPr>
          <w:rFonts w:hint="eastAsia"/>
          <w:color w:val="auto"/>
          <w:sz w:val="24"/>
          <w:szCs w:val="24"/>
          <w:highlight w:val="none"/>
        </w:rPr>
      </w:pPr>
    </w:p>
    <w:p w14:paraId="62A9ABB4">
      <w:pPr>
        <w:pStyle w:val="29"/>
        <w:keepNext w:val="0"/>
        <w:pageBreakBefore w:val="0"/>
        <w:wordWrap/>
        <w:topLinePunct w:val="0"/>
        <w:autoSpaceDE/>
        <w:autoSpaceDN/>
        <w:bidi w:val="0"/>
        <w:adjustRightInd/>
        <w:spacing w:beforeLines="0" w:afterLines="0" w:line="440" w:lineRule="exact"/>
        <w:textAlignment w:val="auto"/>
        <w:rPr>
          <w:rStyle w:val="19"/>
          <w:rFonts w:hint="default" w:ascii="宋体" w:hAnsi="宋体" w:eastAsia="宋体" w:cs="宋体"/>
          <w:color w:val="auto"/>
          <w:sz w:val="24"/>
          <w:szCs w:val="24"/>
          <w:highlight w:val="none"/>
        </w:rPr>
      </w:pPr>
    </w:p>
    <w:p w14:paraId="7EADDB74">
      <w:pPr>
        <w:pStyle w:val="27"/>
        <w:spacing w:beforeLines="0" w:afterLines="0"/>
        <w:rPr>
          <w:rStyle w:val="19"/>
          <w:rFonts w:hint="eastAsia" w:ascii="Times New Roman" w:hAnsi="Times New Roman" w:eastAsia="Times New Roman"/>
          <w:color w:val="auto"/>
          <w:sz w:val="32"/>
          <w:szCs w:val="21"/>
          <w:highlight w:val="none"/>
          <w:lang w:eastAsia="zh-CN"/>
        </w:rPr>
      </w:pPr>
      <w:bookmarkStart w:id="1440" w:name="_Toc256000177"/>
    </w:p>
    <w:p w14:paraId="10D937E5">
      <w:pPr>
        <w:pStyle w:val="27"/>
        <w:spacing w:beforeLines="0" w:afterLines="0"/>
        <w:rPr>
          <w:rStyle w:val="19"/>
          <w:rFonts w:hint="default"/>
          <w:color w:val="auto"/>
          <w:sz w:val="32"/>
          <w:szCs w:val="21"/>
          <w:highlight w:val="none"/>
          <w:lang w:eastAsia="zh-CN"/>
        </w:rPr>
      </w:pPr>
    </w:p>
    <w:p w14:paraId="33504472">
      <w:pPr>
        <w:pStyle w:val="27"/>
        <w:keepNext w:val="0"/>
        <w:keepLines/>
        <w:pageBreakBefore/>
        <w:widowControl w:val="0"/>
        <w:kinsoku/>
        <w:wordWrap/>
        <w:overflowPunct/>
        <w:topLinePunct w:val="0"/>
        <w:autoSpaceDE/>
        <w:autoSpaceDN/>
        <w:bidi w:val="0"/>
        <w:adjustRightInd/>
        <w:snapToGrid/>
        <w:spacing w:beforeLines="0" w:afterLines="0" w:line="416" w:lineRule="auto"/>
        <w:textAlignment w:val="auto"/>
        <w:rPr>
          <w:rStyle w:val="19"/>
          <w:rFonts w:hint="eastAsia" w:ascii="Times New Roman" w:hAnsi="Times New Roman" w:eastAsia="Times New Roman"/>
          <w:color w:val="auto"/>
          <w:sz w:val="32"/>
          <w:szCs w:val="21"/>
          <w:highlight w:val="none"/>
          <w:lang w:eastAsia="zh-CN"/>
        </w:rPr>
      </w:pPr>
      <w:r>
        <w:rPr>
          <w:rStyle w:val="19"/>
          <w:rFonts w:hint="default"/>
          <w:color w:val="auto"/>
          <w:sz w:val="32"/>
          <w:szCs w:val="21"/>
          <w:highlight w:val="none"/>
          <w:lang w:eastAsia="zh-CN"/>
        </w:rPr>
        <w:t>第三节  合同附件格式</w:t>
      </w:r>
      <w:bookmarkEnd w:id="1440"/>
    </w:p>
    <w:p w14:paraId="2BDF1381">
      <w:pPr>
        <w:pStyle w:val="28"/>
        <w:spacing w:beforeLines="0" w:afterLines="0"/>
        <w:rPr>
          <w:rStyle w:val="19"/>
          <w:rFonts w:hint="default" w:ascii="宋体" w:hAnsi="宋体" w:eastAsia="宋体" w:cs="宋体"/>
          <w:b/>
          <w:color w:val="auto"/>
          <w:sz w:val="28"/>
          <w:szCs w:val="28"/>
          <w:highlight w:val="none"/>
          <w:lang w:eastAsia="zh-CN"/>
        </w:rPr>
      </w:pPr>
      <w:r>
        <w:rPr>
          <w:rStyle w:val="19"/>
          <w:rFonts w:hint="default" w:ascii="宋体" w:hAnsi="宋体" w:eastAsia="宋体" w:cs="宋体"/>
          <w:b/>
          <w:color w:val="auto"/>
          <w:sz w:val="28"/>
          <w:szCs w:val="28"/>
          <w:highlight w:val="none"/>
          <w:lang w:eastAsia="zh-CN"/>
        </w:rPr>
        <w:t>附件一：合同协议书</w:t>
      </w:r>
      <w:bookmarkEnd w:id="1381"/>
      <w:bookmarkEnd w:id="1382"/>
      <w:bookmarkEnd w:id="1383"/>
      <w:bookmarkEnd w:id="1384"/>
      <w:bookmarkEnd w:id="1385"/>
      <w:bookmarkEnd w:id="1386"/>
    </w:p>
    <w:p w14:paraId="1E059617">
      <w:pPr>
        <w:pStyle w:val="28"/>
        <w:spacing w:beforeLines="0" w:afterLines="0"/>
        <w:jc w:val="center"/>
        <w:rPr>
          <w:rStyle w:val="19"/>
          <w:rFonts w:hint="default" w:ascii="宋体" w:hAnsi="宋体" w:eastAsia="宋体" w:cs="宋体"/>
          <w:b/>
          <w:color w:val="auto"/>
          <w:sz w:val="24"/>
          <w:szCs w:val="24"/>
          <w:highlight w:val="none"/>
          <w:lang w:eastAsia="zh-CN"/>
        </w:rPr>
      </w:pPr>
      <w:bookmarkStart w:id="1441" w:name="bookmark1895"/>
      <w:bookmarkStart w:id="1442" w:name="bookmark1894"/>
      <w:bookmarkStart w:id="1443" w:name="bookmark1896"/>
    </w:p>
    <w:p w14:paraId="264D1769">
      <w:pPr>
        <w:pStyle w:val="28"/>
        <w:spacing w:beforeLines="0" w:afterLines="0"/>
        <w:jc w:val="center"/>
        <w:rPr>
          <w:rStyle w:val="19"/>
          <w:rFonts w:hint="default" w:ascii="宋体" w:hAnsi="宋体" w:eastAsia="宋体" w:cs="宋体"/>
          <w:b/>
          <w:color w:val="auto"/>
          <w:sz w:val="28"/>
          <w:szCs w:val="28"/>
          <w:highlight w:val="none"/>
          <w:lang w:eastAsia="zh-CN"/>
        </w:rPr>
      </w:pPr>
      <w:r>
        <w:rPr>
          <w:rStyle w:val="19"/>
          <w:rFonts w:hint="default" w:ascii="宋体" w:hAnsi="宋体" w:eastAsia="宋体" w:cs="宋体"/>
          <w:b/>
          <w:color w:val="auto"/>
          <w:sz w:val="28"/>
          <w:szCs w:val="28"/>
          <w:highlight w:val="none"/>
          <w:lang w:eastAsia="zh-CN"/>
        </w:rPr>
        <w:t>合同协议书</w:t>
      </w:r>
      <w:bookmarkEnd w:id="1441"/>
      <w:bookmarkEnd w:id="1442"/>
      <w:bookmarkEnd w:id="1443"/>
    </w:p>
    <w:p w14:paraId="022F5A7A">
      <w:pPr>
        <w:pStyle w:val="28"/>
        <w:spacing w:beforeLines="0" w:afterLines="0"/>
        <w:jc w:val="center"/>
        <w:rPr>
          <w:rStyle w:val="19"/>
          <w:rFonts w:hint="default"/>
          <w:b/>
          <w:color w:val="auto"/>
          <w:sz w:val="24"/>
          <w:szCs w:val="24"/>
          <w:highlight w:val="none"/>
          <w:lang w:eastAsia="zh-CN"/>
        </w:rPr>
      </w:pPr>
    </w:p>
    <w:p w14:paraId="07EF7335">
      <w:pPr>
        <w:pStyle w:val="28"/>
        <w:spacing w:beforeLines="0" w:afterLines="0" w:line="360" w:lineRule="auto"/>
        <w:rPr>
          <w:rStyle w:val="19"/>
          <w:rFonts w:hint="default" w:ascii="宋体" w:hAnsi="宋体" w:eastAsia="宋体"/>
          <w:color w:val="auto"/>
          <w:sz w:val="24"/>
          <w:szCs w:val="24"/>
          <w:highlight w:val="none"/>
        </w:rPr>
      </w:pPr>
      <w:r>
        <w:rPr>
          <w:rStyle w:val="19"/>
          <w:rFonts w:hint="default"/>
          <w:color w:val="auto"/>
          <w:sz w:val="24"/>
          <w:szCs w:val="24"/>
          <w:highlight w:val="none"/>
          <w:lang w:eastAsia="zh-CN"/>
        </w:rPr>
        <w:tab/>
      </w:r>
      <w:r>
        <w:rPr>
          <w:rStyle w:val="19"/>
          <w:rFonts w:hint="default" w:ascii="宋体" w:hAnsi="宋体" w:eastAsia="宋体"/>
          <w:color w:val="auto"/>
          <w:sz w:val="24"/>
          <w:szCs w:val="24"/>
          <w:highlight w:val="none"/>
          <w:u w:val="single"/>
          <w:lang w:eastAsia="zh-CN"/>
        </w:rPr>
        <w:t xml:space="preserve">     </w:t>
      </w:r>
      <w:r>
        <w:rPr>
          <w:rStyle w:val="19"/>
          <w:rFonts w:hint="default" w:ascii="宋体" w:hAnsi="宋体" w:eastAsia="宋体" w:cs="宋体"/>
          <w:color w:val="auto"/>
          <w:sz w:val="24"/>
          <w:szCs w:val="24"/>
          <w:highlight w:val="none"/>
          <w:u w:val="single"/>
          <w:lang w:eastAsia="zh-CN"/>
        </w:rPr>
        <w:t xml:space="preserve">     </w:t>
      </w:r>
      <w:r>
        <w:rPr>
          <w:rStyle w:val="19"/>
          <w:rFonts w:hint="default" w:ascii="宋体" w:hAnsi="宋体" w:eastAsia="宋体" w:cs="宋体"/>
          <w:color w:val="auto"/>
          <w:sz w:val="24"/>
          <w:szCs w:val="24"/>
          <w:highlight w:val="none"/>
          <w:lang w:eastAsia="zh-CN"/>
        </w:rPr>
        <w:t>（发包人名称，以下简称</w:t>
      </w:r>
      <w:r>
        <w:rPr>
          <w:rStyle w:val="19"/>
          <w:rFonts w:hint="default" w:ascii="宋体" w:hAnsi="宋体" w:eastAsia="宋体"/>
          <w:color w:val="auto"/>
          <w:sz w:val="24"/>
          <w:szCs w:val="24"/>
          <w:highlight w:val="none"/>
          <w:lang w:eastAsia="zh-CN"/>
        </w:rPr>
        <w:t>“</w:t>
      </w:r>
      <w:r>
        <w:rPr>
          <w:rStyle w:val="19"/>
          <w:rFonts w:hint="default" w:ascii="宋体" w:hAnsi="宋体" w:eastAsia="宋体" w:cs="宋体"/>
          <w:color w:val="auto"/>
          <w:sz w:val="24"/>
          <w:szCs w:val="24"/>
          <w:highlight w:val="none"/>
          <w:lang w:eastAsia="zh-CN"/>
        </w:rPr>
        <w:t>发包人</w:t>
      </w:r>
      <w:r>
        <w:rPr>
          <w:rStyle w:val="19"/>
          <w:rFonts w:hint="default" w:ascii="宋体" w:hAnsi="宋体" w:eastAsia="宋体"/>
          <w:color w:val="auto"/>
          <w:sz w:val="24"/>
          <w:szCs w:val="24"/>
          <w:highlight w:val="none"/>
          <w:lang w:eastAsia="zh-CN"/>
        </w:rPr>
        <w:t>”</w:t>
      </w:r>
      <w:r>
        <w:rPr>
          <w:rStyle w:val="19"/>
          <w:rFonts w:hint="default" w:ascii="宋体" w:hAnsi="宋体" w:eastAsia="宋体" w:cs="宋体"/>
          <w:color w:val="auto"/>
          <w:sz w:val="24"/>
          <w:szCs w:val="24"/>
          <w:highlight w:val="none"/>
          <w:lang w:eastAsia="zh-CN"/>
        </w:rPr>
        <w:t>）为实施</w:t>
      </w:r>
      <w:r>
        <w:rPr>
          <w:rStyle w:val="19"/>
          <w:rFonts w:hint="default" w:ascii="宋体" w:hAnsi="宋体" w:eastAsia="宋体"/>
          <w:color w:val="auto"/>
          <w:sz w:val="24"/>
          <w:szCs w:val="24"/>
          <w:highlight w:val="none"/>
          <w:lang w:eastAsia="zh-CN"/>
        </w:rPr>
        <w:tab/>
      </w:r>
      <w:r>
        <w:rPr>
          <w:rStyle w:val="19"/>
          <w:rFonts w:hint="default" w:ascii="宋体" w:hAnsi="宋体" w:eastAsia="宋体"/>
          <w:color w:val="auto"/>
          <w:sz w:val="24"/>
          <w:szCs w:val="24"/>
          <w:highlight w:val="none"/>
          <w:u w:val="single"/>
          <w:lang w:eastAsia="zh-CN"/>
        </w:rPr>
        <w:t xml:space="preserve">           </w:t>
      </w:r>
      <w:r>
        <w:rPr>
          <w:rStyle w:val="19"/>
          <w:rFonts w:hint="default" w:ascii="宋体" w:hAnsi="宋体" w:eastAsia="宋体" w:cs="宋体"/>
          <w:color w:val="auto"/>
          <w:sz w:val="24"/>
          <w:szCs w:val="24"/>
          <w:highlight w:val="none"/>
          <w:lang w:eastAsia="zh-CN"/>
        </w:rPr>
        <w:t>（项目名称），已接受</w:t>
      </w:r>
      <w:r>
        <w:rPr>
          <w:rStyle w:val="19"/>
          <w:rFonts w:hint="default" w:ascii="宋体" w:hAnsi="宋体" w:eastAsia="宋体" w:cs="宋体"/>
          <w:color w:val="auto"/>
          <w:sz w:val="24"/>
          <w:szCs w:val="24"/>
          <w:highlight w:val="none"/>
          <w:u w:val="single"/>
          <w:lang w:eastAsia="zh-CN"/>
        </w:rPr>
        <w:t xml:space="preserve">   </w:t>
      </w:r>
      <w:r>
        <w:rPr>
          <w:rStyle w:val="19"/>
          <w:rFonts w:hint="default" w:ascii="宋体" w:hAnsi="宋体" w:eastAsia="宋体"/>
          <w:color w:val="auto"/>
          <w:sz w:val="24"/>
          <w:szCs w:val="24"/>
          <w:highlight w:val="none"/>
          <w:u w:val="single"/>
          <w:lang w:eastAsia="zh-CN"/>
        </w:rPr>
        <w:tab/>
      </w:r>
      <w:r>
        <w:rPr>
          <w:rStyle w:val="19"/>
          <w:rFonts w:hint="default" w:ascii="宋体" w:hAnsi="宋体" w:eastAsia="宋体"/>
          <w:color w:val="auto"/>
          <w:sz w:val="24"/>
          <w:szCs w:val="24"/>
          <w:highlight w:val="none"/>
          <w:u w:val="single"/>
          <w:lang w:eastAsia="zh-CN"/>
        </w:rPr>
        <w:t xml:space="preserve">    </w:t>
      </w:r>
      <w:r>
        <w:rPr>
          <w:rStyle w:val="19"/>
          <w:rFonts w:hint="default" w:ascii="宋体" w:hAnsi="宋体" w:eastAsia="宋体" w:cs="宋体"/>
          <w:color w:val="auto"/>
          <w:sz w:val="24"/>
          <w:szCs w:val="24"/>
          <w:highlight w:val="none"/>
          <w:lang w:eastAsia="zh-CN"/>
        </w:rPr>
        <w:t>（承包人名称，以下简称</w:t>
      </w:r>
      <w:r>
        <w:rPr>
          <w:rStyle w:val="19"/>
          <w:rFonts w:hint="default" w:ascii="宋体" w:hAnsi="宋体" w:eastAsia="宋体"/>
          <w:color w:val="auto"/>
          <w:sz w:val="24"/>
          <w:szCs w:val="24"/>
          <w:highlight w:val="none"/>
          <w:lang w:eastAsia="zh-CN"/>
        </w:rPr>
        <w:t>“</w:t>
      </w:r>
      <w:r>
        <w:rPr>
          <w:rStyle w:val="19"/>
          <w:rFonts w:hint="default" w:ascii="宋体" w:hAnsi="宋体" w:eastAsia="宋体" w:cs="宋体"/>
          <w:color w:val="auto"/>
          <w:sz w:val="24"/>
          <w:szCs w:val="24"/>
          <w:highlight w:val="none"/>
          <w:lang w:eastAsia="zh-CN"/>
        </w:rPr>
        <w:t>承包人</w:t>
      </w:r>
      <w:r>
        <w:rPr>
          <w:rStyle w:val="19"/>
          <w:rFonts w:hint="default" w:ascii="宋体" w:hAnsi="宋体" w:eastAsia="宋体"/>
          <w:color w:val="auto"/>
          <w:sz w:val="24"/>
          <w:szCs w:val="24"/>
          <w:highlight w:val="none"/>
          <w:lang w:eastAsia="zh-CN"/>
        </w:rPr>
        <w:t>”</w:t>
      </w:r>
      <w:r>
        <w:rPr>
          <w:rStyle w:val="19"/>
          <w:rFonts w:hint="default" w:ascii="宋体" w:hAnsi="宋体" w:eastAsia="宋体" w:cs="宋体"/>
          <w:color w:val="auto"/>
          <w:sz w:val="24"/>
          <w:szCs w:val="24"/>
          <w:highlight w:val="none"/>
          <w:lang w:eastAsia="zh-CN"/>
        </w:rPr>
        <w:t>）对该项目</w:t>
      </w:r>
      <w:r>
        <w:rPr>
          <w:rStyle w:val="19"/>
          <w:rFonts w:hint="default" w:ascii="宋体" w:hAnsi="宋体" w:eastAsia="宋体" w:cs="宋体"/>
          <w:color w:val="auto"/>
          <w:sz w:val="24"/>
          <w:szCs w:val="24"/>
          <w:highlight w:val="none"/>
          <w:u w:val="single"/>
          <w:lang w:eastAsia="zh-CN"/>
        </w:rPr>
        <w:t xml:space="preserve">  </w:t>
      </w:r>
      <w:r>
        <w:rPr>
          <w:rStyle w:val="19"/>
          <w:rFonts w:hint="default" w:ascii="宋体" w:hAnsi="宋体" w:eastAsia="宋体"/>
          <w:color w:val="auto"/>
          <w:sz w:val="24"/>
          <w:szCs w:val="24"/>
          <w:highlight w:val="none"/>
          <w:u w:val="single"/>
          <w:lang w:eastAsia="zh-CN"/>
        </w:rPr>
        <w:t xml:space="preserve"> </w:t>
      </w:r>
      <w:r>
        <w:rPr>
          <w:rStyle w:val="19"/>
          <w:rFonts w:hint="default" w:ascii="宋体" w:hAnsi="宋体" w:eastAsia="宋体"/>
          <w:color w:val="auto"/>
          <w:sz w:val="24"/>
          <w:szCs w:val="24"/>
          <w:highlight w:val="none"/>
          <w:u w:val="single"/>
          <w:lang w:eastAsia="zh-CN"/>
        </w:rPr>
        <w:tab/>
      </w:r>
      <w:r>
        <w:rPr>
          <w:rStyle w:val="19"/>
          <w:rFonts w:hint="default" w:ascii="宋体" w:hAnsi="宋体" w:eastAsia="宋体"/>
          <w:color w:val="auto"/>
          <w:sz w:val="24"/>
          <w:szCs w:val="24"/>
          <w:highlight w:val="none"/>
          <w:u w:val="single"/>
          <w:lang w:eastAsia="zh-CN"/>
        </w:rPr>
        <w:t xml:space="preserve">    </w:t>
      </w:r>
      <w:r>
        <w:rPr>
          <w:rStyle w:val="19"/>
          <w:rFonts w:hint="default" w:ascii="宋体" w:hAnsi="宋体" w:eastAsia="宋体" w:cs="宋体"/>
          <w:color w:val="auto"/>
          <w:sz w:val="24"/>
          <w:szCs w:val="24"/>
          <w:highlight w:val="none"/>
          <w:lang w:eastAsia="zh-CN"/>
        </w:rPr>
        <w:t>（项目名称）</w:t>
      </w:r>
      <w:r>
        <w:rPr>
          <w:rStyle w:val="19"/>
          <w:rFonts w:hint="default" w:ascii="宋体" w:hAnsi="宋体" w:eastAsia="宋体" w:cs="宋体"/>
          <w:color w:val="auto"/>
          <w:sz w:val="24"/>
          <w:szCs w:val="24"/>
          <w:highlight w:val="none"/>
          <w:u w:val="single"/>
          <w:lang w:eastAsia="zh-CN"/>
        </w:rPr>
        <w:t xml:space="preserve">          </w:t>
      </w:r>
      <w:r>
        <w:rPr>
          <w:rStyle w:val="19"/>
          <w:rFonts w:hint="default" w:ascii="宋体" w:hAnsi="宋体" w:eastAsia="宋体" w:cs="宋体"/>
          <w:color w:val="auto"/>
          <w:sz w:val="24"/>
          <w:szCs w:val="24"/>
          <w:highlight w:val="none"/>
          <w:lang w:eastAsia="zh-CN"/>
        </w:rPr>
        <w:t>（标段名称）的投标，并确定其为中标人。</w:t>
      </w:r>
      <w:r>
        <w:rPr>
          <w:rStyle w:val="19"/>
          <w:rFonts w:hint="default" w:ascii="宋体" w:hAnsi="宋体" w:eastAsia="宋体" w:cs="宋体"/>
          <w:color w:val="auto"/>
          <w:sz w:val="24"/>
          <w:szCs w:val="24"/>
          <w:highlight w:val="none"/>
        </w:rPr>
        <w:t>发包人和承包人共同达成如下协议。</w:t>
      </w:r>
    </w:p>
    <w:p w14:paraId="504E462C">
      <w:pPr>
        <w:pStyle w:val="31"/>
        <w:numPr>
          <w:ilvl w:val="0"/>
          <w:numId w:val="43"/>
        </w:numPr>
        <w:tabs>
          <w:tab w:val="left" w:pos="764"/>
        </w:tabs>
        <w:spacing w:beforeLines="0" w:afterLines="0"/>
        <w:ind w:firstLine="420"/>
        <w:jc w:val="both"/>
        <w:rPr>
          <w:rStyle w:val="19"/>
          <w:rFonts w:hint="default"/>
          <w:color w:val="auto"/>
          <w:sz w:val="24"/>
          <w:szCs w:val="20"/>
          <w:highlight w:val="none"/>
        </w:rPr>
      </w:pPr>
      <w:bookmarkStart w:id="1444" w:name="bookmark1897"/>
      <w:bookmarkEnd w:id="1444"/>
      <w:r>
        <w:rPr>
          <w:rStyle w:val="19"/>
          <w:rFonts w:hint="default"/>
          <w:color w:val="auto"/>
          <w:sz w:val="24"/>
          <w:szCs w:val="20"/>
          <w:highlight w:val="none"/>
        </w:rPr>
        <w:t>本协议书与下列文件一起构成合同文件：</w:t>
      </w:r>
    </w:p>
    <w:p w14:paraId="6AE939A9">
      <w:pPr>
        <w:pStyle w:val="31"/>
        <w:tabs>
          <w:tab w:val="left" w:pos="903"/>
        </w:tabs>
        <w:spacing w:beforeLines="0" w:afterLines="0"/>
        <w:ind w:firstLine="420"/>
        <w:jc w:val="both"/>
        <w:rPr>
          <w:rStyle w:val="19"/>
          <w:rFonts w:hint="default"/>
          <w:color w:val="auto"/>
          <w:sz w:val="24"/>
          <w:szCs w:val="20"/>
          <w:highlight w:val="none"/>
        </w:rPr>
      </w:pPr>
      <w:bookmarkStart w:id="1445" w:name="bookmark1898"/>
      <w:r>
        <w:rPr>
          <w:rStyle w:val="19"/>
          <w:rFonts w:hint="eastAsia" w:ascii="Times New Roman" w:hAnsi="Times New Roman" w:eastAsia="Times New Roman" w:cs="Times New Roman"/>
          <w:color w:val="auto"/>
          <w:sz w:val="24"/>
          <w:szCs w:val="24"/>
          <w:highlight w:val="none"/>
        </w:rPr>
        <w:t>（</w:t>
      </w:r>
      <w:bookmarkEnd w:id="1445"/>
      <w:r>
        <w:rPr>
          <w:rStyle w:val="19"/>
          <w:rFonts w:hint="eastAsia" w:ascii="Times New Roman" w:hAnsi="Times New Roman" w:eastAsia="Times New Roman" w:cs="Times New Roman"/>
          <w:color w:val="auto"/>
          <w:sz w:val="24"/>
          <w:szCs w:val="24"/>
          <w:highlight w:val="none"/>
        </w:rPr>
        <w:t>1）</w:t>
      </w:r>
      <w:r>
        <w:rPr>
          <w:rStyle w:val="19"/>
          <w:rFonts w:hint="eastAsia" w:ascii="Times New Roman" w:hAnsi="Times New Roman" w:eastAsia="Times New Roman" w:cs="Times New Roman"/>
          <w:color w:val="auto"/>
          <w:sz w:val="24"/>
          <w:szCs w:val="24"/>
          <w:highlight w:val="none"/>
        </w:rPr>
        <w:tab/>
      </w:r>
      <w:r>
        <w:rPr>
          <w:rStyle w:val="19"/>
          <w:rFonts w:hint="default"/>
          <w:color w:val="auto"/>
          <w:sz w:val="24"/>
          <w:szCs w:val="20"/>
          <w:highlight w:val="none"/>
        </w:rPr>
        <w:t>中标通知书；</w:t>
      </w:r>
    </w:p>
    <w:p w14:paraId="795EC19F">
      <w:pPr>
        <w:pStyle w:val="31"/>
        <w:tabs>
          <w:tab w:val="left" w:pos="903"/>
        </w:tabs>
        <w:spacing w:beforeLines="0" w:afterLines="0"/>
        <w:ind w:firstLine="420"/>
        <w:jc w:val="both"/>
        <w:rPr>
          <w:rStyle w:val="19"/>
          <w:rFonts w:hint="default"/>
          <w:color w:val="auto"/>
          <w:sz w:val="24"/>
          <w:szCs w:val="20"/>
          <w:highlight w:val="none"/>
        </w:rPr>
      </w:pPr>
      <w:bookmarkStart w:id="1446" w:name="bookmark1899"/>
      <w:r>
        <w:rPr>
          <w:rStyle w:val="19"/>
          <w:rFonts w:hint="eastAsia" w:ascii="Times New Roman" w:hAnsi="Times New Roman" w:eastAsia="Times New Roman" w:cs="Times New Roman"/>
          <w:color w:val="auto"/>
          <w:sz w:val="24"/>
          <w:szCs w:val="24"/>
          <w:highlight w:val="none"/>
        </w:rPr>
        <w:t>（</w:t>
      </w:r>
      <w:bookmarkEnd w:id="1446"/>
      <w:r>
        <w:rPr>
          <w:rStyle w:val="19"/>
          <w:rFonts w:hint="eastAsia" w:ascii="Times New Roman" w:hAnsi="Times New Roman" w:eastAsia="Times New Roman" w:cs="Times New Roman"/>
          <w:color w:val="auto"/>
          <w:sz w:val="24"/>
          <w:szCs w:val="24"/>
          <w:highlight w:val="none"/>
        </w:rPr>
        <w:t>2）</w:t>
      </w:r>
      <w:r>
        <w:rPr>
          <w:rStyle w:val="19"/>
          <w:rFonts w:hint="eastAsia" w:ascii="Times New Roman" w:hAnsi="Times New Roman" w:eastAsia="Times New Roman" w:cs="Times New Roman"/>
          <w:color w:val="auto"/>
          <w:sz w:val="24"/>
          <w:szCs w:val="24"/>
          <w:highlight w:val="none"/>
        </w:rPr>
        <w:tab/>
      </w:r>
      <w:r>
        <w:rPr>
          <w:rStyle w:val="19"/>
          <w:rFonts w:hint="default"/>
          <w:color w:val="auto"/>
          <w:sz w:val="24"/>
          <w:szCs w:val="20"/>
          <w:highlight w:val="none"/>
        </w:rPr>
        <w:t>投标函及投标函附录；</w:t>
      </w:r>
    </w:p>
    <w:p w14:paraId="1D896FD9">
      <w:pPr>
        <w:pStyle w:val="31"/>
        <w:tabs>
          <w:tab w:val="left" w:pos="903"/>
        </w:tabs>
        <w:spacing w:beforeLines="0" w:afterLines="0"/>
        <w:ind w:firstLine="420"/>
        <w:jc w:val="both"/>
        <w:rPr>
          <w:rStyle w:val="19"/>
          <w:rFonts w:hint="default"/>
          <w:color w:val="auto"/>
          <w:sz w:val="24"/>
          <w:szCs w:val="20"/>
          <w:highlight w:val="none"/>
        </w:rPr>
      </w:pPr>
      <w:bookmarkStart w:id="1447" w:name="bookmark1900"/>
      <w:r>
        <w:rPr>
          <w:rStyle w:val="19"/>
          <w:rFonts w:hint="eastAsia" w:ascii="Times New Roman" w:hAnsi="Times New Roman" w:eastAsia="Times New Roman" w:cs="Times New Roman"/>
          <w:color w:val="auto"/>
          <w:sz w:val="24"/>
          <w:szCs w:val="24"/>
          <w:highlight w:val="none"/>
        </w:rPr>
        <w:t>（</w:t>
      </w:r>
      <w:bookmarkEnd w:id="1447"/>
      <w:r>
        <w:rPr>
          <w:rStyle w:val="19"/>
          <w:rFonts w:hint="eastAsia" w:ascii="Times New Roman" w:hAnsi="Times New Roman" w:eastAsia="Times New Roman" w:cs="Times New Roman"/>
          <w:color w:val="auto"/>
          <w:sz w:val="24"/>
          <w:szCs w:val="24"/>
          <w:highlight w:val="none"/>
        </w:rPr>
        <w:t>3）</w:t>
      </w:r>
      <w:r>
        <w:rPr>
          <w:rStyle w:val="19"/>
          <w:rFonts w:hint="eastAsia" w:ascii="Times New Roman" w:hAnsi="Times New Roman" w:eastAsia="Times New Roman" w:cs="Times New Roman"/>
          <w:color w:val="auto"/>
          <w:sz w:val="24"/>
          <w:szCs w:val="24"/>
          <w:highlight w:val="none"/>
        </w:rPr>
        <w:tab/>
      </w:r>
      <w:r>
        <w:rPr>
          <w:rStyle w:val="19"/>
          <w:rFonts w:hint="default"/>
          <w:color w:val="auto"/>
          <w:sz w:val="24"/>
          <w:szCs w:val="20"/>
          <w:highlight w:val="none"/>
        </w:rPr>
        <w:t>专用合同条款（含附加条款）；</w:t>
      </w:r>
    </w:p>
    <w:p w14:paraId="16BBF1EA">
      <w:pPr>
        <w:pStyle w:val="31"/>
        <w:tabs>
          <w:tab w:val="left" w:pos="903"/>
        </w:tabs>
        <w:spacing w:beforeLines="0" w:afterLines="0"/>
        <w:ind w:firstLine="420"/>
        <w:jc w:val="both"/>
        <w:rPr>
          <w:rStyle w:val="19"/>
          <w:rFonts w:hint="default"/>
          <w:color w:val="auto"/>
          <w:sz w:val="24"/>
          <w:szCs w:val="20"/>
          <w:highlight w:val="none"/>
        </w:rPr>
      </w:pPr>
      <w:bookmarkStart w:id="1448" w:name="bookmark1901"/>
      <w:r>
        <w:rPr>
          <w:rStyle w:val="19"/>
          <w:rFonts w:hint="eastAsia" w:ascii="Times New Roman" w:hAnsi="Times New Roman" w:eastAsia="Times New Roman" w:cs="Times New Roman"/>
          <w:color w:val="auto"/>
          <w:sz w:val="24"/>
          <w:szCs w:val="24"/>
          <w:highlight w:val="none"/>
        </w:rPr>
        <w:t>（</w:t>
      </w:r>
      <w:bookmarkEnd w:id="1448"/>
      <w:r>
        <w:rPr>
          <w:rStyle w:val="19"/>
          <w:rFonts w:hint="eastAsia" w:ascii="Times New Roman" w:hAnsi="Times New Roman" w:eastAsia="Times New Roman" w:cs="Times New Roman"/>
          <w:color w:val="auto"/>
          <w:sz w:val="24"/>
          <w:szCs w:val="24"/>
          <w:highlight w:val="none"/>
        </w:rPr>
        <w:t>4）</w:t>
      </w:r>
      <w:r>
        <w:rPr>
          <w:rStyle w:val="19"/>
          <w:rFonts w:hint="eastAsia" w:ascii="Times New Roman" w:hAnsi="Times New Roman" w:eastAsia="Times New Roman" w:cs="Times New Roman"/>
          <w:color w:val="auto"/>
          <w:sz w:val="24"/>
          <w:szCs w:val="24"/>
          <w:highlight w:val="none"/>
        </w:rPr>
        <w:tab/>
      </w:r>
      <w:r>
        <w:rPr>
          <w:rStyle w:val="19"/>
          <w:rFonts w:hint="default"/>
          <w:color w:val="auto"/>
          <w:sz w:val="24"/>
          <w:szCs w:val="20"/>
          <w:highlight w:val="none"/>
        </w:rPr>
        <w:t>通用合同条款；</w:t>
      </w:r>
    </w:p>
    <w:p w14:paraId="52E9F63F">
      <w:pPr>
        <w:pStyle w:val="31"/>
        <w:tabs>
          <w:tab w:val="left" w:pos="903"/>
        </w:tabs>
        <w:spacing w:beforeLines="0" w:afterLines="0"/>
        <w:ind w:firstLine="420"/>
        <w:jc w:val="both"/>
        <w:rPr>
          <w:rStyle w:val="19"/>
          <w:rFonts w:hint="default"/>
          <w:color w:val="auto"/>
          <w:sz w:val="24"/>
          <w:szCs w:val="20"/>
          <w:highlight w:val="none"/>
        </w:rPr>
      </w:pPr>
      <w:bookmarkStart w:id="1449" w:name="bookmark1902"/>
      <w:r>
        <w:rPr>
          <w:rStyle w:val="19"/>
          <w:rFonts w:hint="eastAsia" w:ascii="Times New Roman" w:hAnsi="Times New Roman" w:eastAsia="Times New Roman" w:cs="Times New Roman"/>
          <w:color w:val="auto"/>
          <w:sz w:val="24"/>
          <w:szCs w:val="24"/>
          <w:highlight w:val="none"/>
        </w:rPr>
        <w:t>（</w:t>
      </w:r>
      <w:bookmarkEnd w:id="1449"/>
      <w:r>
        <w:rPr>
          <w:rStyle w:val="19"/>
          <w:rFonts w:hint="eastAsia" w:ascii="Times New Roman" w:hAnsi="Times New Roman" w:eastAsia="Times New Roman" w:cs="Times New Roman"/>
          <w:color w:val="auto"/>
          <w:sz w:val="24"/>
          <w:szCs w:val="24"/>
          <w:highlight w:val="none"/>
        </w:rPr>
        <w:t>5）</w:t>
      </w:r>
      <w:r>
        <w:rPr>
          <w:rStyle w:val="19"/>
          <w:rFonts w:hint="eastAsia" w:ascii="Times New Roman" w:hAnsi="Times New Roman" w:eastAsia="Times New Roman" w:cs="Times New Roman"/>
          <w:color w:val="auto"/>
          <w:sz w:val="24"/>
          <w:szCs w:val="24"/>
          <w:highlight w:val="none"/>
        </w:rPr>
        <w:tab/>
      </w:r>
      <w:r>
        <w:rPr>
          <w:rStyle w:val="19"/>
          <w:rFonts w:hint="default"/>
          <w:color w:val="auto"/>
          <w:sz w:val="24"/>
          <w:szCs w:val="20"/>
          <w:highlight w:val="none"/>
        </w:rPr>
        <w:t>技术标准和要求（合同技术条款）；</w:t>
      </w:r>
    </w:p>
    <w:p w14:paraId="2FB1A21A">
      <w:pPr>
        <w:pStyle w:val="31"/>
        <w:tabs>
          <w:tab w:val="left" w:pos="903"/>
        </w:tabs>
        <w:spacing w:beforeLines="0" w:afterLines="0"/>
        <w:ind w:firstLine="420"/>
        <w:jc w:val="both"/>
        <w:rPr>
          <w:rStyle w:val="19"/>
          <w:rFonts w:hint="default"/>
          <w:color w:val="auto"/>
          <w:sz w:val="24"/>
          <w:szCs w:val="20"/>
          <w:highlight w:val="none"/>
        </w:rPr>
      </w:pPr>
      <w:bookmarkStart w:id="1450" w:name="bookmark1903"/>
      <w:r>
        <w:rPr>
          <w:rStyle w:val="19"/>
          <w:rFonts w:hint="eastAsia" w:ascii="Times New Roman" w:hAnsi="Times New Roman" w:eastAsia="Times New Roman" w:cs="Times New Roman"/>
          <w:color w:val="auto"/>
          <w:sz w:val="24"/>
          <w:szCs w:val="24"/>
          <w:highlight w:val="none"/>
        </w:rPr>
        <w:t>（</w:t>
      </w:r>
      <w:bookmarkEnd w:id="1450"/>
      <w:r>
        <w:rPr>
          <w:rStyle w:val="19"/>
          <w:rFonts w:hint="eastAsia" w:ascii="Times New Roman" w:hAnsi="Times New Roman" w:eastAsia="Times New Roman" w:cs="Times New Roman"/>
          <w:color w:val="auto"/>
          <w:sz w:val="24"/>
          <w:szCs w:val="24"/>
          <w:highlight w:val="none"/>
        </w:rPr>
        <w:t>6）</w:t>
      </w:r>
      <w:r>
        <w:rPr>
          <w:rStyle w:val="19"/>
          <w:rFonts w:hint="eastAsia" w:ascii="Times New Roman" w:hAnsi="Times New Roman" w:eastAsia="Times New Roman" w:cs="Times New Roman"/>
          <w:color w:val="auto"/>
          <w:sz w:val="24"/>
          <w:szCs w:val="24"/>
          <w:highlight w:val="none"/>
        </w:rPr>
        <w:tab/>
      </w:r>
      <w:r>
        <w:rPr>
          <w:rStyle w:val="19"/>
          <w:rFonts w:hint="default"/>
          <w:color w:val="auto"/>
          <w:sz w:val="24"/>
          <w:szCs w:val="20"/>
          <w:highlight w:val="none"/>
        </w:rPr>
        <w:t>图纸；</w:t>
      </w:r>
    </w:p>
    <w:p w14:paraId="2CC933DB">
      <w:pPr>
        <w:pStyle w:val="31"/>
        <w:tabs>
          <w:tab w:val="left" w:pos="903"/>
        </w:tabs>
        <w:spacing w:beforeLines="0" w:afterLines="0"/>
        <w:ind w:firstLine="420"/>
        <w:jc w:val="both"/>
        <w:rPr>
          <w:rStyle w:val="19"/>
          <w:rFonts w:hint="default"/>
          <w:color w:val="auto"/>
          <w:sz w:val="24"/>
          <w:szCs w:val="20"/>
          <w:highlight w:val="none"/>
        </w:rPr>
      </w:pPr>
      <w:bookmarkStart w:id="1451" w:name="bookmark1904"/>
      <w:r>
        <w:rPr>
          <w:rStyle w:val="19"/>
          <w:rFonts w:hint="eastAsia" w:ascii="Times New Roman" w:hAnsi="Times New Roman" w:eastAsia="Times New Roman" w:cs="Times New Roman"/>
          <w:color w:val="auto"/>
          <w:sz w:val="24"/>
          <w:szCs w:val="24"/>
          <w:highlight w:val="none"/>
        </w:rPr>
        <w:t>（</w:t>
      </w:r>
      <w:bookmarkEnd w:id="1451"/>
      <w:r>
        <w:rPr>
          <w:rStyle w:val="19"/>
          <w:rFonts w:hint="eastAsia" w:ascii="Times New Roman" w:hAnsi="Times New Roman" w:eastAsia="Times New Roman" w:cs="Times New Roman"/>
          <w:color w:val="auto"/>
          <w:sz w:val="24"/>
          <w:szCs w:val="24"/>
          <w:highlight w:val="none"/>
        </w:rPr>
        <w:t>7）</w:t>
      </w:r>
      <w:r>
        <w:rPr>
          <w:rStyle w:val="19"/>
          <w:rFonts w:hint="eastAsia" w:ascii="Times New Roman" w:hAnsi="Times New Roman" w:eastAsia="Times New Roman" w:cs="Times New Roman"/>
          <w:color w:val="auto"/>
          <w:sz w:val="24"/>
          <w:szCs w:val="24"/>
          <w:highlight w:val="none"/>
        </w:rPr>
        <w:tab/>
      </w:r>
      <w:r>
        <w:rPr>
          <w:rStyle w:val="19"/>
          <w:rFonts w:hint="default"/>
          <w:color w:val="auto"/>
          <w:sz w:val="24"/>
          <w:szCs w:val="20"/>
          <w:highlight w:val="none"/>
        </w:rPr>
        <w:t>已标价工程量清单；</w:t>
      </w:r>
    </w:p>
    <w:p w14:paraId="4DD0D0E0">
      <w:pPr>
        <w:pStyle w:val="31"/>
        <w:tabs>
          <w:tab w:val="left" w:pos="903"/>
        </w:tabs>
        <w:spacing w:beforeLines="0" w:afterLines="0"/>
        <w:ind w:firstLine="420"/>
        <w:jc w:val="both"/>
        <w:rPr>
          <w:rStyle w:val="19"/>
          <w:rFonts w:hint="default"/>
          <w:color w:val="auto"/>
          <w:sz w:val="24"/>
          <w:szCs w:val="20"/>
          <w:highlight w:val="none"/>
        </w:rPr>
      </w:pPr>
      <w:bookmarkStart w:id="1452" w:name="bookmark1905"/>
      <w:r>
        <w:rPr>
          <w:rStyle w:val="19"/>
          <w:rFonts w:hint="eastAsia" w:ascii="Times New Roman" w:hAnsi="Times New Roman" w:eastAsia="Times New Roman" w:cs="Times New Roman"/>
          <w:color w:val="auto"/>
          <w:sz w:val="24"/>
          <w:szCs w:val="24"/>
          <w:highlight w:val="none"/>
        </w:rPr>
        <w:t>（</w:t>
      </w:r>
      <w:bookmarkEnd w:id="1452"/>
      <w:r>
        <w:rPr>
          <w:rStyle w:val="19"/>
          <w:rFonts w:hint="eastAsia" w:ascii="Times New Roman" w:hAnsi="Times New Roman" w:eastAsia="Times New Roman" w:cs="Times New Roman"/>
          <w:color w:val="auto"/>
          <w:sz w:val="24"/>
          <w:szCs w:val="24"/>
          <w:highlight w:val="none"/>
        </w:rPr>
        <w:t>8）</w:t>
      </w:r>
      <w:r>
        <w:rPr>
          <w:rStyle w:val="19"/>
          <w:rFonts w:hint="eastAsia" w:ascii="Times New Roman" w:hAnsi="Times New Roman" w:eastAsia="Times New Roman" w:cs="Times New Roman"/>
          <w:color w:val="auto"/>
          <w:sz w:val="24"/>
          <w:szCs w:val="24"/>
          <w:highlight w:val="none"/>
        </w:rPr>
        <w:tab/>
      </w:r>
      <w:r>
        <w:rPr>
          <w:rStyle w:val="19"/>
          <w:rFonts w:hint="default"/>
          <w:color w:val="auto"/>
          <w:sz w:val="24"/>
          <w:szCs w:val="20"/>
          <w:highlight w:val="none"/>
        </w:rPr>
        <w:t>其他合同文件。</w:t>
      </w:r>
    </w:p>
    <w:p w14:paraId="71CE9F4B">
      <w:pPr>
        <w:pStyle w:val="31"/>
        <w:numPr>
          <w:ilvl w:val="0"/>
          <w:numId w:val="43"/>
        </w:numPr>
        <w:tabs>
          <w:tab w:val="left" w:pos="764"/>
        </w:tabs>
        <w:spacing w:beforeLines="0" w:afterLines="0"/>
        <w:ind w:firstLine="420"/>
        <w:jc w:val="both"/>
        <w:rPr>
          <w:rStyle w:val="19"/>
          <w:rFonts w:hint="default"/>
          <w:color w:val="auto"/>
          <w:sz w:val="24"/>
          <w:szCs w:val="20"/>
          <w:highlight w:val="none"/>
        </w:rPr>
      </w:pPr>
      <w:bookmarkStart w:id="1453" w:name="bookmark1906"/>
      <w:bookmarkEnd w:id="1453"/>
      <w:r>
        <w:rPr>
          <w:rStyle w:val="19"/>
          <w:rFonts w:hint="default"/>
          <w:color w:val="auto"/>
          <w:sz w:val="24"/>
          <w:szCs w:val="20"/>
          <w:highlight w:val="none"/>
        </w:rPr>
        <w:t>上述文件互相补充和解释，如有不明确或不一致之处，以合同约定次序在先者为准。</w:t>
      </w:r>
    </w:p>
    <w:p w14:paraId="75998BDA">
      <w:pPr>
        <w:pStyle w:val="31"/>
        <w:numPr>
          <w:ilvl w:val="0"/>
          <w:numId w:val="43"/>
        </w:numPr>
        <w:tabs>
          <w:tab w:val="left" w:pos="764"/>
          <w:tab w:val="left" w:pos="4291"/>
          <w:tab w:val="left" w:pos="5794"/>
        </w:tabs>
        <w:spacing w:beforeLines="0" w:afterLines="0"/>
        <w:ind w:firstLine="420"/>
        <w:jc w:val="both"/>
        <w:rPr>
          <w:rStyle w:val="19"/>
          <w:rFonts w:hint="default"/>
          <w:color w:val="auto"/>
          <w:sz w:val="24"/>
          <w:szCs w:val="20"/>
          <w:highlight w:val="none"/>
        </w:rPr>
      </w:pPr>
      <w:bookmarkStart w:id="1454" w:name="bookmark1907"/>
      <w:bookmarkEnd w:id="1454"/>
      <w:r>
        <w:rPr>
          <w:rStyle w:val="19"/>
          <w:rFonts w:hint="default"/>
          <w:color w:val="auto"/>
          <w:sz w:val="24"/>
          <w:szCs w:val="20"/>
          <w:highlight w:val="none"/>
        </w:rPr>
        <w:t>签约合同价：人民币（大写）</w:t>
      </w:r>
      <w:r>
        <w:rPr>
          <w:rStyle w:val="19"/>
          <w:rFonts w:hint="default"/>
          <w:color w:val="auto"/>
          <w:sz w:val="24"/>
          <w:szCs w:val="20"/>
          <w:highlight w:val="none"/>
          <w:u w:val="single"/>
        </w:rPr>
        <w:tab/>
      </w:r>
      <w:r>
        <w:rPr>
          <w:rStyle w:val="19"/>
          <w:rFonts w:hint="default"/>
          <w:color w:val="auto"/>
          <w:sz w:val="24"/>
          <w:szCs w:val="20"/>
          <w:highlight w:val="none"/>
        </w:rPr>
        <w:t>元（¥</w:t>
      </w:r>
      <w:r>
        <w:rPr>
          <w:rStyle w:val="19"/>
          <w:rFonts w:hint="default"/>
          <w:color w:val="auto"/>
          <w:sz w:val="24"/>
          <w:szCs w:val="20"/>
          <w:highlight w:val="none"/>
          <w:u w:val="single"/>
        </w:rPr>
        <w:tab/>
      </w:r>
      <w:r>
        <w:rPr>
          <w:rStyle w:val="19"/>
          <w:rFonts w:hint="eastAsia" w:ascii="Times New Roman" w:hAnsi="Times New Roman" w:eastAsia="Times New Roman" w:cs="Times New Roman"/>
          <w:color w:val="auto"/>
          <w:sz w:val="24"/>
          <w:szCs w:val="24"/>
          <w:highlight w:val="none"/>
          <w:lang w:val="en-US" w:bidi="en-US"/>
        </w:rPr>
        <w:t>）</w:t>
      </w:r>
      <w:r>
        <w:rPr>
          <w:rStyle w:val="19"/>
          <w:rFonts w:hint="default"/>
          <w:color w:val="auto"/>
          <w:sz w:val="24"/>
          <w:szCs w:val="20"/>
          <w:highlight w:val="none"/>
          <w:lang w:val="en-US"/>
        </w:rPr>
        <w:t>(</w:t>
      </w:r>
      <w:r>
        <w:rPr>
          <w:rFonts w:hint="default"/>
          <w:color w:val="auto"/>
          <w:sz w:val="24"/>
          <w:szCs w:val="24"/>
          <w:highlight w:val="none"/>
        </w:rPr>
        <w:t xml:space="preserve">本合同承包范围的建筑安装工程费不含税合同价大写人民币： </w:t>
      </w:r>
      <w:r>
        <w:rPr>
          <w:rFonts w:hint="default"/>
          <w:color w:val="auto"/>
          <w:sz w:val="24"/>
          <w:szCs w:val="24"/>
          <w:highlight w:val="none"/>
          <w:lang w:val="en-US"/>
        </w:rPr>
        <w:t xml:space="preserve">       ;</w:t>
      </w:r>
      <w:r>
        <w:rPr>
          <w:rFonts w:hint="default"/>
          <w:color w:val="auto"/>
          <w:sz w:val="24"/>
          <w:szCs w:val="24"/>
          <w:highlight w:val="none"/>
        </w:rPr>
        <w:t>建筑安装工程费增值税税率为</w:t>
      </w:r>
      <w:r>
        <w:rPr>
          <w:rFonts w:hint="default"/>
          <w:color w:val="auto"/>
          <w:sz w:val="24"/>
          <w:szCs w:val="24"/>
          <w:highlight w:val="none"/>
          <w:lang w:val="en-US"/>
        </w:rPr>
        <w:t xml:space="preserve">   </w:t>
      </w:r>
      <w:r>
        <w:rPr>
          <w:rFonts w:hint="default"/>
          <w:color w:val="auto"/>
          <w:sz w:val="24"/>
          <w:szCs w:val="24"/>
          <w:highlight w:val="none"/>
        </w:rPr>
        <w:t xml:space="preserve">%，税额大写人民币：     （¥     元）， 含税合同总价大写人民币    </w:t>
      </w:r>
      <w:r>
        <w:rPr>
          <w:rFonts w:hint="default"/>
          <w:color w:val="auto"/>
          <w:sz w:val="24"/>
          <w:szCs w:val="24"/>
          <w:highlight w:val="none"/>
          <w:lang w:val="en-US"/>
        </w:rPr>
        <w:t xml:space="preserve">  。</w:t>
      </w:r>
      <w:r>
        <w:rPr>
          <w:rFonts w:hint="default"/>
          <w:color w:val="auto"/>
          <w:sz w:val="24"/>
          <w:szCs w:val="24"/>
          <w:highlight w:val="none"/>
        </w:rPr>
        <w:t>如国家税务部门对增值税率进行政策性调整，则本合同税率相应进行调整。</w:t>
      </w:r>
      <w:r>
        <w:rPr>
          <w:rFonts w:hint="default"/>
          <w:color w:val="auto"/>
          <w:sz w:val="24"/>
          <w:szCs w:val="24"/>
          <w:highlight w:val="none"/>
          <w:lang w:val="en-US"/>
        </w:rPr>
        <w:t>）</w:t>
      </w:r>
      <w:r>
        <w:rPr>
          <w:rFonts w:hint="default"/>
          <w:color w:val="auto"/>
          <w:sz w:val="24"/>
          <w:szCs w:val="24"/>
          <w:highlight w:val="none"/>
        </w:rPr>
        <w:t xml:space="preserve">  </w:t>
      </w:r>
      <w:r>
        <w:rPr>
          <w:rStyle w:val="19"/>
          <w:rFonts w:hint="eastAsia" w:ascii="Times New Roman" w:hAnsi="Times New Roman" w:eastAsia="Times New Roman" w:cs="Times New Roman"/>
          <w:color w:val="auto"/>
          <w:sz w:val="24"/>
          <w:szCs w:val="24"/>
          <w:highlight w:val="none"/>
          <w:vertAlign w:val="subscript"/>
          <w:lang w:val="en-US" w:bidi="en-US"/>
        </w:rPr>
        <w:t>o</w:t>
      </w:r>
    </w:p>
    <w:p w14:paraId="368CC920">
      <w:pPr>
        <w:pStyle w:val="31"/>
        <w:numPr>
          <w:ilvl w:val="0"/>
          <w:numId w:val="43"/>
        </w:numPr>
        <w:tabs>
          <w:tab w:val="left" w:pos="764"/>
          <w:tab w:val="left" w:pos="4234"/>
        </w:tabs>
        <w:spacing w:beforeLines="0" w:afterLines="0"/>
        <w:ind w:firstLine="420"/>
        <w:jc w:val="both"/>
        <w:rPr>
          <w:rStyle w:val="19"/>
          <w:rFonts w:hint="default"/>
          <w:color w:val="auto"/>
          <w:sz w:val="24"/>
          <w:szCs w:val="20"/>
          <w:highlight w:val="none"/>
        </w:rPr>
      </w:pPr>
      <w:bookmarkStart w:id="1455" w:name="bookmark1908"/>
      <w:bookmarkEnd w:id="1455"/>
      <w:r>
        <w:rPr>
          <w:rStyle w:val="19"/>
          <w:rFonts w:hint="default"/>
          <w:color w:val="auto"/>
          <w:sz w:val="24"/>
          <w:szCs w:val="20"/>
          <w:highlight w:val="none"/>
        </w:rPr>
        <w:t>承包人项目经理：</w:t>
      </w:r>
      <w:r>
        <w:rPr>
          <w:rStyle w:val="19"/>
          <w:rFonts w:hint="default"/>
          <w:color w:val="auto"/>
          <w:sz w:val="24"/>
          <w:szCs w:val="20"/>
          <w:highlight w:val="none"/>
          <w:u w:val="single"/>
        </w:rPr>
        <w:tab/>
      </w:r>
      <w:r>
        <w:rPr>
          <w:rStyle w:val="19"/>
          <w:rFonts w:hint="default" w:hAnsi="Times New Roman" w:cs="Times New Roman"/>
          <w:color w:val="auto"/>
          <w:sz w:val="24"/>
          <w:szCs w:val="24"/>
          <w:highlight w:val="none"/>
          <w:lang w:val="en-US" w:bidi="en-US"/>
        </w:rPr>
        <w:t>。</w:t>
      </w:r>
    </w:p>
    <w:p w14:paraId="34872A11">
      <w:pPr>
        <w:pStyle w:val="31"/>
        <w:numPr>
          <w:ilvl w:val="0"/>
          <w:numId w:val="43"/>
        </w:numPr>
        <w:tabs>
          <w:tab w:val="left" w:pos="764"/>
          <w:tab w:val="left" w:pos="3809"/>
        </w:tabs>
        <w:spacing w:beforeLines="0" w:afterLines="0"/>
        <w:ind w:firstLine="420"/>
        <w:jc w:val="both"/>
        <w:rPr>
          <w:rStyle w:val="19"/>
          <w:rFonts w:hint="default"/>
          <w:color w:val="auto"/>
          <w:sz w:val="24"/>
          <w:szCs w:val="20"/>
          <w:highlight w:val="none"/>
        </w:rPr>
      </w:pPr>
      <w:bookmarkStart w:id="1456" w:name="bookmark1909"/>
      <w:bookmarkEnd w:id="1456"/>
      <w:r>
        <w:rPr>
          <w:rStyle w:val="19"/>
          <w:rFonts w:hint="default"/>
          <w:color w:val="auto"/>
          <w:sz w:val="24"/>
          <w:szCs w:val="20"/>
          <w:highlight w:val="none"/>
        </w:rPr>
        <w:t>工程质量符合</w:t>
      </w:r>
      <w:r>
        <w:rPr>
          <w:rStyle w:val="19"/>
          <w:rFonts w:hint="default" w:hAnsi="Times New Roman" w:cs="Times New Roman"/>
          <w:color w:val="auto"/>
          <w:sz w:val="24"/>
          <w:szCs w:val="24"/>
          <w:highlight w:val="none"/>
          <w:u w:val="single"/>
        </w:rPr>
        <w:t>设计图纸及国家、水利部现行有关标准、规范要求，工程质量达到国家及行业现行施工验收规范合格标准</w:t>
      </w:r>
      <w:r>
        <w:rPr>
          <w:rStyle w:val="19"/>
          <w:rFonts w:hint="default"/>
          <w:color w:val="auto"/>
          <w:sz w:val="24"/>
          <w:szCs w:val="20"/>
          <w:highlight w:val="none"/>
        </w:rPr>
        <w:t>。</w:t>
      </w:r>
    </w:p>
    <w:p w14:paraId="2E36A045">
      <w:pPr>
        <w:pStyle w:val="31"/>
        <w:numPr>
          <w:ilvl w:val="0"/>
          <w:numId w:val="43"/>
        </w:numPr>
        <w:tabs>
          <w:tab w:val="left" w:pos="764"/>
        </w:tabs>
        <w:spacing w:beforeLines="0" w:afterLines="0"/>
        <w:ind w:firstLine="420"/>
        <w:jc w:val="both"/>
        <w:rPr>
          <w:rStyle w:val="19"/>
          <w:rFonts w:hint="default"/>
          <w:color w:val="auto"/>
          <w:sz w:val="24"/>
          <w:szCs w:val="20"/>
          <w:highlight w:val="none"/>
        </w:rPr>
      </w:pPr>
      <w:bookmarkStart w:id="1457" w:name="bookmark1910"/>
      <w:bookmarkEnd w:id="1457"/>
      <w:r>
        <w:rPr>
          <w:rStyle w:val="19"/>
          <w:rFonts w:hint="default"/>
          <w:color w:val="auto"/>
          <w:sz w:val="24"/>
          <w:szCs w:val="20"/>
          <w:highlight w:val="none"/>
        </w:rPr>
        <w:t>承包人承诺按合同约定承担工程的实施、完成及缺陷修复。</w:t>
      </w:r>
    </w:p>
    <w:p w14:paraId="41A627E0">
      <w:pPr>
        <w:pStyle w:val="31"/>
        <w:numPr>
          <w:ilvl w:val="0"/>
          <w:numId w:val="43"/>
        </w:numPr>
        <w:tabs>
          <w:tab w:val="left" w:pos="764"/>
        </w:tabs>
        <w:spacing w:beforeLines="0" w:afterLines="0"/>
        <w:ind w:firstLine="420"/>
        <w:jc w:val="both"/>
        <w:rPr>
          <w:rStyle w:val="19"/>
          <w:rFonts w:hint="default"/>
          <w:color w:val="auto"/>
          <w:sz w:val="24"/>
          <w:szCs w:val="20"/>
          <w:highlight w:val="none"/>
        </w:rPr>
      </w:pPr>
      <w:bookmarkStart w:id="1458" w:name="bookmark1911"/>
      <w:bookmarkEnd w:id="1458"/>
      <w:r>
        <w:rPr>
          <w:rStyle w:val="19"/>
          <w:rFonts w:hint="default"/>
          <w:color w:val="auto"/>
          <w:sz w:val="24"/>
          <w:szCs w:val="20"/>
          <w:highlight w:val="none"/>
        </w:rPr>
        <w:t>发包人承诺按合同约定的条件、时间和方式向承包人支付合同价款。</w:t>
      </w:r>
    </w:p>
    <w:p w14:paraId="29A55415">
      <w:pPr>
        <w:pStyle w:val="42"/>
        <w:spacing w:beforeLines="0" w:afterLines="0" w:line="360" w:lineRule="auto"/>
        <w:ind w:firstLine="480" w:firstLineChars="200"/>
        <w:rPr>
          <w:rStyle w:val="19"/>
          <w:rFonts w:hint="default" w:ascii="宋体" w:hAnsi="Times New Roman" w:eastAsia="宋体"/>
          <w:color w:val="auto"/>
          <w:sz w:val="24"/>
          <w:szCs w:val="24"/>
          <w:highlight w:val="none"/>
          <w:lang w:val="zh-CN" w:eastAsia="zh-CN" w:bidi="zh-CN"/>
        </w:rPr>
      </w:pPr>
      <w:bookmarkStart w:id="1459" w:name="bookmark1913"/>
      <w:bookmarkEnd w:id="1459"/>
      <w:bookmarkStart w:id="1460" w:name="bookmark1912"/>
      <w:bookmarkEnd w:id="1460"/>
      <w:r>
        <w:rPr>
          <w:rStyle w:val="19"/>
          <w:rFonts w:hint="default" w:ascii="宋体" w:hAnsi="Times New Roman" w:eastAsia="宋体"/>
          <w:color w:val="auto"/>
          <w:sz w:val="24"/>
          <w:szCs w:val="24"/>
          <w:highlight w:val="none"/>
          <w:lang w:eastAsia="zh-CN" w:bidi="zh-CN"/>
        </w:rPr>
        <w:t>8.</w:t>
      </w:r>
      <w:r>
        <w:rPr>
          <w:rStyle w:val="19"/>
          <w:rFonts w:hint="default" w:ascii="宋体" w:hAnsi="Times New Roman" w:eastAsia="宋体"/>
          <w:color w:val="auto"/>
          <w:sz w:val="24"/>
          <w:szCs w:val="24"/>
          <w:highlight w:val="none"/>
          <w:lang w:val="zh-CN" w:eastAsia="zh-CN" w:bidi="zh-CN"/>
        </w:rPr>
        <w:t>计划开工日期：年月日。</w:t>
      </w:r>
    </w:p>
    <w:p w14:paraId="271675FC">
      <w:pPr>
        <w:pStyle w:val="42"/>
        <w:spacing w:beforeLines="0" w:afterLines="0" w:line="360" w:lineRule="auto"/>
        <w:ind w:firstLine="720" w:firstLineChars="300"/>
        <w:rPr>
          <w:rStyle w:val="19"/>
          <w:rFonts w:hint="default" w:ascii="宋体" w:hAnsi="Times New Roman" w:eastAsia="宋体"/>
          <w:color w:val="auto"/>
          <w:sz w:val="24"/>
          <w:szCs w:val="24"/>
          <w:highlight w:val="none"/>
          <w:lang w:val="zh-CN" w:eastAsia="zh-CN" w:bidi="zh-CN"/>
        </w:rPr>
      </w:pPr>
      <w:r>
        <w:rPr>
          <w:rStyle w:val="19"/>
          <w:rFonts w:hint="default" w:ascii="宋体" w:hAnsi="Times New Roman" w:eastAsia="宋体"/>
          <w:color w:val="auto"/>
          <w:sz w:val="24"/>
          <w:szCs w:val="24"/>
          <w:highlight w:val="none"/>
          <w:lang w:val="zh-CN" w:eastAsia="zh-CN" w:bidi="zh-CN"/>
        </w:rPr>
        <w:t>计划竣工日期：年月日。</w:t>
      </w:r>
    </w:p>
    <w:p w14:paraId="184D829C">
      <w:pPr>
        <w:pStyle w:val="42"/>
        <w:spacing w:beforeLines="0" w:afterLines="0" w:line="360" w:lineRule="auto"/>
        <w:ind w:firstLine="763" w:firstLineChars="318"/>
        <w:rPr>
          <w:rFonts w:hint="eastAsia" w:ascii="Times New Roman"/>
          <w:color w:val="auto"/>
          <w:sz w:val="24"/>
          <w:szCs w:val="24"/>
          <w:highlight w:val="none"/>
          <w:lang w:val="zh-CN" w:eastAsia="zh-CN"/>
        </w:rPr>
      </w:pPr>
      <w:r>
        <w:rPr>
          <w:rStyle w:val="19"/>
          <w:rFonts w:hint="default" w:ascii="宋体" w:hAnsi="Times New Roman" w:eastAsia="宋体"/>
          <w:color w:val="auto"/>
          <w:sz w:val="24"/>
          <w:szCs w:val="24"/>
          <w:highlight w:val="none"/>
          <w:lang w:val="zh-CN" w:eastAsia="zh-CN" w:bidi="zh-CN"/>
        </w:rPr>
        <w:t>工期总日历天数：</w:t>
      </w:r>
      <w:r>
        <w:rPr>
          <w:rStyle w:val="19"/>
          <w:rFonts w:hint="default" w:ascii="宋体" w:hAnsi="Times New Roman" w:eastAsia="宋体"/>
          <w:color w:val="auto"/>
          <w:sz w:val="24"/>
          <w:szCs w:val="24"/>
          <w:highlight w:val="none"/>
          <w:u w:val="single"/>
          <w:lang w:val="zh-CN" w:eastAsia="zh-CN" w:bidi="zh-CN"/>
        </w:rPr>
        <w:t xml:space="preserve">        </w:t>
      </w:r>
      <w:r>
        <w:rPr>
          <w:rStyle w:val="19"/>
          <w:rFonts w:hint="default" w:ascii="宋体" w:hAnsi="Times New Roman" w:eastAsia="宋体"/>
          <w:color w:val="auto"/>
          <w:sz w:val="24"/>
          <w:szCs w:val="24"/>
          <w:highlight w:val="none"/>
          <w:lang w:val="zh-CN" w:eastAsia="zh-CN" w:bidi="zh-CN"/>
        </w:rPr>
        <w:t>日历天。工期总日历天数与根据前述计划开竣工日期计算的工期天数不一致的，以工期总日历天数为准，具体开工时间以总监理工程师批准的开工报告时间为准。</w:t>
      </w:r>
    </w:p>
    <w:p w14:paraId="6DA2BE17">
      <w:pPr>
        <w:pStyle w:val="31"/>
        <w:numPr>
          <w:ilvl w:val="0"/>
          <w:numId w:val="0"/>
        </w:numPr>
        <w:tabs>
          <w:tab w:val="left" w:pos="764"/>
          <w:tab w:val="left" w:pos="2789"/>
        </w:tabs>
        <w:spacing w:beforeLines="0" w:afterLines="0"/>
        <w:ind w:firstLine="480" w:firstLineChars="200"/>
        <w:jc w:val="both"/>
        <w:rPr>
          <w:rStyle w:val="19"/>
          <w:rFonts w:hint="default"/>
          <w:color w:val="auto"/>
          <w:sz w:val="24"/>
          <w:szCs w:val="20"/>
          <w:highlight w:val="none"/>
        </w:rPr>
      </w:pPr>
      <w:r>
        <w:rPr>
          <w:rStyle w:val="19"/>
          <w:rFonts w:hint="default"/>
          <w:color w:val="auto"/>
          <w:sz w:val="24"/>
          <w:szCs w:val="20"/>
          <w:highlight w:val="none"/>
          <w:lang w:val="en-US"/>
        </w:rPr>
        <w:t>9.</w:t>
      </w:r>
      <w:r>
        <w:rPr>
          <w:rStyle w:val="19"/>
          <w:rFonts w:hint="default"/>
          <w:color w:val="auto"/>
          <w:sz w:val="24"/>
          <w:szCs w:val="20"/>
          <w:highlight w:val="none"/>
        </w:rPr>
        <w:t>本协议书一式</w:t>
      </w:r>
      <w:r>
        <w:rPr>
          <w:rStyle w:val="19"/>
          <w:rFonts w:hint="default"/>
          <w:color w:val="auto"/>
          <w:sz w:val="24"/>
          <w:szCs w:val="20"/>
          <w:highlight w:val="none"/>
          <w:u w:val="single"/>
        </w:rPr>
        <w:tab/>
      </w:r>
      <w:r>
        <w:rPr>
          <w:rStyle w:val="19"/>
          <w:rFonts w:hint="default"/>
          <w:color w:val="auto"/>
          <w:sz w:val="24"/>
          <w:szCs w:val="20"/>
          <w:highlight w:val="none"/>
        </w:rPr>
        <w:t>份，合同双方各执</w:t>
      </w:r>
      <w:r>
        <w:rPr>
          <w:rStyle w:val="19"/>
          <w:rFonts w:hint="default"/>
          <w:color w:val="auto"/>
          <w:sz w:val="24"/>
          <w:szCs w:val="20"/>
          <w:highlight w:val="none"/>
          <w:lang w:val="en-US"/>
        </w:rPr>
        <w:t xml:space="preserve"> </w:t>
      </w:r>
      <w:r>
        <w:rPr>
          <w:rStyle w:val="19"/>
          <w:rFonts w:hint="default"/>
          <w:color w:val="auto"/>
          <w:sz w:val="24"/>
          <w:szCs w:val="20"/>
          <w:highlight w:val="none"/>
          <w:u w:val="single"/>
          <w:lang w:val="en-US"/>
        </w:rPr>
        <w:t xml:space="preserve">      </w:t>
      </w:r>
      <w:r>
        <w:rPr>
          <w:rStyle w:val="19"/>
          <w:rFonts w:hint="default"/>
          <w:color w:val="auto"/>
          <w:sz w:val="24"/>
          <w:szCs w:val="20"/>
          <w:highlight w:val="none"/>
        </w:rPr>
        <w:t>份。</w:t>
      </w:r>
    </w:p>
    <w:p w14:paraId="1C36756F">
      <w:pPr>
        <w:pStyle w:val="31"/>
        <w:numPr>
          <w:ilvl w:val="0"/>
          <w:numId w:val="0"/>
        </w:numPr>
        <w:tabs>
          <w:tab w:val="left" w:pos="841"/>
        </w:tabs>
        <w:spacing w:beforeLines="0" w:after="320" w:afterLines="0"/>
        <w:ind w:firstLine="480" w:firstLineChars="200"/>
        <w:jc w:val="both"/>
        <w:rPr>
          <w:rFonts w:hint="default"/>
          <w:color w:val="auto"/>
          <w:sz w:val="24"/>
          <w:szCs w:val="24"/>
          <w:highlight w:val="none"/>
        </w:rPr>
      </w:pPr>
      <w:bookmarkStart w:id="1461" w:name="bookmark1914"/>
      <w:bookmarkEnd w:id="1461"/>
      <w:r>
        <w:rPr>
          <w:rStyle w:val="19"/>
          <w:rFonts w:hint="default"/>
          <w:color w:val="auto"/>
          <w:sz w:val="24"/>
          <w:szCs w:val="20"/>
          <w:highlight w:val="none"/>
          <w:lang w:val="en-US"/>
        </w:rPr>
        <w:t>10.</w:t>
      </w:r>
      <w:r>
        <w:rPr>
          <w:rStyle w:val="19"/>
          <w:rFonts w:hint="default"/>
          <w:color w:val="auto"/>
          <w:sz w:val="24"/>
          <w:szCs w:val="20"/>
          <w:highlight w:val="none"/>
        </w:rPr>
        <w:t>合同未尽事宜，双方另行签订补充协议。补充协议是合同的组成部分</w:t>
      </w:r>
      <w:bookmarkStart w:id="1462" w:name="_Toc7161"/>
      <w:bookmarkStart w:id="1463" w:name="bookmark1917"/>
      <w:bookmarkStart w:id="1464" w:name="bookmark1915"/>
      <w:bookmarkStart w:id="1465" w:name="_Toc10532"/>
      <w:bookmarkStart w:id="1466" w:name="bookmark1916"/>
      <w:bookmarkStart w:id="1467" w:name="_Toc21416"/>
      <w:r>
        <w:rPr>
          <w:rStyle w:val="19"/>
          <w:rFonts w:hint="default"/>
          <w:color w:val="auto"/>
          <w:sz w:val="24"/>
          <w:szCs w:val="20"/>
          <w:highlight w:val="none"/>
        </w:rPr>
        <w:t>。</w:t>
      </w:r>
    </w:p>
    <w:p w14:paraId="75CD6955">
      <w:pPr>
        <w:pStyle w:val="42"/>
        <w:spacing w:beforeLines="0" w:afterLines="0" w:line="360" w:lineRule="auto"/>
        <w:ind w:firstLine="720" w:firstLineChars="300"/>
        <w:rPr>
          <w:rFonts w:hint="eastAsia" w:ascii="Times New Roman" w:hAnsi="宋体" w:cs="宋体"/>
          <w:color w:val="auto"/>
          <w:sz w:val="24"/>
          <w:szCs w:val="24"/>
          <w:highlight w:val="none"/>
        </w:rPr>
      </w:pPr>
    </w:p>
    <w:p w14:paraId="22CC271D">
      <w:pPr>
        <w:pStyle w:val="42"/>
        <w:spacing w:beforeLines="0" w:afterLines="0" w:line="360" w:lineRule="auto"/>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发包人：  (公章)                          承包人：  (公章)</w:t>
      </w:r>
    </w:p>
    <w:p w14:paraId="47CB4E16">
      <w:pPr>
        <w:pStyle w:val="42"/>
        <w:spacing w:beforeLines="0" w:afterLines="0" w:line="360" w:lineRule="auto"/>
        <w:rPr>
          <w:rFonts w:hint="default" w:ascii="宋体" w:hAnsi="宋体" w:eastAsia="宋体" w:cs="宋体"/>
          <w:color w:val="auto"/>
          <w:sz w:val="24"/>
          <w:szCs w:val="24"/>
          <w:highlight w:val="none"/>
          <w:u w:val="single"/>
        </w:rPr>
      </w:pPr>
      <w:r>
        <w:rPr>
          <w:rFonts w:hint="default" w:ascii="宋体" w:hAnsi="宋体" w:eastAsia="宋体" w:cs="宋体"/>
          <w:color w:val="auto"/>
          <w:sz w:val="24"/>
          <w:szCs w:val="24"/>
          <w:highlight w:val="none"/>
        </w:rPr>
        <w:t xml:space="preserve">                                 </w:t>
      </w:r>
    </w:p>
    <w:p w14:paraId="5CA8AAB3">
      <w:pPr>
        <w:pStyle w:val="42"/>
        <w:spacing w:beforeLines="0" w:afterLines="0" w:line="360" w:lineRule="auto"/>
        <w:rPr>
          <w:rFonts w:hint="default" w:ascii="宋体" w:hAnsi="宋体" w:eastAsia="宋体" w:cs="宋体"/>
          <w:color w:val="auto"/>
          <w:sz w:val="24"/>
          <w:szCs w:val="24"/>
          <w:highlight w:val="none"/>
          <w:u w:val="single"/>
        </w:rPr>
      </w:pPr>
      <w:r>
        <w:rPr>
          <w:rFonts w:hint="default" w:ascii="宋体" w:hAnsi="宋体" w:eastAsia="宋体" w:cs="宋体"/>
          <w:color w:val="auto"/>
          <w:sz w:val="24"/>
          <w:szCs w:val="24"/>
          <w:highlight w:val="none"/>
        </w:rPr>
        <w:t>法定代表人或其委托代理人：</w:t>
      </w:r>
      <w:r>
        <w:rPr>
          <w:rFonts w:hint="default" w:ascii="宋体" w:hAnsi="宋体" w:eastAsia="宋体" w:cs="宋体"/>
          <w:color w:val="auto"/>
          <w:sz w:val="24"/>
          <w:szCs w:val="24"/>
          <w:highlight w:val="none"/>
          <w:u w:val="single"/>
        </w:rPr>
        <w:t xml:space="preserve">            </w:t>
      </w:r>
      <w:r>
        <w:rPr>
          <w:rFonts w:hint="default" w:ascii="宋体" w:hAnsi="宋体" w:eastAsia="宋体" w:cs="宋体"/>
          <w:color w:val="auto"/>
          <w:sz w:val="24"/>
          <w:szCs w:val="24"/>
          <w:highlight w:val="none"/>
        </w:rPr>
        <w:t xml:space="preserve">    法定代表人或其委托代理人：</w:t>
      </w:r>
      <w:r>
        <w:rPr>
          <w:rFonts w:hint="default" w:ascii="宋体" w:hAnsi="宋体" w:eastAsia="宋体" w:cs="宋体"/>
          <w:color w:val="auto"/>
          <w:sz w:val="24"/>
          <w:szCs w:val="24"/>
          <w:highlight w:val="none"/>
          <w:u w:val="single"/>
        </w:rPr>
        <w:t xml:space="preserve">         </w:t>
      </w:r>
    </w:p>
    <w:p w14:paraId="38D4FA47">
      <w:pPr>
        <w:pStyle w:val="42"/>
        <w:spacing w:beforeLines="0" w:afterLines="0" w:line="360" w:lineRule="auto"/>
        <w:ind w:firstLine="1320" w:firstLineChars="55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 xml:space="preserve">（签字或盖章）                                 （签字或盖章） </w:t>
      </w:r>
    </w:p>
    <w:p w14:paraId="226525A3">
      <w:pPr>
        <w:tabs>
          <w:tab w:val="left" w:pos="4410"/>
        </w:tabs>
        <w:spacing w:line="360" w:lineRule="auto"/>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组织机构代码：</w:t>
      </w:r>
      <w:r>
        <w:rPr>
          <w:rFonts w:hint="default" w:ascii="宋体" w:hAnsi="宋体" w:eastAsia="宋体" w:cs="宋体"/>
          <w:color w:val="auto"/>
          <w:sz w:val="24"/>
          <w:szCs w:val="24"/>
          <w:highlight w:val="none"/>
          <w:u w:val="single"/>
        </w:rPr>
        <w:t xml:space="preserve">                   </w:t>
      </w:r>
      <w:r>
        <w:rPr>
          <w:rFonts w:hint="default" w:ascii="宋体" w:hAnsi="宋体" w:eastAsia="宋体" w:cs="宋体"/>
          <w:color w:val="auto"/>
          <w:sz w:val="24"/>
          <w:szCs w:val="24"/>
          <w:highlight w:val="none"/>
        </w:rPr>
        <w:t xml:space="preserve">         组织机构代码：</w:t>
      </w:r>
      <w:r>
        <w:rPr>
          <w:rFonts w:hint="default" w:ascii="宋体" w:hAnsi="宋体" w:eastAsia="宋体" w:cs="宋体"/>
          <w:color w:val="auto"/>
          <w:sz w:val="24"/>
          <w:szCs w:val="24"/>
          <w:highlight w:val="none"/>
          <w:u w:val="single"/>
        </w:rPr>
        <w:t xml:space="preserve">          </w:t>
      </w:r>
      <w:r>
        <w:rPr>
          <w:rFonts w:hint="default" w:ascii="宋体" w:hAnsi="宋体" w:eastAsia="宋体" w:cs="宋体"/>
          <w:color w:val="auto"/>
          <w:sz w:val="24"/>
          <w:szCs w:val="24"/>
          <w:highlight w:val="none"/>
        </w:rPr>
        <w:t xml:space="preserve">                  </w:t>
      </w:r>
      <w:r>
        <w:rPr>
          <w:rFonts w:hint="default" w:ascii="宋体" w:hAnsi="宋体" w:eastAsia="宋体" w:cs="宋体"/>
          <w:color w:val="auto"/>
          <w:sz w:val="24"/>
          <w:szCs w:val="24"/>
          <w:highlight w:val="none"/>
          <w:u w:val="single"/>
        </w:rPr>
        <w:t xml:space="preserve">  </w:t>
      </w:r>
    </w:p>
    <w:p w14:paraId="5273D344">
      <w:pPr>
        <w:spacing w:line="360" w:lineRule="auto"/>
        <w:ind w:left="6000" w:hanging="6000" w:hangingChars="2500"/>
        <w:rPr>
          <w:rFonts w:hint="default" w:ascii="宋体" w:hAnsi="宋体" w:eastAsia="宋体" w:cs="宋体"/>
          <w:color w:val="auto"/>
          <w:sz w:val="24"/>
          <w:szCs w:val="24"/>
          <w:highlight w:val="none"/>
          <w:u w:val="single"/>
        </w:rPr>
      </w:pPr>
      <w:r>
        <w:rPr>
          <w:rFonts w:hint="default" w:ascii="宋体" w:hAnsi="宋体" w:eastAsia="宋体" w:cs="宋体"/>
          <w:color w:val="auto"/>
          <w:sz w:val="24"/>
          <w:szCs w:val="24"/>
          <w:highlight w:val="none"/>
        </w:rPr>
        <w:t>地  址：</w:t>
      </w:r>
      <w:r>
        <w:rPr>
          <w:rFonts w:hint="default" w:ascii="宋体" w:hAnsi="宋体" w:eastAsia="宋体" w:cs="宋体"/>
          <w:color w:val="auto"/>
          <w:sz w:val="24"/>
          <w:szCs w:val="24"/>
          <w:highlight w:val="none"/>
          <w:u w:val="single"/>
        </w:rPr>
        <w:t xml:space="preserve">                        </w:t>
      </w:r>
      <w:r>
        <w:rPr>
          <w:rFonts w:hint="default"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 xml:space="preserve"> </w:t>
      </w:r>
      <w:r>
        <w:rPr>
          <w:rFonts w:hint="default" w:ascii="宋体" w:hAnsi="宋体" w:eastAsia="宋体" w:cs="宋体"/>
          <w:color w:val="auto"/>
          <w:sz w:val="24"/>
          <w:szCs w:val="24"/>
          <w:highlight w:val="none"/>
        </w:rPr>
        <w:t>地  址：</w:t>
      </w:r>
      <w:r>
        <w:rPr>
          <w:rFonts w:hint="default" w:ascii="宋体" w:hAnsi="宋体" w:eastAsia="宋体" w:cs="宋体"/>
          <w:color w:val="auto"/>
          <w:sz w:val="24"/>
          <w:szCs w:val="24"/>
          <w:highlight w:val="none"/>
          <w:u w:val="single"/>
        </w:rPr>
        <w:t xml:space="preserve">                                 </w:t>
      </w:r>
    </w:p>
    <w:p w14:paraId="1FE2E769">
      <w:pPr>
        <w:pStyle w:val="42"/>
        <w:spacing w:beforeLines="0" w:afterLines="0" w:line="360" w:lineRule="auto"/>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邮政编码：</w:t>
      </w:r>
      <w:r>
        <w:rPr>
          <w:rFonts w:hint="default" w:ascii="宋体" w:hAnsi="宋体" w:eastAsia="宋体" w:cs="宋体"/>
          <w:color w:val="auto"/>
          <w:sz w:val="24"/>
          <w:szCs w:val="24"/>
          <w:highlight w:val="none"/>
          <w:u w:val="single"/>
        </w:rPr>
        <w:t xml:space="preserve">   </w:t>
      </w:r>
      <w:r>
        <w:rPr>
          <w:rFonts w:hint="default" w:ascii="宋体" w:hAnsi="宋体" w:eastAsia="宋体" w:cs="宋体"/>
          <w:color w:val="auto"/>
          <w:sz w:val="24"/>
          <w:szCs w:val="24"/>
          <w:highlight w:val="none"/>
          <w:u w:val="single"/>
          <w:lang w:eastAsia="zh-CN"/>
        </w:rPr>
        <w:t xml:space="preserve">   </w:t>
      </w:r>
      <w:r>
        <w:rPr>
          <w:rFonts w:hint="default" w:ascii="宋体" w:hAnsi="宋体" w:eastAsia="宋体" w:cs="宋体"/>
          <w:color w:val="auto"/>
          <w:sz w:val="24"/>
          <w:szCs w:val="24"/>
          <w:highlight w:val="none"/>
          <w:u w:val="single"/>
        </w:rPr>
        <w:t xml:space="preserve">     </w:t>
      </w:r>
      <w:r>
        <w:rPr>
          <w:rFonts w:hint="default"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 xml:space="preserve">  </w:t>
      </w:r>
      <w:r>
        <w:rPr>
          <w:rFonts w:hint="default" w:ascii="宋体" w:hAnsi="宋体" w:eastAsia="宋体" w:cs="宋体"/>
          <w:color w:val="auto"/>
          <w:sz w:val="24"/>
          <w:szCs w:val="24"/>
          <w:highlight w:val="none"/>
        </w:rPr>
        <w:t>邮政编码：</w:t>
      </w:r>
      <w:r>
        <w:rPr>
          <w:rFonts w:hint="default" w:ascii="宋体" w:hAnsi="宋体" w:eastAsia="宋体" w:cs="宋体"/>
          <w:color w:val="auto"/>
          <w:sz w:val="24"/>
          <w:szCs w:val="24"/>
          <w:highlight w:val="none"/>
          <w:u w:val="single"/>
        </w:rPr>
        <w:t xml:space="preserve">          </w:t>
      </w:r>
      <w:r>
        <w:rPr>
          <w:rFonts w:hint="default" w:ascii="宋体" w:hAnsi="宋体" w:eastAsia="宋体" w:cs="宋体"/>
          <w:color w:val="auto"/>
          <w:sz w:val="24"/>
          <w:szCs w:val="24"/>
          <w:highlight w:val="none"/>
          <w:u w:val="single"/>
          <w:lang w:eastAsia="zh-CN"/>
        </w:rPr>
        <w:t xml:space="preserve">                        </w:t>
      </w:r>
      <w:r>
        <w:rPr>
          <w:rFonts w:hint="default" w:ascii="宋体" w:hAnsi="宋体" w:eastAsia="宋体" w:cs="宋体"/>
          <w:color w:val="auto"/>
          <w:sz w:val="24"/>
          <w:szCs w:val="24"/>
          <w:highlight w:val="none"/>
          <w:u w:val="single"/>
        </w:rPr>
        <w:t xml:space="preserve">  </w:t>
      </w:r>
    </w:p>
    <w:p w14:paraId="325334F5">
      <w:pPr>
        <w:pStyle w:val="42"/>
        <w:spacing w:beforeLines="0" w:afterLines="0" w:line="360" w:lineRule="auto"/>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法定代表人：</w:t>
      </w:r>
      <w:r>
        <w:rPr>
          <w:rFonts w:hint="default" w:ascii="宋体" w:hAnsi="宋体" w:eastAsia="宋体" w:cs="宋体"/>
          <w:color w:val="auto"/>
          <w:sz w:val="24"/>
          <w:szCs w:val="24"/>
          <w:highlight w:val="none"/>
          <w:u w:val="single"/>
        </w:rPr>
        <w:t xml:space="preserve">           </w:t>
      </w:r>
      <w:r>
        <w:rPr>
          <w:rFonts w:hint="default" w:ascii="宋体" w:hAnsi="宋体" w:eastAsia="宋体" w:cs="宋体"/>
          <w:color w:val="auto"/>
          <w:sz w:val="24"/>
          <w:szCs w:val="24"/>
          <w:highlight w:val="none"/>
        </w:rPr>
        <w:t xml:space="preserve">               法定代表人：</w:t>
      </w:r>
      <w:r>
        <w:rPr>
          <w:rFonts w:hint="default" w:ascii="宋体" w:hAnsi="宋体" w:eastAsia="宋体" w:cs="宋体"/>
          <w:color w:val="auto"/>
          <w:sz w:val="24"/>
          <w:szCs w:val="24"/>
          <w:highlight w:val="none"/>
          <w:u w:val="single"/>
        </w:rPr>
        <w:t xml:space="preserve">   </w:t>
      </w:r>
      <w:r>
        <w:rPr>
          <w:rFonts w:hint="default" w:ascii="宋体" w:hAnsi="宋体" w:eastAsia="宋体" w:cs="宋体"/>
          <w:color w:val="auto"/>
          <w:sz w:val="24"/>
          <w:szCs w:val="24"/>
          <w:highlight w:val="none"/>
          <w:u w:val="single"/>
          <w:lang w:eastAsia="zh-CN"/>
        </w:rPr>
        <w:t xml:space="preserve"> </w:t>
      </w:r>
      <w:r>
        <w:rPr>
          <w:rFonts w:hint="default" w:ascii="宋体" w:hAnsi="宋体" w:eastAsia="宋体" w:cs="宋体"/>
          <w:color w:val="auto"/>
          <w:sz w:val="24"/>
          <w:szCs w:val="24"/>
          <w:highlight w:val="none"/>
          <w:u w:val="single"/>
        </w:rPr>
        <w:t xml:space="preserve">      </w:t>
      </w:r>
    </w:p>
    <w:p w14:paraId="57AA4DC8">
      <w:pPr>
        <w:pStyle w:val="42"/>
        <w:spacing w:beforeLines="0" w:afterLines="0" w:line="360" w:lineRule="auto"/>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委托代理人：</w:t>
      </w:r>
      <w:r>
        <w:rPr>
          <w:rFonts w:hint="default" w:ascii="宋体" w:hAnsi="宋体" w:eastAsia="宋体" w:cs="宋体"/>
          <w:color w:val="auto"/>
          <w:sz w:val="24"/>
          <w:szCs w:val="24"/>
          <w:highlight w:val="none"/>
          <w:u w:val="single"/>
        </w:rPr>
        <w:t xml:space="preserve">           </w:t>
      </w:r>
      <w:r>
        <w:rPr>
          <w:rFonts w:hint="default" w:ascii="宋体" w:hAnsi="宋体" w:eastAsia="宋体" w:cs="宋体"/>
          <w:color w:val="auto"/>
          <w:sz w:val="24"/>
          <w:szCs w:val="24"/>
          <w:highlight w:val="none"/>
        </w:rPr>
        <w:t xml:space="preserve">               委托代理人：</w:t>
      </w:r>
      <w:r>
        <w:rPr>
          <w:rFonts w:hint="default" w:ascii="宋体" w:hAnsi="宋体" w:eastAsia="宋体" w:cs="宋体"/>
          <w:color w:val="auto"/>
          <w:sz w:val="24"/>
          <w:szCs w:val="24"/>
          <w:highlight w:val="none"/>
          <w:u w:val="single"/>
        </w:rPr>
        <w:t xml:space="preserve">              </w:t>
      </w:r>
    </w:p>
    <w:p w14:paraId="3CB6685A">
      <w:pPr>
        <w:spacing w:line="360" w:lineRule="auto"/>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电  话：</w:t>
      </w:r>
      <w:r>
        <w:rPr>
          <w:rFonts w:hint="default" w:ascii="宋体" w:hAnsi="宋体" w:eastAsia="宋体" w:cs="宋体"/>
          <w:color w:val="auto"/>
          <w:sz w:val="24"/>
          <w:szCs w:val="24"/>
          <w:highlight w:val="none"/>
          <w:u w:val="single"/>
        </w:rPr>
        <w:t xml:space="preserve">               </w:t>
      </w:r>
      <w:r>
        <w:rPr>
          <w:rFonts w:hint="default"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 xml:space="preserve"> </w:t>
      </w:r>
      <w:r>
        <w:rPr>
          <w:rFonts w:hint="default" w:ascii="宋体" w:hAnsi="宋体" w:eastAsia="宋体" w:cs="宋体"/>
          <w:color w:val="auto"/>
          <w:sz w:val="24"/>
          <w:szCs w:val="24"/>
          <w:highlight w:val="none"/>
        </w:rPr>
        <w:t>电  话：</w:t>
      </w:r>
      <w:r>
        <w:rPr>
          <w:rFonts w:hint="default" w:ascii="宋体" w:hAnsi="宋体" w:eastAsia="宋体" w:cs="宋体"/>
          <w:color w:val="auto"/>
          <w:sz w:val="24"/>
          <w:szCs w:val="24"/>
          <w:highlight w:val="none"/>
          <w:u w:val="single"/>
        </w:rPr>
        <w:t xml:space="preserve">              </w:t>
      </w:r>
    </w:p>
    <w:p w14:paraId="322FD079">
      <w:pPr>
        <w:spacing w:line="360" w:lineRule="auto"/>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传  真：</w:t>
      </w:r>
      <w:r>
        <w:rPr>
          <w:rFonts w:hint="default" w:ascii="宋体" w:hAnsi="宋体" w:eastAsia="宋体" w:cs="宋体"/>
          <w:color w:val="auto"/>
          <w:sz w:val="24"/>
          <w:szCs w:val="24"/>
          <w:highlight w:val="none"/>
          <w:u w:val="single"/>
        </w:rPr>
        <w:t xml:space="preserve">                  </w:t>
      </w:r>
      <w:r>
        <w:rPr>
          <w:rFonts w:hint="default"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 xml:space="preserve"> </w:t>
      </w:r>
      <w:r>
        <w:rPr>
          <w:rFonts w:hint="default" w:ascii="宋体" w:hAnsi="宋体" w:eastAsia="宋体" w:cs="宋体"/>
          <w:color w:val="auto"/>
          <w:sz w:val="24"/>
          <w:szCs w:val="24"/>
          <w:highlight w:val="none"/>
        </w:rPr>
        <w:t>传  真：</w:t>
      </w:r>
      <w:r>
        <w:rPr>
          <w:rFonts w:hint="default" w:ascii="宋体" w:hAnsi="宋体" w:eastAsia="宋体" w:cs="宋体"/>
          <w:color w:val="auto"/>
          <w:sz w:val="24"/>
          <w:szCs w:val="24"/>
          <w:highlight w:val="none"/>
          <w:u w:val="single"/>
        </w:rPr>
        <w:t xml:space="preserve">               </w:t>
      </w:r>
    </w:p>
    <w:p w14:paraId="3DF373C3">
      <w:pPr>
        <w:spacing w:line="360" w:lineRule="auto"/>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电子信箱：</w:t>
      </w:r>
      <w:r>
        <w:rPr>
          <w:rFonts w:hint="default" w:ascii="宋体" w:hAnsi="宋体" w:eastAsia="宋体" w:cs="宋体"/>
          <w:color w:val="auto"/>
          <w:sz w:val="24"/>
          <w:szCs w:val="24"/>
          <w:highlight w:val="none"/>
          <w:u w:val="single"/>
        </w:rPr>
        <w:t xml:space="preserve">                 </w:t>
      </w:r>
      <w:r>
        <w:rPr>
          <w:rFonts w:hint="default"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 xml:space="preserve"> </w:t>
      </w:r>
      <w:r>
        <w:rPr>
          <w:rFonts w:hint="default" w:ascii="宋体" w:hAnsi="宋体" w:eastAsia="宋体" w:cs="宋体"/>
          <w:color w:val="auto"/>
          <w:sz w:val="24"/>
          <w:szCs w:val="24"/>
          <w:highlight w:val="none"/>
        </w:rPr>
        <w:t>电子信箱：</w:t>
      </w:r>
      <w:r>
        <w:rPr>
          <w:rFonts w:hint="default" w:ascii="宋体" w:hAnsi="宋体" w:eastAsia="宋体" w:cs="宋体"/>
          <w:color w:val="auto"/>
          <w:sz w:val="24"/>
          <w:szCs w:val="24"/>
          <w:highlight w:val="none"/>
          <w:u w:val="single"/>
        </w:rPr>
        <w:t xml:space="preserve">                  </w:t>
      </w:r>
    </w:p>
    <w:p w14:paraId="0685DEFD">
      <w:pPr>
        <w:tabs>
          <w:tab w:val="left" w:pos="8789"/>
        </w:tabs>
        <w:spacing w:line="360" w:lineRule="auto"/>
        <w:ind w:left="5760" w:right="31" w:hanging="5760" w:hangingChars="2400"/>
        <w:rPr>
          <w:rFonts w:hint="default" w:ascii="宋体" w:hAnsi="宋体" w:eastAsia="宋体" w:cs="宋体"/>
          <w:color w:val="auto"/>
          <w:sz w:val="24"/>
          <w:szCs w:val="24"/>
          <w:highlight w:val="none"/>
          <w:u w:val="single"/>
        </w:rPr>
      </w:pPr>
      <w:r>
        <w:rPr>
          <w:rFonts w:hint="default" w:ascii="宋体" w:hAnsi="宋体" w:eastAsia="宋体" w:cs="宋体"/>
          <w:color w:val="auto"/>
          <w:sz w:val="24"/>
          <w:szCs w:val="24"/>
          <w:highlight w:val="none"/>
        </w:rPr>
        <w:t>开户银行：</w:t>
      </w:r>
      <w:r>
        <w:rPr>
          <w:rFonts w:hint="default" w:ascii="宋体" w:hAnsi="宋体" w:eastAsia="宋体" w:cs="宋体"/>
          <w:color w:val="auto"/>
          <w:sz w:val="24"/>
          <w:szCs w:val="24"/>
          <w:highlight w:val="none"/>
          <w:u w:val="single"/>
        </w:rPr>
        <w:t xml:space="preserve">                     </w:t>
      </w:r>
      <w:r>
        <w:rPr>
          <w:rFonts w:hint="default" w:ascii="宋体" w:hAnsi="宋体" w:eastAsia="宋体" w:cs="宋体"/>
          <w:color w:val="auto"/>
          <w:sz w:val="24"/>
          <w:szCs w:val="24"/>
          <w:highlight w:val="none"/>
        </w:rPr>
        <w:t xml:space="preserve">           开户银行：</w:t>
      </w:r>
      <w:r>
        <w:rPr>
          <w:rFonts w:hint="default" w:ascii="宋体" w:hAnsi="宋体" w:eastAsia="宋体" w:cs="宋体"/>
          <w:color w:val="auto"/>
          <w:sz w:val="24"/>
          <w:szCs w:val="24"/>
          <w:highlight w:val="none"/>
          <w:u w:val="single"/>
        </w:rPr>
        <w:t xml:space="preserve">                                    </w:t>
      </w:r>
    </w:p>
    <w:p w14:paraId="67EB88E9">
      <w:pPr>
        <w:rPr>
          <w:rFonts w:hint="default" w:ascii="宋体" w:hAnsi="宋体" w:eastAsia="宋体" w:cs="宋体"/>
          <w:color w:val="auto"/>
          <w:sz w:val="20"/>
          <w:szCs w:val="20"/>
          <w:highlight w:val="none"/>
        </w:rPr>
      </w:pPr>
      <w:r>
        <w:rPr>
          <w:rFonts w:hint="default" w:ascii="宋体" w:hAnsi="宋体" w:eastAsia="宋体" w:cs="宋体"/>
          <w:color w:val="auto"/>
          <w:sz w:val="24"/>
          <w:szCs w:val="24"/>
          <w:highlight w:val="none"/>
        </w:rPr>
        <w:t xml:space="preserve">账  号： </w:t>
      </w:r>
      <w:r>
        <w:rPr>
          <w:rFonts w:hint="default" w:ascii="宋体" w:hAnsi="宋体" w:eastAsia="宋体" w:cs="宋体"/>
          <w:color w:val="auto"/>
          <w:sz w:val="24"/>
          <w:szCs w:val="24"/>
          <w:highlight w:val="none"/>
          <w:u w:val="single"/>
        </w:rPr>
        <w:t xml:space="preserve">                     </w:t>
      </w:r>
      <w:r>
        <w:rPr>
          <w:rFonts w:hint="default" w:ascii="宋体" w:hAnsi="宋体" w:eastAsia="宋体" w:cs="宋体"/>
          <w:color w:val="auto"/>
          <w:sz w:val="24"/>
          <w:szCs w:val="24"/>
          <w:highlight w:val="none"/>
        </w:rPr>
        <w:t xml:space="preserve">            账  号：</w:t>
      </w:r>
      <w:r>
        <w:rPr>
          <w:rFonts w:hint="default" w:ascii="宋体" w:hAnsi="宋体" w:eastAsia="宋体" w:cs="宋体"/>
          <w:color w:val="auto"/>
          <w:sz w:val="24"/>
          <w:szCs w:val="24"/>
          <w:highlight w:val="none"/>
          <w:u w:val="single"/>
        </w:rPr>
        <w:t xml:space="preserve">    </w:t>
      </w:r>
      <w:r>
        <w:rPr>
          <w:rFonts w:hint="default" w:ascii="宋体" w:hAnsi="宋体" w:eastAsia="宋体" w:cs="宋体"/>
          <w:color w:val="auto"/>
          <w:sz w:val="20"/>
          <w:szCs w:val="20"/>
          <w:highlight w:val="none"/>
          <w:u w:val="single"/>
        </w:rPr>
        <w:t xml:space="preserve">                </w:t>
      </w:r>
    </w:p>
    <w:p w14:paraId="371138D4">
      <w:pPr>
        <w:widowControl/>
        <w:jc w:val="left"/>
        <w:rPr>
          <w:rFonts w:hint="default" w:ascii="宋体" w:hAnsi="宋体" w:eastAsia="宋体" w:cs="宋体"/>
          <w:color w:val="auto"/>
          <w:sz w:val="20"/>
          <w:szCs w:val="20"/>
          <w:highlight w:val="none"/>
          <w:u w:val="single"/>
        </w:rPr>
      </w:pPr>
    </w:p>
    <w:p w14:paraId="4BF2C7D9">
      <w:pPr>
        <w:pStyle w:val="28"/>
        <w:spacing w:beforeLines="0" w:afterLines="0"/>
        <w:rPr>
          <w:rStyle w:val="19"/>
          <w:rFonts w:hint="default" w:ascii="宋体" w:hAnsi="宋体" w:eastAsia="宋体" w:cs="宋体"/>
          <w:b/>
          <w:color w:val="auto"/>
          <w:sz w:val="28"/>
          <w:szCs w:val="28"/>
          <w:highlight w:val="none"/>
          <w:lang w:eastAsia="zh-CN"/>
        </w:rPr>
      </w:pPr>
    </w:p>
    <w:p w14:paraId="5A657FDB">
      <w:pPr>
        <w:pStyle w:val="28"/>
        <w:spacing w:beforeLines="0" w:afterLines="0"/>
        <w:rPr>
          <w:rStyle w:val="19"/>
          <w:rFonts w:hint="default" w:ascii="宋体" w:hAnsi="宋体" w:eastAsia="宋体" w:cs="宋体"/>
          <w:b/>
          <w:color w:val="auto"/>
          <w:sz w:val="28"/>
          <w:szCs w:val="28"/>
          <w:highlight w:val="none"/>
          <w:lang w:eastAsia="zh-CN"/>
        </w:rPr>
      </w:pPr>
    </w:p>
    <w:p w14:paraId="1FC88533">
      <w:pPr>
        <w:pStyle w:val="28"/>
        <w:spacing w:beforeLines="0" w:afterLines="0"/>
        <w:rPr>
          <w:rStyle w:val="19"/>
          <w:rFonts w:hint="default" w:ascii="宋体" w:hAnsi="宋体" w:eastAsia="宋体" w:cs="宋体"/>
          <w:b/>
          <w:color w:val="auto"/>
          <w:sz w:val="28"/>
          <w:szCs w:val="28"/>
          <w:highlight w:val="none"/>
          <w:lang w:eastAsia="zh-CN"/>
        </w:rPr>
      </w:pPr>
    </w:p>
    <w:p w14:paraId="765EDB4A">
      <w:pPr>
        <w:pStyle w:val="28"/>
        <w:spacing w:beforeLines="0" w:afterLines="0"/>
        <w:rPr>
          <w:rStyle w:val="19"/>
          <w:rFonts w:hint="default" w:ascii="宋体" w:hAnsi="宋体" w:eastAsia="宋体" w:cs="宋体"/>
          <w:b/>
          <w:color w:val="auto"/>
          <w:sz w:val="28"/>
          <w:szCs w:val="28"/>
          <w:highlight w:val="none"/>
          <w:lang w:eastAsia="zh-CN"/>
        </w:rPr>
      </w:pPr>
    </w:p>
    <w:p w14:paraId="1D6DB2C5">
      <w:pPr>
        <w:pStyle w:val="28"/>
        <w:spacing w:beforeLines="0" w:afterLines="0"/>
        <w:rPr>
          <w:rStyle w:val="19"/>
          <w:rFonts w:hint="default" w:ascii="宋体" w:hAnsi="宋体" w:eastAsia="宋体" w:cs="宋体"/>
          <w:b/>
          <w:color w:val="auto"/>
          <w:sz w:val="28"/>
          <w:szCs w:val="28"/>
          <w:highlight w:val="none"/>
          <w:lang w:eastAsia="zh-CN"/>
        </w:rPr>
      </w:pPr>
    </w:p>
    <w:p w14:paraId="3DE7A42C">
      <w:pPr>
        <w:pStyle w:val="28"/>
        <w:spacing w:beforeLines="0" w:afterLines="0"/>
        <w:rPr>
          <w:rStyle w:val="19"/>
          <w:rFonts w:hint="default" w:ascii="宋体" w:hAnsi="宋体" w:eastAsia="宋体" w:cs="宋体"/>
          <w:b/>
          <w:color w:val="auto"/>
          <w:sz w:val="28"/>
          <w:szCs w:val="28"/>
          <w:highlight w:val="none"/>
          <w:lang w:eastAsia="zh-CN"/>
        </w:rPr>
      </w:pPr>
    </w:p>
    <w:p w14:paraId="754F94FF">
      <w:pPr>
        <w:pStyle w:val="28"/>
        <w:spacing w:beforeLines="0" w:afterLines="0"/>
        <w:rPr>
          <w:rStyle w:val="19"/>
          <w:rFonts w:hint="default" w:ascii="宋体" w:hAnsi="宋体" w:eastAsia="宋体" w:cs="宋体"/>
          <w:b/>
          <w:color w:val="auto"/>
          <w:sz w:val="28"/>
          <w:szCs w:val="28"/>
          <w:highlight w:val="none"/>
          <w:lang w:eastAsia="zh-CN"/>
        </w:rPr>
      </w:pPr>
    </w:p>
    <w:p w14:paraId="4E0B6C63">
      <w:pPr>
        <w:pStyle w:val="28"/>
        <w:spacing w:beforeLines="0" w:afterLines="0"/>
        <w:rPr>
          <w:rStyle w:val="19"/>
          <w:rFonts w:hint="default" w:ascii="宋体" w:hAnsi="宋体" w:eastAsia="宋体" w:cs="宋体"/>
          <w:b/>
          <w:color w:val="auto"/>
          <w:sz w:val="28"/>
          <w:szCs w:val="28"/>
          <w:highlight w:val="none"/>
          <w:lang w:eastAsia="zh-CN"/>
        </w:rPr>
      </w:pPr>
    </w:p>
    <w:p w14:paraId="079741B6">
      <w:pPr>
        <w:pStyle w:val="28"/>
        <w:spacing w:beforeLines="0" w:afterLines="0"/>
        <w:rPr>
          <w:rStyle w:val="19"/>
          <w:rFonts w:hint="default" w:ascii="宋体" w:hAnsi="宋体" w:eastAsia="宋体" w:cs="宋体"/>
          <w:b/>
          <w:color w:val="auto"/>
          <w:sz w:val="28"/>
          <w:szCs w:val="28"/>
          <w:highlight w:val="none"/>
          <w:lang w:eastAsia="zh-CN"/>
        </w:rPr>
      </w:pPr>
    </w:p>
    <w:p w14:paraId="5F4A60B0">
      <w:pPr>
        <w:pStyle w:val="28"/>
        <w:spacing w:beforeLines="0" w:afterLines="0"/>
        <w:rPr>
          <w:rStyle w:val="19"/>
          <w:rFonts w:hint="default" w:ascii="宋体" w:hAnsi="宋体" w:eastAsia="宋体" w:cs="宋体"/>
          <w:b/>
          <w:color w:val="auto"/>
          <w:sz w:val="28"/>
          <w:szCs w:val="28"/>
          <w:highlight w:val="none"/>
          <w:lang w:eastAsia="zh-CN"/>
        </w:rPr>
      </w:pPr>
    </w:p>
    <w:p w14:paraId="30CF64A9">
      <w:pPr>
        <w:pStyle w:val="28"/>
        <w:spacing w:beforeLines="0" w:afterLines="0"/>
        <w:rPr>
          <w:rStyle w:val="19"/>
          <w:rFonts w:hint="default" w:ascii="宋体" w:hAnsi="宋体" w:eastAsia="宋体" w:cs="宋体"/>
          <w:b/>
          <w:color w:val="auto"/>
          <w:sz w:val="28"/>
          <w:szCs w:val="28"/>
          <w:highlight w:val="none"/>
          <w:lang w:eastAsia="zh-CN"/>
        </w:rPr>
      </w:pPr>
    </w:p>
    <w:p w14:paraId="255E76C7">
      <w:pPr>
        <w:pStyle w:val="28"/>
        <w:spacing w:beforeLines="0" w:afterLines="0"/>
        <w:rPr>
          <w:rStyle w:val="19"/>
          <w:rFonts w:hint="default" w:ascii="宋体" w:hAnsi="宋体" w:eastAsia="宋体" w:cs="宋体"/>
          <w:b/>
          <w:color w:val="auto"/>
          <w:sz w:val="28"/>
          <w:szCs w:val="28"/>
          <w:highlight w:val="none"/>
          <w:lang w:eastAsia="zh-CN"/>
        </w:rPr>
      </w:pPr>
    </w:p>
    <w:p w14:paraId="722D8329">
      <w:pPr>
        <w:pStyle w:val="28"/>
        <w:spacing w:beforeLines="0" w:afterLines="0"/>
        <w:rPr>
          <w:rStyle w:val="19"/>
          <w:rFonts w:hint="default" w:ascii="宋体" w:hAnsi="宋体" w:eastAsia="宋体" w:cs="宋体"/>
          <w:b/>
          <w:color w:val="auto"/>
          <w:sz w:val="28"/>
          <w:szCs w:val="28"/>
          <w:highlight w:val="none"/>
          <w:lang w:eastAsia="zh-CN"/>
        </w:rPr>
      </w:pPr>
    </w:p>
    <w:p w14:paraId="78A8518E">
      <w:pPr>
        <w:pStyle w:val="28"/>
        <w:spacing w:beforeLines="0" w:afterLines="0"/>
        <w:rPr>
          <w:rStyle w:val="19"/>
          <w:rFonts w:hint="default" w:ascii="宋体" w:hAnsi="宋体" w:eastAsia="宋体" w:cs="宋体"/>
          <w:b/>
          <w:color w:val="auto"/>
          <w:sz w:val="28"/>
          <w:szCs w:val="28"/>
          <w:highlight w:val="none"/>
          <w:lang w:eastAsia="zh-CN"/>
        </w:rPr>
      </w:pPr>
      <w:r>
        <w:rPr>
          <w:rStyle w:val="19"/>
          <w:rFonts w:hint="default" w:ascii="宋体" w:hAnsi="宋体" w:eastAsia="宋体" w:cs="宋体"/>
          <w:b/>
          <w:color w:val="auto"/>
          <w:sz w:val="28"/>
          <w:szCs w:val="28"/>
          <w:highlight w:val="none"/>
          <w:lang w:eastAsia="zh-CN"/>
        </w:rPr>
        <w:t>附件二：履约保函</w:t>
      </w:r>
      <w:bookmarkEnd w:id="1462"/>
      <w:bookmarkEnd w:id="1463"/>
      <w:bookmarkEnd w:id="1464"/>
      <w:bookmarkEnd w:id="1465"/>
      <w:bookmarkEnd w:id="1466"/>
      <w:bookmarkEnd w:id="1467"/>
    </w:p>
    <w:p w14:paraId="0558C56C">
      <w:pPr>
        <w:pStyle w:val="28"/>
        <w:spacing w:beforeLines="0" w:afterLines="0"/>
        <w:jc w:val="center"/>
        <w:rPr>
          <w:rStyle w:val="19"/>
          <w:rFonts w:hint="default" w:ascii="宋体" w:hAnsi="宋体" w:eastAsia="宋体" w:cs="宋体"/>
          <w:b/>
          <w:color w:val="auto"/>
          <w:sz w:val="24"/>
          <w:szCs w:val="24"/>
          <w:highlight w:val="none"/>
          <w:lang w:eastAsia="zh-CN"/>
        </w:rPr>
      </w:pPr>
      <w:bookmarkStart w:id="1468" w:name="bookmark1918"/>
      <w:bookmarkStart w:id="1469" w:name="bookmark1920"/>
      <w:bookmarkStart w:id="1470" w:name="bookmark1919"/>
    </w:p>
    <w:p w14:paraId="13FFD17F">
      <w:pPr>
        <w:pStyle w:val="28"/>
        <w:spacing w:beforeLines="0" w:afterLines="0"/>
        <w:jc w:val="center"/>
        <w:rPr>
          <w:rStyle w:val="19"/>
          <w:rFonts w:hint="default" w:ascii="宋体" w:hAnsi="宋体" w:eastAsia="宋体" w:cs="宋体"/>
          <w:b/>
          <w:color w:val="auto"/>
          <w:sz w:val="28"/>
          <w:szCs w:val="28"/>
          <w:highlight w:val="none"/>
          <w:lang w:eastAsia="zh-CN"/>
        </w:rPr>
      </w:pPr>
      <w:r>
        <w:rPr>
          <w:rStyle w:val="19"/>
          <w:rFonts w:hint="default" w:ascii="宋体" w:hAnsi="宋体" w:eastAsia="宋体" w:cs="宋体"/>
          <w:b/>
          <w:color w:val="auto"/>
          <w:sz w:val="28"/>
          <w:szCs w:val="28"/>
          <w:highlight w:val="none"/>
          <w:lang w:eastAsia="zh-CN"/>
        </w:rPr>
        <w:t>履约保函</w:t>
      </w:r>
      <w:bookmarkEnd w:id="1468"/>
      <w:bookmarkEnd w:id="1469"/>
      <w:bookmarkEnd w:id="1470"/>
    </w:p>
    <w:p w14:paraId="69D8097F">
      <w:pPr>
        <w:pStyle w:val="28"/>
        <w:spacing w:beforeLines="0" w:afterLines="0"/>
        <w:jc w:val="center"/>
        <w:rPr>
          <w:rStyle w:val="19"/>
          <w:rFonts w:hint="default" w:ascii="宋体" w:hAnsi="宋体" w:eastAsia="宋体" w:cs="宋体"/>
          <w:b/>
          <w:color w:val="auto"/>
          <w:sz w:val="24"/>
          <w:szCs w:val="24"/>
          <w:highlight w:val="none"/>
          <w:lang w:eastAsia="zh-CN"/>
        </w:rPr>
      </w:pPr>
    </w:p>
    <w:p w14:paraId="2CACCB1E">
      <w:pPr>
        <w:pStyle w:val="28"/>
        <w:spacing w:beforeLines="0" w:afterLines="0"/>
        <w:jc w:val="center"/>
        <w:rPr>
          <w:rStyle w:val="19"/>
          <w:rFonts w:hint="default"/>
          <w:b/>
          <w:color w:val="auto"/>
          <w:sz w:val="24"/>
          <w:szCs w:val="24"/>
          <w:highlight w:val="none"/>
          <w:lang w:eastAsia="zh-CN"/>
        </w:rPr>
      </w:pPr>
    </w:p>
    <w:p w14:paraId="0E8CD472">
      <w:pPr>
        <w:pStyle w:val="31"/>
        <w:tabs>
          <w:tab w:val="left" w:pos="1870"/>
        </w:tabs>
        <w:spacing w:beforeLines="0" w:after="340" w:afterLines="0"/>
        <w:ind w:firstLine="0"/>
        <w:jc w:val="both"/>
        <w:rPr>
          <w:rStyle w:val="19"/>
          <w:rFonts w:hint="default"/>
          <w:color w:val="auto"/>
          <w:sz w:val="24"/>
          <w:szCs w:val="20"/>
          <w:highlight w:val="none"/>
        </w:rPr>
      </w:pPr>
      <w:r>
        <w:rPr>
          <w:rStyle w:val="19"/>
          <w:rFonts w:hint="default"/>
          <w:color w:val="auto"/>
          <w:sz w:val="24"/>
          <w:szCs w:val="20"/>
          <w:highlight w:val="none"/>
          <w:u w:val="single"/>
        </w:rPr>
        <w:tab/>
      </w:r>
      <w:r>
        <w:rPr>
          <w:rStyle w:val="19"/>
          <w:rFonts w:hint="default"/>
          <w:color w:val="auto"/>
          <w:sz w:val="24"/>
          <w:szCs w:val="20"/>
          <w:highlight w:val="none"/>
        </w:rPr>
        <w:t>（发包人名称）：</w:t>
      </w:r>
    </w:p>
    <w:p w14:paraId="571495DB">
      <w:pPr>
        <w:pStyle w:val="31"/>
        <w:tabs>
          <w:tab w:val="left" w:pos="847"/>
          <w:tab w:val="left" w:pos="1870"/>
          <w:tab w:val="left" w:pos="3485"/>
          <w:tab w:val="left" w:pos="3554"/>
          <w:tab w:val="left" w:pos="6878"/>
          <w:tab w:val="left" w:pos="8059"/>
        </w:tabs>
        <w:spacing w:beforeLines="0" w:afterLines="0"/>
        <w:ind w:firstLine="420"/>
        <w:jc w:val="both"/>
        <w:rPr>
          <w:rStyle w:val="19"/>
          <w:rFonts w:hint="default"/>
          <w:color w:val="auto"/>
          <w:sz w:val="24"/>
          <w:szCs w:val="20"/>
          <w:highlight w:val="none"/>
        </w:rPr>
      </w:pPr>
      <w:r>
        <w:rPr>
          <w:rStyle w:val="19"/>
          <w:rFonts w:hint="default"/>
          <w:color w:val="auto"/>
          <w:sz w:val="24"/>
          <w:szCs w:val="20"/>
          <w:highlight w:val="none"/>
        </w:rPr>
        <w:t>鉴于</w:t>
      </w:r>
      <w:r>
        <w:rPr>
          <w:rStyle w:val="19"/>
          <w:rFonts w:hint="default"/>
          <w:color w:val="auto"/>
          <w:sz w:val="24"/>
          <w:szCs w:val="20"/>
          <w:highlight w:val="none"/>
          <w:u w:val="single"/>
        </w:rPr>
        <w:tab/>
      </w:r>
      <w:r>
        <w:rPr>
          <w:rStyle w:val="19"/>
          <w:rFonts w:hint="default"/>
          <w:color w:val="auto"/>
          <w:sz w:val="24"/>
          <w:szCs w:val="20"/>
          <w:highlight w:val="none"/>
        </w:rPr>
        <w:t xml:space="preserve">（发包人名称，以下简称“发包人”）接受 </w:t>
      </w:r>
      <w:r>
        <w:rPr>
          <w:rStyle w:val="19"/>
          <w:rFonts w:hint="default"/>
          <w:color w:val="auto"/>
          <w:sz w:val="24"/>
          <w:szCs w:val="20"/>
          <w:highlight w:val="none"/>
          <w:u w:val="single"/>
        </w:rPr>
        <w:tab/>
      </w:r>
      <w:r>
        <w:rPr>
          <w:rStyle w:val="19"/>
          <w:rFonts w:hint="default"/>
          <w:color w:val="auto"/>
          <w:sz w:val="24"/>
          <w:szCs w:val="20"/>
          <w:highlight w:val="none"/>
        </w:rPr>
        <w:t>（承包人名称，以下称“承包人”）于</w:t>
      </w:r>
      <w:r>
        <w:rPr>
          <w:rStyle w:val="19"/>
          <w:rFonts w:hint="default"/>
          <w:color w:val="auto"/>
          <w:sz w:val="24"/>
          <w:szCs w:val="20"/>
          <w:highlight w:val="none"/>
          <w:u w:val="single"/>
        </w:rPr>
        <w:t xml:space="preserve">          </w:t>
      </w:r>
      <w:r>
        <w:rPr>
          <w:rStyle w:val="19"/>
          <w:rFonts w:hint="default"/>
          <w:color w:val="auto"/>
          <w:sz w:val="24"/>
          <w:szCs w:val="20"/>
          <w:highlight w:val="none"/>
        </w:rPr>
        <w:t>年</w:t>
      </w:r>
      <w:r>
        <w:rPr>
          <w:rStyle w:val="19"/>
          <w:rFonts w:hint="default"/>
          <w:color w:val="auto"/>
          <w:sz w:val="24"/>
          <w:szCs w:val="20"/>
          <w:highlight w:val="none"/>
          <w:u w:val="single"/>
        </w:rPr>
        <w:t xml:space="preserve">       </w:t>
      </w:r>
      <w:r>
        <w:rPr>
          <w:rStyle w:val="19"/>
          <w:rFonts w:hint="default"/>
          <w:color w:val="auto"/>
          <w:sz w:val="24"/>
          <w:szCs w:val="20"/>
          <w:highlight w:val="none"/>
        </w:rPr>
        <w:t xml:space="preserve">月 </w:t>
      </w:r>
      <w:r>
        <w:rPr>
          <w:rStyle w:val="19"/>
          <w:rFonts w:hint="default"/>
          <w:color w:val="auto"/>
          <w:sz w:val="24"/>
          <w:szCs w:val="20"/>
          <w:highlight w:val="none"/>
          <w:u w:val="single"/>
        </w:rPr>
        <w:tab/>
      </w:r>
      <w:r>
        <w:rPr>
          <w:rStyle w:val="19"/>
          <w:rFonts w:hint="default"/>
          <w:color w:val="auto"/>
          <w:sz w:val="24"/>
          <w:szCs w:val="20"/>
          <w:highlight w:val="none"/>
        </w:rPr>
        <w:t>日递交的（项目名称）</w:t>
      </w:r>
      <w:r>
        <w:rPr>
          <w:rStyle w:val="19"/>
          <w:rFonts w:hint="default"/>
          <w:color w:val="auto"/>
          <w:sz w:val="24"/>
          <w:szCs w:val="20"/>
          <w:highlight w:val="none"/>
          <w:u w:val="single"/>
        </w:rPr>
        <w:t xml:space="preserve">             </w:t>
      </w:r>
      <w:r>
        <w:rPr>
          <w:rStyle w:val="19"/>
          <w:rFonts w:hint="default"/>
          <w:color w:val="auto"/>
          <w:sz w:val="24"/>
          <w:szCs w:val="20"/>
          <w:highlight w:val="none"/>
        </w:rPr>
        <w:t>（标段名称）的投标文件。我方愿意无条件地、不可撤销地就承包人履行与你方订立的合同，向你方提供担保。</w:t>
      </w:r>
    </w:p>
    <w:p w14:paraId="0BE581F2">
      <w:pPr>
        <w:pStyle w:val="31"/>
        <w:numPr>
          <w:ilvl w:val="0"/>
          <w:numId w:val="44"/>
        </w:numPr>
        <w:tabs>
          <w:tab w:val="left" w:pos="733"/>
          <w:tab w:val="left" w:pos="4879"/>
          <w:tab w:val="left" w:pos="7402"/>
        </w:tabs>
        <w:spacing w:beforeLines="0" w:afterLines="0"/>
        <w:ind w:firstLine="420"/>
        <w:jc w:val="both"/>
        <w:rPr>
          <w:rStyle w:val="19"/>
          <w:rFonts w:hint="default"/>
          <w:color w:val="auto"/>
          <w:sz w:val="24"/>
          <w:szCs w:val="20"/>
          <w:highlight w:val="none"/>
        </w:rPr>
      </w:pPr>
      <w:bookmarkStart w:id="1471" w:name="bookmark1921"/>
      <w:bookmarkEnd w:id="1471"/>
      <w:r>
        <w:rPr>
          <w:rStyle w:val="19"/>
          <w:rFonts w:hint="default"/>
          <w:color w:val="auto"/>
          <w:sz w:val="24"/>
          <w:szCs w:val="20"/>
          <w:highlight w:val="none"/>
        </w:rPr>
        <w:t>担保金额人民币（大写）</w:t>
      </w:r>
      <w:r>
        <w:rPr>
          <w:rStyle w:val="19"/>
          <w:rFonts w:hint="default"/>
          <w:color w:val="auto"/>
          <w:sz w:val="24"/>
          <w:szCs w:val="20"/>
          <w:highlight w:val="none"/>
          <w:u w:val="single"/>
        </w:rPr>
        <w:tab/>
      </w:r>
      <w:r>
        <w:rPr>
          <w:rStyle w:val="19"/>
          <w:rFonts w:hint="default"/>
          <w:color w:val="auto"/>
          <w:sz w:val="24"/>
          <w:szCs w:val="20"/>
          <w:highlight w:val="none"/>
        </w:rPr>
        <w:t>元（¥</w:t>
      </w:r>
      <w:r>
        <w:rPr>
          <w:rStyle w:val="19"/>
          <w:rFonts w:hint="default"/>
          <w:color w:val="auto"/>
          <w:sz w:val="24"/>
          <w:szCs w:val="20"/>
          <w:highlight w:val="none"/>
          <w:u w:val="single"/>
        </w:rPr>
        <w:tab/>
      </w:r>
      <w:r>
        <w:rPr>
          <w:rStyle w:val="19"/>
          <w:rFonts w:hint="default" w:hAnsi="Times New Roman" w:cs="Times New Roman"/>
          <w:color w:val="auto"/>
          <w:sz w:val="24"/>
          <w:szCs w:val="24"/>
          <w:highlight w:val="none"/>
          <w:lang w:val="en-US" w:bidi="en-US"/>
        </w:rPr>
        <w:t>元）</w:t>
      </w:r>
      <w:r>
        <w:rPr>
          <w:rStyle w:val="19"/>
          <w:rFonts w:hint="eastAsia" w:ascii="Times New Roman" w:hAnsi="Times New Roman" w:eastAsia="Times New Roman" w:cs="Times New Roman"/>
          <w:color w:val="auto"/>
          <w:sz w:val="24"/>
          <w:szCs w:val="24"/>
          <w:highlight w:val="none"/>
          <w:vertAlign w:val="subscript"/>
          <w:lang w:val="en-US" w:bidi="en-US"/>
        </w:rPr>
        <w:t>o</w:t>
      </w:r>
    </w:p>
    <w:p w14:paraId="47E91C5C">
      <w:pPr>
        <w:pStyle w:val="31"/>
        <w:numPr>
          <w:ilvl w:val="0"/>
          <w:numId w:val="44"/>
        </w:numPr>
        <w:tabs>
          <w:tab w:val="left" w:pos="697"/>
        </w:tabs>
        <w:spacing w:beforeLines="0" w:afterLines="0"/>
        <w:ind w:firstLine="420"/>
        <w:jc w:val="both"/>
        <w:rPr>
          <w:rStyle w:val="19"/>
          <w:rFonts w:hint="default"/>
          <w:color w:val="auto"/>
          <w:sz w:val="24"/>
          <w:szCs w:val="20"/>
          <w:highlight w:val="none"/>
        </w:rPr>
      </w:pPr>
      <w:bookmarkStart w:id="1472" w:name="bookmark1922"/>
      <w:bookmarkEnd w:id="1472"/>
      <w:r>
        <w:rPr>
          <w:rStyle w:val="19"/>
          <w:rFonts w:hint="default"/>
          <w:color w:val="auto"/>
          <w:sz w:val="24"/>
          <w:szCs w:val="20"/>
          <w:highlight w:val="none"/>
        </w:rPr>
        <w:t>担保有效期自发包人与承包人签订的合同生效之日起至发包人签发工程完工证书之日止。</w:t>
      </w:r>
    </w:p>
    <w:p w14:paraId="79FCA000">
      <w:pPr>
        <w:pStyle w:val="31"/>
        <w:numPr>
          <w:ilvl w:val="0"/>
          <w:numId w:val="44"/>
        </w:numPr>
        <w:tabs>
          <w:tab w:val="left" w:pos="736"/>
        </w:tabs>
        <w:spacing w:beforeLines="0" w:afterLines="0"/>
        <w:ind w:firstLine="420"/>
        <w:jc w:val="both"/>
        <w:rPr>
          <w:rStyle w:val="19"/>
          <w:rFonts w:hint="default"/>
          <w:color w:val="auto"/>
          <w:sz w:val="24"/>
          <w:szCs w:val="20"/>
          <w:highlight w:val="none"/>
        </w:rPr>
      </w:pPr>
      <w:bookmarkStart w:id="1473" w:name="bookmark1923"/>
      <w:bookmarkEnd w:id="1473"/>
      <w:r>
        <w:rPr>
          <w:rStyle w:val="19"/>
          <w:rFonts w:hint="default"/>
          <w:color w:val="auto"/>
          <w:sz w:val="24"/>
          <w:szCs w:val="20"/>
          <w:highlight w:val="none"/>
        </w:rPr>
        <w:t>在本担保有效期内，因承包人违反合同约定的义务给你方造成经济损失时，我方在收到你方以书面形式提出的在担保金额内的赔偿要求后，无条件地在</w:t>
      </w:r>
      <w:r>
        <w:rPr>
          <w:rStyle w:val="19"/>
          <w:rFonts w:hint="eastAsia" w:ascii="Times New Roman" w:hAnsi="Times New Roman" w:eastAsia="Times New Roman" w:cs="Times New Roman"/>
          <w:color w:val="auto"/>
          <w:sz w:val="24"/>
          <w:szCs w:val="24"/>
          <w:highlight w:val="none"/>
        </w:rPr>
        <w:t>7</w:t>
      </w:r>
      <w:r>
        <w:rPr>
          <w:rStyle w:val="19"/>
          <w:rFonts w:hint="default"/>
          <w:color w:val="auto"/>
          <w:sz w:val="24"/>
          <w:szCs w:val="20"/>
          <w:highlight w:val="none"/>
        </w:rPr>
        <w:t>天内予以支付。</w:t>
      </w:r>
    </w:p>
    <w:p w14:paraId="4120852C">
      <w:pPr>
        <w:pStyle w:val="31"/>
        <w:numPr>
          <w:ilvl w:val="0"/>
          <w:numId w:val="44"/>
        </w:numPr>
        <w:tabs>
          <w:tab w:val="left" w:pos="740"/>
        </w:tabs>
        <w:spacing w:beforeLines="0" w:after="340" w:afterLines="0"/>
        <w:ind w:firstLine="420"/>
        <w:jc w:val="both"/>
        <w:rPr>
          <w:rStyle w:val="19"/>
          <w:rFonts w:hint="default"/>
          <w:color w:val="auto"/>
          <w:sz w:val="24"/>
          <w:szCs w:val="20"/>
          <w:highlight w:val="none"/>
        </w:rPr>
      </w:pPr>
      <w:bookmarkStart w:id="1474" w:name="bookmark1924"/>
      <w:bookmarkEnd w:id="1474"/>
      <w:r>
        <w:rPr>
          <w:rStyle w:val="19"/>
          <w:rFonts w:hint="default"/>
          <w:color w:val="auto"/>
          <w:sz w:val="24"/>
          <w:szCs w:val="20"/>
          <w:highlight w:val="none"/>
        </w:rPr>
        <w:t>发包人和承包人按《通用合同条款》第</w:t>
      </w:r>
      <w:r>
        <w:rPr>
          <w:rStyle w:val="19"/>
          <w:rFonts w:hint="eastAsia" w:ascii="Times New Roman" w:hAnsi="Times New Roman" w:eastAsia="Times New Roman" w:cs="Times New Roman"/>
          <w:color w:val="auto"/>
          <w:sz w:val="24"/>
          <w:szCs w:val="24"/>
          <w:highlight w:val="none"/>
        </w:rPr>
        <w:t>15</w:t>
      </w:r>
      <w:r>
        <w:rPr>
          <w:rStyle w:val="19"/>
          <w:rFonts w:hint="default"/>
          <w:color w:val="auto"/>
          <w:sz w:val="24"/>
          <w:szCs w:val="20"/>
          <w:highlight w:val="none"/>
        </w:rPr>
        <w:t>条变更合同时，我方承担本担保规定的义务不变。</w:t>
      </w:r>
    </w:p>
    <w:p w14:paraId="62FB5A96">
      <w:pPr>
        <w:pStyle w:val="28"/>
        <w:spacing w:beforeLines="0" w:afterLines="0" w:line="360" w:lineRule="auto"/>
        <w:jc w:val="right"/>
        <w:rPr>
          <w:rStyle w:val="19"/>
          <w:rFonts w:hint="default"/>
          <w:color w:val="auto"/>
          <w:sz w:val="24"/>
          <w:szCs w:val="24"/>
          <w:highlight w:val="none"/>
          <w:lang w:eastAsia="zh-CN"/>
        </w:rPr>
      </w:pPr>
      <w:r>
        <w:rPr>
          <w:rStyle w:val="19"/>
          <w:rFonts w:hint="default" w:ascii="宋体" w:eastAsia="宋体"/>
          <w:color w:val="auto"/>
          <w:sz w:val="24"/>
          <w:szCs w:val="24"/>
          <w:highlight w:val="none"/>
          <w:lang w:eastAsia="zh-CN"/>
        </w:rPr>
        <w:t xml:space="preserve">   担  保 人：</w:t>
      </w:r>
      <w:r>
        <w:rPr>
          <w:rStyle w:val="19"/>
          <w:rFonts w:hint="default" w:ascii="宋体" w:eastAsia="宋体"/>
          <w:color w:val="auto"/>
          <w:sz w:val="24"/>
          <w:szCs w:val="24"/>
          <w:highlight w:val="none"/>
          <w:u w:val="single"/>
          <w:lang w:eastAsia="zh-CN"/>
        </w:rPr>
        <w:t xml:space="preserve">                                              </w:t>
      </w:r>
      <w:r>
        <w:rPr>
          <w:rStyle w:val="19"/>
          <w:rFonts w:hint="default" w:ascii="宋体" w:eastAsia="宋体"/>
          <w:color w:val="auto"/>
          <w:sz w:val="24"/>
          <w:szCs w:val="24"/>
          <w:highlight w:val="none"/>
          <w:lang w:eastAsia="zh-CN"/>
        </w:rPr>
        <w:t>（盖单位章）</w:t>
      </w:r>
      <w:r>
        <w:rPr>
          <w:rStyle w:val="19"/>
          <w:rFonts w:hint="default"/>
          <w:color w:val="auto"/>
          <w:sz w:val="24"/>
          <w:szCs w:val="24"/>
          <w:highlight w:val="none"/>
          <w:lang w:eastAsia="zh-CN"/>
        </w:rPr>
        <w:t xml:space="preserve"> </w:t>
      </w:r>
    </w:p>
    <w:p w14:paraId="2A6BF9FC">
      <w:pPr>
        <w:pStyle w:val="28"/>
        <w:spacing w:beforeLines="0" w:afterLines="0" w:line="360" w:lineRule="auto"/>
        <w:jc w:val="right"/>
        <w:rPr>
          <w:rStyle w:val="19"/>
          <w:rFonts w:hint="default"/>
          <w:color w:val="auto"/>
          <w:sz w:val="24"/>
          <w:szCs w:val="24"/>
          <w:highlight w:val="none"/>
          <w:lang w:eastAsia="zh-CN"/>
        </w:rPr>
      </w:pPr>
      <w:r>
        <w:rPr>
          <w:rStyle w:val="19"/>
          <w:rFonts w:hint="default" w:ascii="宋体" w:eastAsia="宋体"/>
          <w:color w:val="auto"/>
          <w:sz w:val="24"/>
          <w:szCs w:val="24"/>
          <w:highlight w:val="none"/>
          <w:lang w:eastAsia="zh-CN"/>
        </w:rPr>
        <w:t xml:space="preserve">           定代表人(或委托代理人)：</w:t>
      </w:r>
      <w:r>
        <w:rPr>
          <w:rStyle w:val="19"/>
          <w:rFonts w:hint="default" w:ascii="宋体" w:eastAsia="宋体"/>
          <w:color w:val="auto"/>
          <w:sz w:val="24"/>
          <w:szCs w:val="24"/>
          <w:highlight w:val="none"/>
          <w:u w:val="single"/>
          <w:lang w:eastAsia="zh-CN"/>
        </w:rPr>
        <w:t xml:space="preserve">                              </w:t>
      </w:r>
      <w:r>
        <w:rPr>
          <w:rStyle w:val="19"/>
          <w:rFonts w:hint="default" w:ascii="宋体" w:eastAsia="宋体"/>
          <w:color w:val="auto"/>
          <w:sz w:val="24"/>
          <w:szCs w:val="24"/>
          <w:highlight w:val="none"/>
          <w:lang w:eastAsia="zh-CN"/>
        </w:rPr>
        <w:t>（签字）</w:t>
      </w:r>
    </w:p>
    <w:p w14:paraId="30111682">
      <w:pPr>
        <w:pStyle w:val="28"/>
        <w:spacing w:beforeLines="0" w:afterLines="0" w:line="360" w:lineRule="auto"/>
        <w:jc w:val="right"/>
        <w:rPr>
          <w:rStyle w:val="19"/>
          <w:rFonts w:hint="default"/>
          <w:color w:val="auto"/>
          <w:sz w:val="24"/>
          <w:szCs w:val="24"/>
          <w:highlight w:val="none"/>
          <w:lang w:eastAsia="zh-CN"/>
        </w:rPr>
      </w:pPr>
      <w:r>
        <w:rPr>
          <w:rStyle w:val="19"/>
          <w:rFonts w:hint="default" w:ascii="宋体" w:eastAsia="宋体"/>
          <w:color w:val="auto"/>
          <w:sz w:val="24"/>
          <w:szCs w:val="24"/>
          <w:highlight w:val="none"/>
          <w:lang w:eastAsia="zh-CN"/>
        </w:rPr>
        <w:t>地       址：</w:t>
      </w:r>
      <w:r>
        <w:rPr>
          <w:rStyle w:val="19"/>
          <w:rFonts w:hint="default" w:ascii="宋体" w:eastAsia="宋体"/>
          <w:color w:val="auto"/>
          <w:sz w:val="24"/>
          <w:szCs w:val="24"/>
          <w:highlight w:val="none"/>
          <w:u w:val="single"/>
          <w:lang w:eastAsia="zh-CN"/>
        </w:rPr>
        <w:t xml:space="preserve">                </w:t>
      </w:r>
      <w:r>
        <w:rPr>
          <w:rStyle w:val="19"/>
          <w:rFonts w:hint="default"/>
          <w:color w:val="auto"/>
          <w:sz w:val="24"/>
          <w:szCs w:val="24"/>
          <w:highlight w:val="none"/>
          <w:u w:val="single"/>
          <w:lang w:eastAsia="zh-CN"/>
        </w:rPr>
        <w:tab/>
      </w:r>
      <w:r>
        <w:rPr>
          <w:rStyle w:val="19"/>
          <w:rFonts w:hint="default"/>
          <w:color w:val="auto"/>
          <w:sz w:val="24"/>
          <w:szCs w:val="24"/>
          <w:highlight w:val="none"/>
          <w:u w:val="single"/>
          <w:lang w:eastAsia="zh-CN"/>
        </w:rPr>
        <w:tab/>
      </w:r>
      <w:r>
        <w:rPr>
          <w:rStyle w:val="19"/>
          <w:rFonts w:hint="default"/>
          <w:color w:val="auto"/>
          <w:sz w:val="24"/>
          <w:szCs w:val="24"/>
          <w:highlight w:val="none"/>
          <w:u w:val="single"/>
          <w:lang w:eastAsia="zh-CN"/>
        </w:rPr>
        <w:tab/>
      </w:r>
      <w:r>
        <w:rPr>
          <w:rStyle w:val="19"/>
          <w:rFonts w:hint="default"/>
          <w:color w:val="auto"/>
          <w:sz w:val="24"/>
          <w:szCs w:val="24"/>
          <w:highlight w:val="none"/>
          <w:u w:val="single"/>
          <w:lang w:eastAsia="zh-CN"/>
        </w:rPr>
        <w:tab/>
      </w:r>
      <w:r>
        <w:rPr>
          <w:rStyle w:val="19"/>
          <w:rFonts w:hint="default"/>
          <w:color w:val="auto"/>
          <w:sz w:val="24"/>
          <w:szCs w:val="24"/>
          <w:highlight w:val="none"/>
          <w:u w:val="single"/>
          <w:lang w:eastAsia="zh-CN"/>
        </w:rPr>
        <w:tab/>
      </w:r>
      <w:r>
        <w:rPr>
          <w:rStyle w:val="19"/>
          <w:rFonts w:hint="default"/>
          <w:color w:val="auto"/>
          <w:sz w:val="24"/>
          <w:szCs w:val="24"/>
          <w:highlight w:val="none"/>
          <w:u w:val="single"/>
          <w:lang w:eastAsia="zh-CN"/>
        </w:rPr>
        <w:tab/>
      </w:r>
      <w:r>
        <w:rPr>
          <w:rStyle w:val="19"/>
          <w:rFonts w:hint="default"/>
          <w:color w:val="auto"/>
          <w:sz w:val="24"/>
          <w:szCs w:val="24"/>
          <w:highlight w:val="none"/>
          <w:u w:val="single"/>
          <w:lang w:eastAsia="zh-CN"/>
        </w:rPr>
        <w:tab/>
      </w:r>
      <w:r>
        <w:rPr>
          <w:rStyle w:val="19"/>
          <w:rFonts w:hint="default" w:ascii="宋体" w:eastAsia="宋体"/>
          <w:color w:val="auto"/>
          <w:sz w:val="24"/>
          <w:szCs w:val="24"/>
          <w:highlight w:val="none"/>
          <w:u w:val="single"/>
          <w:lang w:eastAsia="zh-CN"/>
        </w:rPr>
        <w:t xml:space="preserve">   </w:t>
      </w:r>
      <w:r>
        <w:rPr>
          <w:rStyle w:val="19"/>
          <w:rFonts w:hint="default" w:ascii="宋体" w:eastAsia="宋体"/>
          <w:color w:val="auto"/>
          <w:sz w:val="24"/>
          <w:szCs w:val="24"/>
          <w:highlight w:val="none"/>
          <w:lang w:eastAsia="zh-CN"/>
        </w:rPr>
        <w:t xml:space="preserve"> </w:t>
      </w:r>
    </w:p>
    <w:p w14:paraId="0B6CAB74">
      <w:pPr>
        <w:pStyle w:val="28"/>
        <w:spacing w:beforeLines="0" w:afterLines="0" w:line="360" w:lineRule="auto"/>
        <w:jc w:val="right"/>
        <w:rPr>
          <w:rStyle w:val="19"/>
          <w:rFonts w:hint="default"/>
          <w:color w:val="auto"/>
          <w:sz w:val="24"/>
          <w:szCs w:val="24"/>
          <w:highlight w:val="none"/>
          <w:lang w:eastAsia="zh-CN"/>
        </w:rPr>
      </w:pPr>
      <w:r>
        <w:rPr>
          <w:rStyle w:val="19"/>
          <w:rFonts w:hint="default" w:ascii="宋体" w:eastAsia="宋体"/>
          <w:color w:val="auto"/>
          <w:sz w:val="24"/>
          <w:szCs w:val="24"/>
          <w:highlight w:val="none"/>
          <w:lang w:eastAsia="zh-CN"/>
        </w:rPr>
        <w:t xml:space="preserve">        邮政编码：</w:t>
      </w:r>
      <w:r>
        <w:rPr>
          <w:rStyle w:val="19"/>
          <w:rFonts w:hint="default"/>
          <w:color w:val="auto"/>
          <w:sz w:val="24"/>
          <w:szCs w:val="24"/>
          <w:highlight w:val="none"/>
          <w:u w:val="single"/>
          <w:lang w:eastAsia="zh-CN"/>
        </w:rPr>
        <w:tab/>
      </w:r>
      <w:r>
        <w:rPr>
          <w:rStyle w:val="19"/>
          <w:rFonts w:hint="default"/>
          <w:color w:val="auto"/>
          <w:sz w:val="24"/>
          <w:szCs w:val="24"/>
          <w:highlight w:val="none"/>
          <w:u w:val="single"/>
          <w:lang w:eastAsia="zh-CN"/>
        </w:rPr>
        <w:tab/>
      </w:r>
      <w:r>
        <w:rPr>
          <w:rStyle w:val="19"/>
          <w:rFonts w:hint="default"/>
          <w:color w:val="auto"/>
          <w:sz w:val="24"/>
          <w:szCs w:val="24"/>
          <w:highlight w:val="none"/>
          <w:u w:val="single"/>
          <w:lang w:eastAsia="zh-CN"/>
        </w:rPr>
        <w:tab/>
      </w:r>
      <w:r>
        <w:rPr>
          <w:rStyle w:val="19"/>
          <w:rFonts w:hint="default"/>
          <w:color w:val="auto"/>
          <w:sz w:val="24"/>
          <w:szCs w:val="24"/>
          <w:highlight w:val="none"/>
          <w:u w:val="single"/>
          <w:lang w:eastAsia="zh-CN"/>
        </w:rPr>
        <w:tab/>
      </w:r>
      <w:r>
        <w:rPr>
          <w:rStyle w:val="19"/>
          <w:rFonts w:hint="default"/>
          <w:color w:val="auto"/>
          <w:sz w:val="24"/>
          <w:szCs w:val="24"/>
          <w:highlight w:val="none"/>
          <w:u w:val="single"/>
          <w:lang w:eastAsia="zh-CN"/>
        </w:rPr>
        <w:tab/>
      </w:r>
      <w:r>
        <w:rPr>
          <w:rStyle w:val="19"/>
          <w:rFonts w:hint="default"/>
          <w:color w:val="auto"/>
          <w:sz w:val="24"/>
          <w:szCs w:val="24"/>
          <w:highlight w:val="none"/>
          <w:u w:val="single"/>
          <w:lang w:eastAsia="zh-CN"/>
        </w:rPr>
        <w:tab/>
      </w:r>
      <w:r>
        <w:rPr>
          <w:rStyle w:val="19"/>
          <w:rFonts w:hint="default"/>
          <w:color w:val="auto"/>
          <w:sz w:val="24"/>
          <w:szCs w:val="24"/>
          <w:highlight w:val="none"/>
          <w:u w:val="single"/>
          <w:lang w:eastAsia="zh-CN"/>
        </w:rPr>
        <w:tab/>
      </w:r>
      <w:r>
        <w:rPr>
          <w:rStyle w:val="19"/>
          <w:rFonts w:hint="default"/>
          <w:color w:val="auto"/>
          <w:sz w:val="24"/>
          <w:szCs w:val="24"/>
          <w:highlight w:val="none"/>
          <w:u w:val="single"/>
          <w:lang w:eastAsia="zh-CN"/>
        </w:rPr>
        <w:tab/>
      </w:r>
      <w:r>
        <w:rPr>
          <w:rStyle w:val="19"/>
          <w:rFonts w:hint="default"/>
          <w:color w:val="auto"/>
          <w:sz w:val="24"/>
          <w:szCs w:val="24"/>
          <w:highlight w:val="none"/>
          <w:u w:val="single"/>
          <w:lang w:eastAsia="zh-CN"/>
        </w:rPr>
        <w:tab/>
      </w:r>
      <w:r>
        <w:rPr>
          <w:rStyle w:val="19"/>
          <w:rFonts w:hint="default" w:ascii="宋体" w:eastAsia="宋体"/>
          <w:color w:val="auto"/>
          <w:sz w:val="24"/>
          <w:szCs w:val="24"/>
          <w:highlight w:val="none"/>
          <w:u w:val="single"/>
          <w:lang w:eastAsia="zh-CN"/>
        </w:rPr>
        <w:t xml:space="preserve"> </w:t>
      </w:r>
      <w:r>
        <w:rPr>
          <w:rStyle w:val="19"/>
          <w:rFonts w:hint="default" w:ascii="宋体" w:eastAsia="宋体"/>
          <w:color w:val="auto"/>
          <w:sz w:val="24"/>
          <w:szCs w:val="24"/>
          <w:highlight w:val="none"/>
          <w:lang w:eastAsia="zh-CN"/>
        </w:rPr>
        <w:t xml:space="preserve"> </w:t>
      </w:r>
    </w:p>
    <w:p w14:paraId="7152C2A6">
      <w:pPr>
        <w:pStyle w:val="28"/>
        <w:spacing w:beforeLines="0" w:afterLines="0" w:line="360" w:lineRule="auto"/>
        <w:jc w:val="right"/>
        <w:rPr>
          <w:rStyle w:val="19"/>
          <w:rFonts w:hint="default"/>
          <w:color w:val="auto"/>
          <w:sz w:val="24"/>
          <w:szCs w:val="24"/>
          <w:highlight w:val="none"/>
          <w:u w:val="single"/>
          <w:lang w:eastAsia="zh-CN"/>
        </w:rPr>
      </w:pPr>
      <w:r>
        <w:rPr>
          <w:rStyle w:val="19"/>
          <w:rFonts w:hint="default" w:ascii="宋体" w:eastAsia="宋体"/>
          <w:color w:val="auto"/>
          <w:sz w:val="24"/>
          <w:szCs w:val="24"/>
          <w:highlight w:val="none"/>
          <w:lang w:eastAsia="zh-CN"/>
        </w:rPr>
        <w:t xml:space="preserve">        电        话：</w:t>
      </w:r>
      <w:r>
        <w:rPr>
          <w:rStyle w:val="19"/>
          <w:rFonts w:hint="default"/>
          <w:color w:val="auto"/>
          <w:sz w:val="24"/>
          <w:szCs w:val="24"/>
          <w:highlight w:val="none"/>
          <w:u w:val="single"/>
          <w:lang w:eastAsia="zh-CN"/>
        </w:rPr>
        <w:tab/>
      </w:r>
      <w:r>
        <w:rPr>
          <w:rStyle w:val="19"/>
          <w:rFonts w:hint="default"/>
          <w:color w:val="auto"/>
          <w:sz w:val="24"/>
          <w:szCs w:val="24"/>
          <w:highlight w:val="none"/>
          <w:u w:val="single"/>
          <w:lang w:eastAsia="zh-CN"/>
        </w:rPr>
        <w:tab/>
      </w:r>
      <w:r>
        <w:rPr>
          <w:rStyle w:val="19"/>
          <w:rFonts w:hint="default"/>
          <w:color w:val="auto"/>
          <w:sz w:val="24"/>
          <w:szCs w:val="24"/>
          <w:highlight w:val="none"/>
          <w:u w:val="single"/>
          <w:lang w:eastAsia="zh-CN"/>
        </w:rPr>
        <w:tab/>
      </w:r>
      <w:r>
        <w:rPr>
          <w:rStyle w:val="19"/>
          <w:rFonts w:hint="default"/>
          <w:color w:val="auto"/>
          <w:sz w:val="24"/>
          <w:szCs w:val="24"/>
          <w:highlight w:val="none"/>
          <w:u w:val="single"/>
          <w:lang w:eastAsia="zh-CN"/>
        </w:rPr>
        <w:tab/>
      </w:r>
      <w:r>
        <w:rPr>
          <w:rStyle w:val="19"/>
          <w:rFonts w:hint="default"/>
          <w:color w:val="auto"/>
          <w:sz w:val="24"/>
          <w:szCs w:val="24"/>
          <w:highlight w:val="none"/>
          <w:u w:val="single"/>
          <w:lang w:eastAsia="zh-CN"/>
        </w:rPr>
        <w:tab/>
      </w:r>
      <w:r>
        <w:rPr>
          <w:rStyle w:val="19"/>
          <w:rFonts w:hint="default"/>
          <w:color w:val="auto"/>
          <w:sz w:val="24"/>
          <w:szCs w:val="24"/>
          <w:highlight w:val="none"/>
          <w:u w:val="single"/>
          <w:lang w:eastAsia="zh-CN"/>
        </w:rPr>
        <w:tab/>
      </w:r>
      <w:r>
        <w:rPr>
          <w:rStyle w:val="19"/>
          <w:rFonts w:hint="default"/>
          <w:color w:val="auto"/>
          <w:sz w:val="24"/>
          <w:szCs w:val="24"/>
          <w:highlight w:val="none"/>
          <w:u w:val="single"/>
          <w:lang w:eastAsia="zh-CN"/>
        </w:rPr>
        <w:tab/>
      </w:r>
      <w:r>
        <w:rPr>
          <w:rStyle w:val="19"/>
          <w:rFonts w:hint="default"/>
          <w:color w:val="auto"/>
          <w:sz w:val="24"/>
          <w:szCs w:val="24"/>
          <w:highlight w:val="none"/>
          <w:u w:val="single"/>
          <w:lang w:eastAsia="zh-CN"/>
        </w:rPr>
        <w:tab/>
      </w:r>
      <w:r>
        <w:rPr>
          <w:rStyle w:val="19"/>
          <w:rFonts w:hint="default"/>
          <w:color w:val="auto"/>
          <w:sz w:val="24"/>
          <w:szCs w:val="24"/>
          <w:highlight w:val="none"/>
          <w:u w:val="single"/>
          <w:lang w:eastAsia="zh-CN"/>
        </w:rPr>
        <w:tab/>
      </w:r>
    </w:p>
    <w:p w14:paraId="2BB6334F">
      <w:pPr>
        <w:pStyle w:val="28"/>
        <w:spacing w:beforeLines="0" w:afterLines="0" w:line="360" w:lineRule="auto"/>
        <w:jc w:val="right"/>
        <w:rPr>
          <w:rStyle w:val="19"/>
          <w:rFonts w:hint="default"/>
          <w:color w:val="auto"/>
          <w:sz w:val="24"/>
          <w:szCs w:val="24"/>
          <w:highlight w:val="none"/>
          <w:lang w:eastAsia="zh-CN"/>
        </w:rPr>
      </w:pPr>
      <w:r>
        <w:rPr>
          <w:rStyle w:val="19"/>
          <w:rFonts w:hint="default" w:ascii="宋体" w:eastAsia="宋体"/>
          <w:color w:val="auto"/>
          <w:sz w:val="24"/>
          <w:szCs w:val="24"/>
          <w:highlight w:val="none"/>
          <w:lang w:eastAsia="zh-CN"/>
        </w:rPr>
        <w:t xml:space="preserve">        传        真：</w:t>
      </w:r>
      <w:r>
        <w:rPr>
          <w:rStyle w:val="19"/>
          <w:rFonts w:hint="default"/>
          <w:color w:val="auto"/>
          <w:sz w:val="24"/>
          <w:szCs w:val="24"/>
          <w:highlight w:val="none"/>
          <w:u w:val="single"/>
          <w:lang w:eastAsia="zh-CN"/>
        </w:rPr>
        <w:tab/>
      </w:r>
      <w:r>
        <w:rPr>
          <w:rStyle w:val="19"/>
          <w:rFonts w:hint="default"/>
          <w:color w:val="auto"/>
          <w:sz w:val="24"/>
          <w:szCs w:val="24"/>
          <w:highlight w:val="none"/>
          <w:u w:val="single"/>
          <w:lang w:eastAsia="zh-CN"/>
        </w:rPr>
        <w:tab/>
      </w:r>
      <w:r>
        <w:rPr>
          <w:rStyle w:val="19"/>
          <w:rFonts w:hint="default"/>
          <w:color w:val="auto"/>
          <w:sz w:val="24"/>
          <w:szCs w:val="24"/>
          <w:highlight w:val="none"/>
          <w:u w:val="single"/>
          <w:lang w:eastAsia="zh-CN"/>
        </w:rPr>
        <w:tab/>
      </w:r>
      <w:r>
        <w:rPr>
          <w:rStyle w:val="19"/>
          <w:rFonts w:hint="default"/>
          <w:color w:val="auto"/>
          <w:sz w:val="24"/>
          <w:szCs w:val="24"/>
          <w:highlight w:val="none"/>
          <w:u w:val="single"/>
          <w:lang w:eastAsia="zh-CN"/>
        </w:rPr>
        <w:tab/>
      </w:r>
      <w:r>
        <w:rPr>
          <w:rStyle w:val="19"/>
          <w:rFonts w:hint="default"/>
          <w:color w:val="auto"/>
          <w:sz w:val="24"/>
          <w:szCs w:val="24"/>
          <w:highlight w:val="none"/>
          <w:u w:val="single"/>
          <w:lang w:eastAsia="zh-CN"/>
        </w:rPr>
        <w:tab/>
      </w:r>
      <w:r>
        <w:rPr>
          <w:rStyle w:val="19"/>
          <w:rFonts w:hint="default"/>
          <w:color w:val="auto"/>
          <w:sz w:val="24"/>
          <w:szCs w:val="24"/>
          <w:highlight w:val="none"/>
          <w:u w:val="single"/>
          <w:lang w:eastAsia="zh-CN"/>
        </w:rPr>
        <w:tab/>
      </w:r>
      <w:r>
        <w:rPr>
          <w:rStyle w:val="19"/>
          <w:rFonts w:hint="default"/>
          <w:color w:val="auto"/>
          <w:sz w:val="24"/>
          <w:szCs w:val="24"/>
          <w:highlight w:val="none"/>
          <w:u w:val="single"/>
          <w:lang w:eastAsia="zh-CN"/>
        </w:rPr>
        <w:tab/>
      </w:r>
      <w:r>
        <w:rPr>
          <w:rStyle w:val="19"/>
          <w:rFonts w:hint="default"/>
          <w:color w:val="auto"/>
          <w:sz w:val="24"/>
          <w:szCs w:val="24"/>
          <w:highlight w:val="none"/>
          <w:u w:val="single"/>
          <w:lang w:eastAsia="zh-CN"/>
        </w:rPr>
        <w:tab/>
      </w:r>
      <w:r>
        <w:rPr>
          <w:rStyle w:val="19"/>
          <w:rFonts w:hint="default"/>
          <w:color w:val="auto"/>
          <w:sz w:val="24"/>
          <w:szCs w:val="24"/>
          <w:highlight w:val="none"/>
          <w:u w:val="single"/>
          <w:lang w:eastAsia="zh-CN"/>
        </w:rPr>
        <w:tab/>
      </w:r>
    </w:p>
    <w:p w14:paraId="41CB3D72">
      <w:pPr>
        <w:pStyle w:val="28"/>
        <w:spacing w:beforeLines="0" w:afterLines="0" w:line="360" w:lineRule="auto"/>
        <w:jc w:val="right"/>
        <w:rPr>
          <w:rStyle w:val="19"/>
          <w:rFonts w:hint="default"/>
          <w:color w:val="auto"/>
          <w:sz w:val="24"/>
          <w:szCs w:val="24"/>
          <w:highlight w:val="none"/>
          <w:lang w:eastAsia="zh-CN"/>
        </w:rPr>
      </w:pPr>
      <w:r>
        <w:rPr>
          <w:rStyle w:val="19"/>
          <w:rFonts w:hint="default"/>
          <w:color w:val="auto"/>
          <w:sz w:val="24"/>
          <w:szCs w:val="24"/>
          <w:highlight w:val="none"/>
          <w:u w:val="single"/>
          <w:lang w:eastAsia="zh-CN"/>
        </w:rPr>
        <w:tab/>
      </w:r>
      <w:r>
        <w:rPr>
          <w:rStyle w:val="19"/>
          <w:rFonts w:hint="default" w:ascii="宋体" w:eastAsia="宋体"/>
          <w:color w:val="auto"/>
          <w:sz w:val="24"/>
          <w:szCs w:val="24"/>
          <w:highlight w:val="none"/>
          <w:u w:val="single"/>
          <w:lang w:eastAsia="zh-CN"/>
        </w:rPr>
        <w:t xml:space="preserve">       </w:t>
      </w:r>
      <w:r>
        <w:rPr>
          <w:rStyle w:val="19"/>
          <w:rFonts w:hint="default" w:ascii="宋体" w:eastAsia="宋体"/>
          <w:color w:val="auto"/>
          <w:sz w:val="24"/>
          <w:szCs w:val="24"/>
          <w:highlight w:val="none"/>
          <w:lang w:eastAsia="zh-CN"/>
        </w:rPr>
        <w:t>年</w:t>
      </w:r>
      <w:r>
        <w:rPr>
          <w:rStyle w:val="19"/>
          <w:rFonts w:hint="default"/>
          <w:color w:val="auto"/>
          <w:sz w:val="24"/>
          <w:szCs w:val="24"/>
          <w:highlight w:val="none"/>
          <w:u w:val="single"/>
          <w:lang w:eastAsia="zh-CN"/>
        </w:rPr>
        <w:tab/>
      </w:r>
      <w:r>
        <w:rPr>
          <w:rStyle w:val="19"/>
          <w:rFonts w:hint="default" w:ascii="宋体" w:eastAsia="宋体"/>
          <w:color w:val="auto"/>
          <w:sz w:val="24"/>
          <w:szCs w:val="24"/>
          <w:highlight w:val="none"/>
          <w:u w:val="single"/>
          <w:lang w:eastAsia="zh-CN"/>
        </w:rPr>
        <w:t xml:space="preserve">       </w:t>
      </w:r>
      <w:r>
        <w:rPr>
          <w:rStyle w:val="19"/>
          <w:rFonts w:hint="default" w:ascii="宋体" w:eastAsia="宋体"/>
          <w:color w:val="auto"/>
          <w:sz w:val="24"/>
          <w:szCs w:val="24"/>
          <w:highlight w:val="none"/>
          <w:lang w:eastAsia="zh-CN"/>
        </w:rPr>
        <w:t>月</w:t>
      </w:r>
      <w:r>
        <w:rPr>
          <w:rStyle w:val="19"/>
          <w:rFonts w:hint="default" w:ascii="宋体" w:eastAsia="宋体"/>
          <w:color w:val="auto"/>
          <w:sz w:val="24"/>
          <w:szCs w:val="24"/>
          <w:highlight w:val="none"/>
          <w:u w:val="single"/>
          <w:lang w:eastAsia="zh-CN"/>
        </w:rPr>
        <w:t xml:space="preserve">              </w:t>
      </w:r>
      <w:r>
        <w:rPr>
          <w:rStyle w:val="19"/>
          <w:rFonts w:hint="default" w:ascii="宋体" w:eastAsia="宋体"/>
          <w:color w:val="auto"/>
          <w:sz w:val="24"/>
          <w:szCs w:val="24"/>
          <w:highlight w:val="none"/>
          <w:lang w:eastAsia="zh-CN"/>
        </w:rPr>
        <w:t xml:space="preserve">日     </w:t>
      </w:r>
    </w:p>
    <w:p w14:paraId="135A1451">
      <w:pPr>
        <w:pStyle w:val="28"/>
        <w:spacing w:beforeLines="0" w:afterLines="0"/>
        <w:rPr>
          <w:rStyle w:val="19"/>
          <w:rFonts w:hint="default" w:ascii="宋体" w:hAnsi="宋体" w:eastAsia="宋体" w:cs="宋体"/>
          <w:color w:val="auto"/>
          <w:sz w:val="20"/>
          <w:szCs w:val="20"/>
          <w:highlight w:val="none"/>
          <w:lang w:val="zh-CN" w:eastAsia="zh-CN" w:bidi="zh-CN"/>
        </w:rPr>
      </w:pPr>
    </w:p>
    <w:p w14:paraId="7F4482CA">
      <w:pPr>
        <w:pStyle w:val="28"/>
        <w:spacing w:beforeLines="0" w:afterLines="0"/>
        <w:rPr>
          <w:rStyle w:val="19"/>
          <w:rFonts w:hint="default" w:ascii="宋体" w:hAnsi="宋体" w:eastAsia="宋体" w:cs="宋体"/>
          <w:color w:val="auto"/>
          <w:sz w:val="20"/>
          <w:szCs w:val="20"/>
          <w:highlight w:val="none"/>
          <w:lang w:val="zh-CN" w:eastAsia="zh-CN" w:bidi="zh-CN"/>
        </w:rPr>
      </w:pPr>
    </w:p>
    <w:p w14:paraId="78225176">
      <w:pPr>
        <w:pStyle w:val="28"/>
        <w:spacing w:beforeLines="0" w:afterLines="0"/>
        <w:rPr>
          <w:rStyle w:val="19"/>
          <w:rFonts w:hint="default" w:ascii="宋体" w:hAnsi="宋体" w:eastAsia="宋体" w:cs="宋体"/>
          <w:color w:val="auto"/>
          <w:sz w:val="20"/>
          <w:szCs w:val="20"/>
          <w:highlight w:val="none"/>
          <w:lang w:val="zh-CN" w:eastAsia="zh-CN" w:bidi="zh-CN"/>
        </w:rPr>
      </w:pPr>
      <w:r>
        <w:rPr>
          <w:rStyle w:val="19"/>
          <w:rFonts w:hint="default" w:ascii="宋体" w:hAnsi="宋体" w:eastAsia="宋体" w:cs="宋体"/>
          <w:color w:val="auto"/>
          <w:sz w:val="20"/>
          <w:szCs w:val="20"/>
          <w:highlight w:val="none"/>
          <w:lang w:val="zh-CN" w:eastAsia="zh-CN" w:bidi="zh-CN"/>
        </w:rPr>
        <w:t>注：</w:t>
      </w:r>
    </w:p>
    <w:p w14:paraId="7ACFE027">
      <w:pPr>
        <w:pStyle w:val="31"/>
        <w:numPr>
          <w:ilvl w:val="0"/>
          <w:numId w:val="45"/>
        </w:numPr>
        <w:tabs>
          <w:tab w:val="left" w:pos="733"/>
        </w:tabs>
        <w:spacing w:beforeLines="0" w:afterLines="0" w:line="354" w:lineRule="exact"/>
        <w:ind w:firstLine="420"/>
        <w:jc w:val="both"/>
        <w:rPr>
          <w:rStyle w:val="19"/>
          <w:rFonts w:hint="default"/>
          <w:color w:val="auto"/>
          <w:sz w:val="24"/>
          <w:szCs w:val="20"/>
          <w:highlight w:val="none"/>
        </w:rPr>
      </w:pPr>
      <w:bookmarkStart w:id="1475" w:name="bookmark1925"/>
      <w:bookmarkEnd w:id="1475"/>
      <w:r>
        <w:rPr>
          <w:rStyle w:val="19"/>
          <w:rFonts w:hint="default"/>
          <w:color w:val="auto"/>
          <w:sz w:val="24"/>
          <w:szCs w:val="20"/>
          <w:highlight w:val="none"/>
        </w:rPr>
        <w:t>担保人必须是投标人单位基本账户的开户银行。</w:t>
      </w:r>
    </w:p>
    <w:p w14:paraId="3BC23F73">
      <w:pPr>
        <w:pStyle w:val="31"/>
        <w:numPr>
          <w:ilvl w:val="0"/>
          <w:numId w:val="45"/>
        </w:numPr>
        <w:tabs>
          <w:tab w:val="left" w:pos="750"/>
        </w:tabs>
        <w:spacing w:beforeLines="0" w:after="340" w:afterLines="0" w:line="354" w:lineRule="exact"/>
        <w:ind w:firstLine="420"/>
        <w:jc w:val="both"/>
        <w:rPr>
          <w:rStyle w:val="19"/>
          <w:rFonts w:hint="default"/>
          <w:color w:val="auto"/>
          <w:sz w:val="24"/>
          <w:szCs w:val="20"/>
          <w:highlight w:val="none"/>
        </w:rPr>
      </w:pPr>
      <w:bookmarkStart w:id="1476" w:name="bookmark1926"/>
      <w:bookmarkEnd w:id="1476"/>
      <w:r>
        <w:rPr>
          <w:rStyle w:val="19"/>
          <w:rFonts w:hint="default"/>
          <w:color w:val="auto"/>
          <w:sz w:val="24"/>
          <w:szCs w:val="20"/>
          <w:highlight w:val="none"/>
        </w:rPr>
        <w:t>委托代理人应附授权委托书。</w:t>
      </w:r>
      <w:bookmarkStart w:id="1477" w:name="bookmark1927"/>
      <w:bookmarkStart w:id="1478" w:name="bookmark1928"/>
      <w:bookmarkStart w:id="1479" w:name="_Toc21423"/>
      <w:bookmarkStart w:id="1480" w:name="_Toc4188"/>
      <w:bookmarkStart w:id="1481" w:name="bookmark1929"/>
    </w:p>
    <w:p w14:paraId="2B0FB3B5">
      <w:pPr>
        <w:pStyle w:val="28"/>
        <w:spacing w:beforeLines="0" w:afterLines="0"/>
        <w:rPr>
          <w:rStyle w:val="19"/>
          <w:rFonts w:hint="default" w:ascii="宋体" w:hAnsi="宋体" w:eastAsia="宋体" w:cs="宋体"/>
          <w:b/>
          <w:color w:val="auto"/>
          <w:sz w:val="28"/>
          <w:szCs w:val="28"/>
          <w:highlight w:val="none"/>
          <w:lang w:eastAsia="zh-CN"/>
        </w:rPr>
      </w:pPr>
      <w:bookmarkStart w:id="1482" w:name="_Toc25045"/>
      <w:r>
        <w:rPr>
          <w:rStyle w:val="19"/>
          <w:rFonts w:hint="default" w:ascii="宋体" w:hAnsi="宋体" w:eastAsia="宋体" w:cs="宋体"/>
          <w:b/>
          <w:color w:val="auto"/>
          <w:sz w:val="28"/>
          <w:szCs w:val="28"/>
          <w:highlight w:val="none"/>
          <w:lang w:eastAsia="zh-CN"/>
        </w:rPr>
        <w:br w:type="page"/>
      </w:r>
      <w:r>
        <w:rPr>
          <w:rStyle w:val="19"/>
          <w:rFonts w:hint="default" w:ascii="宋体" w:hAnsi="宋体" w:eastAsia="宋体" w:cs="宋体"/>
          <w:b/>
          <w:color w:val="auto"/>
          <w:sz w:val="28"/>
          <w:szCs w:val="28"/>
          <w:highlight w:val="none"/>
          <w:lang w:eastAsia="zh-CN"/>
        </w:rPr>
        <w:t>附件三：预付款担保函</w:t>
      </w:r>
      <w:bookmarkEnd w:id="1477"/>
      <w:bookmarkEnd w:id="1478"/>
      <w:bookmarkEnd w:id="1479"/>
      <w:bookmarkEnd w:id="1480"/>
      <w:bookmarkEnd w:id="1481"/>
      <w:bookmarkEnd w:id="1482"/>
    </w:p>
    <w:p w14:paraId="2176F9EC">
      <w:pPr>
        <w:pStyle w:val="28"/>
        <w:spacing w:beforeLines="0" w:afterLines="0"/>
        <w:rPr>
          <w:rStyle w:val="19"/>
          <w:rFonts w:hint="default" w:ascii="宋体" w:hAnsi="宋体" w:eastAsia="宋体" w:cs="宋体"/>
          <w:b/>
          <w:color w:val="auto"/>
          <w:sz w:val="28"/>
          <w:szCs w:val="28"/>
          <w:highlight w:val="none"/>
          <w:lang w:eastAsia="zh-CN"/>
        </w:rPr>
      </w:pPr>
    </w:p>
    <w:p w14:paraId="05075B61">
      <w:pPr>
        <w:pStyle w:val="28"/>
        <w:spacing w:before="120" w:beforeLines="50" w:afterLines="0"/>
        <w:jc w:val="center"/>
        <w:rPr>
          <w:rStyle w:val="19"/>
          <w:rFonts w:hint="default" w:ascii="宋体" w:hAnsi="宋体" w:eastAsia="宋体" w:cs="宋体"/>
          <w:b/>
          <w:color w:val="auto"/>
          <w:sz w:val="28"/>
          <w:szCs w:val="28"/>
          <w:highlight w:val="none"/>
          <w:lang w:eastAsia="zh-CN"/>
        </w:rPr>
      </w:pPr>
      <w:bookmarkStart w:id="1483" w:name="bookmark1930"/>
      <w:bookmarkStart w:id="1484" w:name="bookmark1932"/>
      <w:bookmarkStart w:id="1485" w:name="bookmark1931"/>
      <w:r>
        <w:rPr>
          <w:rStyle w:val="19"/>
          <w:rFonts w:hint="default" w:ascii="宋体" w:hAnsi="宋体" w:eastAsia="宋体" w:cs="宋体"/>
          <w:b/>
          <w:color w:val="auto"/>
          <w:sz w:val="28"/>
          <w:szCs w:val="28"/>
          <w:highlight w:val="none"/>
          <w:lang w:eastAsia="zh-CN"/>
        </w:rPr>
        <w:t>预付款担保函</w:t>
      </w:r>
      <w:bookmarkEnd w:id="1483"/>
      <w:bookmarkEnd w:id="1484"/>
      <w:bookmarkEnd w:id="1485"/>
    </w:p>
    <w:p w14:paraId="59F958DE">
      <w:pPr>
        <w:pStyle w:val="28"/>
        <w:spacing w:beforeLines="0" w:afterLines="0"/>
        <w:jc w:val="center"/>
        <w:rPr>
          <w:rStyle w:val="19"/>
          <w:rFonts w:hint="default"/>
          <w:b/>
          <w:color w:val="auto"/>
          <w:sz w:val="24"/>
          <w:szCs w:val="24"/>
          <w:highlight w:val="none"/>
          <w:lang w:eastAsia="zh-CN"/>
        </w:rPr>
      </w:pPr>
    </w:p>
    <w:p w14:paraId="64ED76F7">
      <w:pPr>
        <w:pStyle w:val="28"/>
        <w:spacing w:beforeLines="0" w:afterLines="0"/>
        <w:jc w:val="center"/>
        <w:rPr>
          <w:rStyle w:val="19"/>
          <w:rFonts w:hint="default"/>
          <w:b/>
          <w:color w:val="auto"/>
          <w:sz w:val="24"/>
          <w:szCs w:val="24"/>
          <w:highlight w:val="none"/>
          <w:lang w:eastAsia="zh-CN"/>
        </w:rPr>
      </w:pPr>
    </w:p>
    <w:p w14:paraId="3F5C686E">
      <w:pPr>
        <w:pStyle w:val="31"/>
        <w:tabs>
          <w:tab w:val="left" w:pos="1870"/>
        </w:tabs>
        <w:spacing w:beforeLines="0" w:after="340" w:afterLines="0"/>
        <w:ind w:firstLine="0"/>
        <w:jc w:val="both"/>
        <w:rPr>
          <w:rStyle w:val="19"/>
          <w:rFonts w:hint="default"/>
          <w:color w:val="auto"/>
          <w:sz w:val="24"/>
          <w:szCs w:val="20"/>
          <w:highlight w:val="none"/>
        </w:rPr>
      </w:pPr>
      <w:r>
        <w:rPr>
          <w:rStyle w:val="19"/>
          <w:rFonts w:hint="default"/>
          <w:color w:val="auto"/>
          <w:sz w:val="24"/>
          <w:szCs w:val="20"/>
          <w:highlight w:val="none"/>
          <w:u w:val="single"/>
        </w:rPr>
        <w:tab/>
      </w:r>
      <w:r>
        <w:rPr>
          <w:rStyle w:val="19"/>
          <w:rFonts w:hint="default"/>
          <w:color w:val="auto"/>
          <w:sz w:val="24"/>
          <w:szCs w:val="20"/>
          <w:highlight w:val="none"/>
        </w:rPr>
        <w:t>（发包人名称）:</w:t>
      </w:r>
    </w:p>
    <w:p w14:paraId="0DCD4A00">
      <w:pPr>
        <w:pStyle w:val="31"/>
        <w:tabs>
          <w:tab w:val="left" w:pos="1870"/>
          <w:tab w:val="left" w:pos="2707"/>
          <w:tab w:val="left" w:pos="5004"/>
          <w:tab w:val="left" w:pos="5033"/>
          <w:tab w:val="left" w:pos="6163"/>
          <w:tab w:val="left" w:pos="7322"/>
          <w:tab w:val="left" w:pos="8333"/>
        </w:tabs>
        <w:spacing w:beforeLines="0" w:after="120" w:afterLines="0"/>
        <w:ind w:firstLine="420"/>
        <w:jc w:val="both"/>
        <w:rPr>
          <w:rStyle w:val="19"/>
          <w:rFonts w:hint="default"/>
          <w:color w:val="auto"/>
          <w:sz w:val="24"/>
          <w:szCs w:val="20"/>
          <w:highlight w:val="none"/>
        </w:rPr>
      </w:pPr>
      <w:r>
        <w:rPr>
          <w:rStyle w:val="19"/>
          <w:rFonts w:hint="default"/>
          <w:color w:val="auto"/>
          <w:sz w:val="24"/>
          <w:szCs w:val="20"/>
          <w:highlight w:val="none"/>
        </w:rPr>
        <w:t>根据</w:t>
      </w:r>
      <w:r>
        <w:rPr>
          <w:rStyle w:val="19"/>
          <w:rFonts w:hint="default"/>
          <w:color w:val="auto"/>
          <w:sz w:val="24"/>
          <w:szCs w:val="20"/>
          <w:highlight w:val="none"/>
          <w:u w:val="single"/>
        </w:rPr>
        <w:tab/>
      </w:r>
      <w:r>
        <w:rPr>
          <w:rStyle w:val="19"/>
          <w:rFonts w:hint="default"/>
          <w:color w:val="auto"/>
          <w:sz w:val="24"/>
          <w:szCs w:val="20"/>
          <w:highlight w:val="none"/>
        </w:rPr>
        <w:t>（承包人名称，以下称“承包人”）与</w:t>
      </w:r>
      <w:r>
        <w:rPr>
          <w:rStyle w:val="19"/>
          <w:rFonts w:hint="default"/>
          <w:color w:val="auto"/>
          <w:sz w:val="24"/>
          <w:szCs w:val="20"/>
          <w:highlight w:val="none"/>
          <w:u w:val="single"/>
        </w:rPr>
        <w:tab/>
      </w:r>
      <w:r>
        <w:rPr>
          <w:rStyle w:val="19"/>
          <w:rFonts w:hint="default"/>
          <w:color w:val="auto"/>
          <w:sz w:val="24"/>
          <w:szCs w:val="20"/>
          <w:highlight w:val="none"/>
        </w:rPr>
        <w:t xml:space="preserve"> （发包人名称，以下简称“发包人”）于</w:t>
      </w:r>
      <w:r>
        <w:rPr>
          <w:rStyle w:val="19"/>
          <w:rFonts w:hint="default"/>
          <w:color w:val="auto"/>
          <w:sz w:val="24"/>
          <w:szCs w:val="20"/>
          <w:highlight w:val="none"/>
          <w:u w:val="single"/>
        </w:rPr>
        <w:tab/>
      </w:r>
      <w:r>
        <w:rPr>
          <w:rStyle w:val="19"/>
          <w:rFonts w:hint="default"/>
          <w:color w:val="auto"/>
          <w:sz w:val="24"/>
          <w:szCs w:val="20"/>
          <w:highlight w:val="none"/>
          <w:u w:val="single"/>
        </w:rPr>
        <w:t xml:space="preserve">  </w:t>
      </w:r>
      <w:r>
        <w:rPr>
          <w:rStyle w:val="19"/>
          <w:rFonts w:hint="default"/>
          <w:color w:val="auto"/>
          <w:sz w:val="24"/>
          <w:szCs w:val="20"/>
          <w:highlight w:val="none"/>
        </w:rPr>
        <w:t>年</w:t>
      </w:r>
      <w:r>
        <w:rPr>
          <w:rStyle w:val="19"/>
          <w:rFonts w:hint="default"/>
          <w:color w:val="auto"/>
          <w:sz w:val="24"/>
          <w:szCs w:val="20"/>
          <w:highlight w:val="none"/>
          <w:u w:val="single"/>
        </w:rPr>
        <w:tab/>
      </w:r>
      <w:r>
        <w:rPr>
          <w:rStyle w:val="19"/>
          <w:rFonts w:hint="default"/>
          <w:color w:val="auto"/>
          <w:sz w:val="24"/>
          <w:szCs w:val="20"/>
          <w:highlight w:val="none"/>
        </w:rPr>
        <w:t>月</w:t>
      </w:r>
      <w:r>
        <w:rPr>
          <w:rStyle w:val="19"/>
          <w:rFonts w:hint="default"/>
          <w:color w:val="auto"/>
          <w:sz w:val="24"/>
          <w:szCs w:val="20"/>
          <w:highlight w:val="none"/>
          <w:u w:val="single"/>
        </w:rPr>
        <w:t xml:space="preserve">     </w:t>
      </w:r>
      <w:r>
        <w:rPr>
          <w:rStyle w:val="19"/>
          <w:rFonts w:hint="default"/>
          <w:color w:val="auto"/>
          <w:sz w:val="24"/>
          <w:szCs w:val="20"/>
          <w:highlight w:val="none"/>
        </w:rPr>
        <w:t xml:space="preserve">日签订的 </w:t>
      </w:r>
      <w:r>
        <w:rPr>
          <w:rStyle w:val="19"/>
          <w:rFonts w:hint="default"/>
          <w:color w:val="auto"/>
          <w:sz w:val="24"/>
          <w:szCs w:val="20"/>
          <w:highlight w:val="none"/>
          <w:u w:val="single"/>
        </w:rPr>
        <w:tab/>
      </w:r>
      <w:r>
        <w:rPr>
          <w:rStyle w:val="19"/>
          <w:rFonts w:hint="default"/>
          <w:color w:val="auto"/>
          <w:sz w:val="24"/>
          <w:szCs w:val="20"/>
          <w:highlight w:val="none"/>
        </w:rPr>
        <w:t>（项目名称）</w:t>
      </w:r>
      <w:r>
        <w:rPr>
          <w:rStyle w:val="19"/>
          <w:rFonts w:hint="default"/>
          <w:color w:val="auto"/>
          <w:sz w:val="24"/>
          <w:szCs w:val="20"/>
          <w:highlight w:val="none"/>
          <w:u w:val="single"/>
          <w:lang w:val="en-US"/>
        </w:rPr>
        <w:t xml:space="preserve">    </w:t>
      </w:r>
      <w:r>
        <w:rPr>
          <w:rStyle w:val="19"/>
          <w:rFonts w:hint="default"/>
          <w:color w:val="auto"/>
          <w:sz w:val="24"/>
          <w:szCs w:val="20"/>
          <w:highlight w:val="none"/>
        </w:rPr>
        <w:t>（标段名称）合同协议书，承包人 按约定的金额向发包人提交一份预付款担保，即有权得到发包人支付相等金额的预付款。 我方愿意就你方提供给承包人的预付款提供担保。</w:t>
      </w:r>
    </w:p>
    <w:p w14:paraId="58319770">
      <w:pPr>
        <w:pStyle w:val="31"/>
        <w:numPr>
          <w:ilvl w:val="0"/>
          <w:numId w:val="46"/>
        </w:numPr>
        <w:tabs>
          <w:tab w:val="left" w:pos="719"/>
          <w:tab w:val="left" w:pos="4879"/>
          <w:tab w:val="left" w:pos="7402"/>
        </w:tabs>
        <w:spacing w:beforeLines="0" w:afterLines="0"/>
        <w:ind w:firstLine="420"/>
        <w:jc w:val="both"/>
        <w:rPr>
          <w:rStyle w:val="19"/>
          <w:rFonts w:hint="default"/>
          <w:color w:val="auto"/>
          <w:sz w:val="24"/>
          <w:szCs w:val="20"/>
          <w:highlight w:val="none"/>
        </w:rPr>
      </w:pPr>
      <w:bookmarkStart w:id="1486" w:name="bookmark1933"/>
      <w:bookmarkEnd w:id="1486"/>
      <w:r>
        <w:rPr>
          <w:rStyle w:val="19"/>
          <w:rFonts w:hint="default"/>
          <w:color w:val="auto"/>
          <w:sz w:val="24"/>
          <w:szCs w:val="20"/>
          <w:highlight w:val="none"/>
        </w:rPr>
        <w:t>担保金额人民币（大写）</w:t>
      </w:r>
      <w:r>
        <w:rPr>
          <w:rStyle w:val="19"/>
          <w:rFonts w:hint="default"/>
          <w:color w:val="auto"/>
          <w:sz w:val="24"/>
          <w:szCs w:val="20"/>
          <w:highlight w:val="none"/>
          <w:u w:val="single"/>
        </w:rPr>
        <w:tab/>
      </w:r>
      <w:r>
        <w:rPr>
          <w:rStyle w:val="19"/>
          <w:rFonts w:hint="default"/>
          <w:color w:val="auto"/>
          <w:sz w:val="24"/>
          <w:szCs w:val="20"/>
          <w:highlight w:val="none"/>
        </w:rPr>
        <w:t>元（¥</w:t>
      </w:r>
      <w:r>
        <w:rPr>
          <w:rStyle w:val="19"/>
          <w:rFonts w:hint="default"/>
          <w:color w:val="auto"/>
          <w:sz w:val="24"/>
          <w:szCs w:val="20"/>
          <w:highlight w:val="none"/>
          <w:u w:val="single"/>
        </w:rPr>
        <w:tab/>
      </w:r>
      <w:r>
        <w:rPr>
          <w:rStyle w:val="19"/>
          <w:rFonts w:hint="eastAsia" w:ascii="Times New Roman" w:hAnsi="Times New Roman" w:eastAsia="Times New Roman" w:cs="Times New Roman"/>
          <w:color w:val="auto"/>
          <w:sz w:val="24"/>
          <w:szCs w:val="24"/>
          <w:highlight w:val="none"/>
          <w:lang w:val="en-US" w:bidi="en-US"/>
        </w:rPr>
        <w:t>）</w:t>
      </w:r>
      <w:r>
        <w:rPr>
          <w:rStyle w:val="19"/>
          <w:rFonts w:hint="eastAsia" w:ascii="Times New Roman" w:hAnsi="Times New Roman" w:eastAsia="Times New Roman" w:cs="Times New Roman"/>
          <w:color w:val="auto"/>
          <w:sz w:val="24"/>
          <w:szCs w:val="24"/>
          <w:highlight w:val="none"/>
          <w:vertAlign w:val="subscript"/>
          <w:lang w:val="en-US" w:bidi="en-US"/>
        </w:rPr>
        <w:t>o</w:t>
      </w:r>
    </w:p>
    <w:p w14:paraId="2E55CF8B">
      <w:pPr>
        <w:pStyle w:val="31"/>
        <w:numPr>
          <w:ilvl w:val="0"/>
          <w:numId w:val="46"/>
        </w:numPr>
        <w:tabs>
          <w:tab w:val="left" w:pos="726"/>
        </w:tabs>
        <w:spacing w:beforeLines="0" w:afterLines="0"/>
        <w:ind w:firstLine="420"/>
        <w:jc w:val="both"/>
        <w:rPr>
          <w:rStyle w:val="19"/>
          <w:rFonts w:hint="default"/>
          <w:color w:val="auto"/>
          <w:sz w:val="24"/>
          <w:szCs w:val="20"/>
          <w:highlight w:val="none"/>
        </w:rPr>
      </w:pPr>
      <w:bookmarkStart w:id="1487" w:name="bookmark1934"/>
      <w:bookmarkEnd w:id="1487"/>
      <w:r>
        <w:rPr>
          <w:rStyle w:val="19"/>
          <w:rFonts w:hint="default"/>
          <w:color w:val="auto"/>
          <w:sz w:val="24"/>
          <w:szCs w:val="20"/>
          <w:highlight w:val="none"/>
        </w:rPr>
        <w:t>担保有效期自预付款支付给承包人起生效，至发包人签发的进度付款证书说明已完全扣清止。</w:t>
      </w:r>
    </w:p>
    <w:p w14:paraId="28B390F7">
      <w:pPr>
        <w:pStyle w:val="31"/>
        <w:numPr>
          <w:ilvl w:val="0"/>
          <w:numId w:val="46"/>
        </w:numPr>
        <w:tabs>
          <w:tab w:val="left" w:pos="731"/>
        </w:tabs>
        <w:spacing w:beforeLines="0" w:afterLines="0"/>
        <w:ind w:firstLine="420"/>
        <w:jc w:val="both"/>
        <w:rPr>
          <w:rStyle w:val="19"/>
          <w:rFonts w:hint="default"/>
          <w:color w:val="auto"/>
          <w:sz w:val="24"/>
          <w:szCs w:val="20"/>
          <w:highlight w:val="none"/>
        </w:rPr>
      </w:pPr>
      <w:bookmarkStart w:id="1488" w:name="bookmark1935"/>
      <w:bookmarkEnd w:id="1488"/>
      <w:r>
        <w:rPr>
          <w:rStyle w:val="19"/>
          <w:rFonts w:hint="default"/>
          <w:color w:val="auto"/>
          <w:sz w:val="24"/>
          <w:szCs w:val="20"/>
          <w:highlight w:val="none"/>
        </w:rPr>
        <w:t>在本担保有效期内，因承包人违反合同约定的义务而要求收回预付款时，我方在收到你方的书面通知后，无条件地在</w:t>
      </w:r>
      <w:r>
        <w:rPr>
          <w:rStyle w:val="19"/>
          <w:rFonts w:hint="eastAsia" w:ascii="Times New Roman" w:hAnsi="Times New Roman" w:eastAsia="Times New Roman" w:cs="Times New Roman"/>
          <w:color w:val="auto"/>
          <w:sz w:val="24"/>
          <w:szCs w:val="24"/>
          <w:highlight w:val="none"/>
        </w:rPr>
        <w:t>7</w:t>
      </w:r>
      <w:r>
        <w:rPr>
          <w:rStyle w:val="19"/>
          <w:rFonts w:hint="default"/>
          <w:color w:val="auto"/>
          <w:sz w:val="24"/>
          <w:szCs w:val="20"/>
          <w:highlight w:val="none"/>
        </w:rPr>
        <w:t>天内予以支付。但本担保的担保金额，在任何时候不应超过预付款金额减去发包人按合同约定在向承包人签发的进度付款证书中已扣回的金额。</w:t>
      </w:r>
      <w:bookmarkStart w:id="1489" w:name="bookmark1936"/>
      <w:bookmarkEnd w:id="1489"/>
    </w:p>
    <w:p w14:paraId="5E04A269">
      <w:pPr>
        <w:pStyle w:val="31"/>
        <w:numPr>
          <w:ilvl w:val="0"/>
          <w:numId w:val="46"/>
        </w:numPr>
        <w:tabs>
          <w:tab w:val="left" w:pos="731"/>
        </w:tabs>
        <w:spacing w:beforeLines="0" w:afterLines="0"/>
        <w:ind w:firstLine="420"/>
        <w:jc w:val="both"/>
        <w:rPr>
          <w:rStyle w:val="19"/>
          <w:rFonts w:hint="default"/>
          <w:color w:val="auto"/>
          <w:sz w:val="24"/>
          <w:szCs w:val="20"/>
          <w:highlight w:val="none"/>
        </w:rPr>
      </w:pPr>
      <w:r>
        <w:rPr>
          <w:rStyle w:val="19"/>
          <w:rFonts w:hint="default"/>
          <w:color w:val="auto"/>
          <w:sz w:val="24"/>
          <w:szCs w:val="20"/>
          <w:highlight w:val="none"/>
        </w:rPr>
        <w:t>发包人和承包人按《通用合同条款》第</w:t>
      </w:r>
      <w:r>
        <w:rPr>
          <w:rStyle w:val="19"/>
          <w:rFonts w:hint="eastAsia" w:ascii="Times New Roman" w:hAnsi="Times New Roman" w:eastAsia="Times New Roman" w:cs="Times New Roman"/>
          <w:color w:val="auto"/>
          <w:sz w:val="24"/>
          <w:szCs w:val="24"/>
          <w:highlight w:val="none"/>
        </w:rPr>
        <w:t>15</w:t>
      </w:r>
      <w:r>
        <w:rPr>
          <w:rStyle w:val="19"/>
          <w:rFonts w:hint="default"/>
          <w:color w:val="auto"/>
          <w:sz w:val="24"/>
          <w:szCs w:val="20"/>
          <w:highlight w:val="none"/>
        </w:rPr>
        <w:t>条变更合同时，我方承担本担保规定的义务不变。</w:t>
      </w:r>
    </w:p>
    <w:p w14:paraId="1BC806A5">
      <w:pPr>
        <w:pStyle w:val="28"/>
        <w:spacing w:beforeLines="0" w:afterLines="0" w:line="360" w:lineRule="auto"/>
        <w:jc w:val="right"/>
        <w:rPr>
          <w:rStyle w:val="19"/>
          <w:rFonts w:hint="default"/>
          <w:color w:val="auto"/>
          <w:sz w:val="24"/>
          <w:szCs w:val="24"/>
          <w:highlight w:val="none"/>
          <w:lang w:eastAsia="zh-CN"/>
        </w:rPr>
      </w:pPr>
      <w:r>
        <w:rPr>
          <w:rStyle w:val="19"/>
          <w:rFonts w:hint="default" w:ascii="宋体" w:eastAsia="宋体"/>
          <w:color w:val="auto"/>
          <w:sz w:val="24"/>
          <w:szCs w:val="24"/>
          <w:highlight w:val="none"/>
          <w:lang w:eastAsia="zh-CN"/>
        </w:rPr>
        <w:t>担  保 人：</w:t>
      </w:r>
      <w:r>
        <w:rPr>
          <w:rStyle w:val="19"/>
          <w:rFonts w:hint="default" w:ascii="宋体" w:eastAsia="宋体"/>
          <w:color w:val="auto"/>
          <w:sz w:val="24"/>
          <w:szCs w:val="24"/>
          <w:highlight w:val="none"/>
          <w:u w:val="single"/>
          <w:lang w:eastAsia="zh-CN"/>
        </w:rPr>
        <w:t xml:space="preserve">                                              </w:t>
      </w:r>
      <w:r>
        <w:rPr>
          <w:rStyle w:val="19"/>
          <w:rFonts w:hint="default" w:ascii="宋体" w:eastAsia="宋体"/>
          <w:color w:val="auto"/>
          <w:sz w:val="24"/>
          <w:szCs w:val="24"/>
          <w:highlight w:val="none"/>
          <w:lang w:eastAsia="zh-CN"/>
        </w:rPr>
        <w:t>（盖单位公章）</w:t>
      </w:r>
      <w:r>
        <w:rPr>
          <w:rStyle w:val="19"/>
          <w:rFonts w:hint="default"/>
          <w:color w:val="auto"/>
          <w:sz w:val="24"/>
          <w:szCs w:val="24"/>
          <w:highlight w:val="none"/>
          <w:lang w:eastAsia="zh-CN"/>
        </w:rPr>
        <w:t xml:space="preserve"> </w:t>
      </w:r>
    </w:p>
    <w:p w14:paraId="146D1A22">
      <w:pPr>
        <w:pStyle w:val="28"/>
        <w:spacing w:beforeLines="0" w:afterLines="0" w:line="360" w:lineRule="auto"/>
        <w:jc w:val="right"/>
        <w:rPr>
          <w:rStyle w:val="19"/>
          <w:rFonts w:hint="default"/>
          <w:color w:val="auto"/>
          <w:sz w:val="24"/>
          <w:szCs w:val="24"/>
          <w:highlight w:val="none"/>
          <w:lang w:eastAsia="zh-CN"/>
        </w:rPr>
      </w:pPr>
      <w:r>
        <w:rPr>
          <w:rStyle w:val="19"/>
          <w:rFonts w:hint="default" w:ascii="宋体" w:eastAsia="宋体"/>
          <w:color w:val="auto"/>
          <w:sz w:val="24"/>
          <w:szCs w:val="24"/>
          <w:highlight w:val="none"/>
          <w:lang w:eastAsia="zh-CN"/>
        </w:rPr>
        <w:t xml:space="preserve">           定代表人(或委托代理人)：</w:t>
      </w:r>
      <w:r>
        <w:rPr>
          <w:rStyle w:val="19"/>
          <w:rFonts w:hint="default" w:ascii="宋体" w:eastAsia="宋体"/>
          <w:color w:val="auto"/>
          <w:sz w:val="24"/>
          <w:szCs w:val="24"/>
          <w:highlight w:val="none"/>
          <w:u w:val="single"/>
          <w:lang w:eastAsia="zh-CN"/>
        </w:rPr>
        <w:t xml:space="preserve">                              </w:t>
      </w:r>
      <w:r>
        <w:rPr>
          <w:rStyle w:val="19"/>
          <w:rFonts w:hint="default" w:ascii="宋体" w:eastAsia="宋体"/>
          <w:color w:val="auto"/>
          <w:sz w:val="24"/>
          <w:szCs w:val="24"/>
          <w:highlight w:val="none"/>
          <w:lang w:eastAsia="zh-CN"/>
        </w:rPr>
        <w:t>（签字）</w:t>
      </w:r>
    </w:p>
    <w:p w14:paraId="28912FCD">
      <w:pPr>
        <w:pStyle w:val="28"/>
        <w:spacing w:beforeLines="0" w:afterLines="0" w:line="360" w:lineRule="auto"/>
        <w:jc w:val="right"/>
        <w:rPr>
          <w:rStyle w:val="19"/>
          <w:rFonts w:hint="default"/>
          <w:color w:val="auto"/>
          <w:sz w:val="24"/>
          <w:szCs w:val="24"/>
          <w:highlight w:val="none"/>
          <w:lang w:eastAsia="zh-CN"/>
        </w:rPr>
      </w:pPr>
      <w:r>
        <w:rPr>
          <w:rStyle w:val="19"/>
          <w:rFonts w:hint="default" w:ascii="宋体" w:eastAsia="宋体"/>
          <w:color w:val="auto"/>
          <w:sz w:val="24"/>
          <w:szCs w:val="24"/>
          <w:highlight w:val="none"/>
          <w:lang w:eastAsia="zh-CN"/>
        </w:rPr>
        <w:t>地       址：</w:t>
      </w:r>
      <w:r>
        <w:rPr>
          <w:rStyle w:val="19"/>
          <w:rFonts w:hint="default" w:ascii="宋体" w:eastAsia="宋体"/>
          <w:color w:val="auto"/>
          <w:sz w:val="24"/>
          <w:szCs w:val="24"/>
          <w:highlight w:val="none"/>
          <w:u w:val="single"/>
          <w:lang w:eastAsia="zh-CN"/>
        </w:rPr>
        <w:t xml:space="preserve">                </w:t>
      </w:r>
      <w:r>
        <w:rPr>
          <w:rStyle w:val="19"/>
          <w:rFonts w:hint="default"/>
          <w:color w:val="auto"/>
          <w:sz w:val="24"/>
          <w:szCs w:val="24"/>
          <w:highlight w:val="none"/>
          <w:u w:val="single"/>
          <w:lang w:eastAsia="zh-CN"/>
        </w:rPr>
        <w:tab/>
      </w:r>
      <w:r>
        <w:rPr>
          <w:rStyle w:val="19"/>
          <w:rFonts w:hint="default"/>
          <w:color w:val="auto"/>
          <w:sz w:val="24"/>
          <w:szCs w:val="24"/>
          <w:highlight w:val="none"/>
          <w:u w:val="single"/>
          <w:lang w:eastAsia="zh-CN"/>
        </w:rPr>
        <w:tab/>
      </w:r>
      <w:r>
        <w:rPr>
          <w:rStyle w:val="19"/>
          <w:rFonts w:hint="default"/>
          <w:color w:val="auto"/>
          <w:sz w:val="24"/>
          <w:szCs w:val="24"/>
          <w:highlight w:val="none"/>
          <w:u w:val="single"/>
          <w:lang w:eastAsia="zh-CN"/>
        </w:rPr>
        <w:tab/>
      </w:r>
      <w:r>
        <w:rPr>
          <w:rStyle w:val="19"/>
          <w:rFonts w:hint="default"/>
          <w:color w:val="auto"/>
          <w:sz w:val="24"/>
          <w:szCs w:val="24"/>
          <w:highlight w:val="none"/>
          <w:u w:val="single"/>
          <w:lang w:eastAsia="zh-CN"/>
        </w:rPr>
        <w:tab/>
      </w:r>
      <w:r>
        <w:rPr>
          <w:rStyle w:val="19"/>
          <w:rFonts w:hint="default"/>
          <w:color w:val="auto"/>
          <w:sz w:val="24"/>
          <w:szCs w:val="24"/>
          <w:highlight w:val="none"/>
          <w:u w:val="single"/>
          <w:lang w:eastAsia="zh-CN"/>
        </w:rPr>
        <w:tab/>
      </w:r>
      <w:r>
        <w:rPr>
          <w:rStyle w:val="19"/>
          <w:rFonts w:hint="default"/>
          <w:color w:val="auto"/>
          <w:sz w:val="24"/>
          <w:szCs w:val="24"/>
          <w:highlight w:val="none"/>
          <w:u w:val="single"/>
          <w:lang w:eastAsia="zh-CN"/>
        </w:rPr>
        <w:tab/>
      </w:r>
      <w:r>
        <w:rPr>
          <w:rStyle w:val="19"/>
          <w:rFonts w:hint="default"/>
          <w:color w:val="auto"/>
          <w:sz w:val="24"/>
          <w:szCs w:val="24"/>
          <w:highlight w:val="none"/>
          <w:u w:val="single"/>
          <w:lang w:eastAsia="zh-CN"/>
        </w:rPr>
        <w:tab/>
      </w:r>
      <w:r>
        <w:rPr>
          <w:rStyle w:val="19"/>
          <w:rFonts w:hint="default" w:ascii="宋体" w:eastAsia="宋体"/>
          <w:color w:val="auto"/>
          <w:sz w:val="24"/>
          <w:szCs w:val="24"/>
          <w:highlight w:val="none"/>
          <w:u w:val="single"/>
          <w:lang w:eastAsia="zh-CN"/>
        </w:rPr>
        <w:t xml:space="preserve">   </w:t>
      </w:r>
      <w:r>
        <w:rPr>
          <w:rStyle w:val="19"/>
          <w:rFonts w:hint="default" w:ascii="宋体" w:eastAsia="宋体"/>
          <w:color w:val="auto"/>
          <w:sz w:val="24"/>
          <w:szCs w:val="24"/>
          <w:highlight w:val="none"/>
          <w:lang w:eastAsia="zh-CN"/>
        </w:rPr>
        <w:t xml:space="preserve"> </w:t>
      </w:r>
    </w:p>
    <w:p w14:paraId="02700CBC">
      <w:pPr>
        <w:pStyle w:val="28"/>
        <w:spacing w:beforeLines="0" w:afterLines="0" w:line="360" w:lineRule="auto"/>
        <w:jc w:val="right"/>
        <w:rPr>
          <w:rStyle w:val="19"/>
          <w:rFonts w:hint="default"/>
          <w:color w:val="auto"/>
          <w:sz w:val="24"/>
          <w:szCs w:val="24"/>
          <w:highlight w:val="none"/>
          <w:lang w:eastAsia="zh-CN"/>
        </w:rPr>
      </w:pPr>
      <w:r>
        <w:rPr>
          <w:rStyle w:val="19"/>
          <w:rFonts w:hint="default" w:ascii="宋体" w:eastAsia="宋体"/>
          <w:color w:val="auto"/>
          <w:sz w:val="24"/>
          <w:szCs w:val="24"/>
          <w:highlight w:val="none"/>
          <w:lang w:eastAsia="zh-CN"/>
        </w:rPr>
        <w:t xml:space="preserve">        邮政编码：</w:t>
      </w:r>
      <w:r>
        <w:rPr>
          <w:rStyle w:val="19"/>
          <w:rFonts w:hint="default"/>
          <w:color w:val="auto"/>
          <w:sz w:val="24"/>
          <w:szCs w:val="24"/>
          <w:highlight w:val="none"/>
          <w:u w:val="single"/>
          <w:lang w:eastAsia="zh-CN"/>
        </w:rPr>
        <w:tab/>
      </w:r>
      <w:r>
        <w:rPr>
          <w:rStyle w:val="19"/>
          <w:rFonts w:hint="default"/>
          <w:color w:val="auto"/>
          <w:sz w:val="24"/>
          <w:szCs w:val="24"/>
          <w:highlight w:val="none"/>
          <w:u w:val="single"/>
          <w:lang w:eastAsia="zh-CN"/>
        </w:rPr>
        <w:tab/>
      </w:r>
      <w:r>
        <w:rPr>
          <w:rStyle w:val="19"/>
          <w:rFonts w:hint="default"/>
          <w:color w:val="auto"/>
          <w:sz w:val="24"/>
          <w:szCs w:val="24"/>
          <w:highlight w:val="none"/>
          <w:u w:val="single"/>
          <w:lang w:eastAsia="zh-CN"/>
        </w:rPr>
        <w:tab/>
      </w:r>
      <w:r>
        <w:rPr>
          <w:rStyle w:val="19"/>
          <w:rFonts w:hint="default"/>
          <w:color w:val="auto"/>
          <w:sz w:val="24"/>
          <w:szCs w:val="24"/>
          <w:highlight w:val="none"/>
          <w:u w:val="single"/>
          <w:lang w:eastAsia="zh-CN"/>
        </w:rPr>
        <w:tab/>
      </w:r>
      <w:r>
        <w:rPr>
          <w:rStyle w:val="19"/>
          <w:rFonts w:hint="default"/>
          <w:color w:val="auto"/>
          <w:sz w:val="24"/>
          <w:szCs w:val="24"/>
          <w:highlight w:val="none"/>
          <w:u w:val="single"/>
          <w:lang w:eastAsia="zh-CN"/>
        </w:rPr>
        <w:tab/>
      </w:r>
      <w:r>
        <w:rPr>
          <w:rStyle w:val="19"/>
          <w:rFonts w:hint="default"/>
          <w:color w:val="auto"/>
          <w:sz w:val="24"/>
          <w:szCs w:val="24"/>
          <w:highlight w:val="none"/>
          <w:u w:val="single"/>
          <w:lang w:eastAsia="zh-CN"/>
        </w:rPr>
        <w:tab/>
      </w:r>
      <w:r>
        <w:rPr>
          <w:rStyle w:val="19"/>
          <w:rFonts w:hint="default"/>
          <w:color w:val="auto"/>
          <w:sz w:val="24"/>
          <w:szCs w:val="24"/>
          <w:highlight w:val="none"/>
          <w:u w:val="single"/>
          <w:lang w:eastAsia="zh-CN"/>
        </w:rPr>
        <w:tab/>
      </w:r>
      <w:r>
        <w:rPr>
          <w:rStyle w:val="19"/>
          <w:rFonts w:hint="default"/>
          <w:color w:val="auto"/>
          <w:sz w:val="24"/>
          <w:szCs w:val="24"/>
          <w:highlight w:val="none"/>
          <w:u w:val="single"/>
          <w:lang w:eastAsia="zh-CN"/>
        </w:rPr>
        <w:tab/>
      </w:r>
      <w:r>
        <w:rPr>
          <w:rStyle w:val="19"/>
          <w:rFonts w:hint="default"/>
          <w:color w:val="auto"/>
          <w:sz w:val="24"/>
          <w:szCs w:val="24"/>
          <w:highlight w:val="none"/>
          <w:u w:val="single"/>
          <w:lang w:eastAsia="zh-CN"/>
        </w:rPr>
        <w:tab/>
      </w:r>
      <w:r>
        <w:rPr>
          <w:rStyle w:val="19"/>
          <w:rFonts w:hint="default" w:ascii="宋体" w:eastAsia="宋体"/>
          <w:color w:val="auto"/>
          <w:sz w:val="24"/>
          <w:szCs w:val="24"/>
          <w:highlight w:val="none"/>
          <w:u w:val="single"/>
          <w:lang w:eastAsia="zh-CN"/>
        </w:rPr>
        <w:t xml:space="preserve"> </w:t>
      </w:r>
      <w:r>
        <w:rPr>
          <w:rStyle w:val="19"/>
          <w:rFonts w:hint="default" w:ascii="宋体" w:eastAsia="宋体"/>
          <w:color w:val="auto"/>
          <w:sz w:val="24"/>
          <w:szCs w:val="24"/>
          <w:highlight w:val="none"/>
          <w:lang w:eastAsia="zh-CN"/>
        </w:rPr>
        <w:t xml:space="preserve"> </w:t>
      </w:r>
    </w:p>
    <w:p w14:paraId="1AD90DE2">
      <w:pPr>
        <w:pStyle w:val="28"/>
        <w:spacing w:beforeLines="0" w:afterLines="0" w:line="360" w:lineRule="auto"/>
        <w:jc w:val="right"/>
        <w:rPr>
          <w:rStyle w:val="19"/>
          <w:rFonts w:hint="default"/>
          <w:color w:val="auto"/>
          <w:sz w:val="24"/>
          <w:szCs w:val="24"/>
          <w:highlight w:val="none"/>
          <w:u w:val="single"/>
          <w:lang w:eastAsia="zh-CN"/>
        </w:rPr>
      </w:pPr>
      <w:r>
        <w:rPr>
          <w:rStyle w:val="19"/>
          <w:rFonts w:hint="default" w:ascii="宋体" w:eastAsia="宋体"/>
          <w:color w:val="auto"/>
          <w:sz w:val="24"/>
          <w:szCs w:val="24"/>
          <w:highlight w:val="none"/>
          <w:lang w:eastAsia="zh-CN"/>
        </w:rPr>
        <w:t xml:space="preserve">        电        话：</w:t>
      </w:r>
      <w:r>
        <w:rPr>
          <w:rStyle w:val="19"/>
          <w:rFonts w:hint="default"/>
          <w:color w:val="auto"/>
          <w:sz w:val="24"/>
          <w:szCs w:val="24"/>
          <w:highlight w:val="none"/>
          <w:u w:val="single"/>
          <w:lang w:eastAsia="zh-CN"/>
        </w:rPr>
        <w:tab/>
      </w:r>
      <w:r>
        <w:rPr>
          <w:rStyle w:val="19"/>
          <w:rFonts w:hint="default"/>
          <w:color w:val="auto"/>
          <w:sz w:val="24"/>
          <w:szCs w:val="24"/>
          <w:highlight w:val="none"/>
          <w:u w:val="single"/>
          <w:lang w:eastAsia="zh-CN"/>
        </w:rPr>
        <w:tab/>
      </w:r>
      <w:r>
        <w:rPr>
          <w:rStyle w:val="19"/>
          <w:rFonts w:hint="default"/>
          <w:color w:val="auto"/>
          <w:sz w:val="24"/>
          <w:szCs w:val="24"/>
          <w:highlight w:val="none"/>
          <w:u w:val="single"/>
          <w:lang w:eastAsia="zh-CN"/>
        </w:rPr>
        <w:tab/>
      </w:r>
      <w:r>
        <w:rPr>
          <w:rStyle w:val="19"/>
          <w:rFonts w:hint="default"/>
          <w:color w:val="auto"/>
          <w:sz w:val="24"/>
          <w:szCs w:val="24"/>
          <w:highlight w:val="none"/>
          <w:u w:val="single"/>
          <w:lang w:eastAsia="zh-CN"/>
        </w:rPr>
        <w:tab/>
      </w:r>
      <w:r>
        <w:rPr>
          <w:rStyle w:val="19"/>
          <w:rFonts w:hint="default"/>
          <w:color w:val="auto"/>
          <w:sz w:val="24"/>
          <w:szCs w:val="24"/>
          <w:highlight w:val="none"/>
          <w:u w:val="single"/>
          <w:lang w:eastAsia="zh-CN"/>
        </w:rPr>
        <w:tab/>
      </w:r>
      <w:r>
        <w:rPr>
          <w:rStyle w:val="19"/>
          <w:rFonts w:hint="default"/>
          <w:color w:val="auto"/>
          <w:sz w:val="24"/>
          <w:szCs w:val="24"/>
          <w:highlight w:val="none"/>
          <w:u w:val="single"/>
          <w:lang w:eastAsia="zh-CN"/>
        </w:rPr>
        <w:tab/>
      </w:r>
      <w:r>
        <w:rPr>
          <w:rStyle w:val="19"/>
          <w:rFonts w:hint="default"/>
          <w:color w:val="auto"/>
          <w:sz w:val="24"/>
          <w:szCs w:val="24"/>
          <w:highlight w:val="none"/>
          <w:u w:val="single"/>
          <w:lang w:eastAsia="zh-CN"/>
        </w:rPr>
        <w:tab/>
      </w:r>
      <w:r>
        <w:rPr>
          <w:rStyle w:val="19"/>
          <w:rFonts w:hint="default"/>
          <w:color w:val="auto"/>
          <w:sz w:val="24"/>
          <w:szCs w:val="24"/>
          <w:highlight w:val="none"/>
          <w:u w:val="single"/>
          <w:lang w:eastAsia="zh-CN"/>
        </w:rPr>
        <w:tab/>
      </w:r>
      <w:r>
        <w:rPr>
          <w:rStyle w:val="19"/>
          <w:rFonts w:hint="default"/>
          <w:color w:val="auto"/>
          <w:sz w:val="24"/>
          <w:szCs w:val="24"/>
          <w:highlight w:val="none"/>
          <w:u w:val="single"/>
          <w:lang w:eastAsia="zh-CN"/>
        </w:rPr>
        <w:tab/>
      </w:r>
    </w:p>
    <w:p w14:paraId="2FDE7248">
      <w:pPr>
        <w:pStyle w:val="28"/>
        <w:spacing w:beforeLines="0" w:afterLines="0" w:line="360" w:lineRule="auto"/>
        <w:jc w:val="right"/>
        <w:rPr>
          <w:rStyle w:val="19"/>
          <w:rFonts w:hint="default"/>
          <w:color w:val="auto"/>
          <w:sz w:val="24"/>
          <w:szCs w:val="24"/>
          <w:highlight w:val="none"/>
          <w:lang w:eastAsia="zh-CN"/>
        </w:rPr>
      </w:pPr>
      <w:r>
        <w:rPr>
          <w:rStyle w:val="19"/>
          <w:rFonts w:hint="default" w:ascii="宋体" w:eastAsia="宋体"/>
          <w:color w:val="auto"/>
          <w:sz w:val="24"/>
          <w:szCs w:val="24"/>
          <w:highlight w:val="none"/>
          <w:lang w:eastAsia="zh-CN"/>
        </w:rPr>
        <w:t xml:space="preserve">        传        真：</w:t>
      </w:r>
      <w:r>
        <w:rPr>
          <w:rStyle w:val="19"/>
          <w:rFonts w:hint="default"/>
          <w:color w:val="auto"/>
          <w:sz w:val="24"/>
          <w:szCs w:val="24"/>
          <w:highlight w:val="none"/>
          <w:u w:val="single"/>
          <w:lang w:eastAsia="zh-CN"/>
        </w:rPr>
        <w:tab/>
      </w:r>
      <w:r>
        <w:rPr>
          <w:rStyle w:val="19"/>
          <w:rFonts w:hint="default"/>
          <w:color w:val="auto"/>
          <w:sz w:val="24"/>
          <w:szCs w:val="24"/>
          <w:highlight w:val="none"/>
          <w:u w:val="single"/>
          <w:lang w:eastAsia="zh-CN"/>
        </w:rPr>
        <w:tab/>
      </w:r>
      <w:r>
        <w:rPr>
          <w:rStyle w:val="19"/>
          <w:rFonts w:hint="default"/>
          <w:color w:val="auto"/>
          <w:sz w:val="24"/>
          <w:szCs w:val="24"/>
          <w:highlight w:val="none"/>
          <w:u w:val="single"/>
          <w:lang w:eastAsia="zh-CN"/>
        </w:rPr>
        <w:tab/>
      </w:r>
      <w:r>
        <w:rPr>
          <w:rStyle w:val="19"/>
          <w:rFonts w:hint="default"/>
          <w:color w:val="auto"/>
          <w:sz w:val="24"/>
          <w:szCs w:val="24"/>
          <w:highlight w:val="none"/>
          <w:u w:val="single"/>
          <w:lang w:eastAsia="zh-CN"/>
        </w:rPr>
        <w:tab/>
      </w:r>
      <w:r>
        <w:rPr>
          <w:rStyle w:val="19"/>
          <w:rFonts w:hint="default"/>
          <w:color w:val="auto"/>
          <w:sz w:val="24"/>
          <w:szCs w:val="24"/>
          <w:highlight w:val="none"/>
          <w:u w:val="single"/>
          <w:lang w:eastAsia="zh-CN"/>
        </w:rPr>
        <w:tab/>
      </w:r>
      <w:r>
        <w:rPr>
          <w:rStyle w:val="19"/>
          <w:rFonts w:hint="default"/>
          <w:color w:val="auto"/>
          <w:sz w:val="24"/>
          <w:szCs w:val="24"/>
          <w:highlight w:val="none"/>
          <w:u w:val="single"/>
          <w:lang w:eastAsia="zh-CN"/>
        </w:rPr>
        <w:tab/>
      </w:r>
      <w:r>
        <w:rPr>
          <w:rStyle w:val="19"/>
          <w:rFonts w:hint="default"/>
          <w:color w:val="auto"/>
          <w:sz w:val="24"/>
          <w:szCs w:val="24"/>
          <w:highlight w:val="none"/>
          <w:u w:val="single"/>
          <w:lang w:eastAsia="zh-CN"/>
        </w:rPr>
        <w:tab/>
      </w:r>
      <w:r>
        <w:rPr>
          <w:rStyle w:val="19"/>
          <w:rFonts w:hint="default"/>
          <w:color w:val="auto"/>
          <w:sz w:val="24"/>
          <w:szCs w:val="24"/>
          <w:highlight w:val="none"/>
          <w:u w:val="single"/>
          <w:lang w:eastAsia="zh-CN"/>
        </w:rPr>
        <w:tab/>
      </w:r>
      <w:r>
        <w:rPr>
          <w:rStyle w:val="19"/>
          <w:rFonts w:hint="default"/>
          <w:color w:val="auto"/>
          <w:sz w:val="24"/>
          <w:szCs w:val="24"/>
          <w:highlight w:val="none"/>
          <w:u w:val="single"/>
          <w:lang w:eastAsia="zh-CN"/>
        </w:rPr>
        <w:tab/>
      </w:r>
    </w:p>
    <w:p w14:paraId="2256B1C0">
      <w:pPr>
        <w:pStyle w:val="28"/>
        <w:spacing w:beforeLines="0" w:afterLines="0" w:line="360" w:lineRule="auto"/>
        <w:jc w:val="right"/>
        <w:rPr>
          <w:rStyle w:val="19"/>
          <w:rFonts w:hint="default"/>
          <w:color w:val="auto"/>
          <w:sz w:val="24"/>
          <w:szCs w:val="24"/>
          <w:highlight w:val="none"/>
        </w:rPr>
      </w:pPr>
      <w:r>
        <w:rPr>
          <w:rStyle w:val="19"/>
          <w:rFonts w:hint="default"/>
          <w:color w:val="auto"/>
          <w:sz w:val="24"/>
          <w:szCs w:val="24"/>
          <w:highlight w:val="none"/>
          <w:u w:val="single"/>
          <w:lang w:eastAsia="zh-CN"/>
        </w:rPr>
        <w:tab/>
      </w:r>
      <w:r>
        <w:rPr>
          <w:rStyle w:val="19"/>
          <w:rFonts w:hint="default" w:ascii="宋体" w:eastAsia="宋体"/>
          <w:color w:val="auto"/>
          <w:sz w:val="24"/>
          <w:szCs w:val="24"/>
          <w:highlight w:val="none"/>
          <w:u w:val="single"/>
          <w:lang w:eastAsia="zh-CN"/>
        </w:rPr>
        <w:t xml:space="preserve">       </w:t>
      </w:r>
      <w:r>
        <w:rPr>
          <w:rStyle w:val="19"/>
          <w:rFonts w:hint="default" w:ascii="宋体" w:eastAsia="宋体"/>
          <w:color w:val="auto"/>
          <w:sz w:val="24"/>
          <w:szCs w:val="24"/>
          <w:highlight w:val="none"/>
          <w:lang w:eastAsia="zh-CN"/>
        </w:rPr>
        <w:t>年</w:t>
      </w:r>
      <w:r>
        <w:rPr>
          <w:rStyle w:val="19"/>
          <w:rFonts w:hint="default"/>
          <w:color w:val="auto"/>
          <w:sz w:val="24"/>
          <w:szCs w:val="24"/>
          <w:highlight w:val="none"/>
          <w:u w:val="single"/>
          <w:lang w:eastAsia="zh-CN"/>
        </w:rPr>
        <w:tab/>
      </w:r>
      <w:r>
        <w:rPr>
          <w:rStyle w:val="19"/>
          <w:rFonts w:hint="default" w:ascii="宋体" w:eastAsia="宋体"/>
          <w:color w:val="auto"/>
          <w:sz w:val="24"/>
          <w:szCs w:val="24"/>
          <w:highlight w:val="none"/>
          <w:u w:val="single"/>
          <w:lang w:eastAsia="zh-CN"/>
        </w:rPr>
        <w:t xml:space="preserve">       </w:t>
      </w:r>
      <w:r>
        <w:rPr>
          <w:rStyle w:val="19"/>
          <w:rFonts w:hint="default" w:ascii="宋体" w:eastAsia="宋体"/>
          <w:color w:val="auto"/>
          <w:sz w:val="24"/>
          <w:szCs w:val="24"/>
          <w:highlight w:val="none"/>
          <w:lang w:eastAsia="zh-CN"/>
        </w:rPr>
        <w:t>月</w:t>
      </w:r>
      <w:r>
        <w:rPr>
          <w:rStyle w:val="19"/>
          <w:rFonts w:hint="default" w:ascii="宋体" w:eastAsia="宋体"/>
          <w:color w:val="auto"/>
          <w:sz w:val="24"/>
          <w:szCs w:val="24"/>
          <w:highlight w:val="none"/>
          <w:u w:val="single"/>
          <w:lang w:eastAsia="zh-CN"/>
        </w:rPr>
        <w:t xml:space="preserve">              </w:t>
      </w:r>
      <w:r>
        <w:rPr>
          <w:rStyle w:val="19"/>
          <w:rFonts w:hint="default" w:ascii="宋体" w:eastAsia="宋体"/>
          <w:color w:val="auto"/>
          <w:sz w:val="24"/>
          <w:szCs w:val="24"/>
          <w:highlight w:val="none"/>
          <w:lang w:eastAsia="zh-CN"/>
        </w:rPr>
        <w:t xml:space="preserve">日     </w:t>
      </w:r>
    </w:p>
    <w:p w14:paraId="25C2BC7C">
      <w:pPr>
        <w:pStyle w:val="31"/>
        <w:tabs>
          <w:tab w:val="left" w:pos="726"/>
        </w:tabs>
        <w:spacing w:beforeLines="0" w:after="340" w:afterLines="0" w:line="355" w:lineRule="exact"/>
        <w:ind w:firstLine="0"/>
        <w:jc w:val="both"/>
        <w:rPr>
          <w:rStyle w:val="19"/>
          <w:rFonts w:hint="default"/>
          <w:color w:val="auto"/>
          <w:sz w:val="24"/>
          <w:szCs w:val="20"/>
          <w:highlight w:val="none"/>
        </w:rPr>
      </w:pPr>
      <w:r>
        <w:rPr>
          <w:rStyle w:val="19"/>
          <w:rFonts w:hint="default"/>
          <w:color w:val="auto"/>
          <w:sz w:val="24"/>
          <w:szCs w:val="20"/>
          <w:highlight w:val="none"/>
        </w:rPr>
        <w:t>注：</w:t>
      </w:r>
    </w:p>
    <w:p w14:paraId="268E303E">
      <w:pPr>
        <w:pStyle w:val="31"/>
        <w:numPr>
          <w:ilvl w:val="0"/>
          <w:numId w:val="47"/>
        </w:numPr>
        <w:tabs>
          <w:tab w:val="left" w:pos="699"/>
        </w:tabs>
        <w:spacing w:beforeLines="0" w:afterLines="0" w:line="372" w:lineRule="auto"/>
        <w:ind w:firstLine="400"/>
        <w:jc w:val="both"/>
        <w:rPr>
          <w:rStyle w:val="19"/>
          <w:rFonts w:hint="default"/>
          <w:color w:val="auto"/>
          <w:sz w:val="24"/>
          <w:szCs w:val="20"/>
          <w:highlight w:val="none"/>
        </w:rPr>
      </w:pPr>
      <w:bookmarkStart w:id="1490" w:name="bookmark1937"/>
      <w:bookmarkEnd w:id="1490"/>
      <w:r>
        <w:rPr>
          <w:rStyle w:val="19"/>
          <w:rFonts w:hint="default"/>
          <w:color w:val="auto"/>
          <w:sz w:val="24"/>
          <w:szCs w:val="20"/>
          <w:highlight w:val="none"/>
        </w:rPr>
        <w:t>担保人必须是投标人单位基本账户的开户银行。</w:t>
      </w:r>
    </w:p>
    <w:p w14:paraId="70519C92">
      <w:pPr>
        <w:pStyle w:val="31"/>
        <w:numPr>
          <w:ilvl w:val="0"/>
          <w:numId w:val="47"/>
        </w:numPr>
        <w:tabs>
          <w:tab w:val="left" w:pos="716"/>
        </w:tabs>
        <w:spacing w:beforeLines="0" w:after="340" w:afterLines="0" w:line="372" w:lineRule="auto"/>
        <w:ind w:firstLine="400"/>
        <w:jc w:val="both"/>
        <w:rPr>
          <w:rStyle w:val="19"/>
          <w:rFonts w:hint="default"/>
          <w:color w:val="auto"/>
          <w:sz w:val="24"/>
          <w:szCs w:val="20"/>
          <w:highlight w:val="none"/>
        </w:rPr>
      </w:pPr>
      <w:bookmarkStart w:id="1491" w:name="bookmark1938"/>
      <w:bookmarkEnd w:id="1491"/>
      <w:r>
        <w:rPr>
          <w:rStyle w:val="19"/>
          <w:rFonts w:hint="default"/>
          <w:color w:val="auto"/>
          <w:sz w:val="24"/>
          <w:szCs w:val="20"/>
          <w:highlight w:val="none"/>
        </w:rPr>
        <w:t>委托代理人应附授权委托书</w:t>
      </w:r>
    </w:p>
    <w:p w14:paraId="1BFFF0EB">
      <w:pPr>
        <w:rPr>
          <w:rFonts w:hint="default" w:ascii="宋体" w:hAnsi="宋体" w:eastAsia="宋体" w:cs="宋体"/>
          <w:color w:val="auto"/>
          <w:sz w:val="20"/>
          <w:szCs w:val="20"/>
          <w:highlight w:val="none"/>
        </w:rPr>
      </w:pPr>
    </w:p>
    <w:p w14:paraId="1169B0A2">
      <w:pPr>
        <w:pStyle w:val="23"/>
        <w:spacing w:beforeLines="0" w:afterLines="0" w:line="440" w:lineRule="exact"/>
        <w:rPr>
          <w:rStyle w:val="19"/>
          <w:rFonts w:hint="default" w:ascii="宋体" w:hAnsi="宋体" w:eastAsia="宋体" w:cs="宋体"/>
          <w:b/>
          <w:color w:val="auto"/>
          <w:sz w:val="28"/>
          <w:szCs w:val="28"/>
          <w:highlight w:val="none"/>
          <w:lang w:eastAsia="zh-CN"/>
        </w:rPr>
      </w:pPr>
      <w:r>
        <w:rPr>
          <w:rStyle w:val="19"/>
          <w:rFonts w:hint="default" w:ascii="宋体" w:hAnsi="宋体" w:eastAsia="宋体" w:cs="宋体"/>
          <w:b/>
          <w:color w:val="auto"/>
          <w:sz w:val="28"/>
          <w:szCs w:val="28"/>
          <w:highlight w:val="none"/>
          <w:lang w:eastAsia="zh-CN"/>
        </w:rPr>
        <w:t>附</w:t>
      </w:r>
      <w:bookmarkStart w:id="1492" w:name="_Toc296891054"/>
      <w:bookmarkStart w:id="1493" w:name="_Toc267261693"/>
      <w:bookmarkStart w:id="1494" w:name="_Toc296891266"/>
      <w:bookmarkStart w:id="1495" w:name="_Toc296346727"/>
      <w:bookmarkStart w:id="1496" w:name="_Toc296503226"/>
      <w:bookmarkStart w:id="1497" w:name="_Toc296944565"/>
      <w:bookmarkStart w:id="1498" w:name="_Toc296347225"/>
      <w:r>
        <w:rPr>
          <w:rStyle w:val="19"/>
          <w:rFonts w:hint="default" w:ascii="宋体" w:hAnsi="宋体" w:eastAsia="宋体" w:cs="宋体"/>
          <w:b/>
          <w:color w:val="auto"/>
          <w:sz w:val="28"/>
          <w:szCs w:val="28"/>
          <w:highlight w:val="none"/>
          <w:lang w:eastAsia="zh-CN"/>
        </w:rPr>
        <w:t>件四：</w:t>
      </w:r>
      <w:bookmarkEnd w:id="1492"/>
      <w:bookmarkEnd w:id="1493"/>
      <w:bookmarkEnd w:id="1494"/>
      <w:bookmarkEnd w:id="1495"/>
      <w:bookmarkEnd w:id="1496"/>
      <w:bookmarkEnd w:id="1497"/>
      <w:bookmarkEnd w:id="1498"/>
      <w:r>
        <w:rPr>
          <w:rStyle w:val="19"/>
          <w:rFonts w:hint="default" w:ascii="宋体" w:hAnsi="宋体" w:eastAsia="宋体" w:cs="宋体"/>
          <w:b/>
          <w:color w:val="auto"/>
          <w:sz w:val="28"/>
          <w:szCs w:val="28"/>
          <w:highlight w:val="none"/>
          <w:lang w:eastAsia="zh-CN"/>
        </w:rPr>
        <w:t xml:space="preserve">    </w:t>
      </w:r>
    </w:p>
    <w:p w14:paraId="3FD8DC2A">
      <w:pPr>
        <w:pStyle w:val="23"/>
        <w:spacing w:before="120" w:beforeLines="50" w:after="120" w:afterLines="50" w:line="440" w:lineRule="exact"/>
        <w:jc w:val="center"/>
        <w:rPr>
          <w:rFonts w:hint="default" w:ascii="宋体" w:hAnsi="宋体" w:eastAsia="宋体" w:cs="宋体"/>
          <w:b/>
          <w:color w:val="auto"/>
          <w:sz w:val="28"/>
          <w:szCs w:val="28"/>
          <w:highlight w:val="none"/>
        </w:rPr>
      </w:pPr>
      <w:r>
        <w:rPr>
          <w:rFonts w:hint="default" w:ascii="宋体" w:hAnsi="宋体" w:eastAsia="宋体" w:cs="宋体"/>
          <w:b/>
          <w:color w:val="auto"/>
          <w:sz w:val="28"/>
          <w:szCs w:val="28"/>
          <w:highlight w:val="none"/>
        </w:rPr>
        <w:t>工程质量保修书</w:t>
      </w:r>
    </w:p>
    <w:p w14:paraId="11BF4ECC">
      <w:pPr>
        <w:pStyle w:val="23"/>
        <w:spacing w:beforeLines="0" w:afterLines="0" w:line="360" w:lineRule="auto"/>
        <w:rPr>
          <w:rFonts w:hint="default" w:ascii="宋体" w:hAnsi="宋体" w:eastAsia="宋体" w:cs="宋体"/>
          <w:color w:val="auto"/>
          <w:sz w:val="24"/>
          <w:szCs w:val="24"/>
          <w:highlight w:val="none"/>
        </w:rPr>
      </w:pPr>
    </w:p>
    <w:p w14:paraId="127DEB3A">
      <w:pPr>
        <w:pStyle w:val="23"/>
        <w:spacing w:beforeLines="0" w:afterLines="0" w:line="360" w:lineRule="auto"/>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发包人（全称）：</w:t>
      </w:r>
      <w:r>
        <w:rPr>
          <w:rFonts w:hint="default"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default" w:ascii="宋体" w:hAnsi="宋体" w:eastAsia="宋体" w:cs="宋体"/>
          <w:color w:val="auto"/>
          <w:sz w:val="24"/>
          <w:szCs w:val="24"/>
          <w:highlight w:val="none"/>
        </w:rPr>
        <w:t xml:space="preserve">                                        </w:t>
      </w:r>
    </w:p>
    <w:p w14:paraId="4DDE1BA6">
      <w:pPr>
        <w:pStyle w:val="23"/>
        <w:spacing w:beforeLines="0" w:afterLines="0" w:line="360" w:lineRule="auto"/>
        <w:rPr>
          <w:rFonts w:hint="default" w:ascii="宋体" w:hAnsi="宋体" w:eastAsia="宋体" w:cs="宋体"/>
          <w:color w:val="auto"/>
          <w:sz w:val="24"/>
          <w:szCs w:val="24"/>
          <w:highlight w:val="none"/>
          <w:lang w:eastAsia="zh-CN"/>
        </w:rPr>
      </w:pPr>
      <w:r>
        <w:rPr>
          <w:rFonts w:hint="default" w:ascii="宋体" w:hAnsi="宋体" w:eastAsia="宋体" w:cs="宋体"/>
          <w:color w:val="auto"/>
          <w:sz w:val="24"/>
          <w:szCs w:val="24"/>
          <w:highlight w:val="none"/>
        </w:rPr>
        <w:t>承包人（全称）：</w:t>
      </w:r>
      <w:r>
        <w:rPr>
          <w:rFonts w:hint="default" w:ascii="宋体" w:hAnsi="宋体" w:eastAsia="宋体" w:cs="宋体"/>
          <w:color w:val="auto"/>
          <w:sz w:val="24"/>
          <w:szCs w:val="24"/>
          <w:highlight w:val="none"/>
          <w:u w:val="single"/>
          <w:lang w:eastAsia="zh-CN"/>
        </w:rPr>
        <w:t xml:space="preserve">                                     </w:t>
      </w:r>
    </w:p>
    <w:p w14:paraId="0EDFEF14">
      <w:pPr>
        <w:pStyle w:val="23"/>
        <w:spacing w:beforeLines="0" w:afterLines="0" w:line="360" w:lineRule="auto"/>
        <w:ind w:left="210" w:hanging="240" w:hangingChars="1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　　发包人和承包人根据《中华人民共和国建筑法》和《建设工程质量管理条例》，经协商一致就</w:t>
      </w:r>
      <w:r>
        <w:rPr>
          <w:rFonts w:hint="default" w:ascii="宋体" w:hAnsi="宋体" w:eastAsia="宋体" w:cs="宋体"/>
          <w:color w:val="auto"/>
          <w:sz w:val="24"/>
          <w:szCs w:val="24"/>
          <w:highlight w:val="none"/>
          <w:u w:val="single"/>
        </w:rPr>
        <w:t xml:space="preserve">                   </w:t>
      </w:r>
      <w:r>
        <w:rPr>
          <w:rFonts w:hint="default" w:ascii="宋体" w:hAnsi="宋体" w:eastAsia="宋体" w:cs="宋体"/>
          <w:color w:val="auto"/>
          <w:sz w:val="24"/>
          <w:szCs w:val="24"/>
          <w:highlight w:val="none"/>
          <w:u w:val="single"/>
          <w:lang w:eastAsia="zh-CN"/>
        </w:rPr>
        <w:t xml:space="preserve"> （工程名称）                              </w:t>
      </w:r>
      <w:r>
        <w:rPr>
          <w:rFonts w:hint="default" w:ascii="宋体" w:hAnsi="宋体" w:eastAsia="宋体" w:cs="宋体"/>
          <w:color w:val="auto"/>
          <w:sz w:val="24"/>
          <w:szCs w:val="24"/>
          <w:highlight w:val="none"/>
        </w:rPr>
        <w:t>签订工程质量保修书。</w:t>
      </w:r>
    </w:p>
    <w:p w14:paraId="11B9494A">
      <w:pPr>
        <w:pStyle w:val="23"/>
        <w:spacing w:beforeLines="0" w:afterLines="0" w:line="360" w:lineRule="auto"/>
        <w:outlineLvl w:val="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　　</w:t>
      </w:r>
      <w:bookmarkStart w:id="1499" w:name="_Toc60"/>
      <w:r>
        <w:rPr>
          <w:rFonts w:hint="default" w:ascii="宋体" w:hAnsi="宋体" w:eastAsia="宋体" w:cs="宋体"/>
          <w:color w:val="auto"/>
          <w:sz w:val="24"/>
          <w:szCs w:val="24"/>
          <w:highlight w:val="none"/>
        </w:rPr>
        <w:t>一、工程质量保修范围和内容</w:t>
      </w:r>
      <w:bookmarkEnd w:id="1499"/>
    </w:p>
    <w:p w14:paraId="5F1294E9">
      <w:pPr>
        <w:pStyle w:val="23"/>
        <w:spacing w:beforeLines="0" w:afterLines="0" w:line="360" w:lineRule="auto"/>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　　承包人在质量保修期内，按照有关法律规定和合同约定，承担工程质量保修责任。</w:t>
      </w:r>
    </w:p>
    <w:p w14:paraId="4A5A9D2D">
      <w:pPr>
        <w:pStyle w:val="23"/>
        <w:spacing w:beforeLines="0" w:afterLines="0" w:line="360" w:lineRule="auto"/>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　　质量保修范围包括</w:t>
      </w:r>
      <w:r>
        <w:rPr>
          <w:rFonts w:hint="eastAsia" w:ascii="宋体" w:hAnsi="宋体" w:eastAsia="宋体" w:cs="宋体"/>
          <w:color w:val="auto"/>
          <w:sz w:val="24"/>
          <w:szCs w:val="24"/>
          <w:highlight w:val="none"/>
          <w:u w:val="single"/>
          <w:lang w:val="en-US" w:eastAsia="zh-CN"/>
        </w:rPr>
        <w:t xml:space="preserve">           </w:t>
      </w:r>
      <w:r>
        <w:rPr>
          <w:rFonts w:hint="default" w:ascii="宋体" w:hAnsi="宋体" w:eastAsia="宋体" w:cs="宋体"/>
          <w:color w:val="auto"/>
          <w:sz w:val="24"/>
          <w:szCs w:val="24"/>
          <w:highlight w:val="none"/>
          <w:u w:val="single"/>
          <w:lang w:val="zh-CN"/>
        </w:rPr>
        <w:t>等工程</w:t>
      </w:r>
      <w:r>
        <w:rPr>
          <w:rFonts w:hint="default" w:ascii="宋体" w:hAnsi="宋体" w:eastAsia="宋体" w:cs="宋体"/>
          <w:color w:val="auto"/>
          <w:sz w:val="24"/>
          <w:szCs w:val="24"/>
          <w:highlight w:val="none"/>
        </w:rPr>
        <w:t>，以及双方约定的其他项目。具体保修的内容，双方约定如下：</w:t>
      </w:r>
      <w:r>
        <w:rPr>
          <w:rFonts w:hint="default" w:ascii="宋体" w:hAnsi="宋体" w:eastAsia="宋体" w:cs="宋体"/>
          <w:color w:val="auto"/>
          <w:sz w:val="24"/>
          <w:szCs w:val="24"/>
          <w:highlight w:val="none"/>
          <w:u w:val="single"/>
        </w:rPr>
        <w:t xml:space="preserve"> 按照设计图纸要求及工程量清单由承包人负责施工的工程内容，在约定的保修期内，对出现的质量缺陷负保修责任 </w:t>
      </w:r>
      <w:r>
        <w:rPr>
          <w:rFonts w:hint="default" w:ascii="宋体" w:hAnsi="宋体" w:eastAsia="宋体" w:cs="宋体"/>
          <w:color w:val="auto"/>
          <w:sz w:val="24"/>
          <w:szCs w:val="24"/>
          <w:highlight w:val="none"/>
        </w:rPr>
        <w:t>。</w:t>
      </w:r>
    </w:p>
    <w:p w14:paraId="02DF144C">
      <w:pPr>
        <w:pStyle w:val="23"/>
        <w:spacing w:beforeLines="0" w:afterLines="0" w:line="360" w:lineRule="auto"/>
        <w:outlineLvl w:val="0"/>
        <w:rPr>
          <w:rFonts w:hint="default" w:ascii="宋体" w:hAnsi="宋体" w:eastAsia="宋体" w:cs="宋体"/>
          <w:color w:val="auto"/>
          <w:sz w:val="24"/>
          <w:szCs w:val="24"/>
          <w:highlight w:val="none"/>
        </w:rPr>
      </w:pPr>
      <w:r>
        <w:rPr>
          <w:rFonts w:hint="default" w:ascii="宋体" w:hAnsi="宋体" w:eastAsia="宋体" w:cs="宋体"/>
          <w:b/>
          <w:color w:val="auto"/>
          <w:sz w:val="24"/>
          <w:szCs w:val="24"/>
          <w:highlight w:val="none"/>
        </w:rPr>
        <w:t>　　</w:t>
      </w:r>
      <w:bookmarkStart w:id="1500" w:name="_Toc19555"/>
      <w:r>
        <w:rPr>
          <w:rFonts w:hint="default" w:ascii="宋体" w:hAnsi="宋体" w:eastAsia="宋体" w:cs="宋体"/>
          <w:color w:val="auto"/>
          <w:sz w:val="24"/>
          <w:szCs w:val="24"/>
          <w:highlight w:val="none"/>
        </w:rPr>
        <w:t>二、质量保修期</w:t>
      </w:r>
      <w:bookmarkEnd w:id="1500"/>
    </w:p>
    <w:p w14:paraId="5CE47584">
      <w:pPr>
        <w:pStyle w:val="23"/>
        <w:spacing w:beforeLines="0" w:afterLines="0" w:line="360" w:lineRule="auto"/>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根据《建设工程质量管理条例》及有关规定，工程的质量保修期如下：</w:t>
      </w:r>
    </w:p>
    <w:p w14:paraId="6CEB9D67">
      <w:pPr>
        <w:pStyle w:val="43"/>
        <w:spacing w:beforeLines="0" w:afterLines="0" w:line="360" w:lineRule="auto"/>
        <w:ind w:firstLine="42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1．桥梁工程为</w:t>
      </w:r>
      <w:r>
        <w:rPr>
          <w:rFonts w:hint="default" w:ascii="宋体" w:hAnsi="宋体" w:eastAsia="宋体" w:cs="宋体"/>
          <w:color w:val="auto"/>
          <w:sz w:val="24"/>
          <w:szCs w:val="24"/>
          <w:highlight w:val="none"/>
          <w:u w:val="single"/>
        </w:rPr>
        <w:t xml:space="preserve">  2</w:t>
      </w:r>
      <w:r>
        <w:rPr>
          <w:rFonts w:hint="default" w:ascii="宋体" w:hAnsi="宋体" w:eastAsia="宋体" w:cs="宋体"/>
          <w:color w:val="auto"/>
          <w:sz w:val="24"/>
          <w:szCs w:val="24"/>
          <w:highlight w:val="none"/>
        </w:rPr>
        <w:t>年（桥梁隧道主体结构工程为设计文件规定的合理使用年限）；</w:t>
      </w:r>
    </w:p>
    <w:p w14:paraId="04031B2B">
      <w:pPr>
        <w:pStyle w:val="43"/>
        <w:spacing w:beforeLines="0" w:afterLines="0" w:line="360" w:lineRule="auto"/>
        <w:ind w:firstLine="42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2．道路工程为</w:t>
      </w:r>
      <w:r>
        <w:rPr>
          <w:rFonts w:hint="default" w:ascii="宋体" w:hAnsi="宋体" w:eastAsia="宋体" w:cs="宋体"/>
          <w:color w:val="auto"/>
          <w:sz w:val="24"/>
          <w:szCs w:val="24"/>
          <w:highlight w:val="none"/>
          <w:u w:val="single"/>
        </w:rPr>
        <w:t xml:space="preserve">   2  </w:t>
      </w:r>
      <w:r>
        <w:rPr>
          <w:rFonts w:hint="default" w:ascii="宋体" w:hAnsi="宋体" w:eastAsia="宋体" w:cs="宋体"/>
          <w:color w:val="auto"/>
          <w:sz w:val="24"/>
          <w:szCs w:val="24"/>
          <w:highlight w:val="none"/>
        </w:rPr>
        <w:t>年；</w:t>
      </w:r>
    </w:p>
    <w:p w14:paraId="48ECB215">
      <w:pPr>
        <w:pStyle w:val="43"/>
        <w:spacing w:beforeLines="0" w:afterLines="0" w:line="360" w:lineRule="auto"/>
        <w:ind w:firstLine="42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3．排水（雨水）工程为</w:t>
      </w:r>
      <w:r>
        <w:rPr>
          <w:rFonts w:hint="default" w:ascii="宋体" w:hAnsi="宋体" w:eastAsia="宋体" w:cs="宋体"/>
          <w:color w:val="auto"/>
          <w:sz w:val="24"/>
          <w:szCs w:val="24"/>
          <w:highlight w:val="none"/>
          <w:u w:val="single"/>
        </w:rPr>
        <w:t xml:space="preserve">   2  </w:t>
      </w:r>
      <w:r>
        <w:rPr>
          <w:rFonts w:hint="default" w:ascii="宋体" w:hAnsi="宋体" w:eastAsia="宋体" w:cs="宋体"/>
          <w:color w:val="auto"/>
          <w:sz w:val="24"/>
          <w:szCs w:val="24"/>
          <w:highlight w:val="none"/>
        </w:rPr>
        <w:t>年；</w:t>
      </w:r>
    </w:p>
    <w:p w14:paraId="2A52BD87">
      <w:pPr>
        <w:pStyle w:val="43"/>
        <w:spacing w:beforeLines="0" w:afterLines="0" w:line="360" w:lineRule="auto"/>
        <w:ind w:firstLine="42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 xml:space="preserve">4．绿化工程为 </w:t>
      </w:r>
      <w:r>
        <w:rPr>
          <w:rFonts w:hint="default" w:ascii="宋体" w:hAnsi="宋体" w:eastAsia="宋体" w:cs="宋体"/>
          <w:color w:val="auto"/>
          <w:sz w:val="24"/>
          <w:szCs w:val="24"/>
          <w:highlight w:val="none"/>
          <w:u w:val="single"/>
        </w:rPr>
        <w:t>单位工程竣工验收合格后1年</w:t>
      </w:r>
      <w:r>
        <w:rPr>
          <w:rFonts w:hint="default" w:ascii="宋体" w:hAnsi="宋体" w:eastAsia="宋体" w:cs="宋体"/>
          <w:color w:val="auto"/>
          <w:sz w:val="24"/>
          <w:szCs w:val="24"/>
          <w:highlight w:val="none"/>
        </w:rPr>
        <w:t>（养护1年）；</w:t>
      </w:r>
    </w:p>
    <w:p w14:paraId="5C13AED3">
      <w:pPr>
        <w:pStyle w:val="43"/>
        <w:spacing w:beforeLines="0" w:afterLines="0" w:line="360" w:lineRule="auto"/>
        <w:ind w:firstLine="42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5. 地下防水工程为</w:t>
      </w:r>
      <w:r>
        <w:rPr>
          <w:rFonts w:hint="default" w:ascii="宋体" w:hAnsi="宋体" w:eastAsia="宋体" w:cs="宋体"/>
          <w:color w:val="auto"/>
          <w:sz w:val="24"/>
          <w:szCs w:val="24"/>
          <w:highlight w:val="none"/>
          <w:u w:val="single"/>
        </w:rPr>
        <w:t xml:space="preserve">  5   </w:t>
      </w:r>
      <w:r>
        <w:rPr>
          <w:rFonts w:hint="default" w:ascii="宋体" w:hAnsi="宋体" w:eastAsia="宋体" w:cs="宋体"/>
          <w:color w:val="auto"/>
          <w:sz w:val="24"/>
          <w:szCs w:val="24"/>
          <w:highlight w:val="none"/>
        </w:rPr>
        <w:t>年；</w:t>
      </w:r>
    </w:p>
    <w:p w14:paraId="4C8D596E">
      <w:pPr>
        <w:pStyle w:val="43"/>
        <w:spacing w:beforeLines="0" w:afterLines="0" w:line="360" w:lineRule="auto"/>
        <w:ind w:firstLine="42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6．其他附属工程为</w:t>
      </w:r>
      <w:r>
        <w:rPr>
          <w:rFonts w:hint="default" w:ascii="宋体" w:hAnsi="宋体" w:eastAsia="宋体" w:cs="宋体"/>
          <w:color w:val="auto"/>
          <w:sz w:val="24"/>
          <w:szCs w:val="24"/>
          <w:highlight w:val="none"/>
          <w:u w:val="single"/>
        </w:rPr>
        <w:t xml:space="preserve">   2  </w:t>
      </w:r>
      <w:r>
        <w:rPr>
          <w:rFonts w:hint="default" w:ascii="宋体" w:hAnsi="宋体" w:eastAsia="宋体" w:cs="宋体"/>
          <w:color w:val="auto"/>
          <w:sz w:val="24"/>
          <w:szCs w:val="24"/>
          <w:highlight w:val="none"/>
        </w:rPr>
        <w:t>年；</w:t>
      </w:r>
    </w:p>
    <w:p w14:paraId="35B0B539">
      <w:pPr>
        <w:pStyle w:val="43"/>
        <w:spacing w:beforeLines="0" w:afterLines="0" w:line="360" w:lineRule="auto"/>
        <w:ind w:firstLine="480" w:firstLineChars="200"/>
        <w:rPr>
          <w:rFonts w:hint="default" w:ascii="宋体" w:hAnsi="宋体" w:eastAsia="宋体" w:cs="宋体"/>
          <w:color w:val="auto"/>
          <w:sz w:val="24"/>
          <w:szCs w:val="24"/>
          <w:highlight w:val="none"/>
          <w:u w:val="single"/>
        </w:rPr>
      </w:pPr>
      <w:r>
        <w:rPr>
          <w:rFonts w:hint="default" w:ascii="宋体" w:hAnsi="宋体" w:eastAsia="宋体" w:cs="宋体"/>
          <w:color w:val="auto"/>
          <w:sz w:val="24"/>
          <w:szCs w:val="24"/>
          <w:highlight w:val="none"/>
        </w:rPr>
        <w:t>7．其他项目保修期限约定如下：</w:t>
      </w:r>
      <w:r>
        <w:rPr>
          <w:rFonts w:hint="default" w:ascii="宋体" w:hAnsi="宋体" w:eastAsia="宋体" w:cs="宋体"/>
          <w:color w:val="auto"/>
          <w:sz w:val="24"/>
          <w:szCs w:val="24"/>
          <w:highlight w:val="none"/>
          <w:u w:val="single"/>
        </w:rPr>
        <w:t xml:space="preserve">   /  </w:t>
      </w:r>
    </w:p>
    <w:p w14:paraId="6E067350">
      <w:pPr>
        <w:pStyle w:val="43"/>
        <w:spacing w:beforeLines="0" w:afterLines="0" w:line="360" w:lineRule="auto"/>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质量保修期自工程竣工验收合格之日起计算。</w:t>
      </w:r>
    </w:p>
    <w:p w14:paraId="496403BB">
      <w:pPr>
        <w:pStyle w:val="23"/>
        <w:spacing w:beforeLines="0" w:afterLines="0" w:line="360" w:lineRule="auto"/>
        <w:ind w:firstLine="480" w:firstLineChars="200"/>
        <w:outlineLvl w:val="0"/>
        <w:rPr>
          <w:rFonts w:hint="default" w:ascii="宋体" w:hAnsi="宋体" w:eastAsia="宋体" w:cs="宋体"/>
          <w:color w:val="auto"/>
          <w:sz w:val="24"/>
          <w:szCs w:val="24"/>
          <w:highlight w:val="none"/>
        </w:rPr>
      </w:pPr>
      <w:bookmarkStart w:id="1501" w:name="_Toc5481"/>
      <w:r>
        <w:rPr>
          <w:rFonts w:hint="default" w:ascii="宋体" w:hAnsi="宋体" w:eastAsia="宋体" w:cs="宋体"/>
          <w:color w:val="auto"/>
          <w:sz w:val="24"/>
          <w:szCs w:val="24"/>
          <w:highlight w:val="none"/>
        </w:rPr>
        <w:t>三、缺陷责任期</w:t>
      </w:r>
      <w:bookmarkEnd w:id="1501"/>
    </w:p>
    <w:p w14:paraId="29D9C0C7">
      <w:pPr>
        <w:pStyle w:val="23"/>
        <w:spacing w:beforeLines="0" w:afterLines="0" w:line="360" w:lineRule="auto"/>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工程缺陷责任期为</w:t>
      </w:r>
      <w:r>
        <w:rPr>
          <w:rFonts w:hint="default" w:ascii="宋体" w:hAnsi="宋体" w:eastAsia="宋体" w:cs="宋体"/>
          <w:color w:val="auto"/>
          <w:sz w:val="24"/>
          <w:szCs w:val="24"/>
          <w:highlight w:val="none"/>
          <w:u w:val="single"/>
        </w:rPr>
        <w:t>24</w:t>
      </w:r>
      <w:r>
        <w:rPr>
          <w:rFonts w:hint="default" w:ascii="宋体" w:hAnsi="宋体" w:eastAsia="宋体" w:cs="宋体"/>
          <w:color w:val="auto"/>
          <w:sz w:val="24"/>
          <w:szCs w:val="24"/>
          <w:highlight w:val="none"/>
        </w:rPr>
        <w:t>个月，缺陷责任期自工程通过竣工验收合格之日起计算。单位工程先于全部工程进行验收，单位工程缺陷责任期自单位工程验收合格之日起算。</w:t>
      </w:r>
    </w:p>
    <w:p w14:paraId="447F2D8B">
      <w:pPr>
        <w:pStyle w:val="23"/>
        <w:spacing w:beforeLines="0" w:afterLines="0" w:line="360" w:lineRule="auto"/>
        <w:ind w:firstLine="480" w:firstLineChars="20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缺陷责任期终止后，发包人应退还剩余的质量保证金。</w:t>
      </w:r>
    </w:p>
    <w:p w14:paraId="00CF66F8">
      <w:pPr>
        <w:pStyle w:val="23"/>
        <w:spacing w:beforeLines="0" w:afterLines="0" w:line="360" w:lineRule="auto"/>
        <w:outlineLvl w:val="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 xml:space="preserve">    </w:t>
      </w:r>
      <w:bookmarkStart w:id="1502" w:name="_Toc20693"/>
      <w:r>
        <w:rPr>
          <w:rFonts w:hint="default" w:ascii="宋体" w:hAnsi="宋体" w:eastAsia="宋体" w:cs="宋体"/>
          <w:color w:val="auto"/>
          <w:sz w:val="24"/>
          <w:szCs w:val="24"/>
          <w:highlight w:val="none"/>
        </w:rPr>
        <w:t>四、质量保修责任</w:t>
      </w:r>
      <w:bookmarkEnd w:id="1502"/>
    </w:p>
    <w:p w14:paraId="5BC8F9CD">
      <w:pPr>
        <w:pStyle w:val="23"/>
        <w:spacing w:beforeLines="0" w:afterLines="0" w:line="360" w:lineRule="auto"/>
        <w:ind w:left="105" w:leftChars="50" w:firstLine="491" w:firstLineChars="205"/>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1．属于保修范围、内容的项目，承包人应当在接到保修通知之日起七日内派人保修。承包人不在约定期限内派人保修的，发包人可以委托他人修理，修理费用由承包人承担。</w:t>
      </w:r>
    </w:p>
    <w:p w14:paraId="3597C384">
      <w:pPr>
        <w:pStyle w:val="23"/>
        <w:spacing w:beforeLines="0" w:afterLines="0" w:line="360" w:lineRule="auto"/>
        <w:ind w:left="105" w:leftChars="50" w:firstLine="491" w:firstLineChars="205"/>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2．发生紧急事故需抢修的，承包人在接到事故通知后，应当立即到达事故现场抢修，抢修费用由发包人承担。</w:t>
      </w:r>
    </w:p>
    <w:p w14:paraId="025515F3">
      <w:pPr>
        <w:pStyle w:val="23"/>
        <w:spacing w:beforeLines="0" w:afterLines="0" w:line="360" w:lineRule="auto"/>
        <w:ind w:left="105" w:leftChars="50" w:firstLine="491" w:firstLineChars="205"/>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3．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3DBCB4EB">
      <w:pPr>
        <w:pStyle w:val="23"/>
        <w:spacing w:beforeLines="0" w:afterLines="0" w:line="360" w:lineRule="auto"/>
        <w:ind w:left="420" w:leftChars="200" w:firstLine="120" w:firstLineChars="5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4．质量保修完成后，由发包人组织验收。</w:t>
      </w:r>
    </w:p>
    <w:p w14:paraId="14A905E1">
      <w:pPr>
        <w:pStyle w:val="23"/>
        <w:spacing w:beforeLines="0" w:afterLines="0" w:line="360" w:lineRule="auto"/>
        <w:outlineLvl w:val="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　　</w:t>
      </w:r>
      <w:bookmarkStart w:id="1503" w:name="_Toc15942"/>
      <w:r>
        <w:rPr>
          <w:rFonts w:hint="default" w:ascii="宋体" w:hAnsi="宋体" w:eastAsia="宋体" w:cs="宋体"/>
          <w:color w:val="auto"/>
          <w:sz w:val="24"/>
          <w:szCs w:val="24"/>
          <w:highlight w:val="none"/>
        </w:rPr>
        <w:t>五、保修费用</w:t>
      </w:r>
      <w:bookmarkEnd w:id="1503"/>
    </w:p>
    <w:p w14:paraId="11EFD082">
      <w:pPr>
        <w:pStyle w:val="23"/>
        <w:spacing w:beforeLines="0" w:afterLines="0" w:line="360" w:lineRule="auto"/>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　　保修费用由造成质量缺陷的责任方承担。</w:t>
      </w:r>
    </w:p>
    <w:p w14:paraId="037A56BB">
      <w:pPr>
        <w:pStyle w:val="40"/>
        <w:spacing w:before="151" w:beforeLines="0" w:afterLines="0" w:line="362" w:lineRule="auto"/>
        <w:ind w:left="63" w:right="63" w:firstLine="420"/>
        <w:rPr>
          <w:rFonts w:hint="default" w:ascii="宋体" w:hAnsi="宋体" w:eastAsia="宋体" w:cs="宋体"/>
          <w:color w:val="auto"/>
          <w:sz w:val="24"/>
          <w:szCs w:val="24"/>
          <w:highlight w:val="none"/>
        </w:rPr>
      </w:pPr>
      <w:r>
        <w:rPr>
          <w:rFonts w:hint="default" w:ascii="宋体" w:hAnsi="宋体" w:eastAsia="宋体" w:cs="宋体"/>
          <w:b/>
          <w:color w:val="auto"/>
          <w:sz w:val="24"/>
          <w:szCs w:val="24"/>
          <w:highlight w:val="none"/>
        </w:rPr>
        <w:t>六</w:t>
      </w:r>
      <w:r>
        <w:rPr>
          <w:rFonts w:hint="default" w:ascii="宋体" w:hAnsi="宋体" w:eastAsia="宋体" w:cs="宋体"/>
          <w:color w:val="auto"/>
          <w:sz w:val="24"/>
          <w:szCs w:val="24"/>
          <w:highlight w:val="none"/>
        </w:rPr>
        <w:t>、双方约定的其他工程质量保修事项：</w:t>
      </w:r>
      <w:r>
        <w:rPr>
          <w:rFonts w:hint="default" w:ascii="宋体" w:hAnsi="宋体" w:eastAsia="宋体" w:cs="宋体"/>
          <w:color w:val="auto"/>
          <w:sz w:val="24"/>
          <w:szCs w:val="24"/>
          <w:highlight w:val="none"/>
          <w:u w:val="single"/>
          <w:lang w:bidi="zh-CN"/>
        </w:rPr>
        <w:t>保修期内，如发生属承包人责任的质量问题，按本保修书第四条约定，发包人委托他人修理,其费用由发包人从未偿还承包人工程款中扣除</w:t>
      </w:r>
      <w:r>
        <w:rPr>
          <w:rFonts w:hint="default" w:ascii="宋体" w:hAnsi="宋体" w:eastAsia="宋体" w:cs="宋体"/>
          <w:color w:val="auto"/>
          <w:sz w:val="24"/>
          <w:szCs w:val="24"/>
          <w:highlight w:val="none"/>
          <w:u w:val="single"/>
        </w:rPr>
        <w:t xml:space="preserve"> </w:t>
      </w:r>
      <w:r>
        <w:rPr>
          <w:rFonts w:hint="default" w:ascii="宋体" w:hAnsi="宋体" w:eastAsia="宋体" w:cs="宋体"/>
          <w:color w:val="auto"/>
          <w:sz w:val="24"/>
          <w:szCs w:val="24"/>
          <w:highlight w:val="none"/>
        </w:rPr>
        <w:t>。</w:t>
      </w:r>
    </w:p>
    <w:p w14:paraId="7BD59D05">
      <w:pPr>
        <w:pStyle w:val="23"/>
        <w:spacing w:beforeLines="0" w:afterLines="0" w:line="360" w:lineRule="auto"/>
        <w:ind w:firstLine="456" w:firstLineChars="19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工程质量保修书由发包人、承包人在工程竣工验收前共同签署，作为施工合同附件，其有效期限至保修期满。</w:t>
      </w:r>
    </w:p>
    <w:p w14:paraId="4950CD91">
      <w:pPr>
        <w:pStyle w:val="23"/>
        <w:spacing w:beforeLines="0" w:afterLines="0" w:line="360" w:lineRule="auto"/>
        <w:ind w:firstLine="1200" w:firstLineChars="500"/>
        <w:rPr>
          <w:rFonts w:hint="default" w:ascii="宋体" w:hAnsi="宋体" w:eastAsia="宋体" w:cs="宋体"/>
          <w:color w:val="auto"/>
          <w:sz w:val="24"/>
          <w:szCs w:val="24"/>
          <w:highlight w:val="none"/>
        </w:rPr>
      </w:pPr>
    </w:p>
    <w:p w14:paraId="75BA0A1B">
      <w:pPr>
        <w:pStyle w:val="23"/>
        <w:spacing w:beforeLines="0" w:afterLines="0" w:line="360" w:lineRule="auto"/>
        <w:ind w:firstLine="1200" w:firstLineChars="500"/>
        <w:rPr>
          <w:rFonts w:hint="default" w:ascii="宋体" w:hAnsi="宋体" w:eastAsia="宋体" w:cs="宋体"/>
          <w:color w:val="auto"/>
          <w:sz w:val="24"/>
          <w:szCs w:val="24"/>
          <w:highlight w:val="none"/>
        </w:rPr>
      </w:pPr>
    </w:p>
    <w:p w14:paraId="5250BBE6">
      <w:pPr>
        <w:pStyle w:val="23"/>
        <w:spacing w:beforeLines="0" w:afterLines="0" w:line="360" w:lineRule="auto"/>
        <w:ind w:left="7245" w:hanging="8280" w:hangingChars="3450"/>
        <w:rPr>
          <w:rFonts w:hint="default" w:ascii="宋体" w:hAnsi="宋体" w:eastAsia="宋体" w:cs="宋体"/>
          <w:color w:val="auto"/>
          <w:sz w:val="24"/>
          <w:szCs w:val="24"/>
          <w:highlight w:val="none"/>
          <w:u w:val="single"/>
          <w:lang w:eastAsia="zh-CN"/>
        </w:rPr>
      </w:pPr>
      <w:r>
        <w:rPr>
          <w:rFonts w:hint="default" w:ascii="宋体" w:hAnsi="宋体" w:eastAsia="宋体" w:cs="宋体"/>
          <w:color w:val="auto"/>
          <w:sz w:val="24"/>
          <w:szCs w:val="24"/>
          <w:highlight w:val="none"/>
        </w:rPr>
        <w:t>发包人(公章)：</w:t>
      </w:r>
      <w:r>
        <w:rPr>
          <w:rFonts w:hint="default" w:ascii="宋体" w:hAnsi="宋体" w:eastAsia="宋体" w:cs="宋体"/>
          <w:color w:val="auto"/>
          <w:sz w:val="24"/>
          <w:szCs w:val="24"/>
          <w:highlight w:val="none"/>
          <w:u w:val="single"/>
        </w:rPr>
        <w:t xml:space="preserve">   </w:t>
      </w:r>
      <w:r>
        <w:rPr>
          <w:rFonts w:hint="default" w:ascii="宋体" w:hAnsi="宋体" w:eastAsia="宋体" w:cs="宋体"/>
          <w:color w:val="auto"/>
          <w:sz w:val="24"/>
          <w:szCs w:val="24"/>
          <w:highlight w:val="none"/>
          <w:u w:val="single"/>
          <w:lang w:eastAsia="zh-CN"/>
        </w:rPr>
        <w:t xml:space="preserve">              </w:t>
      </w:r>
      <w:r>
        <w:rPr>
          <w:rFonts w:hint="default" w:ascii="宋体" w:hAnsi="宋体" w:eastAsia="宋体" w:cs="宋体"/>
          <w:color w:val="auto"/>
          <w:sz w:val="24"/>
          <w:szCs w:val="24"/>
          <w:highlight w:val="none"/>
          <w:lang w:eastAsia="zh-CN"/>
        </w:rPr>
        <w:t xml:space="preserve">         </w:t>
      </w:r>
      <w:r>
        <w:rPr>
          <w:rFonts w:hint="default" w:ascii="宋体" w:hAnsi="宋体" w:eastAsia="宋体" w:cs="宋体"/>
          <w:color w:val="auto"/>
          <w:sz w:val="24"/>
          <w:szCs w:val="24"/>
          <w:highlight w:val="none"/>
        </w:rPr>
        <w:t>承包人(公章)：</w:t>
      </w:r>
      <w:r>
        <w:rPr>
          <w:rFonts w:hint="default" w:ascii="宋体" w:hAnsi="宋体" w:eastAsia="宋体" w:cs="宋体"/>
          <w:color w:val="auto"/>
          <w:sz w:val="24"/>
          <w:szCs w:val="24"/>
          <w:highlight w:val="none"/>
          <w:u w:val="single"/>
        </w:rPr>
        <w:t xml:space="preserve"> </w:t>
      </w:r>
      <w:r>
        <w:rPr>
          <w:rFonts w:hint="default"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u w:val="single"/>
          <w:lang w:val="en-US" w:eastAsia="zh-CN"/>
        </w:rPr>
        <w:t xml:space="preserve"> </w:t>
      </w:r>
      <w:r>
        <w:rPr>
          <w:rFonts w:hint="default" w:ascii="宋体" w:hAnsi="宋体" w:eastAsia="宋体" w:cs="宋体"/>
          <w:color w:val="auto"/>
          <w:sz w:val="24"/>
          <w:szCs w:val="24"/>
          <w:highlight w:val="none"/>
          <w:u w:val="single"/>
          <w:lang w:eastAsia="zh-CN"/>
        </w:rPr>
        <w:t xml:space="preserve">     </w:t>
      </w:r>
    </w:p>
    <w:p w14:paraId="63BB2572">
      <w:pPr>
        <w:pStyle w:val="23"/>
        <w:spacing w:beforeLines="0" w:afterLines="0" w:line="360" w:lineRule="auto"/>
        <w:rPr>
          <w:rFonts w:hint="default" w:ascii="宋体" w:hAnsi="宋体" w:eastAsia="宋体" w:cs="宋体"/>
          <w:color w:val="auto"/>
          <w:sz w:val="24"/>
          <w:szCs w:val="24"/>
          <w:highlight w:val="none"/>
          <w:lang w:eastAsia="zh-CN"/>
        </w:rPr>
      </w:pPr>
      <w:r>
        <w:rPr>
          <w:rFonts w:hint="default" w:ascii="宋体" w:hAnsi="宋体" w:eastAsia="宋体" w:cs="宋体"/>
          <w:color w:val="auto"/>
          <w:sz w:val="24"/>
          <w:szCs w:val="24"/>
          <w:highlight w:val="none"/>
        </w:rPr>
        <w:t>地  址：</w:t>
      </w:r>
      <w:r>
        <w:rPr>
          <w:rFonts w:hint="default" w:ascii="宋体" w:hAnsi="宋体" w:eastAsia="宋体" w:cs="宋体"/>
          <w:color w:val="auto"/>
          <w:sz w:val="24"/>
          <w:szCs w:val="24"/>
          <w:highlight w:val="none"/>
          <w:u w:val="single"/>
          <w:lang w:eastAsia="zh-CN"/>
        </w:rPr>
        <w:t xml:space="preserve">                       </w:t>
      </w:r>
      <w:r>
        <w:rPr>
          <w:rFonts w:hint="default" w:ascii="宋体" w:hAnsi="宋体" w:eastAsia="宋体" w:cs="宋体"/>
          <w:color w:val="auto"/>
          <w:sz w:val="24"/>
          <w:szCs w:val="24"/>
          <w:highlight w:val="none"/>
        </w:rPr>
        <w:t xml:space="preserve">         地  址：</w:t>
      </w:r>
      <w:r>
        <w:rPr>
          <w:rFonts w:hint="default"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u w:val="single"/>
          <w:lang w:val="en-US" w:eastAsia="zh-CN"/>
        </w:rPr>
        <w:t xml:space="preserve">     </w:t>
      </w:r>
      <w:r>
        <w:rPr>
          <w:rFonts w:hint="default" w:ascii="宋体" w:hAnsi="宋体" w:eastAsia="宋体" w:cs="宋体"/>
          <w:color w:val="auto"/>
          <w:sz w:val="24"/>
          <w:szCs w:val="24"/>
          <w:highlight w:val="none"/>
          <w:u w:val="single"/>
          <w:lang w:eastAsia="zh-CN"/>
        </w:rPr>
        <w:t xml:space="preserve">   </w:t>
      </w:r>
    </w:p>
    <w:p w14:paraId="4AE46173">
      <w:pPr>
        <w:pStyle w:val="23"/>
        <w:spacing w:beforeLines="0" w:afterLines="0" w:line="360" w:lineRule="auto"/>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法定代表人(签字)：</w:t>
      </w:r>
      <w:r>
        <w:rPr>
          <w:rFonts w:hint="default" w:ascii="宋体" w:hAnsi="宋体" w:eastAsia="宋体" w:cs="宋体"/>
          <w:color w:val="auto"/>
          <w:sz w:val="24"/>
          <w:szCs w:val="24"/>
          <w:highlight w:val="none"/>
          <w:u w:val="single"/>
        </w:rPr>
        <w:t xml:space="preserve">         </w:t>
      </w:r>
      <w:r>
        <w:rPr>
          <w:rFonts w:hint="default" w:ascii="宋体" w:hAnsi="宋体" w:eastAsia="宋体" w:cs="宋体"/>
          <w:color w:val="auto"/>
          <w:sz w:val="24"/>
          <w:szCs w:val="24"/>
          <w:highlight w:val="none"/>
        </w:rPr>
        <w:t xml:space="preserve">             法定代表人(签字)：</w:t>
      </w:r>
      <w:r>
        <w:rPr>
          <w:rFonts w:hint="default" w:ascii="宋体" w:hAnsi="宋体" w:eastAsia="宋体" w:cs="宋体"/>
          <w:color w:val="auto"/>
          <w:sz w:val="24"/>
          <w:szCs w:val="24"/>
          <w:highlight w:val="none"/>
          <w:u w:val="single"/>
        </w:rPr>
        <w:t xml:space="preserve">           </w:t>
      </w:r>
    </w:p>
    <w:p w14:paraId="6BE4BDA9">
      <w:pPr>
        <w:pStyle w:val="23"/>
        <w:spacing w:beforeLines="0" w:afterLines="0" w:line="360" w:lineRule="auto"/>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lang w:eastAsia="zh-CN"/>
        </w:rPr>
        <w:t>或</w:t>
      </w:r>
      <w:r>
        <w:rPr>
          <w:rFonts w:hint="default" w:ascii="宋体" w:hAnsi="宋体" w:eastAsia="宋体" w:cs="宋体"/>
          <w:color w:val="auto"/>
          <w:sz w:val="24"/>
          <w:szCs w:val="24"/>
          <w:highlight w:val="none"/>
        </w:rPr>
        <w:t>委托代理人(签字)：</w:t>
      </w:r>
      <w:r>
        <w:rPr>
          <w:rFonts w:hint="default" w:ascii="宋体" w:hAnsi="宋体" w:eastAsia="宋体" w:cs="宋体"/>
          <w:color w:val="auto"/>
          <w:sz w:val="24"/>
          <w:szCs w:val="24"/>
          <w:highlight w:val="none"/>
          <w:u w:val="single"/>
        </w:rPr>
        <w:t xml:space="preserve">         </w:t>
      </w:r>
      <w:r>
        <w:rPr>
          <w:rFonts w:hint="default" w:ascii="宋体" w:hAnsi="宋体" w:eastAsia="宋体" w:cs="宋体"/>
          <w:color w:val="auto"/>
          <w:sz w:val="24"/>
          <w:szCs w:val="24"/>
          <w:highlight w:val="none"/>
        </w:rPr>
        <w:t xml:space="preserve">           </w:t>
      </w:r>
      <w:r>
        <w:rPr>
          <w:rFonts w:hint="default" w:ascii="宋体" w:hAnsi="宋体" w:eastAsia="宋体" w:cs="宋体"/>
          <w:color w:val="auto"/>
          <w:sz w:val="24"/>
          <w:szCs w:val="24"/>
          <w:highlight w:val="none"/>
          <w:lang w:eastAsia="zh-CN"/>
        </w:rPr>
        <w:t>或</w:t>
      </w:r>
      <w:r>
        <w:rPr>
          <w:rFonts w:hint="default" w:ascii="宋体" w:hAnsi="宋体" w:eastAsia="宋体" w:cs="宋体"/>
          <w:color w:val="auto"/>
          <w:sz w:val="24"/>
          <w:szCs w:val="24"/>
          <w:highlight w:val="none"/>
        </w:rPr>
        <w:t>委托代理人(签字)：</w:t>
      </w:r>
      <w:r>
        <w:rPr>
          <w:rFonts w:hint="default" w:ascii="宋体" w:hAnsi="宋体" w:eastAsia="宋体" w:cs="宋体"/>
          <w:color w:val="auto"/>
          <w:sz w:val="24"/>
          <w:szCs w:val="24"/>
          <w:highlight w:val="none"/>
          <w:u w:val="single"/>
        </w:rPr>
        <w:t xml:space="preserve">           </w:t>
      </w:r>
    </w:p>
    <w:p w14:paraId="7007B8F8">
      <w:pPr>
        <w:rPr>
          <w:rFonts w:hint="default" w:ascii="宋体" w:hAnsi="宋体" w:eastAsia="宋体" w:cs="宋体"/>
          <w:color w:val="auto"/>
          <w:sz w:val="24"/>
          <w:szCs w:val="24"/>
          <w:highlight w:val="none"/>
        </w:rPr>
      </w:pPr>
    </w:p>
    <w:p w14:paraId="3056FC1D">
      <w:pPr>
        <w:rPr>
          <w:rFonts w:hint="default" w:ascii="宋体" w:hAnsi="宋体" w:eastAsia="宋体" w:cs="宋体"/>
          <w:color w:val="auto"/>
          <w:sz w:val="20"/>
          <w:szCs w:val="20"/>
          <w:highlight w:val="none"/>
        </w:rPr>
      </w:pPr>
    </w:p>
    <w:p w14:paraId="518132E6">
      <w:pPr>
        <w:rPr>
          <w:rFonts w:hint="default" w:ascii="宋体" w:hAnsi="宋体" w:eastAsia="宋体" w:cs="宋体"/>
          <w:color w:val="auto"/>
          <w:sz w:val="20"/>
          <w:szCs w:val="20"/>
          <w:highlight w:val="none"/>
        </w:rPr>
      </w:pPr>
    </w:p>
    <w:p w14:paraId="0F181E56">
      <w:pPr>
        <w:rPr>
          <w:rFonts w:hint="default" w:ascii="宋体" w:hAnsi="宋体" w:eastAsia="宋体" w:cs="宋体"/>
          <w:color w:val="auto"/>
          <w:sz w:val="20"/>
          <w:szCs w:val="20"/>
          <w:highlight w:val="none"/>
        </w:rPr>
      </w:pPr>
    </w:p>
    <w:p w14:paraId="649550A6">
      <w:pPr>
        <w:rPr>
          <w:rFonts w:hint="default" w:ascii="宋体" w:hAnsi="宋体" w:eastAsia="宋体" w:cs="宋体"/>
          <w:color w:val="auto"/>
          <w:sz w:val="20"/>
          <w:szCs w:val="20"/>
          <w:highlight w:val="none"/>
        </w:rPr>
      </w:pPr>
    </w:p>
    <w:p w14:paraId="6098F20F">
      <w:pPr>
        <w:rPr>
          <w:rFonts w:hint="default" w:ascii="宋体" w:hAnsi="宋体" w:eastAsia="宋体" w:cs="宋体"/>
          <w:color w:val="auto"/>
          <w:sz w:val="20"/>
          <w:szCs w:val="20"/>
          <w:highlight w:val="none"/>
        </w:rPr>
      </w:pPr>
    </w:p>
    <w:p w14:paraId="7A8CF8CE">
      <w:pPr>
        <w:rPr>
          <w:rFonts w:hint="default" w:ascii="宋体" w:hAnsi="宋体" w:eastAsia="宋体" w:cs="宋体"/>
          <w:color w:val="auto"/>
          <w:sz w:val="20"/>
          <w:szCs w:val="20"/>
          <w:highlight w:val="none"/>
        </w:rPr>
      </w:pPr>
    </w:p>
    <w:p w14:paraId="117F5C2D">
      <w:pPr>
        <w:rPr>
          <w:rFonts w:hint="default" w:ascii="宋体" w:hAnsi="宋体" w:eastAsia="宋体" w:cs="宋体"/>
          <w:color w:val="auto"/>
          <w:sz w:val="20"/>
          <w:szCs w:val="20"/>
          <w:highlight w:val="none"/>
        </w:rPr>
      </w:pPr>
    </w:p>
    <w:p w14:paraId="477EE508">
      <w:pPr>
        <w:rPr>
          <w:rFonts w:hint="default" w:ascii="宋体" w:hAnsi="宋体" w:eastAsia="宋体" w:cs="宋体"/>
          <w:color w:val="auto"/>
          <w:sz w:val="20"/>
          <w:szCs w:val="20"/>
          <w:highlight w:val="none"/>
        </w:rPr>
      </w:pPr>
    </w:p>
    <w:p w14:paraId="34CFBC68">
      <w:pPr>
        <w:pStyle w:val="4"/>
        <w:rPr>
          <w:rFonts w:hint="default" w:ascii="宋体" w:hAnsi="宋体" w:eastAsia="宋体" w:cs="宋体"/>
          <w:color w:val="auto"/>
          <w:sz w:val="20"/>
          <w:szCs w:val="20"/>
          <w:highlight w:val="none"/>
        </w:rPr>
      </w:pPr>
    </w:p>
    <w:p w14:paraId="2A3B9F52">
      <w:pPr>
        <w:rPr>
          <w:rFonts w:hint="default" w:ascii="宋体" w:eastAsia="宋体"/>
          <w:color w:val="auto"/>
          <w:sz w:val="21"/>
          <w:szCs w:val="24"/>
          <w:highlight w:val="none"/>
        </w:rPr>
      </w:pPr>
    </w:p>
    <w:p w14:paraId="548D2698">
      <w:pPr>
        <w:rPr>
          <w:rFonts w:hint="default" w:ascii="宋体" w:hAnsi="宋体" w:eastAsia="宋体" w:cs="宋体"/>
          <w:b/>
          <w:color w:val="auto"/>
          <w:sz w:val="28"/>
          <w:szCs w:val="28"/>
          <w:highlight w:val="none"/>
        </w:rPr>
      </w:pPr>
    </w:p>
    <w:p w14:paraId="3172DB52">
      <w:pPr>
        <w:rPr>
          <w:rFonts w:hint="default" w:ascii="宋体" w:hAnsi="宋体" w:eastAsia="宋体" w:cs="宋体"/>
          <w:b/>
          <w:color w:val="auto"/>
          <w:sz w:val="28"/>
          <w:szCs w:val="28"/>
          <w:highlight w:val="none"/>
        </w:rPr>
      </w:pPr>
    </w:p>
    <w:p w14:paraId="17CF1E9B">
      <w:pPr>
        <w:rPr>
          <w:rFonts w:hint="default" w:ascii="宋体" w:hAnsi="宋体" w:eastAsia="宋体" w:cs="宋体"/>
          <w:b/>
          <w:color w:val="auto"/>
          <w:sz w:val="28"/>
          <w:szCs w:val="28"/>
          <w:highlight w:val="none"/>
        </w:rPr>
      </w:pPr>
    </w:p>
    <w:p w14:paraId="704539DD">
      <w:pPr>
        <w:rPr>
          <w:rFonts w:hint="default" w:ascii="宋体" w:hAnsi="宋体" w:eastAsia="宋体" w:cs="宋体"/>
          <w:b/>
          <w:color w:val="auto"/>
          <w:sz w:val="28"/>
          <w:szCs w:val="28"/>
          <w:highlight w:val="none"/>
        </w:rPr>
      </w:pPr>
      <w:r>
        <w:rPr>
          <w:rFonts w:hint="default" w:ascii="宋体" w:hAnsi="宋体" w:eastAsia="宋体" w:cs="宋体"/>
          <w:b/>
          <w:color w:val="auto"/>
          <w:sz w:val="28"/>
          <w:szCs w:val="28"/>
          <w:highlight w:val="none"/>
        </w:rPr>
        <w:t>附</w:t>
      </w:r>
      <w:bookmarkStart w:id="1504" w:name="_Toc267261699"/>
      <w:bookmarkStart w:id="1505" w:name="_Toc296891056"/>
      <w:bookmarkStart w:id="1506" w:name="_Toc296346729"/>
      <w:bookmarkStart w:id="1507" w:name="_Toc296503228"/>
      <w:bookmarkStart w:id="1508" w:name="_Toc296347227"/>
      <w:bookmarkStart w:id="1509" w:name="_Toc296891268"/>
      <w:bookmarkStart w:id="1510" w:name="_Toc296944567"/>
      <w:r>
        <w:rPr>
          <w:rFonts w:hint="default" w:ascii="宋体" w:hAnsi="宋体" w:eastAsia="宋体" w:cs="宋体"/>
          <w:b/>
          <w:color w:val="auto"/>
          <w:sz w:val="28"/>
          <w:szCs w:val="28"/>
          <w:highlight w:val="none"/>
        </w:rPr>
        <w:t>件五：</w:t>
      </w:r>
    </w:p>
    <w:bookmarkEnd w:id="1504"/>
    <w:bookmarkEnd w:id="1505"/>
    <w:bookmarkEnd w:id="1506"/>
    <w:bookmarkEnd w:id="1507"/>
    <w:bookmarkEnd w:id="1508"/>
    <w:bookmarkEnd w:id="1509"/>
    <w:bookmarkEnd w:id="1510"/>
    <w:p w14:paraId="4F98A4F6">
      <w:pPr>
        <w:pStyle w:val="23"/>
        <w:spacing w:before="120" w:beforeLines="50" w:after="120" w:afterLines="50" w:line="440" w:lineRule="exact"/>
        <w:jc w:val="center"/>
        <w:rPr>
          <w:rFonts w:hint="default" w:ascii="宋体" w:hAnsi="宋体" w:eastAsia="宋体" w:cs="宋体"/>
          <w:color w:val="auto"/>
          <w:sz w:val="28"/>
          <w:szCs w:val="28"/>
          <w:highlight w:val="none"/>
        </w:rPr>
      </w:pPr>
      <w:r>
        <w:rPr>
          <w:rFonts w:hint="default" w:ascii="宋体" w:hAnsi="宋体" w:eastAsia="宋体" w:cs="宋体"/>
          <w:color w:val="auto"/>
          <w:sz w:val="28"/>
          <w:szCs w:val="28"/>
          <w:highlight w:val="none"/>
        </w:rPr>
        <w:t>承包人主要施工管理人员表</w:t>
      </w:r>
    </w:p>
    <w:tbl>
      <w:tblPr>
        <w:tblStyle w:val="18"/>
        <w:tblW w:w="9809"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871"/>
        <w:gridCol w:w="1418"/>
        <w:gridCol w:w="1134"/>
        <w:gridCol w:w="1134"/>
        <w:gridCol w:w="4252"/>
      </w:tblGrid>
      <w:tr w14:paraId="498148A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12" w:space="0"/>
              <w:left w:val="single" w:color="auto" w:sz="12" w:space="0"/>
              <w:bottom w:val="double" w:color="auto" w:sz="6" w:space="0"/>
              <w:right w:val="single" w:color="auto" w:sz="6" w:space="0"/>
              <w:tl2br w:val="nil"/>
              <w:tr2bl w:val="nil"/>
            </w:tcBorders>
            <w:noWrap w:val="0"/>
            <w:vAlign w:val="center"/>
          </w:tcPr>
          <w:p w14:paraId="5CCFC6CA">
            <w:pPr>
              <w:pStyle w:val="40"/>
              <w:keepNext/>
              <w:spacing w:beforeLines="0" w:after="0" w:afterLines="0" w:line="440" w:lineRule="exact"/>
              <w:ind w:left="63" w:right="63"/>
              <w:jc w:val="center"/>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名    称</w:t>
            </w:r>
          </w:p>
        </w:tc>
        <w:tc>
          <w:tcPr>
            <w:tcW w:w="1418" w:type="dxa"/>
            <w:tcBorders>
              <w:top w:val="single" w:color="auto" w:sz="12" w:space="0"/>
              <w:left w:val="single" w:color="auto" w:sz="6" w:space="0"/>
              <w:bottom w:val="double" w:color="auto" w:sz="6" w:space="0"/>
              <w:right w:val="single" w:color="auto" w:sz="6" w:space="0"/>
              <w:tl2br w:val="nil"/>
              <w:tr2bl w:val="nil"/>
            </w:tcBorders>
            <w:noWrap w:val="0"/>
            <w:vAlign w:val="center"/>
          </w:tcPr>
          <w:p w14:paraId="21A702A4">
            <w:pPr>
              <w:pStyle w:val="40"/>
              <w:keepNext/>
              <w:spacing w:beforeLines="0" w:after="0" w:afterLines="0" w:line="440" w:lineRule="exact"/>
              <w:ind w:left="63" w:right="63"/>
              <w:jc w:val="center"/>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姓名</w:t>
            </w:r>
          </w:p>
        </w:tc>
        <w:tc>
          <w:tcPr>
            <w:tcW w:w="1134" w:type="dxa"/>
            <w:tcBorders>
              <w:top w:val="single" w:color="auto" w:sz="12" w:space="0"/>
              <w:left w:val="single" w:color="auto" w:sz="6" w:space="0"/>
              <w:bottom w:val="double" w:color="auto" w:sz="6" w:space="0"/>
              <w:right w:val="single" w:color="auto" w:sz="6" w:space="0"/>
              <w:tl2br w:val="nil"/>
              <w:tr2bl w:val="nil"/>
            </w:tcBorders>
            <w:noWrap w:val="0"/>
            <w:vAlign w:val="center"/>
          </w:tcPr>
          <w:p w14:paraId="7F83956D">
            <w:pPr>
              <w:pStyle w:val="40"/>
              <w:keepNext/>
              <w:spacing w:beforeLines="0" w:after="0" w:afterLines="0" w:line="440" w:lineRule="exact"/>
              <w:ind w:left="63" w:right="63"/>
              <w:jc w:val="center"/>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职务</w:t>
            </w:r>
          </w:p>
        </w:tc>
        <w:tc>
          <w:tcPr>
            <w:tcW w:w="1134" w:type="dxa"/>
            <w:tcBorders>
              <w:top w:val="single" w:color="auto" w:sz="12" w:space="0"/>
              <w:left w:val="single" w:color="auto" w:sz="6" w:space="0"/>
              <w:bottom w:val="double" w:color="auto" w:sz="6" w:space="0"/>
              <w:right w:val="single" w:color="auto" w:sz="6" w:space="0"/>
              <w:tl2br w:val="nil"/>
              <w:tr2bl w:val="nil"/>
            </w:tcBorders>
            <w:noWrap w:val="0"/>
            <w:vAlign w:val="center"/>
          </w:tcPr>
          <w:p w14:paraId="415F6FEF">
            <w:pPr>
              <w:pStyle w:val="40"/>
              <w:keepNext/>
              <w:spacing w:beforeLines="0" w:after="0" w:afterLines="0" w:line="440" w:lineRule="exact"/>
              <w:ind w:left="63" w:right="63"/>
              <w:jc w:val="center"/>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职称</w:t>
            </w:r>
          </w:p>
        </w:tc>
        <w:tc>
          <w:tcPr>
            <w:tcW w:w="4252" w:type="dxa"/>
            <w:tcBorders>
              <w:top w:val="single" w:color="auto" w:sz="12" w:space="0"/>
              <w:left w:val="single" w:color="auto" w:sz="6" w:space="0"/>
              <w:bottom w:val="double" w:color="auto" w:sz="6" w:space="0"/>
              <w:right w:val="single" w:color="auto" w:sz="12" w:space="0"/>
              <w:tl2br w:val="nil"/>
              <w:tr2bl w:val="nil"/>
            </w:tcBorders>
            <w:noWrap w:val="0"/>
            <w:vAlign w:val="center"/>
          </w:tcPr>
          <w:p w14:paraId="31DBC9D8">
            <w:pPr>
              <w:pStyle w:val="40"/>
              <w:keepNext/>
              <w:spacing w:beforeLines="0" w:after="0" w:afterLines="0" w:line="440" w:lineRule="exact"/>
              <w:ind w:left="63" w:right="63"/>
              <w:jc w:val="center"/>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主要资历、经验及承担过的项目</w:t>
            </w:r>
          </w:p>
        </w:tc>
      </w:tr>
      <w:tr w14:paraId="1DD4E8F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809" w:type="dxa"/>
            <w:gridSpan w:val="5"/>
            <w:tcBorders>
              <w:top w:val="double" w:color="auto" w:sz="6" w:space="0"/>
              <w:left w:val="single" w:color="auto" w:sz="12" w:space="0"/>
              <w:bottom w:val="single" w:color="auto" w:sz="6" w:space="0"/>
              <w:right w:val="single" w:color="auto" w:sz="12" w:space="0"/>
              <w:tl2br w:val="nil"/>
              <w:tr2bl w:val="nil"/>
            </w:tcBorders>
            <w:noWrap w:val="0"/>
            <w:vAlign w:val="center"/>
          </w:tcPr>
          <w:p w14:paraId="7B94C11D">
            <w:pPr>
              <w:pStyle w:val="40"/>
              <w:keepNext/>
              <w:spacing w:beforeLines="0" w:after="0" w:afterLines="0" w:line="440" w:lineRule="exact"/>
              <w:ind w:left="63" w:right="63"/>
              <w:jc w:val="center"/>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一、总部人员</w:t>
            </w:r>
          </w:p>
        </w:tc>
      </w:tr>
      <w:tr w14:paraId="6F21094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nil"/>
              <w:left w:val="single" w:color="auto" w:sz="12" w:space="0"/>
              <w:bottom w:val="nil"/>
              <w:right w:val="single" w:color="auto" w:sz="6" w:space="0"/>
              <w:tl2br w:val="nil"/>
              <w:tr2bl w:val="nil"/>
            </w:tcBorders>
            <w:noWrap w:val="0"/>
            <w:vAlign w:val="center"/>
          </w:tcPr>
          <w:p w14:paraId="15228361">
            <w:pPr>
              <w:pStyle w:val="40"/>
              <w:keepNext/>
              <w:spacing w:beforeLines="0" w:after="0" w:afterLines="0" w:line="440" w:lineRule="exact"/>
              <w:ind w:left="63" w:right="63"/>
              <w:jc w:val="center"/>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项目主管</w:t>
            </w:r>
          </w:p>
        </w:tc>
        <w:tc>
          <w:tcPr>
            <w:tcW w:w="1418" w:type="dxa"/>
            <w:tcBorders>
              <w:top w:val="nil"/>
              <w:left w:val="single" w:color="auto" w:sz="6" w:space="0"/>
              <w:bottom w:val="single" w:color="auto" w:sz="6" w:space="0"/>
              <w:right w:val="single" w:color="auto" w:sz="6" w:space="0"/>
              <w:tl2br w:val="nil"/>
              <w:tr2bl w:val="nil"/>
            </w:tcBorders>
            <w:noWrap w:val="0"/>
            <w:vAlign w:val="center"/>
          </w:tcPr>
          <w:p w14:paraId="69F31A5D">
            <w:pPr>
              <w:pStyle w:val="40"/>
              <w:keepNext/>
              <w:spacing w:beforeLines="0" w:after="0" w:afterLines="0" w:line="440" w:lineRule="exact"/>
              <w:ind w:left="63" w:right="63"/>
              <w:jc w:val="center"/>
              <w:rPr>
                <w:rFonts w:hint="default" w:ascii="宋体" w:hAnsi="宋体" w:eastAsia="宋体" w:cs="宋体"/>
                <w:color w:val="auto"/>
                <w:sz w:val="24"/>
                <w:szCs w:val="24"/>
                <w:highlight w:val="none"/>
              </w:rPr>
            </w:pPr>
          </w:p>
        </w:tc>
        <w:tc>
          <w:tcPr>
            <w:tcW w:w="1134" w:type="dxa"/>
            <w:tcBorders>
              <w:top w:val="nil"/>
              <w:left w:val="single" w:color="auto" w:sz="6" w:space="0"/>
              <w:bottom w:val="single" w:color="auto" w:sz="6" w:space="0"/>
              <w:right w:val="single" w:color="auto" w:sz="6" w:space="0"/>
              <w:tl2br w:val="nil"/>
              <w:tr2bl w:val="nil"/>
            </w:tcBorders>
            <w:noWrap w:val="0"/>
            <w:vAlign w:val="center"/>
          </w:tcPr>
          <w:p w14:paraId="468C5BFF">
            <w:pPr>
              <w:pStyle w:val="40"/>
              <w:keepNext/>
              <w:spacing w:beforeLines="0" w:after="0" w:afterLines="0" w:line="440" w:lineRule="exact"/>
              <w:ind w:left="63" w:right="63"/>
              <w:jc w:val="center"/>
              <w:rPr>
                <w:rFonts w:hint="default" w:ascii="宋体" w:hAnsi="宋体" w:eastAsia="宋体" w:cs="宋体"/>
                <w:color w:val="auto"/>
                <w:sz w:val="24"/>
                <w:szCs w:val="24"/>
                <w:highlight w:val="none"/>
              </w:rPr>
            </w:pPr>
          </w:p>
        </w:tc>
        <w:tc>
          <w:tcPr>
            <w:tcW w:w="1134" w:type="dxa"/>
            <w:tcBorders>
              <w:top w:val="nil"/>
              <w:left w:val="single" w:color="auto" w:sz="6" w:space="0"/>
              <w:bottom w:val="single" w:color="auto" w:sz="6" w:space="0"/>
              <w:right w:val="single" w:color="auto" w:sz="6" w:space="0"/>
              <w:tl2br w:val="nil"/>
              <w:tr2bl w:val="nil"/>
            </w:tcBorders>
            <w:noWrap w:val="0"/>
            <w:vAlign w:val="center"/>
          </w:tcPr>
          <w:p w14:paraId="3D3AF237">
            <w:pPr>
              <w:pStyle w:val="40"/>
              <w:keepNext/>
              <w:spacing w:beforeLines="0" w:after="0" w:afterLines="0" w:line="440" w:lineRule="exact"/>
              <w:ind w:left="63" w:right="63"/>
              <w:jc w:val="center"/>
              <w:rPr>
                <w:rFonts w:hint="default" w:ascii="宋体" w:hAnsi="宋体" w:eastAsia="宋体" w:cs="宋体"/>
                <w:color w:val="auto"/>
                <w:sz w:val="24"/>
                <w:szCs w:val="24"/>
                <w:highlight w:val="none"/>
              </w:rPr>
            </w:pPr>
          </w:p>
        </w:tc>
        <w:tc>
          <w:tcPr>
            <w:tcW w:w="4252" w:type="dxa"/>
            <w:tcBorders>
              <w:top w:val="nil"/>
              <w:left w:val="single" w:color="auto" w:sz="6" w:space="0"/>
              <w:bottom w:val="single" w:color="auto" w:sz="6" w:space="0"/>
              <w:right w:val="single" w:color="auto" w:sz="12" w:space="0"/>
              <w:tl2br w:val="nil"/>
              <w:tr2bl w:val="nil"/>
            </w:tcBorders>
            <w:noWrap w:val="0"/>
            <w:vAlign w:val="center"/>
          </w:tcPr>
          <w:p w14:paraId="56B4FC21">
            <w:pPr>
              <w:pStyle w:val="40"/>
              <w:keepNext/>
              <w:spacing w:beforeLines="0" w:after="0" w:afterLines="0" w:line="440" w:lineRule="exact"/>
              <w:ind w:left="63" w:right="63"/>
              <w:jc w:val="center"/>
              <w:rPr>
                <w:rFonts w:hint="default" w:ascii="宋体" w:hAnsi="宋体" w:eastAsia="宋体" w:cs="宋体"/>
                <w:color w:val="auto"/>
                <w:sz w:val="24"/>
                <w:szCs w:val="24"/>
                <w:highlight w:val="none"/>
              </w:rPr>
            </w:pPr>
          </w:p>
        </w:tc>
      </w:tr>
      <w:tr w14:paraId="1EFD1F1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left w:val="single" w:color="auto" w:sz="12" w:space="0"/>
              <w:bottom w:val="nil"/>
              <w:right w:val="single" w:color="auto" w:sz="6" w:space="0"/>
              <w:tl2br w:val="nil"/>
              <w:tr2bl w:val="nil"/>
            </w:tcBorders>
            <w:noWrap w:val="0"/>
            <w:vAlign w:val="center"/>
          </w:tcPr>
          <w:p w14:paraId="2ED2EFB5">
            <w:pPr>
              <w:pStyle w:val="40"/>
              <w:keepNext/>
              <w:spacing w:beforeLines="0" w:after="0" w:afterLines="0" w:line="440" w:lineRule="exact"/>
              <w:ind w:left="63" w:right="63"/>
              <w:jc w:val="center"/>
              <w:rPr>
                <w:rFonts w:hint="default" w:ascii="宋体" w:hAnsi="宋体" w:eastAsia="宋体" w:cs="宋体"/>
                <w:color w:val="auto"/>
                <w:sz w:val="24"/>
                <w:szCs w:val="24"/>
                <w:highlight w:val="none"/>
              </w:rPr>
            </w:pPr>
          </w:p>
        </w:tc>
        <w:tc>
          <w:tcPr>
            <w:tcW w:w="14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E16ECA3">
            <w:pPr>
              <w:pStyle w:val="40"/>
              <w:keepNext/>
              <w:spacing w:beforeLines="0" w:after="0" w:afterLines="0" w:line="440" w:lineRule="exact"/>
              <w:ind w:left="63" w:right="63"/>
              <w:jc w:val="center"/>
              <w:rPr>
                <w:rFonts w:hint="default" w:ascii="宋体" w:hAnsi="宋体" w:eastAsia="宋体" w:cs="宋体"/>
                <w:color w:val="auto"/>
                <w:sz w:val="24"/>
                <w:szCs w:val="24"/>
                <w:highlight w:val="none"/>
              </w:rPr>
            </w:pPr>
          </w:p>
        </w:tc>
        <w:tc>
          <w:tcPr>
            <w:tcW w:w="113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745223B">
            <w:pPr>
              <w:pStyle w:val="40"/>
              <w:keepNext/>
              <w:spacing w:beforeLines="0" w:after="0" w:afterLines="0" w:line="440" w:lineRule="exact"/>
              <w:ind w:left="63" w:right="63"/>
              <w:jc w:val="center"/>
              <w:rPr>
                <w:rFonts w:hint="default" w:ascii="宋体" w:hAnsi="宋体" w:eastAsia="宋体" w:cs="宋体"/>
                <w:color w:val="auto"/>
                <w:sz w:val="24"/>
                <w:szCs w:val="24"/>
                <w:highlight w:val="none"/>
              </w:rPr>
            </w:pPr>
          </w:p>
        </w:tc>
        <w:tc>
          <w:tcPr>
            <w:tcW w:w="113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E1B1B3A">
            <w:pPr>
              <w:pStyle w:val="40"/>
              <w:keepNext/>
              <w:spacing w:beforeLines="0" w:after="0" w:afterLines="0" w:line="440" w:lineRule="exact"/>
              <w:ind w:left="63" w:right="63"/>
              <w:jc w:val="center"/>
              <w:rPr>
                <w:rFonts w:hint="default" w:ascii="宋体" w:hAnsi="宋体" w:eastAsia="宋体" w:cs="宋体"/>
                <w:color w:val="auto"/>
                <w:sz w:val="24"/>
                <w:szCs w:val="24"/>
                <w:highlight w:val="none"/>
              </w:rPr>
            </w:pPr>
          </w:p>
        </w:tc>
        <w:tc>
          <w:tcPr>
            <w:tcW w:w="4252"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55B6923">
            <w:pPr>
              <w:pStyle w:val="40"/>
              <w:keepNext/>
              <w:spacing w:beforeLines="0" w:after="0" w:afterLines="0" w:line="440" w:lineRule="exact"/>
              <w:ind w:left="63" w:right="63"/>
              <w:jc w:val="center"/>
              <w:rPr>
                <w:rFonts w:hint="default" w:ascii="宋体" w:hAnsi="宋体" w:eastAsia="宋体" w:cs="宋体"/>
                <w:color w:val="auto"/>
                <w:sz w:val="24"/>
                <w:szCs w:val="24"/>
                <w:highlight w:val="none"/>
              </w:rPr>
            </w:pPr>
          </w:p>
        </w:tc>
      </w:tr>
      <w:tr w14:paraId="42D45A2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nil"/>
              <w:left w:val="single" w:color="auto" w:sz="12" w:space="0"/>
              <w:bottom w:val="nil"/>
              <w:right w:val="single" w:color="auto" w:sz="6" w:space="0"/>
              <w:tl2br w:val="nil"/>
              <w:tr2bl w:val="nil"/>
            </w:tcBorders>
            <w:noWrap w:val="0"/>
            <w:vAlign w:val="center"/>
          </w:tcPr>
          <w:p w14:paraId="12A314FC">
            <w:pPr>
              <w:pStyle w:val="40"/>
              <w:keepNext/>
              <w:spacing w:beforeLines="0" w:after="0" w:afterLines="0" w:line="440" w:lineRule="exact"/>
              <w:ind w:left="63" w:right="63"/>
              <w:jc w:val="center"/>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其他人员</w:t>
            </w:r>
          </w:p>
        </w:tc>
        <w:tc>
          <w:tcPr>
            <w:tcW w:w="14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C138981">
            <w:pPr>
              <w:pStyle w:val="40"/>
              <w:keepNext/>
              <w:spacing w:beforeLines="0" w:after="0" w:afterLines="0" w:line="440" w:lineRule="exact"/>
              <w:ind w:left="63" w:right="63"/>
              <w:jc w:val="center"/>
              <w:rPr>
                <w:rFonts w:hint="default" w:ascii="宋体" w:hAnsi="宋体" w:eastAsia="宋体" w:cs="宋体"/>
                <w:color w:val="auto"/>
                <w:sz w:val="24"/>
                <w:szCs w:val="24"/>
                <w:highlight w:val="none"/>
              </w:rPr>
            </w:pPr>
          </w:p>
        </w:tc>
        <w:tc>
          <w:tcPr>
            <w:tcW w:w="113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BB2FB85">
            <w:pPr>
              <w:pStyle w:val="40"/>
              <w:keepNext/>
              <w:spacing w:beforeLines="0" w:after="0" w:afterLines="0" w:line="440" w:lineRule="exact"/>
              <w:ind w:left="63" w:right="63"/>
              <w:jc w:val="center"/>
              <w:rPr>
                <w:rFonts w:hint="default" w:ascii="宋体" w:hAnsi="宋体" w:eastAsia="宋体" w:cs="宋体"/>
                <w:color w:val="auto"/>
                <w:sz w:val="24"/>
                <w:szCs w:val="24"/>
                <w:highlight w:val="none"/>
              </w:rPr>
            </w:pPr>
          </w:p>
        </w:tc>
        <w:tc>
          <w:tcPr>
            <w:tcW w:w="113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2FCF56D">
            <w:pPr>
              <w:pStyle w:val="40"/>
              <w:keepNext/>
              <w:spacing w:beforeLines="0" w:after="0" w:afterLines="0" w:line="440" w:lineRule="exact"/>
              <w:ind w:left="63" w:right="63"/>
              <w:jc w:val="center"/>
              <w:rPr>
                <w:rFonts w:hint="default" w:ascii="宋体" w:hAnsi="宋体" w:eastAsia="宋体" w:cs="宋体"/>
                <w:color w:val="auto"/>
                <w:sz w:val="24"/>
                <w:szCs w:val="24"/>
                <w:highlight w:val="none"/>
              </w:rPr>
            </w:pPr>
          </w:p>
        </w:tc>
        <w:tc>
          <w:tcPr>
            <w:tcW w:w="4252"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22A0CC0">
            <w:pPr>
              <w:pStyle w:val="40"/>
              <w:keepNext/>
              <w:spacing w:beforeLines="0" w:after="0" w:afterLines="0" w:line="440" w:lineRule="exact"/>
              <w:ind w:left="63" w:right="63"/>
              <w:jc w:val="center"/>
              <w:rPr>
                <w:rFonts w:hint="default" w:ascii="宋体" w:hAnsi="宋体" w:eastAsia="宋体" w:cs="宋体"/>
                <w:color w:val="auto"/>
                <w:sz w:val="24"/>
                <w:szCs w:val="24"/>
                <w:highlight w:val="none"/>
              </w:rPr>
            </w:pPr>
          </w:p>
        </w:tc>
      </w:tr>
      <w:tr w14:paraId="1895AB0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nil"/>
              <w:left w:val="single" w:color="auto" w:sz="12" w:space="0"/>
              <w:bottom w:val="nil"/>
              <w:right w:val="single" w:color="auto" w:sz="6" w:space="0"/>
              <w:tl2br w:val="nil"/>
              <w:tr2bl w:val="nil"/>
            </w:tcBorders>
            <w:noWrap w:val="0"/>
            <w:vAlign w:val="center"/>
          </w:tcPr>
          <w:p w14:paraId="3187B933">
            <w:pPr>
              <w:pStyle w:val="40"/>
              <w:keepNext/>
              <w:spacing w:beforeLines="0" w:after="0" w:afterLines="0" w:line="440" w:lineRule="exact"/>
              <w:ind w:left="63" w:right="63"/>
              <w:jc w:val="center"/>
              <w:rPr>
                <w:rFonts w:hint="default" w:ascii="宋体" w:hAnsi="宋体" w:eastAsia="宋体" w:cs="宋体"/>
                <w:color w:val="auto"/>
                <w:sz w:val="24"/>
                <w:szCs w:val="24"/>
                <w:highlight w:val="none"/>
              </w:rPr>
            </w:pPr>
          </w:p>
        </w:tc>
        <w:tc>
          <w:tcPr>
            <w:tcW w:w="14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DCAB803">
            <w:pPr>
              <w:pStyle w:val="40"/>
              <w:keepNext/>
              <w:spacing w:beforeLines="0" w:after="0" w:afterLines="0" w:line="440" w:lineRule="exact"/>
              <w:ind w:left="63" w:right="63"/>
              <w:jc w:val="center"/>
              <w:rPr>
                <w:rFonts w:hint="default" w:ascii="宋体" w:hAnsi="宋体" w:eastAsia="宋体" w:cs="宋体"/>
                <w:color w:val="auto"/>
                <w:sz w:val="24"/>
                <w:szCs w:val="24"/>
                <w:highlight w:val="none"/>
              </w:rPr>
            </w:pPr>
          </w:p>
        </w:tc>
        <w:tc>
          <w:tcPr>
            <w:tcW w:w="113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E75D448">
            <w:pPr>
              <w:pStyle w:val="40"/>
              <w:keepNext/>
              <w:spacing w:beforeLines="0" w:after="0" w:afterLines="0" w:line="440" w:lineRule="exact"/>
              <w:ind w:left="63" w:right="63"/>
              <w:jc w:val="center"/>
              <w:rPr>
                <w:rFonts w:hint="default" w:ascii="宋体" w:hAnsi="宋体" w:eastAsia="宋体" w:cs="宋体"/>
                <w:color w:val="auto"/>
                <w:sz w:val="24"/>
                <w:szCs w:val="24"/>
                <w:highlight w:val="none"/>
              </w:rPr>
            </w:pPr>
          </w:p>
        </w:tc>
        <w:tc>
          <w:tcPr>
            <w:tcW w:w="113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E9E6317">
            <w:pPr>
              <w:pStyle w:val="40"/>
              <w:keepNext/>
              <w:spacing w:beforeLines="0" w:after="0" w:afterLines="0" w:line="440" w:lineRule="exact"/>
              <w:ind w:left="63" w:right="63"/>
              <w:jc w:val="center"/>
              <w:rPr>
                <w:rFonts w:hint="default" w:ascii="宋体" w:hAnsi="宋体" w:eastAsia="宋体" w:cs="宋体"/>
                <w:color w:val="auto"/>
                <w:sz w:val="24"/>
                <w:szCs w:val="24"/>
                <w:highlight w:val="none"/>
              </w:rPr>
            </w:pPr>
          </w:p>
        </w:tc>
        <w:tc>
          <w:tcPr>
            <w:tcW w:w="4252"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EF7097D">
            <w:pPr>
              <w:pStyle w:val="40"/>
              <w:keepNext/>
              <w:spacing w:beforeLines="0" w:after="0" w:afterLines="0" w:line="440" w:lineRule="exact"/>
              <w:ind w:left="63" w:right="63"/>
              <w:jc w:val="center"/>
              <w:rPr>
                <w:rFonts w:hint="default" w:ascii="宋体" w:hAnsi="宋体" w:eastAsia="宋体" w:cs="宋体"/>
                <w:color w:val="auto"/>
                <w:sz w:val="24"/>
                <w:szCs w:val="24"/>
                <w:highlight w:val="none"/>
              </w:rPr>
            </w:pPr>
          </w:p>
        </w:tc>
      </w:tr>
      <w:tr w14:paraId="1C6130C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809" w:type="dxa"/>
            <w:gridSpan w:val="5"/>
            <w:tcBorders>
              <w:top w:val="single" w:color="auto" w:sz="6" w:space="0"/>
              <w:left w:val="single" w:color="auto" w:sz="12" w:space="0"/>
              <w:bottom w:val="single" w:color="auto" w:sz="6" w:space="0"/>
              <w:right w:val="single" w:color="auto" w:sz="12" w:space="0"/>
              <w:tl2br w:val="nil"/>
              <w:tr2bl w:val="nil"/>
            </w:tcBorders>
            <w:noWrap w:val="0"/>
            <w:vAlign w:val="center"/>
          </w:tcPr>
          <w:p w14:paraId="7100433B">
            <w:pPr>
              <w:pStyle w:val="40"/>
              <w:keepNext/>
              <w:spacing w:beforeLines="0" w:after="0" w:afterLines="0" w:line="440" w:lineRule="exact"/>
              <w:ind w:left="63" w:right="63"/>
              <w:jc w:val="center"/>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二、现场人员</w:t>
            </w:r>
          </w:p>
        </w:tc>
      </w:tr>
      <w:tr w14:paraId="315D57B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78340CCF">
            <w:pPr>
              <w:pStyle w:val="40"/>
              <w:keepNext/>
              <w:spacing w:beforeLines="0" w:after="0" w:afterLines="0" w:line="440" w:lineRule="exact"/>
              <w:ind w:left="63" w:right="63"/>
              <w:jc w:val="center"/>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项目经理</w:t>
            </w:r>
          </w:p>
        </w:tc>
        <w:tc>
          <w:tcPr>
            <w:tcW w:w="14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7420EAF">
            <w:pPr>
              <w:pStyle w:val="40"/>
              <w:keepNext/>
              <w:spacing w:beforeLines="0" w:after="0" w:afterLines="0" w:line="440" w:lineRule="exact"/>
              <w:ind w:left="63" w:right="63"/>
              <w:jc w:val="center"/>
              <w:rPr>
                <w:rFonts w:hint="default" w:ascii="宋体" w:hAnsi="宋体" w:eastAsia="宋体" w:cs="宋体"/>
                <w:color w:val="auto"/>
                <w:sz w:val="24"/>
                <w:szCs w:val="24"/>
                <w:highlight w:val="none"/>
              </w:rPr>
            </w:pPr>
          </w:p>
        </w:tc>
        <w:tc>
          <w:tcPr>
            <w:tcW w:w="113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C3F34AA">
            <w:pPr>
              <w:pStyle w:val="40"/>
              <w:keepNext/>
              <w:spacing w:beforeLines="0" w:after="0" w:afterLines="0" w:line="440" w:lineRule="exact"/>
              <w:ind w:left="63" w:right="63"/>
              <w:jc w:val="center"/>
              <w:rPr>
                <w:rFonts w:hint="default" w:ascii="宋体" w:hAnsi="宋体" w:eastAsia="宋体" w:cs="宋体"/>
                <w:color w:val="auto"/>
                <w:sz w:val="24"/>
                <w:szCs w:val="24"/>
                <w:highlight w:val="none"/>
              </w:rPr>
            </w:pPr>
          </w:p>
        </w:tc>
        <w:tc>
          <w:tcPr>
            <w:tcW w:w="113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A4B1FD5">
            <w:pPr>
              <w:pStyle w:val="40"/>
              <w:keepNext/>
              <w:spacing w:beforeLines="0" w:after="0" w:afterLines="0" w:line="440" w:lineRule="exact"/>
              <w:ind w:left="63" w:right="63"/>
              <w:jc w:val="center"/>
              <w:rPr>
                <w:rFonts w:hint="default" w:ascii="宋体" w:hAnsi="宋体" w:eastAsia="宋体" w:cs="宋体"/>
                <w:color w:val="auto"/>
                <w:sz w:val="24"/>
                <w:szCs w:val="24"/>
                <w:highlight w:val="none"/>
              </w:rPr>
            </w:pPr>
          </w:p>
        </w:tc>
        <w:tc>
          <w:tcPr>
            <w:tcW w:w="4252"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9AC16B8">
            <w:pPr>
              <w:pStyle w:val="40"/>
              <w:keepNext/>
              <w:spacing w:beforeLines="0" w:after="0" w:afterLines="0" w:line="440" w:lineRule="exact"/>
              <w:ind w:left="63" w:right="63"/>
              <w:jc w:val="center"/>
              <w:rPr>
                <w:rFonts w:hint="default" w:ascii="宋体" w:hAnsi="宋体" w:eastAsia="宋体" w:cs="宋体"/>
                <w:color w:val="auto"/>
                <w:sz w:val="24"/>
                <w:szCs w:val="24"/>
                <w:highlight w:val="none"/>
              </w:rPr>
            </w:pPr>
          </w:p>
        </w:tc>
      </w:tr>
      <w:tr w14:paraId="0194441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31CB1894">
            <w:pPr>
              <w:pStyle w:val="40"/>
              <w:keepNext/>
              <w:spacing w:beforeLines="0" w:after="0" w:afterLines="0" w:line="440" w:lineRule="exact"/>
              <w:ind w:left="63" w:right="63"/>
              <w:jc w:val="center"/>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项目副经理</w:t>
            </w:r>
          </w:p>
        </w:tc>
        <w:tc>
          <w:tcPr>
            <w:tcW w:w="14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D092302">
            <w:pPr>
              <w:pStyle w:val="40"/>
              <w:keepNext/>
              <w:spacing w:beforeLines="0" w:after="0" w:afterLines="0" w:line="440" w:lineRule="exact"/>
              <w:ind w:left="63" w:right="63"/>
              <w:jc w:val="center"/>
              <w:rPr>
                <w:rFonts w:hint="default" w:ascii="宋体" w:hAnsi="宋体" w:eastAsia="宋体" w:cs="宋体"/>
                <w:color w:val="auto"/>
                <w:sz w:val="24"/>
                <w:szCs w:val="24"/>
                <w:highlight w:val="none"/>
              </w:rPr>
            </w:pPr>
          </w:p>
        </w:tc>
        <w:tc>
          <w:tcPr>
            <w:tcW w:w="113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E68D51B">
            <w:pPr>
              <w:pStyle w:val="40"/>
              <w:keepNext/>
              <w:spacing w:beforeLines="0" w:after="0" w:afterLines="0" w:line="440" w:lineRule="exact"/>
              <w:ind w:left="63" w:right="63"/>
              <w:jc w:val="center"/>
              <w:rPr>
                <w:rFonts w:hint="default" w:ascii="宋体" w:hAnsi="宋体" w:eastAsia="宋体" w:cs="宋体"/>
                <w:color w:val="auto"/>
                <w:sz w:val="24"/>
                <w:szCs w:val="24"/>
                <w:highlight w:val="none"/>
              </w:rPr>
            </w:pPr>
          </w:p>
        </w:tc>
        <w:tc>
          <w:tcPr>
            <w:tcW w:w="113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21E07E4">
            <w:pPr>
              <w:pStyle w:val="40"/>
              <w:keepNext/>
              <w:spacing w:beforeLines="0" w:after="0" w:afterLines="0" w:line="440" w:lineRule="exact"/>
              <w:ind w:left="63" w:right="63"/>
              <w:jc w:val="center"/>
              <w:rPr>
                <w:rFonts w:hint="default" w:ascii="宋体" w:hAnsi="宋体" w:eastAsia="宋体" w:cs="宋体"/>
                <w:color w:val="auto"/>
                <w:sz w:val="24"/>
                <w:szCs w:val="24"/>
                <w:highlight w:val="none"/>
              </w:rPr>
            </w:pPr>
          </w:p>
        </w:tc>
        <w:tc>
          <w:tcPr>
            <w:tcW w:w="4252"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2EAF711">
            <w:pPr>
              <w:pStyle w:val="40"/>
              <w:keepNext/>
              <w:spacing w:beforeLines="0" w:after="0" w:afterLines="0" w:line="440" w:lineRule="exact"/>
              <w:ind w:left="63" w:right="63"/>
              <w:jc w:val="center"/>
              <w:rPr>
                <w:rFonts w:hint="default" w:ascii="宋体" w:hAnsi="宋体" w:eastAsia="宋体" w:cs="宋体"/>
                <w:color w:val="auto"/>
                <w:sz w:val="24"/>
                <w:szCs w:val="24"/>
                <w:highlight w:val="none"/>
              </w:rPr>
            </w:pPr>
          </w:p>
        </w:tc>
      </w:tr>
      <w:tr w14:paraId="6D825F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14EDB885">
            <w:pPr>
              <w:pStyle w:val="40"/>
              <w:keepNext/>
              <w:spacing w:beforeLines="0" w:after="0" w:afterLines="0" w:line="440" w:lineRule="exact"/>
              <w:ind w:left="63" w:right="63"/>
              <w:jc w:val="center"/>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技术负责人</w:t>
            </w:r>
          </w:p>
        </w:tc>
        <w:tc>
          <w:tcPr>
            <w:tcW w:w="14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EB66283">
            <w:pPr>
              <w:pStyle w:val="40"/>
              <w:keepNext/>
              <w:spacing w:beforeLines="0" w:after="0" w:afterLines="0" w:line="440" w:lineRule="exact"/>
              <w:ind w:left="63" w:right="63"/>
              <w:jc w:val="center"/>
              <w:rPr>
                <w:rFonts w:hint="default" w:ascii="宋体" w:hAnsi="宋体" w:eastAsia="宋体" w:cs="宋体"/>
                <w:color w:val="auto"/>
                <w:sz w:val="24"/>
                <w:szCs w:val="24"/>
                <w:highlight w:val="none"/>
                <w:lang w:eastAsia="zh-CN"/>
              </w:rPr>
            </w:pPr>
          </w:p>
        </w:tc>
        <w:tc>
          <w:tcPr>
            <w:tcW w:w="113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78E56E6">
            <w:pPr>
              <w:pStyle w:val="40"/>
              <w:keepNext/>
              <w:spacing w:beforeLines="0" w:after="0" w:afterLines="0" w:line="440" w:lineRule="exact"/>
              <w:ind w:left="63" w:right="63"/>
              <w:jc w:val="center"/>
              <w:rPr>
                <w:rFonts w:hint="default" w:ascii="宋体" w:hAnsi="宋体" w:eastAsia="宋体" w:cs="宋体"/>
                <w:color w:val="auto"/>
                <w:sz w:val="24"/>
                <w:szCs w:val="24"/>
                <w:highlight w:val="none"/>
              </w:rPr>
            </w:pPr>
          </w:p>
        </w:tc>
        <w:tc>
          <w:tcPr>
            <w:tcW w:w="113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9B6E820">
            <w:pPr>
              <w:pStyle w:val="40"/>
              <w:keepNext/>
              <w:spacing w:beforeLines="0" w:after="0" w:afterLines="0" w:line="440" w:lineRule="exact"/>
              <w:ind w:left="63" w:right="63"/>
              <w:jc w:val="center"/>
              <w:rPr>
                <w:rFonts w:hint="default" w:ascii="宋体" w:hAnsi="宋体" w:eastAsia="宋体" w:cs="宋体"/>
                <w:color w:val="auto"/>
                <w:sz w:val="24"/>
                <w:szCs w:val="24"/>
                <w:highlight w:val="none"/>
              </w:rPr>
            </w:pPr>
          </w:p>
        </w:tc>
        <w:tc>
          <w:tcPr>
            <w:tcW w:w="4252"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3103B8B">
            <w:pPr>
              <w:pStyle w:val="40"/>
              <w:keepNext/>
              <w:spacing w:beforeLines="0" w:after="0" w:afterLines="0" w:line="440" w:lineRule="exact"/>
              <w:ind w:left="63" w:right="63"/>
              <w:jc w:val="center"/>
              <w:rPr>
                <w:rFonts w:hint="default" w:ascii="宋体" w:hAnsi="宋体" w:eastAsia="宋体" w:cs="宋体"/>
                <w:color w:val="auto"/>
                <w:sz w:val="24"/>
                <w:szCs w:val="24"/>
                <w:highlight w:val="none"/>
              </w:rPr>
            </w:pPr>
          </w:p>
        </w:tc>
      </w:tr>
      <w:tr w14:paraId="082AC8F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203655EF">
            <w:pPr>
              <w:pStyle w:val="40"/>
              <w:keepNext/>
              <w:spacing w:beforeLines="0" w:after="0" w:afterLines="0" w:line="440" w:lineRule="exact"/>
              <w:ind w:left="63" w:right="63"/>
              <w:jc w:val="center"/>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造价管理</w:t>
            </w:r>
          </w:p>
        </w:tc>
        <w:tc>
          <w:tcPr>
            <w:tcW w:w="14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5C2C629">
            <w:pPr>
              <w:pStyle w:val="40"/>
              <w:keepNext/>
              <w:spacing w:beforeLines="0" w:after="0" w:afterLines="0" w:line="440" w:lineRule="exact"/>
              <w:ind w:left="63" w:right="63"/>
              <w:jc w:val="center"/>
              <w:rPr>
                <w:rFonts w:hint="default" w:ascii="宋体" w:hAnsi="宋体" w:eastAsia="宋体" w:cs="宋体"/>
                <w:color w:val="auto"/>
                <w:sz w:val="24"/>
                <w:szCs w:val="24"/>
                <w:highlight w:val="none"/>
                <w:lang w:eastAsia="zh-CN"/>
              </w:rPr>
            </w:pPr>
          </w:p>
        </w:tc>
        <w:tc>
          <w:tcPr>
            <w:tcW w:w="113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897A8EB">
            <w:pPr>
              <w:pStyle w:val="40"/>
              <w:keepNext/>
              <w:spacing w:beforeLines="0" w:after="0" w:afterLines="0" w:line="440" w:lineRule="exact"/>
              <w:ind w:left="63" w:right="63"/>
              <w:jc w:val="center"/>
              <w:rPr>
                <w:rFonts w:hint="default" w:ascii="宋体" w:hAnsi="宋体" w:eastAsia="宋体" w:cs="宋体"/>
                <w:color w:val="auto"/>
                <w:sz w:val="24"/>
                <w:szCs w:val="24"/>
                <w:highlight w:val="none"/>
              </w:rPr>
            </w:pPr>
          </w:p>
        </w:tc>
        <w:tc>
          <w:tcPr>
            <w:tcW w:w="113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A0A940C">
            <w:pPr>
              <w:pStyle w:val="40"/>
              <w:keepNext/>
              <w:spacing w:beforeLines="0" w:after="0" w:afterLines="0" w:line="440" w:lineRule="exact"/>
              <w:ind w:left="63" w:right="63"/>
              <w:jc w:val="center"/>
              <w:rPr>
                <w:rFonts w:hint="default" w:ascii="宋体" w:hAnsi="宋体" w:eastAsia="宋体" w:cs="宋体"/>
                <w:color w:val="auto"/>
                <w:sz w:val="24"/>
                <w:szCs w:val="24"/>
                <w:highlight w:val="none"/>
              </w:rPr>
            </w:pPr>
          </w:p>
        </w:tc>
        <w:tc>
          <w:tcPr>
            <w:tcW w:w="4252"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3459D73">
            <w:pPr>
              <w:pStyle w:val="40"/>
              <w:keepNext/>
              <w:spacing w:beforeLines="0" w:after="0" w:afterLines="0" w:line="440" w:lineRule="exact"/>
              <w:ind w:left="63" w:right="63"/>
              <w:jc w:val="center"/>
              <w:rPr>
                <w:rFonts w:hint="default" w:ascii="宋体" w:hAnsi="宋体" w:eastAsia="宋体" w:cs="宋体"/>
                <w:color w:val="auto"/>
                <w:sz w:val="24"/>
                <w:szCs w:val="24"/>
                <w:highlight w:val="none"/>
              </w:rPr>
            </w:pPr>
          </w:p>
        </w:tc>
      </w:tr>
      <w:tr w14:paraId="42F033C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597E16FF">
            <w:pPr>
              <w:pStyle w:val="40"/>
              <w:keepNext/>
              <w:spacing w:beforeLines="0" w:after="0" w:afterLines="0" w:line="440" w:lineRule="exact"/>
              <w:ind w:left="63" w:right="63"/>
              <w:jc w:val="center"/>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质量管理</w:t>
            </w:r>
          </w:p>
        </w:tc>
        <w:tc>
          <w:tcPr>
            <w:tcW w:w="14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CB0CEA5">
            <w:pPr>
              <w:pStyle w:val="40"/>
              <w:keepNext/>
              <w:spacing w:beforeLines="0" w:after="0" w:afterLines="0" w:line="440" w:lineRule="exact"/>
              <w:ind w:left="63" w:right="63"/>
              <w:jc w:val="center"/>
              <w:rPr>
                <w:rFonts w:hint="default" w:ascii="宋体" w:hAnsi="宋体" w:eastAsia="宋体" w:cs="宋体"/>
                <w:color w:val="auto"/>
                <w:sz w:val="24"/>
                <w:szCs w:val="24"/>
                <w:highlight w:val="none"/>
                <w:lang w:eastAsia="zh-CN"/>
              </w:rPr>
            </w:pPr>
          </w:p>
        </w:tc>
        <w:tc>
          <w:tcPr>
            <w:tcW w:w="113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9DA2863">
            <w:pPr>
              <w:pStyle w:val="40"/>
              <w:keepNext/>
              <w:spacing w:beforeLines="0" w:after="0" w:afterLines="0" w:line="440" w:lineRule="exact"/>
              <w:ind w:left="63" w:right="63"/>
              <w:jc w:val="center"/>
              <w:rPr>
                <w:rFonts w:hint="default" w:ascii="宋体" w:hAnsi="宋体" w:eastAsia="宋体" w:cs="宋体"/>
                <w:color w:val="auto"/>
                <w:sz w:val="24"/>
                <w:szCs w:val="24"/>
                <w:highlight w:val="none"/>
              </w:rPr>
            </w:pPr>
          </w:p>
        </w:tc>
        <w:tc>
          <w:tcPr>
            <w:tcW w:w="113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70E80D2">
            <w:pPr>
              <w:pStyle w:val="40"/>
              <w:keepNext/>
              <w:spacing w:beforeLines="0" w:after="0" w:afterLines="0" w:line="440" w:lineRule="exact"/>
              <w:ind w:left="63" w:right="63"/>
              <w:jc w:val="center"/>
              <w:rPr>
                <w:rFonts w:hint="default" w:ascii="宋体" w:hAnsi="宋体" w:eastAsia="宋体" w:cs="宋体"/>
                <w:color w:val="auto"/>
                <w:sz w:val="24"/>
                <w:szCs w:val="24"/>
                <w:highlight w:val="none"/>
              </w:rPr>
            </w:pPr>
          </w:p>
        </w:tc>
        <w:tc>
          <w:tcPr>
            <w:tcW w:w="4252"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C6B6405">
            <w:pPr>
              <w:pStyle w:val="40"/>
              <w:keepNext/>
              <w:spacing w:beforeLines="0" w:after="0" w:afterLines="0" w:line="440" w:lineRule="exact"/>
              <w:ind w:left="63" w:right="63"/>
              <w:jc w:val="center"/>
              <w:rPr>
                <w:rFonts w:hint="default" w:ascii="宋体" w:hAnsi="宋体" w:eastAsia="宋体" w:cs="宋体"/>
                <w:color w:val="auto"/>
                <w:sz w:val="24"/>
                <w:szCs w:val="24"/>
                <w:highlight w:val="none"/>
              </w:rPr>
            </w:pPr>
          </w:p>
        </w:tc>
      </w:tr>
      <w:tr w14:paraId="3F4A4B1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197C44B0">
            <w:pPr>
              <w:pStyle w:val="40"/>
              <w:keepNext/>
              <w:spacing w:beforeLines="0" w:after="0" w:afterLines="0" w:line="440" w:lineRule="exact"/>
              <w:ind w:left="63" w:right="63"/>
              <w:jc w:val="center"/>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材料管理</w:t>
            </w:r>
          </w:p>
        </w:tc>
        <w:tc>
          <w:tcPr>
            <w:tcW w:w="14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D7BA77F">
            <w:pPr>
              <w:pStyle w:val="40"/>
              <w:keepNext/>
              <w:spacing w:beforeLines="0" w:after="0" w:afterLines="0" w:line="440" w:lineRule="exact"/>
              <w:ind w:left="63" w:right="63"/>
              <w:jc w:val="center"/>
              <w:rPr>
                <w:rFonts w:hint="default" w:ascii="宋体" w:hAnsi="宋体" w:eastAsia="宋体" w:cs="宋体"/>
                <w:color w:val="auto"/>
                <w:sz w:val="24"/>
                <w:szCs w:val="24"/>
                <w:highlight w:val="none"/>
                <w:lang w:eastAsia="zh-CN"/>
              </w:rPr>
            </w:pPr>
          </w:p>
        </w:tc>
        <w:tc>
          <w:tcPr>
            <w:tcW w:w="113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9114C22">
            <w:pPr>
              <w:pStyle w:val="40"/>
              <w:keepNext/>
              <w:spacing w:beforeLines="0" w:after="0" w:afterLines="0" w:line="440" w:lineRule="exact"/>
              <w:ind w:left="63" w:right="63"/>
              <w:jc w:val="center"/>
              <w:rPr>
                <w:rFonts w:hint="default" w:ascii="宋体" w:hAnsi="宋体" w:eastAsia="宋体" w:cs="宋体"/>
                <w:color w:val="auto"/>
                <w:sz w:val="24"/>
                <w:szCs w:val="24"/>
                <w:highlight w:val="none"/>
              </w:rPr>
            </w:pPr>
          </w:p>
        </w:tc>
        <w:tc>
          <w:tcPr>
            <w:tcW w:w="113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6AF1237">
            <w:pPr>
              <w:pStyle w:val="40"/>
              <w:keepNext/>
              <w:spacing w:beforeLines="0" w:after="0" w:afterLines="0" w:line="440" w:lineRule="exact"/>
              <w:ind w:left="63" w:right="63"/>
              <w:jc w:val="center"/>
              <w:rPr>
                <w:rFonts w:hint="default" w:ascii="宋体" w:hAnsi="宋体" w:eastAsia="宋体" w:cs="宋体"/>
                <w:color w:val="auto"/>
                <w:sz w:val="24"/>
                <w:szCs w:val="24"/>
                <w:highlight w:val="none"/>
              </w:rPr>
            </w:pPr>
          </w:p>
        </w:tc>
        <w:tc>
          <w:tcPr>
            <w:tcW w:w="4252"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196E8D9">
            <w:pPr>
              <w:pStyle w:val="40"/>
              <w:keepNext/>
              <w:spacing w:beforeLines="0" w:after="0" w:afterLines="0" w:line="440" w:lineRule="exact"/>
              <w:ind w:left="63" w:right="63"/>
              <w:jc w:val="center"/>
              <w:rPr>
                <w:rFonts w:hint="default" w:ascii="宋体" w:hAnsi="宋体" w:eastAsia="宋体" w:cs="宋体"/>
                <w:color w:val="auto"/>
                <w:sz w:val="24"/>
                <w:szCs w:val="24"/>
                <w:highlight w:val="none"/>
              </w:rPr>
            </w:pPr>
          </w:p>
        </w:tc>
      </w:tr>
      <w:tr w14:paraId="0314826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20BCF326">
            <w:pPr>
              <w:pStyle w:val="40"/>
              <w:keepNext/>
              <w:spacing w:beforeLines="0" w:after="0" w:afterLines="0" w:line="440" w:lineRule="exact"/>
              <w:ind w:left="63" w:right="63"/>
              <w:jc w:val="center"/>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计划管理</w:t>
            </w:r>
          </w:p>
        </w:tc>
        <w:tc>
          <w:tcPr>
            <w:tcW w:w="14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3E02472">
            <w:pPr>
              <w:pStyle w:val="40"/>
              <w:keepNext/>
              <w:spacing w:beforeLines="0" w:after="0" w:afterLines="0" w:line="440" w:lineRule="exact"/>
              <w:ind w:left="63" w:right="63"/>
              <w:jc w:val="center"/>
              <w:rPr>
                <w:rFonts w:hint="default" w:ascii="宋体" w:hAnsi="宋体" w:eastAsia="宋体" w:cs="宋体"/>
                <w:color w:val="auto"/>
                <w:sz w:val="24"/>
                <w:szCs w:val="24"/>
                <w:highlight w:val="none"/>
                <w:lang w:eastAsia="zh-CN"/>
              </w:rPr>
            </w:pPr>
          </w:p>
        </w:tc>
        <w:tc>
          <w:tcPr>
            <w:tcW w:w="113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CB0E941">
            <w:pPr>
              <w:pStyle w:val="40"/>
              <w:keepNext/>
              <w:spacing w:beforeLines="0" w:after="0" w:afterLines="0" w:line="440" w:lineRule="exact"/>
              <w:ind w:left="63" w:right="63"/>
              <w:jc w:val="center"/>
              <w:rPr>
                <w:rFonts w:hint="default" w:ascii="宋体" w:hAnsi="宋体" w:eastAsia="宋体" w:cs="宋体"/>
                <w:color w:val="auto"/>
                <w:sz w:val="24"/>
                <w:szCs w:val="24"/>
                <w:highlight w:val="none"/>
              </w:rPr>
            </w:pPr>
          </w:p>
        </w:tc>
        <w:tc>
          <w:tcPr>
            <w:tcW w:w="113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194E96A">
            <w:pPr>
              <w:pStyle w:val="40"/>
              <w:keepNext/>
              <w:spacing w:beforeLines="0" w:after="0" w:afterLines="0" w:line="440" w:lineRule="exact"/>
              <w:ind w:left="63" w:right="63"/>
              <w:jc w:val="center"/>
              <w:rPr>
                <w:rFonts w:hint="default" w:ascii="宋体" w:hAnsi="宋体" w:eastAsia="宋体" w:cs="宋体"/>
                <w:color w:val="auto"/>
                <w:sz w:val="24"/>
                <w:szCs w:val="24"/>
                <w:highlight w:val="none"/>
              </w:rPr>
            </w:pPr>
          </w:p>
        </w:tc>
        <w:tc>
          <w:tcPr>
            <w:tcW w:w="4252"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E199288">
            <w:pPr>
              <w:pStyle w:val="40"/>
              <w:keepNext/>
              <w:spacing w:beforeLines="0" w:after="0" w:afterLines="0" w:line="440" w:lineRule="exact"/>
              <w:ind w:left="63" w:right="63"/>
              <w:jc w:val="center"/>
              <w:rPr>
                <w:rFonts w:hint="default" w:ascii="宋体" w:hAnsi="宋体" w:eastAsia="宋体" w:cs="宋体"/>
                <w:color w:val="auto"/>
                <w:sz w:val="24"/>
                <w:szCs w:val="24"/>
                <w:highlight w:val="none"/>
              </w:rPr>
            </w:pPr>
          </w:p>
        </w:tc>
      </w:tr>
      <w:tr w14:paraId="0015D49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6E5F75E6">
            <w:pPr>
              <w:pStyle w:val="40"/>
              <w:keepNext/>
              <w:spacing w:beforeLines="0" w:after="0" w:afterLines="0" w:line="440" w:lineRule="exact"/>
              <w:ind w:left="63" w:right="63"/>
              <w:jc w:val="center"/>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安全管理</w:t>
            </w:r>
          </w:p>
        </w:tc>
        <w:tc>
          <w:tcPr>
            <w:tcW w:w="14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9B28DD3">
            <w:pPr>
              <w:pStyle w:val="40"/>
              <w:keepNext/>
              <w:spacing w:beforeLines="0" w:after="0" w:afterLines="0" w:line="440" w:lineRule="exact"/>
              <w:ind w:left="63" w:right="63"/>
              <w:jc w:val="center"/>
              <w:rPr>
                <w:rFonts w:hint="default" w:ascii="宋体" w:hAnsi="宋体" w:eastAsia="宋体" w:cs="宋体"/>
                <w:color w:val="auto"/>
                <w:sz w:val="24"/>
                <w:szCs w:val="24"/>
                <w:highlight w:val="none"/>
              </w:rPr>
            </w:pPr>
          </w:p>
        </w:tc>
        <w:tc>
          <w:tcPr>
            <w:tcW w:w="113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41CCA94">
            <w:pPr>
              <w:pStyle w:val="40"/>
              <w:keepNext/>
              <w:spacing w:beforeLines="0" w:after="0" w:afterLines="0" w:line="440" w:lineRule="exact"/>
              <w:ind w:left="63" w:right="63"/>
              <w:jc w:val="center"/>
              <w:rPr>
                <w:rFonts w:hint="default" w:ascii="宋体" w:hAnsi="宋体" w:eastAsia="宋体" w:cs="宋体"/>
                <w:color w:val="auto"/>
                <w:sz w:val="24"/>
                <w:szCs w:val="24"/>
                <w:highlight w:val="none"/>
              </w:rPr>
            </w:pPr>
          </w:p>
        </w:tc>
        <w:tc>
          <w:tcPr>
            <w:tcW w:w="113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935E29F">
            <w:pPr>
              <w:pStyle w:val="40"/>
              <w:keepNext/>
              <w:spacing w:beforeLines="0" w:after="0" w:afterLines="0" w:line="440" w:lineRule="exact"/>
              <w:ind w:left="63" w:right="63"/>
              <w:jc w:val="center"/>
              <w:rPr>
                <w:rFonts w:hint="default" w:ascii="宋体" w:hAnsi="宋体" w:eastAsia="宋体" w:cs="宋体"/>
                <w:color w:val="auto"/>
                <w:sz w:val="24"/>
                <w:szCs w:val="24"/>
                <w:highlight w:val="none"/>
              </w:rPr>
            </w:pPr>
          </w:p>
        </w:tc>
        <w:tc>
          <w:tcPr>
            <w:tcW w:w="4252"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6E3464F">
            <w:pPr>
              <w:pStyle w:val="40"/>
              <w:keepNext/>
              <w:spacing w:beforeLines="0" w:after="0" w:afterLines="0" w:line="440" w:lineRule="exact"/>
              <w:ind w:left="63" w:right="63"/>
              <w:jc w:val="center"/>
              <w:rPr>
                <w:rFonts w:hint="default" w:ascii="宋体" w:hAnsi="宋体" w:eastAsia="宋体" w:cs="宋体"/>
                <w:color w:val="auto"/>
                <w:sz w:val="24"/>
                <w:szCs w:val="24"/>
                <w:highlight w:val="none"/>
              </w:rPr>
            </w:pPr>
          </w:p>
        </w:tc>
      </w:tr>
      <w:tr w14:paraId="0F93ECB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4C6F37C4">
            <w:pPr>
              <w:pStyle w:val="40"/>
              <w:keepNext/>
              <w:spacing w:beforeLines="0" w:after="0" w:afterLines="0" w:line="440" w:lineRule="exact"/>
              <w:ind w:left="63" w:right="63"/>
              <w:jc w:val="center"/>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其他人员</w:t>
            </w:r>
          </w:p>
        </w:tc>
        <w:tc>
          <w:tcPr>
            <w:tcW w:w="14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D169644">
            <w:pPr>
              <w:pStyle w:val="40"/>
              <w:keepNext/>
              <w:spacing w:beforeLines="0" w:after="0" w:afterLines="0" w:line="440" w:lineRule="exact"/>
              <w:ind w:left="63" w:right="63"/>
              <w:jc w:val="center"/>
              <w:rPr>
                <w:rFonts w:hint="default" w:ascii="宋体" w:hAnsi="宋体" w:eastAsia="宋体" w:cs="宋体"/>
                <w:color w:val="auto"/>
                <w:sz w:val="24"/>
                <w:szCs w:val="24"/>
                <w:highlight w:val="none"/>
              </w:rPr>
            </w:pPr>
          </w:p>
        </w:tc>
        <w:tc>
          <w:tcPr>
            <w:tcW w:w="113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A56BBC8">
            <w:pPr>
              <w:pStyle w:val="40"/>
              <w:keepNext/>
              <w:spacing w:beforeLines="0" w:after="0" w:afterLines="0" w:line="440" w:lineRule="exact"/>
              <w:ind w:left="63" w:right="63"/>
              <w:jc w:val="center"/>
              <w:rPr>
                <w:rFonts w:hint="default" w:ascii="宋体" w:hAnsi="宋体" w:eastAsia="宋体" w:cs="宋体"/>
                <w:color w:val="auto"/>
                <w:sz w:val="24"/>
                <w:szCs w:val="24"/>
                <w:highlight w:val="none"/>
              </w:rPr>
            </w:pPr>
          </w:p>
        </w:tc>
        <w:tc>
          <w:tcPr>
            <w:tcW w:w="113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BF0B05C">
            <w:pPr>
              <w:pStyle w:val="40"/>
              <w:keepNext/>
              <w:spacing w:beforeLines="0" w:after="0" w:afterLines="0" w:line="440" w:lineRule="exact"/>
              <w:ind w:left="63" w:right="63"/>
              <w:jc w:val="center"/>
              <w:rPr>
                <w:rFonts w:hint="default" w:ascii="宋体" w:hAnsi="宋体" w:eastAsia="宋体" w:cs="宋体"/>
                <w:color w:val="auto"/>
                <w:sz w:val="24"/>
                <w:szCs w:val="24"/>
                <w:highlight w:val="none"/>
              </w:rPr>
            </w:pPr>
          </w:p>
        </w:tc>
        <w:tc>
          <w:tcPr>
            <w:tcW w:w="4252"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544B854">
            <w:pPr>
              <w:pStyle w:val="40"/>
              <w:keepNext/>
              <w:spacing w:beforeLines="0" w:after="0" w:afterLines="0" w:line="440" w:lineRule="exact"/>
              <w:ind w:left="63" w:right="63"/>
              <w:jc w:val="center"/>
              <w:rPr>
                <w:rFonts w:hint="default" w:ascii="宋体" w:hAnsi="宋体" w:eastAsia="宋体" w:cs="宋体"/>
                <w:color w:val="auto"/>
                <w:sz w:val="24"/>
                <w:szCs w:val="24"/>
                <w:highlight w:val="none"/>
              </w:rPr>
            </w:pPr>
          </w:p>
        </w:tc>
      </w:tr>
      <w:tr w14:paraId="537923D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5D38FB42">
            <w:pPr>
              <w:pStyle w:val="40"/>
              <w:keepNext/>
              <w:spacing w:beforeLines="0" w:after="0" w:afterLines="0" w:line="440" w:lineRule="exact"/>
              <w:ind w:left="63" w:right="63"/>
              <w:jc w:val="center"/>
              <w:rPr>
                <w:rFonts w:hint="default" w:ascii="宋体" w:hAnsi="宋体" w:eastAsia="宋体" w:cs="宋体"/>
                <w:color w:val="auto"/>
                <w:sz w:val="24"/>
                <w:szCs w:val="24"/>
                <w:highlight w:val="none"/>
              </w:rPr>
            </w:pPr>
          </w:p>
        </w:tc>
        <w:tc>
          <w:tcPr>
            <w:tcW w:w="1418" w:type="dxa"/>
            <w:tcBorders>
              <w:top w:val="single" w:color="auto" w:sz="6" w:space="0"/>
              <w:left w:val="single" w:color="auto" w:sz="6" w:space="0"/>
              <w:bottom w:val="nil"/>
              <w:right w:val="single" w:color="auto" w:sz="6" w:space="0"/>
              <w:tl2br w:val="nil"/>
              <w:tr2bl w:val="nil"/>
            </w:tcBorders>
            <w:noWrap w:val="0"/>
            <w:vAlign w:val="center"/>
          </w:tcPr>
          <w:p w14:paraId="60F5FA2E">
            <w:pPr>
              <w:pStyle w:val="40"/>
              <w:keepNext/>
              <w:spacing w:beforeLines="0" w:after="0" w:afterLines="0" w:line="440" w:lineRule="exact"/>
              <w:ind w:left="63" w:right="63"/>
              <w:jc w:val="center"/>
              <w:rPr>
                <w:rFonts w:hint="default" w:ascii="宋体" w:hAnsi="宋体" w:eastAsia="宋体" w:cs="宋体"/>
                <w:color w:val="auto"/>
                <w:sz w:val="24"/>
                <w:szCs w:val="24"/>
                <w:highlight w:val="none"/>
              </w:rPr>
            </w:pPr>
          </w:p>
        </w:tc>
        <w:tc>
          <w:tcPr>
            <w:tcW w:w="1134" w:type="dxa"/>
            <w:tcBorders>
              <w:top w:val="single" w:color="auto" w:sz="6" w:space="0"/>
              <w:left w:val="single" w:color="auto" w:sz="6" w:space="0"/>
              <w:bottom w:val="nil"/>
              <w:right w:val="single" w:color="auto" w:sz="6" w:space="0"/>
              <w:tl2br w:val="nil"/>
              <w:tr2bl w:val="nil"/>
            </w:tcBorders>
            <w:noWrap w:val="0"/>
            <w:vAlign w:val="center"/>
          </w:tcPr>
          <w:p w14:paraId="1E7B7CBD">
            <w:pPr>
              <w:pStyle w:val="40"/>
              <w:keepNext/>
              <w:spacing w:beforeLines="0" w:after="0" w:afterLines="0" w:line="440" w:lineRule="exact"/>
              <w:ind w:left="63" w:right="63"/>
              <w:jc w:val="center"/>
              <w:rPr>
                <w:rFonts w:hint="default" w:ascii="宋体" w:hAnsi="宋体" w:eastAsia="宋体" w:cs="宋体"/>
                <w:color w:val="auto"/>
                <w:sz w:val="24"/>
                <w:szCs w:val="24"/>
                <w:highlight w:val="none"/>
              </w:rPr>
            </w:pPr>
          </w:p>
        </w:tc>
        <w:tc>
          <w:tcPr>
            <w:tcW w:w="1134" w:type="dxa"/>
            <w:tcBorders>
              <w:top w:val="single" w:color="auto" w:sz="6" w:space="0"/>
              <w:left w:val="single" w:color="auto" w:sz="6" w:space="0"/>
              <w:bottom w:val="nil"/>
              <w:right w:val="single" w:color="auto" w:sz="6" w:space="0"/>
              <w:tl2br w:val="nil"/>
              <w:tr2bl w:val="nil"/>
            </w:tcBorders>
            <w:noWrap w:val="0"/>
            <w:vAlign w:val="center"/>
          </w:tcPr>
          <w:p w14:paraId="1A4AE6A2">
            <w:pPr>
              <w:pStyle w:val="40"/>
              <w:keepNext/>
              <w:spacing w:beforeLines="0" w:after="0" w:afterLines="0" w:line="440" w:lineRule="exact"/>
              <w:ind w:left="63" w:right="63"/>
              <w:jc w:val="center"/>
              <w:rPr>
                <w:rFonts w:hint="default" w:ascii="宋体" w:hAnsi="宋体" w:eastAsia="宋体" w:cs="宋体"/>
                <w:color w:val="auto"/>
                <w:sz w:val="24"/>
                <w:szCs w:val="24"/>
                <w:highlight w:val="none"/>
              </w:rPr>
            </w:pPr>
          </w:p>
        </w:tc>
        <w:tc>
          <w:tcPr>
            <w:tcW w:w="4252" w:type="dxa"/>
            <w:tcBorders>
              <w:top w:val="single" w:color="auto" w:sz="6" w:space="0"/>
              <w:left w:val="single" w:color="auto" w:sz="6" w:space="0"/>
              <w:bottom w:val="nil"/>
              <w:right w:val="single" w:color="auto" w:sz="12" w:space="0"/>
              <w:tl2br w:val="nil"/>
              <w:tr2bl w:val="nil"/>
            </w:tcBorders>
            <w:noWrap w:val="0"/>
            <w:vAlign w:val="center"/>
          </w:tcPr>
          <w:p w14:paraId="12674C54">
            <w:pPr>
              <w:pStyle w:val="40"/>
              <w:keepNext/>
              <w:spacing w:beforeLines="0" w:after="0" w:afterLines="0" w:line="440" w:lineRule="exact"/>
              <w:ind w:left="63" w:right="63"/>
              <w:jc w:val="center"/>
              <w:rPr>
                <w:rFonts w:hint="default" w:ascii="宋体" w:hAnsi="宋体" w:eastAsia="宋体" w:cs="宋体"/>
                <w:color w:val="auto"/>
                <w:sz w:val="24"/>
                <w:szCs w:val="24"/>
                <w:highlight w:val="none"/>
              </w:rPr>
            </w:pPr>
          </w:p>
        </w:tc>
      </w:tr>
      <w:tr w14:paraId="5D0209E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41943B15">
            <w:pPr>
              <w:pStyle w:val="40"/>
              <w:keepNext/>
              <w:spacing w:beforeLines="0" w:after="0" w:afterLines="0" w:line="440" w:lineRule="exact"/>
              <w:ind w:left="63" w:right="63"/>
              <w:jc w:val="center"/>
              <w:rPr>
                <w:rFonts w:hint="default" w:ascii="宋体" w:hAnsi="宋体" w:eastAsia="宋体" w:cs="宋体"/>
                <w:color w:val="auto"/>
                <w:sz w:val="24"/>
                <w:szCs w:val="24"/>
                <w:highlight w:val="none"/>
              </w:rPr>
            </w:pPr>
          </w:p>
        </w:tc>
        <w:tc>
          <w:tcPr>
            <w:tcW w:w="14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8183DD0">
            <w:pPr>
              <w:pStyle w:val="40"/>
              <w:keepNext/>
              <w:spacing w:beforeLines="0" w:after="0" w:afterLines="0" w:line="440" w:lineRule="exact"/>
              <w:ind w:left="63" w:right="63"/>
              <w:jc w:val="center"/>
              <w:rPr>
                <w:rFonts w:hint="default" w:ascii="宋体" w:hAnsi="宋体" w:eastAsia="宋体" w:cs="宋体"/>
                <w:color w:val="auto"/>
                <w:sz w:val="24"/>
                <w:szCs w:val="24"/>
                <w:highlight w:val="none"/>
              </w:rPr>
            </w:pPr>
          </w:p>
        </w:tc>
        <w:tc>
          <w:tcPr>
            <w:tcW w:w="113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EF51BFB">
            <w:pPr>
              <w:pStyle w:val="40"/>
              <w:keepNext/>
              <w:spacing w:beforeLines="0" w:after="0" w:afterLines="0" w:line="440" w:lineRule="exact"/>
              <w:ind w:left="63" w:right="63"/>
              <w:jc w:val="center"/>
              <w:rPr>
                <w:rFonts w:hint="default" w:ascii="宋体" w:hAnsi="宋体" w:eastAsia="宋体" w:cs="宋体"/>
                <w:color w:val="auto"/>
                <w:sz w:val="24"/>
                <w:szCs w:val="24"/>
                <w:highlight w:val="none"/>
              </w:rPr>
            </w:pPr>
          </w:p>
        </w:tc>
        <w:tc>
          <w:tcPr>
            <w:tcW w:w="113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3CBC8E8">
            <w:pPr>
              <w:pStyle w:val="40"/>
              <w:keepNext/>
              <w:spacing w:beforeLines="0" w:after="0" w:afterLines="0" w:line="440" w:lineRule="exact"/>
              <w:ind w:left="63" w:right="63"/>
              <w:jc w:val="center"/>
              <w:rPr>
                <w:rFonts w:hint="default" w:ascii="宋体" w:hAnsi="宋体" w:eastAsia="宋体" w:cs="宋体"/>
                <w:color w:val="auto"/>
                <w:sz w:val="24"/>
                <w:szCs w:val="24"/>
                <w:highlight w:val="none"/>
              </w:rPr>
            </w:pPr>
          </w:p>
        </w:tc>
        <w:tc>
          <w:tcPr>
            <w:tcW w:w="4252"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87E9721">
            <w:pPr>
              <w:pStyle w:val="40"/>
              <w:keepNext/>
              <w:spacing w:beforeLines="0" w:after="0" w:afterLines="0" w:line="440" w:lineRule="exact"/>
              <w:ind w:left="63" w:right="63"/>
              <w:jc w:val="center"/>
              <w:rPr>
                <w:rFonts w:hint="default" w:ascii="宋体" w:hAnsi="宋体" w:eastAsia="宋体" w:cs="宋体"/>
                <w:color w:val="auto"/>
                <w:sz w:val="24"/>
                <w:szCs w:val="24"/>
                <w:highlight w:val="none"/>
              </w:rPr>
            </w:pPr>
          </w:p>
        </w:tc>
      </w:tr>
      <w:tr w14:paraId="37E3F3F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3ECC192B">
            <w:pPr>
              <w:pStyle w:val="40"/>
              <w:keepNext/>
              <w:spacing w:beforeLines="0" w:after="0" w:afterLines="0" w:line="440" w:lineRule="exact"/>
              <w:ind w:left="63" w:right="63"/>
              <w:jc w:val="center"/>
              <w:rPr>
                <w:rFonts w:hint="default" w:ascii="宋体" w:hAnsi="宋体" w:eastAsia="宋体" w:cs="宋体"/>
                <w:color w:val="auto"/>
                <w:sz w:val="24"/>
                <w:szCs w:val="24"/>
                <w:highlight w:val="none"/>
              </w:rPr>
            </w:pPr>
          </w:p>
        </w:tc>
        <w:tc>
          <w:tcPr>
            <w:tcW w:w="14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86AA753">
            <w:pPr>
              <w:pStyle w:val="40"/>
              <w:keepNext/>
              <w:spacing w:beforeLines="0" w:after="0" w:afterLines="0" w:line="440" w:lineRule="exact"/>
              <w:ind w:left="63" w:right="63"/>
              <w:jc w:val="center"/>
              <w:rPr>
                <w:rFonts w:hint="default" w:ascii="宋体" w:hAnsi="宋体" w:eastAsia="宋体" w:cs="宋体"/>
                <w:color w:val="auto"/>
                <w:sz w:val="24"/>
                <w:szCs w:val="24"/>
                <w:highlight w:val="none"/>
              </w:rPr>
            </w:pPr>
          </w:p>
        </w:tc>
        <w:tc>
          <w:tcPr>
            <w:tcW w:w="113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C2F3DD2">
            <w:pPr>
              <w:pStyle w:val="40"/>
              <w:keepNext/>
              <w:spacing w:beforeLines="0" w:after="0" w:afterLines="0" w:line="440" w:lineRule="exact"/>
              <w:ind w:left="63" w:right="63"/>
              <w:jc w:val="center"/>
              <w:rPr>
                <w:rFonts w:hint="default" w:ascii="宋体" w:hAnsi="宋体" w:eastAsia="宋体" w:cs="宋体"/>
                <w:color w:val="auto"/>
                <w:sz w:val="24"/>
                <w:szCs w:val="24"/>
                <w:highlight w:val="none"/>
              </w:rPr>
            </w:pPr>
          </w:p>
        </w:tc>
        <w:tc>
          <w:tcPr>
            <w:tcW w:w="113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8E2AE83">
            <w:pPr>
              <w:pStyle w:val="40"/>
              <w:keepNext/>
              <w:spacing w:beforeLines="0" w:after="0" w:afterLines="0" w:line="440" w:lineRule="exact"/>
              <w:ind w:left="63" w:right="63"/>
              <w:jc w:val="center"/>
              <w:rPr>
                <w:rFonts w:hint="default" w:ascii="宋体" w:hAnsi="宋体" w:eastAsia="宋体" w:cs="宋体"/>
                <w:color w:val="auto"/>
                <w:sz w:val="24"/>
                <w:szCs w:val="24"/>
                <w:highlight w:val="none"/>
              </w:rPr>
            </w:pPr>
          </w:p>
        </w:tc>
        <w:tc>
          <w:tcPr>
            <w:tcW w:w="4252"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44B59A4">
            <w:pPr>
              <w:pStyle w:val="40"/>
              <w:keepNext/>
              <w:spacing w:beforeLines="0" w:after="0" w:afterLines="0" w:line="440" w:lineRule="exact"/>
              <w:ind w:left="63" w:right="63"/>
              <w:jc w:val="center"/>
              <w:rPr>
                <w:rFonts w:hint="default" w:ascii="宋体" w:hAnsi="宋体" w:eastAsia="宋体" w:cs="宋体"/>
                <w:color w:val="auto"/>
                <w:sz w:val="24"/>
                <w:szCs w:val="24"/>
                <w:highlight w:val="none"/>
              </w:rPr>
            </w:pPr>
          </w:p>
        </w:tc>
      </w:tr>
      <w:tr w14:paraId="7CFFFD1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5DEF6A8A">
            <w:pPr>
              <w:pStyle w:val="40"/>
              <w:keepNext/>
              <w:spacing w:beforeLines="0" w:after="0" w:afterLines="0" w:line="440" w:lineRule="exact"/>
              <w:ind w:left="63" w:right="63"/>
              <w:jc w:val="center"/>
              <w:rPr>
                <w:rFonts w:hint="default" w:ascii="宋体" w:hAnsi="宋体" w:eastAsia="宋体" w:cs="宋体"/>
                <w:color w:val="auto"/>
                <w:sz w:val="24"/>
                <w:szCs w:val="24"/>
                <w:highlight w:val="none"/>
              </w:rPr>
            </w:pPr>
          </w:p>
        </w:tc>
        <w:tc>
          <w:tcPr>
            <w:tcW w:w="14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90146D0">
            <w:pPr>
              <w:pStyle w:val="40"/>
              <w:keepNext/>
              <w:spacing w:beforeLines="0" w:after="0" w:afterLines="0" w:line="440" w:lineRule="exact"/>
              <w:ind w:left="63" w:right="63"/>
              <w:jc w:val="center"/>
              <w:rPr>
                <w:rFonts w:hint="default" w:ascii="宋体" w:hAnsi="宋体" w:eastAsia="宋体" w:cs="宋体"/>
                <w:color w:val="auto"/>
                <w:sz w:val="24"/>
                <w:szCs w:val="24"/>
                <w:highlight w:val="none"/>
              </w:rPr>
            </w:pPr>
          </w:p>
        </w:tc>
        <w:tc>
          <w:tcPr>
            <w:tcW w:w="113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71150C6">
            <w:pPr>
              <w:pStyle w:val="40"/>
              <w:keepNext/>
              <w:spacing w:beforeLines="0" w:after="0" w:afterLines="0" w:line="440" w:lineRule="exact"/>
              <w:ind w:left="63" w:right="63"/>
              <w:jc w:val="center"/>
              <w:rPr>
                <w:rFonts w:hint="default" w:ascii="宋体" w:hAnsi="宋体" w:eastAsia="宋体" w:cs="宋体"/>
                <w:color w:val="auto"/>
                <w:sz w:val="24"/>
                <w:szCs w:val="24"/>
                <w:highlight w:val="none"/>
              </w:rPr>
            </w:pPr>
          </w:p>
        </w:tc>
        <w:tc>
          <w:tcPr>
            <w:tcW w:w="113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044DA30">
            <w:pPr>
              <w:pStyle w:val="40"/>
              <w:keepNext/>
              <w:spacing w:beforeLines="0" w:after="0" w:afterLines="0" w:line="440" w:lineRule="exact"/>
              <w:ind w:left="63" w:right="63"/>
              <w:jc w:val="center"/>
              <w:rPr>
                <w:rFonts w:hint="default" w:ascii="宋体" w:hAnsi="宋体" w:eastAsia="宋体" w:cs="宋体"/>
                <w:color w:val="auto"/>
                <w:sz w:val="24"/>
                <w:szCs w:val="24"/>
                <w:highlight w:val="none"/>
              </w:rPr>
            </w:pPr>
          </w:p>
        </w:tc>
        <w:tc>
          <w:tcPr>
            <w:tcW w:w="4252"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DC986C9">
            <w:pPr>
              <w:pStyle w:val="40"/>
              <w:keepNext/>
              <w:spacing w:beforeLines="0" w:after="0" w:afterLines="0" w:line="440" w:lineRule="exact"/>
              <w:ind w:left="63" w:right="63"/>
              <w:jc w:val="center"/>
              <w:rPr>
                <w:rFonts w:hint="default" w:ascii="宋体" w:hAnsi="宋体" w:eastAsia="宋体" w:cs="宋体"/>
                <w:color w:val="auto"/>
                <w:sz w:val="24"/>
                <w:szCs w:val="24"/>
                <w:highlight w:val="none"/>
              </w:rPr>
            </w:pPr>
          </w:p>
        </w:tc>
      </w:tr>
      <w:tr w14:paraId="0333C4B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tcBorders>
              <w:top w:val="single" w:color="auto" w:sz="6" w:space="0"/>
              <w:left w:val="single" w:color="auto" w:sz="12" w:space="0"/>
              <w:bottom w:val="single" w:color="auto" w:sz="12" w:space="0"/>
              <w:right w:val="single" w:color="auto" w:sz="6" w:space="0"/>
              <w:tl2br w:val="nil"/>
              <w:tr2bl w:val="nil"/>
            </w:tcBorders>
            <w:noWrap w:val="0"/>
            <w:vAlign w:val="center"/>
          </w:tcPr>
          <w:p w14:paraId="47620442">
            <w:pPr>
              <w:pStyle w:val="40"/>
              <w:keepNext/>
              <w:spacing w:beforeLines="0" w:after="0" w:afterLines="0" w:line="440" w:lineRule="exact"/>
              <w:ind w:left="63" w:right="63"/>
              <w:jc w:val="center"/>
              <w:rPr>
                <w:rFonts w:hint="default" w:ascii="宋体" w:hAnsi="宋体" w:eastAsia="宋体" w:cs="宋体"/>
                <w:color w:val="auto"/>
                <w:sz w:val="24"/>
                <w:szCs w:val="24"/>
                <w:highlight w:val="none"/>
              </w:rPr>
            </w:pPr>
          </w:p>
        </w:tc>
        <w:tc>
          <w:tcPr>
            <w:tcW w:w="1418"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2F091A32">
            <w:pPr>
              <w:pStyle w:val="40"/>
              <w:keepNext/>
              <w:spacing w:beforeLines="0" w:after="0" w:afterLines="0" w:line="440" w:lineRule="exact"/>
              <w:ind w:left="63" w:right="63"/>
              <w:jc w:val="center"/>
              <w:rPr>
                <w:rFonts w:hint="default" w:ascii="宋体" w:hAnsi="宋体" w:eastAsia="宋体" w:cs="宋体"/>
                <w:color w:val="auto"/>
                <w:sz w:val="24"/>
                <w:szCs w:val="24"/>
                <w:highlight w:val="none"/>
              </w:rPr>
            </w:pPr>
          </w:p>
        </w:tc>
        <w:tc>
          <w:tcPr>
            <w:tcW w:w="1134"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3F4D610F">
            <w:pPr>
              <w:pStyle w:val="40"/>
              <w:keepNext/>
              <w:spacing w:beforeLines="0" w:after="0" w:afterLines="0" w:line="440" w:lineRule="exact"/>
              <w:ind w:left="63" w:right="63"/>
              <w:jc w:val="center"/>
              <w:rPr>
                <w:rFonts w:hint="default" w:ascii="宋体" w:hAnsi="宋体" w:eastAsia="宋体" w:cs="宋体"/>
                <w:color w:val="auto"/>
                <w:sz w:val="24"/>
                <w:szCs w:val="24"/>
                <w:highlight w:val="none"/>
              </w:rPr>
            </w:pPr>
          </w:p>
        </w:tc>
        <w:tc>
          <w:tcPr>
            <w:tcW w:w="1134"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4947399A">
            <w:pPr>
              <w:pStyle w:val="40"/>
              <w:keepNext/>
              <w:spacing w:beforeLines="0" w:after="0" w:afterLines="0" w:line="440" w:lineRule="exact"/>
              <w:ind w:left="63" w:right="63"/>
              <w:jc w:val="center"/>
              <w:rPr>
                <w:rFonts w:hint="default" w:ascii="宋体" w:hAnsi="宋体" w:eastAsia="宋体" w:cs="宋体"/>
                <w:color w:val="auto"/>
                <w:sz w:val="24"/>
                <w:szCs w:val="24"/>
                <w:highlight w:val="none"/>
              </w:rPr>
            </w:pPr>
          </w:p>
        </w:tc>
        <w:tc>
          <w:tcPr>
            <w:tcW w:w="4252" w:type="dxa"/>
            <w:tcBorders>
              <w:top w:val="single" w:color="auto" w:sz="6" w:space="0"/>
              <w:left w:val="single" w:color="auto" w:sz="6" w:space="0"/>
              <w:bottom w:val="single" w:color="auto" w:sz="12" w:space="0"/>
              <w:right w:val="single" w:color="auto" w:sz="12" w:space="0"/>
              <w:tl2br w:val="nil"/>
              <w:tr2bl w:val="nil"/>
            </w:tcBorders>
            <w:noWrap w:val="0"/>
            <w:vAlign w:val="center"/>
          </w:tcPr>
          <w:p w14:paraId="1E7CD238">
            <w:pPr>
              <w:pStyle w:val="40"/>
              <w:keepNext/>
              <w:spacing w:beforeLines="0" w:after="0" w:afterLines="0" w:line="440" w:lineRule="exact"/>
              <w:ind w:left="63" w:right="63"/>
              <w:jc w:val="center"/>
              <w:rPr>
                <w:rFonts w:hint="default" w:ascii="宋体" w:hAnsi="宋体" w:eastAsia="宋体" w:cs="宋体"/>
                <w:color w:val="auto"/>
                <w:sz w:val="24"/>
                <w:szCs w:val="24"/>
                <w:highlight w:val="none"/>
              </w:rPr>
            </w:pPr>
          </w:p>
        </w:tc>
      </w:tr>
    </w:tbl>
    <w:p w14:paraId="62DD1DD5">
      <w:pPr>
        <w:jc w:val="center"/>
        <w:rPr>
          <w:rFonts w:hint="default" w:ascii="宋体" w:hAnsi="宋体" w:eastAsia="宋体" w:cs="宋体"/>
          <w:color w:val="auto"/>
          <w:sz w:val="24"/>
          <w:szCs w:val="24"/>
          <w:highlight w:val="none"/>
        </w:rPr>
      </w:pPr>
    </w:p>
    <w:p w14:paraId="6F578B96">
      <w:pPr>
        <w:jc w:val="center"/>
        <w:rPr>
          <w:rFonts w:hint="default" w:ascii="宋体" w:hAnsi="宋体" w:eastAsia="宋体" w:cs="宋体"/>
          <w:color w:val="auto"/>
          <w:sz w:val="24"/>
          <w:szCs w:val="24"/>
          <w:highlight w:val="none"/>
        </w:rPr>
      </w:pPr>
    </w:p>
    <w:p w14:paraId="01BEEE19">
      <w:pPr>
        <w:jc w:val="center"/>
        <w:rPr>
          <w:rFonts w:hint="default" w:ascii="宋体" w:hAnsi="宋体" w:eastAsia="宋体" w:cs="宋体"/>
          <w:color w:val="auto"/>
          <w:sz w:val="24"/>
          <w:szCs w:val="24"/>
          <w:highlight w:val="none"/>
        </w:rPr>
      </w:pPr>
    </w:p>
    <w:p w14:paraId="2A3EA81B">
      <w:pPr>
        <w:rPr>
          <w:rFonts w:hint="default" w:ascii="宋体" w:hAnsi="宋体" w:eastAsia="宋体" w:cs="宋体"/>
          <w:color w:val="auto"/>
          <w:sz w:val="20"/>
          <w:szCs w:val="20"/>
          <w:highlight w:val="none"/>
        </w:rPr>
      </w:pPr>
    </w:p>
    <w:p w14:paraId="72CDC4B5">
      <w:pPr>
        <w:rPr>
          <w:rFonts w:hint="default" w:ascii="宋体" w:hAnsi="宋体" w:eastAsia="宋体" w:cs="宋体"/>
          <w:color w:val="auto"/>
          <w:sz w:val="20"/>
          <w:szCs w:val="20"/>
          <w:highlight w:val="none"/>
        </w:rPr>
      </w:pPr>
    </w:p>
    <w:p w14:paraId="1CBA29D3">
      <w:pPr>
        <w:rPr>
          <w:rFonts w:hint="default" w:ascii="宋体" w:hAnsi="宋体" w:eastAsia="宋体" w:cs="宋体"/>
          <w:color w:val="auto"/>
          <w:sz w:val="20"/>
          <w:szCs w:val="20"/>
          <w:highlight w:val="none"/>
        </w:rPr>
      </w:pPr>
    </w:p>
    <w:p w14:paraId="25005F25">
      <w:pPr>
        <w:rPr>
          <w:rFonts w:hint="default" w:ascii="宋体" w:hAnsi="宋体" w:eastAsia="宋体" w:cs="宋体"/>
          <w:color w:val="auto"/>
          <w:sz w:val="20"/>
          <w:szCs w:val="20"/>
          <w:highlight w:val="none"/>
        </w:rPr>
      </w:pPr>
    </w:p>
    <w:p w14:paraId="390FB6F0">
      <w:pPr>
        <w:rPr>
          <w:rFonts w:hint="default" w:ascii="宋体" w:hAnsi="宋体" w:eastAsia="宋体" w:cs="宋体"/>
          <w:color w:val="auto"/>
          <w:sz w:val="20"/>
          <w:szCs w:val="20"/>
          <w:highlight w:val="none"/>
        </w:rPr>
      </w:pPr>
    </w:p>
    <w:p w14:paraId="4DABA749">
      <w:pPr>
        <w:rPr>
          <w:rFonts w:hint="default" w:ascii="宋体" w:hAnsi="宋体" w:eastAsia="宋体" w:cs="宋体"/>
          <w:color w:val="auto"/>
          <w:sz w:val="20"/>
          <w:szCs w:val="20"/>
          <w:highlight w:val="none"/>
        </w:rPr>
      </w:pPr>
    </w:p>
    <w:p w14:paraId="7DB98C3C">
      <w:pPr>
        <w:rPr>
          <w:rFonts w:hint="default" w:ascii="宋体" w:hAnsi="宋体" w:eastAsia="宋体" w:cs="宋体"/>
          <w:color w:val="auto"/>
          <w:sz w:val="20"/>
          <w:szCs w:val="20"/>
          <w:highlight w:val="none"/>
        </w:rPr>
      </w:pPr>
    </w:p>
    <w:p w14:paraId="3E0726E5">
      <w:pPr>
        <w:rPr>
          <w:rFonts w:hint="default" w:ascii="宋体" w:eastAsia="宋体"/>
          <w:color w:val="auto"/>
          <w:sz w:val="21"/>
          <w:szCs w:val="24"/>
          <w:highlight w:val="none"/>
        </w:rPr>
      </w:pPr>
    </w:p>
    <w:p w14:paraId="0E110BFC">
      <w:pPr>
        <w:rPr>
          <w:rFonts w:hint="default" w:ascii="宋体" w:eastAsia="宋体"/>
          <w:color w:val="auto"/>
          <w:sz w:val="21"/>
          <w:szCs w:val="24"/>
          <w:highlight w:val="none"/>
        </w:rPr>
      </w:pPr>
    </w:p>
    <w:p w14:paraId="3BECB462">
      <w:pPr>
        <w:rPr>
          <w:rFonts w:hint="default" w:ascii="宋体" w:eastAsia="宋体"/>
          <w:b/>
          <w:color w:val="auto"/>
          <w:sz w:val="28"/>
          <w:szCs w:val="28"/>
          <w:highlight w:val="none"/>
        </w:rPr>
      </w:pPr>
    </w:p>
    <w:p w14:paraId="706C7857">
      <w:pPr>
        <w:rPr>
          <w:rFonts w:hint="default" w:ascii="宋体" w:eastAsia="宋体"/>
          <w:b/>
          <w:color w:val="auto"/>
          <w:sz w:val="28"/>
          <w:szCs w:val="28"/>
          <w:highlight w:val="none"/>
        </w:rPr>
      </w:pPr>
      <w:r>
        <w:rPr>
          <w:rFonts w:hint="default" w:ascii="宋体" w:eastAsia="宋体"/>
          <w:b/>
          <w:color w:val="auto"/>
          <w:sz w:val="28"/>
          <w:szCs w:val="28"/>
          <w:highlight w:val="none"/>
        </w:rPr>
        <w:t>附件六：廉政合同</w:t>
      </w:r>
    </w:p>
    <w:p w14:paraId="4F4C711A">
      <w:pPr>
        <w:pStyle w:val="40"/>
        <w:spacing w:before="9" w:beforeLines="0" w:afterLines="0"/>
        <w:ind w:left="63" w:right="63"/>
        <w:rPr>
          <w:rFonts w:hint="default" w:ascii="宋体" w:hAnsi="宋体" w:eastAsia="宋体" w:cs="宋体"/>
          <w:b/>
          <w:color w:val="auto"/>
          <w:sz w:val="24"/>
          <w:szCs w:val="24"/>
          <w:highlight w:val="none"/>
        </w:rPr>
      </w:pPr>
    </w:p>
    <w:p w14:paraId="4AEE7DB8">
      <w:pPr>
        <w:pStyle w:val="23"/>
        <w:spacing w:beforeLines="0" w:afterLines="0"/>
        <w:ind w:left="564" w:right="1167"/>
        <w:jc w:val="center"/>
        <w:rPr>
          <w:rFonts w:hint="default" w:ascii="宋体" w:hAnsi="宋体" w:eastAsia="宋体" w:cs="宋体"/>
          <w:color w:val="auto"/>
          <w:sz w:val="24"/>
          <w:szCs w:val="24"/>
          <w:highlight w:val="none"/>
          <w:lang w:eastAsia="zh-CN"/>
        </w:rPr>
      </w:pPr>
      <w:r>
        <w:rPr>
          <w:rFonts w:hint="default" w:ascii="宋体" w:hAnsi="宋体" w:eastAsia="宋体" w:cs="宋体"/>
          <w:b/>
          <w:bCs/>
          <w:color w:val="auto"/>
          <w:sz w:val="28"/>
          <w:szCs w:val="28"/>
          <w:highlight w:val="none"/>
        </w:rPr>
        <w:t>廉政合同</w:t>
      </w:r>
    </w:p>
    <w:p w14:paraId="22B3E4A6">
      <w:pPr>
        <w:pStyle w:val="40"/>
        <w:keepNext w:val="0"/>
        <w:keepLines w:val="0"/>
        <w:pageBreakBefore w:val="0"/>
        <w:widowControl w:val="0"/>
        <w:kinsoku/>
        <w:wordWrap/>
        <w:overflowPunct/>
        <w:topLinePunct w:val="0"/>
        <w:bidi w:val="0"/>
        <w:adjustRightInd/>
        <w:snapToGrid/>
        <w:spacing w:before="12" w:beforeLines="0" w:afterLines="0" w:line="440" w:lineRule="exact"/>
        <w:ind w:left="63" w:right="63" w:firstLine="720" w:firstLineChars="300"/>
        <w:textAlignment w:val="auto"/>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根据国家有关工程建设、廉政建设的规定，为做好工程建设中的党风廉政建设，保证工程建设高效优质，保证建设资金的安全和有效使用以及投资效益，建设工程的项目法人</w:t>
      </w:r>
      <w:r>
        <w:rPr>
          <w:rFonts w:hint="default" w:ascii="宋体" w:hAnsi="宋体" w:eastAsia="宋体" w:cs="宋体"/>
          <w:color w:val="auto"/>
          <w:sz w:val="24"/>
          <w:szCs w:val="24"/>
          <w:highlight w:val="none"/>
          <w:lang w:eastAsia="zh-CN"/>
        </w:rPr>
        <w:t xml:space="preserve"> </w:t>
      </w:r>
      <w:r>
        <w:rPr>
          <w:rFonts w:hint="default" w:ascii="宋体" w:hAnsi="宋体" w:eastAsia="宋体" w:cs="宋体"/>
          <w:color w:val="auto"/>
          <w:sz w:val="24"/>
          <w:szCs w:val="24"/>
          <w:highlight w:val="none"/>
          <w:u w:val="single"/>
          <w:lang w:eastAsia="zh-CN"/>
        </w:rPr>
        <w:t xml:space="preserve">      </w:t>
      </w:r>
      <w:r>
        <w:rPr>
          <w:rFonts w:hint="default" w:ascii="宋体" w:hAnsi="宋体" w:eastAsia="宋体" w:cs="宋体"/>
          <w:color w:val="auto"/>
          <w:sz w:val="24"/>
          <w:szCs w:val="24"/>
          <w:highlight w:val="none"/>
        </w:rPr>
        <w:t>（以下简称“甲方”）与总承包单位</w:t>
      </w:r>
      <w:r>
        <w:rPr>
          <w:rFonts w:hint="default" w:ascii="宋体" w:hAnsi="宋体" w:eastAsia="宋体" w:cs="宋体"/>
          <w:color w:val="auto"/>
          <w:sz w:val="24"/>
          <w:szCs w:val="24"/>
          <w:highlight w:val="none"/>
          <w:u w:val="single"/>
        </w:rPr>
        <w:t xml:space="preserve">  </w:t>
      </w:r>
      <w:r>
        <w:rPr>
          <w:rFonts w:hint="default" w:ascii="宋体" w:hAnsi="宋体" w:eastAsia="宋体" w:cs="宋体"/>
          <w:color w:val="auto"/>
          <w:sz w:val="24"/>
          <w:szCs w:val="24"/>
          <w:highlight w:val="none"/>
          <w:u w:val="single"/>
          <w:lang w:eastAsia="zh-CN"/>
        </w:rPr>
        <w:t xml:space="preserve">             </w:t>
      </w:r>
      <w:r>
        <w:rPr>
          <w:rFonts w:hint="default" w:ascii="宋体" w:hAnsi="宋体" w:eastAsia="宋体" w:cs="宋体"/>
          <w:color w:val="auto"/>
          <w:sz w:val="24"/>
          <w:szCs w:val="24"/>
          <w:highlight w:val="none"/>
        </w:rPr>
        <w:t>（以下简称“乙方”），特订立如下合同。</w:t>
      </w:r>
    </w:p>
    <w:p w14:paraId="24BC37B2">
      <w:pPr>
        <w:pStyle w:val="44"/>
        <w:keepNext w:val="0"/>
        <w:keepLines w:val="0"/>
        <w:pageBreakBefore w:val="0"/>
        <w:widowControl w:val="0"/>
        <w:tabs>
          <w:tab w:val="left" w:pos="1468"/>
        </w:tabs>
        <w:kinsoku/>
        <w:wordWrap/>
        <w:overflowPunct/>
        <w:topLinePunct w:val="0"/>
        <w:autoSpaceDE w:val="0"/>
        <w:autoSpaceDN w:val="0"/>
        <w:bidi w:val="0"/>
        <w:adjustRightInd/>
        <w:snapToGrid/>
        <w:spacing w:beforeLines="0" w:afterLines="0" w:line="440" w:lineRule="exact"/>
        <w:ind w:left="210" w:leftChars="100" w:right="210" w:rightChars="100" w:firstLineChars="200"/>
        <w:textAlignment w:val="auto"/>
        <w:rPr>
          <w:rFonts w:hint="default" w:ascii="宋体" w:hAnsi="宋体" w:eastAsia="宋体" w:cs="宋体"/>
          <w:color w:val="auto"/>
          <w:sz w:val="24"/>
          <w:szCs w:val="24"/>
          <w:highlight w:val="none"/>
          <w:lang w:bidi="zh-CN"/>
        </w:rPr>
      </w:pPr>
      <w:bookmarkStart w:id="1511" w:name="1.甲乙双方的权利和义务"/>
      <w:bookmarkEnd w:id="1511"/>
      <w:r>
        <w:rPr>
          <w:rFonts w:hint="default" w:ascii="宋体" w:hAnsi="宋体" w:eastAsia="宋体" w:cs="宋体"/>
          <w:color w:val="auto"/>
          <w:sz w:val="24"/>
          <w:szCs w:val="24"/>
          <w:highlight w:val="none"/>
          <w:lang w:bidi="zh-CN"/>
        </w:rPr>
        <w:t>1.甲乙双方的权利和义务</w:t>
      </w:r>
    </w:p>
    <w:p w14:paraId="4DA3E52A">
      <w:pPr>
        <w:pStyle w:val="44"/>
        <w:keepNext w:val="0"/>
        <w:keepLines w:val="0"/>
        <w:pageBreakBefore w:val="0"/>
        <w:widowControl w:val="0"/>
        <w:tabs>
          <w:tab w:val="left" w:pos="1468"/>
        </w:tabs>
        <w:kinsoku/>
        <w:wordWrap/>
        <w:overflowPunct/>
        <w:topLinePunct w:val="0"/>
        <w:autoSpaceDE w:val="0"/>
        <w:autoSpaceDN w:val="0"/>
        <w:bidi w:val="0"/>
        <w:adjustRightInd/>
        <w:snapToGrid/>
        <w:spacing w:beforeLines="0" w:afterLines="0" w:line="440" w:lineRule="exact"/>
        <w:ind w:left="0" w:right="210" w:rightChars="100" w:firstLine="480" w:firstLineChars="200"/>
        <w:textAlignment w:val="auto"/>
        <w:rPr>
          <w:rFonts w:hint="default" w:ascii="宋体" w:hAnsi="宋体" w:eastAsia="宋体" w:cs="宋体"/>
          <w:color w:val="auto"/>
          <w:sz w:val="24"/>
          <w:szCs w:val="24"/>
          <w:highlight w:val="none"/>
          <w:lang w:bidi="zh-CN"/>
        </w:rPr>
      </w:pPr>
      <w:r>
        <w:rPr>
          <w:rFonts w:hint="default" w:ascii="宋体" w:hAnsi="宋体" w:eastAsia="宋体" w:cs="宋体"/>
          <w:color w:val="auto"/>
          <w:sz w:val="24"/>
          <w:szCs w:val="24"/>
          <w:highlight w:val="none"/>
          <w:lang w:bidi="zh-CN"/>
        </w:rPr>
        <w:t>（1）严格遵守党和国家的有关法律法规及中纪委监察部的有关规定。</w:t>
      </w:r>
    </w:p>
    <w:p w14:paraId="0E745A9D">
      <w:pPr>
        <w:pStyle w:val="44"/>
        <w:keepNext w:val="0"/>
        <w:keepLines w:val="0"/>
        <w:pageBreakBefore w:val="0"/>
        <w:widowControl w:val="0"/>
        <w:tabs>
          <w:tab w:val="left" w:pos="1468"/>
        </w:tabs>
        <w:kinsoku/>
        <w:wordWrap/>
        <w:overflowPunct/>
        <w:topLinePunct w:val="0"/>
        <w:autoSpaceDE w:val="0"/>
        <w:autoSpaceDN w:val="0"/>
        <w:bidi w:val="0"/>
        <w:adjustRightInd/>
        <w:snapToGrid/>
        <w:spacing w:beforeLines="0" w:afterLines="0" w:line="440" w:lineRule="exact"/>
        <w:ind w:left="0" w:right="210" w:rightChars="100" w:firstLine="480" w:firstLineChars="200"/>
        <w:textAlignment w:val="auto"/>
        <w:rPr>
          <w:rFonts w:hint="default" w:ascii="宋体" w:hAnsi="宋体" w:eastAsia="宋体" w:cs="宋体"/>
          <w:color w:val="auto"/>
          <w:sz w:val="24"/>
          <w:szCs w:val="24"/>
          <w:highlight w:val="none"/>
          <w:lang w:bidi="zh-CN"/>
        </w:rPr>
      </w:pPr>
      <w:r>
        <w:rPr>
          <w:rFonts w:hint="default" w:ascii="宋体" w:hAnsi="宋体" w:eastAsia="宋体" w:cs="宋体"/>
          <w:color w:val="auto"/>
          <w:sz w:val="24"/>
          <w:szCs w:val="24"/>
          <w:highlight w:val="none"/>
          <w:lang w:bidi="zh-CN"/>
        </w:rPr>
        <w:t>（2）严格执行工程的合同文件，自觉按合同办事。</w:t>
      </w:r>
    </w:p>
    <w:p w14:paraId="12AF9B1F">
      <w:pPr>
        <w:pStyle w:val="44"/>
        <w:keepNext w:val="0"/>
        <w:keepLines w:val="0"/>
        <w:pageBreakBefore w:val="0"/>
        <w:widowControl w:val="0"/>
        <w:tabs>
          <w:tab w:val="left" w:pos="1468"/>
        </w:tabs>
        <w:kinsoku/>
        <w:wordWrap/>
        <w:overflowPunct/>
        <w:topLinePunct w:val="0"/>
        <w:autoSpaceDE w:val="0"/>
        <w:autoSpaceDN w:val="0"/>
        <w:bidi w:val="0"/>
        <w:adjustRightInd/>
        <w:snapToGrid/>
        <w:spacing w:beforeLines="0" w:afterLines="0" w:line="440" w:lineRule="exact"/>
        <w:ind w:left="0" w:right="210" w:rightChars="100" w:firstLine="480" w:firstLineChars="200"/>
        <w:textAlignment w:val="auto"/>
        <w:rPr>
          <w:rFonts w:hint="default" w:ascii="宋体" w:hAnsi="宋体" w:eastAsia="宋体" w:cs="宋体"/>
          <w:color w:val="auto"/>
          <w:sz w:val="24"/>
          <w:szCs w:val="24"/>
          <w:highlight w:val="none"/>
          <w:lang w:bidi="zh-CN"/>
        </w:rPr>
      </w:pPr>
      <w:r>
        <w:rPr>
          <w:rFonts w:hint="default" w:ascii="宋体" w:hAnsi="宋体" w:eastAsia="宋体" w:cs="宋体"/>
          <w:color w:val="auto"/>
          <w:sz w:val="24"/>
          <w:szCs w:val="24"/>
          <w:highlight w:val="none"/>
          <w:lang w:bidi="zh-CN"/>
        </w:rPr>
        <w:t>（3）双方的业务活动坚持公开、公正、诚信、透明的原则（法律认定的商业秘密和合同文件另有规定除外），不得损害国家和集体利益，违反工程建设管理规章制度。</w:t>
      </w:r>
    </w:p>
    <w:p w14:paraId="1872760D">
      <w:pPr>
        <w:pStyle w:val="44"/>
        <w:keepNext w:val="0"/>
        <w:keepLines w:val="0"/>
        <w:pageBreakBefore w:val="0"/>
        <w:widowControl w:val="0"/>
        <w:tabs>
          <w:tab w:val="left" w:pos="1468"/>
        </w:tabs>
        <w:kinsoku/>
        <w:wordWrap/>
        <w:overflowPunct/>
        <w:topLinePunct w:val="0"/>
        <w:autoSpaceDE w:val="0"/>
        <w:autoSpaceDN w:val="0"/>
        <w:bidi w:val="0"/>
        <w:adjustRightInd/>
        <w:snapToGrid/>
        <w:spacing w:beforeLines="0" w:afterLines="0" w:line="440" w:lineRule="exact"/>
        <w:ind w:left="0" w:right="210" w:rightChars="100" w:firstLine="480" w:firstLineChars="200"/>
        <w:textAlignment w:val="auto"/>
        <w:rPr>
          <w:rFonts w:hint="default" w:ascii="宋体" w:hAnsi="宋体" w:eastAsia="宋体" w:cs="宋体"/>
          <w:color w:val="auto"/>
          <w:sz w:val="24"/>
          <w:szCs w:val="24"/>
          <w:highlight w:val="none"/>
          <w:lang w:bidi="zh-CN"/>
        </w:rPr>
      </w:pPr>
      <w:r>
        <w:rPr>
          <w:rFonts w:hint="default" w:ascii="宋体" w:hAnsi="宋体" w:eastAsia="宋体" w:cs="宋体"/>
          <w:color w:val="auto"/>
          <w:sz w:val="24"/>
          <w:szCs w:val="24"/>
          <w:highlight w:val="none"/>
          <w:lang w:bidi="zh-CN"/>
        </w:rPr>
        <w:t>（4）建立健全廉政制度，开展廉政教育，设立廉政告示牌，公布举报电话，监督并认真查处违法违纪行为。</w:t>
      </w:r>
    </w:p>
    <w:p w14:paraId="34E02E0A">
      <w:pPr>
        <w:pStyle w:val="44"/>
        <w:keepNext w:val="0"/>
        <w:keepLines w:val="0"/>
        <w:pageBreakBefore w:val="0"/>
        <w:widowControl w:val="0"/>
        <w:tabs>
          <w:tab w:val="left" w:pos="1468"/>
        </w:tabs>
        <w:kinsoku/>
        <w:wordWrap/>
        <w:overflowPunct/>
        <w:topLinePunct w:val="0"/>
        <w:autoSpaceDE w:val="0"/>
        <w:autoSpaceDN w:val="0"/>
        <w:bidi w:val="0"/>
        <w:adjustRightInd/>
        <w:snapToGrid/>
        <w:spacing w:beforeLines="0" w:afterLines="0" w:line="440" w:lineRule="exact"/>
        <w:ind w:left="0" w:right="210" w:rightChars="100" w:firstLine="480" w:firstLineChars="200"/>
        <w:textAlignment w:val="auto"/>
        <w:rPr>
          <w:rFonts w:hint="default" w:ascii="宋体" w:hAnsi="宋体" w:eastAsia="宋体" w:cs="宋体"/>
          <w:color w:val="auto"/>
          <w:sz w:val="24"/>
          <w:szCs w:val="24"/>
          <w:highlight w:val="none"/>
          <w:lang w:bidi="zh-CN"/>
        </w:rPr>
      </w:pPr>
      <w:r>
        <w:rPr>
          <w:rFonts w:hint="default" w:ascii="宋体" w:hAnsi="宋体" w:eastAsia="宋体" w:cs="宋体"/>
          <w:color w:val="auto"/>
          <w:sz w:val="24"/>
          <w:szCs w:val="24"/>
          <w:highlight w:val="none"/>
          <w:lang w:bidi="zh-CN"/>
        </w:rPr>
        <w:t>（5）发现对方在业务活动中有违反廉政规定的行为，有及时提醒对方纠正的权利及义务。</w:t>
      </w:r>
    </w:p>
    <w:p w14:paraId="67DF7A9E">
      <w:pPr>
        <w:pStyle w:val="44"/>
        <w:keepNext w:val="0"/>
        <w:keepLines w:val="0"/>
        <w:pageBreakBefore w:val="0"/>
        <w:widowControl w:val="0"/>
        <w:tabs>
          <w:tab w:val="left" w:pos="1468"/>
        </w:tabs>
        <w:kinsoku/>
        <w:wordWrap/>
        <w:overflowPunct/>
        <w:topLinePunct w:val="0"/>
        <w:autoSpaceDE w:val="0"/>
        <w:autoSpaceDN w:val="0"/>
        <w:bidi w:val="0"/>
        <w:adjustRightInd/>
        <w:snapToGrid/>
        <w:spacing w:beforeLines="0" w:afterLines="0" w:line="440" w:lineRule="exact"/>
        <w:ind w:left="0" w:right="210" w:rightChars="100" w:firstLine="480" w:firstLineChars="200"/>
        <w:textAlignment w:val="auto"/>
        <w:rPr>
          <w:rFonts w:hint="default" w:ascii="宋体" w:hAnsi="宋体" w:eastAsia="宋体" w:cs="宋体"/>
          <w:color w:val="auto"/>
          <w:sz w:val="24"/>
          <w:szCs w:val="24"/>
          <w:highlight w:val="none"/>
          <w:lang w:bidi="zh-CN"/>
        </w:rPr>
      </w:pPr>
      <w:r>
        <w:rPr>
          <w:rFonts w:hint="default" w:ascii="宋体" w:hAnsi="宋体" w:eastAsia="宋体" w:cs="宋体"/>
          <w:color w:val="auto"/>
          <w:sz w:val="24"/>
          <w:szCs w:val="24"/>
          <w:highlight w:val="none"/>
          <w:lang w:bidi="zh-CN"/>
        </w:rPr>
        <w:t>（6）发现对方严重违反本合同义务条款的行为，有向其上级有关部门举报、建议给予处理并要求告知处理结果的权利。</w:t>
      </w:r>
    </w:p>
    <w:p w14:paraId="7A426A78">
      <w:pPr>
        <w:pStyle w:val="44"/>
        <w:keepNext w:val="0"/>
        <w:keepLines w:val="0"/>
        <w:pageBreakBefore w:val="0"/>
        <w:widowControl w:val="0"/>
        <w:tabs>
          <w:tab w:val="left" w:pos="1468"/>
        </w:tabs>
        <w:kinsoku/>
        <w:wordWrap/>
        <w:overflowPunct/>
        <w:topLinePunct w:val="0"/>
        <w:autoSpaceDE w:val="0"/>
        <w:autoSpaceDN w:val="0"/>
        <w:bidi w:val="0"/>
        <w:adjustRightInd/>
        <w:snapToGrid/>
        <w:spacing w:beforeLines="0" w:afterLines="0" w:line="440" w:lineRule="exact"/>
        <w:ind w:left="210" w:leftChars="100" w:right="210" w:rightChars="100" w:firstLineChars="200"/>
        <w:textAlignment w:val="auto"/>
        <w:outlineLvl w:val="0"/>
        <w:rPr>
          <w:rFonts w:hint="default" w:ascii="宋体" w:hAnsi="宋体" w:eastAsia="宋体" w:cs="宋体"/>
          <w:color w:val="auto"/>
          <w:sz w:val="24"/>
          <w:szCs w:val="24"/>
          <w:highlight w:val="none"/>
          <w:lang w:bidi="zh-CN"/>
        </w:rPr>
      </w:pPr>
      <w:bookmarkStart w:id="1512" w:name="2.甲方的义务"/>
      <w:bookmarkEnd w:id="1512"/>
      <w:bookmarkStart w:id="1513" w:name="_Toc28110"/>
      <w:r>
        <w:rPr>
          <w:rFonts w:hint="default" w:ascii="宋体" w:hAnsi="宋体" w:eastAsia="宋体" w:cs="宋体"/>
          <w:color w:val="auto"/>
          <w:sz w:val="24"/>
          <w:szCs w:val="24"/>
          <w:highlight w:val="none"/>
          <w:lang w:bidi="zh-CN"/>
        </w:rPr>
        <w:t>2.甲方的义务</w:t>
      </w:r>
      <w:bookmarkEnd w:id="1513"/>
    </w:p>
    <w:p w14:paraId="1D5624D7">
      <w:pPr>
        <w:pStyle w:val="44"/>
        <w:keepNext w:val="0"/>
        <w:keepLines w:val="0"/>
        <w:pageBreakBefore w:val="0"/>
        <w:widowControl w:val="0"/>
        <w:tabs>
          <w:tab w:val="left" w:pos="1468"/>
        </w:tabs>
        <w:kinsoku/>
        <w:wordWrap/>
        <w:overflowPunct/>
        <w:topLinePunct w:val="0"/>
        <w:autoSpaceDE w:val="0"/>
        <w:autoSpaceDN w:val="0"/>
        <w:bidi w:val="0"/>
        <w:adjustRightInd/>
        <w:snapToGrid/>
        <w:spacing w:beforeLines="0" w:afterLines="0" w:line="440" w:lineRule="exact"/>
        <w:ind w:left="210" w:leftChars="100" w:right="210" w:rightChars="100" w:firstLineChars="200"/>
        <w:textAlignment w:val="auto"/>
        <w:rPr>
          <w:rFonts w:hint="default" w:ascii="宋体" w:hAnsi="宋体" w:eastAsia="宋体" w:cs="宋体"/>
          <w:color w:val="auto"/>
          <w:sz w:val="24"/>
          <w:szCs w:val="24"/>
          <w:highlight w:val="none"/>
          <w:lang w:bidi="zh-CN"/>
        </w:rPr>
      </w:pPr>
      <w:r>
        <w:rPr>
          <w:rFonts w:hint="default" w:ascii="宋体" w:hAnsi="宋体" w:eastAsia="宋体" w:cs="宋体"/>
          <w:color w:val="auto"/>
          <w:sz w:val="24"/>
          <w:szCs w:val="24"/>
          <w:highlight w:val="none"/>
          <w:lang w:bidi="zh-CN"/>
        </w:rPr>
        <w:t>（1）甲方及其工作人员不得索要或接受乙方的礼金、有价证券和贵重物品，不得在乙方报销任何应由甲方或甲方工作人员个人支付的费用等。</w:t>
      </w:r>
    </w:p>
    <w:p w14:paraId="1B1FEB85">
      <w:pPr>
        <w:pStyle w:val="44"/>
        <w:keepNext w:val="0"/>
        <w:keepLines w:val="0"/>
        <w:pageBreakBefore w:val="0"/>
        <w:widowControl w:val="0"/>
        <w:tabs>
          <w:tab w:val="left" w:pos="1468"/>
        </w:tabs>
        <w:kinsoku/>
        <w:wordWrap/>
        <w:overflowPunct/>
        <w:topLinePunct w:val="0"/>
        <w:autoSpaceDE w:val="0"/>
        <w:autoSpaceDN w:val="0"/>
        <w:bidi w:val="0"/>
        <w:adjustRightInd/>
        <w:snapToGrid/>
        <w:spacing w:beforeLines="0" w:afterLines="0" w:line="440" w:lineRule="exact"/>
        <w:ind w:left="210" w:leftChars="100" w:right="210" w:rightChars="100" w:firstLineChars="200"/>
        <w:textAlignment w:val="auto"/>
        <w:rPr>
          <w:rFonts w:hint="default" w:ascii="宋体" w:hAnsi="宋体" w:eastAsia="宋体" w:cs="宋体"/>
          <w:color w:val="auto"/>
          <w:sz w:val="24"/>
          <w:szCs w:val="24"/>
          <w:highlight w:val="none"/>
          <w:lang w:bidi="zh-CN"/>
        </w:rPr>
      </w:pPr>
      <w:r>
        <w:rPr>
          <w:rFonts w:hint="default" w:ascii="宋体" w:hAnsi="宋体" w:eastAsia="宋体" w:cs="宋体"/>
          <w:color w:val="auto"/>
          <w:sz w:val="24"/>
          <w:szCs w:val="24"/>
          <w:highlight w:val="none"/>
          <w:lang w:bidi="zh-CN"/>
        </w:rPr>
        <w:t>（2）甲方工作人员不得参加乙方安排的超标准宴请和娱乐活动；不得接受乙方提供的通讯工具、交通工具和高档办公用品等。</w:t>
      </w:r>
    </w:p>
    <w:p w14:paraId="2889FF71">
      <w:pPr>
        <w:pStyle w:val="44"/>
        <w:keepNext w:val="0"/>
        <w:keepLines w:val="0"/>
        <w:pageBreakBefore w:val="0"/>
        <w:widowControl w:val="0"/>
        <w:tabs>
          <w:tab w:val="left" w:pos="1468"/>
        </w:tabs>
        <w:kinsoku/>
        <w:wordWrap/>
        <w:overflowPunct/>
        <w:topLinePunct w:val="0"/>
        <w:autoSpaceDE w:val="0"/>
        <w:autoSpaceDN w:val="0"/>
        <w:bidi w:val="0"/>
        <w:adjustRightInd/>
        <w:snapToGrid/>
        <w:spacing w:beforeLines="0" w:afterLines="0" w:line="440" w:lineRule="exact"/>
        <w:ind w:left="210" w:leftChars="100" w:right="210" w:rightChars="100" w:firstLineChars="200"/>
        <w:textAlignment w:val="auto"/>
        <w:rPr>
          <w:rFonts w:hint="default" w:ascii="宋体" w:hAnsi="宋体" w:eastAsia="宋体" w:cs="宋体"/>
          <w:color w:val="auto"/>
          <w:sz w:val="24"/>
          <w:szCs w:val="24"/>
          <w:highlight w:val="none"/>
          <w:lang w:bidi="zh-CN"/>
        </w:rPr>
      </w:pPr>
      <w:r>
        <w:rPr>
          <w:rFonts w:hint="default" w:ascii="宋体" w:hAnsi="宋体" w:eastAsia="宋体" w:cs="宋体"/>
          <w:color w:val="auto"/>
          <w:sz w:val="24"/>
          <w:szCs w:val="24"/>
          <w:highlight w:val="none"/>
          <w:lang w:bidi="zh-CN"/>
        </w:rPr>
        <w:t>（3）甲方及其工作人员不得要求或者接受乙方为其住房装修、婚丧嫁娶活动、配偶子女的工作安排以及出国出境、旅游等提供方便等。</w:t>
      </w:r>
    </w:p>
    <w:p w14:paraId="2F8A6B9E">
      <w:pPr>
        <w:pStyle w:val="44"/>
        <w:keepNext w:val="0"/>
        <w:keepLines w:val="0"/>
        <w:pageBreakBefore w:val="0"/>
        <w:widowControl w:val="0"/>
        <w:tabs>
          <w:tab w:val="left" w:pos="1468"/>
        </w:tabs>
        <w:kinsoku/>
        <w:wordWrap/>
        <w:overflowPunct/>
        <w:topLinePunct w:val="0"/>
        <w:autoSpaceDE w:val="0"/>
        <w:autoSpaceDN w:val="0"/>
        <w:bidi w:val="0"/>
        <w:adjustRightInd/>
        <w:snapToGrid/>
        <w:spacing w:beforeLines="0" w:afterLines="0" w:line="440" w:lineRule="exact"/>
        <w:ind w:left="210" w:leftChars="100" w:right="210" w:rightChars="100" w:firstLineChars="200"/>
        <w:textAlignment w:val="auto"/>
        <w:rPr>
          <w:rFonts w:hint="default" w:ascii="宋体" w:hAnsi="宋体" w:eastAsia="宋体" w:cs="宋体"/>
          <w:color w:val="auto"/>
          <w:sz w:val="24"/>
          <w:szCs w:val="24"/>
          <w:highlight w:val="none"/>
          <w:lang w:bidi="zh-CN"/>
        </w:rPr>
      </w:pPr>
      <w:r>
        <w:rPr>
          <w:rFonts w:hint="default" w:ascii="宋体" w:hAnsi="宋体" w:eastAsia="宋体" w:cs="宋体"/>
          <w:color w:val="auto"/>
          <w:sz w:val="24"/>
          <w:szCs w:val="24"/>
          <w:highlight w:val="none"/>
          <w:lang w:bidi="zh-CN"/>
        </w:rPr>
        <w:t>（4）甲方工作人及其配偶、子女不得从事与甲方工程有关的材料设备供应、工程分包、劳务等经济活动等。</w:t>
      </w:r>
    </w:p>
    <w:p w14:paraId="4AA68160">
      <w:pPr>
        <w:pStyle w:val="44"/>
        <w:keepNext w:val="0"/>
        <w:keepLines w:val="0"/>
        <w:pageBreakBefore w:val="0"/>
        <w:widowControl w:val="0"/>
        <w:tabs>
          <w:tab w:val="left" w:pos="1468"/>
        </w:tabs>
        <w:kinsoku/>
        <w:wordWrap/>
        <w:overflowPunct/>
        <w:topLinePunct w:val="0"/>
        <w:autoSpaceDE w:val="0"/>
        <w:autoSpaceDN w:val="0"/>
        <w:bidi w:val="0"/>
        <w:adjustRightInd/>
        <w:snapToGrid/>
        <w:spacing w:beforeLines="0" w:afterLines="0" w:line="440" w:lineRule="exact"/>
        <w:ind w:left="210" w:leftChars="100" w:right="210" w:rightChars="100" w:firstLineChars="200"/>
        <w:textAlignment w:val="auto"/>
        <w:rPr>
          <w:rFonts w:hint="default" w:ascii="宋体" w:hAnsi="宋体" w:eastAsia="宋体" w:cs="宋体"/>
          <w:color w:val="auto"/>
          <w:sz w:val="24"/>
          <w:szCs w:val="24"/>
          <w:highlight w:val="none"/>
          <w:lang w:bidi="zh-CN"/>
        </w:rPr>
      </w:pPr>
      <w:r>
        <w:rPr>
          <w:rFonts w:hint="default" w:ascii="宋体" w:hAnsi="宋体" w:eastAsia="宋体" w:cs="宋体"/>
          <w:color w:val="auto"/>
          <w:sz w:val="24"/>
          <w:szCs w:val="24"/>
          <w:highlight w:val="none"/>
          <w:lang w:bidi="zh-CN"/>
        </w:rPr>
        <w:t>（5）甲方及其工作人员不得以任何理由向乙方推荐分包单位或推销材料，不得要求乙方购买合同规定外的材料和设备。</w:t>
      </w:r>
    </w:p>
    <w:p w14:paraId="34972099">
      <w:pPr>
        <w:pStyle w:val="44"/>
        <w:keepNext w:val="0"/>
        <w:keepLines w:val="0"/>
        <w:pageBreakBefore w:val="0"/>
        <w:widowControl w:val="0"/>
        <w:tabs>
          <w:tab w:val="left" w:pos="1468"/>
        </w:tabs>
        <w:kinsoku/>
        <w:wordWrap/>
        <w:overflowPunct/>
        <w:topLinePunct w:val="0"/>
        <w:autoSpaceDE w:val="0"/>
        <w:autoSpaceDN w:val="0"/>
        <w:bidi w:val="0"/>
        <w:adjustRightInd/>
        <w:snapToGrid/>
        <w:spacing w:beforeLines="0" w:afterLines="0" w:line="440" w:lineRule="exact"/>
        <w:ind w:left="210" w:leftChars="100" w:right="210" w:rightChars="100" w:firstLineChars="200"/>
        <w:textAlignment w:val="auto"/>
        <w:rPr>
          <w:rFonts w:hint="default" w:ascii="宋体" w:hAnsi="宋体" w:eastAsia="宋体" w:cs="宋体"/>
          <w:color w:val="auto"/>
          <w:sz w:val="24"/>
          <w:szCs w:val="24"/>
          <w:highlight w:val="none"/>
          <w:lang w:bidi="zh-CN"/>
        </w:rPr>
      </w:pPr>
      <w:r>
        <w:rPr>
          <w:rFonts w:hint="default" w:ascii="宋体" w:hAnsi="宋体" w:eastAsia="宋体" w:cs="宋体"/>
          <w:color w:val="auto"/>
          <w:sz w:val="24"/>
          <w:szCs w:val="24"/>
          <w:highlight w:val="none"/>
          <w:lang w:bidi="zh-CN"/>
        </w:rPr>
        <w:t>（6）甲方工作人员要秉公办事，不准营私舞弊，不准利用职权从事各种个人有偿中介活动和安排个人施工队伍。</w:t>
      </w:r>
    </w:p>
    <w:p w14:paraId="1E113539">
      <w:pPr>
        <w:pStyle w:val="44"/>
        <w:keepNext w:val="0"/>
        <w:keepLines w:val="0"/>
        <w:pageBreakBefore w:val="0"/>
        <w:widowControl w:val="0"/>
        <w:tabs>
          <w:tab w:val="left" w:pos="1468"/>
        </w:tabs>
        <w:kinsoku/>
        <w:wordWrap/>
        <w:overflowPunct/>
        <w:topLinePunct w:val="0"/>
        <w:autoSpaceDE w:val="0"/>
        <w:autoSpaceDN w:val="0"/>
        <w:bidi w:val="0"/>
        <w:adjustRightInd/>
        <w:snapToGrid/>
        <w:spacing w:beforeLines="0" w:afterLines="0" w:line="440" w:lineRule="exact"/>
        <w:ind w:left="210" w:leftChars="100" w:right="210" w:rightChars="100" w:firstLineChars="200"/>
        <w:textAlignment w:val="auto"/>
        <w:outlineLvl w:val="0"/>
        <w:rPr>
          <w:rFonts w:hint="default" w:ascii="宋体" w:hAnsi="宋体" w:eastAsia="宋体" w:cs="宋体"/>
          <w:color w:val="auto"/>
          <w:sz w:val="24"/>
          <w:szCs w:val="24"/>
          <w:highlight w:val="none"/>
          <w:lang w:bidi="zh-CN"/>
        </w:rPr>
      </w:pPr>
      <w:bookmarkStart w:id="1514" w:name="3.乙方义务"/>
      <w:bookmarkEnd w:id="1514"/>
      <w:bookmarkStart w:id="1515" w:name="_Toc17187"/>
      <w:r>
        <w:rPr>
          <w:rFonts w:hint="default" w:ascii="宋体" w:hAnsi="宋体" w:eastAsia="宋体" w:cs="宋体"/>
          <w:color w:val="auto"/>
          <w:sz w:val="24"/>
          <w:szCs w:val="24"/>
          <w:highlight w:val="none"/>
          <w:lang w:bidi="zh-CN"/>
        </w:rPr>
        <w:t>3.乙方义务</w:t>
      </w:r>
      <w:bookmarkEnd w:id="1515"/>
    </w:p>
    <w:p w14:paraId="6B8F8E1E">
      <w:pPr>
        <w:pStyle w:val="44"/>
        <w:keepNext w:val="0"/>
        <w:keepLines w:val="0"/>
        <w:pageBreakBefore w:val="0"/>
        <w:widowControl w:val="0"/>
        <w:tabs>
          <w:tab w:val="left" w:pos="1468"/>
        </w:tabs>
        <w:kinsoku/>
        <w:wordWrap/>
        <w:overflowPunct/>
        <w:topLinePunct w:val="0"/>
        <w:autoSpaceDE w:val="0"/>
        <w:autoSpaceDN w:val="0"/>
        <w:bidi w:val="0"/>
        <w:adjustRightInd/>
        <w:snapToGrid/>
        <w:spacing w:beforeLines="0" w:afterLines="0" w:line="440" w:lineRule="exact"/>
        <w:ind w:left="210" w:leftChars="100" w:right="210" w:rightChars="100" w:firstLineChars="200"/>
        <w:textAlignment w:val="auto"/>
        <w:rPr>
          <w:rFonts w:hint="default" w:ascii="宋体" w:hAnsi="宋体" w:eastAsia="宋体" w:cs="宋体"/>
          <w:color w:val="auto"/>
          <w:sz w:val="24"/>
          <w:szCs w:val="24"/>
          <w:highlight w:val="none"/>
          <w:lang w:bidi="zh-CN"/>
        </w:rPr>
      </w:pPr>
      <w:r>
        <w:rPr>
          <w:rFonts w:hint="default" w:ascii="宋体" w:hAnsi="宋体" w:eastAsia="宋体" w:cs="宋体"/>
          <w:color w:val="auto"/>
          <w:sz w:val="24"/>
          <w:szCs w:val="24"/>
          <w:highlight w:val="none"/>
          <w:lang w:bidi="zh-CN"/>
        </w:rPr>
        <w:t>（1）乙方不得以任何理由向甲方及其工作人员行贿或馈赠礼金、有价证券、贵重礼品。</w:t>
      </w:r>
    </w:p>
    <w:p w14:paraId="3665581D">
      <w:pPr>
        <w:pStyle w:val="44"/>
        <w:keepNext w:val="0"/>
        <w:keepLines w:val="0"/>
        <w:pageBreakBefore w:val="0"/>
        <w:widowControl w:val="0"/>
        <w:tabs>
          <w:tab w:val="left" w:pos="1468"/>
        </w:tabs>
        <w:kinsoku/>
        <w:wordWrap/>
        <w:overflowPunct/>
        <w:topLinePunct w:val="0"/>
        <w:autoSpaceDE w:val="0"/>
        <w:autoSpaceDN w:val="0"/>
        <w:bidi w:val="0"/>
        <w:adjustRightInd/>
        <w:snapToGrid/>
        <w:spacing w:beforeLines="0" w:afterLines="0" w:line="440" w:lineRule="exact"/>
        <w:ind w:left="210" w:leftChars="100" w:right="210" w:rightChars="100" w:firstLineChars="200"/>
        <w:textAlignment w:val="auto"/>
        <w:rPr>
          <w:rFonts w:hint="default" w:ascii="宋体" w:hAnsi="宋体" w:eastAsia="宋体" w:cs="宋体"/>
          <w:color w:val="auto"/>
          <w:sz w:val="24"/>
          <w:szCs w:val="24"/>
          <w:highlight w:val="none"/>
          <w:lang w:bidi="zh-CN"/>
        </w:rPr>
      </w:pPr>
      <w:r>
        <w:rPr>
          <w:rFonts w:hint="default" w:ascii="宋体" w:hAnsi="宋体" w:eastAsia="宋体" w:cs="宋体"/>
          <w:color w:val="auto"/>
          <w:sz w:val="24"/>
          <w:szCs w:val="24"/>
          <w:highlight w:val="none"/>
          <w:lang w:bidi="zh-CN"/>
        </w:rPr>
        <w:t>（2）乙方不得以任何名义为甲方及其工作人员报销应由甲方单位或个人支付的任何费用。</w:t>
      </w:r>
    </w:p>
    <w:p w14:paraId="1ECA3975">
      <w:pPr>
        <w:pStyle w:val="44"/>
        <w:keepNext w:val="0"/>
        <w:keepLines w:val="0"/>
        <w:pageBreakBefore w:val="0"/>
        <w:widowControl w:val="0"/>
        <w:tabs>
          <w:tab w:val="left" w:pos="1468"/>
        </w:tabs>
        <w:kinsoku/>
        <w:wordWrap/>
        <w:overflowPunct/>
        <w:topLinePunct w:val="0"/>
        <w:autoSpaceDE w:val="0"/>
        <w:autoSpaceDN w:val="0"/>
        <w:bidi w:val="0"/>
        <w:adjustRightInd/>
        <w:snapToGrid/>
        <w:spacing w:beforeLines="0" w:afterLines="0" w:line="440" w:lineRule="exact"/>
        <w:ind w:left="210" w:leftChars="100" w:right="210" w:rightChars="100" w:firstLineChars="200"/>
        <w:textAlignment w:val="auto"/>
        <w:rPr>
          <w:rFonts w:hint="default" w:ascii="宋体" w:hAnsi="宋体" w:eastAsia="宋体" w:cs="宋体"/>
          <w:color w:val="auto"/>
          <w:sz w:val="24"/>
          <w:szCs w:val="24"/>
          <w:highlight w:val="none"/>
          <w:lang w:bidi="zh-CN"/>
        </w:rPr>
      </w:pPr>
      <w:r>
        <w:rPr>
          <w:rFonts w:hint="default" w:ascii="宋体" w:hAnsi="宋体" w:eastAsia="宋体" w:cs="宋体"/>
          <w:color w:val="auto"/>
          <w:sz w:val="24"/>
          <w:szCs w:val="24"/>
          <w:highlight w:val="none"/>
          <w:lang w:bidi="zh-CN"/>
        </w:rPr>
        <w:t>（3）乙方不得以任何理由安排甲方工作人员参加超标准宴请及娱乐活动。</w:t>
      </w:r>
    </w:p>
    <w:p w14:paraId="739D9D63">
      <w:pPr>
        <w:pStyle w:val="44"/>
        <w:keepNext w:val="0"/>
        <w:keepLines w:val="0"/>
        <w:pageBreakBefore w:val="0"/>
        <w:widowControl w:val="0"/>
        <w:tabs>
          <w:tab w:val="left" w:pos="1468"/>
        </w:tabs>
        <w:kinsoku/>
        <w:wordWrap/>
        <w:overflowPunct/>
        <w:topLinePunct w:val="0"/>
        <w:autoSpaceDE w:val="0"/>
        <w:autoSpaceDN w:val="0"/>
        <w:bidi w:val="0"/>
        <w:adjustRightInd/>
        <w:snapToGrid/>
        <w:spacing w:beforeLines="0" w:afterLines="0" w:line="440" w:lineRule="exact"/>
        <w:ind w:left="0" w:right="210" w:rightChars="100" w:firstLine="720" w:firstLineChars="300"/>
        <w:textAlignment w:val="auto"/>
        <w:rPr>
          <w:rFonts w:hint="default" w:ascii="宋体" w:hAnsi="宋体" w:eastAsia="宋体" w:cs="宋体"/>
          <w:color w:val="auto"/>
          <w:sz w:val="24"/>
          <w:szCs w:val="24"/>
          <w:highlight w:val="none"/>
          <w:lang w:bidi="zh-CN"/>
        </w:rPr>
      </w:pPr>
      <w:r>
        <w:rPr>
          <w:rFonts w:hint="default" w:ascii="宋体" w:hAnsi="宋体" w:eastAsia="宋体" w:cs="宋体"/>
          <w:color w:val="auto"/>
          <w:sz w:val="24"/>
          <w:szCs w:val="24"/>
          <w:highlight w:val="none"/>
          <w:lang w:bidi="zh-CN"/>
        </w:rPr>
        <w:t>（4）乙方不得为甲方单位和个人购置或提供通讯工具、交通工具和高档办公用品等。</w:t>
      </w:r>
    </w:p>
    <w:p w14:paraId="315D8ED1">
      <w:pPr>
        <w:pStyle w:val="44"/>
        <w:keepNext w:val="0"/>
        <w:keepLines w:val="0"/>
        <w:pageBreakBefore w:val="0"/>
        <w:widowControl w:val="0"/>
        <w:tabs>
          <w:tab w:val="left" w:pos="1468"/>
        </w:tabs>
        <w:kinsoku/>
        <w:wordWrap/>
        <w:overflowPunct/>
        <w:topLinePunct w:val="0"/>
        <w:autoSpaceDE w:val="0"/>
        <w:autoSpaceDN w:val="0"/>
        <w:bidi w:val="0"/>
        <w:adjustRightInd/>
        <w:snapToGrid/>
        <w:spacing w:beforeLines="0" w:afterLines="0" w:line="440" w:lineRule="exact"/>
        <w:ind w:left="0" w:right="210" w:rightChars="100" w:firstLine="720" w:firstLineChars="300"/>
        <w:textAlignment w:val="auto"/>
        <w:rPr>
          <w:rFonts w:hint="default" w:ascii="宋体" w:hAnsi="宋体" w:eastAsia="宋体" w:cs="宋体"/>
          <w:color w:val="auto"/>
          <w:sz w:val="24"/>
          <w:szCs w:val="24"/>
          <w:highlight w:val="none"/>
          <w:lang w:bidi="zh-CN"/>
        </w:rPr>
      </w:pPr>
      <w:bookmarkStart w:id="1516" w:name="_bookmark334"/>
      <w:bookmarkEnd w:id="1516"/>
      <w:bookmarkStart w:id="1517" w:name="4.违约责任"/>
      <w:bookmarkEnd w:id="1517"/>
      <w:r>
        <w:rPr>
          <w:rFonts w:hint="default" w:ascii="宋体" w:hAnsi="宋体" w:eastAsia="宋体" w:cs="宋体"/>
          <w:color w:val="auto"/>
          <w:sz w:val="24"/>
          <w:szCs w:val="24"/>
          <w:highlight w:val="none"/>
          <w:lang w:bidi="zh-CN"/>
        </w:rPr>
        <w:t>4.违约责任</w:t>
      </w:r>
    </w:p>
    <w:p w14:paraId="37810DD9">
      <w:pPr>
        <w:pStyle w:val="44"/>
        <w:keepNext w:val="0"/>
        <w:keepLines w:val="0"/>
        <w:pageBreakBefore w:val="0"/>
        <w:widowControl w:val="0"/>
        <w:tabs>
          <w:tab w:val="left" w:pos="1468"/>
        </w:tabs>
        <w:kinsoku/>
        <w:wordWrap/>
        <w:overflowPunct/>
        <w:topLinePunct w:val="0"/>
        <w:autoSpaceDE w:val="0"/>
        <w:autoSpaceDN w:val="0"/>
        <w:bidi w:val="0"/>
        <w:adjustRightInd/>
        <w:snapToGrid/>
        <w:spacing w:beforeLines="0" w:afterLines="0" w:line="440" w:lineRule="exact"/>
        <w:ind w:left="210" w:leftChars="100" w:right="210" w:rightChars="100" w:firstLineChars="200"/>
        <w:textAlignment w:val="auto"/>
        <w:rPr>
          <w:rFonts w:hint="default" w:ascii="宋体" w:hAnsi="宋体" w:eastAsia="宋体" w:cs="宋体"/>
          <w:color w:val="auto"/>
          <w:sz w:val="24"/>
          <w:szCs w:val="24"/>
          <w:highlight w:val="none"/>
          <w:lang w:bidi="zh-CN"/>
        </w:rPr>
      </w:pPr>
      <w:r>
        <w:rPr>
          <w:rFonts w:hint="default" w:ascii="宋体" w:hAnsi="宋体" w:eastAsia="宋体" w:cs="宋体"/>
          <w:color w:val="auto"/>
          <w:sz w:val="24"/>
          <w:szCs w:val="24"/>
          <w:highlight w:val="none"/>
          <w:lang w:bidi="zh-CN"/>
        </w:rPr>
        <w:t>（1）甲方及其工作人员违反本合同第一、二条，按管理权限，依据有关规定给予党纪、政纪或组织处理；涉嫌犯罪的，移交司法机关追究刑事责任；给乙方单位造成经济损失的，应予以赔偿。</w:t>
      </w:r>
    </w:p>
    <w:p w14:paraId="65D9047B">
      <w:pPr>
        <w:pStyle w:val="44"/>
        <w:keepNext w:val="0"/>
        <w:keepLines w:val="0"/>
        <w:pageBreakBefore w:val="0"/>
        <w:widowControl w:val="0"/>
        <w:tabs>
          <w:tab w:val="left" w:pos="1468"/>
        </w:tabs>
        <w:kinsoku/>
        <w:wordWrap/>
        <w:overflowPunct/>
        <w:topLinePunct w:val="0"/>
        <w:autoSpaceDE w:val="0"/>
        <w:autoSpaceDN w:val="0"/>
        <w:bidi w:val="0"/>
        <w:adjustRightInd/>
        <w:snapToGrid/>
        <w:spacing w:beforeLines="0" w:afterLines="0" w:line="440" w:lineRule="exact"/>
        <w:ind w:left="0" w:right="210" w:rightChars="100" w:firstLine="480" w:firstLineChars="200"/>
        <w:textAlignment w:val="auto"/>
        <w:rPr>
          <w:rFonts w:hint="default" w:ascii="宋体" w:hAnsi="宋体" w:eastAsia="宋体" w:cs="宋体"/>
          <w:color w:val="auto"/>
          <w:sz w:val="24"/>
          <w:szCs w:val="24"/>
          <w:highlight w:val="none"/>
          <w:lang w:bidi="zh-CN"/>
        </w:rPr>
      </w:pPr>
      <w:r>
        <w:rPr>
          <w:rFonts w:hint="default" w:ascii="宋体" w:hAnsi="宋体" w:eastAsia="宋体" w:cs="宋体"/>
          <w:color w:val="auto"/>
          <w:sz w:val="24"/>
          <w:szCs w:val="24"/>
          <w:highlight w:val="none"/>
          <w:lang w:bidi="zh-CN"/>
        </w:rPr>
        <w:t>（2）乙方及其工作人员违反本合同第一、三条，按管理权限，依据有关规定给予党纪、政纪或组织处理；给甲方单位造成经济损失的，应予以赔偿；情节严重的，甲方建议工程建设主管部门给予乙方一至三年内不得进入其主管的工程建设市场的处罚。</w:t>
      </w:r>
    </w:p>
    <w:p w14:paraId="5D4DE9F7">
      <w:pPr>
        <w:pStyle w:val="44"/>
        <w:keepNext w:val="0"/>
        <w:keepLines w:val="0"/>
        <w:pageBreakBefore w:val="0"/>
        <w:widowControl w:val="0"/>
        <w:tabs>
          <w:tab w:val="left" w:pos="1468"/>
        </w:tabs>
        <w:kinsoku/>
        <w:wordWrap/>
        <w:overflowPunct/>
        <w:topLinePunct w:val="0"/>
        <w:autoSpaceDE w:val="0"/>
        <w:autoSpaceDN w:val="0"/>
        <w:bidi w:val="0"/>
        <w:adjustRightInd/>
        <w:snapToGrid/>
        <w:spacing w:beforeLines="0" w:afterLines="0" w:line="440" w:lineRule="exact"/>
        <w:ind w:left="210" w:leftChars="100" w:right="210" w:rightChars="100" w:firstLineChars="200"/>
        <w:textAlignment w:val="auto"/>
        <w:rPr>
          <w:rFonts w:hint="default" w:ascii="宋体" w:hAnsi="宋体" w:eastAsia="宋体" w:cs="宋体"/>
          <w:color w:val="auto"/>
          <w:sz w:val="24"/>
          <w:szCs w:val="24"/>
          <w:highlight w:val="none"/>
          <w:lang w:bidi="zh-CN"/>
        </w:rPr>
      </w:pPr>
      <w:r>
        <w:rPr>
          <w:rFonts w:hint="default" w:ascii="宋体" w:hAnsi="宋体" w:eastAsia="宋体" w:cs="宋体"/>
          <w:color w:val="auto"/>
          <w:sz w:val="24"/>
          <w:szCs w:val="24"/>
          <w:highlight w:val="none"/>
          <w:lang w:bidi="zh-CN"/>
        </w:rPr>
        <w:t>5.双方约定：本合同由双方或双方上级单位的纪检监察机关负责监督执行。由甲方或甲方上级单位的纪检监察机关约请乙方或乙方上级单位纪检监察机关对本合同执行情况进行检查，提出在本合同规定范围内的裁定意见。</w:t>
      </w:r>
    </w:p>
    <w:p w14:paraId="0381CB0E">
      <w:pPr>
        <w:pStyle w:val="44"/>
        <w:keepNext w:val="0"/>
        <w:keepLines w:val="0"/>
        <w:pageBreakBefore w:val="0"/>
        <w:widowControl w:val="0"/>
        <w:tabs>
          <w:tab w:val="left" w:pos="1468"/>
        </w:tabs>
        <w:kinsoku/>
        <w:wordWrap/>
        <w:overflowPunct/>
        <w:topLinePunct w:val="0"/>
        <w:autoSpaceDE w:val="0"/>
        <w:autoSpaceDN w:val="0"/>
        <w:bidi w:val="0"/>
        <w:adjustRightInd/>
        <w:snapToGrid/>
        <w:spacing w:beforeLines="0" w:afterLines="0" w:line="440" w:lineRule="exact"/>
        <w:ind w:left="210" w:leftChars="100" w:right="210" w:rightChars="100" w:firstLineChars="200"/>
        <w:textAlignment w:val="auto"/>
        <w:rPr>
          <w:rFonts w:hint="default" w:ascii="宋体" w:hAnsi="宋体" w:eastAsia="宋体" w:cs="宋体"/>
          <w:color w:val="auto"/>
          <w:sz w:val="24"/>
          <w:szCs w:val="24"/>
          <w:highlight w:val="none"/>
          <w:lang w:bidi="zh-CN"/>
        </w:rPr>
      </w:pPr>
      <w:r>
        <w:rPr>
          <w:rFonts w:hint="default" w:ascii="宋体" w:hAnsi="宋体" w:eastAsia="宋体" w:cs="宋体"/>
          <w:color w:val="auto"/>
          <w:sz w:val="24"/>
          <w:szCs w:val="24"/>
          <w:highlight w:val="none"/>
          <w:lang w:bidi="zh-CN"/>
        </w:rPr>
        <w:t>6.本合同有效期为甲乙双方签署之日起至该工程项目竣工验收后止。</w:t>
      </w:r>
    </w:p>
    <w:p w14:paraId="14985B25">
      <w:pPr>
        <w:pStyle w:val="44"/>
        <w:keepNext w:val="0"/>
        <w:keepLines w:val="0"/>
        <w:pageBreakBefore w:val="0"/>
        <w:widowControl w:val="0"/>
        <w:tabs>
          <w:tab w:val="left" w:pos="1468"/>
        </w:tabs>
        <w:kinsoku/>
        <w:wordWrap/>
        <w:overflowPunct/>
        <w:topLinePunct w:val="0"/>
        <w:autoSpaceDE w:val="0"/>
        <w:autoSpaceDN w:val="0"/>
        <w:bidi w:val="0"/>
        <w:adjustRightInd/>
        <w:snapToGrid/>
        <w:spacing w:beforeLines="0" w:afterLines="0" w:line="440" w:lineRule="exact"/>
        <w:ind w:left="210" w:leftChars="100" w:right="210" w:rightChars="100" w:firstLineChars="200"/>
        <w:textAlignment w:val="auto"/>
        <w:rPr>
          <w:rFonts w:hint="default" w:ascii="宋体" w:hAnsi="宋体" w:eastAsia="宋体" w:cs="宋体"/>
          <w:color w:val="auto"/>
          <w:sz w:val="24"/>
          <w:szCs w:val="24"/>
          <w:highlight w:val="none"/>
          <w:lang w:bidi="zh-CN"/>
        </w:rPr>
      </w:pPr>
      <w:r>
        <w:rPr>
          <w:rFonts w:hint="default" w:ascii="宋体" w:hAnsi="宋体" w:eastAsia="宋体" w:cs="宋体"/>
          <w:color w:val="auto"/>
          <w:sz w:val="24"/>
          <w:szCs w:val="24"/>
          <w:highlight w:val="none"/>
          <w:lang w:bidi="zh-CN"/>
        </w:rPr>
        <w:t>7.本合同作为</w:t>
      </w:r>
      <w:r>
        <w:rPr>
          <w:rFonts w:hint="default" w:ascii="宋体" w:hAnsi="宋体" w:eastAsia="宋体" w:cs="宋体"/>
          <w:color w:val="auto"/>
          <w:sz w:val="24"/>
          <w:szCs w:val="24"/>
          <w:highlight w:val="none"/>
          <w:u w:val="single"/>
          <w:lang w:bidi="zh-CN"/>
        </w:rPr>
        <w:t xml:space="preserve">                 </w:t>
      </w:r>
      <w:r>
        <w:rPr>
          <w:rFonts w:hint="default" w:ascii="宋体" w:hAnsi="宋体" w:eastAsia="宋体" w:cs="宋体"/>
          <w:color w:val="auto"/>
          <w:sz w:val="24"/>
          <w:szCs w:val="24"/>
          <w:highlight w:val="none"/>
          <w:lang w:bidi="zh-CN"/>
        </w:rPr>
        <w:t>（项目名称）合同的附件，与工程施工合同具有同等的法律效力。</w:t>
      </w:r>
    </w:p>
    <w:p w14:paraId="01416775">
      <w:pPr>
        <w:pStyle w:val="44"/>
        <w:keepNext w:val="0"/>
        <w:keepLines w:val="0"/>
        <w:pageBreakBefore w:val="0"/>
        <w:widowControl w:val="0"/>
        <w:tabs>
          <w:tab w:val="left" w:pos="1468"/>
        </w:tabs>
        <w:kinsoku/>
        <w:wordWrap/>
        <w:overflowPunct/>
        <w:topLinePunct w:val="0"/>
        <w:autoSpaceDE w:val="0"/>
        <w:autoSpaceDN w:val="0"/>
        <w:bidi w:val="0"/>
        <w:adjustRightInd/>
        <w:snapToGrid/>
        <w:spacing w:beforeLines="0" w:afterLines="0" w:line="440" w:lineRule="exact"/>
        <w:ind w:left="210" w:leftChars="100" w:right="210" w:rightChars="100" w:firstLineChars="200"/>
        <w:textAlignment w:val="auto"/>
        <w:rPr>
          <w:rFonts w:hint="default" w:ascii="宋体" w:hAnsi="宋体" w:eastAsia="宋体" w:cs="宋体"/>
          <w:color w:val="auto"/>
          <w:sz w:val="24"/>
          <w:szCs w:val="24"/>
          <w:highlight w:val="none"/>
          <w:lang w:bidi="zh-CN"/>
        </w:rPr>
      </w:pPr>
      <w:bookmarkStart w:id="1518" w:name="8._本合同正本一式三份，副本十二份。由双方法定代表人或其授权的代理人签署与加盖"/>
      <w:bookmarkEnd w:id="1518"/>
      <w:bookmarkStart w:id="1519" w:name="_bookmark335"/>
      <w:bookmarkEnd w:id="1519"/>
      <w:r>
        <w:rPr>
          <w:rFonts w:hint="default" w:ascii="宋体" w:hAnsi="宋体" w:eastAsia="宋体" w:cs="宋体"/>
          <w:color w:val="auto"/>
          <w:sz w:val="24"/>
          <w:szCs w:val="24"/>
          <w:highlight w:val="none"/>
          <w:lang w:bidi="zh-CN"/>
        </w:rPr>
        <w:t>8.本合同正本一式三份，副本十二份。由双方法定代表人或其授权的代理人签署与加盖公章后生效，全部工程竣工验收合格后失效。</w:t>
      </w:r>
    </w:p>
    <w:p w14:paraId="61B35258">
      <w:pPr>
        <w:pStyle w:val="40"/>
        <w:keepNext w:val="0"/>
        <w:keepLines w:val="0"/>
        <w:pageBreakBefore w:val="0"/>
        <w:widowControl w:val="0"/>
        <w:kinsoku/>
        <w:wordWrap/>
        <w:overflowPunct/>
        <w:topLinePunct w:val="0"/>
        <w:bidi w:val="0"/>
        <w:adjustRightInd/>
        <w:snapToGrid/>
        <w:spacing w:before="136" w:beforeLines="0" w:afterLines="0" w:line="440" w:lineRule="exact"/>
        <w:ind w:left="63" w:right="63"/>
        <w:textAlignment w:val="auto"/>
        <w:rPr>
          <w:rFonts w:hint="default" w:ascii="宋体" w:hAnsi="宋体" w:eastAsia="宋体" w:cs="宋体"/>
          <w:color w:val="auto"/>
          <w:sz w:val="24"/>
          <w:szCs w:val="24"/>
          <w:highlight w:val="none"/>
        </w:rPr>
      </w:pPr>
      <w:bookmarkStart w:id="1520" w:name="_bookmark336"/>
      <w:bookmarkEnd w:id="1520"/>
      <w:bookmarkStart w:id="1521" w:name="附件五：_安全生产合同"/>
      <w:bookmarkEnd w:id="1521"/>
      <w:r>
        <w:rPr>
          <w:rFonts w:hint="default" w:ascii="宋体" w:hAnsi="宋体" w:eastAsia="宋体" w:cs="宋体"/>
          <w:color w:val="auto"/>
          <w:sz w:val="24"/>
          <w:szCs w:val="24"/>
          <w:highlight w:val="none"/>
        </w:rPr>
        <w:t>发包人：</w:t>
      </w:r>
      <w:r>
        <w:rPr>
          <w:rFonts w:hint="default" w:ascii="宋体" w:hAnsi="宋体" w:eastAsia="宋体" w:cs="宋体"/>
          <w:color w:val="auto"/>
          <w:sz w:val="24"/>
          <w:szCs w:val="24"/>
          <w:highlight w:val="none"/>
          <w:lang w:eastAsia="zh-CN"/>
        </w:rPr>
        <w:t xml:space="preserve"> </w:t>
      </w:r>
      <w:r>
        <w:rPr>
          <w:rFonts w:hint="default" w:ascii="宋体" w:hAnsi="宋体" w:eastAsia="宋体" w:cs="宋体"/>
          <w:color w:val="auto"/>
          <w:sz w:val="24"/>
          <w:szCs w:val="24"/>
          <w:highlight w:val="none"/>
          <w:u w:val="single"/>
          <w:lang w:eastAsia="zh-CN"/>
        </w:rPr>
        <w:t xml:space="preserve">         </w:t>
      </w:r>
      <w:r>
        <w:rPr>
          <w:rFonts w:hint="default" w:ascii="宋体" w:hAnsi="宋体" w:eastAsia="宋体" w:cs="宋体"/>
          <w:color w:val="auto"/>
          <w:sz w:val="24"/>
          <w:szCs w:val="24"/>
          <w:highlight w:val="none"/>
        </w:rPr>
        <w:t>（公章或合同专用章）</w:t>
      </w:r>
      <w:r>
        <w:rPr>
          <w:rFonts w:hint="default" w:ascii="宋体" w:hAnsi="宋体" w:eastAsia="宋体" w:cs="宋体"/>
          <w:color w:val="auto"/>
          <w:sz w:val="24"/>
          <w:szCs w:val="24"/>
          <w:highlight w:val="none"/>
          <w:lang w:eastAsia="zh-CN"/>
        </w:rPr>
        <w:t xml:space="preserve"> </w:t>
      </w:r>
      <w:r>
        <w:rPr>
          <w:rFonts w:hint="default" w:ascii="宋体" w:hAnsi="宋体" w:eastAsia="宋体" w:cs="宋体"/>
          <w:color w:val="auto"/>
          <w:sz w:val="24"/>
          <w:szCs w:val="24"/>
          <w:highlight w:val="none"/>
        </w:rPr>
        <w:t>承包人：</w:t>
      </w:r>
      <w:r>
        <w:rPr>
          <w:rFonts w:hint="default" w:ascii="宋体" w:hAnsi="宋体" w:eastAsia="宋体" w:cs="宋体"/>
          <w:color w:val="auto"/>
          <w:sz w:val="24"/>
          <w:szCs w:val="24"/>
          <w:highlight w:val="none"/>
          <w:u w:val="single"/>
          <w:lang w:eastAsia="zh-CN"/>
        </w:rPr>
        <w:t xml:space="preserve">       </w:t>
      </w:r>
      <w:r>
        <w:rPr>
          <w:rFonts w:hint="default" w:ascii="宋体" w:hAnsi="宋体" w:eastAsia="宋体" w:cs="宋体"/>
          <w:color w:val="auto"/>
          <w:sz w:val="24"/>
          <w:szCs w:val="24"/>
          <w:highlight w:val="none"/>
        </w:rPr>
        <w:t xml:space="preserve">（公章或合同专用章） </w:t>
      </w:r>
      <w:r>
        <w:rPr>
          <w:rFonts w:hint="default" w:ascii="宋体" w:hAnsi="宋体" w:eastAsia="宋体" w:cs="宋体"/>
          <w:color w:val="auto"/>
          <w:sz w:val="24"/>
          <w:szCs w:val="24"/>
          <w:highlight w:val="none"/>
          <w:lang w:eastAsia="zh-CN"/>
        </w:rPr>
        <w:t xml:space="preserve"> </w:t>
      </w:r>
      <w:r>
        <w:rPr>
          <w:rFonts w:hint="default" w:ascii="宋体" w:hAnsi="宋体" w:eastAsia="宋体" w:cs="宋体"/>
          <w:color w:val="auto"/>
          <w:sz w:val="24"/>
          <w:szCs w:val="24"/>
          <w:highlight w:val="none"/>
        </w:rPr>
        <w:t xml:space="preserve">          </w:t>
      </w:r>
    </w:p>
    <w:p w14:paraId="215BDA89">
      <w:pPr>
        <w:pStyle w:val="40"/>
        <w:keepNext w:val="0"/>
        <w:keepLines w:val="0"/>
        <w:pageBreakBefore w:val="0"/>
        <w:widowControl w:val="0"/>
        <w:kinsoku/>
        <w:wordWrap/>
        <w:overflowPunct/>
        <w:topLinePunct w:val="0"/>
        <w:bidi w:val="0"/>
        <w:adjustRightInd/>
        <w:snapToGrid/>
        <w:spacing w:before="136" w:beforeLines="0" w:afterLines="0" w:line="440" w:lineRule="exact"/>
        <w:ind w:right="63"/>
        <w:textAlignment w:val="auto"/>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法定代表人：</w:t>
      </w:r>
      <w:r>
        <w:rPr>
          <w:rFonts w:hint="default" w:ascii="宋体" w:hAnsi="宋体" w:eastAsia="宋体" w:cs="宋体"/>
          <w:color w:val="auto"/>
          <w:sz w:val="24"/>
          <w:szCs w:val="24"/>
          <w:highlight w:val="none"/>
          <w:lang w:eastAsia="zh-CN"/>
        </w:rPr>
        <w:t xml:space="preserve">                           </w:t>
      </w:r>
      <w:r>
        <w:rPr>
          <w:rFonts w:hint="default" w:ascii="宋体" w:hAnsi="宋体" w:eastAsia="宋体" w:cs="宋体"/>
          <w:color w:val="auto"/>
          <w:sz w:val="24"/>
          <w:szCs w:val="24"/>
          <w:highlight w:val="none"/>
        </w:rPr>
        <w:t xml:space="preserve">法定代表人： </w:t>
      </w:r>
    </w:p>
    <w:p w14:paraId="39DEA0C6">
      <w:pPr>
        <w:pStyle w:val="40"/>
        <w:keepNext w:val="0"/>
        <w:keepLines w:val="0"/>
        <w:pageBreakBefore w:val="0"/>
        <w:widowControl w:val="0"/>
        <w:kinsoku/>
        <w:wordWrap/>
        <w:overflowPunct/>
        <w:topLinePunct w:val="0"/>
        <w:bidi w:val="0"/>
        <w:adjustRightInd/>
        <w:snapToGrid/>
        <w:spacing w:before="136" w:beforeLines="0" w:afterLines="0" w:line="440" w:lineRule="exact"/>
        <w:ind w:left="63" w:right="63"/>
        <w:textAlignment w:val="auto"/>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（签字或盖章）                        （签字或盖章）</w:t>
      </w:r>
    </w:p>
    <w:p w14:paraId="4A3BD976">
      <w:pPr>
        <w:pStyle w:val="23"/>
        <w:keepNext w:val="0"/>
        <w:keepLines w:val="0"/>
        <w:pageBreakBefore w:val="0"/>
        <w:widowControl w:val="0"/>
        <w:kinsoku/>
        <w:wordWrap/>
        <w:overflowPunct/>
        <w:topLinePunct w:val="0"/>
        <w:bidi w:val="0"/>
        <w:adjustRightInd/>
        <w:snapToGrid/>
        <w:spacing w:beforeLines="0" w:afterLines="0" w:line="440" w:lineRule="exact"/>
        <w:ind w:left="6250" w:hanging="7000" w:hangingChars="2500"/>
        <w:textAlignment w:val="auto"/>
        <w:rPr>
          <w:rFonts w:hint="default" w:ascii="宋体" w:hAnsi="宋体" w:eastAsia="宋体" w:cs="宋体"/>
          <w:color w:val="auto"/>
          <w:spacing w:val="20"/>
          <w:sz w:val="24"/>
          <w:szCs w:val="24"/>
          <w:highlight w:val="none"/>
          <w:lang w:eastAsia="zh-CN"/>
        </w:rPr>
      </w:pPr>
      <w:r>
        <w:rPr>
          <w:rFonts w:hint="default" w:ascii="宋体" w:hAnsi="宋体" w:eastAsia="宋体" w:cs="宋体"/>
          <w:color w:val="auto"/>
          <w:spacing w:val="20"/>
          <w:sz w:val="24"/>
          <w:szCs w:val="24"/>
          <w:highlight w:val="none"/>
        </w:rPr>
        <w:t>地址：</w:t>
      </w:r>
      <w:r>
        <w:rPr>
          <w:rFonts w:hint="default" w:ascii="宋体" w:hAnsi="宋体" w:eastAsia="宋体" w:cs="宋体"/>
          <w:color w:val="auto"/>
          <w:spacing w:val="20"/>
          <w:sz w:val="24"/>
          <w:szCs w:val="24"/>
          <w:highlight w:val="none"/>
          <w:lang w:eastAsia="zh-CN"/>
        </w:rPr>
        <w:t xml:space="preserve">                        </w:t>
      </w:r>
      <w:r>
        <w:rPr>
          <w:rFonts w:hint="default" w:ascii="宋体" w:hAnsi="宋体" w:eastAsia="宋体" w:cs="宋体"/>
          <w:color w:val="auto"/>
          <w:spacing w:val="20"/>
          <w:sz w:val="24"/>
          <w:szCs w:val="24"/>
          <w:highlight w:val="none"/>
        </w:rPr>
        <w:t>地址：</w:t>
      </w:r>
      <w:r>
        <w:rPr>
          <w:rFonts w:hint="default" w:ascii="宋体" w:hAnsi="宋体" w:eastAsia="宋体" w:cs="宋体"/>
          <w:color w:val="auto"/>
          <w:spacing w:val="20"/>
          <w:sz w:val="24"/>
          <w:szCs w:val="24"/>
          <w:highlight w:val="none"/>
          <w:lang w:eastAsia="zh-CN"/>
        </w:rPr>
        <w:t xml:space="preserve">     </w:t>
      </w:r>
    </w:p>
    <w:p w14:paraId="3429A18E">
      <w:pPr>
        <w:pStyle w:val="40"/>
        <w:keepNext w:val="0"/>
        <w:keepLines w:val="0"/>
        <w:pageBreakBefore w:val="0"/>
        <w:widowControl w:val="0"/>
        <w:kinsoku/>
        <w:wordWrap/>
        <w:overflowPunct/>
        <w:topLinePunct w:val="0"/>
        <w:bidi w:val="0"/>
        <w:adjustRightInd/>
        <w:snapToGrid/>
        <w:spacing w:before="12" w:beforeLines="0" w:afterLines="0" w:line="440" w:lineRule="exact"/>
        <w:ind w:left="63" w:right="63"/>
        <w:textAlignment w:val="auto"/>
        <w:rPr>
          <w:rFonts w:hint="default" w:ascii="宋体" w:hAnsi="宋体" w:eastAsia="宋体" w:cs="宋体"/>
          <w:color w:val="auto"/>
          <w:spacing w:val="20"/>
          <w:sz w:val="24"/>
          <w:szCs w:val="24"/>
          <w:highlight w:val="none"/>
        </w:rPr>
      </w:pPr>
      <w:r>
        <w:rPr>
          <w:rFonts w:hint="default" w:ascii="宋体" w:hAnsi="宋体" w:eastAsia="宋体" w:cs="宋体"/>
          <w:color w:val="auto"/>
          <w:spacing w:val="20"/>
          <w:sz w:val="24"/>
          <w:szCs w:val="24"/>
          <w:highlight w:val="none"/>
        </w:rPr>
        <w:t>日期：</w:t>
      </w:r>
      <w:r>
        <w:rPr>
          <w:rFonts w:hint="default" w:ascii="宋体" w:hAnsi="宋体" w:eastAsia="宋体" w:cs="宋体"/>
          <w:color w:val="auto"/>
          <w:sz w:val="24"/>
          <w:szCs w:val="24"/>
          <w:highlight w:val="none"/>
          <w:u w:val="single"/>
        </w:rPr>
        <w:t xml:space="preserve">    </w:t>
      </w:r>
      <w:r>
        <w:rPr>
          <w:rFonts w:hint="default" w:ascii="宋体" w:hAnsi="宋体" w:eastAsia="宋体" w:cs="宋体"/>
          <w:color w:val="auto"/>
          <w:sz w:val="24"/>
          <w:szCs w:val="24"/>
          <w:highlight w:val="none"/>
        </w:rPr>
        <w:t>年</w:t>
      </w:r>
      <w:r>
        <w:rPr>
          <w:rFonts w:hint="default" w:ascii="宋体" w:hAnsi="宋体" w:eastAsia="宋体" w:cs="宋体"/>
          <w:color w:val="auto"/>
          <w:sz w:val="24"/>
          <w:szCs w:val="24"/>
          <w:highlight w:val="none"/>
          <w:u w:val="single"/>
        </w:rPr>
        <w:t xml:space="preserve">     </w:t>
      </w:r>
      <w:r>
        <w:rPr>
          <w:rFonts w:hint="default" w:ascii="宋体" w:hAnsi="宋体" w:eastAsia="宋体" w:cs="宋体"/>
          <w:color w:val="auto"/>
          <w:sz w:val="24"/>
          <w:szCs w:val="24"/>
          <w:highlight w:val="none"/>
        </w:rPr>
        <w:t>月</w:t>
      </w:r>
      <w:r>
        <w:rPr>
          <w:rFonts w:hint="default" w:ascii="宋体" w:hAnsi="宋体" w:eastAsia="宋体" w:cs="宋体"/>
          <w:color w:val="auto"/>
          <w:sz w:val="24"/>
          <w:szCs w:val="24"/>
          <w:highlight w:val="none"/>
          <w:u w:val="single"/>
        </w:rPr>
        <w:t xml:space="preserve">     </w:t>
      </w:r>
      <w:r>
        <w:rPr>
          <w:rFonts w:hint="default" w:ascii="宋体" w:hAnsi="宋体" w:eastAsia="宋体" w:cs="宋体"/>
          <w:color w:val="auto"/>
          <w:sz w:val="24"/>
          <w:szCs w:val="24"/>
          <w:highlight w:val="none"/>
        </w:rPr>
        <w:t>日</w:t>
      </w:r>
      <w:r>
        <w:rPr>
          <w:rFonts w:hint="default" w:ascii="宋体" w:hAnsi="宋体" w:eastAsia="宋体" w:cs="宋体"/>
          <w:color w:val="auto"/>
          <w:spacing w:val="20"/>
          <w:sz w:val="24"/>
          <w:szCs w:val="24"/>
          <w:highlight w:val="none"/>
        </w:rPr>
        <w:t xml:space="preserve">      </w:t>
      </w:r>
      <w:r>
        <w:rPr>
          <w:rFonts w:hint="eastAsia" w:ascii="宋体" w:hAnsi="宋体" w:eastAsia="宋体" w:cs="宋体"/>
          <w:color w:val="auto"/>
          <w:spacing w:val="20"/>
          <w:sz w:val="24"/>
          <w:szCs w:val="24"/>
          <w:highlight w:val="none"/>
          <w:lang w:val="en-US" w:eastAsia="zh-CN"/>
        </w:rPr>
        <w:t xml:space="preserve">   </w:t>
      </w:r>
      <w:r>
        <w:rPr>
          <w:rFonts w:hint="default" w:ascii="宋体" w:hAnsi="宋体" w:eastAsia="宋体" w:cs="宋体"/>
          <w:color w:val="auto"/>
          <w:spacing w:val="20"/>
          <w:sz w:val="24"/>
          <w:szCs w:val="24"/>
          <w:highlight w:val="none"/>
        </w:rPr>
        <w:t xml:space="preserve">日期： </w:t>
      </w:r>
      <w:r>
        <w:rPr>
          <w:rFonts w:hint="default" w:ascii="宋体" w:hAnsi="宋体" w:eastAsia="宋体" w:cs="宋体"/>
          <w:color w:val="auto"/>
          <w:sz w:val="24"/>
          <w:szCs w:val="24"/>
          <w:highlight w:val="none"/>
          <w:u w:val="single"/>
        </w:rPr>
        <w:t xml:space="preserve">     </w:t>
      </w:r>
      <w:r>
        <w:rPr>
          <w:rFonts w:hint="default" w:ascii="宋体" w:hAnsi="宋体" w:eastAsia="宋体" w:cs="宋体"/>
          <w:color w:val="auto"/>
          <w:sz w:val="24"/>
          <w:szCs w:val="24"/>
          <w:highlight w:val="none"/>
        </w:rPr>
        <w:t>年</w:t>
      </w:r>
      <w:r>
        <w:rPr>
          <w:rFonts w:hint="default" w:ascii="宋体" w:hAnsi="宋体" w:eastAsia="宋体" w:cs="宋体"/>
          <w:color w:val="auto"/>
          <w:sz w:val="24"/>
          <w:szCs w:val="24"/>
          <w:highlight w:val="none"/>
          <w:u w:val="single"/>
        </w:rPr>
        <w:t xml:space="preserve">     </w:t>
      </w:r>
      <w:r>
        <w:rPr>
          <w:rFonts w:hint="default" w:ascii="宋体" w:hAnsi="宋体" w:eastAsia="宋体" w:cs="宋体"/>
          <w:color w:val="auto"/>
          <w:sz w:val="24"/>
          <w:szCs w:val="24"/>
          <w:highlight w:val="none"/>
        </w:rPr>
        <w:t>月</w:t>
      </w:r>
      <w:r>
        <w:rPr>
          <w:rFonts w:hint="default" w:ascii="宋体" w:hAnsi="宋体" w:eastAsia="宋体" w:cs="宋体"/>
          <w:color w:val="auto"/>
          <w:sz w:val="24"/>
          <w:szCs w:val="24"/>
          <w:highlight w:val="none"/>
          <w:u w:val="single"/>
        </w:rPr>
        <w:t xml:space="preserve">     </w:t>
      </w:r>
      <w:r>
        <w:rPr>
          <w:rFonts w:hint="default" w:ascii="宋体" w:hAnsi="宋体" w:eastAsia="宋体" w:cs="宋体"/>
          <w:color w:val="auto"/>
          <w:sz w:val="24"/>
          <w:szCs w:val="24"/>
          <w:highlight w:val="none"/>
        </w:rPr>
        <w:t>日</w:t>
      </w:r>
    </w:p>
    <w:p w14:paraId="15361601">
      <w:pPr>
        <w:pStyle w:val="40"/>
        <w:spacing w:beforeLines="0" w:afterLines="0" w:line="374" w:lineRule="auto"/>
        <w:ind w:left="63" w:right="63"/>
        <w:rPr>
          <w:rFonts w:hint="default" w:ascii="宋体" w:hAnsi="宋体" w:eastAsia="宋体" w:cs="宋体"/>
          <w:color w:val="auto"/>
          <w:sz w:val="24"/>
          <w:szCs w:val="24"/>
          <w:highlight w:val="none"/>
        </w:rPr>
      </w:pPr>
    </w:p>
    <w:p w14:paraId="1648F19F">
      <w:pPr>
        <w:pStyle w:val="45"/>
        <w:keepNext w:val="0"/>
        <w:keepLines w:val="0"/>
        <w:pageBreakBefore/>
        <w:widowControl w:val="0"/>
        <w:kinsoku/>
        <w:wordWrap/>
        <w:overflowPunct/>
        <w:topLinePunct w:val="0"/>
        <w:autoSpaceDE/>
        <w:autoSpaceDN/>
        <w:bidi w:val="0"/>
        <w:adjustRightInd/>
        <w:snapToGrid/>
        <w:spacing w:before="51" w:beforeLines="0" w:afterLines="0"/>
        <w:ind w:left="0"/>
        <w:textAlignment w:val="auto"/>
        <w:rPr>
          <w:rFonts w:hint="default" w:ascii="宋体" w:hAnsi="宋体" w:eastAsia="宋体" w:cs="宋体"/>
          <w:color w:val="auto"/>
          <w:sz w:val="28"/>
          <w:szCs w:val="28"/>
          <w:highlight w:val="none"/>
        </w:rPr>
      </w:pPr>
      <w:r>
        <w:rPr>
          <w:rFonts w:hint="default" w:ascii="宋体" w:hAnsi="宋体" w:eastAsia="宋体" w:cs="宋体"/>
          <w:color w:val="auto"/>
          <w:sz w:val="28"/>
          <w:szCs w:val="28"/>
          <w:highlight w:val="none"/>
        </w:rPr>
        <w:t>附件</w:t>
      </w:r>
      <w:r>
        <w:rPr>
          <w:rFonts w:hint="default" w:ascii="宋体" w:hAnsi="宋体" w:eastAsia="宋体" w:cs="宋体"/>
          <w:color w:val="auto"/>
          <w:sz w:val="28"/>
          <w:szCs w:val="28"/>
          <w:highlight w:val="none"/>
          <w:lang w:eastAsia="zh-CN"/>
        </w:rPr>
        <w:t>七</w:t>
      </w:r>
      <w:r>
        <w:rPr>
          <w:rFonts w:hint="default" w:ascii="宋体" w:hAnsi="宋体" w:eastAsia="宋体" w:cs="宋体"/>
          <w:color w:val="auto"/>
          <w:sz w:val="28"/>
          <w:szCs w:val="28"/>
          <w:highlight w:val="none"/>
        </w:rPr>
        <w:t>：安全生产合同</w:t>
      </w:r>
    </w:p>
    <w:p w14:paraId="64D718C4">
      <w:pPr>
        <w:pStyle w:val="40"/>
        <w:spacing w:before="9" w:beforeLines="0" w:afterLines="0"/>
        <w:ind w:left="63" w:right="63"/>
        <w:rPr>
          <w:rFonts w:hint="default" w:ascii="宋体" w:hAnsi="宋体" w:eastAsia="宋体" w:cs="宋体"/>
          <w:b/>
          <w:color w:val="auto"/>
          <w:sz w:val="20"/>
          <w:szCs w:val="20"/>
          <w:highlight w:val="none"/>
        </w:rPr>
      </w:pPr>
    </w:p>
    <w:p w14:paraId="63A9CB5F">
      <w:pPr>
        <w:pStyle w:val="23"/>
        <w:spacing w:beforeLines="0" w:afterLines="0"/>
        <w:ind w:left="564" w:right="1167"/>
        <w:jc w:val="center"/>
        <w:rPr>
          <w:rFonts w:hint="default" w:ascii="宋体" w:hAnsi="宋体" w:eastAsia="宋体" w:cs="宋体"/>
          <w:color w:val="auto"/>
          <w:sz w:val="24"/>
          <w:szCs w:val="24"/>
          <w:highlight w:val="none"/>
          <w:lang w:eastAsia="zh-CN"/>
        </w:rPr>
      </w:pPr>
      <w:r>
        <w:rPr>
          <w:rFonts w:hint="default" w:ascii="宋体" w:hAnsi="宋体" w:eastAsia="宋体" w:cs="宋体"/>
          <w:b/>
          <w:color w:val="auto"/>
          <w:sz w:val="28"/>
          <w:szCs w:val="28"/>
          <w:highlight w:val="none"/>
        </w:rPr>
        <w:t>安全生产合同</w:t>
      </w:r>
    </w:p>
    <w:p w14:paraId="65518020">
      <w:pPr>
        <w:pStyle w:val="40"/>
        <w:keepNext w:val="0"/>
        <w:keepLines w:val="0"/>
        <w:pageBreakBefore w:val="0"/>
        <w:widowControl w:val="0"/>
        <w:kinsoku/>
        <w:wordWrap/>
        <w:overflowPunct/>
        <w:topLinePunct w:val="0"/>
        <w:autoSpaceDE/>
        <w:autoSpaceDN/>
        <w:bidi w:val="0"/>
        <w:adjustRightInd/>
        <w:snapToGrid/>
        <w:spacing w:before="12" w:beforeLines="0" w:afterLines="0" w:line="420" w:lineRule="exact"/>
        <w:ind w:left="63" w:right="63" w:firstLine="480" w:firstLineChars="200"/>
        <w:textAlignment w:val="auto"/>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为在</w:t>
      </w:r>
      <w:r>
        <w:rPr>
          <w:rFonts w:hint="default" w:ascii="宋体" w:hAnsi="宋体" w:eastAsia="宋体" w:cs="宋体"/>
          <w:color w:val="auto"/>
          <w:sz w:val="24"/>
          <w:szCs w:val="24"/>
          <w:highlight w:val="none"/>
          <w:u w:val="single"/>
        </w:rPr>
        <w:t xml:space="preserve"> </w:t>
      </w:r>
      <w:r>
        <w:rPr>
          <w:rFonts w:hint="default" w:ascii="宋体" w:hAnsi="宋体" w:eastAsia="宋体" w:cs="宋体"/>
          <w:color w:val="auto"/>
          <w:sz w:val="24"/>
          <w:szCs w:val="24"/>
          <w:highlight w:val="none"/>
          <w:u w:val="single"/>
          <w:lang w:eastAsia="zh-CN"/>
        </w:rPr>
        <w:t xml:space="preserve">                             </w:t>
      </w:r>
      <w:r>
        <w:rPr>
          <w:rFonts w:hint="default" w:ascii="宋体" w:hAnsi="宋体" w:eastAsia="宋体" w:cs="宋体"/>
          <w:color w:val="auto"/>
          <w:sz w:val="24"/>
          <w:szCs w:val="24"/>
          <w:highlight w:val="none"/>
          <w:u w:val="single"/>
        </w:rPr>
        <w:t xml:space="preserve"> </w:t>
      </w:r>
      <w:r>
        <w:rPr>
          <w:rFonts w:hint="default" w:ascii="宋体" w:hAnsi="宋体" w:eastAsia="宋体" w:cs="宋体"/>
          <w:color w:val="auto"/>
          <w:spacing w:val="-3"/>
          <w:sz w:val="24"/>
          <w:szCs w:val="24"/>
          <w:highlight w:val="none"/>
        </w:rPr>
        <w:t>施工合同的实施过程中创造安全、高效的施工环境，切实搞好本项目的安全管理工作，本项目业主</w:t>
      </w:r>
      <w:r>
        <w:rPr>
          <w:rFonts w:hint="default" w:ascii="宋体" w:hAnsi="宋体" w:eastAsia="宋体" w:cs="宋体"/>
          <w:color w:val="auto"/>
          <w:sz w:val="24"/>
          <w:szCs w:val="24"/>
          <w:highlight w:val="none"/>
          <w:u w:val="single"/>
          <w:lang w:eastAsia="zh-CN"/>
        </w:rPr>
        <w:t>马山县农业农村局</w:t>
      </w:r>
      <w:r>
        <w:rPr>
          <w:rFonts w:hint="default" w:ascii="宋体" w:hAnsi="宋体" w:eastAsia="宋体" w:cs="宋体"/>
          <w:color w:val="auto"/>
          <w:sz w:val="24"/>
          <w:szCs w:val="24"/>
          <w:highlight w:val="none"/>
        </w:rPr>
        <w:t>（</w:t>
      </w:r>
      <w:r>
        <w:rPr>
          <w:rFonts w:hint="default" w:ascii="宋体" w:hAnsi="宋体" w:eastAsia="宋体" w:cs="宋体"/>
          <w:color w:val="auto"/>
          <w:spacing w:val="-4"/>
          <w:sz w:val="24"/>
          <w:szCs w:val="24"/>
          <w:highlight w:val="none"/>
        </w:rPr>
        <w:t>以下简称“甲方</w:t>
      </w:r>
      <w:r>
        <w:rPr>
          <w:rFonts w:hint="default" w:ascii="宋体" w:hAnsi="宋体" w:eastAsia="宋体" w:cs="宋体"/>
          <w:color w:val="auto"/>
          <w:spacing w:val="-15"/>
          <w:sz w:val="24"/>
          <w:szCs w:val="24"/>
          <w:highlight w:val="none"/>
        </w:rPr>
        <w:t>”）</w:t>
      </w:r>
      <w:r>
        <w:rPr>
          <w:rFonts w:hint="default" w:ascii="宋体" w:hAnsi="宋体" w:eastAsia="宋体" w:cs="宋体"/>
          <w:color w:val="auto"/>
          <w:sz w:val="24"/>
          <w:szCs w:val="24"/>
          <w:highlight w:val="none"/>
        </w:rPr>
        <w:t>与承包人</w:t>
      </w:r>
      <w:r>
        <w:rPr>
          <w:rFonts w:hint="default" w:ascii="宋体" w:hAnsi="宋体" w:eastAsia="宋体" w:cs="宋体"/>
          <w:color w:val="auto"/>
          <w:sz w:val="24"/>
          <w:szCs w:val="24"/>
          <w:highlight w:val="none"/>
          <w:u w:val="single"/>
        </w:rPr>
        <w:t xml:space="preserve">  </w:t>
      </w:r>
      <w:r>
        <w:rPr>
          <w:rFonts w:hint="default" w:ascii="宋体" w:hAnsi="宋体" w:eastAsia="宋体" w:cs="宋体"/>
          <w:color w:val="auto"/>
          <w:sz w:val="24"/>
          <w:szCs w:val="24"/>
          <w:highlight w:val="none"/>
          <w:u w:val="single"/>
          <w:lang w:eastAsia="zh-CN"/>
        </w:rPr>
        <w:t xml:space="preserve">           </w:t>
      </w:r>
      <w:r>
        <w:rPr>
          <w:rFonts w:hint="default" w:ascii="宋体" w:hAnsi="宋体" w:eastAsia="宋体" w:cs="宋体"/>
          <w:color w:val="auto"/>
          <w:sz w:val="24"/>
          <w:szCs w:val="24"/>
          <w:highlight w:val="none"/>
          <w:u w:val="single"/>
        </w:rPr>
        <w:t xml:space="preserve"> </w:t>
      </w:r>
      <w:r>
        <w:rPr>
          <w:rFonts w:hint="default" w:ascii="宋体" w:hAnsi="宋体" w:eastAsia="宋体" w:cs="宋体"/>
          <w:color w:val="auto"/>
          <w:sz w:val="24"/>
          <w:szCs w:val="24"/>
          <w:highlight w:val="none"/>
        </w:rPr>
        <w:t>（以下简称“乙方”）</w:t>
      </w:r>
      <w:r>
        <w:rPr>
          <w:rFonts w:hint="default" w:ascii="宋体" w:hAnsi="宋体" w:eastAsia="宋体" w:cs="宋体"/>
          <w:color w:val="auto"/>
          <w:spacing w:val="-1"/>
          <w:sz w:val="24"/>
          <w:szCs w:val="24"/>
          <w:highlight w:val="none"/>
        </w:rPr>
        <w:t>特此签订安全生产合同：</w:t>
      </w:r>
    </w:p>
    <w:p w14:paraId="5BB0D7EA">
      <w:pPr>
        <w:pStyle w:val="46"/>
        <w:keepNext w:val="0"/>
        <w:keepLines w:val="0"/>
        <w:pageBreakBefore w:val="0"/>
        <w:widowControl w:val="0"/>
        <w:kinsoku/>
        <w:wordWrap/>
        <w:overflowPunct/>
        <w:topLinePunct w:val="0"/>
        <w:autoSpaceDE/>
        <w:autoSpaceDN/>
        <w:bidi w:val="0"/>
        <w:adjustRightInd/>
        <w:snapToGrid/>
        <w:spacing w:beforeLines="0" w:afterLines="0" w:line="420" w:lineRule="exact"/>
        <w:ind w:left="521" w:firstLine="0"/>
        <w:textAlignment w:val="auto"/>
        <w:outlineLvl w:val="0"/>
        <w:rPr>
          <w:rFonts w:hint="default" w:ascii="宋体" w:hAnsi="宋体" w:eastAsia="宋体" w:cs="宋体"/>
          <w:color w:val="auto"/>
          <w:sz w:val="24"/>
          <w:szCs w:val="24"/>
          <w:highlight w:val="none"/>
        </w:rPr>
      </w:pPr>
      <w:bookmarkStart w:id="1522" w:name="一、甲方职责"/>
      <w:bookmarkEnd w:id="1522"/>
      <w:bookmarkStart w:id="1523" w:name="_bookmark337"/>
      <w:bookmarkEnd w:id="1523"/>
      <w:bookmarkStart w:id="1524" w:name="_Toc11797"/>
      <w:r>
        <w:rPr>
          <w:rFonts w:hint="default" w:ascii="宋体" w:hAnsi="宋体" w:eastAsia="宋体" w:cs="宋体"/>
          <w:color w:val="auto"/>
          <w:sz w:val="24"/>
          <w:szCs w:val="24"/>
          <w:highlight w:val="none"/>
        </w:rPr>
        <w:t>一、甲方职责</w:t>
      </w:r>
      <w:bookmarkEnd w:id="1524"/>
    </w:p>
    <w:p w14:paraId="4E643A9C">
      <w:pPr>
        <w:pStyle w:val="40"/>
        <w:keepNext w:val="0"/>
        <w:keepLines w:val="0"/>
        <w:pageBreakBefore w:val="0"/>
        <w:widowControl w:val="0"/>
        <w:kinsoku/>
        <w:wordWrap/>
        <w:overflowPunct/>
        <w:topLinePunct w:val="0"/>
        <w:autoSpaceDE/>
        <w:autoSpaceDN/>
        <w:bidi w:val="0"/>
        <w:adjustRightInd/>
        <w:snapToGrid/>
        <w:spacing w:before="1" w:beforeLines="0" w:afterLines="0" w:line="420" w:lineRule="exact"/>
        <w:ind w:left="63" w:right="63" w:firstLine="480" w:firstLineChars="200"/>
        <w:textAlignment w:val="auto"/>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1.严格遵守国家有关安全生产的法律法规，认真执行工程承包合同中的有关安全要求。</w:t>
      </w:r>
    </w:p>
    <w:p w14:paraId="63B08F1A">
      <w:pPr>
        <w:pStyle w:val="40"/>
        <w:keepNext w:val="0"/>
        <w:keepLines w:val="0"/>
        <w:pageBreakBefore w:val="0"/>
        <w:widowControl w:val="0"/>
        <w:kinsoku/>
        <w:wordWrap/>
        <w:overflowPunct/>
        <w:topLinePunct w:val="0"/>
        <w:autoSpaceDE/>
        <w:autoSpaceDN/>
        <w:bidi w:val="0"/>
        <w:adjustRightInd/>
        <w:snapToGrid/>
        <w:spacing w:before="137" w:beforeLines="0" w:afterLines="0" w:line="420" w:lineRule="exact"/>
        <w:ind w:left="63" w:right="63" w:firstLine="480" w:firstLineChars="200"/>
        <w:textAlignment w:val="auto"/>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2.按照“安全第一、预防为主”和坚持“管生产必须管安全”的原则进行安全生产管理，做到生产与安全工作同时计划、布置、检查、总结和评比。</w:t>
      </w:r>
    </w:p>
    <w:p w14:paraId="7DC3B6D0">
      <w:pPr>
        <w:pStyle w:val="40"/>
        <w:keepNext w:val="0"/>
        <w:keepLines w:val="0"/>
        <w:pageBreakBefore w:val="0"/>
        <w:widowControl w:val="0"/>
        <w:kinsoku/>
        <w:wordWrap/>
        <w:overflowPunct/>
        <w:topLinePunct w:val="0"/>
        <w:autoSpaceDE/>
        <w:autoSpaceDN/>
        <w:bidi w:val="0"/>
        <w:adjustRightInd/>
        <w:snapToGrid/>
        <w:spacing w:beforeLines="0" w:afterLines="0" w:line="420" w:lineRule="exact"/>
        <w:ind w:left="63" w:right="63" w:firstLine="480" w:firstLineChars="200"/>
        <w:textAlignment w:val="auto"/>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3.重要的安全设施必须坚持与主体工程“三同时”的原则，即：同时设计、审批，同时施工，同时验收，投入使用。</w:t>
      </w:r>
    </w:p>
    <w:p w14:paraId="05C3E406">
      <w:pPr>
        <w:pStyle w:val="40"/>
        <w:keepNext w:val="0"/>
        <w:keepLines w:val="0"/>
        <w:pageBreakBefore w:val="0"/>
        <w:widowControl w:val="0"/>
        <w:kinsoku/>
        <w:wordWrap/>
        <w:overflowPunct/>
        <w:topLinePunct w:val="0"/>
        <w:autoSpaceDE/>
        <w:autoSpaceDN/>
        <w:bidi w:val="0"/>
        <w:adjustRightInd/>
        <w:snapToGrid/>
        <w:spacing w:before="137" w:beforeLines="0" w:afterLines="0" w:line="420" w:lineRule="exact"/>
        <w:ind w:left="63" w:right="63" w:firstLine="480" w:firstLineChars="200"/>
        <w:textAlignment w:val="auto"/>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4.定期召开安全生产调度会，及时传达中央及地方有关安全生产的精神。</w:t>
      </w:r>
    </w:p>
    <w:p w14:paraId="5D1B8E33">
      <w:pPr>
        <w:pStyle w:val="40"/>
        <w:keepNext w:val="0"/>
        <w:keepLines w:val="0"/>
        <w:pageBreakBefore w:val="0"/>
        <w:widowControl w:val="0"/>
        <w:kinsoku/>
        <w:wordWrap/>
        <w:overflowPunct/>
        <w:topLinePunct w:val="0"/>
        <w:autoSpaceDE/>
        <w:autoSpaceDN/>
        <w:bidi w:val="0"/>
        <w:adjustRightInd/>
        <w:snapToGrid/>
        <w:spacing w:before="151" w:beforeLines="0" w:afterLines="0" w:line="420" w:lineRule="exact"/>
        <w:ind w:left="63" w:right="63" w:firstLine="480" w:firstLineChars="200"/>
        <w:textAlignment w:val="auto"/>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5.组织对乙方施工现场安全生产检查，监督乙方及时处理发现的各种安全隐患。</w:t>
      </w:r>
    </w:p>
    <w:p w14:paraId="608B1777">
      <w:pPr>
        <w:pStyle w:val="23"/>
        <w:keepNext w:val="0"/>
        <w:keepLines w:val="0"/>
        <w:pageBreakBefore w:val="0"/>
        <w:widowControl w:val="0"/>
        <w:kinsoku/>
        <w:wordWrap/>
        <w:overflowPunct/>
        <w:topLinePunct w:val="0"/>
        <w:autoSpaceDE/>
        <w:autoSpaceDN/>
        <w:bidi w:val="0"/>
        <w:adjustRightInd/>
        <w:snapToGrid/>
        <w:spacing w:before="1" w:beforeLines="0" w:afterLines="0" w:line="420" w:lineRule="exact"/>
        <w:ind w:left="521"/>
        <w:textAlignment w:val="auto"/>
        <w:outlineLvl w:val="0"/>
        <w:rPr>
          <w:rFonts w:hint="default" w:ascii="宋体" w:hAnsi="宋体" w:eastAsia="宋体" w:cs="宋体"/>
          <w:b/>
          <w:color w:val="auto"/>
          <w:sz w:val="24"/>
          <w:szCs w:val="24"/>
          <w:highlight w:val="none"/>
        </w:rPr>
      </w:pPr>
      <w:bookmarkStart w:id="1525" w:name="_bookmark338"/>
      <w:bookmarkEnd w:id="1525"/>
      <w:bookmarkStart w:id="1526" w:name="二、乙方职责"/>
      <w:bookmarkEnd w:id="1526"/>
      <w:bookmarkStart w:id="1527" w:name="_Toc7708"/>
      <w:r>
        <w:rPr>
          <w:rFonts w:hint="default" w:ascii="宋体" w:hAnsi="宋体" w:eastAsia="宋体" w:cs="宋体"/>
          <w:b/>
          <w:color w:val="auto"/>
          <w:sz w:val="24"/>
          <w:szCs w:val="24"/>
          <w:highlight w:val="none"/>
        </w:rPr>
        <w:t>二、乙方职责</w:t>
      </w:r>
      <w:bookmarkEnd w:id="1527"/>
    </w:p>
    <w:p w14:paraId="39D70820">
      <w:pPr>
        <w:pStyle w:val="40"/>
        <w:keepNext w:val="0"/>
        <w:keepLines w:val="0"/>
        <w:pageBreakBefore w:val="0"/>
        <w:widowControl w:val="0"/>
        <w:kinsoku/>
        <w:wordWrap/>
        <w:overflowPunct/>
        <w:topLinePunct w:val="0"/>
        <w:autoSpaceDE/>
        <w:autoSpaceDN/>
        <w:bidi w:val="0"/>
        <w:adjustRightInd/>
        <w:snapToGrid/>
        <w:spacing w:before="1" w:beforeLines="0" w:afterLines="0" w:line="420" w:lineRule="exact"/>
        <w:ind w:left="63" w:right="63" w:firstLine="480" w:firstLineChars="200"/>
        <w:textAlignment w:val="auto"/>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1.严格遵守国家有关安全生产的法律法规及建筑工程有关安全生产的规定，认真执行工程承包合同中的有关安全要求。</w:t>
      </w:r>
    </w:p>
    <w:p w14:paraId="64043A30">
      <w:pPr>
        <w:pStyle w:val="40"/>
        <w:keepNext w:val="0"/>
        <w:keepLines w:val="0"/>
        <w:pageBreakBefore w:val="0"/>
        <w:widowControl w:val="0"/>
        <w:kinsoku/>
        <w:wordWrap/>
        <w:overflowPunct/>
        <w:topLinePunct w:val="0"/>
        <w:autoSpaceDE/>
        <w:autoSpaceDN/>
        <w:bidi w:val="0"/>
        <w:adjustRightInd/>
        <w:snapToGrid/>
        <w:spacing w:beforeLines="0" w:afterLines="0" w:line="420" w:lineRule="exact"/>
        <w:ind w:left="63" w:right="63" w:firstLine="480" w:firstLineChars="200"/>
        <w:textAlignment w:val="auto"/>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2.坚持“安全第一、预防为主”和“管生产必须管安全”的原则，加强安全生产宣传教育，增强全员安全生产意识，建立健全各项安全生产的管理机构和安全生产管理制度，配备专职及兼职安全检查人员，有组织有领导地开展安全生产活动。各级领导、工程技术人员、生产管理人员和具体操作人员，必须熟悉和遵守本条款的各项规定，做到生产与安全工作同时计划、布置、检查、总结和评比。</w:t>
      </w:r>
    </w:p>
    <w:p w14:paraId="56E4F7C7">
      <w:pPr>
        <w:pStyle w:val="40"/>
        <w:keepNext w:val="0"/>
        <w:keepLines w:val="0"/>
        <w:pageBreakBefore w:val="0"/>
        <w:widowControl w:val="0"/>
        <w:kinsoku/>
        <w:wordWrap/>
        <w:overflowPunct/>
        <w:topLinePunct w:val="0"/>
        <w:autoSpaceDE/>
        <w:autoSpaceDN/>
        <w:bidi w:val="0"/>
        <w:adjustRightInd/>
        <w:snapToGrid/>
        <w:spacing w:beforeLines="0" w:afterLines="0" w:line="420" w:lineRule="exact"/>
        <w:ind w:left="63" w:right="63" w:firstLine="480" w:firstLineChars="200"/>
        <w:textAlignment w:val="auto"/>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3.建立健全安全生产责任制。从派往项目实施的项目负责人到生产工人（包括临时雇请的民工）的安全生产管理系统必须做到纵向到底，一环不漏；各职能部门、人员的安全生产责任制做到横向到边，人人有责。项目负责人是安全生产的第一责任人。现场设置的安全机构，应按施工人员的1%~3%配备安全员，专职负责所有员工的安全和治安保卫工作及预防事故的发生。安全机构人员，有权按有关规定发布指令，并采取保护性措施防止事故发生。</w:t>
      </w:r>
    </w:p>
    <w:p w14:paraId="64A3AB37">
      <w:pPr>
        <w:pStyle w:val="40"/>
        <w:keepNext w:val="0"/>
        <w:keepLines w:val="0"/>
        <w:pageBreakBefore w:val="0"/>
        <w:widowControl w:val="0"/>
        <w:kinsoku/>
        <w:wordWrap/>
        <w:overflowPunct/>
        <w:topLinePunct w:val="0"/>
        <w:autoSpaceDE/>
        <w:autoSpaceDN/>
        <w:bidi w:val="0"/>
        <w:adjustRightInd/>
        <w:snapToGrid/>
        <w:spacing w:beforeLines="0" w:afterLines="0" w:line="420" w:lineRule="exact"/>
        <w:ind w:left="63" w:right="63" w:firstLine="480" w:firstLineChars="200"/>
        <w:textAlignment w:val="auto"/>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4.乙方在任何时候都应采取各种合理的预防措施，防止其员工发生任何违法、违禁、暴力或妨碍治安的行为。</w:t>
      </w:r>
    </w:p>
    <w:p w14:paraId="0C536FE3">
      <w:pPr>
        <w:pStyle w:val="40"/>
        <w:keepNext w:val="0"/>
        <w:keepLines w:val="0"/>
        <w:pageBreakBefore w:val="0"/>
        <w:widowControl w:val="0"/>
        <w:kinsoku/>
        <w:wordWrap/>
        <w:overflowPunct/>
        <w:topLinePunct w:val="0"/>
        <w:autoSpaceDE/>
        <w:autoSpaceDN/>
        <w:bidi w:val="0"/>
        <w:adjustRightInd/>
        <w:snapToGrid/>
        <w:spacing w:beforeLines="0" w:afterLines="0" w:line="420" w:lineRule="exact"/>
        <w:ind w:left="63" w:right="63" w:firstLine="480" w:firstLineChars="200"/>
        <w:textAlignment w:val="auto"/>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5.乙方必须具有劳动安全管理部门颁发的安全生产证书，参加施工的人员，必须接受安全技术教育，熟知和遵守本工种的各项安全技术操作规程，定期进行安全技术考核，合格者方准上岗操作。对于从事电气、起重、建筑登高架设作业、锅炉、压力容器、焊接、机动车船艇驾驶、爆破、潜水、瓦斯检验等特殊工种的人员，经过专业培训，获得《安全操作合格证》后，方准持证上岗。施工现场如出现特种作业无证操作现象，项目负责人必须承担管理责任。</w:t>
      </w:r>
    </w:p>
    <w:p w14:paraId="61ED8F76">
      <w:pPr>
        <w:pStyle w:val="40"/>
        <w:keepNext w:val="0"/>
        <w:keepLines w:val="0"/>
        <w:pageBreakBefore w:val="0"/>
        <w:widowControl w:val="0"/>
        <w:kinsoku/>
        <w:wordWrap/>
        <w:overflowPunct/>
        <w:topLinePunct w:val="0"/>
        <w:autoSpaceDE/>
        <w:autoSpaceDN/>
        <w:bidi w:val="0"/>
        <w:adjustRightInd/>
        <w:snapToGrid/>
        <w:spacing w:beforeLines="0" w:afterLines="0" w:line="420" w:lineRule="exact"/>
        <w:ind w:left="63" w:right="63" w:firstLine="480" w:firstLineChars="200"/>
        <w:textAlignment w:val="auto"/>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6.对于易燃易爆的材料除应专门妥善保管之外，还应配备有足够的消防设施，所有施工人员都应熟悉消防设备的性能和使用方法；乙方不得将任何种类的爆炸物给予、易货或以其他方式转让给任何其他人，或允许、容忍上述同样行为。</w:t>
      </w:r>
    </w:p>
    <w:p w14:paraId="29AC6D0E">
      <w:pPr>
        <w:pStyle w:val="40"/>
        <w:keepNext w:val="0"/>
        <w:keepLines w:val="0"/>
        <w:pageBreakBefore w:val="0"/>
        <w:widowControl w:val="0"/>
        <w:kinsoku/>
        <w:wordWrap/>
        <w:overflowPunct/>
        <w:topLinePunct w:val="0"/>
        <w:autoSpaceDE/>
        <w:autoSpaceDN/>
        <w:bidi w:val="0"/>
        <w:adjustRightInd/>
        <w:snapToGrid/>
        <w:spacing w:beforeLines="0" w:afterLines="0" w:line="420" w:lineRule="exact"/>
        <w:ind w:left="63" w:right="63" w:firstLine="480" w:firstLineChars="200"/>
        <w:textAlignment w:val="auto"/>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7.操作人员上岗，必须按规定穿戴防护用品。项目经理和安全检查员应随时检查劳动防护用品的穿戴情况，不按规定穿戴防护用品的人员不得上岗。</w:t>
      </w:r>
    </w:p>
    <w:p w14:paraId="0721EE5F">
      <w:pPr>
        <w:pStyle w:val="40"/>
        <w:keepNext w:val="0"/>
        <w:keepLines w:val="0"/>
        <w:pageBreakBefore w:val="0"/>
        <w:widowControl w:val="0"/>
        <w:kinsoku/>
        <w:wordWrap/>
        <w:overflowPunct/>
        <w:topLinePunct w:val="0"/>
        <w:autoSpaceDE/>
        <w:autoSpaceDN/>
        <w:bidi w:val="0"/>
        <w:adjustRightInd/>
        <w:snapToGrid/>
        <w:spacing w:beforeLines="0" w:afterLines="0" w:line="420" w:lineRule="exact"/>
        <w:ind w:left="63" w:right="63" w:firstLine="480" w:firstLineChars="200"/>
        <w:textAlignment w:val="auto"/>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8.所有施工机械设备和高空作业的设备均应定期检查，并有安全员的签字记录，保证其经常处于完好状态；不合格的机具、设备和劳动保护用品严禁使用。</w:t>
      </w:r>
    </w:p>
    <w:p w14:paraId="479FC6E1">
      <w:pPr>
        <w:pStyle w:val="40"/>
        <w:keepNext w:val="0"/>
        <w:keepLines w:val="0"/>
        <w:pageBreakBefore w:val="0"/>
        <w:widowControl w:val="0"/>
        <w:kinsoku/>
        <w:wordWrap/>
        <w:overflowPunct/>
        <w:topLinePunct w:val="0"/>
        <w:autoSpaceDE/>
        <w:autoSpaceDN/>
        <w:bidi w:val="0"/>
        <w:adjustRightInd/>
        <w:snapToGrid/>
        <w:spacing w:beforeLines="0" w:afterLines="0" w:line="420" w:lineRule="exact"/>
        <w:ind w:left="63" w:right="63" w:firstLine="480" w:firstLineChars="200"/>
        <w:textAlignment w:val="auto"/>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9.施工中采用新技术、新工艺、新设备、新材料时，必须制定相应的安全技术措施，施工现场必须具有相关的安全标志牌。</w:t>
      </w:r>
    </w:p>
    <w:p w14:paraId="53D787BC">
      <w:pPr>
        <w:pStyle w:val="40"/>
        <w:keepNext w:val="0"/>
        <w:keepLines w:val="0"/>
        <w:pageBreakBefore w:val="0"/>
        <w:widowControl w:val="0"/>
        <w:kinsoku/>
        <w:wordWrap/>
        <w:overflowPunct/>
        <w:topLinePunct w:val="0"/>
        <w:autoSpaceDE/>
        <w:autoSpaceDN/>
        <w:bidi w:val="0"/>
        <w:adjustRightInd/>
        <w:snapToGrid/>
        <w:spacing w:beforeLines="0" w:afterLines="0" w:line="420" w:lineRule="exact"/>
        <w:ind w:left="63" w:right="63" w:firstLine="480" w:firstLineChars="200"/>
        <w:textAlignment w:val="auto"/>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10.乙方必须按照本工程项目特点，组织制定本工程实施中的生产安全事故应急救援预案；如果发生安全事故，应按照《国务院关于特大安全事故行政责任追究的规定》以及其它有关规定，及时上报有关部门，并坚持“四不放过”的原则，严肃处理相关责任人。</w:t>
      </w:r>
    </w:p>
    <w:p w14:paraId="3574DFEC">
      <w:pPr>
        <w:pStyle w:val="46"/>
        <w:keepNext w:val="0"/>
        <w:keepLines w:val="0"/>
        <w:pageBreakBefore w:val="0"/>
        <w:widowControl w:val="0"/>
        <w:kinsoku/>
        <w:wordWrap/>
        <w:overflowPunct/>
        <w:topLinePunct w:val="0"/>
        <w:autoSpaceDE/>
        <w:autoSpaceDN/>
        <w:bidi w:val="0"/>
        <w:adjustRightInd/>
        <w:snapToGrid/>
        <w:spacing w:before="13" w:beforeLines="0" w:afterLines="0" w:line="420" w:lineRule="exact"/>
        <w:ind w:left="521" w:firstLine="0"/>
        <w:textAlignment w:val="auto"/>
        <w:outlineLvl w:val="0"/>
        <w:rPr>
          <w:rFonts w:hint="default" w:ascii="宋体" w:hAnsi="宋体" w:eastAsia="宋体" w:cs="宋体"/>
          <w:color w:val="auto"/>
          <w:sz w:val="24"/>
          <w:szCs w:val="24"/>
          <w:highlight w:val="none"/>
        </w:rPr>
      </w:pPr>
      <w:bookmarkStart w:id="1528" w:name="_bookmark339"/>
      <w:bookmarkEnd w:id="1528"/>
      <w:bookmarkStart w:id="1529" w:name="三、违约责任"/>
      <w:bookmarkEnd w:id="1529"/>
      <w:bookmarkStart w:id="1530" w:name="_Toc9821"/>
      <w:r>
        <w:rPr>
          <w:rFonts w:hint="default" w:ascii="宋体" w:hAnsi="宋体" w:eastAsia="宋体" w:cs="宋体"/>
          <w:color w:val="auto"/>
          <w:sz w:val="24"/>
          <w:szCs w:val="24"/>
          <w:highlight w:val="none"/>
        </w:rPr>
        <w:t>三、违约责任</w:t>
      </w:r>
      <w:bookmarkEnd w:id="1530"/>
    </w:p>
    <w:p w14:paraId="24EDFD94">
      <w:pPr>
        <w:pStyle w:val="40"/>
        <w:keepNext w:val="0"/>
        <w:keepLines w:val="0"/>
        <w:pageBreakBefore w:val="0"/>
        <w:widowControl w:val="0"/>
        <w:kinsoku/>
        <w:wordWrap/>
        <w:overflowPunct/>
        <w:topLinePunct w:val="0"/>
        <w:autoSpaceDE/>
        <w:autoSpaceDN/>
        <w:bidi w:val="0"/>
        <w:adjustRightInd/>
        <w:snapToGrid/>
        <w:spacing w:before="1" w:beforeLines="0" w:afterLines="0" w:line="420" w:lineRule="exact"/>
        <w:ind w:left="63" w:right="63"/>
        <w:textAlignment w:val="auto"/>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如因甲方或乙方违约造成安全事故，将依法追究责任。</w:t>
      </w:r>
    </w:p>
    <w:p w14:paraId="791CE226">
      <w:pPr>
        <w:pStyle w:val="40"/>
        <w:keepNext w:val="0"/>
        <w:keepLines w:val="0"/>
        <w:pageBreakBefore w:val="0"/>
        <w:widowControl w:val="0"/>
        <w:kinsoku/>
        <w:wordWrap/>
        <w:overflowPunct/>
        <w:topLinePunct w:val="0"/>
        <w:autoSpaceDE/>
        <w:autoSpaceDN/>
        <w:bidi w:val="0"/>
        <w:adjustRightInd/>
        <w:snapToGrid/>
        <w:spacing w:before="136" w:beforeLines="0" w:afterLines="0" w:line="420" w:lineRule="exact"/>
        <w:ind w:left="63" w:right="63"/>
        <w:textAlignment w:val="auto"/>
        <w:rPr>
          <w:rFonts w:hint="default" w:ascii="宋体" w:hAnsi="宋体" w:eastAsia="宋体" w:cs="宋体"/>
          <w:color w:val="auto"/>
          <w:sz w:val="24"/>
          <w:szCs w:val="24"/>
          <w:highlight w:val="none"/>
          <w:lang w:eastAsia="zh-CN"/>
        </w:rPr>
      </w:pPr>
      <w:r>
        <w:rPr>
          <w:rFonts w:hint="default" w:ascii="宋体" w:hAnsi="宋体" w:eastAsia="宋体" w:cs="宋体"/>
          <w:color w:val="auto"/>
          <w:sz w:val="24"/>
          <w:szCs w:val="24"/>
          <w:highlight w:val="none"/>
        </w:rPr>
        <w:t>本合同正本一式</w:t>
      </w:r>
      <w:r>
        <w:rPr>
          <w:rFonts w:hint="default" w:ascii="宋体" w:hAnsi="宋体" w:eastAsia="宋体" w:cs="宋体"/>
          <w:color w:val="auto"/>
          <w:sz w:val="24"/>
          <w:szCs w:val="24"/>
          <w:highlight w:val="none"/>
          <w:lang w:eastAsia="zh-CN"/>
        </w:rPr>
        <w:t>二</w:t>
      </w:r>
      <w:r>
        <w:rPr>
          <w:rFonts w:hint="default" w:ascii="宋体" w:hAnsi="宋体" w:eastAsia="宋体" w:cs="宋体"/>
          <w:color w:val="auto"/>
          <w:sz w:val="24"/>
          <w:szCs w:val="24"/>
          <w:highlight w:val="none"/>
        </w:rPr>
        <w:t>份，副本</w:t>
      </w:r>
      <w:r>
        <w:rPr>
          <w:rFonts w:hint="default" w:ascii="宋体" w:hAnsi="宋体" w:eastAsia="宋体" w:cs="宋体"/>
          <w:color w:val="auto"/>
          <w:sz w:val="24"/>
          <w:szCs w:val="24"/>
          <w:highlight w:val="none"/>
          <w:lang w:eastAsia="zh-CN"/>
        </w:rPr>
        <w:t>四</w:t>
      </w:r>
      <w:r>
        <w:rPr>
          <w:rFonts w:hint="default" w:ascii="宋体" w:hAnsi="宋体" w:eastAsia="宋体" w:cs="宋体"/>
          <w:color w:val="auto"/>
          <w:sz w:val="24"/>
          <w:szCs w:val="24"/>
          <w:highlight w:val="none"/>
        </w:rPr>
        <w:t>份。由双方法定代表人或其授权的代理人签署与加盖公章后生效，全部工程竣工验收后失效。</w:t>
      </w:r>
    </w:p>
    <w:p w14:paraId="249D8AD3">
      <w:pPr>
        <w:pStyle w:val="40"/>
        <w:keepNext w:val="0"/>
        <w:keepLines w:val="0"/>
        <w:pageBreakBefore w:val="0"/>
        <w:widowControl w:val="0"/>
        <w:kinsoku/>
        <w:wordWrap/>
        <w:overflowPunct/>
        <w:topLinePunct w:val="0"/>
        <w:autoSpaceDE/>
        <w:autoSpaceDN/>
        <w:bidi w:val="0"/>
        <w:adjustRightInd/>
        <w:snapToGrid/>
        <w:spacing w:before="136" w:beforeLines="0" w:afterLines="0" w:line="440" w:lineRule="exact"/>
        <w:ind w:left="63" w:right="63"/>
        <w:textAlignment w:val="auto"/>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发包人：</w:t>
      </w:r>
      <w:r>
        <w:rPr>
          <w:rFonts w:hint="default" w:ascii="宋体" w:hAnsi="宋体" w:eastAsia="宋体" w:cs="宋体"/>
          <w:color w:val="auto"/>
          <w:sz w:val="24"/>
          <w:szCs w:val="24"/>
          <w:highlight w:val="none"/>
          <w:lang w:eastAsia="zh-CN"/>
        </w:rPr>
        <w:t xml:space="preserve">          </w:t>
      </w:r>
      <w:r>
        <w:rPr>
          <w:rFonts w:hint="default" w:ascii="宋体" w:hAnsi="宋体" w:eastAsia="宋体" w:cs="宋体"/>
          <w:color w:val="auto"/>
          <w:sz w:val="24"/>
          <w:szCs w:val="24"/>
          <w:highlight w:val="none"/>
        </w:rPr>
        <w:t>（公章或合同专用章）承包人：</w:t>
      </w:r>
      <w:r>
        <w:rPr>
          <w:rFonts w:hint="default" w:ascii="宋体" w:hAnsi="宋体" w:eastAsia="宋体" w:cs="宋体"/>
          <w:color w:val="auto"/>
          <w:sz w:val="24"/>
          <w:szCs w:val="24"/>
          <w:highlight w:val="none"/>
          <w:lang w:eastAsia="zh-CN"/>
        </w:rPr>
        <w:t xml:space="preserve">       </w:t>
      </w:r>
      <w:r>
        <w:rPr>
          <w:rFonts w:hint="default" w:ascii="宋体" w:hAnsi="宋体" w:eastAsia="宋体" w:cs="宋体"/>
          <w:color w:val="auto"/>
          <w:sz w:val="24"/>
          <w:szCs w:val="24"/>
          <w:highlight w:val="none"/>
        </w:rPr>
        <w:t xml:space="preserve">（公章或合同专用章） </w:t>
      </w:r>
      <w:r>
        <w:rPr>
          <w:rFonts w:hint="default" w:ascii="宋体" w:hAnsi="宋体" w:eastAsia="宋体" w:cs="宋体"/>
          <w:color w:val="auto"/>
          <w:sz w:val="24"/>
          <w:szCs w:val="24"/>
          <w:highlight w:val="none"/>
          <w:lang w:eastAsia="zh-CN"/>
        </w:rPr>
        <w:t xml:space="preserve"> </w:t>
      </w:r>
      <w:r>
        <w:rPr>
          <w:rFonts w:hint="default" w:ascii="宋体" w:hAnsi="宋体" w:eastAsia="宋体" w:cs="宋体"/>
          <w:color w:val="auto"/>
          <w:sz w:val="24"/>
          <w:szCs w:val="24"/>
          <w:highlight w:val="none"/>
        </w:rPr>
        <w:t xml:space="preserve">          </w:t>
      </w:r>
    </w:p>
    <w:p w14:paraId="16AA1E83">
      <w:pPr>
        <w:pStyle w:val="40"/>
        <w:keepNext w:val="0"/>
        <w:keepLines w:val="0"/>
        <w:pageBreakBefore w:val="0"/>
        <w:widowControl w:val="0"/>
        <w:kinsoku/>
        <w:wordWrap/>
        <w:overflowPunct/>
        <w:topLinePunct w:val="0"/>
        <w:autoSpaceDE/>
        <w:autoSpaceDN/>
        <w:bidi w:val="0"/>
        <w:adjustRightInd/>
        <w:snapToGrid/>
        <w:spacing w:before="136" w:beforeLines="0" w:afterLines="0" w:line="440" w:lineRule="exact"/>
        <w:ind w:right="63"/>
        <w:textAlignment w:val="auto"/>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法定代表人：</w:t>
      </w:r>
      <w:r>
        <w:rPr>
          <w:rFonts w:hint="default" w:ascii="宋体" w:hAnsi="宋体" w:eastAsia="宋体" w:cs="宋体"/>
          <w:color w:val="auto"/>
          <w:sz w:val="24"/>
          <w:szCs w:val="24"/>
          <w:highlight w:val="none"/>
          <w:lang w:eastAsia="zh-CN"/>
        </w:rPr>
        <w:t xml:space="preserve">                           </w:t>
      </w:r>
      <w:r>
        <w:rPr>
          <w:rFonts w:hint="default" w:ascii="宋体" w:hAnsi="宋体" w:eastAsia="宋体" w:cs="宋体"/>
          <w:color w:val="auto"/>
          <w:sz w:val="24"/>
          <w:szCs w:val="24"/>
          <w:highlight w:val="none"/>
        </w:rPr>
        <w:t xml:space="preserve">法定代表人： </w:t>
      </w:r>
    </w:p>
    <w:p w14:paraId="3617B652">
      <w:pPr>
        <w:pStyle w:val="40"/>
        <w:keepNext w:val="0"/>
        <w:keepLines w:val="0"/>
        <w:pageBreakBefore w:val="0"/>
        <w:widowControl w:val="0"/>
        <w:kinsoku/>
        <w:wordWrap/>
        <w:overflowPunct/>
        <w:topLinePunct w:val="0"/>
        <w:autoSpaceDE/>
        <w:autoSpaceDN/>
        <w:bidi w:val="0"/>
        <w:adjustRightInd/>
        <w:snapToGrid/>
        <w:spacing w:before="136" w:beforeLines="0" w:afterLines="0" w:line="440" w:lineRule="exact"/>
        <w:ind w:left="63" w:right="63"/>
        <w:textAlignment w:val="auto"/>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（签字或盖章）                          （签字或盖章）</w:t>
      </w:r>
    </w:p>
    <w:p w14:paraId="0AAED696">
      <w:pPr>
        <w:pStyle w:val="23"/>
        <w:keepNext w:val="0"/>
        <w:keepLines w:val="0"/>
        <w:pageBreakBefore w:val="0"/>
        <w:widowControl w:val="0"/>
        <w:kinsoku/>
        <w:wordWrap/>
        <w:overflowPunct/>
        <w:topLinePunct w:val="0"/>
        <w:autoSpaceDE/>
        <w:autoSpaceDN/>
        <w:bidi w:val="0"/>
        <w:adjustRightInd/>
        <w:snapToGrid/>
        <w:spacing w:beforeLines="0" w:afterLines="0" w:line="440" w:lineRule="exact"/>
        <w:ind w:left="6250" w:hanging="7000" w:hangingChars="2500"/>
        <w:textAlignment w:val="auto"/>
        <w:rPr>
          <w:rFonts w:hint="default" w:ascii="宋体" w:hAnsi="宋体" w:eastAsia="宋体" w:cs="宋体"/>
          <w:color w:val="auto"/>
          <w:spacing w:val="20"/>
          <w:sz w:val="24"/>
          <w:szCs w:val="24"/>
          <w:highlight w:val="none"/>
          <w:lang w:eastAsia="zh-CN"/>
        </w:rPr>
      </w:pPr>
      <w:r>
        <w:rPr>
          <w:rFonts w:hint="default" w:ascii="宋体" w:hAnsi="宋体" w:eastAsia="宋体" w:cs="宋体"/>
          <w:color w:val="auto"/>
          <w:spacing w:val="20"/>
          <w:sz w:val="24"/>
          <w:szCs w:val="24"/>
          <w:highlight w:val="none"/>
        </w:rPr>
        <w:t>地址：</w:t>
      </w:r>
      <w:r>
        <w:rPr>
          <w:rFonts w:hint="default" w:ascii="宋体" w:hAnsi="宋体" w:eastAsia="宋体" w:cs="宋体"/>
          <w:color w:val="auto"/>
          <w:spacing w:val="20"/>
          <w:sz w:val="24"/>
          <w:szCs w:val="24"/>
          <w:highlight w:val="none"/>
          <w:lang w:eastAsia="zh-CN"/>
        </w:rPr>
        <w:t xml:space="preserve">                 </w:t>
      </w:r>
      <w:r>
        <w:rPr>
          <w:rFonts w:hint="default" w:ascii="宋体" w:hAnsi="宋体" w:eastAsia="宋体" w:cs="宋体"/>
          <w:color w:val="auto"/>
          <w:spacing w:val="20"/>
          <w:sz w:val="24"/>
          <w:szCs w:val="24"/>
          <w:highlight w:val="none"/>
        </w:rPr>
        <w:t xml:space="preserve">       地址：</w:t>
      </w:r>
      <w:r>
        <w:rPr>
          <w:rFonts w:hint="default" w:ascii="宋体" w:hAnsi="宋体" w:eastAsia="宋体" w:cs="宋体"/>
          <w:color w:val="auto"/>
          <w:spacing w:val="20"/>
          <w:sz w:val="24"/>
          <w:szCs w:val="24"/>
          <w:highlight w:val="none"/>
          <w:lang w:eastAsia="zh-CN"/>
        </w:rPr>
        <w:t xml:space="preserve">     </w:t>
      </w:r>
    </w:p>
    <w:p w14:paraId="43188E0C">
      <w:pPr>
        <w:pStyle w:val="40"/>
        <w:keepNext w:val="0"/>
        <w:keepLines w:val="0"/>
        <w:pageBreakBefore w:val="0"/>
        <w:widowControl w:val="0"/>
        <w:kinsoku/>
        <w:wordWrap/>
        <w:overflowPunct/>
        <w:topLinePunct w:val="0"/>
        <w:autoSpaceDE/>
        <w:autoSpaceDN/>
        <w:bidi w:val="0"/>
        <w:adjustRightInd/>
        <w:snapToGrid/>
        <w:spacing w:before="12" w:beforeLines="0" w:afterLines="0" w:line="440" w:lineRule="exact"/>
        <w:ind w:right="63"/>
        <w:jc w:val="left"/>
        <w:textAlignment w:val="auto"/>
        <w:rPr>
          <w:rFonts w:hint="default" w:ascii="宋体" w:hAnsi="宋体" w:eastAsia="宋体" w:cs="宋体"/>
          <w:color w:val="auto"/>
          <w:spacing w:val="20"/>
          <w:sz w:val="24"/>
          <w:szCs w:val="24"/>
          <w:highlight w:val="none"/>
        </w:rPr>
      </w:pPr>
      <w:r>
        <w:rPr>
          <w:rFonts w:hint="default" w:ascii="宋体" w:hAnsi="宋体" w:eastAsia="宋体" w:cs="宋体"/>
          <w:color w:val="auto"/>
          <w:spacing w:val="20"/>
          <w:sz w:val="24"/>
          <w:szCs w:val="24"/>
          <w:highlight w:val="none"/>
        </w:rPr>
        <w:t xml:space="preserve">日期： </w:t>
      </w:r>
      <w:r>
        <w:rPr>
          <w:rFonts w:hint="default" w:ascii="宋体" w:hAnsi="宋体" w:eastAsia="宋体" w:cs="宋体"/>
          <w:color w:val="auto"/>
          <w:sz w:val="24"/>
          <w:szCs w:val="24"/>
          <w:highlight w:val="none"/>
          <w:u w:val="single"/>
        </w:rPr>
        <w:t xml:space="preserve">     </w:t>
      </w:r>
      <w:r>
        <w:rPr>
          <w:rFonts w:hint="default" w:ascii="宋体" w:hAnsi="宋体" w:eastAsia="宋体" w:cs="宋体"/>
          <w:color w:val="auto"/>
          <w:sz w:val="24"/>
          <w:szCs w:val="24"/>
          <w:highlight w:val="none"/>
        </w:rPr>
        <w:t>年</w:t>
      </w:r>
      <w:r>
        <w:rPr>
          <w:rFonts w:hint="default" w:ascii="宋体" w:hAnsi="宋体" w:eastAsia="宋体" w:cs="宋体"/>
          <w:color w:val="auto"/>
          <w:sz w:val="24"/>
          <w:szCs w:val="24"/>
          <w:highlight w:val="none"/>
          <w:u w:val="single"/>
        </w:rPr>
        <w:t xml:space="preserve">     </w:t>
      </w:r>
      <w:r>
        <w:rPr>
          <w:rFonts w:hint="default" w:ascii="宋体" w:hAnsi="宋体" w:eastAsia="宋体" w:cs="宋体"/>
          <w:color w:val="auto"/>
          <w:sz w:val="24"/>
          <w:szCs w:val="24"/>
          <w:highlight w:val="none"/>
        </w:rPr>
        <w:t>月</w:t>
      </w:r>
      <w:r>
        <w:rPr>
          <w:rFonts w:hint="default" w:ascii="宋体" w:hAnsi="宋体" w:eastAsia="宋体" w:cs="宋体"/>
          <w:color w:val="auto"/>
          <w:sz w:val="24"/>
          <w:szCs w:val="24"/>
          <w:highlight w:val="none"/>
          <w:u w:val="single"/>
        </w:rPr>
        <w:t xml:space="preserve">     </w:t>
      </w:r>
      <w:r>
        <w:rPr>
          <w:rFonts w:hint="default" w:ascii="宋体" w:hAnsi="宋体" w:eastAsia="宋体" w:cs="宋体"/>
          <w:color w:val="auto"/>
          <w:sz w:val="24"/>
          <w:szCs w:val="24"/>
          <w:highlight w:val="none"/>
        </w:rPr>
        <w:t>日</w:t>
      </w:r>
      <w:r>
        <w:rPr>
          <w:rFonts w:hint="default" w:ascii="宋体" w:hAnsi="宋体" w:eastAsia="宋体" w:cs="宋体"/>
          <w:color w:val="auto"/>
          <w:spacing w:val="20"/>
          <w:sz w:val="24"/>
          <w:szCs w:val="24"/>
          <w:highlight w:val="none"/>
        </w:rPr>
        <w:t xml:space="preserve">       日期： </w:t>
      </w:r>
      <w:r>
        <w:rPr>
          <w:rFonts w:hint="default" w:ascii="宋体" w:hAnsi="宋体" w:eastAsia="宋体" w:cs="宋体"/>
          <w:color w:val="auto"/>
          <w:sz w:val="24"/>
          <w:szCs w:val="24"/>
          <w:highlight w:val="none"/>
          <w:u w:val="single"/>
        </w:rPr>
        <w:t xml:space="preserve">     </w:t>
      </w:r>
      <w:r>
        <w:rPr>
          <w:rFonts w:hint="default" w:ascii="宋体" w:hAnsi="宋体" w:eastAsia="宋体" w:cs="宋体"/>
          <w:color w:val="auto"/>
          <w:sz w:val="24"/>
          <w:szCs w:val="24"/>
          <w:highlight w:val="none"/>
        </w:rPr>
        <w:t>年</w:t>
      </w:r>
      <w:r>
        <w:rPr>
          <w:rFonts w:hint="default" w:ascii="宋体" w:hAnsi="宋体" w:eastAsia="宋体" w:cs="宋体"/>
          <w:color w:val="auto"/>
          <w:sz w:val="24"/>
          <w:szCs w:val="24"/>
          <w:highlight w:val="none"/>
          <w:u w:val="single"/>
        </w:rPr>
        <w:t xml:space="preserve">     </w:t>
      </w:r>
      <w:r>
        <w:rPr>
          <w:rFonts w:hint="default" w:ascii="宋体" w:hAnsi="宋体" w:eastAsia="宋体" w:cs="宋体"/>
          <w:color w:val="auto"/>
          <w:sz w:val="24"/>
          <w:szCs w:val="24"/>
          <w:highlight w:val="none"/>
        </w:rPr>
        <w:t>月</w:t>
      </w:r>
      <w:r>
        <w:rPr>
          <w:rFonts w:hint="default" w:ascii="宋体" w:hAnsi="宋体" w:eastAsia="宋体" w:cs="宋体"/>
          <w:color w:val="auto"/>
          <w:sz w:val="24"/>
          <w:szCs w:val="24"/>
          <w:highlight w:val="none"/>
          <w:u w:val="single"/>
        </w:rPr>
        <w:t xml:space="preserve">     </w:t>
      </w:r>
      <w:r>
        <w:rPr>
          <w:rFonts w:hint="default" w:ascii="宋体" w:hAnsi="宋体" w:eastAsia="宋体" w:cs="宋体"/>
          <w:color w:val="auto"/>
          <w:sz w:val="24"/>
          <w:szCs w:val="24"/>
          <w:highlight w:val="none"/>
        </w:rPr>
        <w:t>日</w:t>
      </w:r>
    </w:p>
    <w:p w14:paraId="5BE3238D">
      <w:pPr>
        <w:pStyle w:val="45"/>
        <w:spacing w:before="51" w:beforeLines="0" w:afterLines="0"/>
        <w:ind w:left="0"/>
        <w:rPr>
          <w:rFonts w:hint="default" w:ascii="宋体" w:hAnsi="宋体" w:eastAsia="宋体" w:cs="宋体"/>
          <w:color w:val="auto"/>
          <w:sz w:val="20"/>
          <w:szCs w:val="20"/>
          <w:highlight w:val="none"/>
        </w:rPr>
      </w:pPr>
    </w:p>
    <w:p w14:paraId="751294D3">
      <w:pPr>
        <w:pStyle w:val="45"/>
        <w:spacing w:before="51" w:beforeLines="0" w:afterLines="0"/>
        <w:ind w:left="0"/>
        <w:rPr>
          <w:rStyle w:val="47"/>
          <w:rFonts w:hint="default" w:ascii="宋体" w:hAnsi="宋体" w:eastAsia="宋体" w:cs="宋体"/>
          <w:color w:val="auto"/>
          <w:sz w:val="28"/>
          <w:szCs w:val="28"/>
          <w:highlight w:val="none"/>
        </w:rPr>
      </w:pPr>
      <w:r>
        <w:rPr>
          <w:rFonts w:hint="default" w:ascii="宋体" w:hAnsi="宋体" w:eastAsia="宋体" w:cs="宋体"/>
          <w:color w:val="auto"/>
          <w:sz w:val="28"/>
          <w:szCs w:val="28"/>
          <w:highlight w:val="none"/>
        </w:rPr>
        <w:t>附件</w:t>
      </w:r>
      <w:r>
        <w:rPr>
          <w:rFonts w:hint="default" w:ascii="宋体" w:hAnsi="宋体" w:eastAsia="宋体" w:cs="宋体"/>
          <w:color w:val="auto"/>
          <w:sz w:val="28"/>
          <w:szCs w:val="28"/>
          <w:highlight w:val="none"/>
          <w:lang w:eastAsia="zh-CN"/>
        </w:rPr>
        <w:t>八</w:t>
      </w:r>
      <w:r>
        <w:rPr>
          <w:rFonts w:hint="default" w:ascii="宋体" w:hAnsi="宋体" w:eastAsia="宋体" w:cs="宋体"/>
          <w:color w:val="auto"/>
          <w:sz w:val="28"/>
          <w:szCs w:val="28"/>
          <w:highlight w:val="none"/>
        </w:rPr>
        <w:t>：</w:t>
      </w:r>
      <w:r>
        <w:rPr>
          <w:rStyle w:val="47"/>
          <w:rFonts w:hint="default" w:ascii="宋体" w:hAnsi="宋体" w:eastAsia="宋体" w:cs="宋体"/>
          <w:color w:val="auto"/>
          <w:sz w:val="28"/>
          <w:szCs w:val="28"/>
          <w:highlight w:val="none"/>
        </w:rPr>
        <w:t>建设工程项目施工管理承诺书</w:t>
      </w:r>
    </w:p>
    <w:p w14:paraId="05CC93B4">
      <w:pPr>
        <w:pStyle w:val="37"/>
        <w:adjustRightInd w:val="0"/>
        <w:snapToGrid w:val="0"/>
        <w:spacing w:beforeLines="0" w:afterLines="0" w:line="500" w:lineRule="exact"/>
        <w:jc w:val="center"/>
        <w:rPr>
          <w:rStyle w:val="47"/>
          <w:rFonts w:hint="default" w:ascii="宋体" w:hAnsi="宋体" w:eastAsia="宋体" w:cs="宋体"/>
          <w:color w:val="auto"/>
          <w:sz w:val="20"/>
          <w:szCs w:val="20"/>
          <w:highlight w:val="none"/>
        </w:rPr>
      </w:pPr>
    </w:p>
    <w:p w14:paraId="596BF942">
      <w:pPr>
        <w:pStyle w:val="37"/>
        <w:adjustRightInd w:val="0"/>
        <w:snapToGrid w:val="0"/>
        <w:spacing w:beforeLines="0" w:afterLines="0" w:line="500" w:lineRule="exact"/>
        <w:jc w:val="center"/>
        <w:rPr>
          <w:rStyle w:val="47"/>
          <w:rFonts w:hint="default" w:ascii="宋体" w:hAnsi="宋体" w:eastAsia="宋体" w:cs="宋体"/>
          <w:b/>
          <w:color w:val="auto"/>
          <w:sz w:val="28"/>
          <w:szCs w:val="28"/>
          <w:highlight w:val="none"/>
        </w:rPr>
      </w:pPr>
      <w:r>
        <w:rPr>
          <w:rStyle w:val="47"/>
          <w:rFonts w:hint="default" w:ascii="宋体" w:hAnsi="宋体" w:eastAsia="宋体" w:cs="宋体"/>
          <w:b/>
          <w:color w:val="auto"/>
          <w:sz w:val="28"/>
          <w:szCs w:val="28"/>
          <w:highlight w:val="none"/>
        </w:rPr>
        <w:t>《建设工程项目施工管理承诺书》</w:t>
      </w:r>
    </w:p>
    <w:p w14:paraId="24F8672B">
      <w:pPr>
        <w:pStyle w:val="37"/>
        <w:spacing w:beforeLines="0" w:afterLines="0" w:line="360" w:lineRule="auto"/>
        <w:rPr>
          <w:rStyle w:val="47"/>
          <w:rFonts w:hint="default" w:ascii="宋体" w:hAnsi="宋体" w:eastAsia="宋体" w:cs="宋体"/>
          <w:color w:val="auto"/>
          <w:spacing w:val="10"/>
          <w:sz w:val="24"/>
          <w:szCs w:val="24"/>
          <w:highlight w:val="none"/>
        </w:rPr>
      </w:pPr>
      <w:r>
        <w:rPr>
          <w:rStyle w:val="47"/>
          <w:rFonts w:hint="default" w:ascii="宋体" w:hAnsi="宋体" w:eastAsia="宋体" w:cs="宋体"/>
          <w:color w:val="auto"/>
          <w:spacing w:val="10"/>
          <w:sz w:val="24"/>
          <w:szCs w:val="24"/>
          <w:highlight w:val="none"/>
        </w:rPr>
        <w:t>致</w:t>
      </w:r>
      <w:r>
        <w:rPr>
          <w:rStyle w:val="47"/>
          <w:rFonts w:hint="default" w:ascii="宋体" w:hAnsi="宋体" w:eastAsia="宋体" w:cs="宋体"/>
          <w:color w:val="auto"/>
          <w:spacing w:val="10"/>
          <w:sz w:val="24"/>
          <w:szCs w:val="24"/>
          <w:highlight w:val="none"/>
          <w:lang w:eastAsia="zh-CN"/>
        </w:rPr>
        <w:t>马山县农业农村局</w:t>
      </w:r>
      <w:r>
        <w:rPr>
          <w:rStyle w:val="47"/>
          <w:rFonts w:hint="default" w:ascii="宋体" w:hAnsi="宋体" w:eastAsia="宋体" w:cs="宋体"/>
          <w:color w:val="auto"/>
          <w:spacing w:val="10"/>
          <w:sz w:val="24"/>
          <w:szCs w:val="24"/>
          <w:highlight w:val="none"/>
        </w:rPr>
        <w:t>：</w:t>
      </w:r>
    </w:p>
    <w:p w14:paraId="76FB189B">
      <w:pPr>
        <w:pStyle w:val="37"/>
        <w:spacing w:beforeLines="0" w:afterLines="0" w:line="360" w:lineRule="auto"/>
        <w:rPr>
          <w:rStyle w:val="47"/>
          <w:rFonts w:hint="default" w:ascii="宋体" w:hAnsi="宋体" w:eastAsia="宋体" w:cs="宋体"/>
          <w:color w:val="auto"/>
          <w:spacing w:val="10"/>
          <w:sz w:val="24"/>
          <w:szCs w:val="24"/>
          <w:highlight w:val="none"/>
        </w:rPr>
      </w:pPr>
      <w:r>
        <w:rPr>
          <w:rStyle w:val="47"/>
          <w:rFonts w:hint="default" w:ascii="宋体" w:hAnsi="宋体" w:eastAsia="宋体" w:cs="宋体"/>
          <w:color w:val="auto"/>
          <w:spacing w:val="10"/>
          <w:sz w:val="24"/>
          <w:szCs w:val="24"/>
          <w:highlight w:val="none"/>
        </w:rPr>
        <w:t xml:space="preserve">    作为参与</w:t>
      </w:r>
      <w:r>
        <w:rPr>
          <w:rStyle w:val="47"/>
          <w:rFonts w:hint="default" w:ascii="宋体" w:hAnsi="宋体" w:eastAsia="宋体" w:cs="宋体"/>
          <w:color w:val="auto"/>
          <w:spacing w:val="10"/>
          <w:sz w:val="24"/>
          <w:szCs w:val="24"/>
          <w:highlight w:val="none"/>
          <w:u w:val="single"/>
          <w:lang w:eastAsia="zh-CN"/>
        </w:rPr>
        <w:t xml:space="preserve">              </w:t>
      </w:r>
      <w:r>
        <w:rPr>
          <w:rFonts w:hint="default" w:ascii="宋体" w:hAnsi="宋体" w:eastAsia="宋体" w:cs="宋体"/>
          <w:color w:val="auto"/>
          <w:spacing w:val="-3"/>
          <w:sz w:val="24"/>
          <w:szCs w:val="24"/>
          <w:highlight w:val="none"/>
        </w:rPr>
        <w:t>施工合同</w:t>
      </w:r>
      <w:r>
        <w:rPr>
          <w:rStyle w:val="47"/>
          <w:rFonts w:hint="default" w:ascii="宋体" w:hAnsi="宋体" w:eastAsia="宋体" w:cs="宋体"/>
          <w:color w:val="auto"/>
          <w:spacing w:val="10"/>
          <w:sz w:val="24"/>
          <w:szCs w:val="24"/>
          <w:highlight w:val="none"/>
        </w:rPr>
        <w:t>项目的投标方，根据国家、自治区及南宁市相关文件规定，我方在此向招标人承诺：</w:t>
      </w:r>
    </w:p>
    <w:p w14:paraId="63A940E3">
      <w:pPr>
        <w:pStyle w:val="37"/>
        <w:spacing w:beforeLines="0" w:afterLines="0" w:line="360" w:lineRule="auto"/>
        <w:ind w:firstLine="520" w:firstLineChars="200"/>
        <w:rPr>
          <w:rStyle w:val="47"/>
          <w:rFonts w:hint="default" w:ascii="宋体" w:hAnsi="宋体" w:eastAsia="宋体" w:cs="宋体"/>
          <w:color w:val="auto"/>
          <w:spacing w:val="10"/>
          <w:sz w:val="24"/>
          <w:szCs w:val="24"/>
          <w:highlight w:val="none"/>
        </w:rPr>
      </w:pPr>
      <w:r>
        <w:rPr>
          <w:rStyle w:val="47"/>
          <w:rFonts w:hint="default" w:ascii="宋体" w:hAnsi="宋体" w:eastAsia="宋体" w:cs="宋体"/>
          <w:color w:val="auto"/>
          <w:spacing w:val="10"/>
          <w:sz w:val="24"/>
          <w:szCs w:val="24"/>
          <w:highlight w:val="none"/>
        </w:rPr>
        <w:t>1、一旦中标，我方保证由法人签署授权书确认项目负责人，项目负责人签署建设工程质量终身责任制承诺书，自觉承担建设工程终身责任。</w:t>
      </w:r>
    </w:p>
    <w:p w14:paraId="2F7FFAC1">
      <w:pPr>
        <w:pStyle w:val="37"/>
        <w:spacing w:beforeLines="0" w:afterLines="0" w:line="360" w:lineRule="auto"/>
        <w:ind w:firstLine="520" w:firstLineChars="200"/>
        <w:rPr>
          <w:rStyle w:val="47"/>
          <w:rFonts w:hint="default" w:ascii="宋体" w:hAnsi="宋体" w:eastAsia="宋体" w:cs="宋体"/>
          <w:color w:val="auto"/>
          <w:spacing w:val="10"/>
          <w:sz w:val="24"/>
          <w:szCs w:val="24"/>
          <w:highlight w:val="none"/>
        </w:rPr>
      </w:pPr>
      <w:r>
        <w:rPr>
          <w:rStyle w:val="47"/>
          <w:rFonts w:hint="default" w:ascii="宋体" w:hAnsi="宋体" w:eastAsia="宋体" w:cs="宋体"/>
          <w:color w:val="auto"/>
          <w:spacing w:val="10"/>
          <w:sz w:val="24"/>
          <w:szCs w:val="24"/>
          <w:highlight w:val="none"/>
        </w:rPr>
        <w:t>2、一旦中标，我方保证项目负责人和管理人员按招标文件和合同约定持证上岗并履职到位，如不到位，愿意接受发包人和主管部门处罚。</w:t>
      </w:r>
    </w:p>
    <w:p w14:paraId="705DD803">
      <w:pPr>
        <w:pStyle w:val="37"/>
        <w:spacing w:beforeLines="0" w:afterLines="0" w:line="360" w:lineRule="auto"/>
        <w:ind w:firstLine="520" w:firstLineChars="200"/>
        <w:rPr>
          <w:rStyle w:val="47"/>
          <w:rFonts w:hint="default" w:ascii="宋体" w:hAnsi="宋体" w:eastAsia="宋体" w:cs="宋体"/>
          <w:color w:val="auto"/>
          <w:spacing w:val="10"/>
          <w:sz w:val="24"/>
          <w:szCs w:val="24"/>
          <w:highlight w:val="none"/>
        </w:rPr>
      </w:pPr>
      <w:r>
        <w:rPr>
          <w:rStyle w:val="47"/>
          <w:rFonts w:hint="default" w:ascii="宋体" w:hAnsi="宋体" w:eastAsia="宋体" w:cs="宋体"/>
          <w:color w:val="auto"/>
          <w:spacing w:val="10"/>
          <w:sz w:val="24"/>
          <w:szCs w:val="24"/>
          <w:highlight w:val="none"/>
        </w:rPr>
        <w:t>3、一旦中标，我方保证在施工过程中，严格执行《大气污染防治法》（主席令第三十一号）、《南宁市建设工程质量和安全生产管理办法》（南宁市政府令第46号）、《关于推进建筑业改革发展 提升工程治理水平的若干意见》（南府规[2016]24号）、《南宁市土方作业文明施工工作导则》、《南宁市建设工程质量安全标准化图集》、《广西壮族自治区建设工程安全文明施工费使用管理细则》（桂建质[2015]16号）、《南宁市建设工程安全防护、文明施工措施费用管理规定》的有关规定，必须与合法运输企业签订运输合同使用符合密闭规定的合法车辆进行散体物料（建筑渣土、垃圾、砂石等）的运输，同时与辖区卫生防疫、环卫管理部门或有合法资质资格的企业签订病媒生物消杀协议、生活垃圾清运协议、在线远程监控扬尘监测协议，采取道路硬化、裸土覆盖、洗车出门、保洁路口、在线监测、抑尘喷淋等有效措施，确保建设工程各项安全防护、文明施工措施及其费用在工地一线按标准落实到位。如我方在该项目的承包中出现未按上述规定执行的情形，我方愿意接受发包人及有关主管部门的处罚。</w:t>
      </w:r>
    </w:p>
    <w:p w14:paraId="420DE680">
      <w:pPr>
        <w:pStyle w:val="37"/>
        <w:spacing w:beforeLines="0" w:afterLines="0" w:line="360" w:lineRule="auto"/>
        <w:ind w:firstLine="520" w:firstLineChars="200"/>
        <w:rPr>
          <w:rStyle w:val="47"/>
          <w:rFonts w:hint="default" w:ascii="宋体" w:hAnsi="宋体" w:eastAsia="宋体" w:cs="宋体"/>
          <w:color w:val="auto"/>
          <w:spacing w:val="10"/>
          <w:sz w:val="24"/>
          <w:szCs w:val="24"/>
          <w:highlight w:val="none"/>
        </w:rPr>
      </w:pPr>
      <w:r>
        <w:rPr>
          <w:rStyle w:val="47"/>
          <w:rFonts w:hint="default" w:ascii="宋体" w:hAnsi="宋体" w:eastAsia="宋体" w:cs="宋体"/>
          <w:color w:val="auto"/>
          <w:spacing w:val="10"/>
          <w:sz w:val="24"/>
          <w:szCs w:val="24"/>
          <w:highlight w:val="none"/>
        </w:rPr>
        <w:t>4、一旦中标，我方保证严格执行《危险性较大的分部分项工程安全管理办法》（建质[2009]87号）的规定，强化对深基坑、高难支模、起重吊装、活动板房等重大危险源的专项施工方案的编制、论证、审批、实施、监测的风险管理。如我方在该项目的承包中出现未按规定执行的情形，我方愿意按照相关规定接受发包人及有关主管部门的处罚。</w:t>
      </w:r>
    </w:p>
    <w:p w14:paraId="700307A3">
      <w:pPr>
        <w:pStyle w:val="37"/>
        <w:spacing w:beforeLines="0" w:afterLines="0" w:line="360" w:lineRule="auto"/>
        <w:ind w:firstLine="520" w:firstLineChars="200"/>
        <w:rPr>
          <w:rStyle w:val="47"/>
          <w:rFonts w:hint="default" w:ascii="宋体" w:hAnsi="宋体" w:eastAsia="宋体" w:cs="宋体"/>
          <w:color w:val="auto"/>
          <w:spacing w:val="10"/>
          <w:sz w:val="24"/>
          <w:szCs w:val="24"/>
          <w:highlight w:val="none"/>
        </w:rPr>
      </w:pPr>
      <w:r>
        <w:rPr>
          <w:rStyle w:val="47"/>
          <w:rFonts w:hint="default" w:ascii="宋体" w:hAnsi="宋体" w:eastAsia="宋体" w:cs="宋体"/>
          <w:color w:val="auto"/>
          <w:spacing w:val="10"/>
          <w:sz w:val="24"/>
          <w:szCs w:val="24"/>
          <w:highlight w:val="none"/>
        </w:rPr>
        <w:t xml:space="preserve"> 5、一旦中标，我方保证在施工过程中，严格执行散装水泥和预拌混凝土管理的有关规定，确保建设工程按规定使用散装水泥和合同约定的相应质量等级的预拌混凝土。同时我方承诺，建设项目满足《南宁市城乡建设委员会和南宁市工业和信息化委员会关于推广应用高性能混凝土的通知》（南建规[2016]1号）的要求的，我方在施工中使用高性能混凝土。如我方在该项目的承包中出现未按规定执行的情形，我方愿意按照相关规定接受发包人及有关主管部门的处罚。</w:t>
      </w:r>
    </w:p>
    <w:p w14:paraId="3034A8B4">
      <w:pPr>
        <w:pStyle w:val="37"/>
        <w:spacing w:beforeLines="0" w:afterLines="0" w:line="360" w:lineRule="auto"/>
        <w:ind w:firstLine="520" w:firstLineChars="200"/>
        <w:rPr>
          <w:rStyle w:val="47"/>
          <w:rFonts w:hint="default" w:ascii="宋体" w:hAnsi="宋体" w:eastAsia="宋体" w:cs="宋体"/>
          <w:color w:val="auto"/>
          <w:spacing w:val="10"/>
          <w:sz w:val="24"/>
          <w:szCs w:val="24"/>
          <w:highlight w:val="none"/>
        </w:rPr>
      </w:pPr>
      <w:r>
        <w:rPr>
          <w:rStyle w:val="47"/>
          <w:rFonts w:hint="default" w:ascii="宋体" w:hAnsi="宋体" w:eastAsia="宋体" w:cs="宋体"/>
          <w:color w:val="auto"/>
          <w:spacing w:val="10"/>
          <w:sz w:val="24"/>
          <w:szCs w:val="24"/>
          <w:highlight w:val="none"/>
        </w:rPr>
        <w:t>6、一旦中标，我方保证按照政府相关部门的规定，在发出发（承）包通知书之日起7个工作日内足额将农民工工资保障金转入农民工工资保障金专用账户。一旦我方所承包的该项目中出现拖欠农民工和工人工资情况，由建设行政主管部门或财政部门从我方农民工工资保障金中先予划支。我方如不按时、足额存入农民工工资保障金的，将被取消承包资格。</w:t>
      </w:r>
    </w:p>
    <w:p w14:paraId="04974D10">
      <w:pPr>
        <w:pStyle w:val="37"/>
        <w:spacing w:beforeLines="0" w:afterLines="0" w:line="360" w:lineRule="auto"/>
        <w:ind w:firstLine="520" w:firstLineChars="200"/>
        <w:rPr>
          <w:rStyle w:val="47"/>
          <w:rFonts w:hint="default" w:ascii="宋体" w:hAnsi="宋体" w:eastAsia="宋体" w:cs="宋体"/>
          <w:color w:val="auto"/>
          <w:spacing w:val="10"/>
          <w:sz w:val="24"/>
          <w:szCs w:val="24"/>
          <w:highlight w:val="none"/>
        </w:rPr>
      </w:pPr>
      <w:r>
        <w:rPr>
          <w:rStyle w:val="47"/>
          <w:rFonts w:hint="default" w:ascii="宋体" w:hAnsi="宋体" w:eastAsia="宋体" w:cs="宋体"/>
          <w:color w:val="auto"/>
          <w:spacing w:val="10"/>
          <w:sz w:val="24"/>
          <w:szCs w:val="24"/>
          <w:highlight w:val="none"/>
        </w:rPr>
        <w:t>7、我方的投标文件完全响应招标文件要求，投标文件的工作内容与招标范围不一致，或施工组织设计与报价不匹配，由我方自行承担全部责任。</w:t>
      </w:r>
    </w:p>
    <w:p w14:paraId="22EF8828">
      <w:pPr>
        <w:pStyle w:val="37"/>
        <w:spacing w:beforeLines="0" w:afterLines="0" w:line="360" w:lineRule="auto"/>
        <w:ind w:firstLine="520" w:firstLineChars="200"/>
        <w:rPr>
          <w:rStyle w:val="47"/>
          <w:rFonts w:hint="default" w:ascii="宋体" w:hAnsi="宋体" w:eastAsia="宋体" w:cs="宋体"/>
          <w:color w:val="auto"/>
          <w:spacing w:val="10"/>
          <w:sz w:val="24"/>
          <w:szCs w:val="24"/>
          <w:highlight w:val="none"/>
        </w:rPr>
      </w:pPr>
      <w:r>
        <w:rPr>
          <w:rStyle w:val="47"/>
          <w:rFonts w:hint="default" w:ascii="宋体" w:hAnsi="宋体" w:eastAsia="宋体" w:cs="宋体"/>
          <w:color w:val="auto"/>
          <w:spacing w:val="10"/>
          <w:sz w:val="24"/>
          <w:szCs w:val="24"/>
          <w:highlight w:val="none"/>
        </w:rPr>
        <w:t>8、我方承诺不存在借用、挂靠资质、围标、串标等违法违规行为，中标后不转包，否则，自愿接受处罚并承担全部责任。</w:t>
      </w:r>
    </w:p>
    <w:p w14:paraId="67FA1ED4">
      <w:pPr>
        <w:pStyle w:val="37"/>
        <w:spacing w:beforeLines="0" w:afterLines="0" w:line="360" w:lineRule="auto"/>
        <w:ind w:firstLine="520" w:firstLineChars="200"/>
        <w:rPr>
          <w:rStyle w:val="47"/>
          <w:rFonts w:hint="default" w:ascii="宋体" w:hAnsi="宋体" w:eastAsia="宋体" w:cs="宋体"/>
          <w:color w:val="auto"/>
          <w:spacing w:val="10"/>
          <w:sz w:val="24"/>
          <w:szCs w:val="24"/>
          <w:highlight w:val="none"/>
        </w:rPr>
      </w:pPr>
    </w:p>
    <w:p w14:paraId="46AA9270">
      <w:pPr>
        <w:pStyle w:val="37"/>
        <w:spacing w:beforeLines="0" w:afterLines="0" w:line="360" w:lineRule="auto"/>
        <w:ind w:firstLine="520" w:firstLineChars="200"/>
        <w:rPr>
          <w:rStyle w:val="47"/>
          <w:rFonts w:hint="default" w:ascii="宋体" w:hAnsi="宋体" w:eastAsia="宋体" w:cs="宋体"/>
          <w:color w:val="auto"/>
          <w:spacing w:val="10"/>
          <w:sz w:val="24"/>
          <w:szCs w:val="24"/>
          <w:highlight w:val="none"/>
        </w:rPr>
      </w:pPr>
      <w:r>
        <w:rPr>
          <w:rStyle w:val="47"/>
          <w:rFonts w:hint="default" w:ascii="宋体" w:hAnsi="宋体" w:eastAsia="宋体" w:cs="宋体"/>
          <w:color w:val="auto"/>
          <w:spacing w:val="10"/>
          <w:sz w:val="24"/>
          <w:szCs w:val="24"/>
          <w:highlight w:val="none"/>
        </w:rPr>
        <w:t xml:space="preserve"> </w:t>
      </w:r>
    </w:p>
    <w:p w14:paraId="409CCBA6">
      <w:pPr>
        <w:pStyle w:val="37"/>
        <w:spacing w:beforeLines="0" w:afterLines="0" w:line="360" w:lineRule="auto"/>
        <w:ind w:firstLine="520" w:firstLineChars="200"/>
        <w:rPr>
          <w:rStyle w:val="47"/>
          <w:rFonts w:hint="default" w:ascii="宋体" w:hAnsi="宋体" w:eastAsia="宋体" w:cs="宋体"/>
          <w:color w:val="auto"/>
          <w:spacing w:val="10"/>
          <w:sz w:val="24"/>
          <w:szCs w:val="24"/>
          <w:highlight w:val="none"/>
        </w:rPr>
      </w:pPr>
      <w:r>
        <w:rPr>
          <w:rStyle w:val="47"/>
          <w:rFonts w:hint="default" w:ascii="宋体" w:hAnsi="宋体" w:eastAsia="宋体" w:cs="宋体"/>
          <w:color w:val="auto"/>
          <w:spacing w:val="10"/>
          <w:sz w:val="24"/>
          <w:szCs w:val="24"/>
          <w:highlight w:val="none"/>
        </w:rPr>
        <w:t xml:space="preserve">                        投标人：</w:t>
      </w:r>
      <w:r>
        <w:rPr>
          <w:rStyle w:val="47"/>
          <w:rFonts w:hint="default" w:ascii="宋体" w:hAnsi="宋体" w:eastAsia="宋体" w:cs="宋体"/>
          <w:color w:val="auto"/>
          <w:spacing w:val="10"/>
          <w:sz w:val="24"/>
          <w:szCs w:val="24"/>
          <w:highlight w:val="none"/>
          <w:u w:val="single"/>
          <w:lang w:eastAsia="zh-CN"/>
        </w:rPr>
        <w:t xml:space="preserve">                     </w:t>
      </w:r>
      <w:r>
        <w:rPr>
          <w:rStyle w:val="47"/>
          <w:rFonts w:hint="default" w:ascii="宋体" w:hAnsi="宋体" w:eastAsia="宋体" w:cs="宋体"/>
          <w:color w:val="auto"/>
          <w:spacing w:val="10"/>
          <w:sz w:val="24"/>
          <w:szCs w:val="24"/>
          <w:highlight w:val="none"/>
        </w:rPr>
        <w:t>（盖章）</w:t>
      </w:r>
    </w:p>
    <w:p w14:paraId="27B51028">
      <w:pPr>
        <w:pStyle w:val="37"/>
        <w:spacing w:beforeLines="0" w:afterLines="0" w:line="360" w:lineRule="auto"/>
        <w:ind w:firstLine="520" w:firstLineChars="200"/>
        <w:rPr>
          <w:rStyle w:val="47"/>
          <w:rFonts w:hint="default" w:ascii="宋体" w:hAnsi="宋体" w:eastAsia="宋体" w:cs="宋体"/>
          <w:color w:val="auto"/>
          <w:spacing w:val="10"/>
          <w:sz w:val="24"/>
          <w:szCs w:val="24"/>
          <w:highlight w:val="none"/>
        </w:rPr>
      </w:pPr>
      <w:r>
        <w:rPr>
          <w:rStyle w:val="47"/>
          <w:rFonts w:hint="default" w:ascii="宋体" w:hAnsi="宋体" w:eastAsia="宋体" w:cs="宋体"/>
          <w:color w:val="auto"/>
          <w:spacing w:val="10"/>
          <w:sz w:val="24"/>
          <w:szCs w:val="24"/>
          <w:highlight w:val="none"/>
        </w:rPr>
        <w:t xml:space="preserve">                        法定代表人或授权代理人：（签字或盖章）</w:t>
      </w:r>
    </w:p>
    <w:p w14:paraId="1F6C5165">
      <w:pPr>
        <w:pStyle w:val="48"/>
        <w:spacing w:beforeLines="0" w:afterLines="0"/>
        <w:ind w:firstLine="230"/>
        <w:rPr>
          <w:rFonts w:hint="default" w:ascii="宋体" w:hAnsi="宋体" w:cs="宋体"/>
          <w:color w:val="auto"/>
          <w:sz w:val="24"/>
          <w:szCs w:val="24"/>
          <w:highlight w:val="none"/>
        </w:rPr>
      </w:pPr>
      <w:r>
        <w:rPr>
          <w:rStyle w:val="47"/>
          <w:rFonts w:hint="default" w:ascii="宋体" w:hAnsi="宋体" w:eastAsia="宋体" w:cs="宋体"/>
          <w:color w:val="auto"/>
          <w:spacing w:val="10"/>
          <w:sz w:val="24"/>
          <w:szCs w:val="24"/>
          <w:highlight w:val="none"/>
        </w:rPr>
        <w:t xml:space="preserve">                          日期：     年   月   日</w:t>
      </w:r>
    </w:p>
    <w:p w14:paraId="6EC4400D">
      <w:pPr>
        <w:pStyle w:val="49"/>
        <w:rPr>
          <w:rFonts w:hint="default" w:ascii="宋体" w:hAnsi="宋体" w:cs="宋体"/>
          <w:color w:val="auto"/>
          <w:sz w:val="24"/>
          <w:szCs w:val="24"/>
          <w:highlight w:val="none"/>
        </w:rPr>
      </w:pPr>
      <w:r>
        <w:rPr>
          <w:rFonts w:hint="default" w:ascii="宋体" w:hAnsi="宋体" w:cs="宋体"/>
          <w:color w:val="auto"/>
          <w:sz w:val="24"/>
          <w:szCs w:val="24"/>
          <w:highlight w:val="none"/>
        </w:rPr>
        <w:t xml:space="preserve"> </w:t>
      </w:r>
    </w:p>
    <w:p w14:paraId="11AE672A">
      <w:pPr>
        <w:pStyle w:val="7"/>
        <w:rPr>
          <w:rFonts w:hint="default" w:ascii="宋体" w:eastAsia="宋体"/>
          <w:color w:val="auto"/>
          <w:sz w:val="21"/>
          <w:szCs w:val="24"/>
          <w:highlight w:val="none"/>
        </w:rPr>
      </w:pPr>
    </w:p>
    <w:p w14:paraId="414C362D">
      <w:pPr>
        <w:tabs>
          <w:tab w:val="left" w:pos="3261"/>
        </w:tabs>
        <w:spacing w:line="360" w:lineRule="auto"/>
        <w:jc w:val="center"/>
        <w:rPr>
          <w:rFonts w:hint="default" w:ascii="宋体" w:hAnsi="宋体" w:eastAsia="宋体" w:cs="宋体"/>
          <w:b/>
          <w:color w:val="auto"/>
          <w:sz w:val="44"/>
          <w:szCs w:val="44"/>
          <w:highlight w:val="none"/>
        </w:rPr>
      </w:pPr>
    </w:p>
    <w:p w14:paraId="1022E51B">
      <w:pPr>
        <w:tabs>
          <w:tab w:val="left" w:pos="3261"/>
        </w:tabs>
        <w:spacing w:line="360" w:lineRule="auto"/>
        <w:jc w:val="center"/>
        <w:rPr>
          <w:rFonts w:hint="default" w:ascii="宋体" w:hAnsi="宋体" w:eastAsia="宋体" w:cs="宋体"/>
          <w:b/>
          <w:color w:val="auto"/>
          <w:sz w:val="44"/>
          <w:szCs w:val="44"/>
          <w:highlight w:val="none"/>
        </w:rPr>
      </w:pPr>
    </w:p>
    <w:p w14:paraId="40C38338">
      <w:pPr>
        <w:tabs>
          <w:tab w:val="left" w:pos="3261"/>
        </w:tabs>
        <w:spacing w:line="360" w:lineRule="auto"/>
        <w:jc w:val="center"/>
        <w:rPr>
          <w:rFonts w:hint="default" w:ascii="宋体" w:hAnsi="宋体" w:eastAsia="宋体" w:cs="宋体"/>
          <w:b/>
          <w:color w:val="auto"/>
          <w:sz w:val="44"/>
          <w:szCs w:val="44"/>
          <w:highlight w:val="none"/>
        </w:rPr>
      </w:pPr>
    </w:p>
    <w:p w14:paraId="0D0D7DB9">
      <w:pPr>
        <w:tabs>
          <w:tab w:val="left" w:pos="3261"/>
        </w:tabs>
        <w:spacing w:line="360" w:lineRule="auto"/>
        <w:jc w:val="center"/>
        <w:rPr>
          <w:rFonts w:hint="default" w:ascii="宋体" w:hAnsi="宋体" w:eastAsia="宋体" w:cs="宋体"/>
          <w:b/>
          <w:color w:val="auto"/>
          <w:sz w:val="44"/>
          <w:szCs w:val="44"/>
          <w:highlight w:val="none"/>
        </w:rPr>
      </w:pPr>
    </w:p>
    <w:p w14:paraId="4D9AEB90">
      <w:pPr>
        <w:keepNext/>
        <w:keepLines/>
        <w:spacing w:before="340" w:after="330" w:line="578" w:lineRule="auto"/>
        <w:jc w:val="center"/>
        <w:outlineLvl w:val="0"/>
        <w:rPr>
          <w:rFonts w:hint="default" w:ascii="宋体" w:hAnsi="宋体" w:eastAsia="宋体" w:cs="宋体"/>
          <w:color w:val="auto"/>
          <w:kern w:val="44"/>
          <w:sz w:val="44"/>
          <w:szCs w:val="44"/>
          <w:highlight w:val="none"/>
        </w:rPr>
      </w:pPr>
      <w:bookmarkStart w:id="1531" w:name="_Toc24386"/>
    </w:p>
    <w:p w14:paraId="4BF01E8B">
      <w:pPr>
        <w:keepNext/>
        <w:keepLines/>
        <w:spacing w:before="340" w:after="330" w:line="578" w:lineRule="auto"/>
        <w:jc w:val="center"/>
        <w:outlineLvl w:val="0"/>
        <w:rPr>
          <w:rFonts w:hint="default" w:ascii="宋体" w:hAnsi="宋体" w:eastAsia="宋体" w:cs="宋体"/>
          <w:b/>
          <w:color w:val="auto"/>
          <w:kern w:val="44"/>
          <w:sz w:val="44"/>
          <w:szCs w:val="44"/>
          <w:highlight w:val="none"/>
        </w:rPr>
      </w:pPr>
      <w:r>
        <w:rPr>
          <w:rFonts w:hint="default" w:ascii="宋体" w:hAnsi="宋体" w:eastAsia="宋体" w:cs="宋体"/>
          <w:color w:val="auto"/>
          <w:kern w:val="44"/>
          <w:sz w:val="44"/>
          <w:szCs w:val="44"/>
          <w:highlight w:val="none"/>
        </w:rPr>
        <w:t>第八章 质疑、投诉材料格式</w:t>
      </w:r>
      <w:bookmarkEnd w:id="1531"/>
    </w:p>
    <w:p w14:paraId="7E2EEA33">
      <w:pPr>
        <w:widowControl/>
        <w:spacing w:line="576" w:lineRule="auto"/>
        <w:jc w:val="left"/>
        <w:rPr>
          <w:rFonts w:hint="default" w:ascii="宋体" w:hAnsi="宋体" w:eastAsia="宋体" w:cs="宋体"/>
          <w:b/>
          <w:color w:val="auto"/>
          <w:kern w:val="44"/>
          <w:sz w:val="44"/>
          <w:szCs w:val="44"/>
          <w:highlight w:val="none"/>
        </w:rPr>
        <w:sectPr>
          <w:headerReference r:id="rId12" w:type="default"/>
          <w:footerReference r:id="rId13" w:type="default"/>
          <w:pgSz w:w="11910" w:h="16840"/>
          <w:pgMar w:top="1340" w:right="1500" w:bottom="280" w:left="1680" w:header="720" w:footer="720" w:gutter="0"/>
          <w:lnNumType w:countBy="0" w:distance="360"/>
          <w:cols w:space="720" w:num="1"/>
        </w:sectPr>
      </w:pPr>
    </w:p>
    <w:p w14:paraId="399F8BBB">
      <w:pPr>
        <w:spacing w:line="360" w:lineRule="auto"/>
        <w:jc w:val="center"/>
        <w:rPr>
          <w:rFonts w:hint="default" w:ascii="宋体" w:hAnsi="宋体" w:eastAsia="宋体" w:cs="宋体"/>
          <w:b/>
          <w:color w:val="auto"/>
          <w:sz w:val="32"/>
          <w:szCs w:val="32"/>
          <w:highlight w:val="none"/>
        </w:rPr>
      </w:pPr>
      <w:r>
        <w:rPr>
          <w:rFonts w:hint="default" w:ascii="宋体" w:hAnsi="宋体" w:eastAsia="宋体" w:cs="宋体"/>
          <w:b/>
          <w:color w:val="auto"/>
          <w:sz w:val="32"/>
          <w:szCs w:val="32"/>
          <w:highlight w:val="none"/>
        </w:rPr>
        <w:t>质疑函（格式）</w:t>
      </w:r>
    </w:p>
    <w:p w14:paraId="56DE9FA5">
      <w:pPr>
        <w:spacing w:line="400" w:lineRule="exact"/>
        <w:ind w:firstLine="482" w:firstLineChars="200"/>
        <w:rPr>
          <w:rFonts w:hint="default" w:ascii="宋体" w:hAnsi="宋体" w:eastAsia="宋体" w:cs="宋体"/>
          <w:b/>
          <w:color w:val="auto"/>
          <w:kern w:val="0"/>
          <w:sz w:val="24"/>
          <w:szCs w:val="24"/>
          <w:highlight w:val="none"/>
        </w:rPr>
      </w:pPr>
      <w:r>
        <w:rPr>
          <w:rFonts w:hint="default" w:ascii="宋体" w:hAnsi="宋体" w:eastAsia="宋体" w:cs="宋体"/>
          <w:b/>
          <w:color w:val="auto"/>
          <w:kern w:val="0"/>
          <w:sz w:val="24"/>
          <w:szCs w:val="24"/>
          <w:highlight w:val="none"/>
        </w:rPr>
        <w:t>一、质疑供应商基本信息：</w:t>
      </w:r>
    </w:p>
    <w:p w14:paraId="219D0759">
      <w:pPr>
        <w:spacing w:line="400" w:lineRule="exact"/>
        <w:ind w:firstLine="480" w:firstLineChars="200"/>
        <w:rPr>
          <w:rFonts w:hint="default" w:ascii="宋体" w:hAnsi="宋体" w:eastAsia="宋体" w:cs="宋体"/>
          <w:color w:val="auto"/>
          <w:kern w:val="0"/>
          <w:sz w:val="24"/>
          <w:szCs w:val="24"/>
          <w:highlight w:val="none"/>
          <w:u w:val="single"/>
        </w:rPr>
      </w:pPr>
      <w:r>
        <w:rPr>
          <w:rFonts w:hint="default" w:ascii="宋体" w:hAnsi="宋体" w:eastAsia="宋体" w:cs="宋体"/>
          <w:color w:val="auto"/>
          <w:kern w:val="0"/>
          <w:sz w:val="24"/>
          <w:szCs w:val="24"/>
          <w:highlight w:val="none"/>
        </w:rPr>
        <w:t>质疑供应商：</w:t>
      </w:r>
      <w:r>
        <w:rPr>
          <w:rFonts w:hint="default" w:ascii="宋体" w:hAnsi="宋体" w:eastAsia="宋体" w:cs="宋体"/>
          <w:color w:val="auto"/>
          <w:kern w:val="0"/>
          <w:sz w:val="24"/>
          <w:szCs w:val="24"/>
          <w:highlight w:val="none"/>
          <w:u w:val="single"/>
        </w:rPr>
        <w:t xml:space="preserve">                                                          </w:t>
      </w:r>
      <w:r>
        <w:rPr>
          <w:rFonts w:hint="default" w:ascii="宋体" w:hAnsi="宋体" w:eastAsia="宋体" w:cs="宋体"/>
          <w:color w:val="auto"/>
          <w:kern w:val="0"/>
          <w:sz w:val="24"/>
          <w:szCs w:val="24"/>
          <w:highlight w:val="none"/>
        </w:rPr>
        <w:t xml:space="preserve">                 </w:t>
      </w:r>
    </w:p>
    <w:p w14:paraId="1BAF5EE4">
      <w:pPr>
        <w:spacing w:line="400" w:lineRule="exact"/>
        <w:ind w:firstLine="480" w:firstLineChars="200"/>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地址：</w:t>
      </w:r>
      <w:r>
        <w:rPr>
          <w:rFonts w:hint="default" w:ascii="宋体" w:hAnsi="宋体" w:eastAsia="宋体" w:cs="宋体"/>
          <w:color w:val="auto"/>
          <w:kern w:val="0"/>
          <w:sz w:val="24"/>
          <w:szCs w:val="24"/>
          <w:highlight w:val="none"/>
          <w:u w:val="single"/>
        </w:rPr>
        <w:t xml:space="preserve">                       </w:t>
      </w:r>
      <w:r>
        <w:rPr>
          <w:rFonts w:hint="default" w:ascii="宋体" w:hAnsi="宋体" w:eastAsia="宋体" w:cs="宋体"/>
          <w:color w:val="auto"/>
          <w:kern w:val="0"/>
          <w:sz w:val="24"/>
          <w:szCs w:val="24"/>
          <w:highlight w:val="none"/>
        </w:rPr>
        <w:t>邮编：</w:t>
      </w:r>
      <w:r>
        <w:rPr>
          <w:rFonts w:hint="default" w:ascii="宋体" w:hAnsi="宋体" w:eastAsia="宋体" w:cs="宋体"/>
          <w:color w:val="auto"/>
          <w:kern w:val="0"/>
          <w:sz w:val="24"/>
          <w:szCs w:val="24"/>
          <w:highlight w:val="none"/>
          <w:u w:val="single"/>
        </w:rPr>
        <w:t xml:space="preserve">                                 </w:t>
      </w:r>
      <w:r>
        <w:rPr>
          <w:rFonts w:hint="default" w:ascii="宋体" w:hAnsi="宋体" w:eastAsia="宋体" w:cs="宋体"/>
          <w:color w:val="auto"/>
          <w:kern w:val="0"/>
          <w:sz w:val="24"/>
          <w:szCs w:val="24"/>
          <w:highlight w:val="none"/>
        </w:rPr>
        <w:t xml:space="preserve">                 </w:t>
      </w:r>
    </w:p>
    <w:p w14:paraId="00DF7E79">
      <w:pPr>
        <w:spacing w:line="400" w:lineRule="exact"/>
        <w:ind w:firstLine="480" w:firstLineChars="200"/>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联系人：</w:t>
      </w:r>
      <w:r>
        <w:rPr>
          <w:rFonts w:hint="default" w:ascii="宋体" w:hAnsi="宋体" w:eastAsia="宋体" w:cs="宋体"/>
          <w:color w:val="auto"/>
          <w:kern w:val="0"/>
          <w:sz w:val="24"/>
          <w:szCs w:val="24"/>
          <w:highlight w:val="none"/>
          <w:u w:val="single"/>
        </w:rPr>
        <w:t xml:space="preserve">                     </w:t>
      </w:r>
      <w:r>
        <w:rPr>
          <w:rFonts w:hint="default" w:ascii="宋体" w:hAnsi="宋体" w:eastAsia="宋体" w:cs="宋体"/>
          <w:color w:val="auto"/>
          <w:kern w:val="0"/>
          <w:sz w:val="24"/>
          <w:szCs w:val="24"/>
          <w:highlight w:val="none"/>
        </w:rPr>
        <w:t>联系电话：</w:t>
      </w:r>
      <w:r>
        <w:rPr>
          <w:rFonts w:hint="default" w:ascii="宋体" w:hAnsi="宋体" w:eastAsia="宋体" w:cs="宋体"/>
          <w:color w:val="auto"/>
          <w:kern w:val="0"/>
          <w:sz w:val="24"/>
          <w:szCs w:val="24"/>
          <w:highlight w:val="none"/>
          <w:u w:val="single"/>
        </w:rPr>
        <w:t xml:space="preserve">                             </w:t>
      </w:r>
    </w:p>
    <w:p w14:paraId="5B009CFD">
      <w:pPr>
        <w:spacing w:line="400" w:lineRule="exact"/>
        <w:ind w:firstLine="480" w:firstLineChars="200"/>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授权代表：</w:t>
      </w:r>
      <w:r>
        <w:rPr>
          <w:rFonts w:hint="default" w:ascii="宋体" w:hAnsi="宋体" w:eastAsia="宋体" w:cs="宋体"/>
          <w:color w:val="auto"/>
          <w:kern w:val="0"/>
          <w:sz w:val="24"/>
          <w:szCs w:val="24"/>
          <w:highlight w:val="none"/>
          <w:u w:val="single"/>
        </w:rPr>
        <w:t xml:space="preserve">                                                          </w:t>
      </w:r>
    </w:p>
    <w:p w14:paraId="058097E2">
      <w:pPr>
        <w:spacing w:line="400" w:lineRule="exact"/>
        <w:ind w:firstLine="480" w:firstLineChars="200"/>
        <w:rPr>
          <w:rFonts w:hint="default" w:ascii="宋体" w:hAnsi="宋体" w:eastAsia="宋体" w:cs="宋体"/>
          <w:color w:val="auto"/>
          <w:kern w:val="0"/>
          <w:sz w:val="24"/>
          <w:szCs w:val="24"/>
          <w:highlight w:val="none"/>
          <w:u w:val="single"/>
        </w:rPr>
      </w:pPr>
      <w:r>
        <w:rPr>
          <w:rFonts w:hint="default" w:ascii="宋体" w:hAnsi="宋体" w:eastAsia="宋体" w:cs="宋体"/>
          <w:color w:val="auto"/>
          <w:kern w:val="0"/>
          <w:sz w:val="24"/>
          <w:szCs w:val="24"/>
          <w:highlight w:val="none"/>
        </w:rPr>
        <w:t>联系电话：</w:t>
      </w:r>
      <w:r>
        <w:rPr>
          <w:rFonts w:hint="default" w:ascii="宋体" w:hAnsi="宋体" w:eastAsia="宋体" w:cs="宋体"/>
          <w:color w:val="auto"/>
          <w:kern w:val="0"/>
          <w:sz w:val="24"/>
          <w:szCs w:val="24"/>
          <w:highlight w:val="none"/>
          <w:u w:val="single"/>
        </w:rPr>
        <w:t xml:space="preserve">                                                         </w:t>
      </w:r>
    </w:p>
    <w:p w14:paraId="7DC96787">
      <w:pPr>
        <w:spacing w:line="400" w:lineRule="exact"/>
        <w:ind w:firstLine="480" w:firstLineChars="200"/>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地址：</w:t>
      </w:r>
      <w:r>
        <w:rPr>
          <w:rFonts w:hint="default" w:ascii="宋体" w:hAnsi="宋体" w:eastAsia="宋体" w:cs="宋体"/>
          <w:color w:val="auto"/>
          <w:kern w:val="0"/>
          <w:sz w:val="24"/>
          <w:szCs w:val="24"/>
          <w:highlight w:val="none"/>
          <w:u w:val="single"/>
        </w:rPr>
        <w:t xml:space="preserve">                       </w:t>
      </w:r>
      <w:r>
        <w:rPr>
          <w:rFonts w:hint="default" w:ascii="宋体" w:hAnsi="宋体" w:eastAsia="宋体" w:cs="宋体"/>
          <w:color w:val="auto"/>
          <w:kern w:val="0"/>
          <w:sz w:val="24"/>
          <w:szCs w:val="24"/>
          <w:highlight w:val="none"/>
        </w:rPr>
        <w:t>邮编：</w:t>
      </w:r>
      <w:r>
        <w:rPr>
          <w:rFonts w:hint="default" w:ascii="宋体" w:hAnsi="宋体" w:eastAsia="宋体" w:cs="宋体"/>
          <w:color w:val="auto"/>
          <w:kern w:val="0"/>
          <w:sz w:val="24"/>
          <w:szCs w:val="24"/>
          <w:highlight w:val="none"/>
          <w:u w:val="single"/>
        </w:rPr>
        <w:t xml:space="preserve">                                </w:t>
      </w:r>
      <w:r>
        <w:rPr>
          <w:rFonts w:hint="default" w:ascii="宋体" w:hAnsi="宋体" w:eastAsia="宋体" w:cs="宋体"/>
          <w:color w:val="auto"/>
          <w:kern w:val="0"/>
          <w:sz w:val="24"/>
          <w:szCs w:val="24"/>
          <w:highlight w:val="none"/>
        </w:rPr>
        <w:t xml:space="preserve">     </w:t>
      </w:r>
    </w:p>
    <w:p w14:paraId="283EB219">
      <w:pPr>
        <w:spacing w:line="400" w:lineRule="exact"/>
        <w:ind w:firstLine="482" w:firstLineChars="200"/>
        <w:rPr>
          <w:rFonts w:hint="default" w:ascii="宋体" w:hAnsi="宋体" w:eastAsia="宋体" w:cs="宋体"/>
          <w:b/>
          <w:color w:val="auto"/>
          <w:kern w:val="0"/>
          <w:sz w:val="24"/>
          <w:szCs w:val="24"/>
          <w:highlight w:val="none"/>
        </w:rPr>
      </w:pPr>
      <w:r>
        <w:rPr>
          <w:rFonts w:hint="default" w:ascii="宋体" w:hAnsi="宋体" w:eastAsia="宋体" w:cs="宋体"/>
          <w:b/>
          <w:color w:val="auto"/>
          <w:kern w:val="0"/>
          <w:sz w:val="24"/>
          <w:szCs w:val="24"/>
          <w:highlight w:val="none"/>
        </w:rPr>
        <w:t>二、质疑项目基本情况：</w:t>
      </w:r>
    </w:p>
    <w:p w14:paraId="19DF6F1E">
      <w:pPr>
        <w:spacing w:line="400" w:lineRule="exact"/>
        <w:ind w:left="25" w:leftChars="12" w:firstLine="472" w:firstLineChars="197"/>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质疑项目的名称：</w:t>
      </w:r>
      <w:r>
        <w:rPr>
          <w:rFonts w:hint="default" w:ascii="宋体" w:hAnsi="宋体" w:eastAsia="宋体" w:cs="宋体"/>
          <w:color w:val="auto"/>
          <w:kern w:val="0"/>
          <w:sz w:val="24"/>
          <w:szCs w:val="24"/>
          <w:highlight w:val="none"/>
          <w:u w:val="single"/>
        </w:rPr>
        <w:t xml:space="preserve"> 　　　　　　　　　　                          　　</w:t>
      </w:r>
    </w:p>
    <w:p w14:paraId="3BF7E322">
      <w:pPr>
        <w:spacing w:line="400" w:lineRule="exact"/>
        <w:ind w:left="25" w:leftChars="12" w:firstLine="472" w:firstLineChars="197"/>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质疑项目的编号：</w:t>
      </w:r>
      <w:r>
        <w:rPr>
          <w:rFonts w:hint="default" w:ascii="宋体" w:hAnsi="宋体" w:eastAsia="宋体" w:cs="宋体"/>
          <w:color w:val="auto"/>
          <w:kern w:val="0"/>
          <w:sz w:val="24"/>
          <w:szCs w:val="24"/>
          <w:highlight w:val="none"/>
          <w:u w:val="single"/>
        </w:rPr>
        <w:t>　　　　　　　　                           　　　　</w:t>
      </w:r>
    </w:p>
    <w:p w14:paraId="36A70715">
      <w:pPr>
        <w:spacing w:line="400" w:lineRule="exact"/>
        <w:ind w:left="25" w:leftChars="12" w:firstLine="472" w:firstLineChars="197"/>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采购人名称：</w:t>
      </w:r>
      <w:r>
        <w:rPr>
          <w:rFonts w:hint="default" w:ascii="宋体" w:hAnsi="宋体" w:eastAsia="宋体" w:cs="宋体"/>
          <w:color w:val="auto"/>
          <w:kern w:val="0"/>
          <w:sz w:val="24"/>
          <w:szCs w:val="24"/>
          <w:highlight w:val="none"/>
          <w:u w:val="single"/>
        </w:rPr>
        <w:t xml:space="preserve"> 　　　　　　　                                　　　</w:t>
      </w:r>
    </w:p>
    <w:p w14:paraId="6C5D7771">
      <w:pPr>
        <w:spacing w:line="400" w:lineRule="exact"/>
        <w:ind w:left="25" w:leftChars="12" w:firstLine="472" w:firstLineChars="197"/>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质疑事项：</w:t>
      </w:r>
    </w:p>
    <w:p w14:paraId="6592FC89">
      <w:pPr>
        <w:spacing w:line="400" w:lineRule="exact"/>
        <w:ind w:left="25" w:leftChars="12" w:firstLine="352" w:firstLineChars="147"/>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□采购文件   采购文件获取日期：</w:t>
      </w:r>
      <w:r>
        <w:rPr>
          <w:rFonts w:hint="default" w:ascii="宋体" w:hAnsi="宋体" w:eastAsia="宋体" w:cs="宋体"/>
          <w:color w:val="auto"/>
          <w:kern w:val="0"/>
          <w:sz w:val="24"/>
          <w:szCs w:val="24"/>
          <w:highlight w:val="none"/>
          <w:u w:val="single"/>
        </w:rPr>
        <w:t xml:space="preserve">                                   </w:t>
      </w:r>
    </w:p>
    <w:p w14:paraId="585D147D">
      <w:pPr>
        <w:spacing w:line="400" w:lineRule="exact"/>
        <w:ind w:left="25" w:leftChars="12" w:firstLine="352" w:firstLineChars="147"/>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 xml:space="preserve">□采购过程   </w:t>
      </w:r>
    </w:p>
    <w:p w14:paraId="59F9A054">
      <w:pPr>
        <w:spacing w:line="400" w:lineRule="exact"/>
        <w:ind w:left="25" w:leftChars="12" w:firstLine="352" w:firstLineChars="147"/>
        <w:rPr>
          <w:rFonts w:hint="default" w:ascii="宋体" w:hAnsi="宋体" w:eastAsia="宋体" w:cs="宋体"/>
          <w:color w:val="auto"/>
          <w:kern w:val="0"/>
          <w:sz w:val="24"/>
          <w:szCs w:val="24"/>
          <w:highlight w:val="none"/>
          <w:u w:val="single"/>
        </w:rPr>
      </w:pPr>
      <w:r>
        <w:rPr>
          <w:rFonts w:hint="default" w:ascii="宋体" w:hAnsi="宋体" w:eastAsia="宋体" w:cs="宋体"/>
          <w:color w:val="auto"/>
          <w:kern w:val="0"/>
          <w:sz w:val="24"/>
          <w:szCs w:val="24"/>
          <w:highlight w:val="none"/>
        </w:rPr>
        <w:t xml:space="preserve">□成交结果   </w:t>
      </w:r>
    </w:p>
    <w:p w14:paraId="5B399D34">
      <w:pPr>
        <w:spacing w:line="400" w:lineRule="exact"/>
        <w:ind w:left="25" w:leftChars="12" w:firstLine="472" w:firstLineChars="196"/>
        <w:rPr>
          <w:rFonts w:hint="default" w:ascii="宋体" w:hAnsi="宋体" w:eastAsia="宋体" w:cs="宋体"/>
          <w:b/>
          <w:color w:val="auto"/>
          <w:kern w:val="0"/>
          <w:sz w:val="24"/>
          <w:szCs w:val="24"/>
          <w:highlight w:val="none"/>
        </w:rPr>
      </w:pPr>
      <w:r>
        <w:rPr>
          <w:rFonts w:hint="default" w:ascii="宋体" w:hAnsi="宋体" w:eastAsia="宋体" w:cs="宋体"/>
          <w:b/>
          <w:color w:val="auto"/>
          <w:kern w:val="0"/>
          <w:sz w:val="24"/>
          <w:szCs w:val="24"/>
          <w:highlight w:val="none"/>
        </w:rPr>
        <w:t>三、质疑事项具体内容</w:t>
      </w:r>
    </w:p>
    <w:p w14:paraId="2B325E16">
      <w:pPr>
        <w:spacing w:line="400" w:lineRule="exact"/>
        <w:ind w:left="25" w:leftChars="12" w:firstLine="472" w:firstLineChars="197"/>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质疑事项1：</w:t>
      </w:r>
      <w:r>
        <w:rPr>
          <w:rFonts w:hint="default" w:ascii="宋体" w:hAnsi="宋体" w:eastAsia="宋体" w:cs="宋体"/>
          <w:color w:val="auto"/>
          <w:kern w:val="0"/>
          <w:sz w:val="24"/>
          <w:szCs w:val="24"/>
          <w:highlight w:val="none"/>
          <w:u w:val="single"/>
        </w:rPr>
        <w:t xml:space="preserve">                                                                    </w:t>
      </w:r>
    </w:p>
    <w:p w14:paraId="4196671C">
      <w:pPr>
        <w:spacing w:line="400" w:lineRule="exact"/>
        <w:ind w:left="25" w:leftChars="12" w:firstLine="472" w:firstLineChars="197"/>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事实依据：</w:t>
      </w:r>
      <w:r>
        <w:rPr>
          <w:rFonts w:hint="default" w:ascii="宋体" w:hAnsi="宋体" w:eastAsia="宋体" w:cs="宋体"/>
          <w:color w:val="auto"/>
          <w:kern w:val="0"/>
          <w:sz w:val="24"/>
          <w:szCs w:val="24"/>
          <w:highlight w:val="none"/>
          <w:u w:val="single"/>
        </w:rPr>
        <w:t xml:space="preserve">                                                                      </w:t>
      </w:r>
    </w:p>
    <w:p w14:paraId="0A12FDB1">
      <w:pPr>
        <w:spacing w:line="400" w:lineRule="exact"/>
        <w:ind w:left="25" w:leftChars="12" w:firstLine="472" w:firstLineChars="197"/>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法律依据：</w:t>
      </w:r>
      <w:r>
        <w:rPr>
          <w:rFonts w:hint="default" w:ascii="宋体" w:hAnsi="宋体" w:eastAsia="宋体" w:cs="宋体"/>
          <w:color w:val="auto"/>
          <w:kern w:val="0"/>
          <w:sz w:val="24"/>
          <w:szCs w:val="24"/>
          <w:highlight w:val="none"/>
          <w:u w:val="single"/>
        </w:rPr>
        <w:t xml:space="preserve">                                                                       </w:t>
      </w:r>
    </w:p>
    <w:p w14:paraId="7813984F">
      <w:pPr>
        <w:spacing w:line="400" w:lineRule="exact"/>
        <w:ind w:left="25" w:leftChars="12" w:firstLine="472" w:firstLineChars="197"/>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质疑事项2</w:t>
      </w:r>
    </w:p>
    <w:p w14:paraId="4C81A856">
      <w:pPr>
        <w:spacing w:line="400" w:lineRule="exact"/>
        <w:ind w:left="25" w:leftChars="12" w:firstLine="472" w:firstLineChars="197"/>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w:t>
      </w:r>
    </w:p>
    <w:p w14:paraId="5158B8CE">
      <w:pPr>
        <w:spacing w:line="400" w:lineRule="exact"/>
        <w:ind w:left="25" w:leftChars="12" w:firstLine="472" w:firstLineChars="197"/>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四、与质疑事项相关的质疑请求：</w:t>
      </w:r>
    </w:p>
    <w:p w14:paraId="3E992D10">
      <w:pPr>
        <w:spacing w:line="400" w:lineRule="exact"/>
        <w:ind w:left="25" w:leftChars="12" w:firstLine="472" w:firstLineChars="197"/>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请求：</w:t>
      </w:r>
      <w:r>
        <w:rPr>
          <w:rFonts w:hint="default" w:ascii="宋体" w:hAnsi="宋体" w:eastAsia="宋体" w:cs="宋体"/>
          <w:color w:val="auto"/>
          <w:kern w:val="0"/>
          <w:sz w:val="24"/>
          <w:szCs w:val="24"/>
          <w:highlight w:val="none"/>
          <w:u w:val="single"/>
        </w:rPr>
        <w:t xml:space="preserve">                                                                </w:t>
      </w:r>
    </w:p>
    <w:p w14:paraId="153A090F">
      <w:pPr>
        <w:spacing w:line="400" w:lineRule="exact"/>
        <w:ind w:left="25" w:leftChars="12" w:firstLine="472" w:firstLineChars="197"/>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签字（签章）：                                       公章：</w:t>
      </w:r>
    </w:p>
    <w:p w14:paraId="544B1088">
      <w:pPr>
        <w:spacing w:line="400" w:lineRule="exact"/>
        <w:ind w:left="25" w:leftChars="12" w:firstLine="472" w:firstLineChars="197"/>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日期：</w:t>
      </w:r>
    </w:p>
    <w:p w14:paraId="24866032">
      <w:pPr>
        <w:spacing w:line="400" w:lineRule="exact"/>
        <w:rPr>
          <w:rFonts w:hint="default" w:ascii="宋体" w:hAnsi="宋体" w:eastAsia="宋体" w:cs="宋体"/>
          <w:b/>
          <w:color w:val="auto"/>
          <w:kern w:val="0"/>
          <w:sz w:val="24"/>
          <w:szCs w:val="24"/>
          <w:highlight w:val="none"/>
        </w:rPr>
      </w:pPr>
      <w:r>
        <w:rPr>
          <w:rFonts w:hint="default" w:ascii="宋体" w:hAnsi="宋体" w:eastAsia="宋体" w:cs="宋体"/>
          <w:b/>
          <w:color w:val="auto"/>
          <w:kern w:val="0"/>
          <w:sz w:val="24"/>
          <w:szCs w:val="24"/>
          <w:highlight w:val="none"/>
        </w:rPr>
        <w:t>说明：</w:t>
      </w:r>
    </w:p>
    <w:p w14:paraId="74E1213C">
      <w:pPr>
        <w:spacing w:line="400" w:lineRule="exact"/>
        <w:ind w:left="25" w:leftChars="12" w:firstLine="310" w:firstLineChars="147"/>
        <w:rPr>
          <w:rFonts w:hint="default" w:ascii="宋体" w:hAnsi="宋体" w:eastAsia="宋体" w:cs="宋体"/>
          <w:b/>
          <w:color w:val="auto"/>
          <w:kern w:val="0"/>
          <w:sz w:val="21"/>
          <w:szCs w:val="21"/>
          <w:highlight w:val="none"/>
        </w:rPr>
      </w:pPr>
      <w:r>
        <w:rPr>
          <w:rFonts w:hint="default" w:ascii="宋体" w:hAnsi="宋体" w:eastAsia="宋体" w:cs="宋体"/>
          <w:b/>
          <w:color w:val="auto"/>
          <w:kern w:val="0"/>
          <w:sz w:val="21"/>
          <w:szCs w:val="21"/>
          <w:highlight w:val="none"/>
        </w:rPr>
        <w:t>1.供应商提出质疑时，应提交质疑函和必要的证明材料。</w:t>
      </w:r>
    </w:p>
    <w:p w14:paraId="3E39E0F7">
      <w:pPr>
        <w:spacing w:line="400" w:lineRule="exact"/>
        <w:ind w:left="25" w:leftChars="12" w:firstLine="310" w:firstLineChars="147"/>
        <w:rPr>
          <w:rFonts w:hint="default" w:ascii="宋体" w:hAnsi="宋体" w:eastAsia="宋体" w:cs="宋体"/>
          <w:b/>
          <w:color w:val="auto"/>
          <w:kern w:val="0"/>
          <w:sz w:val="21"/>
          <w:szCs w:val="21"/>
          <w:highlight w:val="none"/>
        </w:rPr>
      </w:pPr>
      <w:r>
        <w:rPr>
          <w:rFonts w:hint="default" w:ascii="宋体" w:hAnsi="宋体" w:eastAsia="宋体" w:cs="宋体"/>
          <w:b/>
          <w:color w:val="auto"/>
          <w:kern w:val="0"/>
          <w:sz w:val="21"/>
          <w:szCs w:val="21"/>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17728639">
      <w:pPr>
        <w:spacing w:line="400" w:lineRule="exact"/>
        <w:ind w:left="25" w:leftChars="12" w:firstLine="310" w:firstLineChars="147"/>
        <w:rPr>
          <w:rFonts w:hint="default" w:ascii="宋体" w:hAnsi="宋体" w:eastAsia="宋体" w:cs="宋体"/>
          <w:b/>
          <w:color w:val="auto"/>
          <w:kern w:val="0"/>
          <w:sz w:val="21"/>
          <w:szCs w:val="21"/>
          <w:highlight w:val="none"/>
        </w:rPr>
      </w:pPr>
      <w:r>
        <w:rPr>
          <w:rFonts w:hint="default" w:ascii="宋体" w:hAnsi="宋体" w:eastAsia="宋体" w:cs="宋体"/>
          <w:b/>
          <w:color w:val="auto"/>
          <w:kern w:val="0"/>
          <w:sz w:val="21"/>
          <w:szCs w:val="21"/>
          <w:highlight w:val="none"/>
        </w:rPr>
        <w:t>3.质疑函的质疑事项应具体、明确，并有必要的事实依据和法律依据。</w:t>
      </w:r>
    </w:p>
    <w:p w14:paraId="49D32FBB">
      <w:pPr>
        <w:spacing w:line="400" w:lineRule="exact"/>
        <w:ind w:left="25" w:leftChars="12" w:firstLine="310" w:firstLineChars="147"/>
        <w:rPr>
          <w:rFonts w:hint="default" w:ascii="宋体" w:hAnsi="宋体" w:eastAsia="宋体" w:cs="宋体"/>
          <w:b/>
          <w:color w:val="auto"/>
          <w:kern w:val="0"/>
          <w:sz w:val="21"/>
          <w:szCs w:val="21"/>
          <w:highlight w:val="none"/>
        </w:rPr>
      </w:pPr>
      <w:r>
        <w:rPr>
          <w:rFonts w:hint="default" w:ascii="宋体" w:hAnsi="宋体" w:eastAsia="宋体" w:cs="宋体"/>
          <w:b/>
          <w:color w:val="auto"/>
          <w:kern w:val="0"/>
          <w:sz w:val="21"/>
          <w:szCs w:val="21"/>
          <w:highlight w:val="none"/>
        </w:rPr>
        <w:t>4.质疑函的质疑请求应与质疑事项相关。</w:t>
      </w:r>
    </w:p>
    <w:p w14:paraId="350B4BD8">
      <w:pPr>
        <w:spacing w:line="460" w:lineRule="exact"/>
        <w:ind w:firstLine="422" w:firstLineChars="200"/>
        <w:jc w:val="left"/>
        <w:rPr>
          <w:rFonts w:hint="default" w:ascii="宋体" w:hAnsi="宋体" w:eastAsia="宋体" w:cs="宋体"/>
          <w:color w:val="auto"/>
          <w:sz w:val="44"/>
          <w:szCs w:val="24"/>
          <w:highlight w:val="none"/>
        </w:rPr>
      </w:pPr>
      <w:r>
        <w:rPr>
          <w:rFonts w:hint="default" w:ascii="宋体" w:hAnsi="宋体" w:eastAsia="宋体" w:cs="宋体"/>
          <w:b/>
          <w:color w:val="auto"/>
          <w:kern w:val="0"/>
          <w:sz w:val="21"/>
          <w:szCs w:val="21"/>
          <w:highlight w:val="none"/>
        </w:rPr>
        <w:t>5.质疑供应商为法人或者其他组织的，质疑函应由法定代表人、主要负责人，或者其授权代表签字或者盖章，并加盖公章。</w:t>
      </w:r>
    </w:p>
    <w:p w14:paraId="737C8A97">
      <w:pPr>
        <w:spacing w:line="360" w:lineRule="auto"/>
        <w:jc w:val="center"/>
        <w:rPr>
          <w:rFonts w:hint="default" w:ascii="宋体" w:hAnsi="宋体" w:eastAsia="宋体" w:cs="宋体"/>
          <w:b/>
          <w:color w:val="auto"/>
          <w:sz w:val="32"/>
          <w:szCs w:val="32"/>
          <w:highlight w:val="none"/>
        </w:rPr>
      </w:pPr>
      <w:r>
        <w:rPr>
          <w:rFonts w:hint="default" w:ascii="宋体" w:hAnsi="宋体" w:eastAsia="宋体" w:cs="宋体"/>
          <w:b/>
          <w:color w:val="auto"/>
          <w:sz w:val="32"/>
          <w:szCs w:val="32"/>
          <w:highlight w:val="none"/>
        </w:rPr>
        <w:t>投诉书（格式）</w:t>
      </w:r>
    </w:p>
    <w:p w14:paraId="72DEB5CC">
      <w:pPr>
        <w:snapToGrid w:val="0"/>
        <w:spacing w:line="360" w:lineRule="auto"/>
        <w:ind w:firstLine="482" w:firstLineChars="200"/>
        <w:rPr>
          <w:rFonts w:hint="default" w:ascii="宋体" w:hAnsi="宋体" w:eastAsia="宋体" w:cs="宋体"/>
          <w:b/>
          <w:color w:val="auto"/>
          <w:kern w:val="0"/>
          <w:sz w:val="24"/>
          <w:szCs w:val="24"/>
          <w:highlight w:val="none"/>
        </w:rPr>
      </w:pPr>
      <w:r>
        <w:rPr>
          <w:rFonts w:hint="default" w:ascii="宋体" w:hAnsi="宋体" w:eastAsia="宋体" w:cs="宋体"/>
          <w:b/>
          <w:color w:val="auto"/>
          <w:kern w:val="0"/>
          <w:sz w:val="24"/>
          <w:szCs w:val="24"/>
          <w:highlight w:val="none"/>
        </w:rPr>
        <w:t>一、投诉相关主体基本情况：</w:t>
      </w:r>
    </w:p>
    <w:p w14:paraId="05B75E7C">
      <w:pPr>
        <w:snapToGrid w:val="0"/>
        <w:spacing w:line="360" w:lineRule="auto"/>
        <w:ind w:firstLine="480" w:firstLineChars="200"/>
        <w:rPr>
          <w:rFonts w:hint="default" w:ascii="宋体" w:hAnsi="宋体" w:eastAsia="宋体" w:cs="宋体"/>
          <w:color w:val="auto"/>
          <w:kern w:val="0"/>
          <w:sz w:val="24"/>
          <w:szCs w:val="24"/>
          <w:highlight w:val="none"/>
          <w:u w:val="single"/>
        </w:rPr>
      </w:pPr>
      <w:r>
        <w:rPr>
          <w:rFonts w:hint="default" w:ascii="宋体" w:hAnsi="宋体" w:eastAsia="宋体" w:cs="宋体"/>
          <w:color w:val="auto"/>
          <w:kern w:val="0"/>
          <w:sz w:val="24"/>
          <w:szCs w:val="24"/>
          <w:highlight w:val="none"/>
        </w:rPr>
        <w:t>供应商：</w:t>
      </w:r>
      <w:r>
        <w:rPr>
          <w:rFonts w:hint="default" w:ascii="宋体" w:hAnsi="宋体" w:eastAsia="宋体" w:cs="宋体"/>
          <w:color w:val="auto"/>
          <w:kern w:val="0"/>
          <w:sz w:val="24"/>
          <w:szCs w:val="24"/>
          <w:highlight w:val="none"/>
          <w:u w:val="single"/>
        </w:rPr>
        <w:t xml:space="preserve">                                                                        </w:t>
      </w:r>
      <w:r>
        <w:rPr>
          <w:rFonts w:hint="default" w:ascii="宋体" w:hAnsi="宋体" w:eastAsia="宋体" w:cs="宋体"/>
          <w:color w:val="auto"/>
          <w:kern w:val="0"/>
          <w:sz w:val="24"/>
          <w:szCs w:val="24"/>
          <w:highlight w:val="none"/>
        </w:rPr>
        <w:t xml:space="preserve">                 </w:t>
      </w:r>
    </w:p>
    <w:p w14:paraId="6409DC70">
      <w:pPr>
        <w:snapToGrid w:val="0"/>
        <w:spacing w:line="360" w:lineRule="auto"/>
        <w:ind w:firstLine="480" w:firstLineChars="200"/>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地址：</w:t>
      </w:r>
      <w:r>
        <w:rPr>
          <w:rFonts w:hint="default" w:ascii="宋体" w:hAnsi="宋体" w:eastAsia="宋体" w:cs="宋体"/>
          <w:color w:val="auto"/>
          <w:kern w:val="0"/>
          <w:sz w:val="24"/>
          <w:szCs w:val="24"/>
          <w:highlight w:val="none"/>
          <w:u w:val="single"/>
        </w:rPr>
        <w:t xml:space="preserve">                                       </w:t>
      </w:r>
      <w:r>
        <w:rPr>
          <w:rFonts w:hint="default" w:ascii="宋体" w:hAnsi="宋体" w:eastAsia="宋体" w:cs="宋体"/>
          <w:color w:val="auto"/>
          <w:kern w:val="0"/>
          <w:sz w:val="24"/>
          <w:szCs w:val="24"/>
          <w:highlight w:val="none"/>
        </w:rPr>
        <w:t>邮编：</w:t>
      </w:r>
      <w:r>
        <w:rPr>
          <w:rFonts w:hint="default" w:ascii="宋体" w:hAnsi="宋体" w:eastAsia="宋体" w:cs="宋体"/>
          <w:color w:val="auto"/>
          <w:kern w:val="0"/>
          <w:sz w:val="24"/>
          <w:szCs w:val="24"/>
          <w:highlight w:val="none"/>
          <w:u w:val="single"/>
        </w:rPr>
        <w:t xml:space="preserve">                          </w:t>
      </w:r>
      <w:r>
        <w:rPr>
          <w:rFonts w:hint="default" w:ascii="宋体" w:hAnsi="宋体" w:eastAsia="宋体" w:cs="宋体"/>
          <w:color w:val="auto"/>
          <w:kern w:val="0"/>
          <w:sz w:val="24"/>
          <w:szCs w:val="24"/>
          <w:highlight w:val="none"/>
        </w:rPr>
        <w:t xml:space="preserve">                 </w:t>
      </w:r>
    </w:p>
    <w:p w14:paraId="523737DD">
      <w:pPr>
        <w:snapToGrid w:val="0"/>
        <w:spacing w:line="360" w:lineRule="auto"/>
        <w:ind w:firstLine="480" w:firstLineChars="200"/>
        <w:rPr>
          <w:rFonts w:hint="default" w:ascii="宋体" w:hAnsi="宋体" w:eastAsia="宋体" w:cs="宋体"/>
          <w:color w:val="auto"/>
          <w:kern w:val="0"/>
          <w:sz w:val="24"/>
          <w:szCs w:val="24"/>
          <w:highlight w:val="none"/>
          <w:u w:val="single"/>
        </w:rPr>
      </w:pPr>
      <w:r>
        <w:rPr>
          <w:rFonts w:hint="default" w:ascii="宋体" w:hAnsi="宋体" w:eastAsia="宋体" w:cs="宋体"/>
          <w:color w:val="auto"/>
          <w:kern w:val="0"/>
          <w:sz w:val="24"/>
          <w:szCs w:val="24"/>
          <w:highlight w:val="none"/>
        </w:rPr>
        <w:t>法定代表人/主要负责人：</w:t>
      </w:r>
      <w:r>
        <w:rPr>
          <w:rFonts w:hint="default" w:ascii="宋体" w:hAnsi="宋体" w:eastAsia="宋体" w:cs="宋体"/>
          <w:color w:val="auto"/>
          <w:kern w:val="0"/>
          <w:sz w:val="24"/>
          <w:szCs w:val="24"/>
          <w:highlight w:val="none"/>
          <w:u w:val="single"/>
        </w:rPr>
        <w:t xml:space="preserve">                                                         </w:t>
      </w:r>
    </w:p>
    <w:p w14:paraId="25C7D27A">
      <w:pPr>
        <w:snapToGrid w:val="0"/>
        <w:spacing w:line="360" w:lineRule="auto"/>
        <w:ind w:firstLine="480" w:firstLineChars="200"/>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联系电话：</w:t>
      </w:r>
      <w:r>
        <w:rPr>
          <w:rFonts w:hint="default" w:ascii="宋体" w:hAnsi="宋体" w:eastAsia="宋体" w:cs="宋体"/>
          <w:color w:val="auto"/>
          <w:kern w:val="0"/>
          <w:sz w:val="24"/>
          <w:szCs w:val="24"/>
          <w:highlight w:val="none"/>
          <w:u w:val="single"/>
        </w:rPr>
        <w:t xml:space="preserve">                                                          </w:t>
      </w:r>
    </w:p>
    <w:p w14:paraId="141EFDC7">
      <w:pPr>
        <w:snapToGrid w:val="0"/>
        <w:spacing w:line="360" w:lineRule="auto"/>
        <w:ind w:firstLine="480" w:firstLineChars="200"/>
        <w:rPr>
          <w:rFonts w:hint="default" w:ascii="宋体" w:hAnsi="宋体" w:eastAsia="宋体" w:cs="宋体"/>
          <w:color w:val="auto"/>
          <w:kern w:val="0"/>
          <w:sz w:val="24"/>
          <w:szCs w:val="24"/>
          <w:highlight w:val="none"/>
          <w:u w:val="single"/>
        </w:rPr>
      </w:pPr>
      <w:r>
        <w:rPr>
          <w:rFonts w:hint="default" w:ascii="宋体" w:hAnsi="宋体" w:eastAsia="宋体" w:cs="宋体"/>
          <w:color w:val="auto"/>
          <w:kern w:val="0"/>
          <w:sz w:val="24"/>
          <w:szCs w:val="24"/>
          <w:highlight w:val="none"/>
        </w:rPr>
        <w:t>授权代表：</w:t>
      </w:r>
      <w:r>
        <w:rPr>
          <w:rFonts w:hint="default" w:ascii="宋体" w:hAnsi="宋体" w:eastAsia="宋体" w:cs="宋体"/>
          <w:color w:val="auto"/>
          <w:kern w:val="0"/>
          <w:sz w:val="24"/>
          <w:szCs w:val="24"/>
          <w:highlight w:val="none"/>
          <w:u w:val="single"/>
        </w:rPr>
        <w:t xml:space="preserve">                                    </w:t>
      </w:r>
      <w:r>
        <w:rPr>
          <w:rFonts w:hint="default" w:ascii="宋体" w:hAnsi="宋体" w:eastAsia="宋体" w:cs="宋体"/>
          <w:color w:val="auto"/>
          <w:kern w:val="0"/>
          <w:sz w:val="24"/>
          <w:szCs w:val="24"/>
          <w:highlight w:val="none"/>
        </w:rPr>
        <w:t>联系电话：</w:t>
      </w:r>
      <w:r>
        <w:rPr>
          <w:rFonts w:hint="default" w:ascii="宋体" w:hAnsi="宋体" w:eastAsia="宋体" w:cs="宋体"/>
          <w:color w:val="auto"/>
          <w:kern w:val="0"/>
          <w:sz w:val="24"/>
          <w:szCs w:val="24"/>
          <w:highlight w:val="none"/>
          <w:u w:val="single"/>
        </w:rPr>
        <w:t xml:space="preserve">                   </w:t>
      </w:r>
    </w:p>
    <w:p w14:paraId="2A829EC9">
      <w:pPr>
        <w:snapToGrid w:val="0"/>
        <w:spacing w:line="360" w:lineRule="auto"/>
        <w:ind w:firstLine="480" w:firstLineChars="200"/>
        <w:rPr>
          <w:rFonts w:hint="default" w:ascii="宋体" w:hAnsi="宋体" w:eastAsia="宋体" w:cs="宋体"/>
          <w:color w:val="auto"/>
          <w:kern w:val="0"/>
          <w:sz w:val="24"/>
          <w:szCs w:val="24"/>
          <w:highlight w:val="none"/>
          <w:u w:val="single"/>
        </w:rPr>
      </w:pPr>
      <w:r>
        <w:rPr>
          <w:rFonts w:hint="default" w:ascii="宋体" w:hAnsi="宋体" w:eastAsia="宋体" w:cs="宋体"/>
          <w:color w:val="auto"/>
          <w:kern w:val="0"/>
          <w:sz w:val="24"/>
          <w:szCs w:val="24"/>
          <w:highlight w:val="none"/>
        </w:rPr>
        <w:t>地址：</w:t>
      </w:r>
      <w:r>
        <w:rPr>
          <w:rFonts w:hint="default" w:ascii="宋体" w:hAnsi="宋体" w:eastAsia="宋体" w:cs="宋体"/>
          <w:color w:val="auto"/>
          <w:kern w:val="0"/>
          <w:sz w:val="24"/>
          <w:szCs w:val="24"/>
          <w:highlight w:val="none"/>
          <w:u w:val="single"/>
        </w:rPr>
        <w:t xml:space="preserve">                                                            </w:t>
      </w:r>
    </w:p>
    <w:p w14:paraId="4A414DFB">
      <w:pPr>
        <w:snapToGrid w:val="0"/>
        <w:spacing w:line="360" w:lineRule="auto"/>
        <w:ind w:firstLine="480" w:firstLineChars="200"/>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邮编：</w:t>
      </w:r>
      <w:r>
        <w:rPr>
          <w:rFonts w:hint="default" w:ascii="宋体" w:hAnsi="宋体" w:eastAsia="宋体" w:cs="宋体"/>
          <w:color w:val="auto"/>
          <w:kern w:val="0"/>
          <w:sz w:val="24"/>
          <w:szCs w:val="24"/>
          <w:highlight w:val="none"/>
          <w:u w:val="single"/>
        </w:rPr>
        <w:t xml:space="preserve">                                                              </w:t>
      </w:r>
      <w:r>
        <w:rPr>
          <w:rFonts w:hint="default" w:ascii="宋体" w:hAnsi="宋体" w:eastAsia="宋体" w:cs="宋体"/>
          <w:color w:val="auto"/>
          <w:kern w:val="0"/>
          <w:sz w:val="24"/>
          <w:szCs w:val="24"/>
          <w:highlight w:val="none"/>
        </w:rPr>
        <w:t xml:space="preserve">   </w:t>
      </w:r>
    </w:p>
    <w:p w14:paraId="39080254">
      <w:pPr>
        <w:snapToGrid w:val="0"/>
        <w:spacing w:line="360" w:lineRule="auto"/>
        <w:ind w:firstLine="480" w:firstLineChars="200"/>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被投诉人1：</w:t>
      </w:r>
    </w:p>
    <w:p w14:paraId="58AC54AF">
      <w:pPr>
        <w:snapToGrid w:val="0"/>
        <w:spacing w:line="360" w:lineRule="auto"/>
        <w:ind w:firstLine="480" w:firstLineChars="200"/>
        <w:rPr>
          <w:rFonts w:hint="default" w:ascii="宋体" w:hAnsi="宋体" w:eastAsia="宋体" w:cs="宋体"/>
          <w:color w:val="auto"/>
          <w:kern w:val="0"/>
          <w:sz w:val="24"/>
          <w:szCs w:val="24"/>
          <w:highlight w:val="none"/>
          <w:u w:val="single"/>
        </w:rPr>
      </w:pPr>
      <w:r>
        <w:rPr>
          <w:rFonts w:hint="default" w:ascii="宋体" w:hAnsi="宋体" w:eastAsia="宋体" w:cs="宋体"/>
          <w:color w:val="auto"/>
          <w:kern w:val="0"/>
          <w:sz w:val="24"/>
          <w:szCs w:val="24"/>
          <w:highlight w:val="none"/>
        </w:rPr>
        <w:t>地址：</w:t>
      </w:r>
      <w:r>
        <w:rPr>
          <w:rFonts w:hint="default" w:ascii="宋体" w:hAnsi="宋体" w:eastAsia="宋体" w:cs="宋体"/>
          <w:color w:val="auto"/>
          <w:kern w:val="0"/>
          <w:sz w:val="24"/>
          <w:szCs w:val="24"/>
          <w:highlight w:val="none"/>
          <w:u w:val="single"/>
        </w:rPr>
        <w:t xml:space="preserve">                                                            </w:t>
      </w:r>
    </w:p>
    <w:p w14:paraId="1C56E67C">
      <w:pPr>
        <w:snapToGrid w:val="0"/>
        <w:spacing w:line="360" w:lineRule="auto"/>
        <w:ind w:firstLine="480" w:firstLineChars="200"/>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邮编：</w:t>
      </w:r>
      <w:r>
        <w:rPr>
          <w:rFonts w:hint="default" w:ascii="宋体" w:hAnsi="宋体" w:eastAsia="宋体" w:cs="宋体"/>
          <w:color w:val="auto"/>
          <w:kern w:val="0"/>
          <w:sz w:val="24"/>
          <w:szCs w:val="24"/>
          <w:highlight w:val="none"/>
          <w:u w:val="single"/>
        </w:rPr>
        <w:t xml:space="preserve">                                                            </w:t>
      </w:r>
      <w:r>
        <w:rPr>
          <w:rFonts w:hint="default" w:ascii="宋体" w:hAnsi="宋体" w:eastAsia="宋体" w:cs="宋体"/>
          <w:color w:val="auto"/>
          <w:kern w:val="0"/>
          <w:sz w:val="24"/>
          <w:szCs w:val="24"/>
          <w:highlight w:val="none"/>
        </w:rPr>
        <w:t xml:space="preserve">  </w:t>
      </w:r>
    </w:p>
    <w:p w14:paraId="16E677F3">
      <w:pPr>
        <w:snapToGrid w:val="0"/>
        <w:spacing w:line="360" w:lineRule="auto"/>
        <w:ind w:firstLine="480" w:firstLineChars="200"/>
        <w:rPr>
          <w:rFonts w:hint="default" w:ascii="宋体" w:hAnsi="宋体" w:eastAsia="宋体" w:cs="宋体"/>
          <w:color w:val="auto"/>
          <w:kern w:val="0"/>
          <w:sz w:val="24"/>
          <w:szCs w:val="24"/>
          <w:highlight w:val="none"/>
          <w:u w:val="single"/>
        </w:rPr>
      </w:pPr>
      <w:r>
        <w:rPr>
          <w:rFonts w:hint="default" w:ascii="宋体" w:hAnsi="宋体" w:eastAsia="宋体" w:cs="宋体"/>
          <w:color w:val="auto"/>
          <w:kern w:val="0"/>
          <w:sz w:val="24"/>
          <w:szCs w:val="24"/>
          <w:highlight w:val="none"/>
        </w:rPr>
        <w:t>联系人：</w:t>
      </w:r>
      <w:r>
        <w:rPr>
          <w:rFonts w:hint="default" w:ascii="宋体" w:hAnsi="宋体" w:eastAsia="宋体" w:cs="宋体"/>
          <w:color w:val="auto"/>
          <w:kern w:val="0"/>
          <w:sz w:val="24"/>
          <w:szCs w:val="24"/>
          <w:highlight w:val="none"/>
          <w:u w:val="single"/>
        </w:rPr>
        <w:t xml:space="preserve">                                       </w:t>
      </w:r>
      <w:r>
        <w:rPr>
          <w:rFonts w:hint="default" w:ascii="宋体" w:hAnsi="宋体" w:eastAsia="宋体" w:cs="宋体"/>
          <w:color w:val="auto"/>
          <w:kern w:val="0"/>
          <w:sz w:val="24"/>
          <w:szCs w:val="24"/>
          <w:highlight w:val="none"/>
        </w:rPr>
        <w:t>联系电话：</w:t>
      </w:r>
      <w:r>
        <w:rPr>
          <w:rFonts w:hint="default" w:ascii="宋体" w:hAnsi="宋体" w:eastAsia="宋体" w:cs="宋体"/>
          <w:color w:val="auto"/>
          <w:kern w:val="0"/>
          <w:sz w:val="24"/>
          <w:szCs w:val="24"/>
          <w:highlight w:val="none"/>
          <w:u w:val="single"/>
        </w:rPr>
        <w:t xml:space="preserve">                </w:t>
      </w:r>
    </w:p>
    <w:p w14:paraId="2DD7F10D">
      <w:pPr>
        <w:snapToGrid w:val="0"/>
        <w:spacing w:line="360" w:lineRule="auto"/>
        <w:ind w:firstLine="480" w:firstLineChars="200"/>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被投诉人2：</w:t>
      </w:r>
    </w:p>
    <w:p w14:paraId="6C8DF1EE">
      <w:pPr>
        <w:snapToGrid w:val="0"/>
        <w:spacing w:line="360" w:lineRule="auto"/>
        <w:ind w:firstLine="480" w:firstLineChars="200"/>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w:t>
      </w:r>
    </w:p>
    <w:p w14:paraId="61438730">
      <w:pPr>
        <w:snapToGrid w:val="0"/>
        <w:spacing w:line="360" w:lineRule="auto"/>
        <w:ind w:firstLine="480" w:firstLineChars="200"/>
        <w:rPr>
          <w:rFonts w:hint="default" w:ascii="宋体" w:hAnsi="宋体" w:eastAsia="宋体" w:cs="宋体"/>
          <w:color w:val="auto"/>
          <w:kern w:val="0"/>
          <w:sz w:val="24"/>
          <w:szCs w:val="24"/>
          <w:highlight w:val="none"/>
          <w:u w:val="single"/>
        </w:rPr>
      </w:pPr>
      <w:r>
        <w:rPr>
          <w:rFonts w:hint="default" w:ascii="宋体" w:hAnsi="宋体" w:eastAsia="宋体" w:cs="宋体"/>
          <w:color w:val="auto"/>
          <w:kern w:val="0"/>
          <w:sz w:val="24"/>
          <w:szCs w:val="24"/>
          <w:highlight w:val="none"/>
        </w:rPr>
        <w:t>相关供应商：</w:t>
      </w:r>
      <w:r>
        <w:rPr>
          <w:rFonts w:hint="default" w:ascii="宋体" w:hAnsi="宋体" w:eastAsia="宋体" w:cs="宋体"/>
          <w:color w:val="auto"/>
          <w:kern w:val="0"/>
          <w:sz w:val="24"/>
          <w:szCs w:val="24"/>
          <w:highlight w:val="none"/>
          <w:u w:val="single"/>
        </w:rPr>
        <w:t xml:space="preserve">                                                                       </w:t>
      </w:r>
    </w:p>
    <w:p w14:paraId="50A44019">
      <w:pPr>
        <w:snapToGrid w:val="0"/>
        <w:spacing w:line="360" w:lineRule="auto"/>
        <w:ind w:firstLine="480" w:firstLineChars="200"/>
        <w:rPr>
          <w:rFonts w:hint="default" w:ascii="宋体" w:hAnsi="宋体" w:eastAsia="宋体" w:cs="宋体"/>
          <w:color w:val="auto"/>
          <w:kern w:val="0"/>
          <w:sz w:val="24"/>
          <w:szCs w:val="24"/>
          <w:highlight w:val="none"/>
          <w:u w:val="single"/>
        </w:rPr>
      </w:pPr>
      <w:r>
        <w:rPr>
          <w:rFonts w:hint="default" w:ascii="宋体" w:hAnsi="宋体" w:eastAsia="宋体" w:cs="宋体"/>
          <w:color w:val="auto"/>
          <w:kern w:val="0"/>
          <w:sz w:val="24"/>
          <w:szCs w:val="24"/>
          <w:highlight w:val="none"/>
        </w:rPr>
        <w:t>地址：</w:t>
      </w:r>
      <w:r>
        <w:rPr>
          <w:rFonts w:hint="default" w:ascii="宋体" w:hAnsi="宋体" w:eastAsia="宋体" w:cs="宋体"/>
          <w:color w:val="auto"/>
          <w:kern w:val="0"/>
          <w:sz w:val="24"/>
          <w:szCs w:val="24"/>
          <w:highlight w:val="none"/>
          <w:u w:val="single"/>
        </w:rPr>
        <w:t xml:space="preserve">                                         </w:t>
      </w:r>
      <w:r>
        <w:rPr>
          <w:rFonts w:hint="default" w:ascii="宋体" w:hAnsi="宋体" w:eastAsia="宋体" w:cs="宋体"/>
          <w:color w:val="auto"/>
          <w:kern w:val="0"/>
          <w:sz w:val="24"/>
          <w:szCs w:val="24"/>
          <w:highlight w:val="none"/>
        </w:rPr>
        <w:t>邮编：</w:t>
      </w:r>
      <w:r>
        <w:rPr>
          <w:rFonts w:hint="default" w:ascii="宋体" w:hAnsi="宋体" w:eastAsia="宋体" w:cs="宋体"/>
          <w:color w:val="auto"/>
          <w:kern w:val="0"/>
          <w:sz w:val="24"/>
          <w:szCs w:val="24"/>
          <w:highlight w:val="none"/>
          <w:u w:val="single"/>
        </w:rPr>
        <w:t xml:space="preserve">                         </w:t>
      </w:r>
    </w:p>
    <w:p w14:paraId="3CDEBCA7">
      <w:pPr>
        <w:snapToGrid w:val="0"/>
        <w:spacing w:line="360" w:lineRule="auto"/>
        <w:ind w:firstLine="480" w:firstLineChars="200"/>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联系人：</w:t>
      </w:r>
      <w:r>
        <w:rPr>
          <w:rFonts w:hint="default" w:ascii="宋体" w:hAnsi="宋体" w:eastAsia="宋体" w:cs="宋体"/>
          <w:color w:val="auto"/>
          <w:kern w:val="0"/>
          <w:sz w:val="24"/>
          <w:szCs w:val="24"/>
          <w:highlight w:val="none"/>
          <w:u w:val="single"/>
        </w:rPr>
        <w:t xml:space="preserve">                                       </w:t>
      </w:r>
      <w:r>
        <w:rPr>
          <w:rFonts w:hint="default" w:ascii="宋体" w:hAnsi="宋体" w:eastAsia="宋体" w:cs="宋体"/>
          <w:color w:val="auto"/>
          <w:kern w:val="0"/>
          <w:sz w:val="24"/>
          <w:szCs w:val="24"/>
          <w:highlight w:val="none"/>
        </w:rPr>
        <w:t>联系电话：</w:t>
      </w:r>
      <w:r>
        <w:rPr>
          <w:rFonts w:hint="default" w:ascii="宋体" w:hAnsi="宋体" w:eastAsia="宋体" w:cs="宋体"/>
          <w:color w:val="auto"/>
          <w:kern w:val="0"/>
          <w:sz w:val="24"/>
          <w:szCs w:val="24"/>
          <w:highlight w:val="none"/>
          <w:u w:val="single"/>
        </w:rPr>
        <w:t xml:space="preserve">                     </w:t>
      </w:r>
      <w:r>
        <w:rPr>
          <w:rFonts w:hint="default" w:ascii="宋体" w:hAnsi="宋体" w:eastAsia="宋体" w:cs="宋体"/>
          <w:color w:val="auto"/>
          <w:kern w:val="0"/>
          <w:sz w:val="24"/>
          <w:szCs w:val="24"/>
          <w:highlight w:val="none"/>
        </w:rPr>
        <w:t xml:space="preserve">                </w:t>
      </w:r>
    </w:p>
    <w:p w14:paraId="23EBD766">
      <w:pPr>
        <w:snapToGrid w:val="0"/>
        <w:spacing w:line="360" w:lineRule="auto"/>
        <w:ind w:firstLine="482" w:firstLineChars="200"/>
        <w:rPr>
          <w:rFonts w:hint="default" w:ascii="宋体" w:hAnsi="宋体" w:eastAsia="宋体" w:cs="宋体"/>
          <w:b/>
          <w:color w:val="auto"/>
          <w:kern w:val="0"/>
          <w:sz w:val="24"/>
          <w:szCs w:val="24"/>
          <w:highlight w:val="none"/>
        </w:rPr>
      </w:pPr>
      <w:r>
        <w:rPr>
          <w:rFonts w:hint="default" w:ascii="宋体" w:hAnsi="宋体" w:eastAsia="宋体" w:cs="宋体"/>
          <w:b/>
          <w:color w:val="auto"/>
          <w:kern w:val="0"/>
          <w:sz w:val="24"/>
          <w:szCs w:val="24"/>
          <w:highlight w:val="none"/>
        </w:rPr>
        <w:t>二、投诉项目基本情况：</w:t>
      </w:r>
    </w:p>
    <w:p w14:paraId="3CDBE616">
      <w:pPr>
        <w:spacing w:line="360" w:lineRule="auto"/>
        <w:ind w:left="25" w:leftChars="12" w:firstLine="472" w:firstLineChars="197"/>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采购项目的名称：</w:t>
      </w:r>
      <w:r>
        <w:rPr>
          <w:rFonts w:hint="default" w:ascii="宋体" w:hAnsi="宋体" w:eastAsia="宋体" w:cs="宋体"/>
          <w:color w:val="auto"/>
          <w:kern w:val="0"/>
          <w:sz w:val="24"/>
          <w:szCs w:val="24"/>
          <w:highlight w:val="none"/>
          <w:u w:val="single"/>
        </w:rPr>
        <w:t xml:space="preserve"> 　　　　　　　　                                  </w:t>
      </w:r>
    </w:p>
    <w:p w14:paraId="61898B9A">
      <w:pPr>
        <w:spacing w:line="360" w:lineRule="auto"/>
        <w:ind w:left="25" w:leftChars="12" w:firstLine="472" w:firstLineChars="197"/>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采购项目的编号：</w:t>
      </w:r>
      <w:r>
        <w:rPr>
          <w:rFonts w:hint="default" w:ascii="宋体" w:hAnsi="宋体" w:eastAsia="宋体" w:cs="宋体"/>
          <w:color w:val="auto"/>
          <w:kern w:val="0"/>
          <w:sz w:val="24"/>
          <w:szCs w:val="24"/>
          <w:highlight w:val="none"/>
          <w:u w:val="single"/>
        </w:rPr>
        <w:t xml:space="preserve">  　　　　　　                                 　   </w:t>
      </w:r>
    </w:p>
    <w:p w14:paraId="69050705">
      <w:pPr>
        <w:spacing w:line="360" w:lineRule="auto"/>
        <w:ind w:left="25" w:leftChars="12" w:firstLine="472" w:firstLineChars="197"/>
        <w:rPr>
          <w:rFonts w:hint="default" w:ascii="宋体" w:hAnsi="宋体" w:eastAsia="宋体" w:cs="宋体"/>
          <w:color w:val="auto"/>
          <w:kern w:val="0"/>
          <w:sz w:val="24"/>
          <w:szCs w:val="24"/>
          <w:highlight w:val="none"/>
          <w:u w:val="single"/>
        </w:rPr>
      </w:pPr>
      <w:r>
        <w:rPr>
          <w:rFonts w:hint="default" w:ascii="宋体" w:hAnsi="宋体" w:eastAsia="宋体" w:cs="宋体"/>
          <w:color w:val="auto"/>
          <w:kern w:val="0"/>
          <w:sz w:val="24"/>
          <w:szCs w:val="24"/>
          <w:highlight w:val="none"/>
        </w:rPr>
        <w:t>采购人名称：</w:t>
      </w:r>
      <w:r>
        <w:rPr>
          <w:rFonts w:hint="default" w:ascii="宋体" w:hAnsi="宋体" w:eastAsia="宋体" w:cs="宋体"/>
          <w:color w:val="auto"/>
          <w:kern w:val="0"/>
          <w:sz w:val="24"/>
          <w:szCs w:val="24"/>
          <w:highlight w:val="none"/>
          <w:u w:val="single"/>
        </w:rPr>
        <w:t xml:space="preserve"> 　　　                                                </w:t>
      </w:r>
    </w:p>
    <w:p w14:paraId="7691C802">
      <w:pPr>
        <w:spacing w:line="360" w:lineRule="auto"/>
        <w:ind w:left="25" w:leftChars="12" w:firstLine="472" w:firstLineChars="197"/>
        <w:rPr>
          <w:rFonts w:hint="default" w:ascii="宋体" w:hAnsi="宋体" w:eastAsia="宋体" w:cs="宋体"/>
          <w:color w:val="auto"/>
          <w:kern w:val="0"/>
          <w:sz w:val="24"/>
          <w:szCs w:val="24"/>
          <w:highlight w:val="none"/>
          <w:u w:val="single"/>
        </w:rPr>
      </w:pPr>
      <w:r>
        <w:rPr>
          <w:rFonts w:hint="default" w:ascii="宋体" w:hAnsi="宋体" w:eastAsia="宋体" w:cs="宋体"/>
          <w:color w:val="auto"/>
          <w:kern w:val="0"/>
          <w:sz w:val="24"/>
          <w:szCs w:val="24"/>
          <w:highlight w:val="none"/>
        </w:rPr>
        <w:t>代理机构名称：</w:t>
      </w:r>
      <w:r>
        <w:rPr>
          <w:rFonts w:hint="default" w:ascii="宋体" w:hAnsi="宋体" w:eastAsia="宋体" w:cs="宋体"/>
          <w:color w:val="auto"/>
          <w:kern w:val="0"/>
          <w:sz w:val="24"/>
          <w:szCs w:val="24"/>
          <w:highlight w:val="none"/>
          <w:u w:val="single"/>
        </w:rPr>
        <w:t xml:space="preserve">                                       </w:t>
      </w:r>
    </w:p>
    <w:p w14:paraId="5F5FD623">
      <w:pPr>
        <w:spacing w:line="360" w:lineRule="auto"/>
        <w:ind w:left="25" w:leftChars="12" w:firstLine="472" w:firstLineChars="197"/>
        <w:rPr>
          <w:rFonts w:hint="default" w:ascii="宋体" w:hAnsi="宋体" w:eastAsia="宋体" w:cs="宋体"/>
          <w:color w:val="auto"/>
          <w:kern w:val="0"/>
          <w:sz w:val="24"/>
          <w:szCs w:val="24"/>
          <w:highlight w:val="none"/>
          <w:u w:val="single"/>
        </w:rPr>
      </w:pPr>
      <w:r>
        <w:rPr>
          <w:rFonts w:hint="default" w:ascii="宋体" w:hAnsi="宋体" w:eastAsia="宋体" w:cs="宋体"/>
          <w:color w:val="auto"/>
          <w:kern w:val="0"/>
          <w:sz w:val="24"/>
          <w:szCs w:val="24"/>
          <w:highlight w:val="none"/>
        </w:rPr>
        <w:t>招标文件公告：</w:t>
      </w:r>
      <w:r>
        <w:rPr>
          <w:rFonts w:hint="default" w:ascii="宋体" w:hAnsi="宋体" w:eastAsia="宋体" w:cs="宋体"/>
          <w:color w:val="auto"/>
          <w:kern w:val="0"/>
          <w:sz w:val="24"/>
          <w:szCs w:val="24"/>
          <w:highlight w:val="none"/>
          <w:u w:val="single"/>
        </w:rPr>
        <w:t>是/否</w:t>
      </w:r>
      <w:r>
        <w:rPr>
          <w:rFonts w:hint="default" w:ascii="宋体" w:hAnsi="宋体" w:eastAsia="宋体" w:cs="宋体"/>
          <w:color w:val="auto"/>
          <w:kern w:val="0"/>
          <w:sz w:val="24"/>
          <w:szCs w:val="24"/>
          <w:highlight w:val="none"/>
        </w:rPr>
        <w:t>公告期限：</w:t>
      </w:r>
      <w:r>
        <w:rPr>
          <w:rFonts w:hint="default" w:ascii="宋体" w:hAnsi="宋体" w:eastAsia="宋体" w:cs="宋体"/>
          <w:color w:val="auto"/>
          <w:kern w:val="0"/>
          <w:sz w:val="24"/>
          <w:szCs w:val="24"/>
          <w:highlight w:val="none"/>
          <w:u w:val="single"/>
        </w:rPr>
        <w:t xml:space="preserve">                                                       </w:t>
      </w:r>
    </w:p>
    <w:p w14:paraId="3E0E62B0">
      <w:pPr>
        <w:spacing w:line="360" w:lineRule="auto"/>
        <w:ind w:left="25" w:leftChars="12" w:firstLine="472" w:firstLineChars="197"/>
        <w:rPr>
          <w:rFonts w:hint="default" w:ascii="宋体" w:hAnsi="宋体" w:eastAsia="宋体" w:cs="宋体"/>
          <w:b/>
          <w:color w:val="auto"/>
          <w:kern w:val="0"/>
          <w:sz w:val="24"/>
          <w:szCs w:val="24"/>
          <w:highlight w:val="none"/>
        </w:rPr>
      </w:pPr>
      <w:r>
        <w:rPr>
          <w:rFonts w:hint="default" w:ascii="宋体" w:hAnsi="宋体" w:eastAsia="宋体" w:cs="宋体"/>
          <w:color w:val="auto"/>
          <w:kern w:val="0"/>
          <w:sz w:val="24"/>
          <w:szCs w:val="24"/>
          <w:highlight w:val="none"/>
        </w:rPr>
        <w:t>采购结果公告：</w:t>
      </w:r>
      <w:r>
        <w:rPr>
          <w:rFonts w:hint="default" w:ascii="宋体" w:hAnsi="宋体" w:eastAsia="宋体" w:cs="宋体"/>
          <w:color w:val="auto"/>
          <w:kern w:val="0"/>
          <w:sz w:val="24"/>
          <w:szCs w:val="24"/>
          <w:highlight w:val="none"/>
          <w:u w:val="single"/>
        </w:rPr>
        <w:t>是/否</w:t>
      </w:r>
      <w:r>
        <w:rPr>
          <w:rFonts w:hint="default" w:ascii="宋体" w:hAnsi="宋体" w:eastAsia="宋体" w:cs="宋体"/>
          <w:color w:val="auto"/>
          <w:kern w:val="0"/>
          <w:sz w:val="24"/>
          <w:szCs w:val="24"/>
          <w:highlight w:val="none"/>
        </w:rPr>
        <w:t>公告期限：</w:t>
      </w:r>
      <w:r>
        <w:rPr>
          <w:rFonts w:hint="default" w:ascii="宋体" w:hAnsi="宋体" w:eastAsia="宋体" w:cs="宋体"/>
          <w:color w:val="auto"/>
          <w:kern w:val="0"/>
          <w:sz w:val="24"/>
          <w:szCs w:val="24"/>
          <w:highlight w:val="none"/>
          <w:u w:val="single"/>
        </w:rPr>
        <w:t xml:space="preserve">                                                       </w:t>
      </w:r>
    </w:p>
    <w:p w14:paraId="3CF64900">
      <w:pPr>
        <w:spacing w:line="360" w:lineRule="auto"/>
        <w:ind w:left="25" w:leftChars="12" w:firstLine="472" w:firstLineChars="196"/>
        <w:rPr>
          <w:rFonts w:hint="default" w:ascii="宋体" w:hAnsi="宋体" w:eastAsia="宋体" w:cs="宋体"/>
          <w:b/>
          <w:color w:val="auto"/>
          <w:kern w:val="0"/>
          <w:sz w:val="24"/>
          <w:szCs w:val="24"/>
          <w:highlight w:val="none"/>
        </w:rPr>
      </w:pPr>
      <w:r>
        <w:rPr>
          <w:rFonts w:hint="default" w:ascii="宋体" w:hAnsi="宋体" w:eastAsia="宋体" w:cs="宋体"/>
          <w:b/>
          <w:color w:val="auto"/>
          <w:kern w:val="0"/>
          <w:sz w:val="24"/>
          <w:szCs w:val="24"/>
          <w:highlight w:val="none"/>
        </w:rPr>
        <w:t>三、质疑基本情况</w:t>
      </w:r>
    </w:p>
    <w:p w14:paraId="3460DF58">
      <w:pPr>
        <w:spacing w:line="360" w:lineRule="auto"/>
        <w:ind w:firstLine="480" w:firstLineChars="200"/>
        <w:rPr>
          <w:rFonts w:hint="default" w:ascii="宋体" w:hAnsi="宋体" w:eastAsia="宋体" w:cs="宋体"/>
          <w:color w:val="auto"/>
          <w:kern w:val="0"/>
          <w:sz w:val="24"/>
          <w:szCs w:val="24"/>
          <w:highlight w:val="none"/>
          <w:u w:val="single"/>
        </w:rPr>
      </w:pPr>
      <w:r>
        <w:rPr>
          <w:rFonts w:hint="default" w:ascii="宋体" w:hAnsi="宋体" w:eastAsia="宋体" w:cs="宋体"/>
          <w:color w:val="auto"/>
          <w:kern w:val="0"/>
          <w:sz w:val="24"/>
          <w:szCs w:val="24"/>
          <w:highlight w:val="none"/>
        </w:rPr>
        <w:t>投诉人于</w:t>
      </w:r>
      <w:r>
        <w:rPr>
          <w:rFonts w:hint="default" w:ascii="宋体" w:hAnsi="宋体" w:eastAsia="宋体" w:cs="宋体"/>
          <w:color w:val="auto"/>
          <w:kern w:val="0"/>
          <w:sz w:val="24"/>
          <w:szCs w:val="24"/>
          <w:highlight w:val="none"/>
          <w:u w:val="single"/>
        </w:rPr>
        <w:t xml:space="preserve">      </w:t>
      </w:r>
      <w:r>
        <w:rPr>
          <w:rFonts w:hint="default" w:ascii="宋体" w:hAnsi="宋体" w:eastAsia="宋体" w:cs="宋体"/>
          <w:color w:val="auto"/>
          <w:kern w:val="0"/>
          <w:sz w:val="24"/>
          <w:szCs w:val="24"/>
          <w:highlight w:val="none"/>
        </w:rPr>
        <w:t>年</w:t>
      </w:r>
      <w:r>
        <w:rPr>
          <w:rFonts w:hint="default" w:ascii="宋体" w:hAnsi="宋体" w:eastAsia="宋体" w:cs="宋体"/>
          <w:color w:val="auto"/>
          <w:kern w:val="0"/>
          <w:sz w:val="24"/>
          <w:szCs w:val="24"/>
          <w:highlight w:val="none"/>
          <w:u w:val="single"/>
        </w:rPr>
        <w:t xml:space="preserve">   </w:t>
      </w:r>
      <w:r>
        <w:rPr>
          <w:rFonts w:hint="default" w:ascii="宋体" w:hAnsi="宋体" w:eastAsia="宋体" w:cs="宋体"/>
          <w:color w:val="auto"/>
          <w:kern w:val="0"/>
          <w:sz w:val="24"/>
          <w:szCs w:val="24"/>
          <w:highlight w:val="none"/>
        </w:rPr>
        <w:t>月</w:t>
      </w:r>
      <w:r>
        <w:rPr>
          <w:rFonts w:hint="default" w:ascii="宋体" w:hAnsi="宋体" w:eastAsia="宋体" w:cs="宋体"/>
          <w:color w:val="auto"/>
          <w:kern w:val="0"/>
          <w:sz w:val="24"/>
          <w:szCs w:val="24"/>
          <w:highlight w:val="none"/>
          <w:u w:val="single"/>
        </w:rPr>
        <w:t xml:space="preserve">   </w:t>
      </w:r>
      <w:r>
        <w:rPr>
          <w:rFonts w:hint="default" w:ascii="宋体" w:hAnsi="宋体" w:eastAsia="宋体" w:cs="宋体"/>
          <w:color w:val="auto"/>
          <w:kern w:val="0"/>
          <w:sz w:val="24"/>
          <w:szCs w:val="24"/>
          <w:highlight w:val="none"/>
        </w:rPr>
        <w:t>日，向</w:t>
      </w:r>
      <w:r>
        <w:rPr>
          <w:rFonts w:hint="default" w:ascii="宋体" w:hAnsi="宋体" w:eastAsia="宋体" w:cs="宋体"/>
          <w:color w:val="auto"/>
          <w:kern w:val="0"/>
          <w:sz w:val="24"/>
          <w:szCs w:val="24"/>
          <w:highlight w:val="none"/>
          <w:u w:val="single"/>
        </w:rPr>
        <w:t xml:space="preserve">           </w:t>
      </w:r>
      <w:r>
        <w:rPr>
          <w:rFonts w:hint="default" w:ascii="宋体" w:hAnsi="宋体" w:eastAsia="宋体" w:cs="宋体"/>
          <w:color w:val="auto"/>
          <w:kern w:val="0"/>
          <w:sz w:val="24"/>
          <w:szCs w:val="24"/>
          <w:highlight w:val="none"/>
        </w:rPr>
        <w:t>提出质疑，质疑事项为：</w:t>
      </w:r>
      <w:r>
        <w:rPr>
          <w:rFonts w:hint="default" w:ascii="宋体" w:hAnsi="宋体" w:eastAsia="宋体" w:cs="宋体"/>
          <w:color w:val="auto"/>
          <w:kern w:val="0"/>
          <w:sz w:val="24"/>
          <w:szCs w:val="24"/>
          <w:highlight w:val="none"/>
          <w:u w:val="single"/>
        </w:rPr>
        <w:t xml:space="preserve">                                                                  </w:t>
      </w:r>
    </w:p>
    <w:p w14:paraId="0DC0FD95">
      <w:pPr>
        <w:spacing w:line="360" w:lineRule="auto"/>
        <w:ind w:firstLine="480" w:firstLineChars="200"/>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u w:val="single"/>
        </w:rPr>
        <w:t>采购人/代理机构</w:t>
      </w:r>
      <w:r>
        <w:rPr>
          <w:rFonts w:hint="default" w:ascii="宋体" w:hAnsi="宋体" w:eastAsia="宋体" w:cs="宋体"/>
          <w:color w:val="auto"/>
          <w:kern w:val="0"/>
          <w:sz w:val="24"/>
          <w:szCs w:val="24"/>
          <w:highlight w:val="none"/>
        </w:rPr>
        <w:t>于</w:t>
      </w:r>
      <w:r>
        <w:rPr>
          <w:rFonts w:hint="default" w:ascii="宋体" w:hAnsi="宋体" w:eastAsia="宋体" w:cs="宋体"/>
          <w:color w:val="auto"/>
          <w:kern w:val="0"/>
          <w:sz w:val="24"/>
          <w:szCs w:val="24"/>
          <w:highlight w:val="none"/>
          <w:u w:val="single"/>
        </w:rPr>
        <w:t xml:space="preserve">      </w:t>
      </w:r>
      <w:r>
        <w:rPr>
          <w:rFonts w:hint="default" w:ascii="宋体" w:hAnsi="宋体" w:eastAsia="宋体" w:cs="宋体"/>
          <w:color w:val="auto"/>
          <w:kern w:val="0"/>
          <w:sz w:val="24"/>
          <w:szCs w:val="24"/>
          <w:highlight w:val="none"/>
        </w:rPr>
        <w:t>年</w:t>
      </w:r>
      <w:r>
        <w:rPr>
          <w:rFonts w:hint="default" w:ascii="宋体" w:hAnsi="宋体" w:eastAsia="宋体" w:cs="宋体"/>
          <w:color w:val="auto"/>
          <w:kern w:val="0"/>
          <w:sz w:val="24"/>
          <w:szCs w:val="24"/>
          <w:highlight w:val="none"/>
          <w:u w:val="single"/>
        </w:rPr>
        <w:t xml:space="preserve">   </w:t>
      </w:r>
      <w:r>
        <w:rPr>
          <w:rFonts w:hint="default" w:ascii="宋体" w:hAnsi="宋体" w:eastAsia="宋体" w:cs="宋体"/>
          <w:color w:val="auto"/>
          <w:kern w:val="0"/>
          <w:sz w:val="24"/>
          <w:szCs w:val="24"/>
          <w:highlight w:val="none"/>
        </w:rPr>
        <w:t>月</w:t>
      </w:r>
      <w:r>
        <w:rPr>
          <w:rFonts w:hint="default" w:ascii="宋体" w:hAnsi="宋体" w:eastAsia="宋体" w:cs="宋体"/>
          <w:color w:val="auto"/>
          <w:kern w:val="0"/>
          <w:sz w:val="24"/>
          <w:szCs w:val="24"/>
          <w:highlight w:val="none"/>
          <w:u w:val="single"/>
        </w:rPr>
        <w:t xml:space="preserve">   </w:t>
      </w:r>
      <w:r>
        <w:rPr>
          <w:rFonts w:hint="default" w:ascii="宋体" w:hAnsi="宋体" w:eastAsia="宋体" w:cs="宋体"/>
          <w:color w:val="auto"/>
          <w:kern w:val="0"/>
          <w:sz w:val="24"/>
          <w:szCs w:val="24"/>
          <w:highlight w:val="none"/>
        </w:rPr>
        <w:t xml:space="preserve">日，就质疑事项作出了答复/没有在法定期限内作出答复。                                                                                             </w:t>
      </w:r>
    </w:p>
    <w:p w14:paraId="0E923B0D">
      <w:pPr>
        <w:spacing w:line="360" w:lineRule="auto"/>
        <w:ind w:left="25" w:leftChars="12" w:firstLine="472" w:firstLineChars="196"/>
        <w:rPr>
          <w:rFonts w:hint="default" w:ascii="宋体" w:hAnsi="宋体" w:eastAsia="宋体" w:cs="宋体"/>
          <w:b/>
          <w:color w:val="auto"/>
          <w:kern w:val="0"/>
          <w:sz w:val="24"/>
          <w:szCs w:val="24"/>
          <w:highlight w:val="none"/>
        </w:rPr>
      </w:pPr>
      <w:r>
        <w:rPr>
          <w:rFonts w:hint="default" w:ascii="宋体" w:hAnsi="宋体" w:eastAsia="宋体" w:cs="宋体"/>
          <w:b/>
          <w:color w:val="auto"/>
          <w:kern w:val="0"/>
          <w:sz w:val="24"/>
          <w:szCs w:val="24"/>
          <w:highlight w:val="none"/>
        </w:rPr>
        <w:t>四、投诉事项具体内容</w:t>
      </w:r>
    </w:p>
    <w:p w14:paraId="28938B48">
      <w:pPr>
        <w:spacing w:line="360" w:lineRule="auto"/>
        <w:ind w:left="25" w:leftChars="12" w:firstLine="472" w:firstLineChars="197"/>
        <w:rPr>
          <w:rFonts w:hint="default" w:ascii="宋体" w:hAnsi="宋体" w:eastAsia="宋体" w:cs="宋体"/>
          <w:color w:val="auto"/>
          <w:kern w:val="0"/>
          <w:sz w:val="24"/>
          <w:szCs w:val="24"/>
          <w:highlight w:val="none"/>
          <w:u w:val="single"/>
        </w:rPr>
      </w:pPr>
      <w:r>
        <w:rPr>
          <w:rFonts w:hint="default" w:ascii="宋体" w:hAnsi="宋体" w:eastAsia="宋体" w:cs="宋体"/>
          <w:color w:val="auto"/>
          <w:kern w:val="0"/>
          <w:sz w:val="24"/>
          <w:szCs w:val="24"/>
          <w:highlight w:val="none"/>
        </w:rPr>
        <w:t>投诉事项1：</w:t>
      </w:r>
      <w:r>
        <w:rPr>
          <w:rFonts w:hint="default" w:ascii="宋体" w:hAnsi="宋体" w:eastAsia="宋体" w:cs="宋体"/>
          <w:color w:val="auto"/>
          <w:kern w:val="0"/>
          <w:sz w:val="24"/>
          <w:szCs w:val="24"/>
          <w:highlight w:val="none"/>
          <w:u w:val="single"/>
        </w:rPr>
        <w:t xml:space="preserve">                                                                           </w:t>
      </w:r>
    </w:p>
    <w:p w14:paraId="70D7BC07">
      <w:pPr>
        <w:spacing w:line="360" w:lineRule="auto"/>
        <w:ind w:firstLine="480" w:firstLineChars="200"/>
        <w:rPr>
          <w:rFonts w:hint="default" w:ascii="宋体" w:hAnsi="宋体" w:eastAsia="宋体" w:cs="宋体"/>
          <w:color w:val="auto"/>
          <w:kern w:val="0"/>
          <w:sz w:val="24"/>
          <w:szCs w:val="24"/>
          <w:highlight w:val="none"/>
          <w:u w:val="single"/>
        </w:rPr>
      </w:pPr>
      <w:r>
        <w:rPr>
          <w:rFonts w:hint="default" w:ascii="宋体" w:hAnsi="宋体" w:eastAsia="宋体" w:cs="宋体"/>
          <w:color w:val="auto"/>
          <w:kern w:val="0"/>
          <w:sz w:val="24"/>
          <w:szCs w:val="24"/>
          <w:highlight w:val="none"/>
        </w:rPr>
        <w:t xml:space="preserve">事实依据： </w:t>
      </w:r>
      <w:r>
        <w:rPr>
          <w:rFonts w:hint="default" w:ascii="宋体" w:hAnsi="宋体" w:eastAsia="宋体" w:cs="宋体"/>
          <w:color w:val="auto"/>
          <w:kern w:val="0"/>
          <w:sz w:val="24"/>
          <w:szCs w:val="24"/>
          <w:highlight w:val="none"/>
          <w:u w:val="single"/>
        </w:rPr>
        <w:t xml:space="preserve">                                                                                      </w:t>
      </w:r>
    </w:p>
    <w:p w14:paraId="512D0F71">
      <w:pPr>
        <w:spacing w:line="360" w:lineRule="auto"/>
        <w:ind w:left="25" w:leftChars="12" w:firstLine="472" w:firstLineChars="197"/>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u w:val="single"/>
        </w:rPr>
        <w:t xml:space="preserve">                                                                                        </w:t>
      </w:r>
    </w:p>
    <w:p w14:paraId="1D1EA01F">
      <w:pPr>
        <w:spacing w:line="360" w:lineRule="auto"/>
        <w:ind w:firstLine="480" w:firstLineChars="200"/>
        <w:rPr>
          <w:rFonts w:hint="default" w:ascii="宋体" w:hAnsi="宋体" w:eastAsia="宋体" w:cs="宋体"/>
          <w:color w:val="auto"/>
          <w:kern w:val="0"/>
          <w:sz w:val="24"/>
          <w:szCs w:val="24"/>
          <w:highlight w:val="none"/>
          <w:u w:val="single"/>
        </w:rPr>
      </w:pPr>
      <w:r>
        <w:rPr>
          <w:rFonts w:hint="default" w:ascii="宋体" w:hAnsi="宋体" w:eastAsia="宋体" w:cs="宋体"/>
          <w:color w:val="auto"/>
          <w:kern w:val="0"/>
          <w:sz w:val="24"/>
          <w:szCs w:val="24"/>
          <w:highlight w:val="none"/>
        </w:rPr>
        <w:t xml:space="preserve">法律依据： </w:t>
      </w:r>
      <w:r>
        <w:rPr>
          <w:rFonts w:hint="default" w:ascii="宋体" w:hAnsi="宋体" w:eastAsia="宋体" w:cs="宋体"/>
          <w:color w:val="auto"/>
          <w:kern w:val="0"/>
          <w:sz w:val="24"/>
          <w:szCs w:val="24"/>
          <w:highlight w:val="none"/>
          <w:u w:val="single"/>
        </w:rPr>
        <w:t xml:space="preserve">                                                                                      </w:t>
      </w:r>
    </w:p>
    <w:p w14:paraId="4B5E9640">
      <w:pPr>
        <w:spacing w:line="360" w:lineRule="auto"/>
        <w:ind w:left="25" w:leftChars="12" w:firstLine="352" w:firstLineChars="147"/>
        <w:rPr>
          <w:rFonts w:hint="default" w:ascii="宋体" w:hAnsi="宋体" w:eastAsia="宋体" w:cs="宋体"/>
          <w:color w:val="auto"/>
          <w:kern w:val="0"/>
          <w:sz w:val="24"/>
          <w:szCs w:val="24"/>
          <w:highlight w:val="none"/>
          <w:u w:val="single"/>
        </w:rPr>
      </w:pPr>
      <w:r>
        <w:rPr>
          <w:rFonts w:hint="default" w:ascii="宋体" w:hAnsi="宋体" w:eastAsia="宋体" w:cs="宋体"/>
          <w:color w:val="auto"/>
          <w:kern w:val="0"/>
          <w:sz w:val="24"/>
          <w:szCs w:val="24"/>
          <w:highlight w:val="none"/>
        </w:rPr>
        <w:t xml:space="preserve"> </w:t>
      </w:r>
      <w:r>
        <w:rPr>
          <w:rFonts w:hint="default" w:ascii="宋体" w:hAnsi="宋体" w:eastAsia="宋体" w:cs="宋体"/>
          <w:color w:val="auto"/>
          <w:kern w:val="0"/>
          <w:sz w:val="24"/>
          <w:szCs w:val="24"/>
          <w:highlight w:val="none"/>
          <w:u w:val="single"/>
        </w:rPr>
        <w:t xml:space="preserve">                                                                                        </w:t>
      </w:r>
    </w:p>
    <w:p w14:paraId="4FE85902">
      <w:pPr>
        <w:spacing w:line="360" w:lineRule="auto"/>
        <w:ind w:left="25" w:leftChars="12" w:firstLine="472" w:firstLineChars="197"/>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 xml:space="preserve">投诉事项2     </w:t>
      </w:r>
    </w:p>
    <w:p w14:paraId="222967B6">
      <w:pPr>
        <w:spacing w:line="360" w:lineRule="auto"/>
        <w:ind w:left="25" w:leftChars="12" w:firstLine="472" w:firstLineChars="197"/>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w:t>
      </w:r>
    </w:p>
    <w:p w14:paraId="767CFE5B">
      <w:pPr>
        <w:spacing w:line="360" w:lineRule="auto"/>
        <w:ind w:left="25" w:leftChars="12" w:firstLine="472" w:firstLineChars="196"/>
        <w:rPr>
          <w:rFonts w:hint="default" w:ascii="宋体" w:hAnsi="宋体" w:eastAsia="宋体" w:cs="宋体"/>
          <w:b/>
          <w:color w:val="auto"/>
          <w:kern w:val="0"/>
          <w:sz w:val="24"/>
          <w:szCs w:val="24"/>
          <w:highlight w:val="none"/>
        </w:rPr>
      </w:pPr>
      <w:r>
        <w:rPr>
          <w:rFonts w:hint="default" w:ascii="宋体" w:hAnsi="宋体" w:eastAsia="宋体" w:cs="宋体"/>
          <w:b/>
          <w:color w:val="auto"/>
          <w:kern w:val="0"/>
          <w:sz w:val="24"/>
          <w:szCs w:val="24"/>
          <w:highlight w:val="none"/>
        </w:rPr>
        <w:t>五、与投诉事项相关的投诉请求：</w:t>
      </w:r>
    </w:p>
    <w:p w14:paraId="74249B8B">
      <w:pPr>
        <w:spacing w:line="360" w:lineRule="auto"/>
        <w:ind w:left="25" w:leftChars="12" w:firstLine="472" w:firstLineChars="197"/>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请求：</w:t>
      </w:r>
      <w:r>
        <w:rPr>
          <w:rFonts w:hint="default" w:ascii="宋体" w:hAnsi="宋体" w:eastAsia="宋体" w:cs="宋体"/>
          <w:color w:val="auto"/>
          <w:kern w:val="0"/>
          <w:sz w:val="24"/>
          <w:szCs w:val="24"/>
          <w:highlight w:val="none"/>
          <w:u w:val="single"/>
        </w:rPr>
        <w:t xml:space="preserve">                                                                                 </w:t>
      </w:r>
    </w:p>
    <w:p w14:paraId="6BF4F23B">
      <w:pPr>
        <w:spacing w:line="360" w:lineRule="auto"/>
        <w:ind w:left="25" w:leftChars="12" w:firstLine="352" w:firstLineChars="147"/>
        <w:rPr>
          <w:rFonts w:hint="default" w:ascii="宋体" w:hAnsi="宋体" w:eastAsia="宋体" w:cs="宋体"/>
          <w:color w:val="auto"/>
          <w:kern w:val="0"/>
          <w:sz w:val="24"/>
          <w:szCs w:val="24"/>
          <w:highlight w:val="none"/>
        </w:rPr>
      </w:pPr>
    </w:p>
    <w:p w14:paraId="5A25C722">
      <w:pPr>
        <w:spacing w:line="360" w:lineRule="auto"/>
        <w:ind w:left="25" w:leftChars="12" w:firstLine="472" w:firstLineChars="197"/>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签字（签章）：                                       公章：</w:t>
      </w:r>
    </w:p>
    <w:p w14:paraId="302954C7">
      <w:pPr>
        <w:spacing w:line="360" w:lineRule="auto"/>
        <w:ind w:left="25" w:leftChars="12" w:firstLine="352" w:firstLineChars="147"/>
        <w:rPr>
          <w:rFonts w:hint="default" w:ascii="宋体" w:hAnsi="宋体" w:eastAsia="宋体" w:cs="宋体"/>
          <w:color w:val="auto"/>
          <w:kern w:val="0"/>
          <w:sz w:val="24"/>
          <w:szCs w:val="24"/>
          <w:highlight w:val="none"/>
        </w:rPr>
      </w:pPr>
    </w:p>
    <w:p w14:paraId="3BD77799">
      <w:pPr>
        <w:spacing w:line="360" w:lineRule="auto"/>
        <w:ind w:left="25" w:leftChars="12" w:firstLine="472" w:firstLineChars="197"/>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日期：</w:t>
      </w:r>
    </w:p>
    <w:p w14:paraId="6E68A528">
      <w:pPr>
        <w:spacing w:line="360" w:lineRule="auto"/>
        <w:ind w:left="25" w:leftChars="12" w:firstLine="472" w:firstLineChars="197"/>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 xml:space="preserve">                                                                                 </w:t>
      </w:r>
    </w:p>
    <w:p w14:paraId="6BA6D610">
      <w:pPr>
        <w:snapToGrid w:val="0"/>
        <w:spacing w:line="360" w:lineRule="auto"/>
        <w:rPr>
          <w:rFonts w:hint="default" w:ascii="宋体" w:hAnsi="宋体" w:eastAsia="宋体" w:cs="宋体"/>
          <w:b/>
          <w:color w:val="auto"/>
          <w:kern w:val="0"/>
          <w:sz w:val="24"/>
          <w:szCs w:val="24"/>
          <w:highlight w:val="none"/>
        </w:rPr>
      </w:pPr>
    </w:p>
    <w:p w14:paraId="65E914BC">
      <w:pPr>
        <w:snapToGrid w:val="0"/>
        <w:spacing w:line="360" w:lineRule="auto"/>
        <w:rPr>
          <w:rFonts w:hint="default" w:ascii="宋体" w:hAnsi="宋体" w:eastAsia="宋体" w:cs="宋体"/>
          <w:b/>
          <w:color w:val="auto"/>
          <w:kern w:val="0"/>
          <w:sz w:val="24"/>
          <w:szCs w:val="24"/>
          <w:highlight w:val="none"/>
        </w:rPr>
      </w:pPr>
      <w:r>
        <w:rPr>
          <w:rFonts w:hint="default" w:ascii="宋体" w:hAnsi="宋体" w:eastAsia="宋体" w:cs="宋体"/>
          <w:b/>
          <w:color w:val="auto"/>
          <w:kern w:val="0"/>
          <w:sz w:val="24"/>
          <w:szCs w:val="24"/>
          <w:highlight w:val="none"/>
        </w:rPr>
        <w:t>说明：</w:t>
      </w:r>
    </w:p>
    <w:p w14:paraId="456B7868">
      <w:pPr>
        <w:spacing w:line="360" w:lineRule="auto"/>
        <w:ind w:left="25" w:leftChars="12" w:firstLine="354" w:firstLineChars="147"/>
        <w:rPr>
          <w:rFonts w:hint="default" w:ascii="宋体" w:hAnsi="宋体" w:eastAsia="宋体" w:cs="宋体"/>
          <w:b/>
          <w:color w:val="auto"/>
          <w:kern w:val="0"/>
          <w:sz w:val="24"/>
          <w:szCs w:val="24"/>
          <w:highlight w:val="none"/>
        </w:rPr>
      </w:pPr>
      <w:r>
        <w:rPr>
          <w:rFonts w:hint="default" w:ascii="宋体" w:hAnsi="宋体" w:eastAsia="宋体" w:cs="宋体"/>
          <w:b/>
          <w:color w:val="auto"/>
          <w:kern w:val="0"/>
          <w:sz w:val="24"/>
          <w:szCs w:val="24"/>
          <w:highlight w:val="none"/>
        </w:rPr>
        <w:t>1.投诉人提起投诉时，应当提交投诉书和必要的证明材料，并按照被投诉人和与投诉事项有关的供应商数量提供投诉书副本。</w:t>
      </w:r>
    </w:p>
    <w:p w14:paraId="446C7218">
      <w:pPr>
        <w:spacing w:line="360" w:lineRule="auto"/>
        <w:ind w:left="25" w:leftChars="12" w:firstLine="354" w:firstLineChars="147"/>
        <w:rPr>
          <w:rFonts w:hint="default" w:ascii="宋体" w:hAnsi="宋体" w:eastAsia="宋体" w:cs="宋体"/>
          <w:b/>
          <w:color w:val="auto"/>
          <w:kern w:val="0"/>
          <w:sz w:val="24"/>
          <w:szCs w:val="24"/>
          <w:highlight w:val="none"/>
        </w:rPr>
      </w:pPr>
      <w:r>
        <w:rPr>
          <w:rFonts w:hint="default" w:ascii="宋体" w:hAnsi="宋体" w:eastAsia="宋体" w:cs="宋体"/>
          <w:b/>
          <w:color w:val="auto"/>
          <w:kern w:val="0"/>
          <w:sz w:val="24"/>
          <w:szCs w:val="24"/>
          <w:highlight w:val="none"/>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1C12F30D">
      <w:pPr>
        <w:spacing w:line="360" w:lineRule="auto"/>
        <w:ind w:left="25" w:leftChars="12" w:firstLine="354" w:firstLineChars="147"/>
        <w:rPr>
          <w:rFonts w:hint="default" w:ascii="宋体" w:hAnsi="宋体" w:eastAsia="宋体" w:cs="宋体"/>
          <w:b/>
          <w:color w:val="auto"/>
          <w:kern w:val="0"/>
          <w:sz w:val="24"/>
          <w:szCs w:val="24"/>
          <w:highlight w:val="none"/>
        </w:rPr>
      </w:pPr>
      <w:r>
        <w:rPr>
          <w:rFonts w:hint="default" w:ascii="宋体" w:hAnsi="宋体" w:eastAsia="宋体" w:cs="宋体"/>
          <w:b/>
          <w:color w:val="auto"/>
          <w:kern w:val="0"/>
          <w:sz w:val="24"/>
          <w:szCs w:val="24"/>
          <w:highlight w:val="none"/>
        </w:rPr>
        <w:t>3.投诉书应简要列明质疑事项，质疑函、质疑答复等作为附件材料提供。</w:t>
      </w:r>
    </w:p>
    <w:p w14:paraId="01188B91">
      <w:pPr>
        <w:spacing w:line="360" w:lineRule="auto"/>
        <w:ind w:left="25" w:leftChars="12" w:firstLine="354" w:firstLineChars="147"/>
        <w:rPr>
          <w:rFonts w:hint="default" w:ascii="宋体" w:hAnsi="宋体" w:eastAsia="宋体" w:cs="宋体"/>
          <w:b/>
          <w:color w:val="auto"/>
          <w:kern w:val="0"/>
          <w:sz w:val="24"/>
          <w:szCs w:val="24"/>
          <w:highlight w:val="none"/>
        </w:rPr>
      </w:pPr>
      <w:r>
        <w:rPr>
          <w:rFonts w:hint="default" w:ascii="宋体" w:hAnsi="宋体" w:eastAsia="宋体" w:cs="宋体"/>
          <w:b/>
          <w:color w:val="auto"/>
          <w:kern w:val="0"/>
          <w:sz w:val="24"/>
          <w:szCs w:val="24"/>
          <w:highlight w:val="none"/>
        </w:rPr>
        <w:t>4.投诉书的投诉事项应具体、明确，并有必要的事实依据和法律依据。</w:t>
      </w:r>
    </w:p>
    <w:p w14:paraId="56F7732D">
      <w:pPr>
        <w:spacing w:line="360" w:lineRule="auto"/>
        <w:ind w:left="25" w:leftChars="12" w:firstLine="354" w:firstLineChars="147"/>
        <w:rPr>
          <w:rFonts w:hint="default" w:ascii="宋体" w:hAnsi="宋体" w:eastAsia="宋体" w:cs="宋体"/>
          <w:b/>
          <w:color w:val="auto"/>
          <w:kern w:val="0"/>
          <w:sz w:val="24"/>
          <w:szCs w:val="24"/>
          <w:highlight w:val="none"/>
        </w:rPr>
      </w:pPr>
      <w:r>
        <w:rPr>
          <w:rFonts w:hint="default" w:ascii="宋体" w:hAnsi="宋体" w:eastAsia="宋体" w:cs="宋体"/>
          <w:b/>
          <w:color w:val="auto"/>
          <w:kern w:val="0"/>
          <w:sz w:val="24"/>
          <w:szCs w:val="24"/>
          <w:highlight w:val="none"/>
        </w:rPr>
        <w:t>5.投诉书的投诉请求应与投诉事项相关。</w:t>
      </w:r>
    </w:p>
    <w:p w14:paraId="13031169">
      <w:pPr>
        <w:spacing w:line="360" w:lineRule="auto"/>
        <w:ind w:left="25" w:leftChars="12" w:firstLine="354" w:firstLineChars="147"/>
        <w:rPr>
          <w:rFonts w:hint="default" w:ascii="宋体" w:hAnsi="宋体" w:eastAsia="宋体" w:cs="宋体"/>
          <w:color w:val="auto"/>
          <w:sz w:val="21"/>
          <w:szCs w:val="24"/>
          <w:highlight w:val="none"/>
        </w:rPr>
      </w:pPr>
      <w:r>
        <w:rPr>
          <w:rFonts w:hint="default" w:ascii="宋体" w:hAnsi="宋体" w:eastAsia="宋体" w:cs="宋体"/>
          <w:b/>
          <w:color w:val="auto"/>
          <w:kern w:val="0"/>
          <w:sz w:val="24"/>
          <w:szCs w:val="24"/>
          <w:highlight w:val="none"/>
        </w:rPr>
        <w:t>6.投诉人为法人或者其他组织的，投诉书应由法定代表人、主要负责人，或者其授权代表签字或者盖章，并加盖公章。</w:t>
      </w:r>
    </w:p>
    <w:p w14:paraId="2580D6DC">
      <w:pPr>
        <w:rPr>
          <w:rFonts w:hint="eastAsia"/>
          <w:color w:val="auto"/>
          <w:sz w:val="21"/>
          <w:szCs w:val="24"/>
          <w:highlight w:val="none"/>
        </w:rPr>
      </w:pPr>
    </w:p>
    <w:p w14:paraId="11417FB4">
      <w:pPr>
        <w:rPr>
          <w:color w:val="auto"/>
          <w:highlight w:val="none"/>
        </w:rPr>
      </w:pPr>
    </w:p>
    <w:sectPr>
      <w:footerReference r:id="rId14" w:type="default"/>
      <w:pgSz w:w="11910" w:h="16840"/>
      <w:pgMar w:top="1340" w:right="1500" w:bottom="280" w:left="1680" w:header="720" w:footer="720" w:gutter="0"/>
      <w:lnNumType w:countBy="0" w:distance="36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Mongolian Baiti">
    <w:panose1 w:val="03000500000000000000"/>
    <w:charset w:val="00"/>
    <w:family w:val="script"/>
    <w:pitch w:val="default"/>
    <w:sig w:usb0="80000023" w:usb1="00000000" w:usb2="00020000" w:usb3="00000000" w:csb0="0000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Segoe UI Symbol">
    <w:panose1 w:val="020B0502040204020203"/>
    <w:charset w:val="00"/>
    <w:family w:val="swiss"/>
    <w:pitch w:val="default"/>
    <w:sig w:usb0="800001E3" w:usb1="1200FFEF" w:usb2="00040000" w:usb3="04000000"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EF1C90">
    <w:pPr>
      <w:pStyle w:val="11"/>
      <w:jc w:val="center"/>
      <w:rPr>
        <w:rFonts w:hint="eastAsia"/>
        <w:sz w:val="18"/>
        <w:szCs w:val="18"/>
      </w:rPr>
    </w:pPr>
    <w:r>
      <w:rPr>
        <w:rFonts w:hint="eastAsia"/>
        <w:sz w:val="18"/>
        <w:szCs w:val="18"/>
      </w:rPr>
      <w:fldChar w:fldCharType="begin"/>
    </w:r>
    <w:r>
      <w:rPr>
        <w:rFonts w:hint="eastAsia"/>
        <w:sz w:val="18"/>
        <w:szCs w:val="18"/>
      </w:rPr>
      <w:instrText xml:space="preserve"> PAGE   \* MERGEFORMAT </w:instrText>
    </w:r>
    <w:r>
      <w:rPr>
        <w:rFonts w:hint="eastAsia"/>
        <w:sz w:val="18"/>
        <w:szCs w:val="18"/>
      </w:rPr>
      <w:fldChar w:fldCharType="separate"/>
    </w:r>
    <w:r>
      <w:rPr>
        <w:rFonts w:hint="eastAsia"/>
        <w:sz w:val="18"/>
        <w:szCs w:val="18"/>
        <w:lang w:val="zh-CN"/>
      </w:rPr>
      <w:t>1</w:t>
    </w:r>
    <w:r>
      <w:rPr>
        <w:rFonts w:hint="eastAsia"/>
        <w:sz w:val="18"/>
        <w:szCs w:val="18"/>
        <w:lang w:val="zh-CN"/>
      </w:rPr>
      <w:fldChar w:fldCharType="end"/>
    </w:r>
  </w:p>
  <w:p w14:paraId="1D0A2550">
    <w:pPr>
      <w:pStyle w:val="11"/>
      <w:jc w:val="center"/>
      <w:rPr>
        <w:rFonts w:hint="eastAsia"/>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5F7C51">
    <w:pPr>
      <w:pStyle w:val="11"/>
      <w:tabs>
        <w:tab w:val="left" w:pos="5360"/>
        <w:tab w:val="clear" w:pos="4153"/>
      </w:tabs>
      <w:rPr>
        <w:rFonts w:hint="default" w:ascii="宋体" w:eastAsia="宋体"/>
        <w:sz w:val="18"/>
        <w:szCs w:val="18"/>
      </w:rPr>
    </w:pPr>
    <w:r>
      <w:rPr>
        <w:rFonts w:hint="default" w:eastAsia="宋体"/>
        <w:sz w:val="18"/>
        <w:szCs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127F5BA">
                          <w:pPr>
                            <w:pStyle w:val="11"/>
                            <w:rPr>
                              <w:rFonts w:hint="eastAsia"/>
                              <w:sz w:val="18"/>
                              <w:szCs w:val="18"/>
                            </w:rPr>
                          </w:pPr>
                          <w:r>
                            <w:rPr>
                              <w:rFonts w:hint="eastAsia"/>
                              <w:sz w:val="18"/>
                              <w:szCs w:val="18"/>
                            </w:rPr>
                            <w:fldChar w:fldCharType="begin"/>
                          </w:r>
                          <w:r>
                            <w:rPr>
                              <w:rFonts w:hint="eastAsia"/>
                              <w:sz w:val="18"/>
                              <w:szCs w:val="18"/>
                            </w:rPr>
                            <w:instrText xml:space="preserve"> PAGE  \* MERGEFORMAT </w:instrText>
                          </w:r>
                          <w:r>
                            <w:rPr>
                              <w:rFonts w:hint="eastAsia"/>
                              <w:sz w:val="18"/>
                              <w:szCs w:val="18"/>
                            </w:rPr>
                            <w:fldChar w:fldCharType="separate"/>
                          </w:r>
                          <w:r>
                            <w:rPr>
                              <w:rFonts w:hint="eastAsia"/>
                              <w:sz w:val="18"/>
                              <w:szCs w:val="18"/>
                            </w:rPr>
                            <w:t>1</w:t>
                          </w:r>
                          <w:r>
                            <w:rPr>
                              <w:rFonts w:hint="eastAsia"/>
                              <w:sz w:val="18"/>
                              <w:szCs w:val="18"/>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DogMnjIAQAAmQMAAA4AAAAAAAAAAQAgAAAAHgEAAGRycy9lMm9Eb2Mu&#10;eG1sUEsFBgAAAAAGAAYAWQEAAFgFAAAAAA==&#10;">
              <v:fill on="f" focussize="0,0"/>
              <v:stroke on="f"/>
              <v:imagedata o:title=""/>
              <o:lock v:ext="edit" aspectratio="f"/>
              <v:textbox inset="0mm,0mm,0mm,0mm" style="mso-fit-shape-to-text:t;">
                <w:txbxContent>
                  <w:p w14:paraId="5127F5BA">
                    <w:pPr>
                      <w:pStyle w:val="11"/>
                      <w:rPr>
                        <w:rFonts w:hint="eastAsia"/>
                        <w:sz w:val="18"/>
                        <w:szCs w:val="18"/>
                      </w:rPr>
                    </w:pPr>
                    <w:r>
                      <w:rPr>
                        <w:rFonts w:hint="eastAsia"/>
                        <w:sz w:val="18"/>
                        <w:szCs w:val="18"/>
                      </w:rPr>
                      <w:fldChar w:fldCharType="begin"/>
                    </w:r>
                    <w:r>
                      <w:rPr>
                        <w:rFonts w:hint="eastAsia"/>
                        <w:sz w:val="18"/>
                        <w:szCs w:val="18"/>
                      </w:rPr>
                      <w:instrText xml:space="preserve"> PAGE  \* MERGEFORMAT </w:instrText>
                    </w:r>
                    <w:r>
                      <w:rPr>
                        <w:rFonts w:hint="eastAsia"/>
                        <w:sz w:val="18"/>
                        <w:szCs w:val="18"/>
                      </w:rPr>
                      <w:fldChar w:fldCharType="separate"/>
                    </w:r>
                    <w:r>
                      <w:rPr>
                        <w:rFonts w:hint="eastAsia"/>
                        <w:sz w:val="18"/>
                        <w:szCs w:val="18"/>
                      </w:rPr>
                      <w:t>1</w:t>
                    </w:r>
                    <w:r>
                      <w:rPr>
                        <w:rFonts w:hint="eastAsia"/>
                        <w:sz w:val="18"/>
                        <w:szCs w:val="18"/>
                      </w:rPr>
                      <w:fldChar w:fldCharType="end"/>
                    </w:r>
                  </w:p>
                </w:txbxContent>
              </v:textbox>
            </v:shape>
          </w:pict>
        </mc:Fallback>
      </mc:AlternateContent>
    </w:r>
    <w:r>
      <w:rPr>
        <w:rFonts w:hint="default" w:eastAsia="宋体"/>
        <w:sz w:val="18"/>
        <w:szCs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C30D71A">
                          <w:pPr>
                            <w:rPr>
                              <w:rFonts w:hint="eastAsia"/>
                              <w:sz w:val="21"/>
                              <w:szCs w:val="24"/>
                            </w:rPr>
                          </w:pP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pGhU/IAQAAmQMAAA4AAAAAAAAAAQAgAAAAHgEAAGRycy9lMm9Eb2Mu&#10;eG1sUEsFBgAAAAAGAAYAWQEAAFgFAAAAAA==&#10;">
              <v:fill on="f" focussize="0,0"/>
              <v:stroke on="f"/>
              <v:imagedata o:title=""/>
              <o:lock v:ext="edit" aspectratio="f"/>
              <v:textbox inset="0mm,0mm,0mm,0mm" style="mso-fit-shape-to-text:t;">
                <w:txbxContent>
                  <w:p w14:paraId="5C30D71A">
                    <w:pPr>
                      <w:rPr>
                        <w:rFonts w:hint="eastAsia"/>
                        <w:sz w:val="21"/>
                        <w:szCs w:val="24"/>
                      </w:rPr>
                    </w:pPr>
                  </w:p>
                </w:txbxContent>
              </v:textbox>
            </v:shape>
          </w:pict>
        </mc:Fallback>
      </mc:AlternateContent>
    </w:r>
    <w:r>
      <w:rPr>
        <w:rFonts w:hint="default" w:eastAsia="宋体"/>
        <w:sz w:val="18"/>
        <w:szCs w:val="18"/>
      </w:rPr>
      <mc:AlternateContent>
        <mc:Choice Requires="wps">
          <w:drawing>
            <wp:anchor distT="0" distB="0" distL="114300" distR="114300" simplePos="0" relativeHeight="251662336" behindDoc="0" locked="0" layoutInCell="1" allowOverlap="1">
              <wp:simplePos x="0" y="0"/>
              <wp:positionH relativeFrom="margin">
                <wp:posOffset>2761615</wp:posOffset>
              </wp:positionH>
              <wp:positionV relativeFrom="paragraph">
                <wp:posOffset>-20320</wp:posOffset>
              </wp:positionV>
              <wp:extent cx="134620" cy="173355"/>
              <wp:effectExtent l="0" t="0" r="0" b="0"/>
              <wp:wrapNone/>
              <wp:docPr id="4" name="文本框 4"/>
              <wp:cNvGraphicFramePr/>
              <a:graphic xmlns:a="http://schemas.openxmlformats.org/drawingml/2006/main">
                <a:graphicData uri="http://schemas.microsoft.com/office/word/2010/wordprocessingShape">
                  <wps:wsp>
                    <wps:cNvSpPr txBox="1"/>
                    <wps:spPr>
                      <a:xfrm>
                        <a:off x="0" y="0"/>
                        <a:ext cx="134620" cy="173355"/>
                      </a:xfrm>
                      <a:prstGeom prst="rect">
                        <a:avLst/>
                      </a:prstGeom>
                      <a:noFill/>
                      <a:ln>
                        <a:noFill/>
                      </a:ln>
                    </wps:spPr>
                    <wps:txbx>
                      <w:txbxContent>
                        <w:p w14:paraId="355584F5">
                          <w:pPr>
                            <w:rPr>
                              <w:rFonts w:hint="eastAsia"/>
                              <w:sz w:val="21"/>
                              <w:szCs w:val="24"/>
                            </w:rPr>
                          </w:pPr>
                        </w:p>
                      </w:txbxContent>
                    </wps:txbx>
                    <wps:bodyPr lIns="0" tIns="0" rIns="0" bIns="0" upright="1"/>
                  </wps:wsp>
                </a:graphicData>
              </a:graphic>
            </wp:anchor>
          </w:drawing>
        </mc:Choice>
        <mc:Fallback>
          <w:pict>
            <v:shape id="_x0000_s1026" o:spid="_x0000_s1026" o:spt="202" type="#_x0000_t202" style="position:absolute;left:0pt;margin-left:217.45pt;margin-top:-1.6pt;height:13.65pt;width:10.6pt;mso-position-horizontal-relative:margin;z-index:251662336;mso-width-relative:page;mso-height-relative:page;" filled="f" stroked="f" coordsize="21600,21600" o:gfxdata="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qtmBB2QAAAAkBAAAPAAAAAAAAAAEAIAAAACIAAABkcnMvZG93bnJldi54bWxQSwEC&#10;FAAUAAAACACHTuJAqBunHroBAABxAwAADgAAAAAAAAABACAAAAAoAQAAZHJzL2Uyb0RvYy54bWxQ&#10;SwUGAAAAAAYABgBZAQAAVAUAAAAA&#10;">
              <v:fill on="f" focussize="0,0"/>
              <v:stroke on="f"/>
              <v:imagedata o:title=""/>
              <o:lock v:ext="edit" aspectratio="f"/>
              <v:textbox inset="0mm,0mm,0mm,0mm">
                <w:txbxContent>
                  <w:p w14:paraId="355584F5">
                    <w:pPr>
                      <w:rPr>
                        <w:rFonts w:hint="eastAsia"/>
                        <w:sz w:val="21"/>
                        <w:szCs w:val="24"/>
                      </w:rPr>
                    </w:pPr>
                  </w:p>
                </w:txbxContent>
              </v:textbox>
            </v:shape>
          </w:pict>
        </mc:Fallback>
      </mc:AlternateContent>
    </w:r>
    <w:r>
      <w:rPr>
        <w:rFonts w:hint="default" w:eastAsia="宋体"/>
        <w:sz w:val="18"/>
        <w:szCs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DB71034">
                          <w:pPr>
                            <w:rPr>
                              <w:rFonts w:hint="eastAsia"/>
                              <w:sz w:val="21"/>
                              <w:szCs w:val="24"/>
                            </w:rPr>
                          </w:pP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Csh/JjIAQAAmQMAAA4AAAAAAAAAAQAgAAAAHgEAAGRycy9lMm9Eb2Mu&#10;eG1sUEsFBgAAAAAGAAYAWQEAAFgFAAAAAA==&#10;">
              <v:fill on="f" focussize="0,0"/>
              <v:stroke on="f"/>
              <v:imagedata o:title=""/>
              <o:lock v:ext="edit" aspectratio="f"/>
              <v:textbox inset="0mm,0mm,0mm,0mm" style="mso-fit-shape-to-text:t;">
                <w:txbxContent>
                  <w:p w14:paraId="0DB71034">
                    <w:pPr>
                      <w:rPr>
                        <w:rFonts w:hint="eastAsia"/>
                        <w:sz w:val="21"/>
                        <w:szCs w:val="24"/>
                      </w:rPr>
                    </w:pPr>
                  </w:p>
                </w:txbxContent>
              </v:textbox>
            </v:shape>
          </w:pict>
        </mc:Fallback>
      </mc:AlternateContent>
    </w:r>
    <w:r>
      <w:rPr>
        <w:rFonts w:hint="default" w:eastAsia="宋体"/>
        <w:sz w:val="18"/>
        <w:szCs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15F4AFE">
                          <w:pPr>
                            <w:pStyle w:val="11"/>
                            <w:rPr>
                              <w:rFonts w:hint="default" w:ascii="宋体" w:eastAsia="宋体"/>
                              <w:sz w:val="18"/>
                              <w:szCs w:val="18"/>
                            </w:rPr>
                          </w:pPr>
                          <w:r>
                            <w:rPr>
                              <w:rFonts w:hint="default" w:ascii="宋体" w:eastAsia="宋体"/>
                              <w:sz w:val="18"/>
                              <w:szCs w:val="18"/>
                            </w:rPr>
                            <w:t>1</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a7VwXyQEAAJkDAAAOAAAAAAAAAAEAIAAAAB4BAABkcnMvZTJvRG9j&#10;LnhtbFBLBQYAAAAABgAGAFkBAABZBQAAAAA=&#10;">
              <v:fill on="f" focussize="0,0"/>
              <v:stroke on="f"/>
              <v:imagedata o:title=""/>
              <o:lock v:ext="edit" aspectratio="f"/>
              <v:textbox inset="0mm,0mm,0mm,0mm" style="mso-fit-shape-to-text:t;">
                <w:txbxContent>
                  <w:p w14:paraId="215F4AFE">
                    <w:pPr>
                      <w:pStyle w:val="11"/>
                      <w:rPr>
                        <w:rFonts w:hint="default" w:ascii="宋体" w:eastAsia="宋体"/>
                        <w:sz w:val="18"/>
                        <w:szCs w:val="18"/>
                      </w:rPr>
                    </w:pPr>
                    <w:r>
                      <w:rPr>
                        <w:rFonts w:hint="default" w:ascii="宋体" w:eastAsia="宋体"/>
                        <w:sz w:val="18"/>
                        <w:szCs w:val="18"/>
                      </w:rPr>
                      <w:t>1</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545ECC">
    <w:pPr>
      <w:pStyle w:val="11"/>
      <w:tabs>
        <w:tab w:val="clear" w:pos="4153"/>
      </w:tabs>
      <w:jc w:val="center"/>
      <w:rPr>
        <w:rFonts w:hint="eastAsia"/>
        <w:sz w:val="18"/>
        <w:szCs w:val="18"/>
      </w:rPr>
    </w:pPr>
    <w:r>
      <w:rPr>
        <w:rFonts w:hint="default" w:eastAsia="宋体"/>
        <w:sz w:val="18"/>
        <w:szCs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335D823">
                          <w:pPr>
                            <w:pStyle w:val="11"/>
                            <w:rPr>
                              <w:rFonts w:hint="eastAsia"/>
                              <w:sz w:val="18"/>
                              <w:szCs w:val="18"/>
                            </w:rPr>
                          </w:pPr>
                          <w:r>
                            <w:rPr>
                              <w:rFonts w:hint="eastAsia"/>
                              <w:sz w:val="18"/>
                              <w:szCs w:val="18"/>
                            </w:rPr>
                            <w:fldChar w:fldCharType="begin"/>
                          </w:r>
                          <w:r>
                            <w:rPr>
                              <w:rFonts w:hint="eastAsia"/>
                              <w:sz w:val="18"/>
                              <w:szCs w:val="18"/>
                            </w:rPr>
                            <w:instrText xml:space="preserve"> PAGE  \* MERGEFORMAT </w:instrText>
                          </w:r>
                          <w:r>
                            <w:rPr>
                              <w:rFonts w:hint="eastAsia"/>
                              <w:sz w:val="18"/>
                              <w:szCs w:val="18"/>
                            </w:rPr>
                            <w:fldChar w:fldCharType="separate"/>
                          </w:r>
                          <w:r>
                            <w:rPr>
                              <w:rFonts w:hint="eastAsia"/>
                              <w:sz w:val="18"/>
                              <w:szCs w:val="18"/>
                            </w:rPr>
                            <w:t>1</w:t>
                          </w:r>
                          <w:r>
                            <w:rPr>
                              <w:rFonts w:hint="eastAsia"/>
                              <w:sz w:val="18"/>
                              <w:szCs w:val="18"/>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naByc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M&#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p2gcnIAQAAmQMAAA4AAAAAAAAAAQAgAAAAHgEAAGRycy9lMm9Eb2Mu&#10;eG1sUEsFBgAAAAAGAAYAWQEAAFgFAAAAAA==&#10;">
              <v:fill on="f" focussize="0,0"/>
              <v:stroke on="f"/>
              <v:imagedata o:title=""/>
              <o:lock v:ext="edit" aspectratio="f"/>
              <v:textbox inset="0mm,0mm,0mm,0mm" style="mso-fit-shape-to-text:t;">
                <w:txbxContent>
                  <w:p w14:paraId="0335D823">
                    <w:pPr>
                      <w:pStyle w:val="11"/>
                      <w:rPr>
                        <w:rFonts w:hint="eastAsia"/>
                        <w:sz w:val="18"/>
                        <w:szCs w:val="18"/>
                      </w:rPr>
                    </w:pPr>
                    <w:r>
                      <w:rPr>
                        <w:rFonts w:hint="eastAsia"/>
                        <w:sz w:val="18"/>
                        <w:szCs w:val="18"/>
                      </w:rPr>
                      <w:fldChar w:fldCharType="begin"/>
                    </w:r>
                    <w:r>
                      <w:rPr>
                        <w:rFonts w:hint="eastAsia"/>
                        <w:sz w:val="18"/>
                        <w:szCs w:val="18"/>
                      </w:rPr>
                      <w:instrText xml:space="preserve"> PAGE  \* MERGEFORMAT </w:instrText>
                    </w:r>
                    <w:r>
                      <w:rPr>
                        <w:rFonts w:hint="eastAsia"/>
                        <w:sz w:val="18"/>
                        <w:szCs w:val="18"/>
                      </w:rPr>
                      <w:fldChar w:fldCharType="separate"/>
                    </w:r>
                    <w:r>
                      <w:rPr>
                        <w:rFonts w:hint="eastAsia"/>
                        <w:sz w:val="18"/>
                        <w:szCs w:val="18"/>
                      </w:rPr>
                      <w:t>1</w:t>
                    </w:r>
                    <w:r>
                      <w:rPr>
                        <w:rFonts w:hint="eastAsia"/>
                        <w:sz w:val="18"/>
                        <w:szCs w:val="18"/>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F5E5AD">
    <w:pPr>
      <w:pStyle w:val="11"/>
      <w:tabs>
        <w:tab w:val="left" w:pos="5360"/>
        <w:tab w:val="clear" w:pos="4153"/>
      </w:tabs>
      <w:rPr>
        <w:rFonts w:hint="default" w:ascii="宋体" w:eastAsia="宋体"/>
        <w:sz w:val="18"/>
        <w:szCs w:val="18"/>
      </w:rPr>
    </w:pPr>
    <w:r>
      <w:rPr>
        <w:rFonts w:hint="default" w:eastAsia="宋体"/>
        <w:sz w:val="18"/>
        <w:szCs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586B9AC">
                          <w:pPr>
                            <w:pStyle w:val="11"/>
                            <w:rPr>
                              <w:rFonts w:hint="eastAsia"/>
                              <w:sz w:val="18"/>
                              <w:szCs w:val="18"/>
                            </w:rPr>
                          </w:pPr>
                          <w:r>
                            <w:rPr>
                              <w:rFonts w:hint="eastAsia"/>
                              <w:sz w:val="18"/>
                              <w:szCs w:val="18"/>
                            </w:rPr>
                            <w:fldChar w:fldCharType="begin"/>
                          </w:r>
                          <w:r>
                            <w:rPr>
                              <w:rFonts w:hint="eastAsia"/>
                              <w:sz w:val="18"/>
                              <w:szCs w:val="18"/>
                            </w:rPr>
                            <w:instrText xml:space="preserve"> PAGE  \* MERGEFORMAT </w:instrText>
                          </w:r>
                          <w:r>
                            <w:rPr>
                              <w:rFonts w:hint="eastAsia"/>
                              <w:sz w:val="18"/>
                              <w:szCs w:val="18"/>
                            </w:rPr>
                            <w:fldChar w:fldCharType="separate"/>
                          </w:r>
                          <w:r>
                            <w:rPr>
                              <w:rFonts w:hint="eastAsia"/>
                              <w:sz w:val="18"/>
                              <w:szCs w:val="18"/>
                            </w:rPr>
                            <w:t>4</w:t>
                          </w:r>
                          <w:r>
                            <w:rPr>
                              <w:rFonts w:hint="eastAsia"/>
                              <w:sz w:val="18"/>
                              <w:szCs w:val="18"/>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1YkckBAACZ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Z1U&#10;qT29hxqzHj3mxeGDG3BpZj+gM6keZDDpi3oIxrG5p0tzxRAJT49W1WpVYohjbL4gfvH03AeIH4Uz&#10;JBkNDTi93FR2vIc4ps4pqZp1d0rrPEFt/3EgZvIUifvIMVlx2A2ToJ1rT6inx8E31OKeU6I/Wexr&#10;2pHZCLOxm42DD2rfIbVl5gX+9hCRROaWKoywU2GcWFY3bVdaief3nPX0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3ViRyQEAAJkDAAAOAAAAAAAAAAEAIAAAAB4BAABkcnMvZTJvRG9j&#10;LnhtbFBLBQYAAAAABgAGAFkBAABZBQAAAAA=&#10;">
              <v:fill on="f" focussize="0,0"/>
              <v:stroke on="f"/>
              <v:imagedata o:title=""/>
              <o:lock v:ext="edit" aspectratio="f"/>
              <v:textbox inset="0mm,0mm,0mm,0mm" style="mso-fit-shape-to-text:t;">
                <w:txbxContent>
                  <w:p w14:paraId="4586B9AC">
                    <w:pPr>
                      <w:pStyle w:val="11"/>
                      <w:rPr>
                        <w:rFonts w:hint="eastAsia"/>
                        <w:sz w:val="18"/>
                        <w:szCs w:val="18"/>
                      </w:rPr>
                    </w:pPr>
                    <w:r>
                      <w:rPr>
                        <w:rFonts w:hint="eastAsia"/>
                        <w:sz w:val="18"/>
                        <w:szCs w:val="18"/>
                      </w:rPr>
                      <w:fldChar w:fldCharType="begin"/>
                    </w:r>
                    <w:r>
                      <w:rPr>
                        <w:rFonts w:hint="eastAsia"/>
                        <w:sz w:val="18"/>
                        <w:szCs w:val="18"/>
                      </w:rPr>
                      <w:instrText xml:space="preserve"> PAGE  \* MERGEFORMAT </w:instrText>
                    </w:r>
                    <w:r>
                      <w:rPr>
                        <w:rFonts w:hint="eastAsia"/>
                        <w:sz w:val="18"/>
                        <w:szCs w:val="18"/>
                      </w:rPr>
                      <w:fldChar w:fldCharType="separate"/>
                    </w:r>
                    <w:r>
                      <w:rPr>
                        <w:rFonts w:hint="eastAsia"/>
                        <w:sz w:val="18"/>
                        <w:szCs w:val="18"/>
                      </w:rPr>
                      <w:t>4</w:t>
                    </w:r>
                    <w:r>
                      <w:rPr>
                        <w:rFonts w:hint="eastAsia"/>
                        <w:sz w:val="18"/>
                        <w:szCs w:val="18"/>
                      </w:rPr>
                      <w:fldChar w:fldCharType="end"/>
                    </w:r>
                  </w:p>
                </w:txbxContent>
              </v:textbox>
            </v:shape>
          </w:pict>
        </mc:Fallback>
      </mc:AlternateContent>
    </w:r>
    <w:r>
      <w:rPr>
        <w:rFonts w:hint="default" w:eastAsia="宋体"/>
        <w:sz w:val="18"/>
        <w:szCs w:val="18"/>
      </w:rPr>
      <mc:AlternateContent>
        <mc:Choice Requires="wps">
          <w:drawing>
            <wp:anchor distT="0" distB="0" distL="114300" distR="114300" simplePos="0" relativeHeight="251666432" behindDoc="0" locked="0" layoutInCell="1" allowOverlap="1">
              <wp:simplePos x="0" y="0"/>
              <wp:positionH relativeFrom="margin">
                <wp:posOffset>2694305</wp:posOffset>
              </wp:positionH>
              <wp:positionV relativeFrom="paragraph">
                <wp:posOffset>-1270</wp:posOffset>
              </wp:positionV>
              <wp:extent cx="76200" cy="153035"/>
              <wp:effectExtent l="0" t="0" r="0" b="0"/>
              <wp:wrapNone/>
              <wp:docPr id="3" name="文本框 3"/>
              <wp:cNvGraphicFramePr/>
              <a:graphic xmlns:a="http://schemas.openxmlformats.org/drawingml/2006/main">
                <a:graphicData uri="http://schemas.microsoft.com/office/word/2010/wordprocessingShape">
                  <wps:wsp>
                    <wps:cNvSpPr txBox="1"/>
                    <wps:spPr>
                      <a:xfrm>
                        <a:off x="0" y="0"/>
                        <a:ext cx="76200" cy="153035"/>
                      </a:xfrm>
                      <a:prstGeom prst="rect">
                        <a:avLst/>
                      </a:prstGeom>
                      <a:noFill/>
                      <a:ln>
                        <a:noFill/>
                      </a:ln>
                    </wps:spPr>
                    <wps:txbx>
                      <w:txbxContent>
                        <w:p w14:paraId="5F06DF5E">
                          <w:pPr>
                            <w:rPr>
                              <w:rFonts w:hint="eastAsia"/>
                              <w:sz w:val="21"/>
                              <w:szCs w:val="24"/>
                            </w:rPr>
                          </w:pPr>
                        </w:p>
                      </w:txbxContent>
                    </wps:txbx>
                    <wps:bodyPr lIns="0" tIns="0" rIns="0" bIns="0" upright="1"/>
                  </wps:wsp>
                </a:graphicData>
              </a:graphic>
            </wp:anchor>
          </w:drawing>
        </mc:Choice>
        <mc:Fallback>
          <w:pict>
            <v:shape id="_x0000_s1026" o:spid="_x0000_s1026" o:spt="202" type="#_x0000_t202" style="position:absolute;left:0pt;margin-left:212.15pt;margin-top:-0.1pt;height:12.05pt;width:6pt;mso-position-horizontal-relative:margin;z-index:251666432;mso-width-relative:page;mso-height-relative:page;" filled="f" stroked="f" coordsize="21600,21600" o:gfxdata="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PEuyF3XAAAACAEAAA8AAAAAAAAAAQAgAAAAIgAAAGRycy9kb3ducmV2LnhtbFBLAQIUABQA&#10;AAAIAIdO4kAmSBOBuAEAAHADAAAOAAAAAAAAAAEAIAAAACYBAABkcnMvZTJvRG9jLnhtbFBLBQYA&#10;AAAABgAGAFkBAABQBQAAAAA=&#10;">
              <v:fill on="f" focussize="0,0"/>
              <v:stroke on="f"/>
              <v:imagedata o:title=""/>
              <o:lock v:ext="edit" aspectratio="f"/>
              <v:textbox inset="0mm,0mm,0mm,0mm">
                <w:txbxContent>
                  <w:p w14:paraId="5F06DF5E">
                    <w:pPr>
                      <w:rPr>
                        <w:rFonts w:hint="eastAsia"/>
                        <w:sz w:val="21"/>
                        <w:szCs w:val="24"/>
                      </w:rPr>
                    </w:pPr>
                  </w:p>
                </w:txbxContent>
              </v:textbox>
            </v:shape>
          </w:pict>
        </mc:Fallback>
      </mc:AlternateContent>
    </w:r>
    <w:r>
      <w:rPr>
        <w:rFonts w:hint="default" w:eastAsia="宋体"/>
        <w:sz w:val="18"/>
        <w:szCs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7B12BC9">
                          <w:pPr>
                            <w:pStyle w:val="11"/>
                            <w:rPr>
                              <w:rFonts w:hint="default" w:ascii="宋体" w:eastAsia="宋体"/>
                              <w:sz w:val="18"/>
                              <w:szCs w:val="18"/>
                            </w:rPr>
                          </w:pP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NtHS6/IAQAAmQMAAA4AAAAAAAAAAQAgAAAAHgEAAGRycy9lMm9Eb2Mu&#10;eG1sUEsFBgAAAAAGAAYAWQEAAFgFAAAAAA==&#10;">
              <v:fill on="f" focussize="0,0"/>
              <v:stroke on="f"/>
              <v:imagedata o:title=""/>
              <o:lock v:ext="edit" aspectratio="f"/>
              <v:textbox inset="0mm,0mm,0mm,0mm" style="mso-fit-shape-to-text:t;">
                <w:txbxContent>
                  <w:p w14:paraId="77B12BC9">
                    <w:pPr>
                      <w:pStyle w:val="11"/>
                      <w:rPr>
                        <w:rFonts w:hint="default" w:ascii="宋体" w:eastAsia="宋体"/>
                        <w:sz w:val="18"/>
                        <w:szCs w:val="18"/>
                      </w:rPr>
                    </w:pP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A2260F">
    <w:pPr>
      <w:spacing w:line="192" w:lineRule="auto"/>
      <w:ind w:left="4246"/>
      <w:rPr>
        <w:rFonts w:hint="default" w:ascii="宋体" w:hAnsi="宋体" w:eastAsia="宋体" w:cs="宋体"/>
        <w:sz w:val="17"/>
        <w:szCs w:val="17"/>
      </w:rPr>
    </w:pPr>
    <w:r>
      <w:rPr>
        <w:rFonts w:hint="default" w:eastAsia="宋体"/>
        <w:sz w:val="17"/>
        <w:szCs w:val="24"/>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936E983">
                          <w:pPr>
                            <w:pStyle w:val="11"/>
                            <w:rPr>
                              <w:rFonts w:hint="eastAsia"/>
                              <w:sz w:val="18"/>
                              <w:szCs w:val="18"/>
                            </w:rPr>
                          </w:pPr>
                          <w:r>
                            <w:rPr>
                              <w:rFonts w:hint="eastAsia"/>
                              <w:sz w:val="18"/>
                              <w:szCs w:val="18"/>
                            </w:rPr>
                            <w:fldChar w:fldCharType="begin"/>
                          </w:r>
                          <w:r>
                            <w:rPr>
                              <w:rFonts w:hint="eastAsia"/>
                              <w:sz w:val="18"/>
                              <w:szCs w:val="18"/>
                            </w:rPr>
                            <w:instrText xml:space="preserve"> PAGE  \* MERGEFORMAT </w:instrText>
                          </w:r>
                          <w:r>
                            <w:rPr>
                              <w:rFonts w:hint="eastAsia"/>
                              <w:sz w:val="18"/>
                              <w:szCs w:val="18"/>
                            </w:rPr>
                            <w:fldChar w:fldCharType="separate"/>
                          </w:r>
                          <w:r>
                            <w:rPr>
                              <w:rFonts w:hint="eastAsia"/>
                              <w:sz w:val="18"/>
                              <w:szCs w:val="18"/>
                            </w:rPr>
                            <w:t>62</w:t>
                          </w:r>
                          <w:r>
                            <w:rPr>
                              <w:rFonts w:hint="eastAsia"/>
                              <w:sz w:val="18"/>
                              <w:szCs w:val="18"/>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LTlVlyQEAAJsDAAAOAAAAAAAAAAEAIAAAAB4BAABkcnMvZTJvRG9j&#10;LnhtbFBLBQYAAAAABgAGAFkBAABZBQAAAAA=&#10;">
              <v:fill on="f" focussize="0,0"/>
              <v:stroke on="f"/>
              <v:imagedata o:title=""/>
              <o:lock v:ext="edit" aspectratio="f"/>
              <v:textbox inset="0mm,0mm,0mm,0mm" style="mso-fit-shape-to-text:t;">
                <w:txbxContent>
                  <w:p w14:paraId="0936E983">
                    <w:pPr>
                      <w:pStyle w:val="11"/>
                      <w:rPr>
                        <w:rFonts w:hint="eastAsia"/>
                        <w:sz w:val="18"/>
                        <w:szCs w:val="18"/>
                      </w:rPr>
                    </w:pPr>
                    <w:r>
                      <w:rPr>
                        <w:rFonts w:hint="eastAsia"/>
                        <w:sz w:val="18"/>
                        <w:szCs w:val="18"/>
                      </w:rPr>
                      <w:fldChar w:fldCharType="begin"/>
                    </w:r>
                    <w:r>
                      <w:rPr>
                        <w:rFonts w:hint="eastAsia"/>
                        <w:sz w:val="18"/>
                        <w:szCs w:val="18"/>
                      </w:rPr>
                      <w:instrText xml:space="preserve"> PAGE  \* MERGEFORMAT </w:instrText>
                    </w:r>
                    <w:r>
                      <w:rPr>
                        <w:rFonts w:hint="eastAsia"/>
                        <w:sz w:val="18"/>
                        <w:szCs w:val="18"/>
                      </w:rPr>
                      <w:fldChar w:fldCharType="separate"/>
                    </w:r>
                    <w:r>
                      <w:rPr>
                        <w:rFonts w:hint="eastAsia"/>
                        <w:sz w:val="18"/>
                        <w:szCs w:val="18"/>
                      </w:rPr>
                      <w:t>62</w:t>
                    </w:r>
                    <w:r>
                      <w:rPr>
                        <w:rFonts w:hint="eastAsia"/>
                        <w:sz w:val="18"/>
                        <w:szCs w:val="18"/>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44EADE">
    <w:pPr>
      <w:pStyle w:val="11"/>
      <w:ind w:left="420" w:hanging="420"/>
      <w:jc w:val="center"/>
      <w:rPr>
        <w:rFonts w:hint="eastAsia"/>
        <w:sz w:val="18"/>
        <w:szCs w:val="18"/>
      </w:rPr>
    </w:pPr>
    <w:r>
      <w:rPr>
        <w:rFonts w:hint="default" w:eastAsia="宋体"/>
        <w:sz w:val="18"/>
        <w:szCs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D137D16">
                          <w:pPr>
                            <w:pStyle w:val="11"/>
                            <w:ind w:left="420" w:hanging="420"/>
                            <w:jc w:val="center"/>
                            <w:rPr>
                              <w:rFonts w:hint="eastAsia"/>
                              <w:sz w:val="18"/>
                              <w:szCs w:val="18"/>
                            </w:rPr>
                          </w:pPr>
                          <w:r>
                            <w:rPr>
                              <w:rFonts w:hint="eastAsia"/>
                              <w:sz w:val="18"/>
                              <w:szCs w:val="18"/>
                            </w:rPr>
                            <w:fldChar w:fldCharType="begin"/>
                          </w:r>
                          <w:r>
                            <w:rPr>
                              <w:rFonts w:hint="eastAsia"/>
                              <w:sz w:val="18"/>
                              <w:szCs w:val="18"/>
                            </w:rPr>
                            <w:instrText xml:space="preserve"> PAGE  \* MERGEFORMAT </w:instrText>
                          </w:r>
                          <w:r>
                            <w:rPr>
                              <w:rFonts w:hint="eastAsia"/>
                              <w:sz w:val="18"/>
                              <w:szCs w:val="18"/>
                            </w:rPr>
                            <w:fldChar w:fldCharType="separate"/>
                          </w:r>
                          <w:r>
                            <w:rPr>
                              <w:rFonts w:hint="eastAsia"/>
                              <w:sz w:val="18"/>
                              <w:szCs w:val="18"/>
                            </w:rPr>
                            <w:t>73</w:t>
                          </w:r>
                          <w:r>
                            <w:rPr>
                              <w:rFonts w:hint="eastAsia"/>
                              <w:sz w:val="18"/>
                              <w:szCs w:val="18"/>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BjLZC0yQEAAJsDAAAOAAAAAAAAAAEAIAAAAB4BAABkcnMvZTJvRG9j&#10;LnhtbFBLBQYAAAAABgAGAFkBAABZBQAAAAA=&#10;">
              <v:fill on="f" focussize="0,0"/>
              <v:stroke on="f"/>
              <v:imagedata o:title=""/>
              <o:lock v:ext="edit" aspectratio="f"/>
              <v:textbox inset="0mm,0mm,0mm,0mm" style="mso-fit-shape-to-text:t;">
                <w:txbxContent>
                  <w:p w14:paraId="0D137D16">
                    <w:pPr>
                      <w:pStyle w:val="11"/>
                      <w:ind w:left="420" w:hanging="420"/>
                      <w:jc w:val="center"/>
                      <w:rPr>
                        <w:rFonts w:hint="eastAsia"/>
                        <w:sz w:val="18"/>
                        <w:szCs w:val="18"/>
                      </w:rPr>
                    </w:pPr>
                    <w:r>
                      <w:rPr>
                        <w:rFonts w:hint="eastAsia"/>
                        <w:sz w:val="18"/>
                        <w:szCs w:val="18"/>
                      </w:rPr>
                      <w:fldChar w:fldCharType="begin"/>
                    </w:r>
                    <w:r>
                      <w:rPr>
                        <w:rFonts w:hint="eastAsia"/>
                        <w:sz w:val="18"/>
                        <w:szCs w:val="18"/>
                      </w:rPr>
                      <w:instrText xml:space="preserve"> PAGE  \* MERGEFORMAT </w:instrText>
                    </w:r>
                    <w:r>
                      <w:rPr>
                        <w:rFonts w:hint="eastAsia"/>
                        <w:sz w:val="18"/>
                        <w:szCs w:val="18"/>
                      </w:rPr>
                      <w:fldChar w:fldCharType="separate"/>
                    </w:r>
                    <w:r>
                      <w:rPr>
                        <w:rFonts w:hint="eastAsia"/>
                        <w:sz w:val="18"/>
                        <w:szCs w:val="18"/>
                      </w:rPr>
                      <w:t>73</w:t>
                    </w:r>
                    <w:r>
                      <w:rPr>
                        <w:rFonts w:hint="eastAsia"/>
                        <w:sz w:val="18"/>
                        <w:szCs w:val="18"/>
                      </w:rPr>
                      <w:fldChar w:fldCharType="end"/>
                    </w:r>
                  </w:p>
                </w:txbxContent>
              </v:textbox>
            </v:shape>
          </w:pict>
        </mc:Fallback>
      </mc:AlternateContent>
    </w:r>
  </w:p>
  <w:p w14:paraId="0D2A0EE3">
    <w:pPr>
      <w:pStyle w:val="11"/>
      <w:ind w:left="420" w:hanging="420"/>
      <w:rPr>
        <w:rFonts w:hint="eastAsia"/>
        <w:sz w:val="18"/>
        <w:szCs w:val="18"/>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CE14B7">
    <w:pPr>
      <w:pStyle w:val="11"/>
      <w:jc w:val="center"/>
      <w:rPr>
        <w:rFonts w:hint="eastAsia"/>
        <w:sz w:val="18"/>
        <w:szCs w:val="18"/>
      </w:rPr>
    </w:pPr>
    <w:r>
      <w:rPr>
        <w:rFonts w:hint="default" w:eastAsia="宋体"/>
        <w:sz w:val="18"/>
        <w:szCs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A5F43E1">
                          <w:pPr>
                            <w:pStyle w:val="11"/>
                            <w:rPr>
                              <w:rFonts w:hint="eastAsia"/>
                              <w:sz w:val="18"/>
                              <w:szCs w:val="18"/>
                            </w:rPr>
                          </w:pPr>
                          <w:r>
                            <w:rPr>
                              <w:rFonts w:hint="eastAsia"/>
                              <w:sz w:val="18"/>
                              <w:szCs w:val="18"/>
                            </w:rPr>
                            <w:fldChar w:fldCharType="begin"/>
                          </w:r>
                          <w:r>
                            <w:rPr>
                              <w:rFonts w:hint="eastAsia"/>
                              <w:sz w:val="18"/>
                              <w:szCs w:val="18"/>
                            </w:rPr>
                            <w:instrText xml:space="preserve"> PAGE  \* MERGEFORMAT </w:instrText>
                          </w:r>
                          <w:r>
                            <w:rPr>
                              <w:rFonts w:hint="eastAsia"/>
                              <w:sz w:val="18"/>
                              <w:szCs w:val="18"/>
                            </w:rPr>
                            <w:fldChar w:fldCharType="separate"/>
                          </w:r>
                          <w:r>
                            <w:rPr>
                              <w:rFonts w:hint="eastAsia"/>
                              <w:sz w:val="18"/>
                              <w:szCs w:val="18"/>
                            </w:rPr>
                            <w:t>107</w:t>
                          </w:r>
                          <w:r>
                            <w:rPr>
                              <w:rFonts w:hint="eastAsia"/>
                              <w:sz w:val="18"/>
                              <w:szCs w:val="18"/>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a9nRcgBAACbAwAADgAAAGRycy9lMm9Eb2MueG1srVPNjtMwEL4j8Q6W&#10;79RpD6iKmq4WVYuQECAtPIDr2I0l/8njNukLwBtw4sKd5+pzMHaS7rJc9rCXZDwz+eb7vnE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m4CWOG5x45efPy6//lx+fyeY&#10;Q4P6ADX23QfsTMM7P2DznAdMZt2Dija/URHBOmKdr/bKIRGRP1qv1usKSwJr8wHx2cPnIUJ6L70l&#10;OWhoxP0VW/npI6SxdW7J05y/08aUHRr3TwIxc4Zl7iPHHKVhP0yC9r49o54eV99QhzedEvPBobPI&#10;L81BnIP9HBxD1IcOqS0LLwi3x4QkCrc8YYSdBuPOirrpfuVL8fhcuh7+qe1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EGvZ0XIAQAAmwMAAA4AAAAAAAAAAQAgAAAAHgEAAGRycy9lMm9Eb2Mu&#10;eG1sUEsFBgAAAAAGAAYAWQEAAFgFAAAAAA==&#10;">
              <v:fill on="f" focussize="0,0"/>
              <v:stroke on="f"/>
              <v:imagedata o:title=""/>
              <o:lock v:ext="edit" aspectratio="f"/>
              <v:textbox inset="0mm,0mm,0mm,0mm" style="mso-fit-shape-to-text:t;">
                <w:txbxContent>
                  <w:p w14:paraId="3A5F43E1">
                    <w:pPr>
                      <w:pStyle w:val="11"/>
                      <w:rPr>
                        <w:rFonts w:hint="eastAsia"/>
                        <w:sz w:val="18"/>
                        <w:szCs w:val="18"/>
                      </w:rPr>
                    </w:pPr>
                    <w:r>
                      <w:rPr>
                        <w:rFonts w:hint="eastAsia"/>
                        <w:sz w:val="18"/>
                        <w:szCs w:val="18"/>
                      </w:rPr>
                      <w:fldChar w:fldCharType="begin"/>
                    </w:r>
                    <w:r>
                      <w:rPr>
                        <w:rFonts w:hint="eastAsia"/>
                        <w:sz w:val="18"/>
                        <w:szCs w:val="18"/>
                      </w:rPr>
                      <w:instrText xml:space="preserve"> PAGE  \* MERGEFORMAT </w:instrText>
                    </w:r>
                    <w:r>
                      <w:rPr>
                        <w:rFonts w:hint="eastAsia"/>
                        <w:sz w:val="18"/>
                        <w:szCs w:val="18"/>
                      </w:rPr>
                      <w:fldChar w:fldCharType="separate"/>
                    </w:r>
                    <w:r>
                      <w:rPr>
                        <w:rFonts w:hint="eastAsia"/>
                        <w:sz w:val="18"/>
                        <w:szCs w:val="18"/>
                      </w:rPr>
                      <w:t>107</w:t>
                    </w:r>
                    <w:r>
                      <w:rPr>
                        <w:rFonts w:hint="eastAsia"/>
                        <w:sz w:val="18"/>
                        <w:szCs w:val="18"/>
                      </w:rPr>
                      <w:fldChar w:fldCharType="end"/>
                    </w:r>
                  </w:p>
                </w:txbxContent>
              </v:textbox>
            </v:shape>
          </w:pict>
        </mc:Fallback>
      </mc:AlternateContent>
    </w:r>
  </w:p>
  <w:p w14:paraId="04B2BFAA">
    <w:pPr>
      <w:pStyle w:val="11"/>
      <w:rPr>
        <w:rFonts w:hint="eastAsia"/>
        <w:sz w:val="18"/>
        <w:szCs w:val="18"/>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B869AD">
    <w:pPr>
      <w:pStyle w:val="12"/>
      <w:jc w:val="both"/>
      <w:rPr>
        <w:rFonts w:hint="eastAsia"/>
        <w:sz w:val="18"/>
        <w:szCs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51BB9D">
    <w:pPr>
      <w:pStyle w:val="12"/>
      <w:rPr>
        <w:rFonts w:hint="eastAsia"/>
        <w:sz w:val="18"/>
        <w:szCs w:val="1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00B979">
    <w:pPr>
      <w:pStyle w:val="12"/>
      <w:jc w:val="both"/>
      <w:rPr>
        <w:rFonts w:hint="eastAsia"/>
        <w:sz w:val="18"/>
        <w:szCs w:val="18"/>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9ECB91">
    <w:pPr>
      <w:pStyle w:val="12"/>
      <w:pBdr>
        <w:bottom w:val="none" w:color="auto" w:sz="0" w:space="0"/>
      </w:pBdr>
      <w:rPr>
        <w:rFonts w:hint="eastAsia"/>
        <w:sz w:val="18"/>
        <w:szCs w:val="18"/>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24F7B3">
    <w:pPr>
      <w:pStyle w:val="12"/>
      <w:pBdr>
        <w:bottom w:val="none" w:color="auto" w:sz="0" w:space="0"/>
      </w:pBdr>
      <w:rPr>
        <w:rFonts w:hint="eastAsia"/>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52DC69"/>
    <w:multiLevelType w:val="multilevel"/>
    <w:tmpl w:val="8752DC69"/>
    <w:lvl w:ilvl="0" w:tentative="0">
      <w:start w:val="2"/>
      <w:numFmt w:val="chineseCounting"/>
      <w:suff w:val="nothing"/>
      <w:lvlText w:val="%1、"/>
      <w:lvlJc w:val="left"/>
      <w:rPr>
        <w:rFonts w:hint="default"/>
        <w:u w:val="none" w:color="auto"/>
      </w:rPr>
    </w:lvl>
    <w:lvl w:ilvl="1" w:tentative="0">
      <w:start w:val="1"/>
      <w:numFmt w:val="decimal"/>
      <w:lvlText w:val=""/>
      <w:lvlJc w:val="left"/>
      <w:rPr>
        <w:rFonts w:hint="default"/>
        <w:u w:val="none" w:color="auto"/>
      </w:rPr>
    </w:lvl>
    <w:lvl w:ilvl="2" w:tentative="0">
      <w:start w:val="1"/>
      <w:numFmt w:val="decimal"/>
      <w:lvlText w:val=""/>
      <w:lvlJc w:val="left"/>
      <w:rPr>
        <w:rFonts w:hint="default"/>
        <w:u w:val="none" w:color="auto"/>
      </w:rPr>
    </w:lvl>
    <w:lvl w:ilvl="3" w:tentative="0">
      <w:start w:val="1"/>
      <w:numFmt w:val="decimal"/>
      <w:lvlText w:val=""/>
      <w:lvlJc w:val="left"/>
      <w:rPr>
        <w:rFonts w:hint="default"/>
        <w:u w:val="none" w:color="auto"/>
      </w:rPr>
    </w:lvl>
    <w:lvl w:ilvl="4" w:tentative="0">
      <w:start w:val="1"/>
      <w:numFmt w:val="decimal"/>
      <w:lvlText w:val=""/>
      <w:lvlJc w:val="left"/>
      <w:rPr>
        <w:rFonts w:hint="default"/>
        <w:u w:val="none" w:color="auto"/>
      </w:rPr>
    </w:lvl>
    <w:lvl w:ilvl="5" w:tentative="0">
      <w:start w:val="1"/>
      <w:numFmt w:val="decimal"/>
      <w:lvlText w:val=""/>
      <w:lvlJc w:val="left"/>
      <w:rPr>
        <w:rFonts w:hint="default"/>
        <w:u w:val="none" w:color="auto"/>
      </w:rPr>
    </w:lvl>
    <w:lvl w:ilvl="6" w:tentative="0">
      <w:start w:val="1"/>
      <w:numFmt w:val="decimal"/>
      <w:lvlText w:val=""/>
      <w:lvlJc w:val="left"/>
      <w:rPr>
        <w:rFonts w:hint="default"/>
        <w:u w:val="none" w:color="auto"/>
      </w:rPr>
    </w:lvl>
    <w:lvl w:ilvl="7" w:tentative="0">
      <w:start w:val="1"/>
      <w:numFmt w:val="decimal"/>
      <w:lvlText w:val=""/>
      <w:lvlJc w:val="left"/>
      <w:rPr>
        <w:rFonts w:hint="default"/>
        <w:u w:val="none" w:color="auto"/>
      </w:rPr>
    </w:lvl>
    <w:lvl w:ilvl="8" w:tentative="0">
      <w:start w:val="1"/>
      <w:numFmt w:val="decimal"/>
      <w:lvlText w:val=""/>
      <w:lvlJc w:val="left"/>
      <w:rPr>
        <w:rFonts w:hint="default"/>
        <w:u w:val="none" w:color="auto"/>
      </w:rPr>
    </w:lvl>
  </w:abstractNum>
  <w:abstractNum w:abstractNumId="1">
    <w:nsid w:val="B4E02BC3"/>
    <w:multiLevelType w:val="multilevel"/>
    <w:tmpl w:val="B4E02BC3"/>
    <w:lvl w:ilvl="0" w:tentative="0">
      <w:start w:val="1"/>
      <w:numFmt w:val="decimal"/>
      <w:lvlText w:val="(%1)"/>
      <w:lvlJc w:val="left"/>
      <w:rPr>
        <w:rFonts w:hint="eastAsia" w:ascii="Times New Roman" w:hAnsi="Times New Roman" w:eastAsia="Times New Roman" w:cs="Times New Roman"/>
        <w:color w:val="000000"/>
        <w:szCs w:val="20"/>
        <w:u w:val="none" w:color="000000"/>
        <w:lang w:val="zh-CN" w:eastAsia="zh-CN" w:bidi="zh-CN"/>
      </w:rPr>
    </w:lvl>
    <w:lvl w:ilvl="1" w:tentative="0">
      <w:start w:val="1"/>
      <w:numFmt w:val="decimal"/>
      <w:lvlText w:val=""/>
      <w:lvlJc w:val="left"/>
      <w:rPr>
        <w:rFonts w:hint="default"/>
        <w:u w:val="none" w:color="auto"/>
      </w:rPr>
    </w:lvl>
    <w:lvl w:ilvl="2" w:tentative="0">
      <w:start w:val="1"/>
      <w:numFmt w:val="decimal"/>
      <w:lvlText w:val=""/>
      <w:lvlJc w:val="left"/>
      <w:rPr>
        <w:rFonts w:hint="default"/>
        <w:u w:val="none" w:color="auto"/>
      </w:rPr>
    </w:lvl>
    <w:lvl w:ilvl="3" w:tentative="0">
      <w:start w:val="1"/>
      <w:numFmt w:val="decimal"/>
      <w:lvlText w:val=""/>
      <w:lvlJc w:val="left"/>
      <w:rPr>
        <w:rFonts w:hint="default"/>
        <w:u w:val="none" w:color="auto"/>
      </w:rPr>
    </w:lvl>
    <w:lvl w:ilvl="4" w:tentative="0">
      <w:start w:val="1"/>
      <w:numFmt w:val="decimal"/>
      <w:lvlText w:val=""/>
      <w:lvlJc w:val="left"/>
      <w:rPr>
        <w:rFonts w:hint="default"/>
        <w:u w:val="none" w:color="auto"/>
      </w:rPr>
    </w:lvl>
    <w:lvl w:ilvl="5" w:tentative="0">
      <w:start w:val="1"/>
      <w:numFmt w:val="decimal"/>
      <w:lvlText w:val=""/>
      <w:lvlJc w:val="left"/>
      <w:rPr>
        <w:rFonts w:hint="default"/>
        <w:u w:val="none" w:color="auto"/>
      </w:rPr>
    </w:lvl>
    <w:lvl w:ilvl="6" w:tentative="0">
      <w:start w:val="1"/>
      <w:numFmt w:val="decimal"/>
      <w:lvlText w:val=""/>
      <w:lvlJc w:val="left"/>
      <w:rPr>
        <w:rFonts w:hint="default"/>
        <w:u w:val="none" w:color="auto"/>
      </w:rPr>
    </w:lvl>
    <w:lvl w:ilvl="7" w:tentative="0">
      <w:start w:val="1"/>
      <w:numFmt w:val="decimal"/>
      <w:lvlText w:val=""/>
      <w:lvlJc w:val="left"/>
      <w:rPr>
        <w:rFonts w:hint="default"/>
        <w:u w:val="none" w:color="auto"/>
      </w:rPr>
    </w:lvl>
    <w:lvl w:ilvl="8" w:tentative="0">
      <w:start w:val="1"/>
      <w:numFmt w:val="decimal"/>
      <w:lvlText w:val=""/>
      <w:lvlJc w:val="left"/>
      <w:rPr>
        <w:rFonts w:hint="default"/>
        <w:u w:val="none" w:color="auto"/>
      </w:rPr>
    </w:lvl>
  </w:abstractNum>
  <w:abstractNum w:abstractNumId="2">
    <w:nsid w:val="BD340616"/>
    <w:multiLevelType w:val="multilevel"/>
    <w:tmpl w:val="BD340616"/>
    <w:lvl w:ilvl="0" w:tentative="0">
      <w:start w:val="1"/>
      <w:numFmt w:val="decimal"/>
      <w:suff w:val="nothing"/>
      <w:lvlText w:val="（%1）"/>
      <w:lvlJc w:val="left"/>
      <w:rPr>
        <w:rFonts w:hint="default"/>
        <w:u w:val="none" w:color="auto"/>
      </w:rPr>
    </w:lvl>
    <w:lvl w:ilvl="1" w:tentative="0">
      <w:start w:val="1"/>
      <w:numFmt w:val="decimal"/>
      <w:lvlText w:val=""/>
      <w:lvlJc w:val="left"/>
      <w:rPr>
        <w:rFonts w:hint="default"/>
        <w:u w:val="none" w:color="auto"/>
      </w:rPr>
    </w:lvl>
    <w:lvl w:ilvl="2" w:tentative="0">
      <w:start w:val="1"/>
      <w:numFmt w:val="decimal"/>
      <w:lvlText w:val=""/>
      <w:lvlJc w:val="left"/>
      <w:rPr>
        <w:rFonts w:hint="default"/>
        <w:u w:val="none" w:color="auto"/>
      </w:rPr>
    </w:lvl>
    <w:lvl w:ilvl="3" w:tentative="0">
      <w:start w:val="1"/>
      <w:numFmt w:val="decimal"/>
      <w:lvlText w:val=""/>
      <w:lvlJc w:val="left"/>
      <w:rPr>
        <w:rFonts w:hint="default"/>
        <w:u w:val="none" w:color="auto"/>
      </w:rPr>
    </w:lvl>
    <w:lvl w:ilvl="4" w:tentative="0">
      <w:start w:val="1"/>
      <w:numFmt w:val="decimal"/>
      <w:lvlText w:val=""/>
      <w:lvlJc w:val="left"/>
      <w:rPr>
        <w:rFonts w:hint="default"/>
        <w:u w:val="none" w:color="auto"/>
      </w:rPr>
    </w:lvl>
    <w:lvl w:ilvl="5" w:tentative="0">
      <w:start w:val="1"/>
      <w:numFmt w:val="decimal"/>
      <w:lvlText w:val=""/>
      <w:lvlJc w:val="left"/>
      <w:rPr>
        <w:rFonts w:hint="default"/>
        <w:u w:val="none" w:color="auto"/>
      </w:rPr>
    </w:lvl>
    <w:lvl w:ilvl="6" w:tentative="0">
      <w:start w:val="1"/>
      <w:numFmt w:val="decimal"/>
      <w:lvlText w:val=""/>
      <w:lvlJc w:val="left"/>
      <w:rPr>
        <w:rFonts w:hint="default"/>
        <w:u w:val="none" w:color="auto"/>
      </w:rPr>
    </w:lvl>
    <w:lvl w:ilvl="7" w:tentative="0">
      <w:start w:val="1"/>
      <w:numFmt w:val="decimal"/>
      <w:lvlText w:val=""/>
      <w:lvlJc w:val="left"/>
      <w:rPr>
        <w:rFonts w:hint="default"/>
        <w:u w:val="none" w:color="auto"/>
      </w:rPr>
    </w:lvl>
    <w:lvl w:ilvl="8" w:tentative="0">
      <w:start w:val="1"/>
      <w:numFmt w:val="decimal"/>
      <w:lvlText w:val=""/>
      <w:lvlJc w:val="left"/>
      <w:rPr>
        <w:rFonts w:hint="default"/>
        <w:u w:val="none" w:color="auto"/>
      </w:rPr>
    </w:lvl>
  </w:abstractNum>
  <w:abstractNum w:abstractNumId="3">
    <w:nsid w:val="F8A6EC54"/>
    <w:multiLevelType w:val="multilevel"/>
    <w:tmpl w:val="F8A6EC54"/>
    <w:lvl w:ilvl="0" w:tentative="0">
      <w:start w:val="1"/>
      <w:numFmt w:val="decimal"/>
      <w:suff w:val="nothing"/>
      <w:lvlText w:val="（%1）"/>
      <w:lvlJc w:val="left"/>
      <w:rPr>
        <w:rFonts w:hint="default"/>
        <w:u w:val="none" w:color="auto"/>
      </w:rPr>
    </w:lvl>
    <w:lvl w:ilvl="1" w:tentative="0">
      <w:start w:val="1"/>
      <w:numFmt w:val="decimal"/>
      <w:lvlText w:val=""/>
      <w:lvlJc w:val="left"/>
      <w:rPr>
        <w:rFonts w:hint="default"/>
        <w:u w:val="none" w:color="auto"/>
      </w:rPr>
    </w:lvl>
    <w:lvl w:ilvl="2" w:tentative="0">
      <w:start w:val="1"/>
      <w:numFmt w:val="decimal"/>
      <w:lvlText w:val=""/>
      <w:lvlJc w:val="left"/>
      <w:rPr>
        <w:rFonts w:hint="default"/>
        <w:u w:val="none" w:color="auto"/>
      </w:rPr>
    </w:lvl>
    <w:lvl w:ilvl="3" w:tentative="0">
      <w:start w:val="1"/>
      <w:numFmt w:val="decimal"/>
      <w:lvlText w:val=""/>
      <w:lvlJc w:val="left"/>
      <w:rPr>
        <w:rFonts w:hint="default"/>
        <w:u w:val="none" w:color="auto"/>
      </w:rPr>
    </w:lvl>
    <w:lvl w:ilvl="4" w:tentative="0">
      <w:start w:val="1"/>
      <w:numFmt w:val="decimal"/>
      <w:lvlText w:val=""/>
      <w:lvlJc w:val="left"/>
      <w:rPr>
        <w:rFonts w:hint="default"/>
        <w:u w:val="none" w:color="auto"/>
      </w:rPr>
    </w:lvl>
    <w:lvl w:ilvl="5" w:tentative="0">
      <w:start w:val="1"/>
      <w:numFmt w:val="decimal"/>
      <w:lvlText w:val=""/>
      <w:lvlJc w:val="left"/>
      <w:rPr>
        <w:rFonts w:hint="default"/>
        <w:u w:val="none" w:color="auto"/>
      </w:rPr>
    </w:lvl>
    <w:lvl w:ilvl="6" w:tentative="0">
      <w:start w:val="1"/>
      <w:numFmt w:val="decimal"/>
      <w:lvlText w:val=""/>
      <w:lvlJc w:val="left"/>
      <w:rPr>
        <w:rFonts w:hint="default"/>
        <w:u w:val="none" w:color="auto"/>
      </w:rPr>
    </w:lvl>
    <w:lvl w:ilvl="7" w:tentative="0">
      <w:start w:val="1"/>
      <w:numFmt w:val="decimal"/>
      <w:lvlText w:val=""/>
      <w:lvlJc w:val="left"/>
      <w:rPr>
        <w:rFonts w:hint="default"/>
        <w:u w:val="none" w:color="auto"/>
      </w:rPr>
    </w:lvl>
    <w:lvl w:ilvl="8" w:tentative="0">
      <w:start w:val="1"/>
      <w:numFmt w:val="decimal"/>
      <w:lvlText w:val=""/>
      <w:lvlJc w:val="left"/>
      <w:rPr>
        <w:rFonts w:hint="default"/>
        <w:u w:val="none" w:color="auto"/>
      </w:rPr>
    </w:lvl>
  </w:abstractNum>
  <w:abstractNum w:abstractNumId="4">
    <w:nsid w:val="0000000B"/>
    <w:multiLevelType w:val="multilevel"/>
    <w:tmpl w:val="0000000B"/>
    <w:lvl w:ilvl="0" w:tentative="0">
      <w:start w:val="1"/>
      <w:numFmt w:val="decimal"/>
      <w:lvlText w:val="（%1）"/>
      <w:lvlJc w:val="left"/>
      <w:pPr>
        <w:tabs>
          <w:tab w:val="left" w:pos="1140"/>
        </w:tabs>
        <w:ind w:left="1140" w:hanging="720"/>
      </w:pPr>
      <w:rPr>
        <w:rFonts w:hint="default" w:ascii="宋体" w:hAnsi="宋体" w:eastAsia="宋体" w:cs="Times New Roman"/>
        <w:u w:val="none" w:color="auto"/>
      </w:rPr>
    </w:lvl>
    <w:lvl w:ilvl="1" w:tentative="0">
      <w:start w:val="1"/>
      <w:numFmt w:val="lowerLetter"/>
      <w:lvlText w:val="%2)"/>
      <w:lvlJc w:val="left"/>
      <w:pPr>
        <w:tabs>
          <w:tab w:val="left" w:pos="1260"/>
        </w:tabs>
        <w:ind w:left="1260" w:hanging="420"/>
      </w:pPr>
      <w:rPr>
        <w:rFonts w:hint="default"/>
        <w:u w:val="none" w:color="auto"/>
      </w:rPr>
    </w:lvl>
    <w:lvl w:ilvl="2" w:tentative="0">
      <w:start w:val="1"/>
      <w:numFmt w:val="lowerRoman"/>
      <w:lvlText w:val="%3."/>
      <w:lvlJc w:val="right"/>
      <w:pPr>
        <w:tabs>
          <w:tab w:val="left" w:pos="1680"/>
        </w:tabs>
        <w:ind w:left="1680" w:hanging="420"/>
      </w:pPr>
      <w:rPr>
        <w:rFonts w:hint="default"/>
        <w:u w:val="none" w:color="auto"/>
      </w:rPr>
    </w:lvl>
    <w:lvl w:ilvl="3" w:tentative="0">
      <w:start w:val="1"/>
      <w:numFmt w:val="decimal"/>
      <w:lvlText w:val="%4."/>
      <w:lvlJc w:val="left"/>
      <w:pPr>
        <w:tabs>
          <w:tab w:val="left" w:pos="2100"/>
        </w:tabs>
        <w:ind w:left="2100" w:hanging="420"/>
      </w:pPr>
      <w:rPr>
        <w:rFonts w:hint="default"/>
        <w:u w:val="none" w:color="auto"/>
      </w:rPr>
    </w:lvl>
    <w:lvl w:ilvl="4" w:tentative="0">
      <w:start w:val="1"/>
      <w:numFmt w:val="lowerLetter"/>
      <w:lvlText w:val="%5)"/>
      <w:lvlJc w:val="left"/>
      <w:pPr>
        <w:tabs>
          <w:tab w:val="left" w:pos="2520"/>
        </w:tabs>
        <w:ind w:left="2520" w:hanging="420"/>
      </w:pPr>
      <w:rPr>
        <w:rFonts w:hint="default"/>
        <w:u w:val="none" w:color="auto"/>
      </w:rPr>
    </w:lvl>
    <w:lvl w:ilvl="5" w:tentative="0">
      <w:start w:val="1"/>
      <w:numFmt w:val="lowerRoman"/>
      <w:lvlText w:val="%6."/>
      <w:lvlJc w:val="right"/>
      <w:pPr>
        <w:tabs>
          <w:tab w:val="left" w:pos="2940"/>
        </w:tabs>
        <w:ind w:left="2940" w:hanging="420"/>
      </w:pPr>
      <w:rPr>
        <w:rFonts w:hint="default"/>
        <w:u w:val="none" w:color="auto"/>
      </w:rPr>
    </w:lvl>
    <w:lvl w:ilvl="6" w:tentative="0">
      <w:start w:val="1"/>
      <w:numFmt w:val="decimal"/>
      <w:lvlText w:val="%7."/>
      <w:lvlJc w:val="left"/>
      <w:pPr>
        <w:tabs>
          <w:tab w:val="left" w:pos="3360"/>
        </w:tabs>
        <w:ind w:left="3360" w:hanging="420"/>
      </w:pPr>
      <w:rPr>
        <w:rFonts w:hint="default"/>
        <w:u w:val="none" w:color="auto"/>
      </w:rPr>
    </w:lvl>
    <w:lvl w:ilvl="7" w:tentative="0">
      <w:start w:val="1"/>
      <w:numFmt w:val="lowerLetter"/>
      <w:lvlText w:val="%8)"/>
      <w:lvlJc w:val="left"/>
      <w:pPr>
        <w:tabs>
          <w:tab w:val="left" w:pos="3780"/>
        </w:tabs>
        <w:ind w:left="3780" w:hanging="420"/>
      </w:pPr>
      <w:rPr>
        <w:rFonts w:hint="default"/>
        <w:u w:val="none" w:color="auto"/>
      </w:rPr>
    </w:lvl>
    <w:lvl w:ilvl="8" w:tentative="0">
      <w:start w:val="1"/>
      <w:numFmt w:val="lowerRoman"/>
      <w:lvlText w:val="%9."/>
      <w:lvlJc w:val="right"/>
      <w:pPr>
        <w:tabs>
          <w:tab w:val="left" w:pos="4200"/>
        </w:tabs>
        <w:ind w:left="4200" w:hanging="420"/>
      </w:pPr>
      <w:rPr>
        <w:rFonts w:hint="default"/>
        <w:u w:val="none" w:color="auto"/>
      </w:rPr>
    </w:lvl>
  </w:abstractNum>
  <w:abstractNum w:abstractNumId="5">
    <w:nsid w:val="07F5BCC3"/>
    <w:multiLevelType w:val="multilevel"/>
    <w:tmpl w:val="07F5BCC3"/>
    <w:lvl w:ilvl="0" w:tentative="0">
      <w:start w:val="1"/>
      <w:numFmt w:val="decimal"/>
      <w:lvlText w:val="%1."/>
      <w:lvlJc w:val="left"/>
      <w:rPr>
        <w:rFonts w:hint="eastAsia" w:ascii="Times New Roman" w:hAnsi="Times New Roman" w:eastAsia="Times New Roman" w:cs="Times New Roman"/>
        <w:color w:val="000000"/>
        <w:szCs w:val="20"/>
        <w:u w:val="none" w:color="000000"/>
        <w:lang w:val="en-US" w:eastAsia="en-US" w:bidi="en-US"/>
      </w:rPr>
    </w:lvl>
    <w:lvl w:ilvl="1" w:tentative="0">
      <w:start w:val="1"/>
      <w:numFmt w:val="decimal"/>
      <w:lvlText w:val=""/>
      <w:lvlJc w:val="left"/>
      <w:rPr>
        <w:rFonts w:hint="default"/>
        <w:u w:val="none" w:color="auto"/>
      </w:rPr>
    </w:lvl>
    <w:lvl w:ilvl="2" w:tentative="0">
      <w:start w:val="1"/>
      <w:numFmt w:val="decimal"/>
      <w:lvlText w:val=""/>
      <w:lvlJc w:val="left"/>
      <w:rPr>
        <w:rFonts w:hint="default"/>
        <w:u w:val="none" w:color="auto"/>
      </w:rPr>
    </w:lvl>
    <w:lvl w:ilvl="3" w:tentative="0">
      <w:start w:val="1"/>
      <w:numFmt w:val="decimal"/>
      <w:lvlText w:val=""/>
      <w:lvlJc w:val="left"/>
      <w:rPr>
        <w:rFonts w:hint="default"/>
        <w:u w:val="none" w:color="auto"/>
      </w:rPr>
    </w:lvl>
    <w:lvl w:ilvl="4" w:tentative="0">
      <w:start w:val="1"/>
      <w:numFmt w:val="decimal"/>
      <w:lvlText w:val=""/>
      <w:lvlJc w:val="left"/>
      <w:rPr>
        <w:rFonts w:hint="default"/>
        <w:u w:val="none" w:color="auto"/>
      </w:rPr>
    </w:lvl>
    <w:lvl w:ilvl="5" w:tentative="0">
      <w:start w:val="1"/>
      <w:numFmt w:val="decimal"/>
      <w:lvlText w:val=""/>
      <w:lvlJc w:val="left"/>
      <w:rPr>
        <w:rFonts w:hint="default"/>
        <w:u w:val="none" w:color="auto"/>
      </w:rPr>
    </w:lvl>
    <w:lvl w:ilvl="6" w:tentative="0">
      <w:start w:val="1"/>
      <w:numFmt w:val="decimal"/>
      <w:lvlText w:val=""/>
      <w:lvlJc w:val="left"/>
      <w:rPr>
        <w:rFonts w:hint="default"/>
        <w:u w:val="none" w:color="auto"/>
      </w:rPr>
    </w:lvl>
    <w:lvl w:ilvl="7" w:tentative="0">
      <w:start w:val="1"/>
      <w:numFmt w:val="decimal"/>
      <w:lvlText w:val=""/>
      <w:lvlJc w:val="left"/>
      <w:rPr>
        <w:rFonts w:hint="default"/>
        <w:u w:val="none" w:color="auto"/>
      </w:rPr>
    </w:lvl>
    <w:lvl w:ilvl="8" w:tentative="0">
      <w:start w:val="1"/>
      <w:numFmt w:val="decimal"/>
      <w:lvlText w:val=""/>
      <w:lvlJc w:val="left"/>
      <w:rPr>
        <w:rFonts w:hint="default"/>
        <w:u w:val="none" w:color="auto"/>
      </w:rPr>
    </w:lvl>
  </w:abstractNum>
  <w:abstractNum w:abstractNumId="6">
    <w:nsid w:val="098660CE"/>
    <w:multiLevelType w:val="singleLevel"/>
    <w:tmpl w:val="098660CE"/>
    <w:lvl w:ilvl="0" w:tentative="0">
      <w:start w:val="9"/>
      <w:numFmt w:val="decimal"/>
      <w:lvlText w:val="%1."/>
      <w:lvlJc w:val="left"/>
      <w:pPr>
        <w:tabs>
          <w:tab w:val="left" w:pos="312"/>
        </w:tabs>
      </w:pPr>
    </w:lvl>
  </w:abstractNum>
  <w:abstractNum w:abstractNumId="7">
    <w:nsid w:val="77633218"/>
    <w:multiLevelType w:val="multilevel"/>
    <w:tmpl w:val="77633218"/>
    <w:lvl w:ilvl="0" w:tentative="0">
      <w:start w:val="1"/>
      <w:numFmt w:val="decimal"/>
      <w:lvlText w:val="(%1)"/>
      <w:lvlJc w:val="left"/>
      <w:rPr>
        <w:rFonts w:hint="eastAsia" w:ascii="Times New Roman" w:hAnsi="Times New Roman" w:eastAsia="Times New Roman" w:cs="Times New Roman"/>
        <w:color w:val="000000"/>
        <w:szCs w:val="20"/>
        <w:u w:val="none" w:color="000000"/>
        <w:lang w:val="zh-CN" w:eastAsia="zh-CN" w:bidi="zh-CN"/>
      </w:rPr>
    </w:lvl>
    <w:lvl w:ilvl="1" w:tentative="0">
      <w:start w:val="1"/>
      <w:numFmt w:val="decimal"/>
      <w:lvlText w:val=""/>
      <w:lvlJc w:val="left"/>
      <w:rPr>
        <w:rFonts w:hint="default"/>
        <w:u w:val="none" w:color="auto"/>
      </w:rPr>
    </w:lvl>
    <w:lvl w:ilvl="2" w:tentative="0">
      <w:start w:val="1"/>
      <w:numFmt w:val="decimal"/>
      <w:lvlText w:val=""/>
      <w:lvlJc w:val="left"/>
      <w:rPr>
        <w:rFonts w:hint="default"/>
        <w:u w:val="none" w:color="auto"/>
      </w:rPr>
    </w:lvl>
    <w:lvl w:ilvl="3" w:tentative="0">
      <w:start w:val="1"/>
      <w:numFmt w:val="decimal"/>
      <w:lvlText w:val=""/>
      <w:lvlJc w:val="left"/>
      <w:rPr>
        <w:rFonts w:hint="default"/>
        <w:u w:val="none" w:color="auto"/>
      </w:rPr>
    </w:lvl>
    <w:lvl w:ilvl="4" w:tentative="0">
      <w:start w:val="1"/>
      <w:numFmt w:val="decimal"/>
      <w:lvlText w:val=""/>
      <w:lvlJc w:val="left"/>
      <w:rPr>
        <w:rFonts w:hint="default"/>
        <w:u w:val="none" w:color="auto"/>
      </w:rPr>
    </w:lvl>
    <w:lvl w:ilvl="5" w:tentative="0">
      <w:start w:val="1"/>
      <w:numFmt w:val="decimal"/>
      <w:lvlText w:val=""/>
      <w:lvlJc w:val="left"/>
      <w:rPr>
        <w:rFonts w:hint="default"/>
        <w:u w:val="none" w:color="auto"/>
      </w:rPr>
    </w:lvl>
    <w:lvl w:ilvl="6" w:tentative="0">
      <w:start w:val="1"/>
      <w:numFmt w:val="decimal"/>
      <w:lvlText w:val=""/>
      <w:lvlJc w:val="left"/>
      <w:rPr>
        <w:rFonts w:hint="default"/>
        <w:u w:val="none" w:color="auto"/>
      </w:rPr>
    </w:lvl>
    <w:lvl w:ilvl="7" w:tentative="0">
      <w:start w:val="1"/>
      <w:numFmt w:val="decimal"/>
      <w:lvlText w:val=""/>
      <w:lvlJc w:val="left"/>
      <w:rPr>
        <w:rFonts w:hint="default"/>
        <w:u w:val="none" w:color="auto"/>
      </w:rPr>
    </w:lvl>
    <w:lvl w:ilvl="8" w:tentative="0">
      <w:start w:val="1"/>
      <w:numFmt w:val="decimal"/>
      <w:lvlText w:val=""/>
      <w:lvlJc w:val="left"/>
      <w:rPr>
        <w:rFonts w:hint="default"/>
        <w:u w:val="none" w:color="auto"/>
      </w:rPr>
    </w:lvl>
  </w:abstractNum>
  <w:abstractNum w:abstractNumId="8">
    <w:nsid w:val="77633219"/>
    <w:multiLevelType w:val="multilevel"/>
    <w:tmpl w:val="77633219"/>
    <w:lvl w:ilvl="0" w:tentative="0">
      <w:start w:val="1"/>
      <w:numFmt w:val="decimal"/>
      <w:lvlText w:val="(%1)"/>
      <w:lvlJc w:val="left"/>
      <w:rPr>
        <w:rFonts w:hint="eastAsia" w:ascii="Times New Roman" w:hAnsi="Times New Roman" w:eastAsia="Times New Roman" w:cs="Times New Roman"/>
        <w:color w:val="000000"/>
        <w:szCs w:val="20"/>
        <w:u w:val="none" w:color="000000"/>
        <w:lang w:val="zh-CN" w:eastAsia="zh-CN" w:bidi="zh-CN"/>
      </w:rPr>
    </w:lvl>
    <w:lvl w:ilvl="1" w:tentative="0">
      <w:start w:val="1"/>
      <w:numFmt w:val="decimal"/>
      <w:lvlText w:val=""/>
      <w:lvlJc w:val="left"/>
      <w:rPr>
        <w:rFonts w:hint="default"/>
        <w:u w:val="none" w:color="auto"/>
      </w:rPr>
    </w:lvl>
    <w:lvl w:ilvl="2" w:tentative="0">
      <w:start w:val="1"/>
      <w:numFmt w:val="decimal"/>
      <w:lvlText w:val=""/>
      <w:lvlJc w:val="left"/>
      <w:rPr>
        <w:rFonts w:hint="default"/>
        <w:u w:val="none" w:color="auto"/>
      </w:rPr>
    </w:lvl>
    <w:lvl w:ilvl="3" w:tentative="0">
      <w:start w:val="1"/>
      <w:numFmt w:val="decimal"/>
      <w:lvlText w:val=""/>
      <w:lvlJc w:val="left"/>
      <w:rPr>
        <w:rFonts w:hint="default"/>
        <w:u w:val="none" w:color="auto"/>
      </w:rPr>
    </w:lvl>
    <w:lvl w:ilvl="4" w:tentative="0">
      <w:start w:val="1"/>
      <w:numFmt w:val="decimal"/>
      <w:lvlText w:val=""/>
      <w:lvlJc w:val="left"/>
      <w:rPr>
        <w:rFonts w:hint="default"/>
        <w:u w:val="none" w:color="auto"/>
      </w:rPr>
    </w:lvl>
    <w:lvl w:ilvl="5" w:tentative="0">
      <w:start w:val="1"/>
      <w:numFmt w:val="decimal"/>
      <w:lvlText w:val=""/>
      <w:lvlJc w:val="left"/>
      <w:rPr>
        <w:rFonts w:hint="default"/>
        <w:u w:val="none" w:color="auto"/>
      </w:rPr>
    </w:lvl>
    <w:lvl w:ilvl="6" w:tentative="0">
      <w:start w:val="1"/>
      <w:numFmt w:val="decimal"/>
      <w:lvlText w:val=""/>
      <w:lvlJc w:val="left"/>
      <w:rPr>
        <w:rFonts w:hint="default"/>
        <w:u w:val="none" w:color="auto"/>
      </w:rPr>
    </w:lvl>
    <w:lvl w:ilvl="7" w:tentative="0">
      <w:start w:val="1"/>
      <w:numFmt w:val="decimal"/>
      <w:lvlText w:val=""/>
      <w:lvlJc w:val="left"/>
      <w:rPr>
        <w:rFonts w:hint="default"/>
        <w:u w:val="none" w:color="auto"/>
      </w:rPr>
    </w:lvl>
    <w:lvl w:ilvl="8" w:tentative="0">
      <w:start w:val="1"/>
      <w:numFmt w:val="decimal"/>
      <w:lvlText w:val=""/>
      <w:lvlJc w:val="left"/>
      <w:rPr>
        <w:rFonts w:hint="default"/>
        <w:u w:val="none" w:color="auto"/>
      </w:rPr>
    </w:lvl>
  </w:abstractNum>
  <w:abstractNum w:abstractNumId="9">
    <w:nsid w:val="7763321A"/>
    <w:multiLevelType w:val="multilevel"/>
    <w:tmpl w:val="7763321A"/>
    <w:lvl w:ilvl="0" w:tentative="0">
      <w:start w:val="1"/>
      <w:numFmt w:val="decimal"/>
      <w:lvlText w:val="(%1)"/>
      <w:lvlJc w:val="left"/>
      <w:rPr>
        <w:rFonts w:hint="eastAsia" w:ascii="Times New Roman" w:hAnsi="Times New Roman" w:eastAsia="Times New Roman" w:cs="Times New Roman"/>
        <w:color w:val="000000"/>
        <w:szCs w:val="20"/>
        <w:u w:val="none" w:color="000000"/>
        <w:lang w:val="zh-CN" w:eastAsia="zh-CN" w:bidi="zh-CN"/>
      </w:rPr>
    </w:lvl>
    <w:lvl w:ilvl="1" w:tentative="0">
      <w:start w:val="1"/>
      <w:numFmt w:val="decimal"/>
      <w:lvlText w:val=""/>
      <w:lvlJc w:val="left"/>
      <w:rPr>
        <w:rFonts w:hint="default"/>
        <w:u w:val="none" w:color="auto"/>
      </w:rPr>
    </w:lvl>
    <w:lvl w:ilvl="2" w:tentative="0">
      <w:start w:val="1"/>
      <w:numFmt w:val="decimal"/>
      <w:lvlText w:val=""/>
      <w:lvlJc w:val="left"/>
      <w:rPr>
        <w:rFonts w:hint="default"/>
        <w:u w:val="none" w:color="auto"/>
      </w:rPr>
    </w:lvl>
    <w:lvl w:ilvl="3" w:tentative="0">
      <w:start w:val="1"/>
      <w:numFmt w:val="decimal"/>
      <w:lvlText w:val=""/>
      <w:lvlJc w:val="left"/>
      <w:rPr>
        <w:rFonts w:hint="default"/>
        <w:u w:val="none" w:color="auto"/>
      </w:rPr>
    </w:lvl>
    <w:lvl w:ilvl="4" w:tentative="0">
      <w:start w:val="1"/>
      <w:numFmt w:val="decimal"/>
      <w:lvlText w:val=""/>
      <w:lvlJc w:val="left"/>
      <w:rPr>
        <w:rFonts w:hint="default"/>
        <w:u w:val="none" w:color="auto"/>
      </w:rPr>
    </w:lvl>
    <w:lvl w:ilvl="5" w:tentative="0">
      <w:start w:val="1"/>
      <w:numFmt w:val="decimal"/>
      <w:lvlText w:val=""/>
      <w:lvlJc w:val="left"/>
      <w:rPr>
        <w:rFonts w:hint="default"/>
        <w:u w:val="none" w:color="auto"/>
      </w:rPr>
    </w:lvl>
    <w:lvl w:ilvl="6" w:tentative="0">
      <w:start w:val="1"/>
      <w:numFmt w:val="decimal"/>
      <w:lvlText w:val=""/>
      <w:lvlJc w:val="left"/>
      <w:rPr>
        <w:rFonts w:hint="default"/>
        <w:u w:val="none" w:color="auto"/>
      </w:rPr>
    </w:lvl>
    <w:lvl w:ilvl="7" w:tentative="0">
      <w:start w:val="1"/>
      <w:numFmt w:val="decimal"/>
      <w:lvlText w:val=""/>
      <w:lvlJc w:val="left"/>
      <w:rPr>
        <w:rFonts w:hint="default"/>
        <w:u w:val="none" w:color="auto"/>
      </w:rPr>
    </w:lvl>
    <w:lvl w:ilvl="8" w:tentative="0">
      <w:start w:val="1"/>
      <w:numFmt w:val="decimal"/>
      <w:lvlText w:val=""/>
      <w:lvlJc w:val="left"/>
      <w:rPr>
        <w:rFonts w:hint="default"/>
        <w:u w:val="none" w:color="auto"/>
      </w:rPr>
    </w:lvl>
  </w:abstractNum>
  <w:abstractNum w:abstractNumId="10">
    <w:nsid w:val="7763321B"/>
    <w:multiLevelType w:val="multilevel"/>
    <w:tmpl w:val="7763321B"/>
    <w:lvl w:ilvl="0" w:tentative="0">
      <w:start w:val="1"/>
      <w:numFmt w:val="decimal"/>
      <w:lvlText w:val="(%1)"/>
      <w:lvlJc w:val="left"/>
      <w:rPr>
        <w:rFonts w:hint="eastAsia" w:ascii="Times New Roman" w:hAnsi="Times New Roman" w:eastAsia="Times New Roman" w:cs="Times New Roman"/>
        <w:color w:val="000000"/>
        <w:szCs w:val="20"/>
        <w:u w:val="none" w:color="000000"/>
        <w:lang w:val="zh-CN" w:eastAsia="zh-CN" w:bidi="zh-CN"/>
      </w:rPr>
    </w:lvl>
    <w:lvl w:ilvl="1" w:tentative="0">
      <w:start w:val="1"/>
      <w:numFmt w:val="decimal"/>
      <w:lvlText w:val=""/>
      <w:lvlJc w:val="left"/>
      <w:rPr>
        <w:rFonts w:hint="default"/>
        <w:u w:val="none" w:color="auto"/>
      </w:rPr>
    </w:lvl>
    <w:lvl w:ilvl="2" w:tentative="0">
      <w:start w:val="1"/>
      <w:numFmt w:val="decimal"/>
      <w:lvlText w:val=""/>
      <w:lvlJc w:val="left"/>
      <w:rPr>
        <w:rFonts w:hint="default"/>
        <w:u w:val="none" w:color="auto"/>
      </w:rPr>
    </w:lvl>
    <w:lvl w:ilvl="3" w:tentative="0">
      <w:start w:val="1"/>
      <w:numFmt w:val="decimal"/>
      <w:lvlText w:val=""/>
      <w:lvlJc w:val="left"/>
      <w:rPr>
        <w:rFonts w:hint="default"/>
        <w:u w:val="none" w:color="auto"/>
      </w:rPr>
    </w:lvl>
    <w:lvl w:ilvl="4" w:tentative="0">
      <w:start w:val="1"/>
      <w:numFmt w:val="decimal"/>
      <w:lvlText w:val=""/>
      <w:lvlJc w:val="left"/>
      <w:rPr>
        <w:rFonts w:hint="default"/>
        <w:u w:val="none" w:color="auto"/>
      </w:rPr>
    </w:lvl>
    <w:lvl w:ilvl="5" w:tentative="0">
      <w:start w:val="1"/>
      <w:numFmt w:val="decimal"/>
      <w:lvlText w:val=""/>
      <w:lvlJc w:val="left"/>
      <w:rPr>
        <w:rFonts w:hint="default"/>
        <w:u w:val="none" w:color="auto"/>
      </w:rPr>
    </w:lvl>
    <w:lvl w:ilvl="6" w:tentative="0">
      <w:start w:val="1"/>
      <w:numFmt w:val="decimal"/>
      <w:lvlText w:val=""/>
      <w:lvlJc w:val="left"/>
      <w:rPr>
        <w:rFonts w:hint="default"/>
        <w:u w:val="none" w:color="auto"/>
      </w:rPr>
    </w:lvl>
    <w:lvl w:ilvl="7" w:tentative="0">
      <w:start w:val="1"/>
      <w:numFmt w:val="decimal"/>
      <w:lvlText w:val=""/>
      <w:lvlJc w:val="left"/>
      <w:rPr>
        <w:rFonts w:hint="default"/>
        <w:u w:val="none" w:color="auto"/>
      </w:rPr>
    </w:lvl>
    <w:lvl w:ilvl="8" w:tentative="0">
      <w:start w:val="1"/>
      <w:numFmt w:val="decimal"/>
      <w:lvlText w:val=""/>
      <w:lvlJc w:val="left"/>
      <w:rPr>
        <w:rFonts w:hint="default"/>
        <w:u w:val="none" w:color="auto"/>
      </w:rPr>
    </w:lvl>
  </w:abstractNum>
  <w:abstractNum w:abstractNumId="11">
    <w:nsid w:val="7763321C"/>
    <w:multiLevelType w:val="multilevel"/>
    <w:tmpl w:val="7763321C"/>
    <w:lvl w:ilvl="0" w:tentative="0">
      <w:start w:val="1"/>
      <w:numFmt w:val="decimal"/>
      <w:lvlText w:val="(%1)"/>
      <w:lvlJc w:val="left"/>
      <w:rPr>
        <w:rFonts w:hint="eastAsia" w:ascii="Times New Roman" w:hAnsi="Times New Roman" w:eastAsia="Times New Roman" w:cs="Times New Roman"/>
        <w:color w:val="000000"/>
        <w:szCs w:val="20"/>
        <w:u w:val="none" w:color="000000"/>
        <w:lang w:val="zh-CN" w:eastAsia="zh-CN" w:bidi="zh-CN"/>
      </w:rPr>
    </w:lvl>
    <w:lvl w:ilvl="1" w:tentative="0">
      <w:start w:val="1"/>
      <w:numFmt w:val="decimal"/>
      <w:lvlText w:val=""/>
      <w:lvlJc w:val="left"/>
      <w:rPr>
        <w:rFonts w:hint="default"/>
        <w:u w:val="none" w:color="auto"/>
      </w:rPr>
    </w:lvl>
    <w:lvl w:ilvl="2" w:tentative="0">
      <w:start w:val="1"/>
      <w:numFmt w:val="decimal"/>
      <w:lvlText w:val=""/>
      <w:lvlJc w:val="left"/>
      <w:rPr>
        <w:rFonts w:hint="default"/>
        <w:u w:val="none" w:color="auto"/>
      </w:rPr>
    </w:lvl>
    <w:lvl w:ilvl="3" w:tentative="0">
      <w:start w:val="1"/>
      <w:numFmt w:val="decimal"/>
      <w:lvlText w:val=""/>
      <w:lvlJc w:val="left"/>
      <w:rPr>
        <w:rFonts w:hint="default"/>
        <w:u w:val="none" w:color="auto"/>
      </w:rPr>
    </w:lvl>
    <w:lvl w:ilvl="4" w:tentative="0">
      <w:start w:val="1"/>
      <w:numFmt w:val="decimal"/>
      <w:lvlText w:val=""/>
      <w:lvlJc w:val="left"/>
      <w:rPr>
        <w:rFonts w:hint="default"/>
        <w:u w:val="none" w:color="auto"/>
      </w:rPr>
    </w:lvl>
    <w:lvl w:ilvl="5" w:tentative="0">
      <w:start w:val="1"/>
      <w:numFmt w:val="decimal"/>
      <w:lvlText w:val=""/>
      <w:lvlJc w:val="left"/>
      <w:rPr>
        <w:rFonts w:hint="default"/>
        <w:u w:val="none" w:color="auto"/>
      </w:rPr>
    </w:lvl>
    <w:lvl w:ilvl="6" w:tentative="0">
      <w:start w:val="1"/>
      <w:numFmt w:val="decimal"/>
      <w:lvlText w:val=""/>
      <w:lvlJc w:val="left"/>
      <w:rPr>
        <w:rFonts w:hint="default"/>
        <w:u w:val="none" w:color="auto"/>
      </w:rPr>
    </w:lvl>
    <w:lvl w:ilvl="7" w:tentative="0">
      <w:start w:val="1"/>
      <w:numFmt w:val="decimal"/>
      <w:lvlText w:val=""/>
      <w:lvlJc w:val="left"/>
      <w:rPr>
        <w:rFonts w:hint="default"/>
        <w:u w:val="none" w:color="auto"/>
      </w:rPr>
    </w:lvl>
    <w:lvl w:ilvl="8" w:tentative="0">
      <w:start w:val="1"/>
      <w:numFmt w:val="decimal"/>
      <w:lvlText w:val=""/>
      <w:lvlJc w:val="left"/>
      <w:rPr>
        <w:rFonts w:hint="default"/>
        <w:u w:val="none" w:color="auto"/>
      </w:rPr>
    </w:lvl>
  </w:abstractNum>
  <w:abstractNum w:abstractNumId="12">
    <w:nsid w:val="7763321D"/>
    <w:multiLevelType w:val="multilevel"/>
    <w:tmpl w:val="7763321D"/>
    <w:lvl w:ilvl="0" w:tentative="0">
      <w:start w:val="1"/>
      <w:numFmt w:val="decimal"/>
      <w:lvlText w:val="(%1)"/>
      <w:lvlJc w:val="left"/>
      <w:rPr>
        <w:rFonts w:hint="eastAsia" w:ascii="Times New Roman" w:hAnsi="Times New Roman" w:eastAsia="Times New Roman" w:cs="Times New Roman"/>
        <w:color w:val="000000"/>
        <w:szCs w:val="20"/>
        <w:u w:val="none" w:color="000000"/>
        <w:lang w:val="zh-CN" w:eastAsia="zh-CN" w:bidi="zh-CN"/>
      </w:rPr>
    </w:lvl>
    <w:lvl w:ilvl="1" w:tentative="0">
      <w:start w:val="1"/>
      <w:numFmt w:val="decimal"/>
      <w:lvlText w:val=""/>
      <w:lvlJc w:val="left"/>
      <w:rPr>
        <w:rFonts w:hint="default"/>
        <w:u w:val="none" w:color="auto"/>
      </w:rPr>
    </w:lvl>
    <w:lvl w:ilvl="2" w:tentative="0">
      <w:start w:val="1"/>
      <w:numFmt w:val="decimal"/>
      <w:lvlText w:val=""/>
      <w:lvlJc w:val="left"/>
      <w:rPr>
        <w:rFonts w:hint="default"/>
        <w:u w:val="none" w:color="auto"/>
      </w:rPr>
    </w:lvl>
    <w:lvl w:ilvl="3" w:tentative="0">
      <w:start w:val="1"/>
      <w:numFmt w:val="decimal"/>
      <w:lvlText w:val=""/>
      <w:lvlJc w:val="left"/>
      <w:rPr>
        <w:rFonts w:hint="default"/>
        <w:u w:val="none" w:color="auto"/>
      </w:rPr>
    </w:lvl>
    <w:lvl w:ilvl="4" w:tentative="0">
      <w:start w:val="1"/>
      <w:numFmt w:val="decimal"/>
      <w:lvlText w:val=""/>
      <w:lvlJc w:val="left"/>
      <w:rPr>
        <w:rFonts w:hint="default"/>
        <w:u w:val="none" w:color="auto"/>
      </w:rPr>
    </w:lvl>
    <w:lvl w:ilvl="5" w:tentative="0">
      <w:start w:val="1"/>
      <w:numFmt w:val="decimal"/>
      <w:lvlText w:val=""/>
      <w:lvlJc w:val="left"/>
      <w:rPr>
        <w:rFonts w:hint="default"/>
        <w:u w:val="none" w:color="auto"/>
      </w:rPr>
    </w:lvl>
    <w:lvl w:ilvl="6" w:tentative="0">
      <w:start w:val="1"/>
      <w:numFmt w:val="decimal"/>
      <w:lvlText w:val=""/>
      <w:lvlJc w:val="left"/>
      <w:rPr>
        <w:rFonts w:hint="default"/>
        <w:u w:val="none" w:color="auto"/>
      </w:rPr>
    </w:lvl>
    <w:lvl w:ilvl="7" w:tentative="0">
      <w:start w:val="1"/>
      <w:numFmt w:val="decimal"/>
      <w:lvlText w:val=""/>
      <w:lvlJc w:val="left"/>
      <w:rPr>
        <w:rFonts w:hint="default"/>
        <w:u w:val="none" w:color="auto"/>
      </w:rPr>
    </w:lvl>
    <w:lvl w:ilvl="8" w:tentative="0">
      <w:start w:val="1"/>
      <w:numFmt w:val="decimal"/>
      <w:lvlText w:val=""/>
      <w:lvlJc w:val="left"/>
      <w:rPr>
        <w:rFonts w:hint="default"/>
        <w:u w:val="none" w:color="auto"/>
      </w:rPr>
    </w:lvl>
  </w:abstractNum>
  <w:abstractNum w:abstractNumId="13">
    <w:nsid w:val="7763321E"/>
    <w:multiLevelType w:val="multilevel"/>
    <w:tmpl w:val="7763321E"/>
    <w:lvl w:ilvl="0" w:tentative="0">
      <w:start w:val="1"/>
      <w:numFmt w:val="decimal"/>
      <w:lvlText w:val="(%1)"/>
      <w:lvlJc w:val="left"/>
      <w:rPr>
        <w:rFonts w:hint="eastAsia" w:ascii="Times New Roman" w:hAnsi="Times New Roman" w:eastAsia="Times New Roman" w:cs="Times New Roman"/>
        <w:color w:val="000000"/>
        <w:szCs w:val="20"/>
        <w:u w:val="none" w:color="000000"/>
        <w:lang w:val="zh-CN" w:eastAsia="zh-CN" w:bidi="zh-CN"/>
      </w:rPr>
    </w:lvl>
    <w:lvl w:ilvl="1" w:tentative="0">
      <w:start w:val="1"/>
      <w:numFmt w:val="decimal"/>
      <w:lvlText w:val=""/>
      <w:lvlJc w:val="left"/>
      <w:rPr>
        <w:rFonts w:hint="default"/>
        <w:u w:val="none" w:color="auto"/>
      </w:rPr>
    </w:lvl>
    <w:lvl w:ilvl="2" w:tentative="0">
      <w:start w:val="1"/>
      <w:numFmt w:val="decimal"/>
      <w:lvlText w:val=""/>
      <w:lvlJc w:val="left"/>
      <w:rPr>
        <w:rFonts w:hint="default"/>
        <w:u w:val="none" w:color="auto"/>
      </w:rPr>
    </w:lvl>
    <w:lvl w:ilvl="3" w:tentative="0">
      <w:start w:val="1"/>
      <w:numFmt w:val="decimal"/>
      <w:lvlText w:val=""/>
      <w:lvlJc w:val="left"/>
      <w:rPr>
        <w:rFonts w:hint="default"/>
        <w:u w:val="none" w:color="auto"/>
      </w:rPr>
    </w:lvl>
    <w:lvl w:ilvl="4" w:tentative="0">
      <w:start w:val="1"/>
      <w:numFmt w:val="decimal"/>
      <w:lvlText w:val=""/>
      <w:lvlJc w:val="left"/>
      <w:rPr>
        <w:rFonts w:hint="default"/>
        <w:u w:val="none" w:color="auto"/>
      </w:rPr>
    </w:lvl>
    <w:lvl w:ilvl="5" w:tentative="0">
      <w:start w:val="1"/>
      <w:numFmt w:val="decimal"/>
      <w:lvlText w:val=""/>
      <w:lvlJc w:val="left"/>
      <w:rPr>
        <w:rFonts w:hint="default"/>
        <w:u w:val="none" w:color="auto"/>
      </w:rPr>
    </w:lvl>
    <w:lvl w:ilvl="6" w:tentative="0">
      <w:start w:val="1"/>
      <w:numFmt w:val="decimal"/>
      <w:lvlText w:val=""/>
      <w:lvlJc w:val="left"/>
      <w:rPr>
        <w:rFonts w:hint="default"/>
        <w:u w:val="none" w:color="auto"/>
      </w:rPr>
    </w:lvl>
    <w:lvl w:ilvl="7" w:tentative="0">
      <w:start w:val="1"/>
      <w:numFmt w:val="decimal"/>
      <w:lvlText w:val=""/>
      <w:lvlJc w:val="left"/>
      <w:rPr>
        <w:rFonts w:hint="default"/>
        <w:u w:val="none" w:color="auto"/>
      </w:rPr>
    </w:lvl>
    <w:lvl w:ilvl="8" w:tentative="0">
      <w:start w:val="1"/>
      <w:numFmt w:val="decimal"/>
      <w:lvlText w:val=""/>
      <w:lvlJc w:val="left"/>
      <w:rPr>
        <w:rFonts w:hint="default"/>
        <w:u w:val="none" w:color="auto"/>
      </w:rPr>
    </w:lvl>
  </w:abstractNum>
  <w:abstractNum w:abstractNumId="14">
    <w:nsid w:val="7763321F"/>
    <w:multiLevelType w:val="multilevel"/>
    <w:tmpl w:val="7763321F"/>
    <w:lvl w:ilvl="0" w:tentative="0">
      <w:start w:val="1"/>
      <w:numFmt w:val="decimal"/>
      <w:lvlText w:val="(%1)"/>
      <w:lvlJc w:val="left"/>
      <w:rPr>
        <w:rFonts w:hint="eastAsia" w:ascii="Times New Roman" w:hAnsi="Times New Roman" w:eastAsia="Times New Roman" w:cs="Times New Roman"/>
        <w:color w:val="000000"/>
        <w:szCs w:val="20"/>
        <w:u w:val="none" w:color="000000"/>
        <w:lang w:val="zh-CN" w:eastAsia="zh-CN" w:bidi="zh-CN"/>
      </w:rPr>
    </w:lvl>
    <w:lvl w:ilvl="1" w:tentative="0">
      <w:start w:val="1"/>
      <w:numFmt w:val="decimal"/>
      <w:lvlText w:val=""/>
      <w:lvlJc w:val="left"/>
      <w:rPr>
        <w:rFonts w:hint="default"/>
        <w:u w:val="none" w:color="auto"/>
      </w:rPr>
    </w:lvl>
    <w:lvl w:ilvl="2" w:tentative="0">
      <w:start w:val="1"/>
      <w:numFmt w:val="decimal"/>
      <w:lvlText w:val=""/>
      <w:lvlJc w:val="left"/>
      <w:rPr>
        <w:rFonts w:hint="default"/>
        <w:u w:val="none" w:color="auto"/>
      </w:rPr>
    </w:lvl>
    <w:lvl w:ilvl="3" w:tentative="0">
      <w:start w:val="1"/>
      <w:numFmt w:val="decimal"/>
      <w:lvlText w:val=""/>
      <w:lvlJc w:val="left"/>
      <w:rPr>
        <w:rFonts w:hint="default"/>
        <w:u w:val="none" w:color="auto"/>
      </w:rPr>
    </w:lvl>
    <w:lvl w:ilvl="4" w:tentative="0">
      <w:start w:val="1"/>
      <w:numFmt w:val="decimal"/>
      <w:lvlText w:val=""/>
      <w:lvlJc w:val="left"/>
      <w:rPr>
        <w:rFonts w:hint="default"/>
        <w:u w:val="none" w:color="auto"/>
      </w:rPr>
    </w:lvl>
    <w:lvl w:ilvl="5" w:tentative="0">
      <w:start w:val="1"/>
      <w:numFmt w:val="decimal"/>
      <w:lvlText w:val=""/>
      <w:lvlJc w:val="left"/>
      <w:rPr>
        <w:rFonts w:hint="default"/>
        <w:u w:val="none" w:color="auto"/>
      </w:rPr>
    </w:lvl>
    <w:lvl w:ilvl="6" w:tentative="0">
      <w:start w:val="1"/>
      <w:numFmt w:val="decimal"/>
      <w:lvlText w:val=""/>
      <w:lvlJc w:val="left"/>
      <w:rPr>
        <w:rFonts w:hint="default"/>
        <w:u w:val="none" w:color="auto"/>
      </w:rPr>
    </w:lvl>
    <w:lvl w:ilvl="7" w:tentative="0">
      <w:start w:val="1"/>
      <w:numFmt w:val="decimal"/>
      <w:lvlText w:val=""/>
      <w:lvlJc w:val="left"/>
      <w:rPr>
        <w:rFonts w:hint="default"/>
        <w:u w:val="none" w:color="auto"/>
      </w:rPr>
    </w:lvl>
    <w:lvl w:ilvl="8" w:tentative="0">
      <w:start w:val="1"/>
      <w:numFmt w:val="decimal"/>
      <w:lvlText w:val=""/>
      <w:lvlJc w:val="left"/>
      <w:rPr>
        <w:rFonts w:hint="default"/>
        <w:u w:val="none" w:color="auto"/>
      </w:rPr>
    </w:lvl>
  </w:abstractNum>
  <w:abstractNum w:abstractNumId="15">
    <w:nsid w:val="77633220"/>
    <w:multiLevelType w:val="multilevel"/>
    <w:tmpl w:val="77633220"/>
    <w:lvl w:ilvl="0" w:tentative="0">
      <w:start w:val="1"/>
      <w:numFmt w:val="decimal"/>
      <w:lvlText w:val="(%1)"/>
      <w:lvlJc w:val="left"/>
      <w:rPr>
        <w:rFonts w:hint="eastAsia" w:ascii="Times New Roman" w:hAnsi="Times New Roman" w:eastAsia="Times New Roman" w:cs="Times New Roman"/>
        <w:color w:val="000000"/>
        <w:szCs w:val="20"/>
        <w:u w:val="none" w:color="000000"/>
        <w:lang w:val="zh-CN" w:eastAsia="zh-CN" w:bidi="zh-CN"/>
      </w:rPr>
    </w:lvl>
    <w:lvl w:ilvl="1" w:tentative="0">
      <w:start w:val="1"/>
      <w:numFmt w:val="decimal"/>
      <w:lvlText w:val=""/>
      <w:lvlJc w:val="left"/>
      <w:rPr>
        <w:rFonts w:hint="default"/>
        <w:u w:val="none" w:color="auto"/>
      </w:rPr>
    </w:lvl>
    <w:lvl w:ilvl="2" w:tentative="0">
      <w:start w:val="1"/>
      <w:numFmt w:val="decimal"/>
      <w:lvlText w:val=""/>
      <w:lvlJc w:val="left"/>
      <w:rPr>
        <w:rFonts w:hint="default"/>
        <w:u w:val="none" w:color="auto"/>
      </w:rPr>
    </w:lvl>
    <w:lvl w:ilvl="3" w:tentative="0">
      <w:start w:val="1"/>
      <w:numFmt w:val="decimal"/>
      <w:lvlText w:val=""/>
      <w:lvlJc w:val="left"/>
      <w:rPr>
        <w:rFonts w:hint="default"/>
        <w:u w:val="none" w:color="auto"/>
      </w:rPr>
    </w:lvl>
    <w:lvl w:ilvl="4" w:tentative="0">
      <w:start w:val="1"/>
      <w:numFmt w:val="decimal"/>
      <w:lvlText w:val=""/>
      <w:lvlJc w:val="left"/>
      <w:rPr>
        <w:rFonts w:hint="default"/>
        <w:u w:val="none" w:color="auto"/>
      </w:rPr>
    </w:lvl>
    <w:lvl w:ilvl="5" w:tentative="0">
      <w:start w:val="1"/>
      <w:numFmt w:val="decimal"/>
      <w:lvlText w:val=""/>
      <w:lvlJc w:val="left"/>
      <w:rPr>
        <w:rFonts w:hint="default"/>
        <w:u w:val="none" w:color="auto"/>
      </w:rPr>
    </w:lvl>
    <w:lvl w:ilvl="6" w:tentative="0">
      <w:start w:val="1"/>
      <w:numFmt w:val="decimal"/>
      <w:lvlText w:val=""/>
      <w:lvlJc w:val="left"/>
      <w:rPr>
        <w:rFonts w:hint="default"/>
        <w:u w:val="none" w:color="auto"/>
      </w:rPr>
    </w:lvl>
    <w:lvl w:ilvl="7" w:tentative="0">
      <w:start w:val="1"/>
      <w:numFmt w:val="decimal"/>
      <w:lvlText w:val=""/>
      <w:lvlJc w:val="left"/>
      <w:rPr>
        <w:rFonts w:hint="default"/>
        <w:u w:val="none" w:color="auto"/>
      </w:rPr>
    </w:lvl>
    <w:lvl w:ilvl="8" w:tentative="0">
      <w:start w:val="1"/>
      <w:numFmt w:val="decimal"/>
      <w:lvlText w:val=""/>
      <w:lvlJc w:val="left"/>
      <w:rPr>
        <w:rFonts w:hint="default"/>
        <w:u w:val="none" w:color="auto"/>
      </w:rPr>
    </w:lvl>
  </w:abstractNum>
  <w:abstractNum w:abstractNumId="16">
    <w:nsid w:val="77633221"/>
    <w:multiLevelType w:val="multilevel"/>
    <w:tmpl w:val="77633221"/>
    <w:lvl w:ilvl="0" w:tentative="0">
      <w:start w:val="1"/>
      <w:numFmt w:val="decimal"/>
      <w:lvlText w:val="(%1)"/>
      <w:lvlJc w:val="left"/>
      <w:rPr>
        <w:rFonts w:hint="eastAsia" w:ascii="Times New Roman" w:hAnsi="Times New Roman" w:eastAsia="Times New Roman" w:cs="Times New Roman"/>
        <w:color w:val="000000"/>
        <w:szCs w:val="20"/>
        <w:u w:val="none" w:color="000000"/>
        <w:lang w:val="zh-CN" w:eastAsia="zh-CN" w:bidi="zh-CN"/>
      </w:rPr>
    </w:lvl>
    <w:lvl w:ilvl="1" w:tentative="0">
      <w:start w:val="1"/>
      <w:numFmt w:val="decimal"/>
      <w:lvlText w:val=""/>
      <w:lvlJc w:val="left"/>
      <w:rPr>
        <w:rFonts w:hint="default"/>
        <w:u w:val="none" w:color="auto"/>
      </w:rPr>
    </w:lvl>
    <w:lvl w:ilvl="2" w:tentative="0">
      <w:start w:val="1"/>
      <w:numFmt w:val="decimal"/>
      <w:lvlText w:val=""/>
      <w:lvlJc w:val="left"/>
      <w:rPr>
        <w:rFonts w:hint="default"/>
        <w:u w:val="none" w:color="auto"/>
      </w:rPr>
    </w:lvl>
    <w:lvl w:ilvl="3" w:tentative="0">
      <w:start w:val="1"/>
      <w:numFmt w:val="decimal"/>
      <w:lvlText w:val=""/>
      <w:lvlJc w:val="left"/>
      <w:rPr>
        <w:rFonts w:hint="default"/>
        <w:u w:val="none" w:color="auto"/>
      </w:rPr>
    </w:lvl>
    <w:lvl w:ilvl="4" w:tentative="0">
      <w:start w:val="1"/>
      <w:numFmt w:val="decimal"/>
      <w:lvlText w:val=""/>
      <w:lvlJc w:val="left"/>
      <w:rPr>
        <w:rFonts w:hint="default"/>
        <w:u w:val="none" w:color="auto"/>
      </w:rPr>
    </w:lvl>
    <w:lvl w:ilvl="5" w:tentative="0">
      <w:start w:val="1"/>
      <w:numFmt w:val="decimal"/>
      <w:lvlText w:val=""/>
      <w:lvlJc w:val="left"/>
      <w:rPr>
        <w:rFonts w:hint="default"/>
        <w:u w:val="none" w:color="auto"/>
      </w:rPr>
    </w:lvl>
    <w:lvl w:ilvl="6" w:tentative="0">
      <w:start w:val="1"/>
      <w:numFmt w:val="decimal"/>
      <w:lvlText w:val=""/>
      <w:lvlJc w:val="left"/>
      <w:rPr>
        <w:rFonts w:hint="default"/>
        <w:u w:val="none" w:color="auto"/>
      </w:rPr>
    </w:lvl>
    <w:lvl w:ilvl="7" w:tentative="0">
      <w:start w:val="1"/>
      <w:numFmt w:val="decimal"/>
      <w:lvlText w:val=""/>
      <w:lvlJc w:val="left"/>
      <w:rPr>
        <w:rFonts w:hint="default"/>
        <w:u w:val="none" w:color="auto"/>
      </w:rPr>
    </w:lvl>
    <w:lvl w:ilvl="8" w:tentative="0">
      <w:start w:val="1"/>
      <w:numFmt w:val="decimal"/>
      <w:lvlText w:val=""/>
      <w:lvlJc w:val="left"/>
      <w:rPr>
        <w:rFonts w:hint="default"/>
        <w:u w:val="none" w:color="auto"/>
      </w:rPr>
    </w:lvl>
  </w:abstractNum>
  <w:abstractNum w:abstractNumId="17">
    <w:nsid w:val="77633222"/>
    <w:multiLevelType w:val="multilevel"/>
    <w:tmpl w:val="77633222"/>
    <w:lvl w:ilvl="0" w:tentative="0">
      <w:start w:val="1"/>
      <w:numFmt w:val="decimal"/>
      <w:lvlText w:val="(%1)"/>
      <w:lvlJc w:val="left"/>
      <w:rPr>
        <w:rFonts w:hint="eastAsia" w:ascii="Times New Roman" w:hAnsi="Times New Roman" w:eastAsia="Times New Roman" w:cs="Times New Roman"/>
        <w:color w:val="000000"/>
        <w:szCs w:val="20"/>
        <w:u w:val="none" w:color="000000"/>
        <w:lang w:val="zh-CN" w:eastAsia="zh-CN" w:bidi="zh-CN"/>
      </w:rPr>
    </w:lvl>
    <w:lvl w:ilvl="1" w:tentative="0">
      <w:start w:val="1"/>
      <w:numFmt w:val="decimal"/>
      <w:lvlText w:val=""/>
      <w:lvlJc w:val="left"/>
      <w:rPr>
        <w:rFonts w:hint="default"/>
        <w:u w:val="none" w:color="auto"/>
      </w:rPr>
    </w:lvl>
    <w:lvl w:ilvl="2" w:tentative="0">
      <w:start w:val="1"/>
      <w:numFmt w:val="decimal"/>
      <w:lvlText w:val=""/>
      <w:lvlJc w:val="left"/>
      <w:rPr>
        <w:rFonts w:hint="default"/>
        <w:u w:val="none" w:color="auto"/>
      </w:rPr>
    </w:lvl>
    <w:lvl w:ilvl="3" w:tentative="0">
      <w:start w:val="1"/>
      <w:numFmt w:val="decimal"/>
      <w:lvlText w:val=""/>
      <w:lvlJc w:val="left"/>
      <w:rPr>
        <w:rFonts w:hint="default"/>
        <w:u w:val="none" w:color="auto"/>
      </w:rPr>
    </w:lvl>
    <w:lvl w:ilvl="4" w:tentative="0">
      <w:start w:val="1"/>
      <w:numFmt w:val="decimal"/>
      <w:lvlText w:val=""/>
      <w:lvlJc w:val="left"/>
      <w:rPr>
        <w:rFonts w:hint="default"/>
        <w:u w:val="none" w:color="auto"/>
      </w:rPr>
    </w:lvl>
    <w:lvl w:ilvl="5" w:tentative="0">
      <w:start w:val="1"/>
      <w:numFmt w:val="decimal"/>
      <w:lvlText w:val=""/>
      <w:lvlJc w:val="left"/>
      <w:rPr>
        <w:rFonts w:hint="default"/>
        <w:u w:val="none" w:color="auto"/>
      </w:rPr>
    </w:lvl>
    <w:lvl w:ilvl="6" w:tentative="0">
      <w:start w:val="1"/>
      <w:numFmt w:val="decimal"/>
      <w:lvlText w:val=""/>
      <w:lvlJc w:val="left"/>
      <w:rPr>
        <w:rFonts w:hint="default"/>
        <w:u w:val="none" w:color="auto"/>
      </w:rPr>
    </w:lvl>
    <w:lvl w:ilvl="7" w:tentative="0">
      <w:start w:val="1"/>
      <w:numFmt w:val="decimal"/>
      <w:lvlText w:val=""/>
      <w:lvlJc w:val="left"/>
      <w:rPr>
        <w:rFonts w:hint="default"/>
        <w:u w:val="none" w:color="auto"/>
      </w:rPr>
    </w:lvl>
    <w:lvl w:ilvl="8" w:tentative="0">
      <w:start w:val="1"/>
      <w:numFmt w:val="decimal"/>
      <w:lvlText w:val=""/>
      <w:lvlJc w:val="left"/>
      <w:rPr>
        <w:rFonts w:hint="default"/>
        <w:u w:val="none" w:color="auto"/>
      </w:rPr>
    </w:lvl>
  </w:abstractNum>
  <w:abstractNum w:abstractNumId="18">
    <w:nsid w:val="77633223"/>
    <w:multiLevelType w:val="multilevel"/>
    <w:tmpl w:val="77633223"/>
    <w:lvl w:ilvl="0" w:tentative="0">
      <w:start w:val="1"/>
      <w:numFmt w:val="decimal"/>
      <w:lvlText w:val="(%1)"/>
      <w:lvlJc w:val="left"/>
      <w:rPr>
        <w:rFonts w:hint="eastAsia" w:ascii="Times New Roman" w:hAnsi="Times New Roman" w:eastAsia="Times New Roman" w:cs="Times New Roman"/>
        <w:color w:val="000000"/>
        <w:szCs w:val="20"/>
        <w:u w:val="none" w:color="000000"/>
        <w:lang w:val="zh-CN" w:eastAsia="zh-CN" w:bidi="zh-CN"/>
      </w:rPr>
    </w:lvl>
    <w:lvl w:ilvl="1" w:tentative="0">
      <w:start w:val="1"/>
      <w:numFmt w:val="decimal"/>
      <w:lvlText w:val=""/>
      <w:lvlJc w:val="left"/>
      <w:rPr>
        <w:rFonts w:hint="default"/>
        <w:u w:val="none" w:color="auto"/>
      </w:rPr>
    </w:lvl>
    <w:lvl w:ilvl="2" w:tentative="0">
      <w:start w:val="1"/>
      <w:numFmt w:val="decimal"/>
      <w:lvlText w:val=""/>
      <w:lvlJc w:val="left"/>
      <w:rPr>
        <w:rFonts w:hint="default"/>
        <w:u w:val="none" w:color="auto"/>
      </w:rPr>
    </w:lvl>
    <w:lvl w:ilvl="3" w:tentative="0">
      <w:start w:val="1"/>
      <w:numFmt w:val="decimal"/>
      <w:lvlText w:val=""/>
      <w:lvlJc w:val="left"/>
      <w:rPr>
        <w:rFonts w:hint="default"/>
        <w:u w:val="none" w:color="auto"/>
      </w:rPr>
    </w:lvl>
    <w:lvl w:ilvl="4" w:tentative="0">
      <w:start w:val="1"/>
      <w:numFmt w:val="decimal"/>
      <w:lvlText w:val=""/>
      <w:lvlJc w:val="left"/>
      <w:rPr>
        <w:rFonts w:hint="default"/>
        <w:u w:val="none" w:color="auto"/>
      </w:rPr>
    </w:lvl>
    <w:lvl w:ilvl="5" w:tentative="0">
      <w:start w:val="1"/>
      <w:numFmt w:val="decimal"/>
      <w:lvlText w:val=""/>
      <w:lvlJc w:val="left"/>
      <w:rPr>
        <w:rFonts w:hint="default"/>
        <w:u w:val="none" w:color="auto"/>
      </w:rPr>
    </w:lvl>
    <w:lvl w:ilvl="6" w:tentative="0">
      <w:start w:val="1"/>
      <w:numFmt w:val="decimal"/>
      <w:lvlText w:val=""/>
      <w:lvlJc w:val="left"/>
      <w:rPr>
        <w:rFonts w:hint="default"/>
        <w:u w:val="none" w:color="auto"/>
      </w:rPr>
    </w:lvl>
    <w:lvl w:ilvl="7" w:tentative="0">
      <w:start w:val="1"/>
      <w:numFmt w:val="decimal"/>
      <w:lvlText w:val=""/>
      <w:lvlJc w:val="left"/>
      <w:rPr>
        <w:rFonts w:hint="default"/>
        <w:u w:val="none" w:color="auto"/>
      </w:rPr>
    </w:lvl>
    <w:lvl w:ilvl="8" w:tentative="0">
      <w:start w:val="1"/>
      <w:numFmt w:val="decimal"/>
      <w:lvlText w:val=""/>
      <w:lvlJc w:val="left"/>
      <w:rPr>
        <w:rFonts w:hint="default"/>
        <w:u w:val="none" w:color="auto"/>
      </w:rPr>
    </w:lvl>
  </w:abstractNum>
  <w:abstractNum w:abstractNumId="19">
    <w:nsid w:val="77633224"/>
    <w:multiLevelType w:val="multilevel"/>
    <w:tmpl w:val="77633224"/>
    <w:lvl w:ilvl="0" w:tentative="0">
      <w:start w:val="1"/>
      <w:numFmt w:val="decimal"/>
      <w:lvlText w:val="(%1)"/>
      <w:lvlJc w:val="left"/>
      <w:rPr>
        <w:rFonts w:hint="eastAsia" w:ascii="Times New Roman" w:hAnsi="Times New Roman" w:eastAsia="Times New Roman" w:cs="Times New Roman"/>
        <w:color w:val="000000"/>
        <w:szCs w:val="20"/>
        <w:u w:val="none" w:color="000000"/>
        <w:lang w:val="zh-CN" w:eastAsia="zh-CN" w:bidi="zh-CN"/>
      </w:rPr>
    </w:lvl>
    <w:lvl w:ilvl="1" w:tentative="0">
      <w:start w:val="1"/>
      <w:numFmt w:val="decimal"/>
      <w:lvlText w:val=""/>
      <w:lvlJc w:val="left"/>
      <w:rPr>
        <w:rFonts w:hint="default"/>
        <w:u w:val="none" w:color="auto"/>
      </w:rPr>
    </w:lvl>
    <w:lvl w:ilvl="2" w:tentative="0">
      <w:start w:val="1"/>
      <w:numFmt w:val="decimal"/>
      <w:lvlText w:val=""/>
      <w:lvlJc w:val="left"/>
      <w:rPr>
        <w:rFonts w:hint="default"/>
        <w:u w:val="none" w:color="auto"/>
      </w:rPr>
    </w:lvl>
    <w:lvl w:ilvl="3" w:tentative="0">
      <w:start w:val="1"/>
      <w:numFmt w:val="decimal"/>
      <w:lvlText w:val=""/>
      <w:lvlJc w:val="left"/>
      <w:rPr>
        <w:rFonts w:hint="default"/>
        <w:u w:val="none" w:color="auto"/>
      </w:rPr>
    </w:lvl>
    <w:lvl w:ilvl="4" w:tentative="0">
      <w:start w:val="1"/>
      <w:numFmt w:val="decimal"/>
      <w:lvlText w:val=""/>
      <w:lvlJc w:val="left"/>
      <w:rPr>
        <w:rFonts w:hint="default"/>
        <w:u w:val="none" w:color="auto"/>
      </w:rPr>
    </w:lvl>
    <w:lvl w:ilvl="5" w:tentative="0">
      <w:start w:val="1"/>
      <w:numFmt w:val="decimal"/>
      <w:lvlText w:val=""/>
      <w:lvlJc w:val="left"/>
      <w:rPr>
        <w:rFonts w:hint="default"/>
        <w:u w:val="none" w:color="auto"/>
      </w:rPr>
    </w:lvl>
    <w:lvl w:ilvl="6" w:tentative="0">
      <w:start w:val="1"/>
      <w:numFmt w:val="decimal"/>
      <w:lvlText w:val=""/>
      <w:lvlJc w:val="left"/>
      <w:rPr>
        <w:rFonts w:hint="default"/>
        <w:u w:val="none" w:color="auto"/>
      </w:rPr>
    </w:lvl>
    <w:lvl w:ilvl="7" w:tentative="0">
      <w:start w:val="1"/>
      <w:numFmt w:val="decimal"/>
      <w:lvlText w:val=""/>
      <w:lvlJc w:val="left"/>
      <w:rPr>
        <w:rFonts w:hint="default"/>
        <w:u w:val="none" w:color="auto"/>
      </w:rPr>
    </w:lvl>
    <w:lvl w:ilvl="8" w:tentative="0">
      <w:start w:val="1"/>
      <w:numFmt w:val="decimal"/>
      <w:lvlText w:val=""/>
      <w:lvlJc w:val="left"/>
      <w:rPr>
        <w:rFonts w:hint="default"/>
        <w:u w:val="none" w:color="auto"/>
      </w:rPr>
    </w:lvl>
  </w:abstractNum>
  <w:abstractNum w:abstractNumId="20">
    <w:nsid w:val="77633225"/>
    <w:multiLevelType w:val="multilevel"/>
    <w:tmpl w:val="77633225"/>
    <w:lvl w:ilvl="0" w:tentative="0">
      <w:start w:val="1"/>
      <w:numFmt w:val="decimal"/>
      <w:lvlText w:val="(%1)"/>
      <w:lvlJc w:val="left"/>
      <w:rPr>
        <w:rFonts w:hint="eastAsia" w:ascii="Times New Roman" w:hAnsi="Times New Roman" w:eastAsia="Times New Roman" w:cs="Times New Roman"/>
        <w:color w:val="000000"/>
        <w:szCs w:val="20"/>
        <w:u w:val="none" w:color="000000"/>
        <w:lang w:val="zh-CN" w:eastAsia="zh-CN" w:bidi="zh-CN"/>
      </w:rPr>
    </w:lvl>
    <w:lvl w:ilvl="1" w:tentative="0">
      <w:start w:val="1"/>
      <w:numFmt w:val="decimal"/>
      <w:lvlText w:val=""/>
      <w:lvlJc w:val="left"/>
      <w:rPr>
        <w:rFonts w:hint="default"/>
        <w:u w:val="none" w:color="auto"/>
      </w:rPr>
    </w:lvl>
    <w:lvl w:ilvl="2" w:tentative="0">
      <w:start w:val="1"/>
      <w:numFmt w:val="decimal"/>
      <w:lvlText w:val=""/>
      <w:lvlJc w:val="left"/>
      <w:rPr>
        <w:rFonts w:hint="default"/>
        <w:u w:val="none" w:color="auto"/>
      </w:rPr>
    </w:lvl>
    <w:lvl w:ilvl="3" w:tentative="0">
      <w:start w:val="1"/>
      <w:numFmt w:val="decimal"/>
      <w:lvlText w:val=""/>
      <w:lvlJc w:val="left"/>
      <w:rPr>
        <w:rFonts w:hint="default"/>
        <w:u w:val="none" w:color="auto"/>
      </w:rPr>
    </w:lvl>
    <w:lvl w:ilvl="4" w:tentative="0">
      <w:start w:val="1"/>
      <w:numFmt w:val="decimal"/>
      <w:lvlText w:val=""/>
      <w:lvlJc w:val="left"/>
      <w:rPr>
        <w:rFonts w:hint="default"/>
        <w:u w:val="none" w:color="auto"/>
      </w:rPr>
    </w:lvl>
    <w:lvl w:ilvl="5" w:tentative="0">
      <w:start w:val="1"/>
      <w:numFmt w:val="decimal"/>
      <w:lvlText w:val=""/>
      <w:lvlJc w:val="left"/>
      <w:rPr>
        <w:rFonts w:hint="default"/>
        <w:u w:val="none" w:color="auto"/>
      </w:rPr>
    </w:lvl>
    <w:lvl w:ilvl="6" w:tentative="0">
      <w:start w:val="1"/>
      <w:numFmt w:val="decimal"/>
      <w:lvlText w:val=""/>
      <w:lvlJc w:val="left"/>
      <w:rPr>
        <w:rFonts w:hint="default"/>
        <w:u w:val="none" w:color="auto"/>
      </w:rPr>
    </w:lvl>
    <w:lvl w:ilvl="7" w:tentative="0">
      <w:start w:val="1"/>
      <w:numFmt w:val="decimal"/>
      <w:lvlText w:val=""/>
      <w:lvlJc w:val="left"/>
      <w:rPr>
        <w:rFonts w:hint="default"/>
        <w:u w:val="none" w:color="auto"/>
      </w:rPr>
    </w:lvl>
    <w:lvl w:ilvl="8" w:tentative="0">
      <w:start w:val="1"/>
      <w:numFmt w:val="decimal"/>
      <w:lvlText w:val=""/>
      <w:lvlJc w:val="left"/>
      <w:rPr>
        <w:rFonts w:hint="default"/>
        <w:u w:val="none" w:color="auto"/>
      </w:rPr>
    </w:lvl>
  </w:abstractNum>
  <w:abstractNum w:abstractNumId="21">
    <w:nsid w:val="77633226"/>
    <w:multiLevelType w:val="multilevel"/>
    <w:tmpl w:val="77633226"/>
    <w:lvl w:ilvl="0" w:tentative="0">
      <w:start w:val="1"/>
      <w:numFmt w:val="decimal"/>
      <w:lvlText w:val="(%1)"/>
      <w:lvlJc w:val="left"/>
      <w:rPr>
        <w:rFonts w:hint="eastAsia" w:ascii="Times New Roman" w:hAnsi="Times New Roman" w:eastAsia="Times New Roman" w:cs="Times New Roman"/>
        <w:color w:val="000000"/>
        <w:szCs w:val="20"/>
        <w:u w:val="none" w:color="000000"/>
        <w:lang w:val="zh-CN" w:eastAsia="zh-CN" w:bidi="zh-CN"/>
      </w:rPr>
    </w:lvl>
    <w:lvl w:ilvl="1" w:tentative="0">
      <w:start w:val="1"/>
      <w:numFmt w:val="decimal"/>
      <w:lvlText w:val=""/>
      <w:lvlJc w:val="left"/>
      <w:rPr>
        <w:rFonts w:hint="default"/>
        <w:u w:val="none" w:color="auto"/>
      </w:rPr>
    </w:lvl>
    <w:lvl w:ilvl="2" w:tentative="0">
      <w:start w:val="1"/>
      <w:numFmt w:val="decimal"/>
      <w:lvlText w:val=""/>
      <w:lvlJc w:val="left"/>
      <w:rPr>
        <w:rFonts w:hint="default"/>
        <w:u w:val="none" w:color="auto"/>
      </w:rPr>
    </w:lvl>
    <w:lvl w:ilvl="3" w:tentative="0">
      <w:start w:val="1"/>
      <w:numFmt w:val="decimal"/>
      <w:lvlText w:val=""/>
      <w:lvlJc w:val="left"/>
      <w:rPr>
        <w:rFonts w:hint="default"/>
        <w:u w:val="none" w:color="auto"/>
      </w:rPr>
    </w:lvl>
    <w:lvl w:ilvl="4" w:tentative="0">
      <w:start w:val="1"/>
      <w:numFmt w:val="decimal"/>
      <w:lvlText w:val=""/>
      <w:lvlJc w:val="left"/>
      <w:rPr>
        <w:rFonts w:hint="default"/>
        <w:u w:val="none" w:color="auto"/>
      </w:rPr>
    </w:lvl>
    <w:lvl w:ilvl="5" w:tentative="0">
      <w:start w:val="1"/>
      <w:numFmt w:val="decimal"/>
      <w:lvlText w:val=""/>
      <w:lvlJc w:val="left"/>
      <w:rPr>
        <w:rFonts w:hint="default"/>
        <w:u w:val="none" w:color="auto"/>
      </w:rPr>
    </w:lvl>
    <w:lvl w:ilvl="6" w:tentative="0">
      <w:start w:val="1"/>
      <w:numFmt w:val="decimal"/>
      <w:lvlText w:val=""/>
      <w:lvlJc w:val="left"/>
      <w:rPr>
        <w:rFonts w:hint="default"/>
        <w:u w:val="none" w:color="auto"/>
      </w:rPr>
    </w:lvl>
    <w:lvl w:ilvl="7" w:tentative="0">
      <w:start w:val="1"/>
      <w:numFmt w:val="decimal"/>
      <w:lvlText w:val=""/>
      <w:lvlJc w:val="left"/>
      <w:rPr>
        <w:rFonts w:hint="default"/>
        <w:u w:val="none" w:color="auto"/>
      </w:rPr>
    </w:lvl>
    <w:lvl w:ilvl="8" w:tentative="0">
      <w:start w:val="1"/>
      <w:numFmt w:val="decimal"/>
      <w:lvlText w:val=""/>
      <w:lvlJc w:val="left"/>
      <w:rPr>
        <w:rFonts w:hint="default"/>
        <w:u w:val="none" w:color="auto"/>
      </w:rPr>
    </w:lvl>
  </w:abstractNum>
  <w:abstractNum w:abstractNumId="22">
    <w:nsid w:val="77633227"/>
    <w:multiLevelType w:val="multilevel"/>
    <w:tmpl w:val="77633227"/>
    <w:lvl w:ilvl="0" w:tentative="0">
      <w:start w:val="1"/>
      <w:numFmt w:val="decimal"/>
      <w:lvlText w:val="(%1)"/>
      <w:lvlJc w:val="left"/>
      <w:rPr>
        <w:rFonts w:hint="eastAsia" w:ascii="Times New Roman" w:hAnsi="Times New Roman" w:eastAsia="Times New Roman" w:cs="Times New Roman"/>
        <w:color w:val="000000"/>
        <w:szCs w:val="20"/>
        <w:u w:val="none" w:color="000000"/>
        <w:lang w:val="zh-CN" w:eastAsia="zh-CN" w:bidi="zh-CN"/>
      </w:rPr>
    </w:lvl>
    <w:lvl w:ilvl="1" w:tentative="0">
      <w:start w:val="1"/>
      <w:numFmt w:val="decimal"/>
      <w:lvlText w:val=""/>
      <w:lvlJc w:val="left"/>
      <w:rPr>
        <w:rFonts w:hint="default"/>
        <w:u w:val="none" w:color="auto"/>
      </w:rPr>
    </w:lvl>
    <w:lvl w:ilvl="2" w:tentative="0">
      <w:start w:val="1"/>
      <w:numFmt w:val="decimal"/>
      <w:lvlText w:val=""/>
      <w:lvlJc w:val="left"/>
      <w:rPr>
        <w:rFonts w:hint="default"/>
        <w:u w:val="none" w:color="auto"/>
      </w:rPr>
    </w:lvl>
    <w:lvl w:ilvl="3" w:tentative="0">
      <w:start w:val="1"/>
      <w:numFmt w:val="decimal"/>
      <w:lvlText w:val=""/>
      <w:lvlJc w:val="left"/>
      <w:rPr>
        <w:rFonts w:hint="default"/>
        <w:u w:val="none" w:color="auto"/>
      </w:rPr>
    </w:lvl>
    <w:lvl w:ilvl="4" w:tentative="0">
      <w:start w:val="1"/>
      <w:numFmt w:val="decimal"/>
      <w:lvlText w:val=""/>
      <w:lvlJc w:val="left"/>
      <w:rPr>
        <w:rFonts w:hint="default"/>
        <w:u w:val="none" w:color="auto"/>
      </w:rPr>
    </w:lvl>
    <w:lvl w:ilvl="5" w:tentative="0">
      <w:start w:val="1"/>
      <w:numFmt w:val="decimal"/>
      <w:lvlText w:val=""/>
      <w:lvlJc w:val="left"/>
      <w:rPr>
        <w:rFonts w:hint="default"/>
        <w:u w:val="none" w:color="auto"/>
      </w:rPr>
    </w:lvl>
    <w:lvl w:ilvl="6" w:tentative="0">
      <w:start w:val="1"/>
      <w:numFmt w:val="decimal"/>
      <w:lvlText w:val=""/>
      <w:lvlJc w:val="left"/>
      <w:rPr>
        <w:rFonts w:hint="default"/>
        <w:u w:val="none" w:color="auto"/>
      </w:rPr>
    </w:lvl>
    <w:lvl w:ilvl="7" w:tentative="0">
      <w:start w:val="1"/>
      <w:numFmt w:val="decimal"/>
      <w:lvlText w:val=""/>
      <w:lvlJc w:val="left"/>
      <w:rPr>
        <w:rFonts w:hint="default"/>
        <w:u w:val="none" w:color="auto"/>
      </w:rPr>
    </w:lvl>
    <w:lvl w:ilvl="8" w:tentative="0">
      <w:start w:val="1"/>
      <w:numFmt w:val="decimal"/>
      <w:lvlText w:val=""/>
      <w:lvlJc w:val="left"/>
      <w:rPr>
        <w:rFonts w:hint="default"/>
        <w:u w:val="none" w:color="auto"/>
      </w:rPr>
    </w:lvl>
  </w:abstractNum>
  <w:abstractNum w:abstractNumId="23">
    <w:nsid w:val="77633228"/>
    <w:multiLevelType w:val="multilevel"/>
    <w:tmpl w:val="77633228"/>
    <w:lvl w:ilvl="0" w:tentative="0">
      <w:start w:val="1"/>
      <w:numFmt w:val="decimal"/>
      <w:lvlText w:val="(%1)"/>
      <w:lvlJc w:val="left"/>
      <w:rPr>
        <w:rFonts w:hint="eastAsia" w:ascii="Times New Roman" w:hAnsi="Times New Roman" w:eastAsia="Times New Roman" w:cs="Times New Roman"/>
        <w:color w:val="000000"/>
        <w:szCs w:val="20"/>
        <w:u w:val="none" w:color="000000"/>
        <w:lang w:val="zh-CN" w:eastAsia="zh-CN" w:bidi="zh-CN"/>
      </w:rPr>
    </w:lvl>
    <w:lvl w:ilvl="1" w:tentative="0">
      <w:start w:val="1"/>
      <w:numFmt w:val="decimal"/>
      <w:lvlText w:val=""/>
      <w:lvlJc w:val="left"/>
      <w:rPr>
        <w:rFonts w:hint="default"/>
        <w:u w:val="none" w:color="auto"/>
      </w:rPr>
    </w:lvl>
    <w:lvl w:ilvl="2" w:tentative="0">
      <w:start w:val="1"/>
      <w:numFmt w:val="decimal"/>
      <w:lvlText w:val=""/>
      <w:lvlJc w:val="left"/>
      <w:rPr>
        <w:rFonts w:hint="default"/>
        <w:u w:val="none" w:color="auto"/>
      </w:rPr>
    </w:lvl>
    <w:lvl w:ilvl="3" w:tentative="0">
      <w:start w:val="1"/>
      <w:numFmt w:val="decimal"/>
      <w:lvlText w:val=""/>
      <w:lvlJc w:val="left"/>
      <w:rPr>
        <w:rFonts w:hint="default"/>
        <w:u w:val="none" w:color="auto"/>
      </w:rPr>
    </w:lvl>
    <w:lvl w:ilvl="4" w:tentative="0">
      <w:start w:val="1"/>
      <w:numFmt w:val="decimal"/>
      <w:lvlText w:val=""/>
      <w:lvlJc w:val="left"/>
      <w:rPr>
        <w:rFonts w:hint="default"/>
        <w:u w:val="none" w:color="auto"/>
      </w:rPr>
    </w:lvl>
    <w:lvl w:ilvl="5" w:tentative="0">
      <w:start w:val="1"/>
      <w:numFmt w:val="decimal"/>
      <w:lvlText w:val=""/>
      <w:lvlJc w:val="left"/>
      <w:rPr>
        <w:rFonts w:hint="default"/>
        <w:u w:val="none" w:color="auto"/>
      </w:rPr>
    </w:lvl>
    <w:lvl w:ilvl="6" w:tentative="0">
      <w:start w:val="1"/>
      <w:numFmt w:val="decimal"/>
      <w:lvlText w:val=""/>
      <w:lvlJc w:val="left"/>
      <w:rPr>
        <w:rFonts w:hint="default"/>
        <w:u w:val="none" w:color="auto"/>
      </w:rPr>
    </w:lvl>
    <w:lvl w:ilvl="7" w:tentative="0">
      <w:start w:val="1"/>
      <w:numFmt w:val="decimal"/>
      <w:lvlText w:val=""/>
      <w:lvlJc w:val="left"/>
      <w:rPr>
        <w:rFonts w:hint="default"/>
        <w:u w:val="none" w:color="auto"/>
      </w:rPr>
    </w:lvl>
    <w:lvl w:ilvl="8" w:tentative="0">
      <w:start w:val="1"/>
      <w:numFmt w:val="decimal"/>
      <w:lvlText w:val=""/>
      <w:lvlJc w:val="left"/>
      <w:rPr>
        <w:rFonts w:hint="default"/>
        <w:u w:val="none" w:color="auto"/>
      </w:rPr>
    </w:lvl>
  </w:abstractNum>
  <w:abstractNum w:abstractNumId="24">
    <w:nsid w:val="77633229"/>
    <w:multiLevelType w:val="multilevel"/>
    <w:tmpl w:val="77633229"/>
    <w:lvl w:ilvl="0" w:tentative="0">
      <w:start w:val="1"/>
      <w:numFmt w:val="decimal"/>
      <w:lvlText w:val="(%1)"/>
      <w:lvlJc w:val="left"/>
      <w:rPr>
        <w:rFonts w:hint="eastAsia" w:ascii="Times New Roman" w:hAnsi="Times New Roman" w:eastAsia="Times New Roman" w:cs="Times New Roman"/>
        <w:color w:val="000000"/>
        <w:szCs w:val="20"/>
        <w:u w:val="none" w:color="000000"/>
        <w:lang w:val="zh-CN" w:eastAsia="zh-CN" w:bidi="zh-CN"/>
      </w:rPr>
    </w:lvl>
    <w:lvl w:ilvl="1" w:tentative="0">
      <w:start w:val="1"/>
      <w:numFmt w:val="decimal"/>
      <w:lvlText w:val=""/>
      <w:lvlJc w:val="left"/>
      <w:rPr>
        <w:rFonts w:hint="default"/>
        <w:u w:val="none" w:color="auto"/>
      </w:rPr>
    </w:lvl>
    <w:lvl w:ilvl="2" w:tentative="0">
      <w:start w:val="1"/>
      <w:numFmt w:val="decimal"/>
      <w:lvlText w:val=""/>
      <w:lvlJc w:val="left"/>
      <w:rPr>
        <w:rFonts w:hint="default"/>
        <w:u w:val="none" w:color="auto"/>
      </w:rPr>
    </w:lvl>
    <w:lvl w:ilvl="3" w:tentative="0">
      <w:start w:val="1"/>
      <w:numFmt w:val="decimal"/>
      <w:lvlText w:val=""/>
      <w:lvlJc w:val="left"/>
      <w:rPr>
        <w:rFonts w:hint="default"/>
        <w:u w:val="none" w:color="auto"/>
      </w:rPr>
    </w:lvl>
    <w:lvl w:ilvl="4" w:tentative="0">
      <w:start w:val="1"/>
      <w:numFmt w:val="decimal"/>
      <w:lvlText w:val=""/>
      <w:lvlJc w:val="left"/>
      <w:rPr>
        <w:rFonts w:hint="default"/>
        <w:u w:val="none" w:color="auto"/>
      </w:rPr>
    </w:lvl>
    <w:lvl w:ilvl="5" w:tentative="0">
      <w:start w:val="1"/>
      <w:numFmt w:val="decimal"/>
      <w:lvlText w:val=""/>
      <w:lvlJc w:val="left"/>
      <w:rPr>
        <w:rFonts w:hint="default"/>
        <w:u w:val="none" w:color="auto"/>
      </w:rPr>
    </w:lvl>
    <w:lvl w:ilvl="6" w:tentative="0">
      <w:start w:val="1"/>
      <w:numFmt w:val="decimal"/>
      <w:lvlText w:val=""/>
      <w:lvlJc w:val="left"/>
      <w:rPr>
        <w:rFonts w:hint="default"/>
        <w:u w:val="none" w:color="auto"/>
      </w:rPr>
    </w:lvl>
    <w:lvl w:ilvl="7" w:tentative="0">
      <w:start w:val="1"/>
      <w:numFmt w:val="decimal"/>
      <w:lvlText w:val=""/>
      <w:lvlJc w:val="left"/>
      <w:rPr>
        <w:rFonts w:hint="default"/>
        <w:u w:val="none" w:color="auto"/>
      </w:rPr>
    </w:lvl>
    <w:lvl w:ilvl="8" w:tentative="0">
      <w:start w:val="1"/>
      <w:numFmt w:val="decimal"/>
      <w:lvlText w:val=""/>
      <w:lvlJc w:val="left"/>
      <w:rPr>
        <w:rFonts w:hint="default"/>
        <w:u w:val="none" w:color="auto"/>
      </w:rPr>
    </w:lvl>
  </w:abstractNum>
  <w:abstractNum w:abstractNumId="25">
    <w:nsid w:val="7763322A"/>
    <w:multiLevelType w:val="multilevel"/>
    <w:tmpl w:val="7763322A"/>
    <w:lvl w:ilvl="0" w:tentative="0">
      <w:start w:val="1"/>
      <w:numFmt w:val="decimal"/>
      <w:lvlText w:val="(%1)"/>
      <w:lvlJc w:val="left"/>
      <w:rPr>
        <w:rFonts w:hint="eastAsia" w:ascii="Times New Roman" w:hAnsi="Times New Roman" w:eastAsia="Times New Roman" w:cs="Times New Roman"/>
        <w:color w:val="000000"/>
        <w:szCs w:val="20"/>
        <w:u w:val="none" w:color="000000"/>
        <w:lang w:val="zh-CN" w:eastAsia="zh-CN" w:bidi="zh-CN"/>
      </w:rPr>
    </w:lvl>
    <w:lvl w:ilvl="1" w:tentative="0">
      <w:start w:val="1"/>
      <w:numFmt w:val="decimal"/>
      <w:lvlText w:val=""/>
      <w:lvlJc w:val="left"/>
      <w:rPr>
        <w:rFonts w:hint="default"/>
        <w:u w:val="none" w:color="auto"/>
      </w:rPr>
    </w:lvl>
    <w:lvl w:ilvl="2" w:tentative="0">
      <w:start w:val="1"/>
      <w:numFmt w:val="decimal"/>
      <w:lvlText w:val=""/>
      <w:lvlJc w:val="left"/>
      <w:rPr>
        <w:rFonts w:hint="default"/>
        <w:u w:val="none" w:color="auto"/>
      </w:rPr>
    </w:lvl>
    <w:lvl w:ilvl="3" w:tentative="0">
      <w:start w:val="1"/>
      <w:numFmt w:val="decimal"/>
      <w:lvlText w:val=""/>
      <w:lvlJc w:val="left"/>
      <w:rPr>
        <w:rFonts w:hint="default"/>
        <w:u w:val="none" w:color="auto"/>
      </w:rPr>
    </w:lvl>
    <w:lvl w:ilvl="4" w:tentative="0">
      <w:start w:val="1"/>
      <w:numFmt w:val="decimal"/>
      <w:lvlText w:val=""/>
      <w:lvlJc w:val="left"/>
      <w:rPr>
        <w:rFonts w:hint="default"/>
        <w:u w:val="none" w:color="auto"/>
      </w:rPr>
    </w:lvl>
    <w:lvl w:ilvl="5" w:tentative="0">
      <w:start w:val="1"/>
      <w:numFmt w:val="decimal"/>
      <w:lvlText w:val=""/>
      <w:lvlJc w:val="left"/>
      <w:rPr>
        <w:rFonts w:hint="default"/>
        <w:u w:val="none" w:color="auto"/>
      </w:rPr>
    </w:lvl>
    <w:lvl w:ilvl="6" w:tentative="0">
      <w:start w:val="1"/>
      <w:numFmt w:val="decimal"/>
      <w:lvlText w:val=""/>
      <w:lvlJc w:val="left"/>
      <w:rPr>
        <w:rFonts w:hint="default"/>
        <w:u w:val="none" w:color="auto"/>
      </w:rPr>
    </w:lvl>
    <w:lvl w:ilvl="7" w:tentative="0">
      <w:start w:val="1"/>
      <w:numFmt w:val="decimal"/>
      <w:lvlText w:val=""/>
      <w:lvlJc w:val="left"/>
      <w:rPr>
        <w:rFonts w:hint="default"/>
        <w:u w:val="none" w:color="auto"/>
      </w:rPr>
    </w:lvl>
    <w:lvl w:ilvl="8" w:tentative="0">
      <w:start w:val="1"/>
      <w:numFmt w:val="decimal"/>
      <w:lvlText w:val=""/>
      <w:lvlJc w:val="left"/>
      <w:rPr>
        <w:rFonts w:hint="default"/>
        <w:u w:val="none" w:color="auto"/>
      </w:rPr>
    </w:lvl>
  </w:abstractNum>
  <w:abstractNum w:abstractNumId="26">
    <w:nsid w:val="7763322B"/>
    <w:multiLevelType w:val="multilevel"/>
    <w:tmpl w:val="7763322B"/>
    <w:lvl w:ilvl="0" w:tentative="0">
      <w:start w:val="1"/>
      <w:numFmt w:val="decimal"/>
      <w:lvlText w:val="(%1)"/>
      <w:lvlJc w:val="left"/>
      <w:rPr>
        <w:rFonts w:hint="eastAsia" w:ascii="Times New Roman" w:hAnsi="Times New Roman" w:eastAsia="Times New Roman" w:cs="Times New Roman"/>
        <w:color w:val="000000"/>
        <w:szCs w:val="20"/>
        <w:u w:val="none" w:color="000000"/>
        <w:lang w:val="zh-CN" w:eastAsia="zh-CN" w:bidi="zh-CN"/>
      </w:rPr>
    </w:lvl>
    <w:lvl w:ilvl="1" w:tentative="0">
      <w:start w:val="1"/>
      <w:numFmt w:val="decimal"/>
      <w:lvlText w:val=""/>
      <w:lvlJc w:val="left"/>
      <w:rPr>
        <w:rFonts w:hint="default"/>
        <w:u w:val="none" w:color="auto"/>
      </w:rPr>
    </w:lvl>
    <w:lvl w:ilvl="2" w:tentative="0">
      <w:start w:val="1"/>
      <w:numFmt w:val="decimal"/>
      <w:lvlText w:val=""/>
      <w:lvlJc w:val="left"/>
      <w:rPr>
        <w:rFonts w:hint="default"/>
        <w:u w:val="none" w:color="auto"/>
      </w:rPr>
    </w:lvl>
    <w:lvl w:ilvl="3" w:tentative="0">
      <w:start w:val="1"/>
      <w:numFmt w:val="decimal"/>
      <w:lvlText w:val=""/>
      <w:lvlJc w:val="left"/>
      <w:rPr>
        <w:rFonts w:hint="default"/>
        <w:u w:val="none" w:color="auto"/>
      </w:rPr>
    </w:lvl>
    <w:lvl w:ilvl="4" w:tentative="0">
      <w:start w:val="1"/>
      <w:numFmt w:val="decimal"/>
      <w:lvlText w:val=""/>
      <w:lvlJc w:val="left"/>
      <w:rPr>
        <w:rFonts w:hint="default"/>
        <w:u w:val="none" w:color="auto"/>
      </w:rPr>
    </w:lvl>
    <w:lvl w:ilvl="5" w:tentative="0">
      <w:start w:val="1"/>
      <w:numFmt w:val="decimal"/>
      <w:lvlText w:val=""/>
      <w:lvlJc w:val="left"/>
      <w:rPr>
        <w:rFonts w:hint="default"/>
        <w:u w:val="none" w:color="auto"/>
      </w:rPr>
    </w:lvl>
    <w:lvl w:ilvl="6" w:tentative="0">
      <w:start w:val="1"/>
      <w:numFmt w:val="decimal"/>
      <w:lvlText w:val=""/>
      <w:lvlJc w:val="left"/>
      <w:rPr>
        <w:rFonts w:hint="default"/>
        <w:u w:val="none" w:color="auto"/>
      </w:rPr>
    </w:lvl>
    <w:lvl w:ilvl="7" w:tentative="0">
      <w:start w:val="1"/>
      <w:numFmt w:val="decimal"/>
      <w:lvlText w:val=""/>
      <w:lvlJc w:val="left"/>
      <w:rPr>
        <w:rFonts w:hint="default"/>
        <w:u w:val="none" w:color="auto"/>
      </w:rPr>
    </w:lvl>
    <w:lvl w:ilvl="8" w:tentative="0">
      <w:start w:val="1"/>
      <w:numFmt w:val="decimal"/>
      <w:lvlText w:val=""/>
      <w:lvlJc w:val="left"/>
      <w:rPr>
        <w:rFonts w:hint="default"/>
        <w:u w:val="none" w:color="auto"/>
      </w:rPr>
    </w:lvl>
  </w:abstractNum>
  <w:abstractNum w:abstractNumId="27">
    <w:nsid w:val="7763322C"/>
    <w:multiLevelType w:val="multilevel"/>
    <w:tmpl w:val="7763322C"/>
    <w:lvl w:ilvl="0" w:tentative="0">
      <w:start w:val="1"/>
      <w:numFmt w:val="decimal"/>
      <w:lvlText w:val="(%1)"/>
      <w:lvlJc w:val="left"/>
      <w:rPr>
        <w:rFonts w:hint="eastAsia" w:ascii="Times New Roman" w:hAnsi="Times New Roman" w:eastAsia="Times New Roman" w:cs="Times New Roman"/>
        <w:color w:val="000000"/>
        <w:szCs w:val="20"/>
        <w:u w:val="none" w:color="000000"/>
        <w:lang w:val="zh-CN" w:eastAsia="zh-CN" w:bidi="zh-CN"/>
      </w:rPr>
    </w:lvl>
    <w:lvl w:ilvl="1" w:tentative="0">
      <w:start w:val="1"/>
      <w:numFmt w:val="decimal"/>
      <w:lvlText w:val=""/>
      <w:lvlJc w:val="left"/>
      <w:rPr>
        <w:rFonts w:hint="default"/>
        <w:u w:val="none" w:color="auto"/>
      </w:rPr>
    </w:lvl>
    <w:lvl w:ilvl="2" w:tentative="0">
      <w:start w:val="1"/>
      <w:numFmt w:val="decimal"/>
      <w:lvlText w:val=""/>
      <w:lvlJc w:val="left"/>
      <w:rPr>
        <w:rFonts w:hint="default"/>
        <w:u w:val="none" w:color="auto"/>
      </w:rPr>
    </w:lvl>
    <w:lvl w:ilvl="3" w:tentative="0">
      <w:start w:val="1"/>
      <w:numFmt w:val="decimal"/>
      <w:lvlText w:val=""/>
      <w:lvlJc w:val="left"/>
      <w:rPr>
        <w:rFonts w:hint="default"/>
        <w:u w:val="none" w:color="auto"/>
      </w:rPr>
    </w:lvl>
    <w:lvl w:ilvl="4" w:tentative="0">
      <w:start w:val="1"/>
      <w:numFmt w:val="decimal"/>
      <w:lvlText w:val=""/>
      <w:lvlJc w:val="left"/>
      <w:rPr>
        <w:rFonts w:hint="default"/>
        <w:u w:val="none" w:color="auto"/>
      </w:rPr>
    </w:lvl>
    <w:lvl w:ilvl="5" w:tentative="0">
      <w:start w:val="1"/>
      <w:numFmt w:val="decimal"/>
      <w:lvlText w:val=""/>
      <w:lvlJc w:val="left"/>
      <w:rPr>
        <w:rFonts w:hint="default"/>
        <w:u w:val="none" w:color="auto"/>
      </w:rPr>
    </w:lvl>
    <w:lvl w:ilvl="6" w:tentative="0">
      <w:start w:val="1"/>
      <w:numFmt w:val="decimal"/>
      <w:lvlText w:val=""/>
      <w:lvlJc w:val="left"/>
      <w:rPr>
        <w:rFonts w:hint="default"/>
        <w:u w:val="none" w:color="auto"/>
      </w:rPr>
    </w:lvl>
    <w:lvl w:ilvl="7" w:tentative="0">
      <w:start w:val="1"/>
      <w:numFmt w:val="decimal"/>
      <w:lvlText w:val=""/>
      <w:lvlJc w:val="left"/>
      <w:rPr>
        <w:rFonts w:hint="default"/>
        <w:u w:val="none" w:color="auto"/>
      </w:rPr>
    </w:lvl>
    <w:lvl w:ilvl="8" w:tentative="0">
      <w:start w:val="1"/>
      <w:numFmt w:val="decimal"/>
      <w:lvlText w:val=""/>
      <w:lvlJc w:val="left"/>
      <w:rPr>
        <w:rFonts w:hint="default"/>
        <w:u w:val="none" w:color="auto"/>
      </w:rPr>
    </w:lvl>
  </w:abstractNum>
  <w:abstractNum w:abstractNumId="28">
    <w:nsid w:val="7763322D"/>
    <w:multiLevelType w:val="multilevel"/>
    <w:tmpl w:val="7763322D"/>
    <w:lvl w:ilvl="0" w:tentative="0">
      <w:start w:val="1"/>
      <w:numFmt w:val="decimal"/>
      <w:lvlText w:val="(%1)"/>
      <w:lvlJc w:val="left"/>
      <w:rPr>
        <w:rFonts w:hint="eastAsia" w:ascii="Times New Roman" w:hAnsi="Times New Roman" w:eastAsia="Times New Roman" w:cs="Times New Roman"/>
        <w:color w:val="000000"/>
        <w:szCs w:val="20"/>
        <w:u w:val="none" w:color="000000"/>
        <w:lang w:val="zh-CN" w:eastAsia="zh-CN" w:bidi="zh-CN"/>
      </w:rPr>
    </w:lvl>
    <w:lvl w:ilvl="1" w:tentative="0">
      <w:start w:val="1"/>
      <w:numFmt w:val="decimal"/>
      <w:lvlText w:val=""/>
      <w:lvlJc w:val="left"/>
      <w:rPr>
        <w:rFonts w:hint="default"/>
        <w:u w:val="none" w:color="auto"/>
      </w:rPr>
    </w:lvl>
    <w:lvl w:ilvl="2" w:tentative="0">
      <w:start w:val="1"/>
      <w:numFmt w:val="decimal"/>
      <w:lvlText w:val=""/>
      <w:lvlJc w:val="left"/>
      <w:rPr>
        <w:rFonts w:hint="default"/>
        <w:u w:val="none" w:color="auto"/>
      </w:rPr>
    </w:lvl>
    <w:lvl w:ilvl="3" w:tentative="0">
      <w:start w:val="1"/>
      <w:numFmt w:val="decimal"/>
      <w:lvlText w:val=""/>
      <w:lvlJc w:val="left"/>
      <w:rPr>
        <w:rFonts w:hint="default"/>
        <w:u w:val="none" w:color="auto"/>
      </w:rPr>
    </w:lvl>
    <w:lvl w:ilvl="4" w:tentative="0">
      <w:start w:val="1"/>
      <w:numFmt w:val="decimal"/>
      <w:lvlText w:val=""/>
      <w:lvlJc w:val="left"/>
      <w:rPr>
        <w:rFonts w:hint="default"/>
        <w:u w:val="none" w:color="auto"/>
      </w:rPr>
    </w:lvl>
    <w:lvl w:ilvl="5" w:tentative="0">
      <w:start w:val="1"/>
      <w:numFmt w:val="decimal"/>
      <w:lvlText w:val=""/>
      <w:lvlJc w:val="left"/>
      <w:rPr>
        <w:rFonts w:hint="default"/>
        <w:u w:val="none" w:color="auto"/>
      </w:rPr>
    </w:lvl>
    <w:lvl w:ilvl="6" w:tentative="0">
      <w:start w:val="1"/>
      <w:numFmt w:val="decimal"/>
      <w:lvlText w:val=""/>
      <w:lvlJc w:val="left"/>
      <w:rPr>
        <w:rFonts w:hint="default"/>
        <w:u w:val="none" w:color="auto"/>
      </w:rPr>
    </w:lvl>
    <w:lvl w:ilvl="7" w:tentative="0">
      <w:start w:val="1"/>
      <w:numFmt w:val="decimal"/>
      <w:lvlText w:val=""/>
      <w:lvlJc w:val="left"/>
      <w:rPr>
        <w:rFonts w:hint="default"/>
        <w:u w:val="none" w:color="auto"/>
      </w:rPr>
    </w:lvl>
    <w:lvl w:ilvl="8" w:tentative="0">
      <w:start w:val="1"/>
      <w:numFmt w:val="decimal"/>
      <w:lvlText w:val=""/>
      <w:lvlJc w:val="left"/>
      <w:rPr>
        <w:rFonts w:hint="default"/>
        <w:u w:val="none" w:color="auto"/>
      </w:rPr>
    </w:lvl>
  </w:abstractNum>
  <w:abstractNum w:abstractNumId="29">
    <w:nsid w:val="7763322E"/>
    <w:multiLevelType w:val="multilevel"/>
    <w:tmpl w:val="7763322E"/>
    <w:lvl w:ilvl="0" w:tentative="0">
      <w:start w:val="1"/>
      <w:numFmt w:val="decimal"/>
      <w:lvlText w:val="(%1)"/>
      <w:lvlJc w:val="left"/>
      <w:rPr>
        <w:rFonts w:hint="eastAsia" w:ascii="Times New Roman" w:hAnsi="Times New Roman" w:eastAsia="Times New Roman" w:cs="Times New Roman"/>
        <w:color w:val="000000"/>
        <w:szCs w:val="20"/>
        <w:u w:val="none" w:color="000000"/>
        <w:lang w:val="zh-CN" w:eastAsia="zh-CN" w:bidi="zh-CN"/>
      </w:rPr>
    </w:lvl>
    <w:lvl w:ilvl="1" w:tentative="0">
      <w:start w:val="1"/>
      <w:numFmt w:val="decimal"/>
      <w:lvlText w:val=""/>
      <w:lvlJc w:val="left"/>
      <w:rPr>
        <w:rFonts w:hint="default"/>
        <w:u w:val="none" w:color="auto"/>
      </w:rPr>
    </w:lvl>
    <w:lvl w:ilvl="2" w:tentative="0">
      <w:start w:val="1"/>
      <w:numFmt w:val="decimal"/>
      <w:lvlText w:val=""/>
      <w:lvlJc w:val="left"/>
      <w:rPr>
        <w:rFonts w:hint="default"/>
        <w:u w:val="none" w:color="auto"/>
      </w:rPr>
    </w:lvl>
    <w:lvl w:ilvl="3" w:tentative="0">
      <w:start w:val="1"/>
      <w:numFmt w:val="decimal"/>
      <w:lvlText w:val=""/>
      <w:lvlJc w:val="left"/>
      <w:rPr>
        <w:rFonts w:hint="default"/>
        <w:u w:val="none" w:color="auto"/>
      </w:rPr>
    </w:lvl>
    <w:lvl w:ilvl="4" w:tentative="0">
      <w:start w:val="1"/>
      <w:numFmt w:val="decimal"/>
      <w:lvlText w:val=""/>
      <w:lvlJc w:val="left"/>
      <w:rPr>
        <w:rFonts w:hint="default"/>
        <w:u w:val="none" w:color="auto"/>
      </w:rPr>
    </w:lvl>
    <w:lvl w:ilvl="5" w:tentative="0">
      <w:start w:val="1"/>
      <w:numFmt w:val="decimal"/>
      <w:lvlText w:val=""/>
      <w:lvlJc w:val="left"/>
      <w:rPr>
        <w:rFonts w:hint="default"/>
        <w:u w:val="none" w:color="auto"/>
      </w:rPr>
    </w:lvl>
    <w:lvl w:ilvl="6" w:tentative="0">
      <w:start w:val="1"/>
      <w:numFmt w:val="decimal"/>
      <w:lvlText w:val=""/>
      <w:lvlJc w:val="left"/>
      <w:rPr>
        <w:rFonts w:hint="default"/>
        <w:u w:val="none" w:color="auto"/>
      </w:rPr>
    </w:lvl>
    <w:lvl w:ilvl="7" w:tentative="0">
      <w:start w:val="1"/>
      <w:numFmt w:val="decimal"/>
      <w:lvlText w:val=""/>
      <w:lvlJc w:val="left"/>
      <w:rPr>
        <w:rFonts w:hint="default"/>
        <w:u w:val="none" w:color="auto"/>
      </w:rPr>
    </w:lvl>
    <w:lvl w:ilvl="8" w:tentative="0">
      <w:start w:val="1"/>
      <w:numFmt w:val="decimal"/>
      <w:lvlText w:val=""/>
      <w:lvlJc w:val="left"/>
      <w:rPr>
        <w:rFonts w:hint="default"/>
        <w:u w:val="none" w:color="auto"/>
      </w:rPr>
    </w:lvl>
  </w:abstractNum>
  <w:abstractNum w:abstractNumId="30">
    <w:nsid w:val="7763322F"/>
    <w:multiLevelType w:val="multilevel"/>
    <w:tmpl w:val="7763322F"/>
    <w:lvl w:ilvl="0" w:tentative="0">
      <w:start w:val="1"/>
      <w:numFmt w:val="decimal"/>
      <w:lvlText w:val="(%1)"/>
      <w:lvlJc w:val="left"/>
      <w:rPr>
        <w:rFonts w:hint="eastAsia" w:ascii="Times New Roman" w:hAnsi="Times New Roman" w:eastAsia="Times New Roman" w:cs="Times New Roman"/>
        <w:color w:val="000000"/>
        <w:szCs w:val="20"/>
        <w:u w:val="none" w:color="000000"/>
        <w:lang w:val="zh-CN" w:eastAsia="zh-CN" w:bidi="zh-CN"/>
      </w:rPr>
    </w:lvl>
    <w:lvl w:ilvl="1" w:tentative="0">
      <w:start w:val="1"/>
      <w:numFmt w:val="decimal"/>
      <w:lvlText w:val=""/>
      <w:lvlJc w:val="left"/>
      <w:rPr>
        <w:rFonts w:hint="default"/>
        <w:u w:val="none" w:color="auto"/>
      </w:rPr>
    </w:lvl>
    <w:lvl w:ilvl="2" w:tentative="0">
      <w:start w:val="1"/>
      <w:numFmt w:val="decimal"/>
      <w:lvlText w:val=""/>
      <w:lvlJc w:val="left"/>
      <w:rPr>
        <w:rFonts w:hint="default"/>
        <w:u w:val="none" w:color="auto"/>
      </w:rPr>
    </w:lvl>
    <w:lvl w:ilvl="3" w:tentative="0">
      <w:start w:val="1"/>
      <w:numFmt w:val="decimal"/>
      <w:lvlText w:val=""/>
      <w:lvlJc w:val="left"/>
      <w:rPr>
        <w:rFonts w:hint="default"/>
        <w:u w:val="none" w:color="auto"/>
      </w:rPr>
    </w:lvl>
    <w:lvl w:ilvl="4" w:tentative="0">
      <w:start w:val="1"/>
      <w:numFmt w:val="decimal"/>
      <w:lvlText w:val=""/>
      <w:lvlJc w:val="left"/>
      <w:rPr>
        <w:rFonts w:hint="default"/>
        <w:u w:val="none" w:color="auto"/>
      </w:rPr>
    </w:lvl>
    <w:lvl w:ilvl="5" w:tentative="0">
      <w:start w:val="1"/>
      <w:numFmt w:val="decimal"/>
      <w:lvlText w:val=""/>
      <w:lvlJc w:val="left"/>
      <w:rPr>
        <w:rFonts w:hint="default"/>
        <w:u w:val="none" w:color="auto"/>
      </w:rPr>
    </w:lvl>
    <w:lvl w:ilvl="6" w:tentative="0">
      <w:start w:val="1"/>
      <w:numFmt w:val="decimal"/>
      <w:lvlText w:val=""/>
      <w:lvlJc w:val="left"/>
      <w:rPr>
        <w:rFonts w:hint="default"/>
        <w:u w:val="none" w:color="auto"/>
      </w:rPr>
    </w:lvl>
    <w:lvl w:ilvl="7" w:tentative="0">
      <w:start w:val="1"/>
      <w:numFmt w:val="decimal"/>
      <w:lvlText w:val=""/>
      <w:lvlJc w:val="left"/>
      <w:rPr>
        <w:rFonts w:hint="default"/>
        <w:u w:val="none" w:color="auto"/>
      </w:rPr>
    </w:lvl>
    <w:lvl w:ilvl="8" w:tentative="0">
      <w:start w:val="1"/>
      <w:numFmt w:val="decimal"/>
      <w:lvlText w:val=""/>
      <w:lvlJc w:val="left"/>
      <w:rPr>
        <w:rFonts w:hint="default"/>
        <w:u w:val="none" w:color="auto"/>
      </w:rPr>
    </w:lvl>
  </w:abstractNum>
  <w:abstractNum w:abstractNumId="31">
    <w:nsid w:val="77633230"/>
    <w:multiLevelType w:val="multilevel"/>
    <w:tmpl w:val="77633230"/>
    <w:lvl w:ilvl="0" w:tentative="0">
      <w:start w:val="1"/>
      <w:numFmt w:val="decimal"/>
      <w:lvlText w:val="(%1)"/>
      <w:lvlJc w:val="left"/>
      <w:rPr>
        <w:rFonts w:hint="eastAsia" w:ascii="Times New Roman" w:hAnsi="Times New Roman" w:eastAsia="Times New Roman" w:cs="Times New Roman"/>
        <w:color w:val="000000"/>
        <w:szCs w:val="20"/>
        <w:u w:val="none" w:color="000000"/>
        <w:lang w:val="zh-CN" w:eastAsia="zh-CN" w:bidi="zh-CN"/>
      </w:rPr>
    </w:lvl>
    <w:lvl w:ilvl="1" w:tentative="0">
      <w:start w:val="1"/>
      <w:numFmt w:val="decimal"/>
      <w:lvlText w:val=""/>
      <w:lvlJc w:val="left"/>
      <w:rPr>
        <w:rFonts w:hint="default"/>
        <w:u w:val="none" w:color="auto"/>
      </w:rPr>
    </w:lvl>
    <w:lvl w:ilvl="2" w:tentative="0">
      <w:start w:val="1"/>
      <w:numFmt w:val="decimal"/>
      <w:lvlText w:val=""/>
      <w:lvlJc w:val="left"/>
      <w:rPr>
        <w:rFonts w:hint="default"/>
        <w:u w:val="none" w:color="auto"/>
      </w:rPr>
    </w:lvl>
    <w:lvl w:ilvl="3" w:tentative="0">
      <w:start w:val="1"/>
      <w:numFmt w:val="decimal"/>
      <w:lvlText w:val=""/>
      <w:lvlJc w:val="left"/>
      <w:rPr>
        <w:rFonts w:hint="default"/>
        <w:u w:val="none" w:color="auto"/>
      </w:rPr>
    </w:lvl>
    <w:lvl w:ilvl="4" w:tentative="0">
      <w:start w:val="1"/>
      <w:numFmt w:val="decimal"/>
      <w:lvlText w:val=""/>
      <w:lvlJc w:val="left"/>
      <w:rPr>
        <w:rFonts w:hint="default"/>
        <w:u w:val="none" w:color="auto"/>
      </w:rPr>
    </w:lvl>
    <w:lvl w:ilvl="5" w:tentative="0">
      <w:start w:val="1"/>
      <w:numFmt w:val="decimal"/>
      <w:lvlText w:val=""/>
      <w:lvlJc w:val="left"/>
      <w:rPr>
        <w:rFonts w:hint="default"/>
        <w:u w:val="none" w:color="auto"/>
      </w:rPr>
    </w:lvl>
    <w:lvl w:ilvl="6" w:tentative="0">
      <w:start w:val="1"/>
      <w:numFmt w:val="decimal"/>
      <w:lvlText w:val=""/>
      <w:lvlJc w:val="left"/>
      <w:rPr>
        <w:rFonts w:hint="default"/>
        <w:u w:val="none" w:color="auto"/>
      </w:rPr>
    </w:lvl>
    <w:lvl w:ilvl="7" w:tentative="0">
      <w:start w:val="1"/>
      <w:numFmt w:val="decimal"/>
      <w:lvlText w:val=""/>
      <w:lvlJc w:val="left"/>
      <w:rPr>
        <w:rFonts w:hint="default"/>
        <w:u w:val="none" w:color="auto"/>
      </w:rPr>
    </w:lvl>
    <w:lvl w:ilvl="8" w:tentative="0">
      <w:start w:val="1"/>
      <w:numFmt w:val="decimal"/>
      <w:lvlText w:val=""/>
      <w:lvlJc w:val="left"/>
      <w:rPr>
        <w:rFonts w:hint="default"/>
        <w:u w:val="none" w:color="auto"/>
      </w:rPr>
    </w:lvl>
  </w:abstractNum>
  <w:abstractNum w:abstractNumId="32">
    <w:nsid w:val="77633231"/>
    <w:multiLevelType w:val="multilevel"/>
    <w:tmpl w:val="77633231"/>
    <w:lvl w:ilvl="0" w:tentative="0">
      <w:start w:val="1"/>
      <w:numFmt w:val="decimal"/>
      <w:lvlText w:val="(%1)"/>
      <w:lvlJc w:val="left"/>
      <w:rPr>
        <w:rFonts w:hint="eastAsia" w:ascii="Times New Roman" w:hAnsi="Times New Roman" w:eastAsia="Times New Roman" w:cs="Times New Roman"/>
        <w:color w:val="000000"/>
        <w:szCs w:val="20"/>
        <w:u w:val="none" w:color="000000"/>
        <w:lang w:val="zh-CN" w:eastAsia="zh-CN" w:bidi="zh-CN"/>
      </w:rPr>
    </w:lvl>
    <w:lvl w:ilvl="1" w:tentative="0">
      <w:start w:val="1"/>
      <w:numFmt w:val="decimal"/>
      <w:lvlText w:val=""/>
      <w:lvlJc w:val="left"/>
      <w:rPr>
        <w:rFonts w:hint="default"/>
        <w:u w:val="none" w:color="auto"/>
      </w:rPr>
    </w:lvl>
    <w:lvl w:ilvl="2" w:tentative="0">
      <w:start w:val="1"/>
      <w:numFmt w:val="decimal"/>
      <w:lvlText w:val=""/>
      <w:lvlJc w:val="left"/>
      <w:rPr>
        <w:rFonts w:hint="default"/>
        <w:u w:val="none" w:color="auto"/>
      </w:rPr>
    </w:lvl>
    <w:lvl w:ilvl="3" w:tentative="0">
      <w:start w:val="1"/>
      <w:numFmt w:val="decimal"/>
      <w:lvlText w:val=""/>
      <w:lvlJc w:val="left"/>
      <w:rPr>
        <w:rFonts w:hint="default"/>
        <w:u w:val="none" w:color="auto"/>
      </w:rPr>
    </w:lvl>
    <w:lvl w:ilvl="4" w:tentative="0">
      <w:start w:val="1"/>
      <w:numFmt w:val="decimal"/>
      <w:lvlText w:val=""/>
      <w:lvlJc w:val="left"/>
      <w:rPr>
        <w:rFonts w:hint="default"/>
        <w:u w:val="none" w:color="auto"/>
      </w:rPr>
    </w:lvl>
    <w:lvl w:ilvl="5" w:tentative="0">
      <w:start w:val="1"/>
      <w:numFmt w:val="decimal"/>
      <w:lvlText w:val=""/>
      <w:lvlJc w:val="left"/>
      <w:rPr>
        <w:rFonts w:hint="default"/>
        <w:u w:val="none" w:color="auto"/>
      </w:rPr>
    </w:lvl>
    <w:lvl w:ilvl="6" w:tentative="0">
      <w:start w:val="1"/>
      <w:numFmt w:val="decimal"/>
      <w:lvlText w:val=""/>
      <w:lvlJc w:val="left"/>
      <w:rPr>
        <w:rFonts w:hint="default"/>
        <w:u w:val="none" w:color="auto"/>
      </w:rPr>
    </w:lvl>
    <w:lvl w:ilvl="7" w:tentative="0">
      <w:start w:val="1"/>
      <w:numFmt w:val="decimal"/>
      <w:lvlText w:val=""/>
      <w:lvlJc w:val="left"/>
      <w:rPr>
        <w:rFonts w:hint="default"/>
        <w:u w:val="none" w:color="auto"/>
      </w:rPr>
    </w:lvl>
    <w:lvl w:ilvl="8" w:tentative="0">
      <w:start w:val="1"/>
      <w:numFmt w:val="decimal"/>
      <w:lvlText w:val=""/>
      <w:lvlJc w:val="left"/>
      <w:rPr>
        <w:rFonts w:hint="default"/>
        <w:u w:val="none" w:color="auto"/>
      </w:rPr>
    </w:lvl>
  </w:abstractNum>
  <w:abstractNum w:abstractNumId="33">
    <w:nsid w:val="77633232"/>
    <w:multiLevelType w:val="multilevel"/>
    <w:tmpl w:val="77633232"/>
    <w:lvl w:ilvl="0" w:tentative="0">
      <w:start w:val="1"/>
      <w:numFmt w:val="decimal"/>
      <w:lvlText w:val="(%1)"/>
      <w:lvlJc w:val="left"/>
      <w:rPr>
        <w:rFonts w:hint="eastAsia" w:ascii="Times New Roman" w:hAnsi="Times New Roman" w:eastAsia="Times New Roman" w:cs="Times New Roman"/>
        <w:color w:val="000000"/>
        <w:szCs w:val="20"/>
        <w:u w:val="none" w:color="000000"/>
        <w:lang w:val="zh-CN" w:eastAsia="zh-CN" w:bidi="zh-CN"/>
      </w:rPr>
    </w:lvl>
    <w:lvl w:ilvl="1" w:tentative="0">
      <w:start w:val="1"/>
      <w:numFmt w:val="decimal"/>
      <w:lvlText w:val=""/>
      <w:lvlJc w:val="left"/>
      <w:rPr>
        <w:rFonts w:hint="default"/>
        <w:u w:val="none" w:color="auto"/>
      </w:rPr>
    </w:lvl>
    <w:lvl w:ilvl="2" w:tentative="0">
      <w:start w:val="1"/>
      <w:numFmt w:val="decimal"/>
      <w:lvlText w:val=""/>
      <w:lvlJc w:val="left"/>
      <w:rPr>
        <w:rFonts w:hint="default"/>
        <w:u w:val="none" w:color="auto"/>
      </w:rPr>
    </w:lvl>
    <w:lvl w:ilvl="3" w:tentative="0">
      <w:start w:val="1"/>
      <w:numFmt w:val="decimal"/>
      <w:lvlText w:val=""/>
      <w:lvlJc w:val="left"/>
      <w:rPr>
        <w:rFonts w:hint="default"/>
        <w:u w:val="none" w:color="auto"/>
      </w:rPr>
    </w:lvl>
    <w:lvl w:ilvl="4" w:tentative="0">
      <w:start w:val="1"/>
      <w:numFmt w:val="decimal"/>
      <w:lvlText w:val=""/>
      <w:lvlJc w:val="left"/>
      <w:rPr>
        <w:rFonts w:hint="default"/>
        <w:u w:val="none" w:color="auto"/>
      </w:rPr>
    </w:lvl>
    <w:lvl w:ilvl="5" w:tentative="0">
      <w:start w:val="1"/>
      <w:numFmt w:val="decimal"/>
      <w:lvlText w:val=""/>
      <w:lvlJc w:val="left"/>
      <w:rPr>
        <w:rFonts w:hint="default"/>
        <w:u w:val="none" w:color="auto"/>
      </w:rPr>
    </w:lvl>
    <w:lvl w:ilvl="6" w:tentative="0">
      <w:start w:val="1"/>
      <w:numFmt w:val="decimal"/>
      <w:lvlText w:val=""/>
      <w:lvlJc w:val="left"/>
      <w:rPr>
        <w:rFonts w:hint="default"/>
        <w:u w:val="none" w:color="auto"/>
      </w:rPr>
    </w:lvl>
    <w:lvl w:ilvl="7" w:tentative="0">
      <w:start w:val="1"/>
      <w:numFmt w:val="decimal"/>
      <w:lvlText w:val=""/>
      <w:lvlJc w:val="left"/>
      <w:rPr>
        <w:rFonts w:hint="default"/>
        <w:u w:val="none" w:color="auto"/>
      </w:rPr>
    </w:lvl>
    <w:lvl w:ilvl="8" w:tentative="0">
      <w:start w:val="1"/>
      <w:numFmt w:val="decimal"/>
      <w:lvlText w:val=""/>
      <w:lvlJc w:val="left"/>
      <w:rPr>
        <w:rFonts w:hint="default"/>
        <w:u w:val="none" w:color="auto"/>
      </w:rPr>
    </w:lvl>
  </w:abstractNum>
  <w:abstractNum w:abstractNumId="34">
    <w:nsid w:val="77633233"/>
    <w:multiLevelType w:val="multilevel"/>
    <w:tmpl w:val="77633233"/>
    <w:lvl w:ilvl="0" w:tentative="0">
      <w:start w:val="1"/>
      <w:numFmt w:val="decimal"/>
      <w:lvlText w:val="(%1)"/>
      <w:lvlJc w:val="left"/>
      <w:rPr>
        <w:rFonts w:hint="eastAsia" w:ascii="Times New Roman" w:hAnsi="Times New Roman" w:eastAsia="Times New Roman" w:cs="Times New Roman"/>
        <w:color w:val="000000"/>
        <w:szCs w:val="20"/>
        <w:u w:val="none" w:color="000000"/>
        <w:lang w:val="zh-CN" w:eastAsia="zh-CN" w:bidi="zh-CN"/>
      </w:rPr>
    </w:lvl>
    <w:lvl w:ilvl="1" w:tentative="0">
      <w:start w:val="1"/>
      <w:numFmt w:val="decimal"/>
      <w:lvlText w:val=""/>
      <w:lvlJc w:val="left"/>
      <w:rPr>
        <w:rFonts w:hint="default"/>
        <w:u w:val="none" w:color="auto"/>
      </w:rPr>
    </w:lvl>
    <w:lvl w:ilvl="2" w:tentative="0">
      <w:start w:val="1"/>
      <w:numFmt w:val="decimal"/>
      <w:lvlText w:val=""/>
      <w:lvlJc w:val="left"/>
      <w:rPr>
        <w:rFonts w:hint="default"/>
        <w:u w:val="none" w:color="auto"/>
      </w:rPr>
    </w:lvl>
    <w:lvl w:ilvl="3" w:tentative="0">
      <w:start w:val="1"/>
      <w:numFmt w:val="decimal"/>
      <w:lvlText w:val=""/>
      <w:lvlJc w:val="left"/>
      <w:rPr>
        <w:rFonts w:hint="default"/>
        <w:u w:val="none" w:color="auto"/>
      </w:rPr>
    </w:lvl>
    <w:lvl w:ilvl="4" w:tentative="0">
      <w:start w:val="1"/>
      <w:numFmt w:val="decimal"/>
      <w:lvlText w:val=""/>
      <w:lvlJc w:val="left"/>
      <w:rPr>
        <w:rFonts w:hint="default"/>
        <w:u w:val="none" w:color="auto"/>
      </w:rPr>
    </w:lvl>
    <w:lvl w:ilvl="5" w:tentative="0">
      <w:start w:val="1"/>
      <w:numFmt w:val="decimal"/>
      <w:lvlText w:val=""/>
      <w:lvlJc w:val="left"/>
      <w:rPr>
        <w:rFonts w:hint="default"/>
        <w:u w:val="none" w:color="auto"/>
      </w:rPr>
    </w:lvl>
    <w:lvl w:ilvl="6" w:tentative="0">
      <w:start w:val="1"/>
      <w:numFmt w:val="decimal"/>
      <w:lvlText w:val=""/>
      <w:lvlJc w:val="left"/>
      <w:rPr>
        <w:rFonts w:hint="default"/>
        <w:u w:val="none" w:color="auto"/>
      </w:rPr>
    </w:lvl>
    <w:lvl w:ilvl="7" w:tentative="0">
      <w:start w:val="1"/>
      <w:numFmt w:val="decimal"/>
      <w:lvlText w:val=""/>
      <w:lvlJc w:val="left"/>
      <w:rPr>
        <w:rFonts w:hint="default"/>
        <w:u w:val="none" w:color="auto"/>
      </w:rPr>
    </w:lvl>
    <w:lvl w:ilvl="8" w:tentative="0">
      <w:start w:val="1"/>
      <w:numFmt w:val="decimal"/>
      <w:lvlText w:val=""/>
      <w:lvlJc w:val="left"/>
      <w:rPr>
        <w:rFonts w:hint="default"/>
        <w:u w:val="none" w:color="auto"/>
      </w:rPr>
    </w:lvl>
  </w:abstractNum>
  <w:abstractNum w:abstractNumId="35">
    <w:nsid w:val="77633234"/>
    <w:multiLevelType w:val="multilevel"/>
    <w:tmpl w:val="77633234"/>
    <w:lvl w:ilvl="0" w:tentative="0">
      <w:start w:val="1"/>
      <w:numFmt w:val="decimal"/>
      <w:lvlText w:val="(%1)"/>
      <w:lvlJc w:val="left"/>
      <w:rPr>
        <w:rFonts w:hint="eastAsia" w:ascii="Times New Roman" w:hAnsi="Times New Roman" w:eastAsia="Times New Roman" w:cs="Times New Roman"/>
        <w:color w:val="000000"/>
        <w:szCs w:val="20"/>
        <w:u w:val="none" w:color="000000"/>
        <w:lang w:val="zh-CN" w:eastAsia="zh-CN" w:bidi="zh-CN"/>
      </w:rPr>
    </w:lvl>
    <w:lvl w:ilvl="1" w:tentative="0">
      <w:start w:val="1"/>
      <w:numFmt w:val="decimal"/>
      <w:lvlText w:val=""/>
      <w:lvlJc w:val="left"/>
      <w:rPr>
        <w:rFonts w:hint="default"/>
        <w:u w:val="none" w:color="auto"/>
      </w:rPr>
    </w:lvl>
    <w:lvl w:ilvl="2" w:tentative="0">
      <w:start w:val="1"/>
      <w:numFmt w:val="decimal"/>
      <w:lvlText w:val=""/>
      <w:lvlJc w:val="left"/>
      <w:rPr>
        <w:rFonts w:hint="default"/>
        <w:u w:val="none" w:color="auto"/>
      </w:rPr>
    </w:lvl>
    <w:lvl w:ilvl="3" w:tentative="0">
      <w:start w:val="1"/>
      <w:numFmt w:val="decimal"/>
      <w:lvlText w:val=""/>
      <w:lvlJc w:val="left"/>
      <w:rPr>
        <w:rFonts w:hint="default"/>
        <w:u w:val="none" w:color="auto"/>
      </w:rPr>
    </w:lvl>
    <w:lvl w:ilvl="4" w:tentative="0">
      <w:start w:val="1"/>
      <w:numFmt w:val="decimal"/>
      <w:lvlText w:val=""/>
      <w:lvlJc w:val="left"/>
      <w:rPr>
        <w:rFonts w:hint="default"/>
        <w:u w:val="none" w:color="auto"/>
      </w:rPr>
    </w:lvl>
    <w:lvl w:ilvl="5" w:tentative="0">
      <w:start w:val="1"/>
      <w:numFmt w:val="decimal"/>
      <w:lvlText w:val=""/>
      <w:lvlJc w:val="left"/>
      <w:rPr>
        <w:rFonts w:hint="default"/>
        <w:u w:val="none" w:color="auto"/>
      </w:rPr>
    </w:lvl>
    <w:lvl w:ilvl="6" w:tentative="0">
      <w:start w:val="1"/>
      <w:numFmt w:val="decimal"/>
      <w:lvlText w:val=""/>
      <w:lvlJc w:val="left"/>
      <w:rPr>
        <w:rFonts w:hint="default"/>
        <w:u w:val="none" w:color="auto"/>
      </w:rPr>
    </w:lvl>
    <w:lvl w:ilvl="7" w:tentative="0">
      <w:start w:val="1"/>
      <w:numFmt w:val="decimal"/>
      <w:lvlText w:val=""/>
      <w:lvlJc w:val="left"/>
      <w:rPr>
        <w:rFonts w:hint="default"/>
        <w:u w:val="none" w:color="auto"/>
      </w:rPr>
    </w:lvl>
    <w:lvl w:ilvl="8" w:tentative="0">
      <w:start w:val="1"/>
      <w:numFmt w:val="decimal"/>
      <w:lvlText w:val=""/>
      <w:lvlJc w:val="left"/>
      <w:rPr>
        <w:rFonts w:hint="default"/>
        <w:u w:val="none" w:color="auto"/>
      </w:rPr>
    </w:lvl>
  </w:abstractNum>
  <w:abstractNum w:abstractNumId="36">
    <w:nsid w:val="77633235"/>
    <w:multiLevelType w:val="multilevel"/>
    <w:tmpl w:val="77633235"/>
    <w:lvl w:ilvl="0" w:tentative="0">
      <w:start w:val="1"/>
      <w:numFmt w:val="decimal"/>
      <w:lvlText w:val="(%1)"/>
      <w:lvlJc w:val="left"/>
      <w:rPr>
        <w:rFonts w:hint="eastAsia" w:ascii="Times New Roman" w:hAnsi="Times New Roman" w:eastAsia="Times New Roman" w:cs="Times New Roman"/>
        <w:color w:val="000000"/>
        <w:szCs w:val="20"/>
        <w:u w:val="none" w:color="000000"/>
        <w:lang w:val="zh-CN" w:eastAsia="zh-CN" w:bidi="zh-CN"/>
      </w:rPr>
    </w:lvl>
    <w:lvl w:ilvl="1" w:tentative="0">
      <w:start w:val="1"/>
      <w:numFmt w:val="decimal"/>
      <w:lvlText w:val=""/>
      <w:lvlJc w:val="left"/>
      <w:rPr>
        <w:rFonts w:hint="default"/>
        <w:u w:val="none" w:color="auto"/>
      </w:rPr>
    </w:lvl>
    <w:lvl w:ilvl="2" w:tentative="0">
      <w:start w:val="1"/>
      <w:numFmt w:val="decimal"/>
      <w:lvlText w:val=""/>
      <w:lvlJc w:val="left"/>
      <w:rPr>
        <w:rFonts w:hint="default"/>
        <w:u w:val="none" w:color="auto"/>
      </w:rPr>
    </w:lvl>
    <w:lvl w:ilvl="3" w:tentative="0">
      <w:start w:val="1"/>
      <w:numFmt w:val="decimal"/>
      <w:lvlText w:val=""/>
      <w:lvlJc w:val="left"/>
      <w:rPr>
        <w:rFonts w:hint="default"/>
        <w:u w:val="none" w:color="auto"/>
      </w:rPr>
    </w:lvl>
    <w:lvl w:ilvl="4" w:tentative="0">
      <w:start w:val="1"/>
      <w:numFmt w:val="decimal"/>
      <w:lvlText w:val=""/>
      <w:lvlJc w:val="left"/>
      <w:rPr>
        <w:rFonts w:hint="default"/>
        <w:u w:val="none" w:color="auto"/>
      </w:rPr>
    </w:lvl>
    <w:lvl w:ilvl="5" w:tentative="0">
      <w:start w:val="1"/>
      <w:numFmt w:val="decimal"/>
      <w:lvlText w:val=""/>
      <w:lvlJc w:val="left"/>
      <w:rPr>
        <w:rFonts w:hint="default"/>
        <w:u w:val="none" w:color="auto"/>
      </w:rPr>
    </w:lvl>
    <w:lvl w:ilvl="6" w:tentative="0">
      <w:start w:val="1"/>
      <w:numFmt w:val="decimal"/>
      <w:lvlText w:val=""/>
      <w:lvlJc w:val="left"/>
      <w:rPr>
        <w:rFonts w:hint="default"/>
        <w:u w:val="none" w:color="auto"/>
      </w:rPr>
    </w:lvl>
    <w:lvl w:ilvl="7" w:tentative="0">
      <w:start w:val="1"/>
      <w:numFmt w:val="decimal"/>
      <w:lvlText w:val=""/>
      <w:lvlJc w:val="left"/>
      <w:rPr>
        <w:rFonts w:hint="default"/>
        <w:u w:val="none" w:color="auto"/>
      </w:rPr>
    </w:lvl>
    <w:lvl w:ilvl="8" w:tentative="0">
      <w:start w:val="1"/>
      <w:numFmt w:val="decimal"/>
      <w:lvlText w:val=""/>
      <w:lvlJc w:val="left"/>
      <w:rPr>
        <w:rFonts w:hint="default"/>
        <w:u w:val="none" w:color="auto"/>
      </w:rPr>
    </w:lvl>
  </w:abstractNum>
  <w:abstractNum w:abstractNumId="37">
    <w:nsid w:val="77633236"/>
    <w:multiLevelType w:val="multilevel"/>
    <w:tmpl w:val="77633236"/>
    <w:lvl w:ilvl="0" w:tentative="0">
      <w:start w:val="1"/>
      <w:numFmt w:val="decimal"/>
      <w:lvlText w:val="(%1)"/>
      <w:lvlJc w:val="left"/>
      <w:rPr>
        <w:rFonts w:hint="eastAsia" w:ascii="Times New Roman" w:hAnsi="Times New Roman" w:eastAsia="Times New Roman" w:cs="Times New Roman"/>
        <w:color w:val="000000"/>
        <w:szCs w:val="20"/>
        <w:u w:val="none" w:color="000000"/>
        <w:lang w:val="zh-CN" w:eastAsia="zh-CN" w:bidi="zh-CN"/>
      </w:rPr>
    </w:lvl>
    <w:lvl w:ilvl="1" w:tentative="0">
      <w:start w:val="1"/>
      <w:numFmt w:val="decimal"/>
      <w:lvlText w:val=""/>
      <w:lvlJc w:val="left"/>
      <w:rPr>
        <w:rFonts w:hint="default"/>
        <w:u w:val="none" w:color="auto"/>
      </w:rPr>
    </w:lvl>
    <w:lvl w:ilvl="2" w:tentative="0">
      <w:start w:val="1"/>
      <w:numFmt w:val="decimal"/>
      <w:lvlText w:val=""/>
      <w:lvlJc w:val="left"/>
      <w:rPr>
        <w:rFonts w:hint="default"/>
        <w:u w:val="none" w:color="auto"/>
      </w:rPr>
    </w:lvl>
    <w:lvl w:ilvl="3" w:tentative="0">
      <w:start w:val="1"/>
      <w:numFmt w:val="decimal"/>
      <w:lvlText w:val=""/>
      <w:lvlJc w:val="left"/>
      <w:rPr>
        <w:rFonts w:hint="default"/>
        <w:u w:val="none" w:color="auto"/>
      </w:rPr>
    </w:lvl>
    <w:lvl w:ilvl="4" w:tentative="0">
      <w:start w:val="1"/>
      <w:numFmt w:val="decimal"/>
      <w:lvlText w:val=""/>
      <w:lvlJc w:val="left"/>
      <w:rPr>
        <w:rFonts w:hint="default"/>
        <w:u w:val="none" w:color="auto"/>
      </w:rPr>
    </w:lvl>
    <w:lvl w:ilvl="5" w:tentative="0">
      <w:start w:val="1"/>
      <w:numFmt w:val="decimal"/>
      <w:lvlText w:val=""/>
      <w:lvlJc w:val="left"/>
      <w:rPr>
        <w:rFonts w:hint="default"/>
        <w:u w:val="none" w:color="auto"/>
      </w:rPr>
    </w:lvl>
    <w:lvl w:ilvl="6" w:tentative="0">
      <w:start w:val="1"/>
      <w:numFmt w:val="decimal"/>
      <w:lvlText w:val=""/>
      <w:lvlJc w:val="left"/>
      <w:rPr>
        <w:rFonts w:hint="default"/>
        <w:u w:val="none" w:color="auto"/>
      </w:rPr>
    </w:lvl>
    <w:lvl w:ilvl="7" w:tentative="0">
      <w:start w:val="1"/>
      <w:numFmt w:val="decimal"/>
      <w:lvlText w:val=""/>
      <w:lvlJc w:val="left"/>
      <w:rPr>
        <w:rFonts w:hint="default"/>
        <w:u w:val="none" w:color="auto"/>
      </w:rPr>
    </w:lvl>
    <w:lvl w:ilvl="8" w:tentative="0">
      <w:start w:val="1"/>
      <w:numFmt w:val="decimal"/>
      <w:lvlText w:val=""/>
      <w:lvlJc w:val="left"/>
      <w:rPr>
        <w:rFonts w:hint="default"/>
        <w:u w:val="none" w:color="auto"/>
      </w:rPr>
    </w:lvl>
  </w:abstractNum>
  <w:abstractNum w:abstractNumId="38">
    <w:nsid w:val="77633237"/>
    <w:multiLevelType w:val="multilevel"/>
    <w:tmpl w:val="77633237"/>
    <w:lvl w:ilvl="0" w:tentative="0">
      <w:start w:val="22"/>
      <w:numFmt w:val="decimal"/>
      <w:lvlText w:val="%1."/>
      <w:lvlJc w:val="left"/>
      <w:rPr>
        <w:rFonts w:hint="eastAsia" w:ascii="Times New Roman" w:hAnsi="Times New Roman" w:eastAsia="Times New Roman" w:cs="Times New Roman"/>
        <w:color w:val="000000"/>
        <w:szCs w:val="20"/>
        <w:u w:val="none" w:color="000000"/>
        <w:lang w:val="en-US" w:eastAsia="en-US" w:bidi="en-US"/>
      </w:rPr>
    </w:lvl>
    <w:lvl w:ilvl="1" w:tentative="0">
      <w:start w:val="1"/>
      <w:numFmt w:val="decimal"/>
      <w:lvlText w:val=""/>
      <w:lvlJc w:val="left"/>
      <w:rPr>
        <w:rFonts w:hint="default"/>
        <w:u w:val="none" w:color="auto"/>
      </w:rPr>
    </w:lvl>
    <w:lvl w:ilvl="2" w:tentative="0">
      <w:start w:val="1"/>
      <w:numFmt w:val="decimal"/>
      <w:lvlText w:val=""/>
      <w:lvlJc w:val="left"/>
      <w:rPr>
        <w:rFonts w:hint="default"/>
        <w:u w:val="none" w:color="auto"/>
      </w:rPr>
    </w:lvl>
    <w:lvl w:ilvl="3" w:tentative="0">
      <w:start w:val="1"/>
      <w:numFmt w:val="decimal"/>
      <w:lvlText w:val=""/>
      <w:lvlJc w:val="left"/>
      <w:rPr>
        <w:rFonts w:hint="default"/>
        <w:u w:val="none" w:color="auto"/>
      </w:rPr>
    </w:lvl>
    <w:lvl w:ilvl="4" w:tentative="0">
      <w:start w:val="1"/>
      <w:numFmt w:val="decimal"/>
      <w:lvlText w:val=""/>
      <w:lvlJc w:val="left"/>
      <w:rPr>
        <w:rFonts w:hint="default"/>
        <w:u w:val="none" w:color="auto"/>
      </w:rPr>
    </w:lvl>
    <w:lvl w:ilvl="5" w:tentative="0">
      <w:start w:val="1"/>
      <w:numFmt w:val="decimal"/>
      <w:lvlText w:val=""/>
      <w:lvlJc w:val="left"/>
      <w:rPr>
        <w:rFonts w:hint="default"/>
        <w:u w:val="none" w:color="auto"/>
      </w:rPr>
    </w:lvl>
    <w:lvl w:ilvl="6" w:tentative="0">
      <w:start w:val="1"/>
      <w:numFmt w:val="decimal"/>
      <w:lvlText w:val=""/>
      <w:lvlJc w:val="left"/>
      <w:rPr>
        <w:rFonts w:hint="default"/>
        <w:u w:val="none" w:color="auto"/>
      </w:rPr>
    </w:lvl>
    <w:lvl w:ilvl="7" w:tentative="0">
      <w:start w:val="1"/>
      <w:numFmt w:val="decimal"/>
      <w:lvlText w:val=""/>
      <w:lvlJc w:val="left"/>
      <w:rPr>
        <w:rFonts w:hint="default"/>
        <w:u w:val="none" w:color="auto"/>
      </w:rPr>
    </w:lvl>
    <w:lvl w:ilvl="8" w:tentative="0">
      <w:start w:val="1"/>
      <w:numFmt w:val="decimal"/>
      <w:lvlText w:val=""/>
      <w:lvlJc w:val="left"/>
      <w:rPr>
        <w:rFonts w:hint="default"/>
        <w:u w:val="none" w:color="auto"/>
      </w:rPr>
    </w:lvl>
  </w:abstractNum>
  <w:abstractNum w:abstractNumId="39">
    <w:nsid w:val="77633238"/>
    <w:multiLevelType w:val="multilevel"/>
    <w:tmpl w:val="77633238"/>
    <w:lvl w:ilvl="0" w:tentative="0">
      <w:start w:val="1"/>
      <w:numFmt w:val="decimal"/>
      <w:lvlText w:val="(%1)"/>
      <w:lvlJc w:val="left"/>
      <w:rPr>
        <w:rFonts w:hint="eastAsia" w:ascii="Times New Roman" w:hAnsi="Times New Roman" w:eastAsia="Times New Roman" w:cs="Times New Roman"/>
        <w:color w:val="000000"/>
        <w:szCs w:val="20"/>
        <w:u w:val="none" w:color="000000"/>
        <w:lang w:val="zh-CN" w:eastAsia="zh-CN" w:bidi="zh-CN"/>
      </w:rPr>
    </w:lvl>
    <w:lvl w:ilvl="1" w:tentative="0">
      <w:start w:val="1"/>
      <w:numFmt w:val="decimal"/>
      <w:lvlText w:val=""/>
      <w:lvlJc w:val="left"/>
      <w:rPr>
        <w:rFonts w:hint="default"/>
        <w:u w:val="none" w:color="auto"/>
      </w:rPr>
    </w:lvl>
    <w:lvl w:ilvl="2" w:tentative="0">
      <w:start w:val="1"/>
      <w:numFmt w:val="decimal"/>
      <w:lvlText w:val=""/>
      <w:lvlJc w:val="left"/>
      <w:rPr>
        <w:rFonts w:hint="default"/>
        <w:u w:val="none" w:color="auto"/>
      </w:rPr>
    </w:lvl>
    <w:lvl w:ilvl="3" w:tentative="0">
      <w:start w:val="1"/>
      <w:numFmt w:val="decimal"/>
      <w:lvlText w:val=""/>
      <w:lvlJc w:val="left"/>
      <w:rPr>
        <w:rFonts w:hint="default"/>
        <w:u w:val="none" w:color="auto"/>
      </w:rPr>
    </w:lvl>
    <w:lvl w:ilvl="4" w:tentative="0">
      <w:start w:val="1"/>
      <w:numFmt w:val="decimal"/>
      <w:lvlText w:val=""/>
      <w:lvlJc w:val="left"/>
      <w:rPr>
        <w:rFonts w:hint="default"/>
        <w:u w:val="none" w:color="auto"/>
      </w:rPr>
    </w:lvl>
    <w:lvl w:ilvl="5" w:tentative="0">
      <w:start w:val="1"/>
      <w:numFmt w:val="decimal"/>
      <w:lvlText w:val=""/>
      <w:lvlJc w:val="left"/>
      <w:rPr>
        <w:rFonts w:hint="default"/>
        <w:u w:val="none" w:color="auto"/>
      </w:rPr>
    </w:lvl>
    <w:lvl w:ilvl="6" w:tentative="0">
      <w:start w:val="1"/>
      <w:numFmt w:val="decimal"/>
      <w:lvlText w:val=""/>
      <w:lvlJc w:val="left"/>
      <w:rPr>
        <w:rFonts w:hint="default"/>
        <w:u w:val="none" w:color="auto"/>
      </w:rPr>
    </w:lvl>
    <w:lvl w:ilvl="7" w:tentative="0">
      <w:start w:val="1"/>
      <w:numFmt w:val="decimal"/>
      <w:lvlText w:val=""/>
      <w:lvlJc w:val="left"/>
      <w:rPr>
        <w:rFonts w:hint="default"/>
        <w:u w:val="none" w:color="auto"/>
      </w:rPr>
    </w:lvl>
    <w:lvl w:ilvl="8" w:tentative="0">
      <w:start w:val="1"/>
      <w:numFmt w:val="decimal"/>
      <w:lvlText w:val=""/>
      <w:lvlJc w:val="left"/>
      <w:rPr>
        <w:rFonts w:hint="default"/>
        <w:u w:val="none" w:color="auto"/>
      </w:rPr>
    </w:lvl>
  </w:abstractNum>
  <w:abstractNum w:abstractNumId="40">
    <w:nsid w:val="77633239"/>
    <w:multiLevelType w:val="multilevel"/>
    <w:tmpl w:val="77633239"/>
    <w:lvl w:ilvl="0" w:tentative="0">
      <w:start w:val="6"/>
      <w:numFmt w:val="decimal"/>
      <w:suff w:val="nothing"/>
      <w:lvlText w:val="（%1）"/>
      <w:lvlJc w:val="left"/>
      <w:rPr>
        <w:rFonts w:hint="default"/>
        <w:u w:val="none" w:color="auto"/>
      </w:rPr>
    </w:lvl>
    <w:lvl w:ilvl="1" w:tentative="0">
      <w:start w:val="1"/>
      <w:numFmt w:val="decimal"/>
      <w:lvlText w:val=""/>
      <w:lvlJc w:val="left"/>
      <w:rPr>
        <w:rFonts w:hint="default"/>
        <w:u w:val="none" w:color="auto"/>
      </w:rPr>
    </w:lvl>
    <w:lvl w:ilvl="2" w:tentative="0">
      <w:start w:val="1"/>
      <w:numFmt w:val="decimal"/>
      <w:lvlText w:val=""/>
      <w:lvlJc w:val="left"/>
      <w:rPr>
        <w:rFonts w:hint="default"/>
        <w:u w:val="none" w:color="auto"/>
      </w:rPr>
    </w:lvl>
    <w:lvl w:ilvl="3" w:tentative="0">
      <w:start w:val="1"/>
      <w:numFmt w:val="decimal"/>
      <w:lvlText w:val=""/>
      <w:lvlJc w:val="left"/>
      <w:rPr>
        <w:rFonts w:hint="default"/>
        <w:u w:val="none" w:color="auto"/>
      </w:rPr>
    </w:lvl>
    <w:lvl w:ilvl="4" w:tentative="0">
      <w:start w:val="1"/>
      <w:numFmt w:val="decimal"/>
      <w:lvlText w:val=""/>
      <w:lvlJc w:val="left"/>
      <w:rPr>
        <w:rFonts w:hint="default"/>
        <w:u w:val="none" w:color="auto"/>
      </w:rPr>
    </w:lvl>
    <w:lvl w:ilvl="5" w:tentative="0">
      <w:start w:val="1"/>
      <w:numFmt w:val="decimal"/>
      <w:lvlText w:val=""/>
      <w:lvlJc w:val="left"/>
      <w:rPr>
        <w:rFonts w:hint="default"/>
        <w:u w:val="none" w:color="auto"/>
      </w:rPr>
    </w:lvl>
    <w:lvl w:ilvl="6" w:tentative="0">
      <w:start w:val="1"/>
      <w:numFmt w:val="decimal"/>
      <w:lvlText w:val=""/>
      <w:lvlJc w:val="left"/>
      <w:rPr>
        <w:rFonts w:hint="default"/>
        <w:u w:val="none" w:color="auto"/>
      </w:rPr>
    </w:lvl>
    <w:lvl w:ilvl="7" w:tentative="0">
      <w:start w:val="1"/>
      <w:numFmt w:val="decimal"/>
      <w:lvlText w:val=""/>
      <w:lvlJc w:val="left"/>
      <w:rPr>
        <w:rFonts w:hint="default"/>
        <w:u w:val="none" w:color="auto"/>
      </w:rPr>
    </w:lvl>
    <w:lvl w:ilvl="8" w:tentative="0">
      <w:start w:val="1"/>
      <w:numFmt w:val="decimal"/>
      <w:lvlText w:val=""/>
      <w:lvlJc w:val="left"/>
      <w:rPr>
        <w:rFonts w:hint="default"/>
        <w:u w:val="none" w:color="auto"/>
      </w:rPr>
    </w:lvl>
  </w:abstractNum>
  <w:abstractNum w:abstractNumId="41">
    <w:nsid w:val="7763323A"/>
    <w:multiLevelType w:val="multilevel"/>
    <w:tmpl w:val="7763323A"/>
    <w:lvl w:ilvl="0" w:tentative="0">
      <w:start w:val="1"/>
      <w:numFmt w:val="decimal"/>
      <w:lvlText w:val="%1."/>
      <w:lvlJc w:val="left"/>
      <w:rPr>
        <w:rFonts w:hint="eastAsia" w:ascii="Times New Roman" w:hAnsi="Times New Roman" w:eastAsia="Times New Roman" w:cs="Times New Roman"/>
        <w:color w:val="000000"/>
        <w:szCs w:val="20"/>
        <w:u w:val="none" w:color="000000"/>
        <w:lang w:val="en-US" w:eastAsia="en-US" w:bidi="en-US"/>
      </w:rPr>
    </w:lvl>
    <w:lvl w:ilvl="1" w:tentative="0">
      <w:start w:val="1"/>
      <w:numFmt w:val="decimal"/>
      <w:lvlText w:val=""/>
      <w:lvlJc w:val="left"/>
      <w:rPr>
        <w:rFonts w:hint="default"/>
        <w:u w:val="none" w:color="auto"/>
      </w:rPr>
    </w:lvl>
    <w:lvl w:ilvl="2" w:tentative="0">
      <w:start w:val="1"/>
      <w:numFmt w:val="decimal"/>
      <w:lvlText w:val=""/>
      <w:lvlJc w:val="left"/>
      <w:rPr>
        <w:rFonts w:hint="default"/>
        <w:u w:val="none" w:color="auto"/>
      </w:rPr>
    </w:lvl>
    <w:lvl w:ilvl="3" w:tentative="0">
      <w:start w:val="1"/>
      <w:numFmt w:val="decimal"/>
      <w:lvlText w:val=""/>
      <w:lvlJc w:val="left"/>
      <w:rPr>
        <w:rFonts w:hint="default"/>
        <w:u w:val="none" w:color="auto"/>
      </w:rPr>
    </w:lvl>
    <w:lvl w:ilvl="4" w:tentative="0">
      <w:start w:val="1"/>
      <w:numFmt w:val="decimal"/>
      <w:lvlText w:val=""/>
      <w:lvlJc w:val="left"/>
      <w:rPr>
        <w:rFonts w:hint="default"/>
        <w:u w:val="none" w:color="auto"/>
      </w:rPr>
    </w:lvl>
    <w:lvl w:ilvl="5" w:tentative="0">
      <w:start w:val="1"/>
      <w:numFmt w:val="decimal"/>
      <w:lvlText w:val=""/>
      <w:lvlJc w:val="left"/>
      <w:rPr>
        <w:rFonts w:hint="default"/>
        <w:u w:val="none" w:color="auto"/>
      </w:rPr>
    </w:lvl>
    <w:lvl w:ilvl="6" w:tentative="0">
      <w:start w:val="1"/>
      <w:numFmt w:val="decimal"/>
      <w:lvlText w:val=""/>
      <w:lvlJc w:val="left"/>
      <w:rPr>
        <w:rFonts w:hint="default"/>
        <w:u w:val="none" w:color="auto"/>
      </w:rPr>
    </w:lvl>
    <w:lvl w:ilvl="7" w:tentative="0">
      <w:start w:val="1"/>
      <w:numFmt w:val="decimal"/>
      <w:lvlText w:val=""/>
      <w:lvlJc w:val="left"/>
      <w:rPr>
        <w:rFonts w:hint="default"/>
        <w:u w:val="none" w:color="auto"/>
      </w:rPr>
    </w:lvl>
    <w:lvl w:ilvl="8" w:tentative="0">
      <w:start w:val="1"/>
      <w:numFmt w:val="decimal"/>
      <w:lvlText w:val=""/>
      <w:lvlJc w:val="left"/>
      <w:rPr>
        <w:rFonts w:hint="default"/>
        <w:u w:val="none" w:color="auto"/>
      </w:rPr>
    </w:lvl>
  </w:abstractNum>
  <w:abstractNum w:abstractNumId="42">
    <w:nsid w:val="7763323B"/>
    <w:multiLevelType w:val="multilevel"/>
    <w:tmpl w:val="7763323B"/>
    <w:lvl w:ilvl="0" w:tentative="0">
      <w:start w:val="1"/>
      <w:numFmt w:val="decimal"/>
      <w:lvlText w:val="%1."/>
      <w:lvlJc w:val="left"/>
      <w:rPr>
        <w:rFonts w:hint="eastAsia" w:ascii="Times New Roman" w:hAnsi="Times New Roman" w:eastAsia="Times New Roman" w:cs="Times New Roman"/>
        <w:color w:val="000000"/>
        <w:szCs w:val="20"/>
        <w:u w:val="none" w:color="000000"/>
        <w:lang w:val="en-US" w:eastAsia="en-US" w:bidi="en-US"/>
      </w:rPr>
    </w:lvl>
    <w:lvl w:ilvl="1" w:tentative="0">
      <w:start w:val="1"/>
      <w:numFmt w:val="decimal"/>
      <w:lvlText w:val=""/>
      <w:lvlJc w:val="left"/>
      <w:rPr>
        <w:rFonts w:hint="default"/>
        <w:u w:val="none" w:color="auto"/>
      </w:rPr>
    </w:lvl>
    <w:lvl w:ilvl="2" w:tentative="0">
      <w:start w:val="1"/>
      <w:numFmt w:val="decimal"/>
      <w:lvlText w:val=""/>
      <w:lvlJc w:val="left"/>
      <w:rPr>
        <w:rFonts w:hint="default"/>
        <w:u w:val="none" w:color="auto"/>
      </w:rPr>
    </w:lvl>
    <w:lvl w:ilvl="3" w:tentative="0">
      <w:start w:val="1"/>
      <w:numFmt w:val="decimal"/>
      <w:lvlText w:val=""/>
      <w:lvlJc w:val="left"/>
      <w:rPr>
        <w:rFonts w:hint="default"/>
        <w:u w:val="none" w:color="auto"/>
      </w:rPr>
    </w:lvl>
    <w:lvl w:ilvl="4" w:tentative="0">
      <w:start w:val="1"/>
      <w:numFmt w:val="decimal"/>
      <w:lvlText w:val=""/>
      <w:lvlJc w:val="left"/>
      <w:rPr>
        <w:rFonts w:hint="default"/>
        <w:u w:val="none" w:color="auto"/>
      </w:rPr>
    </w:lvl>
    <w:lvl w:ilvl="5" w:tentative="0">
      <w:start w:val="1"/>
      <w:numFmt w:val="decimal"/>
      <w:lvlText w:val=""/>
      <w:lvlJc w:val="left"/>
      <w:rPr>
        <w:rFonts w:hint="default"/>
        <w:u w:val="none" w:color="auto"/>
      </w:rPr>
    </w:lvl>
    <w:lvl w:ilvl="6" w:tentative="0">
      <w:start w:val="1"/>
      <w:numFmt w:val="decimal"/>
      <w:lvlText w:val=""/>
      <w:lvlJc w:val="left"/>
      <w:rPr>
        <w:rFonts w:hint="default"/>
        <w:u w:val="none" w:color="auto"/>
      </w:rPr>
    </w:lvl>
    <w:lvl w:ilvl="7" w:tentative="0">
      <w:start w:val="1"/>
      <w:numFmt w:val="decimal"/>
      <w:lvlText w:val=""/>
      <w:lvlJc w:val="left"/>
      <w:rPr>
        <w:rFonts w:hint="default"/>
        <w:u w:val="none" w:color="auto"/>
      </w:rPr>
    </w:lvl>
    <w:lvl w:ilvl="8" w:tentative="0">
      <w:start w:val="1"/>
      <w:numFmt w:val="decimal"/>
      <w:lvlText w:val=""/>
      <w:lvlJc w:val="left"/>
      <w:rPr>
        <w:rFonts w:hint="default"/>
        <w:u w:val="none" w:color="auto"/>
      </w:rPr>
    </w:lvl>
  </w:abstractNum>
  <w:abstractNum w:abstractNumId="43">
    <w:nsid w:val="7763323C"/>
    <w:multiLevelType w:val="multilevel"/>
    <w:tmpl w:val="7763323C"/>
    <w:lvl w:ilvl="0" w:tentative="0">
      <w:start w:val="1"/>
      <w:numFmt w:val="decimal"/>
      <w:lvlText w:val="%1."/>
      <w:lvlJc w:val="left"/>
      <w:rPr>
        <w:rFonts w:hint="eastAsia" w:ascii="Times New Roman" w:hAnsi="Times New Roman" w:eastAsia="Times New Roman" w:cs="Times New Roman"/>
        <w:color w:val="000000"/>
        <w:szCs w:val="20"/>
        <w:u w:val="none" w:color="000000"/>
        <w:lang w:val="en-US" w:eastAsia="en-US" w:bidi="en-US"/>
      </w:rPr>
    </w:lvl>
    <w:lvl w:ilvl="1" w:tentative="0">
      <w:start w:val="1"/>
      <w:numFmt w:val="decimal"/>
      <w:lvlText w:val=""/>
      <w:lvlJc w:val="left"/>
      <w:rPr>
        <w:rFonts w:hint="default"/>
        <w:u w:val="none" w:color="auto"/>
      </w:rPr>
    </w:lvl>
    <w:lvl w:ilvl="2" w:tentative="0">
      <w:start w:val="1"/>
      <w:numFmt w:val="decimal"/>
      <w:lvlText w:val=""/>
      <w:lvlJc w:val="left"/>
      <w:rPr>
        <w:rFonts w:hint="default"/>
        <w:u w:val="none" w:color="auto"/>
      </w:rPr>
    </w:lvl>
    <w:lvl w:ilvl="3" w:tentative="0">
      <w:start w:val="1"/>
      <w:numFmt w:val="decimal"/>
      <w:lvlText w:val=""/>
      <w:lvlJc w:val="left"/>
      <w:rPr>
        <w:rFonts w:hint="default"/>
        <w:u w:val="none" w:color="auto"/>
      </w:rPr>
    </w:lvl>
    <w:lvl w:ilvl="4" w:tentative="0">
      <w:start w:val="1"/>
      <w:numFmt w:val="decimal"/>
      <w:lvlText w:val=""/>
      <w:lvlJc w:val="left"/>
      <w:rPr>
        <w:rFonts w:hint="default"/>
        <w:u w:val="none" w:color="auto"/>
      </w:rPr>
    </w:lvl>
    <w:lvl w:ilvl="5" w:tentative="0">
      <w:start w:val="1"/>
      <w:numFmt w:val="decimal"/>
      <w:lvlText w:val=""/>
      <w:lvlJc w:val="left"/>
      <w:rPr>
        <w:rFonts w:hint="default"/>
        <w:u w:val="none" w:color="auto"/>
      </w:rPr>
    </w:lvl>
    <w:lvl w:ilvl="6" w:tentative="0">
      <w:start w:val="1"/>
      <w:numFmt w:val="decimal"/>
      <w:lvlText w:val=""/>
      <w:lvlJc w:val="left"/>
      <w:rPr>
        <w:rFonts w:hint="default"/>
        <w:u w:val="none" w:color="auto"/>
      </w:rPr>
    </w:lvl>
    <w:lvl w:ilvl="7" w:tentative="0">
      <w:start w:val="1"/>
      <w:numFmt w:val="decimal"/>
      <w:lvlText w:val=""/>
      <w:lvlJc w:val="left"/>
      <w:rPr>
        <w:rFonts w:hint="default"/>
        <w:u w:val="none" w:color="auto"/>
      </w:rPr>
    </w:lvl>
    <w:lvl w:ilvl="8" w:tentative="0">
      <w:start w:val="1"/>
      <w:numFmt w:val="decimal"/>
      <w:lvlText w:val=""/>
      <w:lvlJc w:val="left"/>
      <w:rPr>
        <w:rFonts w:hint="default"/>
        <w:u w:val="none" w:color="auto"/>
      </w:rPr>
    </w:lvl>
  </w:abstractNum>
  <w:abstractNum w:abstractNumId="44">
    <w:nsid w:val="7763323D"/>
    <w:multiLevelType w:val="multilevel"/>
    <w:tmpl w:val="7763323D"/>
    <w:lvl w:ilvl="0" w:tentative="0">
      <w:start w:val="1"/>
      <w:numFmt w:val="decimal"/>
      <w:lvlText w:val="%1."/>
      <w:lvlJc w:val="left"/>
      <w:rPr>
        <w:rFonts w:hint="eastAsia" w:ascii="Times New Roman" w:hAnsi="Times New Roman" w:eastAsia="Times New Roman" w:cs="Times New Roman"/>
        <w:color w:val="000000"/>
        <w:szCs w:val="20"/>
        <w:u w:val="none" w:color="000000"/>
        <w:lang w:val="en-US" w:eastAsia="en-US" w:bidi="en-US"/>
      </w:rPr>
    </w:lvl>
    <w:lvl w:ilvl="1" w:tentative="0">
      <w:start w:val="1"/>
      <w:numFmt w:val="decimal"/>
      <w:lvlText w:val=""/>
      <w:lvlJc w:val="left"/>
      <w:rPr>
        <w:rFonts w:hint="default"/>
        <w:u w:val="none" w:color="auto"/>
      </w:rPr>
    </w:lvl>
    <w:lvl w:ilvl="2" w:tentative="0">
      <w:start w:val="1"/>
      <w:numFmt w:val="decimal"/>
      <w:lvlText w:val=""/>
      <w:lvlJc w:val="left"/>
      <w:rPr>
        <w:rFonts w:hint="default"/>
        <w:u w:val="none" w:color="auto"/>
      </w:rPr>
    </w:lvl>
    <w:lvl w:ilvl="3" w:tentative="0">
      <w:start w:val="1"/>
      <w:numFmt w:val="decimal"/>
      <w:lvlText w:val=""/>
      <w:lvlJc w:val="left"/>
      <w:rPr>
        <w:rFonts w:hint="default"/>
        <w:u w:val="none" w:color="auto"/>
      </w:rPr>
    </w:lvl>
    <w:lvl w:ilvl="4" w:tentative="0">
      <w:start w:val="1"/>
      <w:numFmt w:val="decimal"/>
      <w:lvlText w:val=""/>
      <w:lvlJc w:val="left"/>
      <w:rPr>
        <w:rFonts w:hint="default"/>
        <w:u w:val="none" w:color="auto"/>
      </w:rPr>
    </w:lvl>
    <w:lvl w:ilvl="5" w:tentative="0">
      <w:start w:val="1"/>
      <w:numFmt w:val="decimal"/>
      <w:lvlText w:val=""/>
      <w:lvlJc w:val="left"/>
      <w:rPr>
        <w:rFonts w:hint="default"/>
        <w:u w:val="none" w:color="auto"/>
      </w:rPr>
    </w:lvl>
    <w:lvl w:ilvl="6" w:tentative="0">
      <w:start w:val="1"/>
      <w:numFmt w:val="decimal"/>
      <w:lvlText w:val=""/>
      <w:lvlJc w:val="left"/>
      <w:rPr>
        <w:rFonts w:hint="default"/>
        <w:u w:val="none" w:color="auto"/>
      </w:rPr>
    </w:lvl>
    <w:lvl w:ilvl="7" w:tentative="0">
      <w:start w:val="1"/>
      <w:numFmt w:val="decimal"/>
      <w:lvlText w:val=""/>
      <w:lvlJc w:val="left"/>
      <w:rPr>
        <w:rFonts w:hint="default"/>
        <w:u w:val="none" w:color="auto"/>
      </w:rPr>
    </w:lvl>
    <w:lvl w:ilvl="8" w:tentative="0">
      <w:start w:val="1"/>
      <w:numFmt w:val="decimal"/>
      <w:lvlText w:val=""/>
      <w:lvlJc w:val="left"/>
      <w:rPr>
        <w:rFonts w:hint="default"/>
        <w:u w:val="none" w:color="auto"/>
      </w:rPr>
    </w:lvl>
  </w:abstractNum>
  <w:abstractNum w:abstractNumId="45">
    <w:nsid w:val="7763323E"/>
    <w:multiLevelType w:val="multilevel"/>
    <w:tmpl w:val="7763323E"/>
    <w:lvl w:ilvl="0" w:tentative="0">
      <w:start w:val="1"/>
      <w:numFmt w:val="decimal"/>
      <w:lvlText w:val="%1."/>
      <w:lvlJc w:val="left"/>
      <w:rPr>
        <w:rFonts w:hint="eastAsia" w:ascii="Times New Roman" w:hAnsi="Times New Roman" w:eastAsia="Times New Roman" w:cs="Times New Roman"/>
        <w:color w:val="000000"/>
        <w:szCs w:val="20"/>
        <w:u w:val="none" w:color="000000"/>
        <w:lang w:val="en-US" w:eastAsia="en-US" w:bidi="en-US"/>
      </w:rPr>
    </w:lvl>
    <w:lvl w:ilvl="1" w:tentative="0">
      <w:start w:val="1"/>
      <w:numFmt w:val="decimal"/>
      <w:lvlText w:val=""/>
      <w:lvlJc w:val="left"/>
      <w:rPr>
        <w:rFonts w:hint="default"/>
        <w:u w:val="none" w:color="auto"/>
      </w:rPr>
    </w:lvl>
    <w:lvl w:ilvl="2" w:tentative="0">
      <w:start w:val="1"/>
      <w:numFmt w:val="decimal"/>
      <w:lvlText w:val=""/>
      <w:lvlJc w:val="left"/>
      <w:rPr>
        <w:rFonts w:hint="default"/>
        <w:u w:val="none" w:color="auto"/>
      </w:rPr>
    </w:lvl>
    <w:lvl w:ilvl="3" w:tentative="0">
      <w:start w:val="1"/>
      <w:numFmt w:val="decimal"/>
      <w:lvlText w:val=""/>
      <w:lvlJc w:val="left"/>
      <w:rPr>
        <w:rFonts w:hint="default"/>
        <w:u w:val="none" w:color="auto"/>
      </w:rPr>
    </w:lvl>
    <w:lvl w:ilvl="4" w:tentative="0">
      <w:start w:val="1"/>
      <w:numFmt w:val="decimal"/>
      <w:lvlText w:val=""/>
      <w:lvlJc w:val="left"/>
      <w:rPr>
        <w:rFonts w:hint="default"/>
        <w:u w:val="none" w:color="auto"/>
      </w:rPr>
    </w:lvl>
    <w:lvl w:ilvl="5" w:tentative="0">
      <w:start w:val="1"/>
      <w:numFmt w:val="decimal"/>
      <w:lvlText w:val=""/>
      <w:lvlJc w:val="left"/>
      <w:rPr>
        <w:rFonts w:hint="default"/>
        <w:u w:val="none" w:color="auto"/>
      </w:rPr>
    </w:lvl>
    <w:lvl w:ilvl="6" w:tentative="0">
      <w:start w:val="1"/>
      <w:numFmt w:val="decimal"/>
      <w:lvlText w:val=""/>
      <w:lvlJc w:val="left"/>
      <w:rPr>
        <w:rFonts w:hint="default"/>
        <w:u w:val="none" w:color="auto"/>
      </w:rPr>
    </w:lvl>
    <w:lvl w:ilvl="7" w:tentative="0">
      <w:start w:val="1"/>
      <w:numFmt w:val="decimal"/>
      <w:lvlText w:val=""/>
      <w:lvlJc w:val="left"/>
      <w:rPr>
        <w:rFonts w:hint="default"/>
        <w:u w:val="none" w:color="auto"/>
      </w:rPr>
    </w:lvl>
    <w:lvl w:ilvl="8" w:tentative="0">
      <w:start w:val="1"/>
      <w:numFmt w:val="decimal"/>
      <w:lvlText w:val=""/>
      <w:lvlJc w:val="left"/>
      <w:rPr>
        <w:rFonts w:hint="default"/>
        <w:u w:val="none" w:color="auto"/>
      </w:rPr>
    </w:lvl>
  </w:abstractNum>
  <w:abstractNum w:abstractNumId="46">
    <w:nsid w:val="77633243"/>
    <w:multiLevelType w:val="multilevel"/>
    <w:tmpl w:val="77633243"/>
    <w:lvl w:ilvl="0" w:tentative="0">
      <w:start w:val="1"/>
      <w:numFmt w:val="decimal"/>
      <w:lvlText w:val="%1."/>
      <w:lvlJc w:val="left"/>
      <w:rPr>
        <w:rFonts w:hint="eastAsia" w:ascii="Times New Roman" w:hAnsi="Times New Roman" w:eastAsia="Times New Roman" w:cs="Times New Roman"/>
        <w:color w:val="000000"/>
        <w:szCs w:val="20"/>
        <w:u w:val="none" w:color="000000"/>
        <w:lang w:val="en-US" w:eastAsia="en-US" w:bidi="en-US"/>
      </w:rPr>
    </w:lvl>
    <w:lvl w:ilvl="1" w:tentative="0">
      <w:start w:val="1"/>
      <w:numFmt w:val="decimal"/>
      <w:lvlText w:val=""/>
      <w:lvlJc w:val="left"/>
      <w:rPr>
        <w:rFonts w:hint="default"/>
        <w:u w:val="none" w:color="auto"/>
      </w:rPr>
    </w:lvl>
    <w:lvl w:ilvl="2" w:tentative="0">
      <w:start w:val="1"/>
      <w:numFmt w:val="decimal"/>
      <w:lvlText w:val=""/>
      <w:lvlJc w:val="left"/>
      <w:rPr>
        <w:rFonts w:hint="default"/>
        <w:u w:val="none" w:color="auto"/>
      </w:rPr>
    </w:lvl>
    <w:lvl w:ilvl="3" w:tentative="0">
      <w:start w:val="1"/>
      <w:numFmt w:val="decimal"/>
      <w:lvlText w:val=""/>
      <w:lvlJc w:val="left"/>
      <w:rPr>
        <w:rFonts w:hint="default"/>
        <w:u w:val="none" w:color="auto"/>
      </w:rPr>
    </w:lvl>
    <w:lvl w:ilvl="4" w:tentative="0">
      <w:start w:val="1"/>
      <w:numFmt w:val="decimal"/>
      <w:lvlText w:val=""/>
      <w:lvlJc w:val="left"/>
      <w:rPr>
        <w:rFonts w:hint="default"/>
        <w:u w:val="none" w:color="auto"/>
      </w:rPr>
    </w:lvl>
    <w:lvl w:ilvl="5" w:tentative="0">
      <w:start w:val="1"/>
      <w:numFmt w:val="decimal"/>
      <w:lvlText w:val=""/>
      <w:lvlJc w:val="left"/>
      <w:rPr>
        <w:rFonts w:hint="default"/>
        <w:u w:val="none" w:color="auto"/>
      </w:rPr>
    </w:lvl>
    <w:lvl w:ilvl="6" w:tentative="0">
      <w:start w:val="1"/>
      <w:numFmt w:val="decimal"/>
      <w:lvlText w:val=""/>
      <w:lvlJc w:val="left"/>
      <w:rPr>
        <w:rFonts w:hint="default"/>
        <w:u w:val="none" w:color="auto"/>
      </w:rPr>
    </w:lvl>
    <w:lvl w:ilvl="7" w:tentative="0">
      <w:start w:val="1"/>
      <w:numFmt w:val="decimal"/>
      <w:lvlText w:val=""/>
      <w:lvlJc w:val="left"/>
      <w:rPr>
        <w:rFonts w:hint="default"/>
        <w:u w:val="none" w:color="auto"/>
      </w:rPr>
    </w:lvl>
    <w:lvl w:ilvl="8" w:tentative="0">
      <w:start w:val="1"/>
      <w:numFmt w:val="decimal"/>
      <w:lvlText w:val=""/>
      <w:lvlJc w:val="left"/>
      <w:rPr>
        <w:rFonts w:hint="default"/>
        <w:u w:val="none" w:color="auto"/>
      </w:rPr>
    </w:lvl>
  </w:abstractNum>
  <w:num w:numId="1">
    <w:abstractNumId w:val="6"/>
  </w:num>
  <w:num w:numId="2">
    <w:abstractNumId w:val="0"/>
  </w:num>
  <w:num w:numId="3">
    <w:abstractNumId w:val="46"/>
  </w:num>
  <w:num w:numId="4">
    <w:abstractNumId w:val="4"/>
  </w:num>
  <w:num w:numId="5">
    <w:abstractNumId w:val="7"/>
  </w:num>
  <w:num w:numId="6">
    <w:abstractNumId w:val="8"/>
  </w:num>
  <w:num w:numId="7">
    <w:abstractNumId w:val="9"/>
  </w:num>
  <w:num w:numId="8">
    <w:abstractNumId w:val="10"/>
  </w:num>
  <w:num w:numId="9">
    <w:abstractNumId w:val="11"/>
  </w:num>
  <w:num w:numId="10">
    <w:abstractNumId w:val="12"/>
  </w:num>
  <w:num w:numId="11">
    <w:abstractNumId w:val="13"/>
  </w:num>
  <w:num w:numId="12">
    <w:abstractNumId w:val="14"/>
  </w:num>
  <w:num w:numId="13">
    <w:abstractNumId w:val="15"/>
  </w:num>
  <w:num w:numId="14">
    <w:abstractNumId w:val="16"/>
  </w:num>
  <w:num w:numId="15">
    <w:abstractNumId w:val="17"/>
  </w:num>
  <w:num w:numId="16">
    <w:abstractNumId w:val="18"/>
  </w:num>
  <w:num w:numId="17">
    <w:abstractNumId w:val="19"/>
  </w:num>
  <w:num w:numId="18">
    <w:abstractNumId w:val="20"/>
  </w:num>
  <w:num w:numId="19">
    <w:abstractNumId w:val="21"/>
  </w:num>
  <w:num w:numId="20">
    <w:abstractNumId w:val="22"/>
  </w:num>
  <w:num w:numId="21">
    <w:abstractNumId w:val="23"/>
  </w:num>
  <w:num w:numId="22">
    <w:abstractNumId w:val="24"/>
  </w:num>
  <w:num w:numId="23">
    <w:abstractNumId w:val="25"/>
  </w:num>
  <w:num w:numId="24">
    <w:abstractNumId w:val="26"/>
  </w:num>
  <w:num w:numId="25">
    <w:abstractNumId w:val="27"/>
  </w:num>
  <w:num w:numId="26">
    <w:abstractNumId w:val="28"/>
  </w:num>
  <w:num w:numId="27">
    <w:abstractNumId w:val="29"/>
  </w:num>
  <w:num w:numId="28">
    <w:abstractNumId w:val="30"/>
  </w:num>
  <w:num w:numId="29">
    <w:abstractNumId w:val="31"/>
  </w:num>
  <w:num w:numId="30">
    <w:abstractNumId w:val="32"/>
  </w:num>
  <w:num w:numId="31">
    <w:abstractNumId w:val="33"/>
  </w:num>
  <w:num w:numId="32">
    <w:abstractNumId w:val="34"/>
  </w:num>
  <w:num w:numId="33">
    <w:abstractNumId w:val="35"/>
  </w:num>
  <w:num w:numId="34">
    <w:abstractNumId w:val="36"/>
  </w:num>
  <w:num w:numId="35">
    <w:abstractNumId w:val="37"/>
  </w:num>
  <w:num w:numId="36">
    <w:abstractNumId w:val="38"/>
  </w:num>
  <w:num w:numId="37">
    <w:abstractNumId w:val="39"/>
  </w:num>
  <w:num w:numId="38">
    <w:abstractNumId w:val="3"/>
  </w:num>
  <w:num w:numId="39">
    <w:abstractNumId w:val="40"/>
  </w:num>
  <w:num w:numId="40">
    <w:abstractNumId w:val="2"/>
  </w:num>
  <w:num w:numId="41">
    <w:abstractNumId w:val="5"/>
  </w:num>
  <w:num w:numId="42">
    <w:abstractNumId w:val="1"/>
  </w:num>
  <w:num w:numId="43">
    <w:abstractNumId w:val="41"/>
  </w:num>
  <w:num w:numId="44">
    <w:abstractNumId w:val="42"/>
  </w:num>
  <w:num w:numId="45">
    <w:abstractNumId w:val="43"/>
  </w:num>
  <w:num w:numId="46">
    <w:abstractNumId w:val="44"/>
  </w:num>
  <w:num w:numId="47">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ZlMmIwZjJhZTMxMjJlM2UzYTE2NGU0NzU4N2VlOTYifQ=="/>
  </w:docVars>
  <w:rsids>
    <w:rsidRoot w:val="00000000"/>
    <w:rsid w:val="01314BF9"/>
    <w:rsid w:val="064E6EC7"/>
    <w:rsid w:val="066D3155"/>
    <w:rsid w:val="06FE392B"/>
    <w:rsid w:val="09FE6E56"/>
    <w:rsid w:val="0F977B31"/>
    <w:rsid w:val="142B0848"/>
    <w:rsid w:val="14447B5C"/>
    <w:rsid w:val="17237EFC"/>
    <w:rsid w:val="191129B8"/>
    <w:rsid w:val="1B373314"/>
    <w:rsid w:val="1B55785F"/>
    <w:rsid w:val="1BA0121F"/>
    <w:rsid w:val="1D5068B5"/>
    <w:rsid w:val="1ED070EB"/>
    <w:rsid w:val="1ED41ADC"/>
    <w:rsid w:val="20B56069"/>
    <w:rsid w:val="21B8413D"/>
    <w:rsid w:val="231B60D3"/>
    <w:rsid w:val="25C1100C"/>
    <w:rsid w:val="26EE70E3"/>
    <w:rsid w:val="27EA06CB"/>
    <w:rsid w:val="2F8B2A05"/>
    <w:rsid w:val="31190ECF"/>
    <w:rsid w:val="31750EFD"/>
    <w:rsid w:val="34972B98"/>
    <w:rsid w:val="34EE34A0"/>
    <w:rsid w:val="37E35290"/>
    <w:rsid w:val="38D0318F"/>
    <w:rsid w:val="390C6E8F"/>
    <w:rsid w:val="39BE1F2E"/>
    <w:rsid w:val="3CFD6976"/>
    <w:rsid w:val="4782435E"/>
    <w:rsid w:val="48D1301D"/>
    <w:rsid w:val="4B2B277E"/>
    <w:rsid w:val="4C3F7CDF"/>
    <w:rsid w:val="4CB84667"/>
    <w:rsid w:val="4DCD0D9D"/>
    <w:rsid w:val="4EC77B51"/>
    <w:rsid w:val="503300CD"/>
    <w:rsid w:val="50854860"/>
    <w:rsid w:val="508C7CF1"/>
    <w:rsid w:val="551E7032"/>
    <w:rsid w:val="5550479F"/>
    <w:rsid w:val="589E2CAD"/>
    <w:rsid w:val="5BB67221"/>
    <w:rsid w:val="5BE7366F"/>
    <w:rsid w:val="5C870838"/>
    <w:rsid w:val="5F887EC9"/>
    <w:rsid w:val="624F5057"/>
    <w:rsid w:val="66446E5B"/>
    <w:rsid w:val="68BC4425"/>
    <w:rsid w:val="6B05258F"/>
    <w:rsid w:val="6E535B46"/>
    <w:rsid w:val="717D77DC"/>
    <w:rsid w:val="71D77BDF"/>
    <w:rsid w:val="753A6DFC"/>
    <w:rsid w:val="7C4F15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0" w:semiHidden="0" w:name="annotation text"/>
    <w:lsdException w:qFormat="1"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hint="eastAsia" w:ascii="Times New Roman" w:hAnsi="Times New Roman" w:eastAsia="Times New Roman" w:cs="Times New Roman"/>
      <w:kern w:val="2"/>
      <w:sz w:val="21"/>
      <w:szCs w:val="24"/>
      <w:lang w:val="en-US" w:eastAsia="zh-CN" w:bidi="ar-SA"/>
    </w:rPr>
  </w:style>
  <w:style w:type="paragraph" w:styleId="2">
    <w:name w:val="heading 2"/>
    <w:basedOn w:val="1"/>
    <w:next w:val="1"/>
    <w:unhideWhenUsed/>
    <w:qFormat/>
    <w:uiPriority w:val="0"/>
    <w:pPr>
      <w:keepLines/>
      <w:spacing w:before="120" w:after="120" w:line="415" w:lineRule="auto"/>
      <w:outlineLvl w:val="1"/>
    </w:pPr>
    <w:rPr>
      <w:rFonts w:hint="default" w:ascii="Cambria" w:hAnsi="Cambria" w:eastAsia="宋体" w:cs="Mongolian Baiti"/>
      <w:b/>
      <w:sz w:val="28"/>
      <w:szCs w:val="32"/>
    </w:rPr>
  </w:style>
  <w:style w:type="paragraph" w:styleId="3">
    <w:name w:val="heading 3"/>
    <w:basedOn w:val="1"/>
    <w:next w:val="1"/>
    <w:unhideWhenUsed/>
    <w:qFormat/>
    <w:uiPriority w:val="0"/>
    <w:pPr>
      <w:keepNext/>
      <w:keepLines/>
      <w:spacing w:before="260" w:after="260" w:line="416" w:lineRule="auto"/>
      <w:outlineLvl w:val="2"/>
    </w:pPr>
    <w:rPr>
      <w:rFonts w:hint="eastAsia"/>
      <w:b/>
      <w:sz w:val="32"/>
      <w:szCs w:val="32"/>
    </w:rPr>
  </w:style>
  <w:style w:type="character" w:default="1" w:styleId="19">
    <w:name w:val="Default Paragraph Font"/>
    <w:semiHidden/>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4">
    <w:name w:val="table of authorities"/>
    <w:basedOn w:val="1"/>
    <w:next w:val="1"/>
    <w:unhideWhenUsed/>
    <w:qFormat/>
    <w:uiPriority w:val="0"/>
    <w:pPr>
      <w:ind w:left="420" w:leftChars="200"/>
    </w:pPr>
    <w:rPr>
      <w:rFonts w:hint="eastAsia"/>
      <w:sz w:val="21"/>
      <w:szCs w:val="24"/>
    </w:rPr>
  </w:style>
  <w:style w:type="paragraph" w:styleId="5">
    <w:name w:val="annotation text"/>
    <w:basedOn w:val="1"/>
    <w:unhideWhenUsed/>
    <w:qFormat/>
    <w:uiPriority w:val="0"/>
    <w:pPr>
      <w:jc w:val="left"/>
    </w:pPr>
    <w:rPr>
      <w:rFonts w:hint="eastAsia"/>
      <w:sz w:val="21"/>
      <w:szCs w:val="24"/>
    </w:rPr>
  </w:style>
  <w:style w:type="paragraph" w:styleId="6">
    <w:name w:val="Body Text 3"/>
    <w:basedOn w:val="1"/>
    <w:unhideWhenUsed/>
    <w:qFormat/>
    <w:uiPriority w:val="0"/>
    <w:pPr>
      <w:spacing w:after="120"/>
    </w:pPr>
    <w:rPr>
      <w:rFonts w:hint="eastAsia"/>
      <w:sz w:val="16"/>
      <w:szCs w:val="16"/>
    </w:rPr>
  </w:style>
  <w:style w:type="paragraph" w:styleId="7">
    <w:name w:val="Body Text"/>
    <w:basedOn w:val="1"/>
    <w:next w:val="1"/>
    <w:unhideWhenUsed/>
    <w:qFormat/>
    <w:uiPriority w:val="0"/>
    <w:pPr>
      <w:spacing w:after="120"/>
    </w:pPr>
    <w:rPr>
      <w:rFonts w:hint="eastAsia"/>
      <w:sz w:val="21"/>
      <w:szCs w:val="24"/>
    </w:rPr>
  </w:style>
  <w:style w:type="paragraph" w:styleId="8">
    <w:name w:val="Body Text Indent"/>
    <w:basedOn w:val="1"/>
    <w:unhideWhenUsed/>
    <w:qFormat/>
    <w:uiPriority w:val="0"/>
    <w:pPr>
      <w:ind w:firstLine="830" w:firstLineChars="352"/>
    </w:pPr>
    <w:rPr>
      <w:rFonts w:hint="eastAsia" w:ascii="仿宋_GB2312" w:eastAsia="仿宋_GB2312"/>
      <w:kern w:val="0"/>
      <w:sz w:val="32"/>
      <w:szCs w:val="20"/>
    </w:rPr>
  </w:style>
  <w:style w:type="paragraph" w:styleId="9">
    <w:name w:val="toc 3"/>
    <w:basedOn w:val="1"/>
    <w:next w:val="1"/>
    <w:unhideWhenUsed/>
    <w:qFormat/>
    <w:uiPriority w:val="39"/>
    <w:pPr>
      <w:ind w:left="840" w:leftChars="400"/>
    </w:pPr>
    <w:rPr>
      <w:rFonts w:hint="eastAsia"/>
      <w:sz w:val="21"/>
      <w:szCs w:val="24"/>
    </w:rPr>
  </w:style>
  <w:style w:type="paragraph" w:styleId="10">
    <w:name w:val="Plain Text"/>
    <w:basedOn w:val="1"/>
    <w:next w:val="1"/>
    <w:unhideWhenUsed/>
    <w:qFormat/>
    <w:uiPriority w:val="0"/>
    <w:rPr>
      <w:rFonts w:hint="default" w:ascii="宋体" w:hAnsi="Courier New" w:eastAsia="宋体"/>
      <w:kern w:val="0"/>
      <w:sz w:val="20"/>
      <w:szCs w:val="21"/>
    </w:rPr>
  </w:style>
  <w:style w:type="paragraph" w:styleId="11">
    <w:name w:val="footer"/>
    <w:basedOn w:val="1"/>
    <w:next w:val="1"/>
    <w:unhideWhenUsed/>
    <w:qFormat/>
    <w:uiPriority w:val="99"/>
    <w:pPr>
      <w:tabs>
        <w:tab w:val="center" w:pos="4153"/>
        <w:tab w:val="right" w:pos="8306"/>
      </w:tabs>
      <w:snapToGrid w:val="0"/>
      <w:jc w:val="left"/>
    </w:pPr>
    <w:rPr>
      <w:rFonts w:hint="eastAsia"/>
      <w:kern w:val="0"/>
      <w:sz w:val="18"/>
      <w:szCs w:val="18"/>
    </w:rPr>
  </w:style>
  <w:style w:type="paragraph" w:styleId="12">
    <w:name w:val="header"/>
    <w:basedOn w:val="1"/>
    <w:unhideWhenUsed/>
    <w:qFormat/>
    <w:uiPriority w:val="0"/>
    <w:pPr>
      <w:pBdr>
        <w:bottom w:val="single" w:color="auto" w:sz="6" w:space="1"/>
      </w:pBdr>
      <w:tabs>
        <w:tab w:val="center" w:pos="4153"/>
        <w:tab w:val="right" w:pos="8306"/>
      </w:tabs>
      <w:snapToGrid w:val="0"/>
      <w:jc w:val="center"/>
    </w:pPr>
    <w:rPr>
      <w:rFonts w:hint="eastAsia"/>
      <w:kern w:val="0"/>
      <w:sz w:val="18"/>
      <w:szCs w:val="18"/>
    </w:rPr>
  </w:style>
  <w:style w:type="paragraph" w:styleId="13">
    <w:name w:val="toc 1"/>
    <w:basedOn w:val="1"/>
    <w:next w:val="1"/>
    <w:unhideWhenUsed/>
    <w:qFormat/>
    <w:uiPriority w:val="39"/>
    <w:rPr>
      <w:rFonts w:hint="eastAsia"/>
      <w:sz w:val="21"/>
      <w:szCs w:val="24"/>
    </w:rPr>
  </w:style>
  <w:style w:type="paragraph" w:styleId="14">
    <w:name w:val="toc 2"/>
    <w:basedOn w:val="1"/>
    <w:next w:val="1"/>
    <w:unhideWhenUsed/>
    <w:qFormat/>
    <w:uiPriority w:val="39"/>
    <w:pPr>
      <w:tabs>
        <w:tab w:val="right" w:leader="dot" w:pos="8296"/>
      </w:tabs>
      <w:ind w:left="420" w:leftChars="200"/>
    </w:pPr>
    <w:rPr>
      <w:rFonts w:hint="eastAsia"/>
      <w:sz w:val="21"/>
      <w:szCs w:val="24"/>
    </w:rPr>
  </w:style>
  <w:style w:type="paragraph" w:styleId="15">
    <w:name w:val="Normal (Web)"/>
    <w:basedOn w:val="1"/>
    <w:unhideWhenUsed/>
    <w:qFormat/>
    <w:uiPriority w:val="0"/>
    <w:pPr>
      <w:widowControl/>
      <w:spacing w:before="100" w:beforeAutospacing="1" w:after="100" w:afterAutospacing="1"/>
      <w:jc w:val="left"/>
    </w:pPr>
    <w:rPr>
      <w:rFonts w:hint="default" w:ascii="宋体" w:hAnsi="宋体" w:eastAsia="宋体" w:cs="宋体"/>
      <w:kern w:val="0"/>
      <w:sz w:val="24"/>
      <w:szCs w:val="24"/>
    </w:rPr>
  </w:style>
  <w:style w:type="paragraph" w:styleId="16">
    <w:name w:val="Title"/>
    <w:basedOn w:val="1"/>
    <w:next w:val="1"/>
    <w:qFormat/>
    <w:uiPriority w:val="0"/>
    <w:pPr>
      <w:widowControl w:val="0"/>
      <w:spacing w:before="240" w:after="60"/>
      <w:jc w:val="center"/>
      <w:outlineLvl w:val="0"/>
    </w:pPr>
    <w:rPr>
      <w:rFonts w:ascii="Cambria" w:hAnsi="Cambria" w:eastAsia="宋体" w:cs="Mongolian Baiti"/>
      <w:b/>
      <w:bCs/>
      <w:kern w:val="2"/>
      <w:sz w:val="32"/>
      <w:szCs w:val="32"/>
      <w:lang w:val="en-US" w:eastAsia="zh-CN" w:bidi="ar-SA"/>
    </w:rPr>
  </w:style>
  <w:style w:type="paragraph" w:styleId="17">
    <w:name w:val="Body Text First Indent"/>
    <w:basedOn w:val="7"/>
    <w:unhideWhenUsed/>
    <w:qFormat/>
    <w:uiPriority w:val="0"/>
    <w:pPr>
      <w:ind w:firstLine="420" w:firstLineChars="100"/>
    </w:pPr>
    <w:rPr>
      <w:rFonts w:hint="eastAsia"/>
      <w:sz w:val="21"/>
      <w:szCs w:val="24"/>
    </w:rPr>
  </w:style>
  <w:style w:type="character" w:styleId="20">
    <w:name w:val="Hyperlink"/>
    <w:unhideWhenUsed/>
    <w:qFormat/>
    <w:uiPriority w:val="99"/>
    <w:rPr>
      <w:rFonts w:hint="default"/>
      <w:color w:val="0000FF"/>
      <w:sz w:val="24"/>
      <w:szCs w:val="24"/>
      <w:u w:val="single"/>
    </w:rPr>
  </w:style>
  <w:style w:type="paragraph" w:customStyle="1" w:styleId="21">
    <w:name w:val="Table Paragraph"/>
    <w:basedOn w:val="1"/>
    <w:unhideWhenUsed/>
    <w:qFormat/>
    <w:uiPriority w:val="99"/>
    <w:pPr>
      <w:jc w:val="left"/>
    </w:pPr>
    <w:rPr>
      <w:rFonts w:hint="default" w:ascii="Calibri" w:hAnsi="Calibri" w:eastAsia="宋体"/>
      <w:kern w:val="0"/>
      <w:sz w:val="22"/>
      <w:szCs w:val="22"/>
      <w:lang w:eastAsia="en-US"/>
    </w:rPr>
  </w:style>
  <w:style w:type="paragraph" w:customStyle="1" w:styleId="22">
    <w:name w:val="标题 2_1"/>
    <w:basedOn w:val="23"/>
    <w:next w:val="23"/>
    <w:unhideWhenUsed/>
    <w:qFormat/>
    <w:uiPriority w:val="0"/>
    <w:pPr>
      <w:keepLines/>
      <w:spacing w:before="240" w:beforeLines="0" w:after="120" w:afterLines="0" w:line="416" w:lineRule="auto"/>
      <w:jc w:val="center"/>
      <w:outlineLvl w:val="1"/>
    </w:pPr>
    <w:rPr>
      <w:rFonts w:hint="default" w:ascii="宋体" w:hAnsi="宋体" w:eastAsia="宋体" w:cs="宋体"/>
      <w:b/>
      <w:sz w:val="36"/>
      <w:szCs w:val="21"/>
    </w:rPr>
  </w:style>
  <w:style w:type="paragraph" w:customStyle="1" w:styleId="23">
    <w:name w:val="正文_3"/>
    <w:unhideWhenUsed/>
    <w:qFormat/>
    <w:uiPriority w:val="0"/>
    <w:pPr>
      <w:widowControl w:val="0"/>
      <w:spacing w:beforeLines="0" w:afterLines="0"/>
    </w:pPr>
    <w:rPr>
      <w:rFonts w:hint="eastAsia" w:ascii="Times New Roman" w:hAnsi="Times New Roman" w:eastAsia="Times New Roman" w:cs="Times New Roman"/>
      <w:color w:val="000000"/>
      <w:sz w:val="24"/>
      <w:szCs w:val="24"/>
      <w:lang w:val="en-US" w:eastAsia="en-US" w:bidi="en-US"/>
    </w:rPr>
  </w:style>
  <w:style w:type="paragraph" w:customStyle="1" w:styleId="24">
    <w:name w:val="Body text|1_2"/>
    <w:basedOn w:val="23"/>
    <w:unhideWhenUsed/>
    <w:qFormat/>
    <w:uiPriority w:val="0"/>
    <w:pPr>
      <w:spacing w:beforeLines="0" w:afterLines="0" w:line="360" w:lineRule="auto"/>
      <w:ind w:firstLine="400"/>
    </w:pPr>
    <w:rPr>
      <w:rFonts w:hint="default" w:ascii="宋体" w:hAnsi="宋体" w:eastAsia="宋体" w:cs="宋体"/>
      <w:color w:val="auto"/>
      <w:sz w:val="20"/>
      <w:szCs w:val="20"/>
      <w:lang w:val="zh-CN" w:eastAsia="zh-CN" w:bidi="zh-CN"/>
    </w:rPr>
  </w:style>
  <w:style w:type="paragraph" w:customStyle="1" w:styleId="25">
    <w:name w:val="Other|1_2"/>
    <w:basedOn w:val="23"/>
    <w:unhideWhenUsed/>
    <w:qFormat/>
    <w:uiPriority w:val="0"/>
    <w:pPr>
      <w:spacing w:beforeLines="0" w:afterLines="0" w:line="360" w:lineRule="auto"/>
      <w:ind w:firstLine="400"/>
    </w:pPr>
    <w:rPr>
      <w:rFonts w:hint="default" w:ascii="宋体" w:hAnsi="宋体" w:eastAsia="宋体" w:cs="宋体"/>
      <w:color w:val="auto"/>
      <w:sz w:val="20"/>
      <w:szCs w:val="20"/>
      <w:lang w:val="zh-CN" w:eastAsia="zh-CN" w:bidi="zh-CN"/>
    </w:rPr>
  </w:style>
  <w:style w:type="paragraph" w:customStyle="1" w:styleId="26">
    <w:name w:val="标题 3_2"/>
    <w:basedOn w:val="23"/>
    <w:next w:val="23"/>
    <w:unhideWhenUsed/>
    <w:qFormat/>
    <w:uiPriority w:val="0"/>
    <w:pPr>
      <w:keepNext/>
      <w:keepLines/>
      <w:spacing w:before="240" w:beforeLines="0" w:after="120" w:afterLines="0"/>
      <w:outlineLvl w:val="2"/>
    </w:pPr>
    <w:rPr>
      <w:rFonts w:hint="eastAsia"/>
      <w:b/>
      <w:color w:val="auto"/>
      <w:sz w:val="32"/>
      <w:szCs w:val="20"/>
      <w:lang w:bidi="ar-SA"/>
    </w:rPr>
  </w:style>
  <w:style w:type="paragraph" w:customStyle="1" w:styleId="27">
    <w:name w:val="标题 2_0"/>
    <w:basedOn w:val="28"/>
    <w:next w:val="28"/>
    <w:unhideWhenUsed/>
    <w:qFormat/>
    <w:uiPriority w:val="0"/>
    <w:pPr>
      <w:keepLines/>
      <w:spacing w:before="240" w:beforeLines="0" w:after="120" w:afterLines="0" w:line="416" w:lineRule="auto"/>
      <w:jc w:val="center"/>
      <w:outlineLvl w:val="1"/>
    </w:pPr>
    <w:rPr>
      <w:rFonts w:hint="default" w:ascii="宋体" w:hAnsi="宋体" w:eastAsia="宋体" w:cs="宋体"/>
      <w:b/>
      <w:sz w:val="36"/>
      <w:szCs w:val="21"/>
    </w:rPr>
  </w:style>
  <w:style w:type="paragraph" w:customStyle="1" w:styleId="28">
    <w:name w:val="正文_2"/>
    <w:next w:val="29"/>
    <w:unhideWhenUsed/>
    <w:qFormat/>
    <w:uiPriority w:val="0"/>
    <w:pPr>
      <w:widowControl w:val="0"/>
      <w:spacing w:beforeLines="0" w:afterLines="0"/>
    </w:pPr>
    <w:rPr>
      <w:rFonts w:hint="eastAsia" w:ascii="Times New Roman" w:hAnsi="Times New Roman" w:eastAsia="Times New Roman" w:cs="Times New Roman"/>
      <w:color w:val="000000"/>
      <w:sz w:val="24"/>
      <w:szCs w:val="24"/>
      <w:lang w:val="en-US" w:eastAsia="en-US" w:bidi="en-US"/>
    </w:rPr>
  </w:style>
  <w:style w:type="paragraph" w:customStyle="1" w:styleId="29">
    <w:name w:val="正文文本_0"/>
    <w:basedOn w:val="28"/>
    <w:unhideWhenUsed/>
    <w:qFormat/>
    <w:uiPriority w:val="0"/>
    <w:pPr>
      <w:spacing w:beforeLines="0" w:after="120" w:afterLines="0"/>
      <w:jc w:val="both"/>
    </w:pPr>
    <w:rPr>
      <w:rFonts w:hint="eastAsia"/>
      <w:color w:val="auto"/>
      <w:kern w:val="2"/>
      <w:sz w:val="21"/>
      <w:szCs w:val="24"/>
      <w:lang w:bidi="ar-SA"/>
    </w:rPr>
  </w:style>
  <w:style w:type="paragraph" w:customStyle="1" w:styleId="30">
    <w:name w:val="标题 3_1"/>
    <w:basedOn w:val="28"/>
    <w:next w:val="28"/>
    <w:unhideWhenUsed/>
    <w:qFormat/>
    <w:uiPriority w:val="0"/>
    <w:pPr>
      <w:keepNext/>
      <w:keepLines/>
      <w:spacing w:before="240" w:beforeLines="0" w:after="120" w:afterLines="0"/>
      <w:outlineLvl w:val="2"/>
    </w:pPr>
    <w:rPr>
      <w:rFonts w:hint="eastAsia"/>
      <w:b/>
      <w:color w:val="auto"/>
      <w:sz w:val="32"/>
      <w:szCs w:val="20"/>
      <w:lang w:bidi="ar-SA"/>
    </w:rPr>
  </w:style>
  <w:style w:type="paragraph" w:customStyle="1" w:styleId="31">
    <w:name w:val="Body text|1_1"/>
    <w:basedOn w:val="28"/>
    <w:unhideWhenUsed/>
    <w:qFormat/>
    <w:uiPriority w:val="0"/>
    <w:pPr>
      <w:spacing w:beforeLines="0" w:afterLines="0" w:line="360" w:lineRule="auto"/>
      <w:ind w:firstLine="400"/>
    </w:pPr>
    <w:rPr>
      <w:rFonts w:hint="default" w:ascii="宋体" w:hAnsi="宋体" w:eastAsia="宋体" w:cs="宋体"/>
      <w:color w:val="auto"/>
      <w:sz w:val="20"/>
      <w:szCs w:val="20"/>
      <w:lang w:val="zh-CN" w:eastAsia="zh-CN" w:bidi="zh-CN"/>
    </w:rPr>
  </w:style>
  <w:style w:type="paragraph" w:customStyle="1" w:styleId="32">
    <w:name w:val="Body text|2_0"/>
    <w:basedOn w:val="28"/>
    <w:unhideWhenUsed/>
    <w:qFormat/>
    <w:uiPriority w:val="0"/>
    <w:pPr>
      <w:spacing w:beforeLines="0" w:after="30" w:afterLines="0"/>
      <w:ind w:firstLine="420"/>
    </w:pPr>
    <w:rPr>
      <w:rFonts w:hint="eastAsia"/>
      <w:color w:val="auto"/>
      <w:sz w:val="20"/>
      <w:szCs w:val="20"/>
      <w:lang w:bidi="ar-SA"/>
    </w:rPr>
  </w:style>
  <w:style w:type="paragraph" w:customStyle="1" w:styleId="33">
    <w:name w:val="Other|1_1"/>
    <w:basedOn w:val="28"/>
    <w:unhideWhenUsed/>
    <w:qFormat/>
    <w:uiPriority w:val="0"/>
    <w:pPr>
      <w:spacing w:beforeLines="0" w:afterLines="0" w:line="360" w:lineRule="auto"/>
      <w:ind w:firstLine="400"/>
    </w:pPr>
    <w:rPr>
      <w:rFonts w:hint="default" w:ascii="宋体" w:hAnsi="宋体" w:eastAsia="宋体" w:cs="宋体"/>
      <w:color w:val="auto"/>
      <w:sz w:val="20"/>
      <w:szCs w:val="20"/>
      <w:lang w:val="zh-CN" w:eastAsia="zh-CN" w:bidi="zh-CN"/>
    </w:rPr>
  </w:style>
  <w:style w:type="paragraph" w:customStyle="1" w:styleId="34">
    <w:name w:val="Body text|1"/>
    <w:basedOn w:val="1"/>
    <w:unhideWhenUsed/>
    <w:qFormat/>
    <w:uiPriority w:val="0"/>
    <w:pPr>
      <w:spacing w:line="360" w:lineRule="auto"/>
      <w:ind w:firstLine="400"/>
    </w:pPr>
    <w:rPr>
      <w:rFonts w:hint="default" w:ascii="宋体" w:hAnsi="宋体" w:eastAsia="宋体" w:cs="宋体"/>
      <w:sz w:val="20"/>
      <w:szCs w:val="20"/>
      <w:lang w:val="zh-CN" w:bidi="zh-CN"/>
    </w:rPr>
  </w:style>
  <w:style w:type="paragraph" w:customStyle="1" w:styleId="35">
    <w:name w:val="Body text|2"/>
    <w:basedOn w:val="1"/>
    <w:unhideWhenUsed/>
    <w:qFormat/>
    <w:uiPriority w:val="0"/>
    <w:pPr>
      <w:spacing w:after="30"/>
      <w:ind w:firstLine="420"/>
    </w:pPr>
    <w:rPr>
      <w:rFonts w:hint="eastAsia"/>
      <w:sz w:val="20"/>
      <w:szCs w:val="20"/>
    </w:rPr>
  </w:style>
  <w:style w:type="paragraph" w:customStyle="1" w:styleId="36">
    <w:name w:val="正文_2_0"/>
    <w:unhideWhenUsed/>
    <w:qFormat/>
    <w:uiPriority w:val="0"/>
    <w:pPr>
      <w:widowControl w:val="0"/>
      <w:spacing w:beforeLines="0" w:afterLines="0"/>
    </w:pPr>
    <w:rPr>
      <w:rFonts w:hint="eastAsia" w:ascii="Times New Roman" w:hAnsi="Times New Roman" w:eastAsia="Times New Roman" w:cs="Times New Roman"/>
      <w:color w:val="000000"/>
      <w:sz w:val="24"/>
      <w:szCs w:val="24"/>
      <w:lang w:val="en-US" w:eastAsia="en-US" w:bidi="en-US"/>
    </w:rPr>
  </w:style>
  <w:style w:type="paragraph" w:customStyle="1" w:styleId="37">
    <w:name w:val="正文_4"/>
    <w:unhideWhenUsed/>
    <w:qFormat/>
    <w:uiPriority w:val="0"/>
    <w:pPr>
      <w:widowControl w:val="0"/>
      <w:spacing w:beforeLines="0" w:afterLines="0"/>
    </w:pPr>
    <w:rPr>
      <w:rFonts w:hint="eastAsia" w:ascii="Times New Roman" w:hAnsi="Times New Roman" w:eastAsia="Times New Roman" w:cs="Times New Roman"/>
      <w:color w:val="000000"/>
      <w:sz w:val="24"/>
      <w:szCs w:val="24"/>
      <w:lang w:val="en-US" w:eastAsia="en-US" w:bidi="en-US"/>
    </w:rPr>
  </w:style>
  <w:style w:type="paragraph" w:customStyle="1" w:styleId="38">
    <w:name w:val="正文_2_0_0"/>
    <w:next w:val="39"/>
    <w:unhideWhenUsed/>
    <w:qFormat/>
    <w:uiPriority w:val="0"/>
    <w:pPr>
      <w:widowControl w:val="0"/>
      <w:spacing w:beforeLines="0" w:afterLines="0"/>
    </w:pPr>
    <w:rPr>
      <w:rFonts w:hint="eastAsia" w:ascii="Times New Roman" w:hAnsi="Times New Roman" w:eastAsia="Times New Roman" w:cs="Times New Roman"/>
      <w:color w:val="000000"/>
      <w:sz w:val="24"/>
      <w:szCs w:val="24"/>
      <w:lang w:val="en-US" w:eastAsia="en-US" w:bidi="en-US"/>
    </w:rPr>
  </w:style>
  <w:style w:type="paragraph" w:customStyle="1" w:styleId="39">
    <w:name w:val="页脚_2"/>
    <w:basedOn w:val="38"/>
    <w:unhideWhenUsed/>
    <w:qFormat/>
    <w:uiPriority w:val="99"/>
    <w:pPr>
      <w:tabs>
        <w:tab w:val="center" w:pos="4153"/>
        <w:tab w:val="right" w:pos="8306"/>
      </w:tabs>
      <w:snapToGrid w:val="0"/>
      <w:spacing w:beforeLines="0" w:afterLines="0"/>
    </w:pPr>
    <w:rPr>
      <w:rFonts w:hint="eastAsia"/>
      <w:sz w:val="18"/>
      <w:szCs w:val="18"/>
    </w:rPr>
  </w:style>
  <w:style w:type="paragraph" w:customStyle="1" w:styleId="40">
    <w:name w:val="正文文本_1"/>
    <w:basedOn w:val="23"/>
    <w:unhideWhenUsed/>
    <w:qFormat/>
    <w:uiPriority w:val="0"/>
    <w:pPr>
      <w:spacing w:beforeLines="0" w:after="120" w:afterLines="0"/>
      <w:jc w:val="both"/>
    </w:pPr>
    <w:rPr>
      <w:rFonts w:hint="eastAsia"/>
      <w:color w:val="auto"/>
      <w:kern w:val="2"/>
      <w:sz w:val="21"/>
      <w:szCs w:val="24"/>
      <w:lang w:bidi="ar-SA"/>
    </w:rPr>
  </w:style>
  <w:style w:type="paragraph" w:customStyle="1" w:styleId="41">
    <w:name w:val="正文_0_1"/>
    <w:unhideWhenUsed/>
    <w:qFormat/>
    <w:uiPriority w:val="0"/>
    <w:pPr>
      <w:widowControl w:val="0"/>
      <w:spacing w:beforeLines="0" w:afterLines="0"/>
      <w:jc w:val="both"/>
    </w:pPr>
    <w:rPr>
      <w:rFonts w:hint="default" w:ascii="Calibri" w:hAnsi="Calibri" w:eastAsia="宋体" w:cs="Times New Roman"/>
      <w:kern w:val="2"/>
      <w:sz w:val="21"/>
      <w:szCs w:val="22"/>
      <w:lang w:val="en-US" w:eastAsia="zh-CN" w:bidi="ar-SA"/>
    </w:rPr>
  </w:style>
  <w:style w:type="paragraph" w:customStyle="1" w:styleId="42">
    <w:name w:val="正文_0"/>
    <w:next w:val="17"/>
    <w:unhideWhenUsed/>
    <w:qFormat/>
    <w:uiPriority w:val="0"/>
    <w:pPr>
      <w:widowControl w:val="0"/>
      <w:spacing w:beforeLines="0" w:afterLines="0"/>
    </w:pPr>
    <w:rPr>
      <w:rFonts w:hint="default" w:ascii="Calibri" w:hAnsi="Calibri" w:eastAsia="Times New Roman" w:cs="Times New Roman"/>
      <w:color w:val="000000"/>
      <w:sz w:val="24"/>
      <w:szCs w:val="24"/>
      <w:lang w:val="en-US" w:eastAsia="en-US" w:bidi="en-US"/>
    </w:rPr>
  </w:style>
  <w:style w:type="paragraph" w:customStyle="1" w:styleId="43">
    <w:name w:val="正文_6"/>
    <w:unhideWhenUsed/>
    <w:qFormat/>
    <w:uiPriority w:val="0"/>
    <w:pPr>
      <w:widowControl w:val="0"/>
      <w:spacing w:beforeLines="0" w:afterLines="0"/>
      <w:jc w:val="both"/>
    </w:pPr>
    <w:rPr>
      <w:rFonts w:hint="eastAsia" w:ascii="Times New Roman" w:hAnsi="Times New Roman" w:eastAsia="Times New Roman" w:cs="Times New Roman"/>
      <w:kern w:val="2"/>
      <w:sz w:val="21"/>
      <w:szCs w:val="22"/>
      <w:lang w:val="en-US" w:eastAsia="zh-CN" w:bidi="ar-SA"/>
    </w:rPr>
  </w:style>
  <w:style w:type="paragraph" w:customStyle="1" w:styleId="44">
    <w:name w:val="_Style 5"/>
    <w:basedOn w:val="23"/>
    <w:unhideWhenUsed/>
    <w:qFormat/>
    <w:uiPriority w:val="0"/>
    <w:pPr>
      <w:spacing w:beforeLines="0" w:afterLines="0"/>
      <w:ind w:left="521" w:firstLine="420"/>
    </w:pPr>
    <w:rPr>
      <w:rFonts w:hint="eastAsia"/>
      <w:sz w:val="24"/>
      <w:szCs w:val="24"/>
    </w:rPr>
  </w:style>
  <w:style w:type="paragraph" w:customStyle="1" w:styleId="45">
    <w:name w:val="Heading 3_0"/>
    <w:basedOn w:val="23"/>
    <w:unhideWhenUsed/>
    <w:qFormat/>
    <w:uiPriority w:val="0"/>
    <w:pPr>
      <w:spacing w:before="46" w:beforeLines="0" w:afterLines="0"/>
      <w:ind w:left="521"/>
      <w:outlineLvl w:val="3"/>
    </w:pPr>
    <w:rPr>
      <w:rFonts w:hint="eastAsia"/>
      <w:b/>
      <w:sz w:val="28"/>
      <w:szCs w:val="28"/>
    </w:rPr>
  </w:style>
  <w:style w:type="paragraph" w:customStyle="1" w:styleId="46">
    <w:name w:val="Heading 6_0"/>
    <w:basedOn w:val="23"/>
    <w:unhideWhenUsed/>
    <w:qFormat/>
    <w:uiPriority w:val="0"/>
    <w:pPr>
      <w:spacing w:beforeLines="0" w:afterLines="0"/>
      <w:ind w:left="881" w:hanging="361"/>
      <w:outlineLvl w:val="6"/>
    </w:pPr>
    <w:rPr>
      <w:rFonts w:hint="eastAsia"/>
      <w:b/>
      <w:sz w:val="24"/>
      <w:szCs w:val="21"/>
    </w:rPr>
  </w:style>
  <w:style w:type="character" w:customStyle="1" w:styleId="47">
    <w:name w:val="10_0"/>
    <w:unhideWhenUsed/>
    <w:qFormat/>
    <w:uiPriority w:val="0"/>
    <w:rPr>
      <w:rFonts w:hint="eastAsia" w:ascii="Times New Roman" w:hAnsi="Times New Roman" w:eastAsia="Times New Roman" w:cs="Times New Roman"/>
      <w:sz w:val="24"/>
      <w:szCs w:val="24"/>
    </w:rPr>
  </w:style>
  <w:style w:type="paragraph" w:customStyle="1" w:styleId="48">
    <w:name w:val="正文首行缩进_0"/>
    <w:basedOn w:val="40"/>
    <w:unhideWhenUsed/>
    <w:qFormat/>
    <w:uiPriority w:val="0"/>
    <w:pPr>
      <w:spacing w:beforeLines="0" w:afterLines="0"/>
      <w:ind w:firstLine="420" w:firstLineChars="100"/>
    </w:pPr>
    <w:rPr>
      <w:rFonts w:hint="default" w:ascii="Calibri" w:hAnsi="Calibri" w:eastAsia="宋体"/>
      <w:color w:val="auto"/>
      <w:sz w:val="21"/>
      <w:szCs w:val="24"/>
    </w:rPr>
  </w:style>
  <w:style w:type="paragraph" w:customStyle="1" w:styleId="49">
    <w:name w:val="正文_5"/>
    <w:unhideWhenUsed/>
    <w:qFormat/>
    <w:uiPriority w:val="99"/>
    <w:pPr>
      <w:widowControl w:val="0"/>
      <w:jc w:val="both"/>
    </w:pPr>
    <w:rPr>
      <w:rFonts w:hint="default"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2.wmf"/><Relationship Id="rId18" Type="http://schemas.openxmlformats.org/officeDocument/2006/relationships/oleObject" Target="embeddings/oleObject2.bin"/><Relationship Id="rId17" Type="http://schemas.openxmlformats.org/officeDocument/2006/relationships/image" Target="media/image1.wmf"/><Relationship Id="rId16" Type="http://schemas.openxmlformats.org/officeDocument/2006/relationships/oleObject" Target="embeddings/oleObject1.bin"/><Relationship Id="rId15" Type="http://schemas.openxmlformats.org/officeDocument/2006/relationships/theme" Target="theme/theme1.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Info spid="_x0000_s102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176</Pages>
  <Words>7829</Words>
  <Characters>9417</Characters>
  <Lines>0</Lines>
  <Paragraphs>0</Paragraphs>
  <TotalTime>29</TotalTime>
  <ScaleCrop>false</ScaleCrop>
  <LinksUpToDate>false</LinksUpToDate>
  <CharactersWithSpaces>9531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2024-11-21T09:39:00Z</dcterms:created>
  <dc:creator>Wlos</dc:creator>
  <cp:lastModifiedBy>Administrator</cp:lastModifiedBy>
  <dcterms:modified xsi:type="dcterms:W3CDTF">2026-08-28T05:34:04Z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33CACEB24C3C4F3E9D4AD6322457D206_13</vt:lpwstr>
  </property>
  <property fmtid="{D5CDD505-2E9C-101B-9397-08002B2CF9AE}" pid="4" name="KSOTemplateDocerSaveRecord">
    <vt:lpwstr>eyJoZGlkIjoiNWY5Mzg4M2QwZDk3OTEyNmFmYmZmNjI3N2VjMDI3ODYifQ==</vt:lpwstr>
  </property>
</Properties>
</file>